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611CEB">
      <w:pPr>
        <w:pStyle w:val="18"/>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52"/>
          <w:szCs w:val="52"/>
          <w:highlight w:val="none"/>
          <w:lang w:val="en-US" w:eastAsia="zh-CN"/>
        </w:rPr>
      </w:pPr>
      <w:bookmarkStart w:id="0" w:name="_Toc22953395"/>
      <w:bookmarkEnd w:id="0"/>
      <w:bookmarkStart w:id="1" w:name="_Toc22804073"/>
      <w:bookmarkEnd w:id="1"/>
    </w:p>
    <w:p w14:paraId="3E01ED4B">
      <w:pPr>
        <w:pStyle w:val="18"/>
        <w:keepNext w:val="0"/>
        <w:keepLines w:val="0"/>
        <w:pageBreakBefore w:val="0"/>
        <w:widowControl w:val="0"/>
        <w:kinsoku/>
        <w:wordWrap/>
        <w:overflowPunct/>
        <w:topLinePunct w:val="0"/>
        <w:autoSpaceDE/>
        <w:autoSpaceDN/>
        <w:bidi w:val="0"/>
        <w:adjustRightInd/>
        <w:snapToGrid/>
        <w:spacing w:beforeAutospacing="0" w:afterAutospacing="0" w:line="600" w:lineRule="auto"/>
        <w:jc w:val="center"/>
        <w:textAlignment w:val="auto"/>
        <w:rPr>
          <w:rFonts w:hint="eastAsia" w:ascii="宋体" w:hAnsi="宋体" w:eastAsia="宋体" w:cs="宋体"/>
          <w:b/>
          <w:bCs/>
          <w:color w:val="auto"/>
          <w:sz w:val="48"/>
          <w:szCs w:val="48"/>
          <w:highlight w:val="none"/>
          <w:lang w:val="en-US" w:eastAsia="zh-CN"/>
        </w:rPr>
      </w:pPr>
      <w:r>
        <w:rPr>
          <w:rFonts w:hint="eastAsia" w:cs="宋体"/>
          <w:b/>
          <w:bCs/>
          <w:color w:val="auto"/>
          <w:sz w:val="48"/>
          <w:szCs w:val="48"/>
          <w:highlight w:val="none"/>
          <w:lang w:val="en-US" w:eastAsia="zh-CN"/>
        </w:rPr>
        <w:t>驻马店市中心医院妇儿院区特殊医学用途儿童配方乳粉采购项目</w:t>
      </w:r>
    </w:p>
    <w:p w14:paraId="43B7407E">
      <w:pPr>
        <w:pStyle w:val="18"/>
        <w:bidi w:val="0"/>
        <w:jc w:val="center"/>
        <w:rPr>
          <w:rStyle w:val="43"/>
          <w:rFonts w:hint="eastAsia" w:cs="宋体"/>
          <w:b/>
          <w:bCs/>
          <w:color w:val="auto"/>
          <w:sz w:val="44"/>
          <w:szCs w:val="44"/>
          <w:highlight w:val="none"/>
          <w:lang w:val="en-US" w:eastAsia="zh-CN"/>
        </w:rPr>
      </w:pPr>
    </w:p>
    <w:p w14:paraId="3041D311">
      <w:pPr>
        <w:pStyle w:val="18"/>
        <w:bidi w:val="0"/>
        <w:jc w:val="center"/>
        <w:rPr>
          <w:rStyle w:val="43"/>
          <w:rFonts w:hint="eastAsia" w:cs="宋体"/>
          <w:b/>
          <w:bCs/>
          <w:color w:val="auto"/>
          <w:sz w:val="44"/>
          <w:szCs w:val="44"/>
          <w:highlight w:val="none"/>
          <w:lang w:val="en-US" w:eastAsia="zh-CN"/>
        </w:rPr>
      </w:pPr>
    </w:p>
    <w:p w14:paraId="72164425">
      <w:pPr>
        <w:pStyle w:val="18"/>
        <w:bidi w:val="0"/>
        <w:jc w:val="center"/>
        <w:rPr>
          <w:rStyle w:val="43"/>
          <w:rFonts w:hint="eastAsia" w:ascii="方正公文小标宋" w:hAnsi="方正公文小标宋" w:eastAsia="方正公文小标宋" w:cs="方正公文小标宋"/>
          <w:b w:val="0"/>
          <w:bCs w:val="0"/>
          <w:color w:val="auto"/>
          <w:sz w:val="56"/>
          <w:szCs w:val="56"/>
          <w:highlight w:val="none"/>
        </w:rPr>
      </w:pPr>
      <w:r>
        <w:rPr>
          <w:rStyle w:val="43"/>
          <w:rFonts w:hint="eastAsia" w:ascii="方正公文小标宋" w:hAnsi="方正公文小标宋" w:eastAsia="方正公文小标宋" w:cs="方正公文小标宋"/>
          <w:b w:val="0"/>
          <w:bCs w:val="0"/>
          <w:color w:val="auto"/>
          <w:sz w:val="56"/>
          <w:szCs w:val="56"/>
          <w:highlight w:val="none"/>
          <w:lang w:val="en-US" w:eastAsia="zh-CN"/>
        </w:rPr>
        <w:t>竞争性磋商</w:t>
      </w:r>
      <w:r>
        <w:rPr>
          <w:rStyle w:val="43"/>
          <w:rFonts w:hint="eastAsia" w:ascii="方正公文小标宋" w:hAnsi="方正公文小标宋" w:eastAsia="方正公文小标宋" w:cs="方正公文小标宋"/>
          <w:b w:val="0"/>
          <w:bCs w:val="0"/>
          <w:color w:val="auto"/>
          <w:sz w:val="56"/>
          <w:szCs w:val="56"/>
          <w:highlight w:val="none"/>
        </w:rPr>
        <w:t>文件</w:t>
      </w:r>
    </w:p>
    <w:p w14:paraId="44E388B3">
      <w:pPr>
        <w:pStyle w:val="18"/>
        <w:bidi w:val="0"/>
        <w:jc w:val="center"/>
        <w:rPr>
          <w:rStyle w:val="43"/>
          <w:rFonts w:hint="eastAsia" w:ascii="宋体" w:hAnsi="宋体" w:eastAsia="宋体" w:cs="宋体"/>
          <w:b/>
          <w:bCs/>
          <w:color w:val="auto"/>
          <w:sz w:val="48"/>
          <w:szCs w:val="48"/>
          <w:highlight w:val="none"/>
        </w:rPr>
      </w:pPr>
    </w:p>
    <w:p w14:paraId="158E927F">
      <w:pPr>
        <w:pStyle w:val="18"/>
        <w:bidi w:val="0"/>
        <w:jc w:val="center"/>
        <w:rPr>
          <w:rStyle w:val="43"/>
          <w:rFonts w:hint="eastAsia" w:ascii="宋体" w:hAnsi="宋体" w:eastAsia="宋体" w:cs="宋体"/>
          <w:b/>
          <w:bCs/>
          <w:color w:val="auto"/>
          <w:sz w:val="48"/>
          <w:szCs w:val="48"/>
          <w:highlight w:val="none"/>
        </w:rPr>
      </w:pPr>
    </w:p>
    <w:p w14:paraId="5ABC8E99">
      <w:pPr>
        <w:pStyle w:val="18"/>
        <w:bidi w:val="0"/>
        <w:jc w:val="center"/>
        <w:rPr>
          <w:rStyle w:val="43"/>
          <w:rFonts w:hint="eastAsia" w:ascii="宋体" w:hAnsi="宋体" w:eastAsia="宋体" w:cs="宋体"/>
          <w:b/>
          <w:bCs/>
          <w:color w:val="auto"/>
          <w:sz w:val="48"/>
          <w:szCs w:val="48"/>
          <w:highlight w:val="none"/>
        </w:rPr>
      </w:pPr>
    </w:p>
    <w:p w14:paraId="7B1AF9DD">
      <w:pPr>
        <w:tabs>
          <w:tab w:val="left" w:pos="2700"/>
          <w:tab w:val="left" w:pos="2880"/>
          <w:tab w:val="left" w:pos="3060"/>
          <w:tab w:val="left" w:pos="7560"/>
        </w:tabs>
        <w:snapToGrid w:val="0"/>
        <w:spacing w:line="480" w:lineRule="auto"/>
        <w:rPr>
          <w:rFonts w:hint="eastAsia" w:ascii="宋体" w:hAnsi="宋体" w:eastAsia="宋体" w:cs="宋体"/>
          <w:b/>
          <w:bCs/>
          <w:color w:val="auto"/>
          <w:spacing w:val="-10"/>
          <w:sz w:val="34"/>
          <w:szCs w:val="34"/>
          <w:highlight w:val="none"/>
          <w:lang w:val="en-US" w:eastAsia="zh-CN"/>
        </w:rPr>
      </w:pPr>
    </w:p>
    <w:p w14:paraId="0728AD83">
      <w:pPr>
        <w:pStyle w:val="50"/>
        <w:rPr>
          <w:rFonts w:hint="eastAsia"/>
          <w:color w:val="auto"/>
          <w:lang w:val="en-US" w:eastAsia="zh-CN"/>
        </w:rPr>
      </w:pPr>
    </w:p>
    <w:p w14:paraId="3BF75C73">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采   购   人：驻马店市中心医院</w:t>
      </w:r>
    </w:p>
    <w:p w14:paraId="4E81949D">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采购代理机构：</w:t>
      </w:r>
      <w:r>
        <w:rPr>
          <w:rFonts w:hint="eastAsia" w:ascii="宋体" w:hAnsi="宋体" w:cs="宋体"/>
          <w:b/>
          <w:bCs/>
          <w:color w:val="auto"/>
          <w:spacing w:val="-10"/>
          <w:sz w:val="34"/>
          <w:szCs w:val="34"/>
          <w:highlight w:val="none"/>
          <w:lang w:val="en-US" w:eastAsia="zh-CN"/>
        </w:rPr>
        <w:t>驻马店市晨崴采购代理有限公司</w:t>
      </w:r>
    </w:p>
    <w:p w14:paraId="618A9BB5">
      <w:pPr>
        <w:keepNext w:val="0"/>
        <w:keepLines w:val="0"/>
        <w:pageBreakBefore w:val="0"/>
        <w:widowControl w:val="0"/>
        <w:tabs>
          <w:tab w:val="left" w:pos="2700"/>
          <w:tab w:val="left" w:pos="2880"/>
          <w:tab w:val="left" w:pos="3060"/>
          <w:tab w:val="left" w:pos="7560"/>
        </w:tabs>
        <w:kinsoku/>
        <w:wordWrap/>
        <w:overflowPunct/>
        <w:topLinePunct w:val="0"/>
        <w:autoSpaceDE/>
        <w:autoSpaceDN/>
        <w:bidi w:val="0"/>
        <w:adjustRightInd/>
        <w:snapToGrid w:val="0"/>
        <w:spacing w:line="480" w:lineRule="auto"/>
        <w:ind w:firstLine="1285" w:firstLineChars="400"/>
        <w:jc w:val="both"/>
        <w:textAlignment w:val="auto"/>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日        期：2026年</w:t>
      </w:r>
      <w:r>
        <w:rPr>
          <w:rFonts w:hint="eastAsia" w:ascii="宋体" w:hAnsi="宋体" w:cs="宋体"/>
          <w:b/>
          <w:bCs/>
          <w:color w:val="auto"/>
          <w:spacing w:val="-10"/>
          <w:sz w:val="34"/>
          <w:szCs w:val="34"/>
          <w:highlight w:val="none"/>
          <w:lang w:val="en-US" w:eastAsia="zh-CN"/>
        </w:rPr>
        <w:t>10</w:t>
      </w:r>
      <w:r>
        <w:rPr>
          <w:rFonts w:hint="eastAsia" w:ascii="宋体" w:hAnsi="宋体" w:eastAsia="宋体" w:cs="宋体"/>
          <w:b/>
          <w:bCs/>
          <w:color w:val="auto"/>
          <w:spacing w:val="-10"/>
          <w:sz w:val="34"/>
          <w:szCs w:val="34"/>
          <w:highlight w:val="none"/>
          <w:lang w:val="en-US" w:eastAsia="zh-CN"/>
        </w:rPr>
        <w:t>月</w:t>
      </w:r>
    </w:p>
    <w:p w14:paraId="2A9EC84C">
      <w:pPr>
        <w:tabs>
          <w:tab w:val="left" w:pos="2505"/>
          <w:tab w:val="center" w:pos="4535"/>
        </w:tabs>
        <w:snapToGrid w:val="0"/>
        <w:spacing w:line="480" w:lineRule="auto"/>
        <w:jc w:val="center"/>
        <w:rPr>
          <w:rFonts w:hint="eastAsia" w:ascii="宋体" w:hAnsi="宋体" w:eastAsia="宋体" w:cs="宋体"/>
          <w:b/>
          <w:color w:val="auto"/>
          <w:sz w:val="36"/>
          <w:szCs w:val="36"/>
          <w:highlight w:val="none"/>
        </w:rPr>
        <w:sectPr>
          <w:pgSz w:w="11923" w:h="16838"/>
          <w:pgMar w:top="1304" w:right="1417" w:bottom="992" w:left="1417" w:header="720" w:footer="720" w:gutter="0"/>
          <w:pgNumType w:fmt="decimal" w:start="1"/>
          <w:cols w:space="720" w:num="1"/>
          <w:docGrid w:type="lines" w:linePitch="312" w:charSpace="0"/>
        </w:sectPr>
      </w:pPr>
    </w:p>
    <w:p w14:paraId="3709C4D4">
      <w:pPr>
        <w:rPr>
          <w:rFonts w:hint="eastAsia" w:ascii="宋体" w:hAnsi="宋体" w:eastAsia="宋体" w:cs="宋体"/>
          <w:bCs/>
          <w:color w:val="auto"/>
          <w:sz w:val="24"/>
          <w:highlight w:val="none"/>
        </w:rPr>
      </w:pPr>
    </w:p>
    <w:p w14:paraId="5FE7AB9D">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9"/>
        <w:rPr>
          <w:rFonts w:hint="eastAsia" w:ascii="宋体" w:hAnsi="宋体" w:eastAsia="宋体" w:cs="宋体"/>
          <w:color w:val="auto"/>
          <w:highlight w:val="none"/>
        </w:rPr>
      </w:pPr>
    </w:p>
    <w:p w14:paraId="5621469A">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TOC \o "1-1" \h \u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_Toc26528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第一章  </w:t>
      </w:r>
      <w:r>
        <w:rPr>
          <w:rFonts w:hint="eastAsia" w:ascii="宋体" w:hAnsi="宋体" w:eastAsia="宋体" w:cs="宋体"/>
          <w:color w:val="auto"/>
          <w:sz w:val="24"/>
          <w:szCs w:val="40"/>
          <w:highlight w:val="none"/>
          <w:lang w:val="en-US" w:eastAsia="zh-CN"/>
        </w:rPr>
        <w:t>竞争性磋商</w:t>
      </w:r>
      <w:r>
        <w:rPr>
          <w:rFonts w:hint="eastAsia" w:ascii="宋体" w:hAnsi="宋体" w:eastAsia="宋体" w:cs="宋体"/>
          <w:color w:val="auto"/>
          <w:sz w:val="24"/>
          <w:szCs w:val="40"/>
          <w:highlight w:val="none"/>
        </w:rPr>
        <w:t>公告</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_Toc26528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2</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78C5A8E5">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_Toc19124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第二章  </w:t>
      </w:r>
      <w:r>
        <w:rPr>
          <w:rFonts w:hint="eastAsia" w:ascii="宋体" w:hAnsi="宋体" w:eastAsia="宋体" w:cs="宋体"/>
          <w:color w:val="auto"/>
          <w:sz w:val="24"/>
          <w:szCs w:val="40"/>
          <w:highlight w:val="none"/>
          <w:lang w:eastAsia="zh-CN"/>
        </w:rPr>
        <w:t>采购</w:t>
      </w:r>
      <w:r>
        <w:rPr>
          <w:rFonts w:hint="eastAsia" w:ascii="宋体" w:hAnsi="宋体" w:eastAsia="宋体" w:cs="宋体"/>
          <w:color w:val="auto"/>
          <w:sz w:val="24"/>
          <w:szCs w:val="40"/>
          <w:highlight w:val="none"/>
        </w:rPr>
        <w:t>需求</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_Toc19124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4</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2B55758C">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_Toc8501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sz w:val="24"/>
          <w:szCs w:val="40"/>
          <w:highlight w:val="none"/>
        </w:rPr>
        <w:t xml:space="preserve">第三章  </w:t>
      </w:r>
      <w:r>
        <w:rPr>
          <w:rFonts w:hint="eastAsia" w:ascii="宋体" w:hAnsi="宋体" w:eastAsia="宋体" w:cs="宋体"/>
          <w:bCs/>
          <w:color w:val="auto"/>
          <w:sz w:val="24"/>
          <w:szCs w:val="40"/>
          <w:highlight w:val="none"/>
          <w:lang w:eastAsia="zh-CN"/>
        </w:rPr>
        <w:t>供应商</w:t>
      </w:r>
      <w:r>
        <w:rPr>
          <w:rFonts w:hint="eastAsia" w:ascii="宋体" w:hAnsi="宋体" w:eastAsia="宋体" w:cs="宋体"/>
          <w:bCs/>
          <w:color w:val="auto"/>
          <w:sz w:val="24"/>
          <w:szCs w:val="40"/>
          <w:highlight w:val="none"/>
        </w:rPr>
        <w:t>须知</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_Toc8501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7</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1D52CE9">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_Toc31399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kern w:val="0"/>
          <w:sz w:val="24"/>
          <w:szCs w:val="40"/>
          <w:highlight w:val="none"/>
        </w:rPr>
        <w:t>第四章  评标办法及评分标准</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_Toc31399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16</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C59EEF9">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_Toc11904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36"/>
          <w:highlight w:val="none"/>
        </w:rPr>
        <w:t>第五章  采购合同</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_Toc11904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19</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99D6560">
      <w:pPr>
        <w:pStyle w:val="23"/>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color w:val="auto"/>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_Toc18702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第六章  </w:t>
      </w:r>
      <w:r>
        <w:rPr>
          <w:rFonts w:hint="eastAsia" w:ascii="宋体" w:hAnsi="宋体" w:eastAsia="宋体" w:cs="宋体"/>
          <w:color w:val="auto"/>
          <w:sz w:val="24"/>
          <w:szCs w:val="40"/>
          <w:highlight w:val="none"/>
          <w:lang w:val="en-US" w:eastAsia="zh-CN"/>
        </w:rPr>
        <w:t>响应</w:t>
      </w:r>
      <w:r>
        <w:rPr>
          <w:rFonts w:hint="eastAsia" w:ascii="宋体" w:hAnsi="宋体" w:eastAsia="宋体" w:cs="宋体"/>
          <w:color w:val="auto"/>
          <w:sz w:val="24"/>
          <w:szCs w:val="40"/>
          <w:highlight w:val="none"/>
        </w:rPr>
        <w:t>文件格式</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_Toc18702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20</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83C03D8">
      <w:pPr>
        <w:pStyle w:val="89"/>
        <w:keepNext w:val="0"/>
        <w:keepLines w:val="0"/>
        <w:pageBreakBefore w:val="0"/>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32"/>
          <w:szCs w:val="32"/>
          <w:highlight w:val="none"/>
        </w:rPr>
      </w:pPr>
      <w:r>
        <w:rPr>
          <w:rFonts w:hint="eastAsia" w:ascii="宋体" w:hAnsi="宋体" w:eastAsia="宋体" w:cs="宋体"/>
          <w:bCs/>
          <w:color w:val="auto"/>
          <w:szCs w:val="32"/>
          <w:highlight w:val="none"/>
        </w:rPr>
        <w:fldChar w:fldCharType="end"/>
      </w:r>
    </w:p>
    <w:p w14:paraId="2DB3124A">
      <w:pPr>
        <w:spacing w:line="440" w:lineRule="exact"/>
        <w:rPr>
          <w:rFonts w:hint="eastAsia" w:ascii="宋体" w:hAnsi="宋体" w:eastAsia="宋体" w:cs="宋体"/>
          <w:b/>
          <w:color w:val="auto"/>
          <w:sz w:val="32"/>
          <w:szCs w:val="32"/>
          <w:highlight w:val="none"/>
        </w:rPr>
      </w:pPr>
    </w:p>
    <w:p w14:paraId="1EB37B1F">
      <w:pPr>
        <w:spacing w:line="360" w:lineRule="auto"/>
        <w:ind w:firstLine="2409" w:firstLineChars="600"/>
        <w:rPr>
          <w:rFonts w:hint="eastAsia" w:ascii="宋体" w:hAnsi="宋体" w:eastAsia="宋体" w:cs="宋体"/>
          <w:b/>
          <w:color w:val="auto"/>
          <w:sz w:val="40"/>
          <w:szCs w:val="40"/>
          <w:highlight w:val="none"/>
        </w:rPr>
        <w:sectPr>
          <w:headerReference r:id="rId3" w:type="default"/>
          <w:footerReference r:id="rId4" w:type="default"/>
          <w:pgSz w:w="11906" w:h="16838"/>
          <w:pgMar w:top="1417" w:right="1474" w:bottom="1417" w:left="1474" w:header="851" w:footer="624" w:gutter="0"/>
          <w:pgBorders>
            <w:top w:val="none" w:sz="0" w:space="0"/>
            <w:left w:val="none" w:sz="0" w:space="0"/>
            <w:bottom w:val="none" w:sz="0" w:space="0"/>
            <w:right w:val="none" w:sz="0" w:space="0"/>
          </w:pgBorders>
          <w:pgNumType w:fmt="decimal" w:start="1"/>
          <w:cols w:space="720" w:num="1"/>
          <w:docGrid w:type="lines" w:linePitch="319" w:charSpace="0"/>
        </w:sectPr>
      </w:pPr>
    </w:p>
    <w:p w14:paraId="507E5BEB">
      <w:pPr>
        <w:spacing w:line="360" w:lineRule="auto"/>
        <w:jc w:val="center"/>
        <w:outlineLvl w:val="0"/>
        <w:rPr>
          <w:rFonts w:hint="eastAsia" w:ascii="宋体" w:hAnsi="宋体" w:eastAsia="宋体" w:cs="宋体"/>
          <w:b/>
          <w:color w:val="auto"/>
          <w:sz w:val="32"/>
          <w:szCs w:val="32"/>
          <w:highlight w:val="none"/>
        </w:rPr>
      </w:pPr>
      <w:bookmarkStart w:id="2"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2"/>
    </w:p>
    <w:p w14:paraId="7C15E64E">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cs="宋体"/>
          <w:b/>
          <w:bCs w:val="0"/>
          <w:color w:val="auto"/>
          <w:kern w:val="0"/>
          <w:sz w:val="28"/>
          <w:szCs w:val="28"/>
          <w:highlight w:val="none"/>
          <w:u w:val="none"/>
          <w:lang w:val="en-US" w:eastAsia="zh-CN"/>
        </w:rPr>
      </w:pPr>
      <w:r>
        <w:rPr>
          <w:rFonts w:hint="eastAsia" w:ascii="宋体" w:hAnsi="宋体" w:cs="宋体"/>
          <w:b/>
          <w:bCs w:val="0"/>
          <w:color w:val="auto"/>
          <w:kern w:val="0"/>
          <w:sz w:val="28"/>
          <w:szCs w:val="28"/>
          <w:highlight w:val="none"/>
          <w:u w:val="none"/>
          <w:lang w:val="en-US" w:eastAsia="zh-CN"/>
        </w:rPr>
        <w:t>驻马店市中心医院妇儿院区特殊医学用途儿童配方乳粉采购项目</w:t>
      </w:r>
    </w:p>
    <w:p w14:paraId="6C730A6D">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3A0989F1">
      <w:pPr>
        <w:keepNext w:val="0"/>
        <w:keepLines w:val="0"/>
        <w:pageBreakBefore w:val="0"/>
        <w:kinsoku/>
        <w:overflowPunct/>
        <w:topLinePunct w:val="0"/>
        <w:autoSpaceDE/>
        <w:autoSpaceDN/>
        <w:bidi w:val="0"/>
        <w:snapToGrid w:val="0"/>
        <w:spacing w:line="410" w:lineRule="exact"/>
        <w:ind w:firstLine="480" w:firstLineChars="200"/>
        <w:textAlignment w:val="auto"/>
        <w:rPr>
          <w:rFonts w:hint="eastAsia" w:ascii="宋体" w:hAnsi="宋体" w:eastAsia="宋体" w:cs="宋体"/>
          <w:color w:val="auto"/>
          <w:sz w:val="24"/>
          <w:highlight w:val="none"/>
        </w:rPr>
      </w:pPr>
      <w:bookmarkStart w:id="3" w:name="_Toc29890"/>
      <w:bookmarkStart w:id="4" w:name="_Toc23793"/>
      <w:r>
        <w:rPr>
          <w:rFonts w:hint="eastAsia" w:ascii="宋体" w:hAnsi="宋体" w:eastAsia="宋体" w:cs="宋体"/>
          <w:color w:val="auto"/>
          <w:sz w:val="24"/>
          <w:highlight w:val="none"/>
        </w:rPr>
        <w:t>驻马店市中心医院现对</w:t>
      </w:r>
      <w:r>
        <w:rPr>
          <w:rFonts w:hint="eastAsia" w:ascii="宋体" w:hAnsi="宋体" w:cs="宋体"/>
          <w:color w:val="auto"/>
          <w:sz w:val="24"/>
          <w:highlight w:val="none"/>
          <w:u w:val="single"/>
          <w:shd w:val="clear" w:color="auto" w:fill="FFFFFF"/>
          <w:lang w:eastAsia="zh-CN"/>
        </w:rPr>
        <w:t>妇儿院区特殊医学用途儿童配方乳粉采购</w:t>
      </w:r>
      <w:r>
        <w:rPr>
          <w:rFonts w:hint="eastAsia" w:ascii="宋体" w:hAnsi="宋体" w:eastAsia="宋体" w:cs="宋体"/>
          <w:color w:val="auto"/>
          <w:sz w:val="24"/>
          <w:highlight w:val="none"/>
          <w:u w:val="single"/>
          <w:lang w:val="en-US" w:eastAsia="zh-CN"/>
        </w:rPr>
        <w:t>项目</w:t>
      </w:r>
      <w:r>
        <w:rPr>
          <w:rFonts w:hint="eastAsia" w:ascii="宋体" w:hAnsi="宋体" w:eastAsia="宋体" w:cs="宋体"/>
          <w:color w:val="auto"/>
          <w:sz w:val="24"/>
          <w:highlight w:val="none"/>
        </w:rPr>
        <w:t>进行院内竞争性磋商采购，欢迎符合资格条件的供应商前来报名并获取采购文件。</w:t>
      </w:r>
    </w:p>
    <w:p w14:paraId="306B0538">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shd w:val="clear" w:color="auto" w:fill="FFFFFF"/>
        </w:rPr>
      </w:pPr>
      <w:r>
        <w:rPr>
          <w:rFonts w:hint="eastAsia" w:ascii="宋体" w:hAnsi="宋体" w:eastAsia="宋体" w:cs="宋体"/>
          <w:b/>
          <w:bCs/>
          <w:color w:val="auto"/>
          <w:sz w:val="24"/>
          <w:highlight w:val="none"/>
          <w:shd w:val="clear" w:color="auto" w:fill="FFFFFF"/>
        </w:rPr>
        <w:t>一、项目基本情况</w:t>
      </w:r>
    </w:p>
    <w:p w14:paraId="4948240E">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1、采购项目名称：</w:t>
      </w:r>
      <w:r>
        <w:rPr>
          <w:rFonts w:hint="eastAsia" w:ascii="宋体" w:hAnsi="宋体" w:cs="宋体"/>
          <w:color w:val="auto"/>
          <w:sz w:val="24"/>
          <w:highlight w:val="none"/>
          <w:shd w:val="clear" w:color="auto" w:fill="FFFFFF"/>
          <w:lang w:eastAsia="zh-CN"/>
        </w:rPr>
        <w:t>驻马店市中心医院妇儿院区特殊医学用途儿童配方乳粉采购项目</w:t>
      </w:r>
      <w:r>
        <w:rPr>
          <w:rFonts w:hint="eastAsia" w:ascii="宋体" w:hAnsi="宋体" w:eastAsia="宋体" w:cs="宋体"/>
          <w:color w:val="auto"/>
          <w:sz w:val="24"/>
          <w:highlight w:val="none"/>
          <w:shd w:val="clear" w:color="auto" w:fill="FFFFFF"/>
        </w:rPr>
        <w:t>；</w:t>
      </w:r>
    </w:p>
    <w:p w14:paraId="21A8A0E5">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2、采购需求：详见采购文件第二章“采购需求”；</w:t>
      </w:r>
    </w:p>
    <w:p w14:paraId="30FDEB1C">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w:t>
      </w:r>
      <w:bookmarkStart w:id="5" w:name="_Toc26725"/>
      <w:r>
        <w:rPr>
          <w:rFonts w:hint="eastAsia" w:ascii="宋体" w:hAnsi="宋体" w:eastAsia="宋体" w:cs="宋体"/>
          <w:color w:val="auto"/>
          <w:sz w:val="24"/>
          <w:highlight w:val="none"/>
          <w:shd w:val="clear" w:color="auto" w:fill="FFFFFF"/>
        </w:rPr>
        <w:t>、预算金额：</w:t>
      </w:r>
      <w:r>
        <w:rPr>
          <w:rFonts w:hint="eastAsia" w:ascii="宋体" w:hAnsi="宋体" w:eastAsia="宋体" w:cs="宋体"/>
          <w:color w:val="auto"/>
          <w:sz w:val="24"/>
          <w:highlight w:val="none"/>
          <w:shd w:val="clear" w:color="auto" w:fill="FFFFFF"/>
          <w:lang w:val="en-US" w:eastAsia="zh-CN"/>
        </w:rPr>
        <w:t>30万元</w:t>
      </w:r>
      <w:r>
        <w:rPr>
          <w:rFonts w:hint="eastAsia" w:ascii="宋体" w:hAnsi="宋体" w:eastAsia="宋体" w:cs="宋体"/>
          <w:color w:val="auto"/>
          <w:sz w:val="24"/>
          <w:highlight w:val="none"/>
          <w:shd w:val="clear" w:color="auto" w:fill="FFFFFF"/>
        </w:rPr>
        <w:t>；</w:t>
      </w:r>
    </w:p>
    <w:p w14:paraId="7D747EB0">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default" w:ascii="宋体" w:hAnsi="宋体" w:eastAsia="宋体" w:cs="宋体"/>
          <w:color w:val="auto"/>
          <w:sz w:val="24"/>
          <w:highlight w:val="none"/>
          <w:shd w:val="clear" w:color="auto" w:fill="FFFFFF"/>
          <w:lang w:val="en-US" w:eastAsia="zh-CN"/>
        </w:rPr>
      </w:pPr>
      <w:r>
        <w:rPr>
          <w:rFonts w:hint="eastAsia" w:ascii="宋体" w:hAnsi="宋体" w:eastAsia="宋体" w:cs="宋体"/>
          <w:color w:val="auto"/>
          <w:sz w:val="24"/>
          <w:highlight w:val="none"/>
          <w:shd w:val="clear" w:color="auto" w:fill="FFFFFF"/>
          <w:lang w:val="en-US" w:eastAsia="zh-CN"/>
        </w:rPr>
        <w:t>4、供货期限：一年</w:t>
      </w:r>
    </w:p>
    <w:p w14:paraId="334A53A7">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shd w:val="clear" w:color="auto" w:fill="FFFFFF"/>
        </w:rPr>
      </w:pPr>
      <w:bookmarkStart w:id="6" w:name="_Toc16639"/>
      <w:bookmarkStart w:id="7" w:name="_Toc27704"/>
      <w:bookmarkStart w:id="8" w:name="_Toc18607"/>
      <w:bookmarkStart w:id="9" w:name="_Toc23626"/>
      <w:r>
        <w:rPr>
          <w:rFonts w:hint="eastAsia" w:ascii="宋体" w:hAnsi="宋体" w:eastAsia="宋体" w:cs="宋体"/>
          <w:b/>
          <w:bCs/>
          <w:color w:val="auto"/>
          <w:sz w:val="24"/>
          <w:highlight w:val="none"/>
          <w:shd w:val="clear" w:color="auto" w:fill="FFFFFF"/>
        </w:rPr>
        <w:t>二、</w:t>
      </w:r>
      <w:bookmarkEnd w:id="5"/>
      <w:bookmarkEnd w:id="6"/>
      <w:bookmarkEnd w:id="7"/>
      <w:bookmarkEnd w:id="8"/>
      <w:bookmarkEnd w:id="9"/>
      <w:r>
        <w:rPr>
          <w:rFonts w:hint="eastAsia" w:ascii="宋体" w:hAnsi="宋体" w:eastAsia="宋体" w:cs="宋体"/>
          <w:b/>
          <w:bCs/>
          <w:color w:val="auto"/>
          <w:sz w:val="24"/>
          <w:highlight w:val="none"/>
          <w:shd w:val="clear" w:color="auto" w:fill="FFFFFF"/>
        </w:rPr>
        <w:t>供应商资格要求：</w:t>
      </w:r>
    </w:p>
    <w:p w14:paraId="18F59B14">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bookmarkStart w:id="10" w:name="_Toc7823"/>
      <w:bookmarkStart w:id="11" w:name="_Toc30643"/>
      <w:bookmarkStart w:id="12" w:name="_Toc30971"/>
      <w:bookmarkStart w:id="13" w:name="_Toc23395"/>
      <w:bookmarkStart w:id="14" w:name="_Toc9562"/>
      <w:r>
        <w:rPr>
          <w:rFonts w:hint="eastAsia" w:ascii="宋体" w:hAnsi="宋体" w:cs="宋体"/>
          <w:color w:val="auto"/>
          <w:sz w:val="24"/>
          <w:szCs w:val="24"/>
          <w:highlight w:val="none"/>
          <w:shd w:val="clear" w:color="auto" w:fill="FFFFFF"/>
          <w:lang w:val="en-US" w:eastAsia="zh-CN"/>
        </w:rPr>
        <w:t>1、具有独立承担民事责任的能力（提供营业执照或其他证明材料）；</w:t>
      </w:r>
    </w:p>
    <w:p w14:paraId="79851768">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2、具有良好的商业信誉和健全的财务会计制度（提供经审计的2025年度财务报告或者其基本开户银行出具的资信证明）；</w:t>
      </w:r>
    </w:p>
    <w:p w14:paraId="22AD6486">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3、具有履行合同所必需的设备和专业技术能力（提供书面承诺函）；</w:t>
      </w:r>
    </w:p>
    <w:p w14:paraId="750358E5">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4、具有依法缴纳税收和社会保障资金的良好记录（提供采购活动近六个月任意一个月的依法缴纳税收和缴纳社保的证明；依法免税或不需要缴纳社会保障资金的，应提供相应文件证明其依法免税或不需要缴纳社会保障资金）。</w:t>
      </w:r>
    </w:p>
    <w:p w14:paraId="6C531497">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5、参加本采购活动前三年内，在经营活动中没有重大违法记录（提供书面承诺函）；</w:t>
      </w:r>
    </w:p>
    <w:p w14:paraId="63E4047C">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6、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p>
    <w:p w14:paraId="1C79374B">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7、单位负责人为同一人或者存在直接控股、管理关系的不同供应商，不得参加同一合同项下的磋商（提供承诺函）。</w:t>
      </w:r>
    </w:p>
    <w:p w14:paraId="6453C218">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 xml:space="preserve">8、供应商若为生产企业须具有有效的《食品生产许可证》，供应商若为代理商或经销商须具有有效的《食品经营许可证》或食品经营备案证明，生产(经营)项目需包含“特殊医学用途配方食品”。                                      </w:t>
      </w:r>
    </w:p>
    <w:p w14:paraId="447D4AAB">
      <w:pPr>
        <w:keepNext w:val="0"/>
        <w:keepLines w:val="0"/>
        <w:pageBreakBefore w:val="0"/>
        <w:widowControl/>
        <w:tabs>
          <w:tab w:val="left" w:pos="840"/>
        </w:tabs>
        <w:kinsoku/>
        <w:overflowPunct/>
        <w:topLinePunct w:val="0"/>
        <w:autoSpaceDE/>
        <w:autoSpaceDN/>
        <w:bidi w:val="0"/>
        <w:snapToGrid w:val="0"/>
        <w:spacing w:line="410" w:lineRule="exact"/>
        <w:ind w:firstLine="480" w:firstLineChars="200"/>
        <w:jc w:val="left"/>
        <w:textAlignment w:val="auto"/>
        <w:rPr>
          <w:rFonts w:hint="default"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9、所投产品须具有有效的《特殊医学用途配方食品注册证书》。</w:t>
      </w:r>
    </w:p>
    <w:p w14:paraId="591C7CB9">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outlineLvl w:val="1"/>
        <w:rPr>
          <w:rFonts w:hint="eastAsia"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10</w:t>
      </w:r>
      <w:r>
        <w:rPr>
          <w:rFonts w:hint="eastAsia" w:ascii="宋体" w:hAnsi="宋体" w:eastAsia="宋体" w:cs="宋体"/>
          <w:b w:val="0"/>
          <w:bCs w:val="0"/>
          <w:color w:val="auto"/>
          <w:sz w:val="24"/>
          <w:highlight w:val="none"/>
          <w:lang w:val="en-US" w:eastAsia="zh-CN"/>
        </w:rPr>
        <w:t>、不接受联合体磋商。</w:t>
      </w:r>
    </w:p>
    <w:p w14:paraId="274BFCF1">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三、获取采购文件</w:t>
      </w:r>
      <w:bookmarkEnd w:id="10"/>
      <w:bookmarkEnd w:id="11"/>
      <w:bookmarkEnd w:id="12"/>
      <w:bookmarkEnd w:id="13"/>
      <w:bookmarkEnd w:id="14"/>
    </w:p>
    <w:p w14:paraId="5ABB2D99">
      <w:pPr>
        <w:keepNext w:val="0"/>
        <w:keepLines w:val="0"/>
        <w:pageBreakBefore w:val="0"/>
        <w:widowControl/>
        <w:kinsoku/>
        <w:overflowPunct/>
        <w:topLinePunct w:val="0"/>
        <w:autoSpaceDE/>
        <w:autoSpaceDN/>
        <w:bidi w:val="0"/>
        <w:adjustRightInd w:val="0"/>
        <w:snapToGrid w:val="0"/>
        <w:spacing w:line="410" w:lineRule="exact"/>
        <w:ind w:firstLine="480" w:firstLineChars="200"/>
        <w:jc w:val="left"/>
        <w:textAlignment w:val="auto"/>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1. 报名时间：</w:t>
      </w:r>
      <w:r>
        <w:rPr>
          <w:rFonts w:hint="eastAsia" w:ascii="宋体" w:hAnsi="宋体" w:eastAsia="宋体" w:cs="宋体"/>
          <w:color w:val="auto"/>
          <w:sz w:val="24"/>
          <w:highlight w:val="none"/>
          <w:shd w:val="clear" w:color="auto" w:fill="FFFFFF"/>
        </w:rPr>
        <w:t>202</w:t>
      </w:r>
      <w:r>
        <w:rPr>
          <w:rFonts w:hint="eastAsia" w:ascii="宋体" w:hAnsi="宋体" w:eastAsia="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21</w:t>
      </w:r>
      <w:r>
        <w:rPr>
          <w:rFonts w:hint="eastAsia" w:ascii="宋体" w:hAnsi="宋体" w:eastAsia="宋体" w:cs="宋体"/>
          <w:color w:val="auto"/>
          <w:sz w:val="24"/>
          <w:highlight w:val="none"/>
          <w:shd w:val="clear" w:color="auto" w:fill="FFFFFF"/>
        </w:rPr>
        <w:t>日-202</w:t>
      </w:r>
      <w:r>
        <w:rPr>
          <w:rFonts w:hint="eastAsia" w:ascii="宋体" w:hAnsi="宋体" w:eastAsia="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10</w:t>
      </w:r>
      <w:r>
        <w:rPr>
          <w:rFonts w:hint="eastAsia" w:ascii="宋体" w:hAnsi="宋体" w:eastAsia="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23</w:t>
      </w:r>
      <w:r>
        <w:rPr>
          <w:rFonts w:hint="eastAsia" w:ascii="宋体" w:hAnsi="宋体" w:eastAsia="宋体" w:cs="宋体"/>
          <w:color w:val="auto"/>
          <w:sz w:val="24"/>
          <w:highlight w:val="none"/>
          <w:shd w:val="clear" w:color="auto" w:fill="FFFFFF"/>
        </w:rPr>
        <w:t>日</w:t>
      </w:r>
      <w:r>
        <w:rPr>
          <w:rFonts w:hint="eastAsia" w:ascii="宋体" w:hAnsi="宋体" w:eastAsia="宋体" w:cs="宋体"/>
          <w:color w:val="auto"/>
          <w:sz w:val="24"/>
          <w:highlight w:val="none"/>
          <w:shd w:val="clear" w:color="auto" w:fill="FFFFFF"/>
        </w:rPr>
        <w:t>，上午08：00-下午17:30（北京时间，法定节假日除外）。</w:t>
      </w:r>
    </w:p>
    <w:p w14:paraId="42C2BE5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 xml:space="preserve">2. 凡报名成功的供应商无故不来参与投标的，列入我院黑名单，一年内不得参与我院任何采购活动。 </w:t>
      </w:r>
      <w:bookmarkStart w:id="79" w:name="_GoBack"/>
      <w:bookmarkEnd w:id="79"/>
    </w:p>
    <w:p w14:paraId="3C9C6641">
      <w:pPr>
        <w:keepNext w:val="0"/>
        <w:keepLines w:val="0"/>
        <w:pageBreakBefore w:val="0"/>
        <w:widowControl/>
        <w:kinsoku/>
        <w:wordWrap w:val="0"/>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u w:val="single"/>
          <w:shd w:val="clear" w:color="auto" w:fill="FFFFFF"/>
        </w:rPr>
      </w:pPr>
      <w:r>
        <w:rPr>
          <w:rFonts w:hint="eastAsia" w:ascii="宋体" w:hAnsi="宋体" w:eastAsia="宋体" w:cs="宋体"/>
          <w:color w:val="auto"/>
          <w:kern w:val="0"/>
          <w:sz w:val="24"/>
          <w:highlight w:val="none"/>
          <w:shd w:val="clear" w:color="auto" w:fill="FFFFFF"/>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4"/>
          <w:highlight w:val="none"/>
          <w:shd w:val="clear" w:color="auto" w:fill="FFFFFF"/>
        </w:rPr>
        <w:fldChar w:fldCharType="begin"/>
      </w:r>
      <w:r>
        <w:rPr>
          <w:rFonts w:hint="eastAsia" w:ascii="宋体" w:hAnsi="宋体" w:eastAsia="宋体" w:cs="宋体"/>
          <w:color w:val="auto"/>
          <w:kern w:val="0"/>
          <w:sz w:val="24"/>
          <w:highlight w:val="none"/>
          <w:shd w:val="clear" w:color="auto" w:fill="FFFFFF"/>
        </w:rPr>
        <w:instrText xml:space="preserve"> HYPERLINK "mailto:hnwxzb2@163.com并标明XX" </w:instrText>
      </w:r>
      <w:r>
        <w:rPr>
          <w:rFonts w:hint="eastAsia" w:ascii="宋体" w:hAnsi="宋体" w:eastAsia="宋体" w:cs="宋体"/>
          <w:color w:val="auto"/>
          <w:kern w:val="0"/>
          <w:sz w:val="24"/>
          <w:highlight w:val="none"/>
          <w:shd w:val="clear" w:color="auto" w:fill="FFFFFF"/>
        </w:rPr>
        <w:fldChar w:fldCharType="separate"/>
      </w:r>
      <w:r>
        <w:rPr>
          <w:rFonts w:hint="eastAsia" w:ascii="宋体" w:hAnsi="宋体" w:eastAsia="宋体" w:cs="宋体"/>
          <w:color w:val="auto"/>
          <w:kern w:val="0"/>
          <w:sz w:val="24"/>
          <w:highlight w:val="none"/>
          <w:shd w:val="clear" w:color="auto" w:fill="FFFFFF"/>
          <w:lang w:val="en-US" w:eastAsia="zh-CN"/>
        </w:rPr>
        <w:t>296211948@qq.com</w:t>
      </w:r>
      <w:r>
        <w:rPr>
          <w:rFonts w:hint="eastAsia" w:ascii="宋体" w:hAnsi="宋体" w:eastAsia="宋体" w:cs="宋体"/>
          <w:color w:val="auto"/>
          <w:kern w:val="0"/>
          <w:sz w:val="24"/>
          <w:highlight w:val="none"/>
          <w:shd w:val="clear" w:color="auto" w:fill="FFFFFF"/>
        </w:rPr>
        <w:t>,并标明XX公司XX</w:t>
      </w:r>
      <w:r>
        <w:rPr>
          <w:rFonts w:hint="eastAsia" w:ascii="宋体" w:hAnsi="宋体" w:eastAsia="宋体" w:cs="宋体"/>
          <w:color w:val="auto"/>
          <w:kern w:val="0"/>
          <w:sz w:val="24"/>
          <w:highlight w:val="none"/>
          <w:shd w:val="clear" w:color="auto" w:fill="FFFFFF"/>
        </w:rPr>
        <w:fldChar w:fldCharType="end"/>
      </w:r>
      <w:r>
        <w:rPr>
          <w:rFonts w:hint="eastAsia" w:ascii="宋体" w:hAnsi="宋体" w:eastAsia="宋体" w:cs="宋体"/>
          <w:color w:val="auto"/>
          <w:kern w:val="0"/>
          <w:sz w:val="24"/>
          <w:highlight w:val="none"/>
          <w:shd w:val="clear" w:color="auto" w:fill="FFFFFF"/>
        </w:rPr>
        <w:t>项目报名资料。</w:t>
      </w:r>
    </w:p>
    <w:p w14:paraId="71FF4945">
      <w:pPr>
        <w:keepNext w:val="0"/>
        <w:keepLines w:val="0"/>
        <w:pageBreakBefore w:val="0"/>
        <w:widowControl/>
        <w:kinsoku/>
        <w:wordWrap w:val="0"/>
        <w:overflowPunct/>
        <w:topLinePunct w:val="0"/>
        <w:autoSpaceDE/>
        <w:autoSpaceDN/>
        <w:bidi w:val="0"/>
        <w:snapToGrid w:val="0"/>
        <w:spacing w:line="410" w:lineRule="exact"/>
        <w:ind w:left="420" w:left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4. 报名登记表：请从附件中下载。</w:t>
      </w:r>
    </w:p>
    <w:p w14:paraId="62E8E932">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15" w:name="_Toc27480"/>
      <w:bookmarkStart w:id="16" w:name="_Toc15111"/>
      <w:bookmarkStart w:id="17" w:name="_Toc10738"/>
      <w:bookmarkStart w:id="18" w:name="_Toc15135"/>
      <w:bookmarkStart w:id="19" w:name="_Toc25869"/>
      <w:r>
        <w:rPr>
          <w:rFonts w:hint="eastAsia" w:ascii="宋体" w:hAnsi="宋体" w:eastAsia="宋体" w:cs="宋体"/>
          <w:b/>
          <w:bCs/>
          <w:color w:val="auto"/>
          <w:sz w:val="24"/>
          <w:highlight w:val="none"/>
          <w:shd w:val="clear" w:color="auto" w:fill="FFFFFF"/>
        </w:rPr>
        <w:t>四、磋商截止时间及地点</w:t>
      </w:r>
      <w:bookmarkEnd w:id="15"/>
      <w:bookmarkEnd w:id="16"/>
      <w:bookmarkEnd w:id="17"/>
      <w:bookmarkEnd w:id="18"/>
      <w:bookmarkEnd w:id="19"/>
    </w:p>
    <w:p w14:paraId="649CF934">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1. 时间：</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331D7C44">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2. 地点：</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47DDEAD4">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shd w:val="clear" w:color="auto" w:fill="FFFFFF"/>
        </w:rPr>
        <w:t>五、磋商时间及地点</w:t>
      </w:r>
    </w:p>
    <w:p w14:paraId="4E9D3C0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shd w:val="clear" w:color="auto" w:fill="FFFFFF"/>
        </w:rPr>
        <w:t>1. 时间：</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14DE729E">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2. 地点：</w:t>
      </w:r>
      <w:r>
        <w:rPr>
          <w:rFonts w:hint="eastAsia" w:ascii="宋体" w:hAnsi="宋体" w:eastAsia="宋体" w:cs="宋体"/>
          <w:color w:val="auto"/>
          <w:sz w:val="24"/>
          <w:highlight w:val="none"/>
        </w:rPr>
        <w:t>另行通知</w:t>
      </w:r>
      <w:r>
        <w:rPr>
          <w:rFonts w:hint="eastAsia" w:ascii="宋体" w:hAnsi="宋体" w:eastAsia="宋体" w:cs="宋体"/>
          <w:color w:val="auto"/>
          <w:kern w:val="0"/>
          <w:sz w:val="24"/>
          <w:highlight w:val="none"/>
          <w:shd w:val="clear" w:color="auto" w:fill="FFFFFF"/>
        </w:rPr>
        <w:t>。</w:t>
      </w:r>
    </w:p>
    <w:p w14:paraId="119A2593">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20" w:name="_Toc6523"/>
      <w:bookmarkStart w:id="21" w:name="_Toc30918"/>
      <w:bookmarkStart w:id="22" w:name="_Toc29784"/>
      <w:bookmarkStart w:id="23" w:name="_Toc20287"/>
      <w:r>
        <w:rPr>
          <w:rFonts w:hint="eastAsia" w:ascii="宋体" w:hAnsi="宋体" w:eastAsia="宋体" w:cs="宋体"/>
          <w:b/>
          <w:bCs/>
          <w:color w:val="auto"/>
          <w:sz w:val="24"/>
          <w:highlight w:val="none"/>
          <w:shd w:val="clear" w:color="auto" w:fill="FFFFFF"/>
        </w:rPr>
        <w:t>六、发布公告的媒介及</w:t>
      </w:r>
      <w:r>
        <w:rPr>
          <w:rFonts w:hint="eastAsia" w:ascii="宋体" w:hAnsi="宋体" w:eastAsia="宋体" w:cs="宋体"/>
          <w:b/>
          <w:bCs/>
          <w:color w:val="auto"/>
          <w:sz w:val="24"/>
          <w:highlight w:val="none"/>
        </w:rPr>
        <w:t>采购</w:t>
      </w:r>
      <w:r>
        <w:rPr>
          <w:rFonts w:hint="eastAsia" w:ascii="宋体" w:hAnsi="宋体" w:eastAsia="宋体" w:cs="宋体"/>
          <w:b/>
          <w:bCs/>
          <w:color w:val="auto"/>
          <w:sz w:val="24"/>
          <w:highlight w:val="none"/>
          <w:shd w:val="clear" w:color="auto" w:fill="FFFFFF"/>
        </w:rPr>
        <w:t>公告期限</w:t>
      </w:r>
      <w:bookmarkEnd w:id="20"/>
      <w:bookmarkEnd w:id="21"/>
      <w:bookmarkEnd w:id="22"/>
      <w:bookmarkEnd w:id="23"/>
    </w:p>
    <w:p w14:paraId="750C8782">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本次</w:t>
      </w:r>
      <w:r>
        <w:rPr>
          <w:rFonts w:hint="eastAsia" w:ascii="宋体" w:hAnsi="宋体" w:eastAsia="宋体" w:cs="宋体"/>
          <w:color w:val="auto"/>
          <w:sz w:val="24"/>
          <w:highlight w:val="none"/>
        </w:rPr>
        <w:t>采购</w:t>
      </w:r>
      <w:r>
        <w:rPr>
          <w:rFonts w:hint="eastAsia" w:ascii="宋体" w:hAnsi="宋体" w:eastAsia="宋体" w:cs="宋体"/>
          <w:color w:val="auto"/>
          <w:kern w:val="0"/>
          <w:sz w:val="24"/>
          <w:highlight w:val="none"/>
          <w:shd w:val="clear" w:color="auto" w:fill="FFFFFF"/>
        </w:rPr>
        <w:t>公告在《驻马店市中心医院》院内网</w:t>
      </w:r>
      <w:r>
        <w:rPr>
          <w:rFonts w:hint="eastAsia" w:ascii="宋体" w:hAnsi="宋体" w:eastAsia="宋体" w:cs="宋体"/>
          <w:color w:val="auto"/>
          <w:sz w:val="24"/>
          <w:highlight w:val="none"/>
        </w:rPr>
        <w:t>上发布，采购公告期限为三个工作日</w:t>
      </w:r>
      <w:r>
        <w:rPr>
          <w:rFonts w:hint="eastAsia" w:ascii="宋体" w:hAnsi="宋体" w:eastAsia="宋体" w:cs="宋体"/>
          <w:color w:val="auto"/>
          <w:kern w:val="0"/>
          <w:sz w:val="24"/>
          <w:highlight w:val="none"/>
          <w:shd w:val="clear" w:color="auto" w:fill="FFFFFF"/>
        </w:rPr>
        <w:t>。</w:t>
      </w:r>
      <w:bookmarkStart w:id="24" w:name="_Toc35393795"/>
      <w:bookmarkStart w:id="25" w:name="_Toc35393626"/>
    </w:p>
    <w:bookmarkEnd w:id="24"/>
    <w:bookmarkEnd w:id="25"/>
    <w:p w14:paraId="0AAE6ECE">
      <w:pPr>
        <w:keepNext w:val="0"/>
        <w:keepLines w:val="0"/>
        <w:pageBreakBefore w:val="0"/>
        <w:widowControl/>
        <w:kinsoku/>
        <w:overflowPunct/>
        <w:topLinePunct w:val="0"/>
        <w:autoSpaceDE/>
        <w:autoSpaceDN/>
        <w:bidi w:val="0"/>
        <w:snapToGrid w:val="0"/>
        <w:spacing w:line="410" w:lineRule="exact"/>
        <w:jc w:val="left"/>
        <w:textAlignment w:val="auto"/>
        <w:outlineLvl w:val="1"/>
        <w:rPr>
          <w:rFonts w:hint="eastAsia" w:ascii="宋体" w:hAnsi="宋体" w:eastAsia="宋体" w:cs="宋体"/>
          <w:b/>
          <w:bCs/>
          <w:color w:val="auto"/>
          <w:sz w:val="24"/>
          <w:highlight w:val="none"/>
        </w:rPr>
      </w:pPr>
      <w:bookmarkStart w:id="26" w:name="_Toc24274"/>
      <w:bookmarkStart w:id="27" w:name="_Toc16291"/>
      <w:bookmarkStart w:id="28" w:name="_Toc31928"/>
      <w:bookmarkStart w:id="29" w:name="_Toc3604"/>
      <w:bookmarkStart w:id="30" w:name="_Toc27370"/>
      <w:r>
        <w:rPr>
          <w:rFonts w:hint="eastAsia" w:ascii="宋体" w:hAnsi="宋体" w:eastAsia="宋体" w:cs="宋体"/>
          <w:b/>
          <w:bCs/>
          <w:color w:val="auto"/>
          <w:sz w:val="24"/>
          <w:highlight w:val="none"/>
          <w:shd w:val="clear" w:color="auto" w:fill="FFFFFF"/>
        </w:rPr>
        <w:t>七、</w:t>
      </w:r>
      <w:bookmarkEnd w:id="26"/>
      <w:bookmarkEnd w:id="27"/>
      <w:bookmarkEnd w:id="28"/>
      <w:bookmarkEnd w:id="29"/>
      <w:bookmarkEnd w:id="30"/>
      <w:r>
        <w:rPr>
          <w:rFonts w:hint="eastAsia" w:ascii="宋体" w:hAnsi="宋体" w:eastAsia="宋体" w:cs="宋体"/>
          <w:b/>
          <w:bCs/>
          <w:color w:val="auto"/>
          <w:sz w:val="24"/>
          <w:highlight w:val="none"/>
          <w:shd w:val="clear" w:color="auto" w:fill="FFFFFF"/>
        </w:rPr>
        <w:t>凡对本次招标提出询问，请按照以下方式联系</w:t>
      </w:r>
    </w:p>
    <w:p w14:paraId="15610431">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1.采购人：驻马店市中心医院</w:t>
      </w:r>
    </w:p>
    <w:p w14:paraId="7DC9EF6C">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地址：驻马店市中华大道747号</w:t>
      </w:r>
    </w:p>
    <w:p w14:paraId="6A80E6C3">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联系人：陈先生</w:t>
      </w:r>
    </w:p>
    <w:p w14:paraId="21941866">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电话：0396-2726379</w:t>
      </w:r>
    </w:p>
    <w:p w14:paraId="27A0CA91">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2.采购代理机构：驻马店市晨崴采购代理有限公司</w:t>
      </w:r>
    </w:p>
    <w:p w14:paraId="5BC5E6F3">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 xml:space="preserve">地址：驻马店市解放路西段天腾盛世20号楼1单元3层 </w:t>
      </w:r>
    </w:p>
    <w:p w14:paraId="7A045740">
      <w:pPr>
        <w:keepNext w:val="0"/>
        <w:keepLines w:val="0"/>
        <w:pageBreakBefore w:val="0"/>
        <w:widowControl/>
        <w:kinsoku/>
        <w:overflowPunct/>
        <w:topLinePunct w:val="0"/>
        <w:autoSpaceDE/>
        <w:autoSpaceDN/>
        <w:bidi w:val="0"/>
        <w:snapToGrid w:val="0"/>
        <w:spacing w:before="0" w:beforeAutospacing="0" w:after="0" w:afterAutospacing="0" w:line="410" w:lineRule="exact"/>
        <w:ind w:firstLine="480" w:firstLineChars="200"/>
        <w:jc w:val="left"/>
        <w:textAlignment w:val="auto"/>
        <w:rPr>
          <w:rFonts w:hint="eastAsia" w:ascii="宋体" w:hAnsi="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 xml:space="preserve">联系人：胡女士 </w:t>
      </w:r>
    </w:p>
    <w:p w14:paraId="6A4C3070">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lang w:val="en-US" w:eastAsia="zh-CN"/>
        </w:rPr>
      </w:pPr>
      <w:r>
        <w:rPr>
          <w:rFonts w:hint="eastAsia" w:ascii="宋体" w:hAnsi="宋体" w:cs="宋体"/>
          <w:color w:val="auto"/>
          <w:kern w:val="0"/>
          <w:sz w:val="24"/>
          <w:szCs w:val="24"/>
          <w:highlight w:val="none"/>
          <w:shd w:val="clear" w:color="auto" w:fill="FFFFFF"/>
          <w:lang w:val="en-US" w:eastAsia="zh-CN" w:bidi="ar-SA"/>
        </w:rPr>
        <w:t>联系方式：0396-2288885</w:t>
      </w:r>
    </w:p>
    <w:p w14:paraId="308C106F">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3.监督部门：驻马店市中心医院纪检监察室</w:t>
      </w:r>
    </w:p>
    <w:p w14:paraId="6BCD45DF">
      <w:pPr>
        <w:keepNext w:val="0"/>
        <w:keepLines w:val="0"/>
        <w:pageBreakBefore w:val="0"/>
        <w:widowControl/>
        <w:kinsoku/>
        <w:overflowPunct/>
        <w:topLinePunct w:val="0"/>
        <w:autoSpaceDE/>
        <w:autoSpaceDN/>
        <w:bidi w:val="0"/>
        <w:snapToGrid w:val="0"/>
        <w:spacing w:line="410" w:lineRule="exact"/>
        <w:ind w:firstLine="480" w:firstLineChars="200"/>
        <w:jc w:val="left"/>
        <w:textAlignment w:val="auto"/>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监督电话：0396-2726678</w:t>
      </w:r>
    </w:p>
    <w:p w14:paraId="61A05A72">
      <w:pPr>
        <w:widowControl/>
        <w:snapToGrid w:val="0"/>
        <w:spacing w:line="360" w:lineRule="auto"/>
        <w:ind w:firstLine="480" w:firstLineChars="200"/>
        <w:jc w:val="right"/>
        <w:rPr>
          <w:rFonts w:hint="eastAsia" w:ascii="宋体" w:hAnsi="宋体" w:eastAsia="宋体" w:cs="宋体"/>
          <w:color w:val="auto"/>
          <w:kern w:val="0"/>
          <w:sz w:val="24"/>
          <w:highlight w:val="none"/>
          <w:shd w:val="clear" w:color="auto" w:fill="FFFFFF"/>
        </w:rPr>
      </w:pPr>
    </w:p>
    <w:p w14:paraId="7CC15E9C">
      <w:pPr>
        <w:widowControl/>
        <w:snapToGrid w:val="0"/>
        <w:spacing w:line="360" w:lineRule="auto"/>
        <w:ind w:firstLine="480" w:firstLineChars="200"/>
        <w:jc w:val="right"/>
        <w:rPr>
          <w:rFonts w:hint="eastAsia" w:ascii="宋体" w:hAnsi="宋体" w:eastAsia="宋体" w:cs="宋体"/>
          <w:color w:val="auto"/>
          <w:kern w:val="0"/>
          <w:sz w:val="24"/>
          <w:highlight w:val="none"/>
          <w:shd w:val="clear" w:color="auto" w:fill="FFFFFF"/>
        </w:rPr>
      </w:pPr>
      <w:r>
        <w:rPr>
          <w:rFonts w:hint="eastAsia" w:ascii="宋体" w:hAnsi="宋体" w:eastAsia="宋体" w:cs="宋体"/>
          <w:color w:val="auto"/>
          <w:kern w:val="0"/>
          <w:sz w:val="24"/>
          <w:highlight w:val="none"/>
          <w:shd w:val="clear" w:color="auto" w:fill="FFFFFF"/>
        </w:rPr>
        <w:t>驻马店市中心医院采购科</w:t>
      </w:r>
    </w:p>
    <w:p w14:paraId="7AF953BD">
      <w:pPr>
        <w:pStyle w:val="28"/>
        <w:widowControl/>
        <w:snapToGrid w:val="0"/>
        <w:spacing w:before="0" w:beforeAutospacing="0" w:after="0" w:afterAutospacing="0" w:line="360" w:lineRule="auto"/>
        <w:ind w:firstLine="480" w:firstLineChars="200"/>
        <w:jc w:val="center"/>
        <w:rPr>
          <w:rFonts w:hint="eastAsia" w:ascii="宋体" w:hAnsi="宋体" w:eastAsia="宋体" w:cs="宋体"/>
          <w:color w:val="auto"/>
          <w:highlight w:val="none"/>
          <w:shd w:val="clear" w:color="auto" w:fill="FFFFFF"/>
        </w:rPr>
      </w:pPr>
      <w:r>
        <w:rPr>
          <w:rFonts w:hint="eastAsia" w:ascii="宋体" w:hAnsi="宋体" w:eastAsia="宋体" w:cs="宋体"/>
          <w:color w:val="auto"/>
          <w:highlight w:val="none"/>
          <w:shd w:val="clear" w:color="auto" w:fill="FFFFFF"/>
        </w:rPr>
        <w:t xml:space="preserve">                                                    </w:t>
      </w:r>
      <w:r>
        <w:rPr>
          <w:rFonts w:hint="eastAsia" w:ascii="宋体" w:hAnsi="宋体" w:eastAsia="宋体" w:cs="宋体"/>
          <w:color w:val="auto"/>
          <w:highlight w:val="none"/>
          <w:shd w:val="clear" w:color="auto" w:fill="FFFFFF"/>
        </w:rPr>
        <w:t xml:space="preserve">  20</w:t>
      </w:r>
      <w:r>
        <w:rPr>
          <w:rFonts w:hint="eastAsia" w:ascii="宋体" w:hAnsi="宋体" w:eastAsia="宋体" w:cs="宋体"/>
          <w:color w:val="auto"/>
          <w:highlight w:val="none"/>
          <w:shd w:val="clear" w:color="auto" w:fill="FFFFFF"/>
          <w:lang w:val="en-US" w:eastAsia="zh-CN"/>
        </w:rPr>
        <w:t>26</w:t>
      </w:r>
      <w:r>
        <w:rPr>
          <w:rFonts w:hint="eastAsia" w:ascii="宋体" w:hAnsi="宋体" w:eastAsia="宋体" w:cs="宋体"/>
          <w:color w:val="auto"/>
          <w:highlight w:val="none"/>
          <w:shd w:val="clear" w:color="auto" w:fill="FFFFFF"/>
        </w:rPr>
        <w:t>年</w:t>
      </w:r>
      <w:r>
        <w:rPr>
          <w:rFonts w:hint="eastAsia" w:ascii="宋体" w:hAnsi="宋体" w:cs="宋体"/>
          <w:color w:val="auto"/>
          <w:highlight w:val="none"/>
          <w:shd w:val="clear" w:color="auto" w:fill="FFFFFF"/>
          <w:lang w:val="en-US" w:eastAsia="zh-CN"/>
        </w:rPr>
        <w:t>10</w:t>
      </w:r>
      <w:r>
        <w:rPr>
          <w:rFonts w:hint="eastAsia" w:ascii="宋体" w:hAnsi="宋体" w:eastAsia="宋体" w:cs="宋体"/>
          <w:color w:val="auto"/>
          <w:highlight w:val="none"/>
          <w:shd w:val="clear" w:color="auto" w:fill="FFFFFF"/>
        </w:rPr>
        <w:t>月</w:t>
      </w:r>
      <w:r>
        <w:rPr>
          <w:rFonts w:hint="eastAsia" w:ascii="宋体" w:hAnsi="宋体" w:cs="宋体"/>
          <w:color w:val="auto"/>
          <w:highlight w:val="none"/>
          <w:shd w:val="clear" w:color="auto" w:fill="FFFFFF"/>
          <w:lang w:val="en-US" w:eastAsia="zh-CN"/>
        </w:rPr>
        <w:t>20</w:t>
      </w:r>
      <w:r>
        <w:rPr>
          <w:rFonts w:hint="eastAsia" w:ascii="宋体" w:hAnsi="宋体" w:eastAsia="宋体" w:cs="宋体"/>
          <w:color w:val="auto"/>
          <w:highlight w:val="none"/>
          <w:shd w:val="clear" w:color="auto" w:fill="FFFFFF"/>
        </w:rPr>
        <w:t>日</w:t>
      </w:r>
    </w:p>
    <w:p w14:paraId="32464726">
      <w:pPr>
        <w:jc w:val="center"/>
        <w:rPr>
          <w:rFonts w:hint="eastAsia" w:ascii="宋体" w:hAnsi="宋体" w:eastAsia="宋体" w:cs="宋体"/>
          <w:b/>
          <w:color w:val="auto"/>
          <w:sz w:val="32"/>
          <w:szCs w:val="32"/>
          <w:highlight w:val="none"/>
        </w:rPr>
      </w:pPr>
      <w:bookmarkStart w:id="31"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31"/>
      <w:bookmarkStart w:id="32" w:name="_Toc23610"/>
      <w:bookmarkStart w:id="33" w:name="_Toc31536"/>
      <w:bookmarkStart w:id="34" w:name="_Toc9989"/>
    </w:p>
    <w:bookmarkEnd w:id="3"/>
    <w:bookmarkEnd w:id="4"/>
    <w:bookmarkEnd w:id="32"/>
    <w:bookmarkEnd w:id="33"/>
    <w:bookmarkEnd w:id="34"/>
    <w:p w14:paraId="0B2763BF">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eastAsia="宋体" w:cs="宋体"/>
          <w:b/>
          <w:bCs/>
          <w:color w:val="auto"/>
          <w:kern w:val="2"/>
          <w:sz w:val="24"/>
          <w:szCs w:val="24"/>
          <w:highlight w:val="none"/>
          <w:lang w:val="en-US" w:eastAsia="zh-CN" w:bidi="ar-SA"/>
        </w:rPr>
      </w:pPr>
      <w:r>
        <w:rPr>
          <w:rFonts w:hint="eastAsia" w:ascii="宋体" w:hAnsi="宋体" w:cs="宋体"/>
          <w:b/>
          <w:bCs/>
          <w:i w:val="0"/>
          <w:iCs/>
          <w:color w:val="auto"/>
          <w:sz w:val="24"/>
          <w:szCs w:val="24"/>
          <w:highlight w:val="none"/>
          <w:u w:val="none"/>
          <w:lang w:val="en-US" w:eastAsia="zh-CN"/>
        </w:rPr>
        <w:t>一、</w:t>
      </w:r>
      <w:r>
        <w:rPr>
          <w:rFonts w:hint="eastAsia" w:ascii="宋体" w:hAnsi="宋体" w:eastAsia="宋体" w:cs="宋体"/>
          <w:b/>
          <w:bCs/>
          <w:i w:val="0"/>
          <w:iCs/>
          <w:color w:val="auto"/>
          <w:sz w:val="24"/>
          <w:szCs w:val="24"/>
          <w:highlight w:val="none"/>
          <w:u w:val="none"/>
          <w:lang w:val="en-US" w:eastAsia="zh-CN"/>
        </w:rPr>
        <w:t>项目名称：</w:t>
      </w:r>
      <w:r>
        <w:rPr>
          <w:rFonts w:hint="eastAsia" w:ascii="宋体" w:hAnsi="宋体" w:cs="宋体"/>
          <w:color w:val="auto"/>
          <w:sz w:val="24"/>
          <w:szCs w:val="24"/>
          <w:highlight w:val="none"/>
          <w:shd w:val="clear" w:color="auto" w:fill="FFFFFF"/>
          <w:lang w:val="en-US" w:eastAsia="zh-CN"/>
        </w:rPr>
        <w:t>驻马店市中心医院妇儿院区特殊医学用途儿童配方乳粉采购项目</w:t>
      </w:r>
    </w:p>
    <w:p w14:paraId="5E225C13">
      <w:pPr>
        <w:pStyle w:val="14"/>
        <w:jc w:val="both"/>
        <w:rPr>
          <w:rFonts w:hint="default" w:eastAsia="宋体" w:cs="宋体"/>
          <w:b/>
          <w:bCs/>
          <w:color w:val="auto"/>
          <w:kern w:val="2"/>
          <w:sz w:val="24"/>
          <w:szCs w:val="24"/>
          <w:highlight w:val="none"/>
          <w:lang w:val="en-US" w:eastAsia="zh-CN" w:bidi="ar-SA"/>
        </w:rPr>
      </w:pPr>
      <w:r>
        <w:rPr>
          <w:rFonts w:hint="eastAsia" w:cs="宋体"/>
          <w:b/>
          <w:bCs/>
          <w:color w:val="auto"/>
          <w:kern w:val="2"/>
          <w:sz w:val="24"/>
          <w:szCs w:val="24"/>
          <w:highlight w:val="none"/>
          <w:lang w:val="en-US" w:eastAsia="zh-CN" w:bidi="ar-SA"/>
        </w:rPr>
        <w:t>二</w:t>
      </w:r>
      <w:r>
        <w:rPr>
          <w:rFonts w:hint="eastAsia" w:eastAsia="宋体" w:cs="宋体"/>
          <w:b/>
          <w:bCs/>
          <w:color w:val="auto"/>
          <w:kern w:val="2"/>
          <w:sz w:val="24"/>
          <w:szCs w:val="24"/>
          <w:highlight w:val="none"/>
          <w:lang w:val="en-US" w:eastAsia="zh-CN" w:bidi="ar-SA"/>
        </w:rPr>
        <w:t>、采购清单及技术要求</w:t>
      </w:r>
    </w:p>
    <w:p w14:paraId="6485AABD">
      <w:pPr>
        <w:pStyle w:val="14"/>
        <w:keepNext w:val="0"/>
        <w:keepLines w:val="0"/>
        <w:pageBreakBefore w:val="0"/>
        <w:widowControl w:val="0"/>
        <w:kinsoku/>
        <w:wordWrap/>
        <w:overflowPunct/>
        <w:topLinePunct w:val="0"/>
        <w:autoSpaceDE/>
        <w:autoSpaceDN/>
        <w:bidi w:val="0"/>
        <w:adjustRightInd/>
        <w:snapToGrid w:val="0"/>
        <w:spacing w:line="480" w:lineRule="exact"/>
        <w:ind w:firstLine="481"/>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1.所提供的产品配方及生产标准应符合GB 25596《食品安全国家标准特殊医学用途婴儿配方食品通则》与GB 28050《食品安全国家标准预包装食品营养标签通则》现行标准。</w:t>
      </w:r>
    </w:p>
    <w:p w14:paraId="230BE5BA">
      <w:pPr>
        <w:pStyle w:val="3"/>
        <w:keepNext w:val="0"/>
        <w:keepLines w:val="0"/>
        <w:pageBreakBefore w:val="0"/>
        <w:widowControl w:val="0"/>
        <w:kinsoku/>
        <w:wordWrap/>
        <w:overflowPunct/>
        <w:topLinePunct w:val="0"/>
        <w:autoSpaceDE/>
        <w:autoSpaceDN/>
        <w:bidi w:val="0"/>
        <w:adjustRightInd/>
        <w:spacing w:line="460" w:lineRule="exact"/>
        <w:ind w:right="282"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2.按照国家“三包”有关标准执行。每批货物包装破损、质量问题或产品规格、产地不相符，供应商负责免费退换，并要求一周内处理完成。</w:t>
      </w:r>
    </w:p>
    <w:p w14:paraId="4AFE77B6">
      <w:pPr>
        <w:pStyle w:val="3"/>
        <w:keepNext w:val="0"/>
        <w:keepLines w:val="0"/>
        <w:pageBreakBefore w:val="0"/>
        <w:widowControl w:val="0"/>
        <w:kinsoku/>
        <w:wordWrap/>
        <w:overflowPunct/>
        <w:topLinePunct w:val="0"/>
        <w:autoSpaceDE/>
        <w:autoSpaceDN/>
        <w:bidi w:val="0"/>
        <w:adjustRightInd/>
        <w:spacing w:line="460" w:lineRule="exact"/>
        <w:ind w:right="282"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3.供应商提供的产品需符合国家营养品相关检测标准，每批次产品均需要有符合国家标准要求的检验合格证，以确保患者的安全。如因产品质量问题造成患者不适，发生的一切医疗纠纷由供应商承担相应责任。</w:t>
      </w:r>
    </w:p>
    <w:p w14:paraId="03BD2346">
      <w:pPr>
        <w:pStyle w:val="3"/>
        <w:keepNext w:val="0"/>
        <w:keepLines w:val="0"/>
        <w:pageBreakBefore w:val="0"/>
        <w:widowControl w:val="0"/>
        <w:kinsoku/>
        <w:wordWrap/>
        <w:overflowPunct/>
        <w:topLinePunct w:val="0"/>
        <w:autoSpaceDE/>
        <w:autoSpaceDN/>
        <w:bidi w:val="0"/>
        <w:adjustRightInd/>
        <w:spacing w:line="460" w:lineRule="exact"/>
        <w:ind w:right="282"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highlight w:val="none"/>
          <w:lang w:val="en-US" w:eastAsia="zh-CN" w:bidi="ar-SA"/>
        </w:rPr>
        <w:t>4.采购的产品要求备货充足、及时供应，不</w:t>
      </w:r>
      <w:r>
        <w:rPr>
          <w:rFonts w:hint="eastAsia" w:ascii="宋体" w:hAnsi="宋体" w:eastAsia="宋体" w:cs="宋体"/>
          <w:b w:val="0"/>
          <w:bCs w:val="0"/>
          <w:color w:val="auto"/>
          <w:kern w:val="2"/>
          <w:sz w:val="24"/>
          <w:szCs w:val="24"/>
          <w:lang w:val="en-US" w:eastAsia="zh-CN" w:bidi="ar-SA"/>
        </w:rPr>
        <w:t>得以缺货、价格变动、货款未收到等原因为由中断供货；如中断供货，给采购人造成的经济损失由供应商承担。</w:t>
      </w:r>
    </w:p>
    <w:p w14:paraId="6061EC45">
      <w:pPr>
        <w:pStyle w:val="3"/>
        <w:keepNext w:val="0"/>
        <w:keepLines w:val="0"/>
        <w:pageBreakBefore w:val="0"/>
        <w:widowControl w:val="0"/>
        <w:kinsoku/>
        <w:wordWrap/>
        <w:overflowPunct/>
        <w:topLinePunct w:val="0"/>
        <w:autoSpaceDE/>
        <w:autoSpaceDN/>
        <w:bidi w:val="0"/>
        <w:adjustRightInd/>
        <w:spacing w:line="460" w:lineRule="exact"/>
        <w:ind w:right="282"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5.若因生产线调整等原因，对原包装规格或代生产厂商做出调整的，需提交相关证明材料经采购人审核。在保证产品质量、单价符合原供货要求的前提下，可协商调整相关产品信息。若因产品质量不符合原供货要求导致供货中断，给采购人造成的经济损失由供应商承担。如经证明确实因不可抗力无法按时交货，采购人仍然需要供应商供货的，供应商可以延迟交货，不按违约处理。</w:t>
      </w:r>
    </w:p>
    <w:p w14:paraId="2768F181">
      <w:pPr>
        <w:pStyle w:val="3"/>
        <w:keepNext w:val="0"/>
        <w:keepLines w:val="0"/>
        <w:pageBreakBefore w:val="0"/>
        <w:widowControl w:val="0"/>
        <w:kinsoku/>
        <w:wordWrap/>
        <w:overflowPunct/>
        <w:topLinePunct w:val="0"/>
        <w:autoSpaceDE/>
        <w:autoSpaceDN/>
        <w:bidi w:val="0"/>
        <w:adjustRightInd/>
        <w:spacing w:line="460" w:lineRule="exact"/>
        <w:ind w:right="282" w:firstLine="480" w:firstLineChars="20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6.每次供货时应向采购人提供加盖公章的该批次货物清单（送货单）及质量检测报告。供应商提供的送货单上须包含品名、生产日期、单价、数量、总金额、批号等，送货单不得涂改，标记不清的，采购人有权拒绝签收。</w:t>
      </w:r>
    </w:p>
    <w:p w14:paraId="5AF38999">
      <w:pPr>
        <w:pStyle w:val="14"/>
        <w:keepNext w:val="0"/>
        <w:keepLines w:val="0"/>
        <w:pageBreakBefore w:val="0"/>
        <w:widowControl w:val="0"/>
        <w:kinsoku/>
        <w:wordWrap/>
        <w:overflowPunct/>
        <w:topLinePunct w:val="0"/>
        <w:autoSpaceDE/>
        <w:autoSpaceDN/>
        <w:bidi w:val="0"/>
        <w:adjustRightInd/>
        <w:snapToGrid w:val="0"/>
        <w:spacing w:line="480" w:lineRule="exact"/>
        <w:ind w:firstLine="481"/>
        <w:textAlignment w:val="auto"/>
        <w:rPr>
          <w:rFonts w:hint="eastAsia"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7.</w:t>
      </w:r>
      <w:r>
        <w:rPr>
          <w:rFonts w:hint="eastAsia" w:ascii="宋体" w:hAnsi="宋体" w:eastAsia="宋体" w:cs="宋体"/>
          <w:b w:val="0"/>
          <w:bCs w:val="0"/>
          <w:color w:val="auto"/>
          <w:sz w:val="24"/>
          <w:szCs w:val="24"/>
          <w:lang w:val="en-US" w:eastAsia="zh-CN"/>
        </w:rPr>
        <w:t>技术参数要求：</w:t>
      </w:r>
    </w:p>
    <w:tbl>
      <w:tblPr>
        <w:tblStyle w:val="96"/>
        <w:tblW w:w="96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1620"/>
        <w:gridCol w:w="1185"/>
        <w:gridCol w:w="4920"/>
        <w:gridCol w:w="1245"/>
      </w:tblGrid>
      <w:tr w14:paraId="68B6C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jc w:val="center"/>
        </w:trPr>
        <w:tc>
          <w:tcPr>
            <w:tcW w:w="690" w:type="dxa"/>
            <w:vAlign w:val="center"/>
          </w:tcPr>
          <w:p w14:paraId="6999795B">
            <w:pPr>
              <w:pStyle w:val="97"/>
              <w:spacing w:before="68" w:line="240" w:lineRule="auto"/>
              <w:jc w:val="center"/>
              <w:rPr>
                <w:rFonts w:hint="eastAsia" w:eastAsia="宋体"/>
                <w:color w:val="auto"/>
                <w:sz w:val="21"/>
                <w:szCs w:val="21"/>
                <w:lang w:val="en-US" w:eastAsia="zh-CN"/>
              </w:rPr>
            </w:pPr>
            <w:r>
              <w:rPr>
                <w:rFonts w:hint="eastAsia"/>
                <w:color w:val="auto"/>
                <w:sz w:val="21"/>
                <w:szCs w:val="21"/>
                <w:lang w:val="en-US" w:eastAsia="zh-CN"/>
              </w:rPr>
              <w:t>序号</w:t>
            </w:r>
          </w:p>
        </w:tc>
        <w:tc>
          <w:tcPr>
            <w:tcW w:w="1620" w:type="dxa"/>
            <w:vAlign w:val="center"/>
          </w:tcPr>
          <w:p w14:paraId="6DEF6846">
            <w:pPr>
              <w:pStyle w:val="97"/>
              <w:spacing w:before="68" w:line="240" w:lineRule="auto"/>
              <w:jc w:val="center"/>
              <w:rPr>
                <w:color w:val="auto"/>
                <w:sz w:val="21"/>
                <w:szCs w:val="21"/>
              </w:rPr>
            </w:pPr>
            <w:r>
              <w:rPr>
                <w:color w:val="auto"/>
                <w:spacing w:val="-3"/>
                <w:sz w:val="21"/>
                <w:szCs w:val="21"/>
              </w:rPr>
              <w:t>类别</w:t>
            </w:r>
          </w:p>
        </w:tc>
        <w:tc>
          <w:tcPr>
            <w:tcW w:w="1185" w:type="dxa"/>
            <w:vAlign w:val="center"/>
          </w:tcPr>
          <w:p w14:paraId="37E11765">
            <w:pPr>
              <w:pStyle w:val="97"/>
              <w:spacing w:before="68" w:line="240" w:lineRule="auto"/>
              <w:ind w:left="203"/>
              <w:rPr>
                <w:color w:val="auto"/>
                <w:sz w:val="21"/>
                <w:szCs w:val="21"/>
              </w:rPr>
            </w:pPr>
            <w:r>
              <w:rPr>
                <w:color w:val="auto"/>
                <w:spacing w:val="-2"/>
                <w:sz w:val="21"/>
                <w:szCs w:val="21"/>
              </w:rPr>
              <w:t>规格型号</w:t>
            </w:r>
          </w:p>
        </w:tc>
        <w:tc>
          <w:tcPr>
            <w:tcW w:w="4920" w:type="dxa"/>
            <w:vAlign w:val="center"/>
          </w:tcPr>
          <w:p w14:paraId="1FB20615">
            <w:pPr>
              <w:pStyle w:val="97"/>
              <w:spacing w:before="68" w:line="240" w:lineRule="auto"/>
              <w:ind w:left="1857"/>
              <w:rPr>
                <w:color w:val="auto"/>
                <w:sz w:val="21"/>
                <w:szCs w:val="21"/>
              </w:rPr>
            </w:pPr>
            <w:r>
              <w:rPr>
                <w:color w:val="auto"/>
                <w:spacing w:val="-2"/>
                <w:sz w:val="21"/>
                <w:szCs w:val="21"/>
              </w:rPr>
              <w:t>技术参数（/100g）</w:t>
            </w:r>
          </w:p>
        </w:tc>
        <w:tc>
          <w:tcPr>
            <w:tcW w:w="1245" w:type="dxa"/>
            <w:vAlign w:val="center"/>
          </w:tcPr>
          <w:p w14:paraId="217B0E72">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控制单价</w:t>
            </w:r>
          </w:p>
          <w:p w14:paraId="4D39707A">
            <w:pPr>
              <w:pStyle w:val="97"/>
              <w:spacing w:before="68" w:line="240" w:lineRule="auto"/>
              <w:ind w:left="221"/>
              <w:rPr>
                <w:color w:val="auto"/>
                <w:sz w:val="21"/>
                <w:szCs w:val="21"/>
              </w:rPr>
            </w:pPr>
            <w:r>
              <w:rPr>
                <w:rFonts w:ascii="宋体" w:hAnsi="宋体" w:eastAsia="宋体" w:cs="宋体"/>
                <w:color w:val="auto"/>
                <w:sz w:val="21"/>
                <w:szCs w:val="21"/>
              </w:rPr>
              <w:t>（元/克）</w:t>
            </w:r>
          </w:p>
        </w:tc>
      </w:tr>
      <w:tr w14:paraId="7E144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9" w:hRule="atLeast"/>
          <w:jc w:val="center"/>
        </w:trPr>
        <w:tc>
          <w:tcPr>
            <w:tcW w:w="690" w:type="dxa"/>
            <w:vAlign w:val="center"/>
          </w:tcPr>
          <w:p w14:paraId="1C789B5B">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1</w:t>
            </w:r>
          </w:p>
        </w:tc>
        <w:tc>
          <w:tcPr>
            <w:tcW w:w="1620" w:type="dxa"/>
            <w:vAlign w:val="center"/>
          </w:tcPr>
          <w:p w14:paraId="7BC5668E">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无乳糖或低乳糖配方</w:t>
            </w:r>
          </w:p>
        </w:tc>
        <w:tc>
          <w:tcPr>
            <w:tcW w:w="1185" w:type="dxa"/>
            <w:vAlign w:val="center"/>
          </w:tcPr>
          <w:p w14:paraId="50D44B59">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≥300g/桶</w:t>
            </w:r>
          </w:p>
        </w:tc>
        <w:tc>
          <w:tcPr>
            <w:tcW w:w="4920" w:type="dxa"/>
            <w:vAlign w:val="center"/>
          </w:tcPr>
          <w:p w14:paraId="5AB4A372">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（1）配方中以其他碳水化合物（麦芽糊精、糊化淀粉或葡萄糖聚合物）完全（乳糖含量≤0.5g/100g）或部分( 乳糖含量≤2g/100g）代替乳糖；</w:t>
            </w:r>
          </w:p>
          <w:p w14:paraId="399AAB97">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（2）能量（KJ/100g）2000-2200KJ，蛋白质（g/100g）10-14g，脂肪（g/100g）20-30g，碳水化合物（g/100g）50-60g；</w:t>
            </w:r>
          </w:p>
        </w:tc>
        <w:tc>
          <w:tcPr>
            <w:tcW w:w="1245" w:type="dxa"/>
            <w:shd w:val="clear" w:color="auto" w:fill="auto"/>
            <w:vAlign w:val="center"/>
          </w:tcPr>
          <w:p w14:paraId="6C35CE8A">
            <w:pPr>
              <w:pStyle w:val="97"/>
              <w:spacing w:before="68" w:line="240" w:lineRule="auto"/>
              <w:jc w:val="center"/>
              <w:rPr>
                <w:rFonts w:hint="default" w:ascii="宋体" w:hAnsi="宋体" w:eastAsia="宋体" w:cs="宋体"/>
                <w:color w:val="auto"/>
                <w:spacing w:val="-3"/>
                <w:sz w:val="21"/>
                <w:szCs w:val="21"/>
                <w:highlight w:val="none"/>
                <w:lang w:val="en-US" w:eastAsia="zh-CN"/>
              </w:rPr>
            </w:pPr>
            <w:r>
              <w:rPr>
                <w:rFonts w:hint="eastAsia" w:cs="宋体"/>
                <w:color w:val="auto"/>
                <w:spacing w:val="-3"/>
                <w:sz w:val="21"/>
                <w:szCs w:val="21"/>
                <w:highlight w:val="none"/>
                <w:lang w:val="en-US" w:eastAsia="zh-CN"/>
              </w:rPr>
              <w:t>0.41</w:t>
            </w:r>
          </w:p>
        </w:tc>
      </w:tr>
      <w:tr w14:paraId="5F93A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jc w:val="center"/>
        </w:trPr>
        <w:tc>
          <w:tcPr>
            <w:tcW w:w="690" w:type="dxa"/>
            <w:vAlign w:val="center"/>
          </w:tcPr>
          <w:p w14:paraId="20970D10">
            <w:pPr>
              <w:pStyle w:val="97"/>
              <w:spacing w:before="68" w:line="240" w:lineRule="auto"/>
              <w:jc w:val="center"/>
              <w:rPr>
                <w:rFonts w:ascii="宋体" w:hAnsi="宋体" w:eastAsia="宋体" w:cs="宋体"/>
                <w:color w:val="auto"/>
                <w:spacing w:val="-3"/>
                <w:sz w:val="21"/>
                <w:szCs w:val="21"/>
              </w:rPr>
            </w:pPr>
          </w:p>
          <w:p w14:paraId="3F5D5A88">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2</w:t>
            </w:r>
          </w:p>
        </w:tc>
        <w:tc>
          <w:tcPr>
            <w:tcW w:w="1620" w:type="dxa"/>
            <w:vAlign w:val="center"/>
          </w:tcPr>
          <w:p w14:paraId="33F680BA">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乳蛋白部分水解配方</w:t>
            </w:r>
          </w:p>
        </w:tc>
        <w:tc>
          <w:tcPr>
            <w:tcW w:w="1185" w:type="dxa"/>
            <w:vAlign w:val="center"/>
          </w:tcPr>
          <w:p w14:paraId="1F312CB5">
            <w:pPr>
              <w:spacing w:line="240" w:lineRule="auto"/>
              <w:rPr>
                <w:rFonts w:ascii="Arial"/>
                <w:color w:val="auto"/>
                <w:sz w:val="21"/>
                <w:szCs w:val="21"/>
              </w:rPr>
            </w:pPr>
          </w:p>
          <w:p w14:paraId="244BFFAB">
            <w:pPr>
              <w:pStyle w:val="97"/>
              <w:spacing w:before="68" w:line="240" w:lineRule="auto"/>
              <w:ind w:left="170"/>
              <w:rPr>
                <w:color w:val="auto"/>
                <w:sz w:val="21"/>
                <w:szCs w:val="21"/>
              </w:rPr>
            </w:pPr>
            <w:r>
              <w:rPr>
                <w:color w:val="auto"/>
                <w:spacing w:val="-4"/>
                <w:sz w:val="21"/>
                <w:szCs w:val="21"/>
              </w:rPr>
              <w:t>≥400g/桶</w:t>
            </w:r>
          </w:p>
        </w:tc>
        <w:tc>
          <w:tcPr>
            <w:tcW w:w="4920" w:type="dxa"/>
            <w:vAlign w:val="center"/>
          </w:tcPr>
          <w:p w14:paraId="3973783E">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（1）配方中的蛋白为部分水解乳清蛋白提供；</w:t>
            </w:r>
          </w:p>
          <w:p w14:paraId="15FF86EF">
            <w:pPr>
              <w:pStyle w:val="97"/>
              <w:spacing w:before="68" w:line="240" w:lineRule="auto"/>
              <w:ind w:left="221"/>
              <w:rPr>
                <w:color w:val="auto"/>
                <w:sz w:val="21"/>
                <w:szCs w:val="21"/>
              </w:rPr>
            </w:pPr>
            <w:r>
              <w:rPr>
                <w:rFonts w:ascii="宋体" w:hAnsi="宋体" w:eastAsia="宋体" w:cs="宋体"/>
                <w:color w:val="auto"/>
                <w:sz w:val="21"/>
                <w:szCs w:val="21"/>
              </w:rPr>
              <w:t>（2）能量（KJ/100g）2000-2200KJ，蛋白质（g/100g）9-14g，脂肪（g/100g）20- 30g，碳水化合物（g/100g）50-60g；</w:t>
            </w:r>
          </w:p>
        </w:tc>
        <w:tc>
          <w:tcPr>
            <w:tcW w:w="1245" w:type="dxa"/>
            <w:shd w:val="clear" w:color="auto" w:fill="auto"/>
            <w:vAlign w:val="center"/>
          </w:tcPr>
          <w:p w14:paraId="42E1815A">
            <w:pPr>
              <w:pStyle w:val="97"/>
              <w:spacing w:before="68" w:line="240" w:lineRule="auto"/>
              <w:jc w:val="center"/>
              <w:rPr>
                <w:rFonts w:hint="default" w:ascii="宋体" w:hAnsi="宋体" w:eastAsia="宋体" w:cs="宋体"/>
                <w:color w:val="auto"/>
                <w:spacing w:val="-3"/>
                <w:sz w:val="21"/>
                <w:szCs w:val="21"/>
                <w:highlight w:val="none"/>
                <w:lang w:val="en-US" w:eastAsia="zh-CN"/>
              </w:rPr>
            </w:pPr>
            <w:r>
              <w:rPr>
                <w:rFonts w:hint="eastAsia" w:cs="宋体"/>
                <w:color w:val="auto"/>
                <w:spacing w:val="-3"/>
                <w:sz w:val="21"/>
                <w:szCs w:val="21"/>
                <w:highlight w:val="none"/>
                <w:lang w:val="en-US" w:eastAsia="zh-CN"/>
              </w:rPr>
              <w:t>0.16</w:t>
            </w:r>
          </w:p>
        </w:tc>
      </w:tr>
      <w:tr w14:paraId="5D33B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0" w:hRule="atLeast"/>
          <w:jc w:val="center"/>
        </w:trPr>
        <w:tc>
          <w:tcPr>
            <w:tcW w:w="690" w:type="dxa"/>
            <w:vAlign w:val="center"/>
          </w:tcPr>
          <w:p w14:paraId="6B047EE8">
            <w:pPr>
              <w:pStyle w:val="97"/>
              <w:spacing w:before="68" w:line="240" w:lineRule="auto"/>
              <w:jc w:val="center"/>
              <w:rPr>
                <w:rFonts w:ascii="宋体" w:hAnsi="宋体" w:eastAsia="宋体" w:cs="宋体"/>
                <w:color w:val="auto"/>
                <w:spacing w:val="-3"/>
                <w:sz w:val="21"/>
                <w:szCs w:val="21"/>
              </w:rPr>
            </w:pPr>
          </w:p>
          <w:p w14:paraId="39846E88">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3</w:t>
            </w:r>
          </w:p>
        </w:tc>
        <w:tc>
          <w:tcPr>
            <w:tcW w:w="1620" w:type="dxa"/>
            <w:vAlign w:val="center"/>
          </w:tcPr>
          <w:p w14:paraId="304F6DAF">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乳蛋白深度水解配方或氨基酸配方</w:t>
            </w:r>
          </w:p>
        </w:tc>
        <w:tc>
          <w:tcPr>
            <w:tcW w:w="1185" w:type="dxa"/>
            <w:vAlign w:val="center"/>
          </w:tcPr>
          <w:p w14:paraId="5EC7005F">
            <w:pPr>
              <w:pStyle w:val="97"/>
              <w:spacing w:before="68" w:line="240" w:lineRule="auto"/>
              <w:ind w:left="170"/>
              <w:rPr>
                <w:color w:val="auto"/>
                <w:sz w:val="21"/>
                <w:szCs w:val="21"/>
              </w:rPr>
            </w:pPr>
            <w:r>
              <w:rPr>
                <w:color w:val="auto"/>
                <w:spacing w:val="-4"/>
                <w:sz w:val="21"/>
                <w:szCs w:val="21"/>
              </w:rPr>
              <w:t>≥300g/桶</w:t>
            </w:r>
          </w:p>
        </w:tc>
        <w:tc>
          <w:tcPr>
            <w:tcW w:w="4920" w:type="dxa"/>
            <w:vAlign w:val="center"/>
          </w:tcPr>
          <w:p w14:paraId="361A2F3E">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（1）配方中的蛋白为深度水解乳清蛋白提供；</w:t>
            </w:r>
          </w:p>
          <w:p w14:paraId="7EB4596B">
            <w:pPr>
              <w:pStyle w:val="97"/>
              <w:spacing w:before="68" w:line="240" w:lineRule="auto"/>
              <w:ind w:left="221"/>
              <w:rPr>
                <w:color w:val="auto"/>
                <w:sz w:val="21"/>
                <w:szCs w:val="21"/>
              </w:rPr>
            </w:pPr>
            <w:r>
              <w:rPr>
                <w:rFonts w:ascii="宋体" w:hAnsi="宋体" w:eastAsia="宋体" w:cs="宋体"/>
                <w:color w:val="auto"/>
                <w:sz w:val="21"/>
                <w:szCs w:val="21"/>
              </w:rPr>
              <w:t>（2）能量（KJ/100g）2000-2200KJ，蛋白质（g/100g）10-14g，脂肪（g/100g）20-30g，碳水化合物（g/100g）50-60g；</w:t>
            </w:r>
          </w:p>
        </w:tc>
        <w:tc>
          <w:tcPr>
            <w:tcW w:w="1245" w:type="dxa"/>
            <w:shd w:val="clear" w:color="auto" w:fill="auto"/>
            <w:vAlign w:val="center"/>
          </w:tcPr>
          <w:p w14:paraId="2E269FC2">
            <w:pPr>
              <w:pStyle w:val="97"/>
              <w:spacing w:before="68" w:line="240" w:lineRule="auto"/>
              <w:jc w:val="center"/>
              <w:rPr>
                <w:rFonts w:hint="default" w:ascii="宋体" w:hAnsi="宋体" w:eastAsia="宋体" w:cs="宋体"/>
                <w:color w:val="auto"/>
                <w:spacing w:val="-3"/>
                <w:sz w:val="21"/>
                <w:szCs w:val="21"/>
                <w:highlight w:val="none"/>
                <w:lang w:val="en-US" w:eastAsia="zh-CN"/>
              </w:rPr>
            </w:pPr>
            <w:r>
              <w:rPr>
                <w:rFonts w:hint="eastAsia" w:cs="宋体"/>
                <w:color w:val="auto"/>
                <w:spacing w:val="-3"/>
                <w:sz w:val="21"/>
                <w:szCs w:val="21"/>
                <w:highlight w:val="none"/>
                <w:lang w:val="en-US" w:eastAsia="zh-CN"/>
              </w:rPr>
              <w:t>0.73</w:t>
            </w:r>
          </w:p>
        </w:tc>
      </w:tr>
      <w:tr w14:paraId="13F57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jc w:val="center"/>
        </w:trPr>
        <w:tc>
          <w:tcPr>
            <w:tcW w:w="690" w:type="dxa"/>
            <w:vAlign w:val="center"/>
          </w:tcPr>
          <w:p w14:paraId="3C7D1415">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4</w:t>
            </w:r>
          </w:p>
        </w:tc>
        <w:tc>
          <w:tcPr>
            <w:tcW w:w="1620" w:type="dxa"/>
            <w:vAlign w:val="center"/>
          </w:tcPr>
          <w:p w14:paraId="68DB70E8">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早产/低出生体重婴儿配方</w:t>
            </w:r>
          </w:p>
        </w:tc>
        <w:tc>
          <w:tcPr>
            <w:tcW w:w="1185" w:type="dxa"/>
            <w:vAlign w:val="center"/>
          </w:tcPr>
          <w:p w14:paraId="26C2E2B3">
            <w:pPr>
              <w:pStyle w:val="97"/>
              <w:spacing w:before="68" w:line="240" w:lineRule="auto"/>
              <w:ind w:left="170"/>
              <w:rPr>
                <w:color w:val="auto"/>
                <w:sz w:val="21"/>
                <w:szCs w:val="21"/>
              </w:rPr>
            </w:pPr>
            <w:r>
              <w:rPr>
                <w:color w:val="auto"/>
                <w:spacing w:val="-4"/>
                <w:sz w:val="21"/>
                <w:szCs w:val="21"/>
              </w:rPr>
              <w:t>≥400g/桶</w:t>
            </w:r>
          </w:p>
        </w:tc>
        <w:tc>
          <w:tcPr>
            <w:tcW w:w="4920" w:type="dxa"/>
            <w:vAlign w:val="center"/>
          </w:tcPr>
          <w:p w14:paraId="1F80C742">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（1）碳水化合物应为乳糖或麦芽糊精或葡萄糖聚合物；</w:t>
            </w:r>
          </w:p>
          <w:p w14:paraId="125BEA9C">
            <w:pPr>
              <w:pStyle w:val="97"/>
              <w:spacing w:before="68" w:line="240" w:lineRule="auto"/>
              <w:ind w:left="221"/>
              <w:rPr>
                <w:color w:val="auto"/>
                <w:sz w:val="21"/>
                <w:szCs w:val="21"/>
              </w:rPr>
            </w:pPr>
            <w:r>
              <w:rPr>
                <w:rFonts w:ascii="宋体" w:hAnsi="宋体" w:eastAsia="宋体" w:cs="宋体"/>
                <w:color w:val="auto"/>
                <w:sz w:val="21"/>
                <w:szCs w:val="21"/>
              </w:rPr>
              <w:t>（2）能量（KJ/100g）2000-2200KJ，蛋白质（g/100g）≥13g，脂肪（g/100g）≥24g ,碳水化合物（g/100g）≤55g；</w:t>
            </w:r>
          </w:p>
        </w:tc>
        <w:tc>
          <w:tcPr>
            <w:tcW w:w="1245" w:type="dxa"/>
            <w:shd w:val="clear" w:color="auto" w:fill="auto"/>
            <w:vAlign w:val="center"/>
          </w:tcPr>
          <w:p w14:paraId="33970E9F">
            <w:pPr>
              <w:pStyle w:val="97"/>
              <w:spacing w:before="68" w:line="240" w:lineRule="auto"/>
              <w:jc w:val="center"/>
              <w:rPr>
                <w:rFonts w:hint="default" w:ascii="宋体" w:hAnsi="宋体" w:eastAsia="宋体" w:cs="宋体"/>
                <w:color w:val="auto"/>
                <w:spacing w:val="-3"/>
                <w:sz w:val="21"/>
                <w:szCs w:val="21"/>
                <w:highlight w:val="none"/>
                <w:lang w:val="en-US" w:eastAsia="zh-CN"/>
              </w:rPr>
            </w:pPr>
            <w:r>
              <w:rPr>
                <w:rFonts w:hint="eastAsia" w:cs="宋体"/>
                <w:color w:val="auto"/>
                <w:spacing w:val="-3"/>
                <w:sz w:val="21"/>
                <w:szCs w:val="21"/>
                <w:highlight w:val="none"/>
                <w:lang w:val="en-US" w:eastAsia="zh-CN"/>
              </w:rPr>
              <w:t>0.13</w:t>
            </w:r>
          </w:p>
        </w:tc>
      </w:tr>
      <w:tr w14:paraId="57515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3" w:hRule="atLeast"/>
          <w:jc w:val="center"/>
        </w:trPr>
        <w:tc>
          <w:tcPr>
            <w:tcW w:w="690" w:type="dxa"/>
            <w:vAlign w:val="center"/>
          </w:tcPr>
          <w:p w14:paraId="5DEB5E5B">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5</w:t>
            </w:r>
          </w:p>
        </w:tc>
        <w:tc>
          <w:tcPr>
            <w:tcW w:w="1620" w:type="dxa"/>
            <w:vAlign w:val="center"/>
          </w:tcPr>
          <w:p w14:paraId="6C640396">
            <w:pPr>
              <w:pStyle w:val="97"/>
              <w:spacing w:before="68" w:line="240" w:lineRule="auto"/>
              <w:jc w:val="center"/>
              <w:rPr>
                <w:rFonts w:ascii="宋体" w:hAnsi="宋体" w:eastAsia="宋体" w:cs="宋体"/>
                <w:color w:val="auto"/>
                <w:spacing w:val="-3"/>
                <w:sz w:val="21"/>
                <w:szCs w:val="21"/>
              </w:rPr>
            </w:pPr>
            <w:r>
              <w:rPr>
                <w:rFonts w:ascii="宋体" w:hAnsi="宋体" w:eastAsia="宋体" w:cs="宋体"/>
                <w:color w:val="auto"/>
                <w:spacing w:val="-3"/>
                <w:sz w:val="21"/>
                <w:szCs w:val="21"/>
              </w:rPr>
              <w:t>母乳营养补充剂</w:t>
            </w:r>
          </w:p>
        </w:tc>
        <w:tc>
          <w:tcPr>
            <w:tcW w:w="1185" w:type="dxa"/>
            <w:vAlign w:val="center"/>
          </w:tcPr>
          <w:p w14:paraId="670D1561">
            <w:pPr>
              <w:pStyle w:val="97"/>
              <w:spacing w:before="68" w:line="240" w:lineRule="auto"/>
              <w:ind w:left="223"/>
              <w:rPr>
                <w:color w:val="auto"/>
                <w:sz w:val="21"/>
                <w:szCs w:val="21"/>
              </w:rPr>
            </w:pPr>
            <w:r>
              <w:rPr>
                <w:color w:val="auto"/>
                <w:spacing w:val="-4"/>
                <w:sz w:val="21"/>
                <w:szCs w:val="21"/>
              </w:rPr>
              <w:t>≥50g/盒</w:t>
            </w:r>
          </w:p>
        </w:tc>
        <w:tc>
          <w:tcPr>
            <w:tcW w:w="4920" w:type="dxa"/>
            <w:vAlign w:val="center"/>
          </w:tcPr>
          <w:p w14:paraId="5E804F61">
            <w:pPr>
              <w:pStyle w:val="97"/>
              <w:spacing w:before="68" w:line="240" w:lineRule="auto"/>
              <w:ind w:left="221"/>
              <w:rPr>
                <w:rFonts w:ascii="宋体" w:hAnsi="宋体" w:eastAsia="宋体" w:cs="宋体"/>
                <w:color w:val="auto"/>
                <w:sz w:val="21"/>
                <w:szCs w:val="21"/>
              </w:rPr>
            </w:pPr>
            <w:r>
              <w:rPr>
                <w:rFonts w:ascii="宋体" w:hAnsi="宋体" w:eastAsia="宋体" w:cs="宋体"/>
                <w:color w:val="auto"/>
                <w:sz w:val="21"/>
                <w:szCs w:val="21"/>
              </w:rPr>
              <w:t>（1）能量（KJ/100g）≥1600KJ，蛋白质（g/100g）≥20 g，脂肪（g/100g）≥5g，碳水化合物（g/100g）&lt;65g；</w:t>
            </w:r>
          </w:p>
          <w:p w14:paraId="52EB05E2">
            <w:pPr>
              <w:pStyle w:val="97"/>
              <w:spacing w:before="68" w:line="240" w:lineRule="auto"/>
              <w:ind w:left="221"/>
              <w:rPr>
                <w:color w:val="auto"/>
                <w:sz w:val="21"/>
                <w:szCs w:val="21"/>
              </w:rPr>
            </w:pPr>
            <w:r>
              <w:rPr>
                <w:rFonts w:ascii="宋体" w:hAnsi="宋体" w:eastAsia="宋体" w:cs="宋体"/>
                <w:color w:val="auto"/>
                <w:sz w:val="21"/>
                <w:szCs w:val="21"/>
              </w:rPr>
              <w:t>（2）维生素A（ugRE）≥3000，维生素D（ug）≥50，维生素E（mga-TE）≥30，钙（mg）≥1500mg，铁（mg）≥15；</w:t>
            </w:r>
          </w:p>
        </w:tc>
        <w:tc>
          <w:tcPr>
            <w:tcW w:w="1245" w:type="dxa"/>
            <w:shd w:val="clear" w:color="auto" w:fill="auto"/>
            <w:vAlign w:val="center"/>
          </w:tcPr>
          <w:p w14:paraId="7DA259AE">
            <w:pPr>
              <w:pStyle w:val="97"/>
              <w:spacing w:before="68" w:line="240" w:lineRule="auto"/>
              <w:jc w:val="center"/>
              <w:rPr>
                <w:rFonts w:hint="default" w:ascii="宋体" w:hAnsi="宋体" w:eastAsia="宋体" w:cs="宋体"/>
                <w:color w:val="auto"/>
                <w:spacing w:val="-3"/>
                <w:sz w:val="21"/>
                <w:szCs w:val="21"/>
                <w:highlight w:val="none"/>
                <w:lang w:val="en-US" w:eastAsia="zh-CN"/>
              </w:rPr>
            </w:pPr>
            <w:r>
              <w:rPr>
                <w:rFonts w:hint="eastAsia" w:cs="宋体"/>
                <w:color w:val="auto"/>
                <w:spacing w:val="-3"/>
                <w:sz w:val="21"/>
                <w:szCs w:val="21"/>
                <w:highlight w:val="none"/>
                <w:lang w:val="en-US" w:eastAsia="zh-CN"/>
              </w:rPr>
              <w:t>6.82</w:t>
            </w:r>
          </w:p>
        </w:tc>
      </w:tr>
    </w:tbl>
    <w:p w14:paraId="11557FC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cs="宋体"/>
          <w:b/>
          <w:bCs/>
          <w:i w:val="0"/>
          <w:iCs/>
          <w:color w:val="auto"/>
          <w:sz w:val="24"/>
          <w:szCs w:val="24"/>
          <w:highlight w:val="none"/>
          <w:u w:val="none"/>
          <w:lang w:val="en-US" w:eastAsia="zh-CN"/>
        </w:rPr>
      </w:pPr>
    </w:p>
    <w:p w14:paraId="4D2C976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cs="宋体"/>
          <w:b/>
          <w:bCs/>
          <w:i w:val="0"/>
          <w:iCs/>
          <w:color w:val="auto"/>
          <w:sz w:val="24"/>
          <w:szCs w:val="24"/>
          <w:highlight w:val="none"/>
          <w:u w:val="none"/>
          <w:lang w:val="en-US" w:eastAsia="zh-CN"/>
        </w:rPr>
        <w:sectPr>
          <w:footerReference r:id="rId5" w:type="default"/>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p>
    <w:p w14:paraId="1CAF92F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b/>
          <w:bCs/>
          <w:i w:val="0"/>
          <w:iCs/>
          <w:color w:val="auto"/>
          <w:sz w:val="24"/>
          <w:szCs w:val="24"/>
          <w:highlight w:val="none"/>
          <w:u w:val="none"/>
          <w:lang w:val="en-US" w:eastAsia="zh-CN"/>
        </w:rPr>
      </w:pPr>
      <w:r>
        <w:rPr>
          <w:rFonts w:hint="eastAsia" w:ascii="宋体" w:hAnsi="宋体" w:cs="宋体"/>
          <w:b/>
          <w:bCs/>
          <w:i w:val="0"/>
          <w:iCs/>
          <w:color w:val="auto"/>
          <w:sz w:val="24"/>
          <w:szCs w:val="24"/>
          <w:highlight w:val="none"/>
          <w:u w:val="none"/>
          <w:lang w:val="en-US" w:eastAsia="zh-CN"/>
        </w:rPr>
        <w:t>三、</w:t>
      </w:r>
      <w:r>
        <w:rPr>
          <w:rFonts w:hint="eastAsia" w:ascii="宋体" w:hAnsi="宋体" w:eastAsia="宋体" w:cs="宋体"/>
          <w:b/>
          <w:bCs/>
          <w:i w:val="0"/>
          <w:iCs/>
          <w:color w:val="auto"/>
          <w:sz w:val="24"/>
          <w:szCs w:val="24"/>
          <w:highlight w:val="none"/>
          <w:u w:val="none"/>
          <w:lang w:val="en-US" w:eastAsia="zh-CN"/>
        </w:rPr>
        <w:t>商务要求</w:t>
      </w:r>
    </w:p>
    <w:tbl>
      <w:tblPr>
        <w:tblStyle w:val="32"/>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6"/>
        <w:gridCol w:w="7411"/>
      </w:tblGrid>
      <w:tr w14:paraId="31D4D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9AFB">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合同签订时间</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E2A4">
            <w:pPr>
              <w:keepNext w:val="0"/>
              <w:keepLines w:val="0"/>
              <w:widowControl/>
              <w:suppressLineNumbers w:val="0"/>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自成交通知书发出之日起30日内。</w:t>
            </w:r>
          </w:p>
        </w:tc>
      </w:tr>
      <w:tr w14:paraId="143C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F28B">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cs="宋体"/>
                <w:i w:val="0"/>
                <w:iCs w:val="0"/>
                <w:color w:val="auto"/>
                <w:kern w:val="0"/>
                <w:sz w:val="24"/>
                <w:szCs w:val="24"/>
                <w:u w:val="none"/>
                <w:lang w:val="en-US" w:eastAsia="zh-CN" w:bidi="ar"/>
              </w:rPr>
              <w:t>供货期限</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AC8D">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u w:val="none"/>
              </w:rPr>
            </w:pPr>
            <w:r>
              <w:rPr>
                <w:rFonts w:hint="eastAsia" w:ascii="宋体" w:hAnsi="宋体" w:cs="宋体"/>
                <w:i w:val="0"/>
                <w:iCs w:val="0"/>
                <w:color w:val="auto"/>
                <w:kern w:val="0"/>
                <w:sz w:val="24"/>
                <w:szCs w:val="24"/>
                <w:u w:val="none"/>
                <w:lang w:val="en-US" w:eastAsia="zh-CN" w:bidi="ar"/>
              </w:rPr>
              <w:t>一年</w:t>
            </w:r>
          </w:p>
        </w:tc>
      </w:tr>
      <w:tr w14:paraId="7539C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963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质保期</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FCCE">
            <w:pPr>
              <w:pStyle w:val="3"/>
              <w:keepNext w:val="0"/>
              <w:keepLines w:val="0"/>
              <w:pageBreakBefore w:val="0"/>
              <w:widowControl w:val="0"/>
              <w:kinsoku/>
              <w:wordWrap/>
              <w:overflowPunct/>
              <w:topLinePunct w:val="0"/>
              <w:autoSpaceDE/>
              <w:autoSpaceDN/>
              <w:bidi w:val="0"/>
              <w:adjustRightInd/>
              <w:snapToGrid/>
              <w:spacing w:line="460" w:lineRule="exact"/>
              <w:ind w:right="0"/>
              <w:textAlignment w:val="auto"/>
              <w:rPr>
                <w:rFonts w:hint="eastAsia" w:ascii="宋体" w:hAnsi="宋体" w:eastAsia="宋体" w:cs="宋体"/>
                <w:i w:val="0"/>
                <w:iCs w:val="0"/>
                <w:color w:val="auto"/>
                <w:sz w:val="24"/>
                <w:szCs w:val="24"/>
                <w:highlight w:val="none"/>
                <w:u w:val="none"/>
              </w:rPr>
            </w:pPr>
            <w:r>
              <w:rPr>
                <w:rFonts w:hint="eastAsia" w:ascii="宋体" w:hAnsi="宋体" w:eastAsia="宋体" w:cs="宋体"/>
                <w:b w:val="0"/>
                <w:bCs w:val="0"/>
                <w:color w:val="auto"/>
                <w:kern w:val="2"/>
                <w:sz w:val="24"/>
                <w:szCs w:val="24"/>
                <w:highlight w:val="none"/>
                <w:lang w:val="en-US" w:eastAsia="zh-CN" w:bidi="ar-SA"/>
              </w:rPr>
              <w:t>产品交付时保质期不少于10个月，保质期小于60天的临期产品要求在7天内为采购人免费更换。</w:t>
            </w:r>
          </w:p>
        </w:tc>
      </w:tr>
      <w:tr w14:paraId="7784A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380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交货地点</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68A8">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医院指定的各个科室。</w:t>
            </w:r>
          </w:p>
        </w:tc>
      </w:tr>
      <w:tr w14:paraId="38308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77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交货方法</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AF87">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送货上门，运费由供应商承担。</w:t>
            </w:r>
          </w:p>
        </w:tc>
      </w:tr>
      <w:tr w14:paraId="4E1B9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1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交货期</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268E">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在供货周期内按采购需求分批交货，每批次交货时间为</w:t>
            </w:r>
            <w:r>
              <w:rPr>
                <w:rFonts w:hint="eastAsia" w:ascii="宋体" w:hAnsi="宋体" w:eastAsia="宋体" w:cs="宋体"/>
                <w:b w:val="0"/>
                <w:bCs w:val="0"/>
                <w:color w:val="auto"/>
                <w:kern w:val="2"/>
                <w:sz w:val="24"/>
                <w:szCs w:val="24"/>
                <w:lang w:val="en-US" w:eastAsia="zh-CN" w:bidi="ar-SA"/>
              </w:rPr>
              <w:t>收到采购方发出的供货通知后应于5日内</w:t>
            </w:r>
            <w:r>
              <w:rPr>
                <w:rFonts w:hint="eastAsia" w:ascii="宋体" w:hAnsi="宋体" w:eastAsia="宋体" w:cs="宋体"/>
                <w:i w:val="0"/>
                <w:iCs w:val="0"/>
                <w:color w:val="auto"/>
                <w:sz w:val="24"/>
                <w:szCs w:val="24"/>
                <w:u w:val="none"/>
              </w:rPr>
              <w:t xml:space="preserve">，急需品种2日内交货（不能因采购数量少而拒绝送货）。 </w:t>
            </w:r>
          </w:p>
        </w:tc>
      </w:tr>
      <w:tr w14:paraId="406E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35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支付方式</w:t>
            </w:r>
          </w:p>
        </w:tc>
        <w:tc>
          <w:tcPr>
            <w:tcW w:w="7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7964C">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sz w:val="24"/>
                <w:szCs w:val="24"/>
                <w:u w:val="none"/>
              </w:rPr>
              <w:t>根据医院实际使用情况每月据实结算。</w:t>
            </w:r>
          </w:p>
        </w:tc>
      </w:tr>
    </w:tbl>
    <w:p w14:paraId="606E7B06">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850CAA7">
      <w:pPr>
        <w:jc w:val="center"/>
        <w:outlineLvl w:val="0"/>
        <w:rPr>
          <w:rFonts w:hint="eastAsia" w:ascii="宋体" w:hAnsi="宋体" w:eastAsia="宋体" w:cs="宋体"/>
          <w:b/>
          <w:bCs/>
          <w:color w:val="auto"/>
          <w:sz w:val="32"/>
          <w:szCs w:val="32"/>
          <w:highlight w:val="none"/>
        </w:rPr>
      </w:pPr>
      <w:bookmarkStart w:id="35" w:name="_Toc8501"/>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5"/>
    </w:p>
    <w:p w14:paraId="6CB10D3F">
      <w:pP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2"/>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 w:val="24"/>
                <w:szCs w:val="24"/>
                <w:highlight w:val="none"/>
              </w:rPr>
              <w:t>内容、要求</w:t>
            </w:r>
          </w:p>
        </w:tc>
      </w:tr>
      <w:tr w14:paraId="165CED55">
        <w:tblPrEx>
          <w:tblCellMar>
            <w:top w:w="0" w:type="dxa"/>
            <w:left w:w="0" w:type="dxa"/>
            <w:bottom w:w="0" w:type="dxa"/>
            <w:right w:w="0" w:type="dxa"/>
          </w:tblCellMar>
        </w:tblPrEx>
        <w:trPr>
          <w:trHeight w:val="434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napToGrid w:val="0"/>
              <w:spacing w:line="440" w:lineRule="exact"/>
              <w:jc w:val="left"/>
              <w:rPr>
                <w:rFonts w:hint="eastAsia" w:ascii="宋体" w:hAnsi="宋体" w:cs="宋体"/>
                <w:color w:val="auto"/>
                <w:sz w:val="24"/>
                <w:szCs w:val="32"/>
                <w:highlight w:val="none"/>
                <w:lang w:val="en-US" w:eastAsia="zh-CN"/>
              </w:rPr>
            </w:pPr>
            <w:r>
              <w:rPr>
                <w:rFonts w:hint="eastAsia" w:ascii="宋体" w:hAnsi="宋体" w:eastAsia="宋体" w:cs="宋体"/>
                <w:color w:val="auto"/>
                <w:kern w:val="0"/>
                <w:sz w:val="24"/>
                <w:szCs w:val="24"/>
                <w:highlight w:val="none"/>
              </w:rPr>
              <w:t>采购预算：</w:t>
            </w:r>
            <w:r>
              <w:rPr>
                <w:rFonts w:hint="eastAsia" w:ascii="宋体" w:hAnsi="宋体" w:cs="宋体"/>
                <w:color w:val="auto"/>
                <w:kern w:val="0"/>
                <w:sz w:val="24"/>
                <w:szCs w:val="24"/>
                <w:highlight w:val="none"/>
                <w:lang w:val="en-US" w:eastAsia="zh-CN"/>
              </w:rPr>
              <w:t>30万元</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最高投标限价</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30万元</w:t>
            </w:r>
            <w:r>
              <w:rPr>
                <w:rFonts w:hint="eastAsia" w:ascii="宋体" w:hAnsi="宋体" w:cs="宋体"/>
                <w:color w:val="auto"/>
                <w:sz w:val="24"/>
                <w:szCs w:val="32"/>
                <w:highlight w:val="none"/>
                <w:lang w:val="en-US" w:eastAsia="zh-CN"/>
              </w:rPr>
              <w:t>。</w:t>
            </w:r>
          </w:p>
          <w:p w14:paraId="20139F3F">
            <w:pPr>
              <w:widowControl/>
              <w:snapToGrid w:val="0"/>
              <w:spacing w:line="440" w:lineRule="exact"/>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1.1本项目磋商以综合折扣率（%）报价。</w:t>
            </w:r>
          </w:p>
          <w:p w14:paraId="2B1F77FD">
            <w:pPr>
              <w:widowControl/>
              <w:snapToGrid w:val="0"/>
              <w:spacing w:line="440" w:lineRule="exact"/>
              <w:jc w:val="left"/>
              <w:rPr>
                <w:rFonts w:hint="eastAsia" w:ascii="宋体" w:hAnsi="宋体" w:cs="宋体"/>
                <w:color w:val="auto"/>
                <w:sz w:val="24"/>
                <w:szCs w:val="32"/>
                <w:highlight w:val="none"/>
                <w:lang w:val="en-US" w:eastAsia="zh-CN"/>
              </w:rPr>
            </w:pPr>
            <w:r>
              <w:rPr>
                <w:rFonts w:hint="eastAsia" w:ascii="宋体" w:hAnsi="宋体" w:cs="宋体"/>
                <w:color w:val="auto"/>
                <w:kern w:val="0"/>
                <w:sz w:val="24"/>
                <w:szCs w:val="24"/>
                <w:highlight w:val="none"/>
                <w:lang w:val="en-US" w:eastAsia="zh-CN"/>
              </w:rPr>
              <w:t>供应商磋商报价以清单单价控制价为基准价格，整体报出综合折扣率。供应商所报综合折扣率不得大于100%，否则将被作为无效响应；报价包括各种税金、运输费等所有费用，供货期限内医院不再承担任何其他费用。</w:t>
            </w:r>
          </w:p>
          <w:p w14:paraId="25F0BC31">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供应商的报价超过采购预算，采购人不能支付的，按废标处理。</w:t>
            </w:r>
          </w:p>
          <w:p w14:paraId="2834DD74">
            <w:pPr>
              <w:widowControl/>
              <w:snapToGrid w:val="0"/>
              <w:spacing w:line="440" w:lineRule="exact"/>
              <w:jc w:val="left"/>
              <w:rPr>
                <w:rFonts w:hint="eastAsia" w:ascii="宋体" w:hAnsi="宋体" w:cs="宋体"/>
                <w:color w:val="auto"/>
                <w:kern w:val="0"/>
                <w:szCs w:val="21"/>
                <w:highlight w:val="none"/>
                <w:lang w:val="en-US" w:eastAsia="zh-CN"/>
              </w:rPr>
            </w:pP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由成交供应商缴纳</w:t>
            </w:r>
            <w:r>
              <w:rPr>
                <w:rFonts w:hint="eastAsia" w:ascii="宋体" w:hAnsi="宋体" w:eastAsia="宋体" w:cs="宋体"/>
                <w:color w:val="auto"/>
                <w:kern w:val="0"/>
                <w:sz w:val="24"/>
                <w:szCs w:val="24"/>
                <w:highlight w:val="none"/>
              </w:rPr>
              <w:t>招标代理服务费。</w:t>
            </w:r>
            <w:r>
              <w:rPr>
                <w:rFonts w:hint="eastAsia" w:ascii="宋体" w:hAnsi="宋体" w:cs="宋体"/>
                <w:color w:val="auto"/>
                <w:kern w:val="0"/>
                <w:sz w:val="24"/>
                <w:szCs w:val="24"/>
                <w:highlight w:val="none"/>
                <w:lang w:val="en-US" w:eastAsia="zh-CN"/>
              </w:rPr>
              <w:t>代理服务费不得高于《招代理机构服务管理暂行办法》（计价格[2002]1980号）相应标准：</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color w:val="auto"/>
                      <w:sz w:val="21"/>
                      <w:highlight w:val="none"/>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381635</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成交金额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pt;margin-top:30.05pt;height:22.5pt;width:66.65pt;z-index:251660288;mso-width-relative:page;mso-height-relative:page;" fillcolor="#FFFFFF [3201]" filled="t" stroked="f" coordsize="21600,21600" o:gfxdata="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Yp5Wq1AAA&#10;AAkBAAAPAAAAAAAAAAEAIAAAACIAAABkcnMvZG93bnJldi54bWxQSwECFAAUAAAACACHTuJA3iYh&#10;e1sCAACaBAAADgAAAAAAAAABACAAAAAjAQAAZHJzL2Uyb0RvYy54bWxQSwUGAAAAAAYABgBZAQAA&#10;8AU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成交金额</w:t>
                                  </w:r>
                                </w:p>
                              </w:txbxContent>
                            </v:textbox>
                          </v:shape>
                        </w:pict>
                      </mc:Fallback>
                    </mc:AlternateContent>
                  </w:r>
                </w:p>
                <w:p w14:paraId="6CE85D4B">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b/>
                      <w:bCs/>
                      <w:color w:val="auto"/>
                      <w:sz w:val="21"/>
                      <w:highlight w:val="none"/>
                    </w:rPr>
                    <mc:AlternateContent>
                      <mc:Choice Requires="wps">
                        <w:drawing>
                          <wp:anchor distT="0" distB="0" distL="114300" distR="114300" simplePos="0" relativeHeight="251659264" behindDoc="0" locked="0" layoutInCell="1" allowOverlap="1">
                            <wp:simplePos x="0" y="0"/>
                            <wp:positionH relativeFrom="column">
                              <wp:posOffset>343535</wp:posOffset>
                            </wp:positionH>
                            <wp:positionV relativeFrom="paragraph">
                              <wp:posOffset>59690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4.7pt;height:24.05pt;width:76.4pt;z-index:251659264;mso-width-relative:page;mso-height-relative:page;" fillcolor="#FFFFFF [3201]" filled="t" stroked="f" coordsize="21600,21600" o:gfxdata="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NantXdIAAAAH&#10;AQAADwAAAAAAAAABACAAAAAiAAAAZHJzL2Rvd25yZXYueG1sUEsBAhQAFAAAAAgAh07iQF8vVZxb&#10;AgAAmgQAAA4AAAAAAAAAAQAgAAAAIQEAAGRycy9lMm9Eb2MueG1sUEsFBgAAAAAGAAYAWQEAAO4F&#10;A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p>
              </w:tc>
              <w:tc>
                <w:tcPr>
                  <w:tcW w:w="1605" w:type="dxa"/>
                  <w:vAlign w:val="center"/>
                </w:tcPr>
                <w:p w14:paraId="1BA1962A">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100万元以下</w:t>
                  </w:r>
                </w:p>
              </w:tc>
              <w:tc>
                <w:tcPr>
                  <w:tcW w:w="1605" w:type="dxa"/>
                  <w:vAlign w:val="center"/>
                </w:tcPr>
                <w:p w14:paraId="0F8F8092">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560" w:type="dxa"/>
                  <w:vAlign w:val="center"/>
                </w:tcPr>
                <w:p w14:paraId="64DFB595">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380" w:type="dxa"/>
                  <w:vAlign w:val="center"/>
                </w:tcPr>
                <w:p w14:paraId="6E9F31B9">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w:t>
                  </w:r>
                </w:p>
              </w:tc>
            </w:tr>
          </w:tbl>
          <w:p w14:paraId="1B44AAE4">
            <w:pPr>
              <w:widowControl/>
              <w:snapToGrid w:val="0"/>
              <w:spacing w:line="440" w:lineRule="exact"/>
              <w:jc w:val="left"/>
              <w:rPr>
                <w:rFonts w:hint="default" w:ascii="宋体" w:hAnsi="宋体" w:cs="宋体"/>
                <w:color w:val="auto"/>
                <w:kern w:val="0"/>
                <w:szCs w:val="21"/>
                <w:highlight w:val="none"/>
                <w:lang w:val="en-US" w:eastAsia="zh-CN"/>
              </w:rPr>
            </w:pPr>
          </w:p>
        </w:tc>
      </w:tr>
      <w:tr w14:paraId="7A2AFB19">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52A4231">
            <w:pPr>
              <w:widowControl/>
              <w:snapToGri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848C77D">
            <w:pPr>
              <w:widowControl/>
              <w:snapToGrid w:val="0"/>
              <w:spacing w:line="440" w:lineRule="exact"/>
              <w:jc w:val="left"/>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在原公告发布媒体上发布澄清或修改公告，供应商在提交响应文件截止时间前须自行查看在原公告发布媒体上发布的澄清或修改公告，因供应商未及时查看而造成的后果自负</w:t>
            </w:r>
            <w:r>
              <w:rPr>
                <w:rFonts w:hint="eastAsia" w:ascii="宋体" w:hAnsi="宋体" w:eastAsia="宋体" w:cs="宋体"/>
                <w:color w:val="auto"/>
                <w:sz w:val="24"/>
                <w:szCs w:val="32"/>
                <w:highlight w:val="none"/>
                <w:lang w:eastAsia="zh-CN"/>
              </w:rPr>
              <w:t>。</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widowControl/>
              <w:snapToGrid w:val="0"/>
              <w:spacing w:line="440" w:lineRule="exact"/>
              <w:jc w:val="left"/>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文件组成：纸质</w:t>
            </w: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文件正本1份</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lang w:val="en-US" w:eastAsia="zh-CN"/>
              </w:rPr>
              <w:t>副本2份</w:t>
            </w:r>
            <w:r>
              <w:rPr>
                <w:rFonts w:hint="eastAsia" w:ascii="宋体" w:hAnsi="宋体" w:eastAsia="宋体" w:cs="宋体"/>
                <w:color w:val="auto"/>
                <w:sz w:val="24"/>
                <w:szCs w:val="32"/>
                <w:highlight w:val="none"/>
              </w:rPr>
              <w:t>。胶装方式装订，不得采用活页装订</w:t>
            </w:r>
            <w:r>
              <w:rPr>
                <w:rFonts w:hint="eastAsia" w:ascii="宋体" w:hAnsi="宋体" w:cs="宋体"/>
                <w:color w:val="auto"/>
                <w:sz w:val="24"/>
                <w:szCs w:val="32"/>
                <w:highlight w:val="none"/>
                <w:lang w:eastAsia="zh-CN"/>
              </w:rPr>
              <w:t>。</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w:t>
            </w:r>
            <w:r>
              <w:rPr>
                <w:rFonts w:hint="eastAsia" w:ascii="宋体" w:hAnsi="宋体" w:eastAsia="宋体" w:cs="宋体"/>
                <w:color w:val="auto"/>
                <w:kern w:val="0"/>
                <w:sz w:val="24"/>
                <w:szCs w:val="24"/>
                <w:highlight w:val="none"/>
              </w:rPr>
              <w:t>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32"/>
                <w:highlight w:val="none"/>
              </w:rPr>
              <w:t>人</w:t>
            </w:r>
            <w:r>
              <w:rPr>
                <w:rFonts w:hint="eastAsia" w:ascii="宋体" w:hAnsi="宋体" w:eastAsia="宋体" w:cs="宋体"/>
                <w:color w:val="auto"/>
                <w:sz w:val="24"/>
                <w:szCs w:val="32"/>
                <w:highlight w:val="none"/>
                <w:lang w:val="en-US" w:eastAsia="zh-CN"/>
              </w:rPr>
              <w:t>及以上单数</w:t>
            </w:r>
            <w:r>
              <w:rPr>
                <w:rFonts w:hint="eastAsia" w:ascii="宋体" w:hAnsi="宋体" w:eastAsia="宋体" w:cs="宋体"/>
                <w:color w:val="auto"/>
                <w:kern w:val="0"/>
                <w:sz w:val="24"/>
                <w:szCs w:val="24"/>
                <w:highlight w:val="none"/>
              </w:rPr>
              <w:t>。</w:t>
            </w:r>
          </w:p>
          <w:p w14:paraId="05D582FC">
            <w:pPr>
              <w:widowControl/>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专家确定方式：</w:t>
            </w:r>
            <w:r>
              <w:rPr>
                <w:rFonts w:hint="eastAsia" w:ascii="宋体" w:hAnsi="宋体" w:eastAsia="宋体" w:cs="宋体"/>
                <w:color w:val="auto"/>
                <w:kern w:val="0"/>
                <w:sz w:val="24"/>
                <w:szCs w:val="24"/>
                <w:highlight w:val="none"/>
              </w:rPr>
              <w:t>由评审专家、采购人代表</w:t>
            </w:r>
            <w:r>
              <w:rPr>
                <w:rFonts w:hint="eastAsia" w:ascii="宋体" w:hAnsi="宋体" w:eastAsia="宋体" w:cs="宋体"/>
                <w:color w:val="auto"/>
                <w:kern w:val="0"/>
                <w:sz w:val="24"/>
                <w:szCs w:val="24"/>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pacing w:line="24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评标办法：</w:t>
            </w:r>
            <w:r>
              <w:rPr>
                <w:rFonts w:hint="eastAsia" w:ascii="宋体" w:hAnsi="宋体" w:eastAsia="宋体" w:cs="宋体"/>
                <w:color w:val="auto"/>
                <w:kern w:val="0"/>
                <w:sz w:val="24"/>
                <w:szCs w:val="24"/>
                <w:highlight w:val="none"/>
              </w:rPr>
              <w:t>本项目采用</w:t>
            </w:r>
            <w:r>
              <w:rPr>
                <w:rFonts w:hint="eastAsia" w:ascii="宋体" w:hAnsi="宋体" w:eastAsia="宋体" w:cs="宋体"/>
                <w:color w:val="auto"/>
                <w:sz w:val="24"/>
                <w:szCs w:val="24"/>
                <w:highlight w:val="none"/>
              </w:rPr>
              <w:t>综合评分法</w:t>
            </w:r>
            <w:r>
              <w:rPr>
                <w:rFonts w:hint="eastAsia" w:ascii="宋体" w:hAnsi="宋体" w:eastAsia="宋体" w:cs="宋体"/>
                <w:color w:val="auto"/>
                <w:kern w:val="0"/>
                <w:sz w:val="24"/>
                <w:szCs w:val="24"/>
                <w:highlight w:val="none"/>
              </w:rPr>
              <w:t>。</w:t>
            </w:r>
          </w:p>
        </w:tc>
      </w:tr>
      <w:tr w14:paraId="12DC500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公告及</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通知书：由采购人授权磋商小组确定一名</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并推荐</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名</w:t>
            </w:r>
            <w:r>
              <w:rPr>
                <w:rFonts w:hint="eastAsia" w:ascii="宋体" w:hAnsi="宋体" w:eastAsia="宋体" w:cs="宋体"/>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。评审结束后在《驻马店市中心医院》官网上发布成交公告，公示期结束后向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发出成交通知书。</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采购资金来源：自筹资金。</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有效期：</w:t>
            </w:r>
            <w:r>
              <w:rPr>
                <w:rFonts w:hint="eastAsia" w:ascii="宋体" w:hAnsi="宋体" w:eastAsia="宋体" w:cs="宋体"/>
                <w:color w:val="auto"/>
                <w:kern w:val="0"/>
                <w:sz w:val="24"/>
                <w:szCs w:val="24"/>
                <w:highlight w:val="none"/>
                <w:lang w:val="en-US" w:eastAsia="zh-CN"/>
              </w:rPr>
              <w:t>响应文件递交</w:t>
            </w:r>
            <w:r>
              <w:rPr>
                <w:rFonts w:hint="eastAsia" w:ascii="宋体" w:hAnsi="宋体" w:eastAsia="宋体" w:cs="宋体"/>
                <w:color w:val="auto"/>
                <w:kern w:val="0"/>
                <w:sz w:val="24"/>
                <w:szCs w:val="24"/>
                <w:highlight w:val="none"/>
              </w:rPr>
              <w:t>截止期结束后</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文件是合同的组成部分,有效期至合同完全履行止。</w:t>
            </w:r>
          </w:p>
        </w:tc>
      </w:tr>
    </w:tbl>
    <w:p w14:paraId="004A8D42">
      <w:pPr>
        <w:rPr>
          <w:rFonts w:hint="eastAsia" w:ascii="宋体" w:hAnsi="宋体" w:eastAsia="宋体" w:cs="宋体"/>
          <w:color w:val="auto"/>
          <w:highlight w:val="none"/>
        </w:rPr>
      </w:pPr>
    </w:p>
    <w:p w14:paraId="1DF831AE">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szCs w:val="24"/>
          <w:highlight w:val="none"/>
        </w:rPr>
      </w:pPr>
      <w:bookmarkStart w:id="36" w:name="_Toc4700"/>
      <w:bookmarkStart w:id="37" w:name="_Toc16669"/>
      <w:r>
        <w:rPr>
          <w:rFonts w:hint="eastAsia" w:ascii="宋体" w:hAnsi="宋体" w:eastAsia="宋体" w:cs="宋体"/>
          <w:b/>
          <w:bCs/>
          <w:color w:val="auto"/>
          <w:kern w:val="0"/>
          <w:sz w:val="24"/>
          <w:szCs w:val="24"/>
          <w:highlight w:val="none"/>
        </w:rPr>
        <w:t>一 、说 明</w:t>
      </w:r>
    </w:p>
    <w:p w14:paraId="63351082">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1.适用范围</w:t>
      </w:r>
    </w:p>
    <w:p w14:paraId="6ADA73B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文件仅适用于</w:t>
      </w:r>
      <w:r>
        <w:rPr>
          <w:rFonts w:hint="eastAsia" w:ascii="宋体" w:hAnsi="宋体" w:cs="宋体"/>
          <w:color w:val="auto"/>
          <w:kern w:val="0"/>
          <w:sz w:val="24"/>
          <w:szCs w:val="24"/>
          <w:highlight w:val="none"/>
          <w:lang w:val="en-US" w:eastAsia="zh-CN"/>
        </w:rPr>
        <w:t>驻马店市中心医院采购的</w:t>
      </w:r>
      <w:r>
        <w:rPr>
          <w:rFonts w:hint="eastAsia" w:ascii="宋体" w:hAnsi="宋体" w:eastAsia="宋体" w:cs="宋体"/>
          <w:color w:val="auto"/>
          <w:kern w:val="0"/>
          <w:sz w:val="24"/>
          <w:szCs w:val="24"/>
          <w:highlight w:val="none"/>
          <w:lang w:eastAsia="zh-CN"/>
        </w:rPr>
        <w:t>货物</w:t>
      </w:r>
      <w:r>
        <w:rPr>
          <w:rFonts w:hint="eastAsia" w:ascii="宋体" w:hAnsi="宋体" w:cs="宋体"/>
          <w:color w:val="auto"/>
          <w:kern w:val="0"/>
          <w:sz w:val="24"/>
          <w:szCs w:val="24"/>
          <w:highlight w:val="none"/>
          <w:lang w:val="en-US" w:eastAsia="zh-CN"/>
        </w:rPr>
        <w:t>项目</w:t>
      </w:r>
      <w:r>
        <w:rPr>
          <w:rFonts w:hint="eastAsia" w:ascii="宋体" w:hAnsi="宋体" w:eastAsia="宋体" w:cs="宋体"/>
          <w:color w:val="auto"/>
          <w:kern w:val="0"/>
          <w:sz w:val="24"/>
          <w:szCs w:val="24"/>
          <w:highlight w:val="none"/>
        </w:rPr>
        <w:t>。</w:t>
      </w:r>
    </w:p>
    <w:p w14:paraId="0D6E4701">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2.定义</w:t>
      </w:r>
    </w:p>
    <w:p w14:paraId="5DD407F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领取</w:t>
      </w:r>
      <w:r>
        <w:rPr>
          <w:rFonts w:hint="eastAsia" w:ascii="宋体" w:hAnsi="宋体" w:eastAsia="宋体" w:cs="宋体"/>
          <w:color w:val="auto"/>
          <w:kern w:val="0"/>
          <w:sz w:val="24"/>
          <w:szCs w:val="24"/>
          <w:highlight w:val="none"/>
        </w:rPr>
        <w:t>了本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文件，且已经提交本次</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p>
    <w:p w14:paraId="6D26E9C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代表</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参加本次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活动的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的法定代表人或其委托代理人。</w:t>
      </w:r>
    </w:p>
    <w:p w14:paraId="46D2C12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 xml:space="preserve"> 货物</w:t>
      </w:r>
      <w:r>
        <w:rPr>
          <w:rFonts w:hint="eastAsia" w:ascii="宋体" w:hAnsi="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rPr>
        <w:t>供应商按采购文件规定向采购人提供的一切设备、机械、仪器仪表、备品备件、工具、手册及其它有关技术资料和材料。</w:t>
      </w:r>
    </w:p>
    <w:p w14:paraId="1BC87C67">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sz w:val="24"/>
          <w:szCs w:val="24"/>
          <w:highlight w:val="none"/>
        </w:rPr>
      </w:pP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应提交的证明文件</w:t>
      </w:r>
    </w:p>
    <w:p w14:paraId="235BB7A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3.1、具有独立承担民事责任的能力（提供营业执照或其他证明材料）；</w:t>
      </w:r>
    </w:p>
    <w:p w14:paraId="6A1858F0">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3.2、具有良好的商业信誉和健全的财务会计制度（提供经审计的2025年度财务报告或者其基本开户银行出具的资信证明）；</w:t>
      </w:r>
    </w:p>
    <w:p w14:paraId="6088FF1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3.3、具有履行合同所必需的设备和专业技术能力（提供书面承诺函）；</w:t>
      </w:r>
    </w:p>
    <w:p w14:paraId="5A0B8F6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3.4、具有依法缴纳税收和社会保障资金的良好记录（提供采购活动近六个月任意一个月的依法缴纳税收和缴纳社保的证明；依法免税或不需要缴纳社会保障资金的，应提供相应文件证明其依法免税或不需要缴纳社会保障资金）。</w:t>
      </w:r>
    </w:p>
    <w:p w14:paraId="7D73DF55">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3.5、参加本采购活动前三年内，在经营活动中没有重大违法记录（提供书面承诺函）；</w:t>
      </w:r>
    </w:p>
    <w:p w14:paraId="66A8A88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3.6、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p>
    <w:p w14:paraId="67EE2758">
      <w:pPr>
        <w:keepNext w:val="0"/>
        <w:keepLines w:val="0"/>
        <w:pageBreakBefore w:val="0"/>
        <w:widowControl w:val="0"/>
        <w:tabs>
          <w:tab w:val="left" w:pos="840"/>
        </w:tabs>
        <w:kinsoku/>
        <w:wordWrap/>
        <w:overflowPunct/>
        <w:topLinePunct w:val="0"/>
        <w:autoSpaceDE/>
        <w:autoSpaceDN/>
        <w:bidi w:val="0"/>
        <w:adjustRightInd/>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3.7、单位负责人为同一人或者存在直接控股、管理关系的不同供应商，不得参加同一合同项下的磋商（提供承诺函）。</w:t>
      </w:r>
    </w:p>
    <w:p w14:paraId="702A01F8">
      <w:pPr>
        <w:keepNext w:val="0"/>
        <w:keepLines w:val="0"/>
        <w:pageBreakBefore w:val="0"/>
        <w:widowControl w:val="0"/>
        <w:tabs>
          <w:tab w:val="left" w:pos="840"/>
        </w:tabs>
        <w:kinsoku/>
        <w:wordWrap/>
        <w:overflowPunct/>
        <w:topLinePunct w:val="0"/>
        <w:autoSpaceDE/>
        <w:autoSpaceDN/>
        <w:bidi w:val="0"/>
        <w:adjustRightInd/>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 xml:space="preserve">3.8、供应商若为生产企业须具有有效的《食品生产许可证》，供应商若为代理商或经销商须具有有效的《食品经营许可证》或食品经营备案证明，生产(经营)项目需包含“特殊医学用途配方食品”。                                      </w:t>
      </w:r>
    </w:p>
    <w:p w14:paraId="4D7B09AE">
      <w:pPr>
        <w:keepNext w:val="0"/>
        <w:keepLines w:val="0"/>
        <w:pageBreakBefore w:val="0"/>
        <w:widowControl w:val="0"/>
        <w:tabs>
          <w:tab w:val="left" w:pos="840"/>
        </w:tabs>
        <w:kinsoku/>
        <w:wordWrap/>
        <w:overflowPunct/>
        <w:topLinePunct w:val="0"/>
        <w:autoSpaceDE/>
        <w:autoSpaceDN/>
        <w:bidi w:val="0"/>
        <w:adjustRightInd/>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3.9、所投产品须具有有效的《特殊医学用途配方食品注册证书》。</w:t>
      </w:r>
    </w:p>
    <w:p w14:paraId="13292A9E">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.投标费用</w:t>
      </w:r>
    </w:p>
    <w:p w14:paraId="209E8546">
      <w:pPr>
        <w:keepNext w:val="0"/>
        <w:keepLines w:val="0"/>
        <w:pageBreakBefore w:val="0"/>
        <w:widowControl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不论投标结果如何，</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均应自行承担所有与投标有关的全部费用。</w:t>
      </w:r>
    </w:p>
    <w:p w14:paraId="4B7BBEAF">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关联企业投标</w:t>
      </w:r>
    </w:p>
    <w:p w14:paraId="511BE38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5.1</w:t>
      </w:r>
      <w:r>
        <w:rPr>
          <w:rFonts w:hint="eastAsia" w:ascii="宋体" w:hAnsi="宋体" w:eastAsia="宋体" w:cs="宋体"/>
          <w:color w:val="auto"/>
          <w:kern w:val="0"/>
          <w:sz w:val="24"/>
          <w:szCs w:val="24"/>
          <w:highlight w:val="none"/>
        </w:rPr>
        <w:t xml:space="preserve"> 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文件所称关联企业,是指存在关联关系的企业。“关联关系”的界定适用《中华人民共和国公司法》第二百</w:t>
      </w:r>
      <w:r>
        <w:rPr>
          <w:rFonts w:hint="eastAsia" w:ascii="宋体" w:hAnsi="宋体" w:cs="宋体"/>
          <w:color w:val="auto"/>
          <w:kern w:val="0"/>
          <w:sz w:val="24"/>
          <w:szCs w:val="24"/>
          <w:highlight w:val="none"/>
          <w:lang w:val="en-US" w:eastAsia="zh-CN"/>
        </w:rPr>
        <w:t>六十五</w:t>
      </w:r>
      <w:r>
        <w:rPr>
          <w:rFonts w:hint="eastAsia" w:ascii="宋体" w:hAnsi="宋体" w:eastAsia="宋体" w:cs="宋体"/>
          <w:color w:val="auto"/>
          <w:kern w:val="0"/>
          <w:sz w:val="24"/>
          <w:szCs w:val="24"/>
          <w:highlight w:val="none"/>
        </w:rPr>
        <w:t>条、《中华人民共和国政府采购法实施条例》第十八条之规定。</w:t>
      </w:r>
    </w:p>
    <w:p w14:paraId="43287587">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5.2</w:t>
      </w:r>
      <w:r>
        <w:rPr>
          <w:rFonts w:hint="eastAsia" w:ascii="宋体" w:hAnsi="宋体" w:eastAsia="宋体" w:cs="宋体"/>
          <w:color w:val="auto"/>
          <w:kern w:val="0"/>
          <w:sz w:val="24"/>
          <w:szCs w:val="24"/>
          <w:highlight w:val="none"/>
        </w:rPr>
        <w:t xml:space="preserve">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 w:val="24"/>
          <w:szCs w:val="24"/>
          <w:highlight w:val="none"/>
          <w:lang w:eastAsia="zh-CN"/>
        </w:rPr>
        <w:t>。</w:t>
      </w:r>
    </w:p>
    <w:p w14:paraId="2CC2F98E">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转包与分包</w:t>
      </w:r>
    </w:p>
    <w:p w14:paraId="1B379BF6">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本项目不允许采取转包方式履行合同。</w:t>
      </w:r>
    </w:p>
    <w:p w14:paraId="2FB26A5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6.2</w:t>
      </w:r>
      <w:r>
        <w:rPr>
          <w:rFonts w:hint="eastAsia" w:ascii="宋体" w:hAnsi="宋体" w:eastAsia="宋体" w:cs="宋体"/>
          <w:color w:val="auto"/>
          <w:kern w:val="0"/>
          <w:sz w:val="24"/>
          <w:szCs w:val="24"/>
          <w:highlight w:val="none"/>
        </w:rPr>
        <w:t>本项目不允许采取分包方式履行合同。</w:t>
      </w:r>
    </w:p>
    <w:p w14:paraId="136411C3">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7.</w:t>
      </w:r>
      <w:r>
        <w:rPr>
          <w:rFonts w:hint="eastAsia" w:ascii="宋体" w:hAnsi="宋体" w:eastAsia="宋体" w:cs="宋体"/>
          <w:b/>
          <w:bCs/>
          <w:color w:val="auto"/>
          <w:kern w:val="0"/>
          <w:sz w:val="24"/>
          <w:szCs w:val="24"/>
          <w:highlight w:val="none"/>
        </w:rPr>
        <w:t>特别说明：</w:t>
      </w:r>
    </w:p>
    <w:p w14:paraId="55FFFC2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7.1</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代表只能接受一个</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的委托参加投标。</w:t>
      </w:r>
    </w:p>
    <w:p w14:paraId="4AA06270">
      <w:pPr>
        <w:snapToGrid w:val="0"/>
        <w:spacing w:line="360" w:lineRule="auto"/>
        <w:ind w:firstLine="48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7.2</w:t>
      </w:r>
      <w:r>
        <w:rPr>
          <w:rFonts w:hint="eastAsia" w:ascii="宋体" w:hAnsi="宋体" w:cs="宋体"/>
          <w:color w:val="auto"/>
          <w:kern w:val="0"/>
          <w:sz w:val="24"/>
          <w:szCs w:val="24"/>
          <w:highlight w:val="none"/>
        </w:rPr>
        <w:t xml:space="preserve">《政府采购法》第二十二条第五款“参加政府采购活动前三年内，在经营活动中没有重大违法记录”，《政府采购法》实施条例第十九条 </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重大违法记录是指供应商因违法经营受到刑事处罚或者责令停产停业、吊销许可证或者执照、较大数额罚款等行政处罚。</w:t>
      </w:r>
      <w:r>
        <w:rPr>
          <w:rFonts w:hint="eastAsia" w:ascii="宋体" w:hAnsi="宋体" w:cs="宋体"/>
          <w:color w:val="auto"/>
          <w:kern w:val="0"/>
          <w:sz w:val="24"/>
          <w:szCs w:val="24"/>
          <w:highlight w:val="none"/>
          <w:lang w:eastAsia="zh-CN"/>
        </w:rPr>
        <w:t>”财政部发布的《关于&lt;中华人民共和国政府采购法实施条例&gt;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color w:val="auto"/>
          <w:kern w:val="0"/>
          <w:sz w:val="24"/>
          <w:szCs w:val="24"/>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7.3</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在投标活动中提供虚假材料或从事其他违法活动的,其投标无效，由相关部门查处。</w:t>
      </w:r>
    </w:p>
    <w:p w14:paraId="48BACE8D">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质疑和投诉</w:t>
      </w:r>
    </w:p>
    <w:p w14:paraId="0C544B71">
      <w:pPr>
        <w:keepNext w:val="0"/>
        <w:keepLines w:val="0"/>
        <w:pageBreakBefore w:val="0"/>
        <w:widowControl w:val="0"/>
        <w:kinsoku/>
        <w:wordWrap/>
        <w:overflowPunct/>
        <w:topLinePunct w:val="0"/>
        <w:bidi w:val="0"/>
        <w:snapToGrid w:val="0"/>
        <w:spacing w:line="360" w:lineRule="auto"/>
        <w:ind w:firstLine="470" w:firstLineChars="196"/>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供应商认为</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文件使自己的合法权益受到损害的，</w:t>
      </w:r>
      <w:r>
        <w:rPr>
          <w:rFonts w:hint="eastAsia" w:ascii="宋体" w:hAnsi="宋体" w:eastAsia="宋体" w:cs="宋体"/>
          <w:color w:val="auto"/>
          <w:kern w:val="0"/>
          <w:sz w:val="24"/>
          <w:szCs w:val="24"/>
          <w:highlight w:val="none"/>
        </w:rPr>
        <w:t>应当在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公告期限届满之日(或收到</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文件之日)起</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个工作日之内向</w:t>
      </w:r>
      <w:r>
        <w:rPr>
          <w:rFonts w:hint="eastAsia" w:ascii="宋体" w:hAnsi="宋体" w:eastAsia="宋体" w:cs="宋体"/>
          <w:bCs/>
          <w:color w:val="auto"/>
          <w:kern w:val="0"/>
          <w:sz w:val="24"/>
          <w:szCs w:val="24"/>
          <w:highlight w:val="none"/>
        </w:rPr>
        <w:t>采购人提出质疑；供应商认为</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结果使自己的合法权益受到损害的，应当在知道或者应知其权益受到损害之日起</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个工作日内提出质疑。</w:t>
      </w:r>
      <w:r>
        <w:rPr>
          <w:rFonts w:hint="eastAsia" w:ascii="宋体" w:hAnsi="宋体" w:eastAsia="宋体" w:cs="宋体"/>
          <w:color w:val="auto"/>
          <w:kern w:val="0"/>
          <w:sz w:val="24"/>
          <w:szCs w:val="24"/>
          <w:highlight w:val="none"/>
        </w:rPr>
        <w:t>逾期不再受理,</w:t>
      </w:r>
      <w:r>
        <w:rPr>
          <w:rFonts w:hint="eastAsia" w:ascii="宋体" w:hAnsi="宋体" w:eastAsia="宋体" w:cs="宋体"/>
          <w:bCs/>
          <w:color w:val="auto"/>
          <w:kern w:val="0"/>
          <w:sz w:val="24"/>
          <w:szCs w:val="24"/>
          <w:highlight w:val="none"/>
        </w:rPr>
        <w:t>供应商在法定质疑期内应一次性提出针对同一采购环节的质疑。</w:t>
      </w:r>
      <w:r>
        <w:rPr>
          <w:rFonts w:hint="eastAsia" w:ascii="宋体" w:hAnsi="宋体" w:eastAsia="宋体" w:cs="宋体"/>
          <w:color w:val="auto"/>
          <w:kern w:val="0"/>
          <w:sz w:val="24"/>
          <w:szCs w:val="24"/>
          <w:highlight w:val="none"/>
        </w:rPr>
        <w:t>供应商对</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的质疑答复不满意,或</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未在规定时间内作出答复的，可以在答复期满后15个工作日内向</w:t>
      </w:r>
      <w:r>
        <w:rPr>
          <w:rFonts w:hint="eastAsia" w:ascii="宋体" w:hAnsi="宋体" w:eastAsia="宋体" w:cs="宋体"/>
          <w:color w:val="auto"/>
          <w:kern w:val="0"/>
          <w:sz w:val="24"/>
          <w:szCs w:val="24"/>
          <w:highlight w:val="none"/>
          <w:lang w:val="en-US" w:eastAsia="zh-CN"/>
        </w:rPr>
        <w:t>医院纪检</w:t>
      </w:r>
      <w:r>
        <w:rPr>
          <w:rFonts w:hint="eastAsia" w:ascii="宋体" w:hAnsi="宋体" w:eastAsia="宋体" w:cs="宋体"/>
          <w:color w:val="auto"/>
          <w:kern w:val="0"/>
          <w:sz w:val="24"/>
          <w:szCs w:val="24"/>
          <w:highlight w:val="none"/>
        </w:rPr>
        <w:t>部门投诉。</w:t>
      </w:r>
    </w:p>
    <w:p w14:paraId="3B893C68">
      <w:pPr>
        <w:keepNext w:val="0"/>
        <w:keepLines w:val="0"/>
        <w:pageBreakBefore w:val="0"/>
        <w:widowControl w:val="0"/>
        <w:shd w:val="clear" w:color="auto" w:fill="FFFFFF"/>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质疑、投诉应当采用书面形式，质疑书、投诉书均应明确阐述</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结果中使自己合法权益受到损害的实质性内容，提供相关事实、依据和证据及其来源或线索，便于有关单位调查、答复和处理。</w:t>
      </w:r>
    </w:p>
    <w:p w14:paraId="6670C581">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w:t>
      </w:r>
    </w:p>
    <w:p w14:paraId="1B68A14C">
      <w:pPr>
        <w:tabs>
          <w:tab w:val="left" w:pos="720"/>
        </w:tabs>
        <w:spacing w:line="360" w:lineRule="auto"/>
        <w:ind w:firstLine="482" w:firstLineChars="200"/>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9.采购文件构成</w:t>
      </w:r>
    </w:p>
    <w:p w14:paraId="00C9D0C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文件中供应商须知、条款、格式等所有事项，按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文件的要求制作并提交响应文件，并保证所提供的全部资料的真实性，以使其投标对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文件做出实质性响应，否则，将承担其投标被拒绝的风险。</w:t>
      </w:r>
    </w:p>
    <w:p w14:paraId="073B3FE2">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文件的澄清与修改</w:t>
      </w:r>
    </w:p>
    <w:p w14:paraId="7443463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对已发出的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文件进行必要澄清、修改或补充的，应当在</w:t>
      </w:r>
      <w:r>
        <w:rPr>
          <w:rFonts w:hint="eastAsia" w:ascii="宋体" w:hAnsi="宋体" w:eastAsia="宋体" w:cs="宋体"/>
          <w:color w:val="auto"/>
          <w:kern w:val="0"/>
          <w:sz w:val="24"/>
          <w:szCs w:val="24"/>
          <w:highlight w:val="none"/>
          <w:lang w:val="en-US" w:eastAsia="zh-CN"/>
        </w:rPr>
        <w:t>原采购公告发布</w:t>
      </w:r>
      <w:r>
        <w:rPr>
          <w:rFonts w:hint="eastAsia" w:ascii="宋体" w:hAnsi="宋体" w:eastAsia="宋体" w:cs="宋体"/>
          <w:color w:val="auto"/>
          <w:kern w:val="0"/>
          <w:sz w:val="24"/>
          <w:szCs w:val="24"/>
          <w:highlight w:val="none"/>
        </w:rPr>
        <w:t>媒体上发布更正公告或变更公告。</w:t>
      </w:r>
    </w:p>
    <w:p w14:paraId="672DF5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文件澄清、修改或补充的内容为</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文件的组成部分。</w:t>
      </w:r>
    </w:p>
    <w:p w14:paraId="28FD75DD">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文件的编制</w:t>
      </w:r>
    </w:p>
    <w:p w14:paraId="4E193EDA">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.要求</w:t>
      </w:r>
    </w:p>
    <w:p w14:paraId="7F4EF235">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文件的所有内容，按照</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文件提供的格式编写</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文件，不得缺少或留空任何</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文件要求填写的表格或提交的资料。</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文件提供格式的按格式填列，未提供格式的可自行拟定。</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文件的要求作出实质性响应（包括</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资格要求、技术要求、商务要求和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文件格式中对</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的要求），</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对所提供的全部资料的合法性、真实性负责。</w:t>
      </w:r>
    </w:p>
    <w:p w14:paraId="417073B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文件的语言和计量单位</w:t>
      </w:r>
    </w:p>
    <w:p w14:paraId="609BDD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响应</w:t>
      </w:r>
      <w:r>
        <w:rPr>
          <w:rFonts w:hint="eastAsia" w:ascii="宋体" w:hAnsi="宋体" w:eastAsia="宋体" w:cs="宋体"/>
          <w:color w:val="auto"/>
          <w:kern w:val="0"/>
          <w:sz w:val="24"/>
          <w:szCs w:val="24"/>
          <w:highlight w:val="none"/>
        </w:rPr>
        <w:t>文件以及</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与采购人就有关</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事宜的所有来往函电均应使用简体中文书写。供应商提供的外文资料应附有相应的中文译本，并以中文译本为准。</w:t>
      </w:r>
    </w:p>
    <w:p w14:paraId="1A6D70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文件已有明确规定的，使用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文件没有规定的，应采用中华人民共和国法定计量单位。</w:t>
      </w:r>
    </w:p>
    <w:p w14:paraId="27843369">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文件的组成</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文件应包括下列部分：</w:t>
      </w:r>
    </w:p>
    <w:p w14:paraId="170FE95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竞争性磋商响应书</w:t>
      </w:r>
    </w:p>
    <w:p w14:paraId="400CB9C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13.2初次报价</w:t>
      </w:r>
      <w:r>
        <w:rPr>
          <w:rFonts w:hint="eastAsia" w:ascii="宋体" w:hAnsi="宋体" w:eastAsia="宋体" w:cs="宋体"/>
          <w:color w:val="auto"/>
          <w:kern w:val="0"/>
          <w:sz w:val="24"/>
          <w:szCs w:val="24"/>
          <w:highlight w:val="none"/>
        </w:rPr>
        <w:t>一览表</w:t>
      </w:r>
    </w:p>
    <w:p w14:paraId="47976D3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报价明细表</w:t>
      </w:r>
    </w:p>
    <w:p w14:paraId="2FB816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技术响应表</w:t>
      </w:r>
    </w:p>
    <w:p w14:paraId="0E744A4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商务响应表</w:t>
      </w:r>
    </w:p>
    <w:p w14:paraId="6C92A00D">
      <w:pPr>
        <w:keepNext w:val="0"/>
        <w:keepLines w:val="0"/>
        <w:pageBreakBefore w:val="0"/>
        <w:widowControl w:val="0"/>
        <w:kinsoku/>
        <w:wordWrap/>
        <w:overflowPunct/>
        <w:topLinePunct w:val="0"/>
        <w:bidi w:val="0"/>
        <w:snapToGrid w:val="0"/>
        <w:spacing w:line="360" w:lineRule="auto"/>
        <w:ind w:left="208" w:leftChars="99"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法定代表人身份证明</w:t>
      </w:r>
    </w:p>
    <w:p w14:paraId="2979C96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法定代表人授权书</w:t>
      </w:r>
    </w:p>
    <w:p w14:paraId="6E7D683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证明文件</w:t>
      </w:r>
    </w:p>
    <w:p w14:paraId="3B3C118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响应文件</w:t>
      </w:r>
      <w:r>
        <w:rPr>
          <w:rFonts w:hint="eastAsia" w:ascii="宋体" w:hAnsi="宋体" w:eastAsia="宋体" w:cs="宋体"/>
          <w:b/>
          <w:color w:val="auto"/>
          <w:kern w:val="0"/>
          <w:sz w:val="24"/>
          <w:szCs w:val="24"/>
          <w:highlight w:val="none"/>
        </w:rPr>
        <w:t>有效期</w:t>
      </w:r>
    </w:p>
    <w:p w14:paraId="0BE5B1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响应文件应自规定的磋商之日起，在“供应商须知”规定的时间内保持有效。磋商有效期不足的投标将被视为非实质性响应，并予以拒绝。</w:t>
      </w:r>
    </w:p>
    <w:p w14:paraId="4F8F7CF9">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.投标报价</w:t>
      </w:r>
    </w:p>
    <w:p w14:paraId="446754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所有</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报价均以</w:t>
      </w:r>
      <w:r>
        <w:rPr>
          <w:rFonts w:hint="eastAsia" w:ascii="宋体" w:hAnsi="宋体" w:cs="宋体"/>
          <w:color w:val="auto"/>
          <w:kern w:val="0"/>
          <w:sz w:val="24"/>
          <w:szCs w:val="24"/>
          <w:highlight w:val="none"/>
          <w:lang w:val="en-US" w:eastAsia="zh-CN"/>
        </w:rPr>
        <w:t>综合折扣率（%）</w:t>
      </w:r>
      <w:r>
        <w:rPr>
          <w:rFonts w:hint="eastAsia" w:ascii="宋体" w:hAnsi="宋体" w:eastAsia="宋体" w:cs="宋体"/>
          <w:color w:val="auto"/>
          <w:kern w:val="0"/>
          <w:sz w:val="24"/>
          <w:szCs w:val="24"/>
          <w:highlight w:val="none"/>
        </w:rPr>
        <w:t>为计算单位。</w:t>
      </w:r>
    </w:p>
    <w:p w14:paraId="680CBC8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要按</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一览表的内容填写。</w:t>
      </w:r>
    </w:p>
    <w:p w14:paraId="49B4686B">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pacing w:val="10"/>
          <w:kern w:val="0"/>
          <w:sz w:val="24"/>
          <w:szCs w:val="24"/>
          <w:highlight w:val="none"/>
          <w:lang w:eastAsia="zh-CN"/>
        </w:rPr>
        <w:t>供应商</w:t>
      </w:r>
      <w:r>
        <w:rPr>
          <w:rFonts w:hint="eastAsia" w:ascii="宋体" w:hAnsi="宋体" w:eastAsia="宋体" w:cs="宋体"/>
          <w:color w:val="auto"/>
          <w:spacing w:val="10"/>
          <w:kern w:val="0"/>
          <w:sz w:val="24"/>
          <w:szCs w:val="24"/>
          <w:highlight w:val="none"/>
        </w:rPr>
        <w:t>投报多标包的，应对每标包分别报价并分别填报</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w:t>
      </w:r>
      <w:r>
        <w:rPr>
          <w:rFonts w:hint="eastAsia" w:ascii="宋体" w:hAnsi="宋体" w:eastAsia="宋体" w:cs="宋体"/>
          <w:color w:val="auto"/>
          <w:spacing w:val="10"/>
          <w:kern w:val="0"/>
          <w:sz w:val="24"/>
          <w:szCs w:val="24"/>
          <w:highlight w:val="none"/>
        </w:rPr>
        <w:t>。</w:t>
      </w:r>
    </w:p>
    <w:p w14:paraId="4CE9644D">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.4 </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中标明的价格在政府采购合同执行过程中是固定不变的，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不得以任何理由予以变更。以可调整的价格提交的投标将被作为无效投标处理。</w:t>
      </w:r>
    </w:p>
    <w:p w14:paraId="7D9F74C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不接受可选择的投标报价。</w:t>
      </w:r>
    </w:p>
    <w:p w14:paraId="05427D8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.6 对于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文件中列出的赠送条款，在评审时不得作为价格评分因素或者调整评标价格的依据。</w:t>
      </w:r>
    </w:p>
    <w:p w14:paraId="5BDEFEBB">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16</w:t>
      </w:r>
      <w:r>
        <w:rPr>
          <w:rFonts w:hint="eastAsia" w:ascii="宋体" w:hAnsi="宋体" w:eastAsia="宋体" w:cs="宋体"/>
          <w:b/>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文件的签署</w:t>
      </w:r>
      <w:r>
        <w:rPr>
          <w:rFonts w:hint="eastAsia" w:ascii="宋体" w:hAnsi="宋体" w:eastAsia="宋体" w:cs="宋体"/>
          <w:b/>
          <w:color w:val="auto"/>
          <w:kern w:val="0"/>
          <w:sz w:val="24"/>
          <w:szCs w:val="24"/>
          <w:highlight w:val="none"/>
          <w:lang w:val="en-US" w:eastAsia="zh-CN"/>
        </w:rPr>
        <w:t>及其他规定</w:t>
      </w:r>
    </w:p>
    <w:p w14:paraId="14F451FB">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文件应按第六章“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文件格式”进行编写，如有必要，可以增加附页，作为</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的组成部分。其中，</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报价一览表在满足</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文件实质性要求的基础上，可以提出比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文件要求更有利于采购人的承诺。</w:t>
      </w:r>
    </w:p>
    <w:p w14:paraId="214B55FE">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文件应用不褪色的材料书写或打印，并由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的法定代表人盖章或盖单位公章；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文件应尽量避免涂改、行间插字或删除，如果出现上述情况，改动之处应加盖单位公章或由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的法定代表人盖章确认。</w:t>
      </w:r>
    </w:p>
    <w:p w14:paraId="48E409E1">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文件份数见</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文件正本和副本的封面上应清楚地标记“正本”或“副本”的字样。</w:t>
      </w:r>
    </w:p>
    <w:p w14:paraId="2473E976">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文件的递交</w:t>
      </w:r>
    </w:p>
    <w:p w14:paraId="06D1078F">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17.</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文件的密封、标记</w:t>
      </w:r>
    </w:p>
    <w:p w14:paraId="073ADB34">
      <w:pPr>
        <w:keepNext w:val="0"/>
        <w:keepLines w:val="0"/>
        <w:pageBreakBefore w:val="0"/>
        <w:widowControl w:val="0"/>
        <w:kinsoku/>
        <w:wordWrap/>
        <w:overflowPunct/>
        <w:topLinePunct w:val="0"/>
        <w:autoSpaceDE/>
        <w:autoSpaceDN/>
        <w:bidi w:val="0"/>
        <w:adjustRightInd/>
        <w:spacing w:line="360" w:lineRule="auto"/>
        <w:ind w:firstLine="484" w:firstLineChars="202"/>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未按本章第</w:t>
      </w:r>
      <w:r>
        <w:rPr>
          <w:rFonts w:hint="eastAsia" w:ascii="宋体" w:hAnsi="宋体" w:cs="宋体"/>
          <w:color w:val="auto"/>
          <w:sz w:val="24"/>
          <w:szCs w:val="24"/>
          <w:highlight w:val="none"/>
          <w:lang w:val="en-US" w:eastAsia="zh-CN"/>
        </w:rPr>
        <w:t>17.1</w:t>
      </w:r>
      <w:r>
        <w:rPr>
          <w:rFonts w:hint="eastAsia" w:ascii="宋体" w:hAnsi="宋体" w:eastAsia="宋体" w:cs="宋体"/>
          <w:color w:val="auto"/>
          <w:sz w:val="24"/>
          <w:szCs w:val="24"/>
          <w:highlight w:val="none"/>
          <w:lang w:eastAsia="zh-CN"/>
        </w:rPr>
        <w:t>项要求密封的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sz w:val="24"/>
          <w:szCs w:val="24"/>
          <w:highlight w:val="none"/>
          <w:lang w:eastAsia="zh-CN"/>
        </w:rPr>
        <w:t>文件，采购人不予受理。</w:t>
      </w:r>
    </w:p>
    <w:p w14:paraId="56E32590">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val="0"/>
          <w:color w:val="auto"/>
          <w:kern w:val="0"/>
          <w:sz w:val="24"/>
          <w:szCs w:val="24"/>
          <w:highlight w:val="none"/>
        </w:rPr>
      </w:pPr>
      <w:r>
        <w:rPr>
          <w:rFonts w:hint="eastAsia" w:ascii="宋体" w:hAnsi="宋体" w:cs="宋体"/>
          <w:b/>
          <w:bCs w:val="0"/>
          <w:color w:val="auto"/>
          <w:kern w:val="0"/>
          <w:sz w:val="24"/>
          <w:szCs w:val="24"/>
          <w:highlight w:val="none"/>
          <w:lang w:val="en-US" w:eastAsia="zh-CN"/>
        </w:rPr>
        <w:t>18</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rPr>
        <w:t>文件的递交</w:t>
      </w:r>
    </w:p>
    <w:p w14:paraId="315D50D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应在规定的</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lang w:eastAsia="zh-CN"/>
        </w:rPr>
        <w:t>递交</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p>
    <w:p w14:paraId="333575B4">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18.2</w:t>
      </w:r>
      <w:r>
        <w:rPr>
          <w:rFonts w:hint="eastAsia" w:ascii="宋体" w:hAnsi="宋体" w:eastAsia="宋体" w:cs="宋体"/>
          <w:color w:val="auto"/>
          <w:kern w:val="0"/>
          <w:sz w:val="24"/>
          <w:szCs w:val="24"/>
          <w:highlight w:val="none"/>
        </w:rPr>
        <w:t xml:space="preserve"> 逾期送达的或者未送达指定地点的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文件，采购人不予受理。</w:t>
      </w:r>
    </w:p>
    <w:p w14:paraId="089256E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19</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文件的修改和撤回</w:t>
      </w:r>
    </w:p>
    <w:p w14:paraId="719856B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在投标截止时间前，可以对所提交的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文件进行补充、修改或者撤回，并书面通知</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。补充、修改的内容和撤回通知应当按本须知要求签署、盖章、密封，并作为</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文件的组成部分。</w:t>
      </w:r>
    </w:p>
    <w:p w14:paraId="4FECB1E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截止期后不得修改、撤回</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在投标截止期后修改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文件的，其投标将被拒绝。</w:t>
      </w:r>
    </w:p>
    <w:p w14:paraId="4B6E8295">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、评标</w:t>
      </w:r>
    </w:p>
    <w:p w14:paraId="520C506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 组建</w:t>
      </w:r>
      <w:r>
        <w:rPr>
          <w:rFonts w:hint="eastAsia" w:ascii="宋体" w:hAnsi="宋体" w:eastAsia="宋体" w:cs="宋体"/>
          <w:b/>
          <w:bCs/>
          <w:color w:val="auto"/>
          <w:kern w:val="0"/>
          <w:sz w:val="24"/>
          <w:szCs w:val="24"/>
          <w:highlight w:val="none"/>
          <w:lang w:eastAsia="zh-CN"/>
        </w:rPr>
        <w:t>磋商小组</w:t>
      </w:r>
    </w:p>
    <w:p w14:paraId="78EE007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磋商由评审小组负责。评审小组由采购人的代表和有关技术、经济等方面的专家组成，成员人数应当为3人及以上单数。其中，技术、经济等方面的专家不得少于成员总数的三分之二。评审小组应当推选组长，但采购人代表不得担任组长。</w:t>
      </w:r>
    </w:p>
    <w:p w14:paraId="784A123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成员要依法独立评审，并对评审意见承担个人责任。</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成员对需要共同认定的事项存在争议的，按照少数服从多数的原则</w:t>
      </w:r>
      <w:r>
        <w:rPr>
          <w:rFonts w:hint="eastAsia" w:ascii="宋体" w:hAnsi="宋体" w:eastAsia="宋体" w:cs="宋体"/>
          <w:color w:val="auto"/>
          <w:kern w:val="0"/>
          <w:sz w:val="24"/>
          <w:szCs w:val="24"/>
          <w:highlight w:val="none"/>
        </w:rPr>
        <w:t>做</w:t>
      </w:r>
      <w:r>
        <w:rPr>
          <w:rFonts w:hint="eastAsia" w:ascii="宋体" w:hAnsi="宋体" w:eastAsia="宋体" w:cs="宋体"/>
          <w:color w:val="auto"/>
          <w:sz w:val="24"/>
          <w:szCs w:val="24"/>
          <w:highlight w:val="none"/>
        </w:rPr>
        <w:t>出结论。持不同意见的</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成员应当在评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报告上签署不同意见</w:t>
      </w:r>
      <w:r>
        <w:rPr>
          <w:rFonts w:hint="eastAsia" w:ascii="宋体" w:hAnsi="宋体" w:eastAsia="宋体" w:cs="宋体"/>
          <w:color w:val="auto"/>
          <w:kern w:val="0"/>
          <w:sz w:val="24"/>
          <w:szCs w:val="24"/>
          <w:highlight w:val="none"/>
        </w:rPr>
        <w:t>并说明</w:t>
      </w:r>
      <w:r>
        <w:rPr>
          <w:rFonts w:hint="eastAsia" w:ascii="宋体" w:hAnsi="宋体" w:eastAsia="宋体" w:cs="宋体"/>
          <w:color w:val="auto"/>
          <w:sz w:val="24"/>
          <w:szCs w:val="24"/>
          <w:highlight w:val="none"/>
        </w:rPr>
        <w:t>理由，否则视为同意。</w:t>
      </w:r>
    </w:p>
    <w:p w14:paraId="69F5B638">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sz w:val="24"/>
          <w:szCs w:val="24"/>
          <w:highlight w:val="none"/>
        </w:rPr>
        <w:t>文件的初审</w:t>
      </w:r>
    </w:p>
    <w:p w14:paraId="0EA49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报价出现前后不一致的，除</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文件另有规定外，修正错误的原则如下：</w:t>
      </w:r>
    </w:p>
    <w:p w14:paraId="4DF8A71E">
      <w:pPr>
        <w:pStyle w:val="28"/>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21.1.1</w:t>
      </w:r>
      <w:r>
        <w:rPr>
          <w:rFonts w:hint="eastAsia" w:ascii="宋体" w:hAnsi="宋体" w:eastAsia="宋体" w:cs="宋体"/>
          <w:color w:val="auto"/>
          <w:sz w:val="24"/>
          <w:szCs w:val="24"/>
          <w:highlight w:val="none"/>
          <w:lang w:val="en-US" w:eastAsia="zh-CN"/>
        </w:rPr>
        <w:t>响应文件</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（报价表）内容与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shd w:val="clear" w:color="auto" w:fill="FFFFFF"/>
        </w:rPr>
        <w:t>中相应内容不一致的，以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（报价表）为准；</w:t>
      </w:r>
    </w:p>
    <w:p w14:paraId="0AF4EB71">
      <w:pPr>
        <w:pStyle w:val="28"/>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大写金额</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shd w:val="clear" w:color="auto" w:fill="FFFFFF"/>
        </w:rPr>
        <w:t>小写金额不一致的，以大写金额为准；</w:t>
      </w:r>
    </w:p>
    <w:p w14:paraId="7AFACED1">
      <w:pPr>
        <w:pStyle w:val="28"/>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shd w:val="clear" w:color="auto" w:fill="FFFFFF"/>
        </w:rPr>
        <w:t>单价金额小数点或者百分比有明显错位的，以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的总价为准，并修改单价；</w:t>
      </w:r>
    </w:p>
    <w:p w14:paraId="4657271C">
      <w:pPr>
        <w:pStyle w:val="28"/>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shd w:val="clear" w:color="auto" w:fill="FFFFFF"/>
        </w:rPr>
        <w:t>总价金额与按单价汇总金额不一致的，以单价金额计算结果为准。</w:t>
      </w:r>
    </w:p>
    <w:p w14:paraId="279D2BF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.5对不同文字文本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文件的解释发生异议的，以中文文本为准。</w:t>
      </w:r>
    </w:p>
    <w:p w14:paraId="4C5E5A1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.6同时出现两种以上不一致的，按照前款规定的顺序修正。修正后的报价按照财政部87号令第五十一条第二款的规定经</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确认后产生约束力，</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不确认的，其投标无效。</w:t>
      </w:r>
    </w:p>
    <w:p w14:paraId="74D8E00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资格性检查和符合性检查。</w:t>
      </w:r>
    </w:p>
    <w:p w14:paraId="62B67604">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资格性检查。</w:t>
      </w:r>
    </w:p>
    <w:p w14:paraId="512679B8">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委托代购代理机构</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公告第二项和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文件第三章</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应提交的证明文件所述的资格标准对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进行资格审查,以确定其是否具备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资格。如果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资格、不满足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文件所规定的资格标准或提供资格证明文件不全,其投标将被作为无效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w:t>
      </w:r>
    </w:p>
    <w:p w14:paraId="6A6B5FC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 资格审查后合格的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不足3家的，不得评标。</w:t>
      </w:r>
    </w:p>
    <w:p w14:paraId="49F8D8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 符合性检查。依据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将从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的有效性、完整性和对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文件的响应程度进行审查，以确定是否符合对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文件的实质性要求作出响应。对没有实质性响应的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文件将不进行评估，其投标被作为无效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。凡有下列情况之一者，</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文件也将被视为未实质性响应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w:t>
      </w:r>
    </w:p>
    <w:p w14:paraId="1C23A94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响应文件</w:t>
      </w:r>
      <w:r>
        <w:rPr>
          <w:rFonts w:hint="eastAsia" w:ascii="宋体" w:hAnsi="宋体" w:eastAsia="宋体" w:cs="宋体"/>
          <w:b/>
          <w:bCs/>
          <w:color w:val="auto"/>
          <w:kern w:val="0"/>
          <w:sz w:val="24"/>
          <w:szCs w:val="24"/>
          <w:highlight w:val="none"/>
        </w:rPr>
        <w:t>未按规定签字、盖章的。</w:t>
      </w:r>
    </w:p>
    <w:p w14:paraId="05C53A1D">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未按</w:t>
      </w:r>
      <w:r>
        <w:rPr>
          <w:rFonts w:hint="eastAsia" w:ascii="宋体" w:hAnsi="宋体" w:eastAsia="宋体" w:cs="宋体"/>
          <w:b/>
          <w:bCs/>
          <w:color w:val="auto"/>
          <w:kern w:val="0"/>
          <w:sz w:val="24"/>
          <w:szCs w:val="24"/>
          <w:highlight w:val="none"/>
          <w:lang w:val="en-US" w:eastAsia="zh-CN"/>
        </w:rPr>
        <w:t>磋商</w:t>
      </w:r>
      <w:r>
        <w:rPr>
          <w:rFonts w:hint="eastAsia" w:ascii="宋体" w:hAnsi="宋体" w:eastAsia="宋体" w:cs="宋体"/>
          <w:b/>
          <w:bCs/>
          <w:color w:val="auto"/>
          <w:kern w:val="0"/>
          <w:sz w:val="24"/>
          <w:szCs w:val="24"/>
          <w:highlight w:val="none"/>
        </w:rPr>
        <w:t>文件规定报价，报价均超过采购预算或最高限价的。</w:t>
      </w:r>
    </w:p>
    <w:p w14:paraId="01BAF513">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）不符合</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文件中规定的其它实质性条款。</w:t>
      </w:r>
    </w:p>
    <w:p w14:paraId="679F4DE5">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决定投标的响应性只根据</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文件本身的内容，而不寻求其他的外部证据。</w:t>
      </w:r>
    </w:p>
    <w:p w14:paraId="1A62603E">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 对资格性检查和符合性检查不合格的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应当面</w:t>
      </w:r>
      <w:r>
        <w:rPr>
          <w:rFonts w:hint="eastAsia" w:ascii="宋体" w:hAnsi="宋体" w:eastAsia="宋体" w:cs="宋体"/>
          <w:color w:val="auto"/>
          <w:kern w:val="0"/>
          <w:sz w:val="24"/>
          <w:szCs w:val="24"/>
          <w:highlight w:val="none"/>
        </w:rPr>
        <w:t>告知其理由。</w:t>
      </w:r>
    </w:p>
    <w:p w14:paraId="74B995EB">
      <w:pPr>
        <w:pStyle w:val="28"/>
        <w:keepNext w:val="0"/>
        <w:keepLines w:val="0"/>
        <w:pageBreakBefore w:val="0"/>
        <w:widowControl w:val="0"/>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在评审过程中，</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串通投标，其</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无效：</w:t>
      </w:r>
    </w:p>
    <w:p w14:paraId="1ED89A2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异常一致。</w:t>
      </w:r>
    </w:p>
    <w:p w14:paraId="274BE1E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.2不同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由同一单位或者个人编制；</w:t>
      </w:r>
    </w:p>
    <w:p w14:paraId="12AF613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.3不同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委托同一单位或者个人办理投标事宜；</w:t>
      </w:r>
    </w:p>
    <w:p w14:paraId="6BA5E29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.4不同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载明的项目管理成员或者联系人员为同一人；　　</w:t>
      </w:r>
    </w:p>
    <w:p w14:paraId="4F4717B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.5不同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相互混装；</w:t>
      </w:r>
    </w:p>
    <w:p w14:paraId="5987C29A">
      <w:pPr>
        <w:keepNext w:val="0"/>
        <w:keepLines w:val="0"/>
        <w:pageBreakBefore w:val="0"/>
        <w:widowControl w:val="0"/>
        <w:kinsoku/>
        <w:wordWrap/>
        <w:overflowPunct/>
        <w:topLinePunct w:val="0"/>
        <w:bidi w:val="0"/>
        <w:adjustRightInd w:val="0"/>
        <w:snapToGrid w:val="0"/>
        <w:spacing w:line="360" w:lineRule="auto"/>
        <w:ind w:left="19" w:leftChars="9" w:firstLine="456" w:firstLineChars="19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 xml:space="preserve"> 有证据证明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串通投标的其他情形的；</w:t>
      </w:r>
    </w:p>
    <w:p w14:paraId="265D305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认定的其他串通投标情形。</w:t>
      </w:r>
    </w:p>
    <w:p w14:paraId="42C3E08A">
      <w:pPr>
        <w:keepNext w:val="0"/>
        <w:keepLines w:val="0"/>
        <w:pageBreakBefore w:val="0"/>
        <w:widowControl w:val="0"/>
        <w:tabs>
          <w:tab w:val="left" w:pos="0"/>
        </w:tabs>
        <w:kinsoku/>
        <w:wordWrap/>
        <w:overflowPunct/>
        <w:topLinePunct w:val="0"/>
        <w:bidi w:val="0"/>
        <w:snapToGrid w:val="0"/>
        <w:spacing w:line="360" w:lineRule="auto"/>
        <w:ind w:left="105" w:leftChars="50" w:firstLine="361" w:firstLineChars="150"/>
        <w:contextualSpacing/>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lang w:val="en-US" w:eastAsia="zh-CN"/>
        </w:rPr>
        <w:t>磋商</w:t>
      </w:r>
    </w:p>
    <w:p w14:paraId="64E8A3A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对资格性检查和符合性检查合格的供应商，进入本次磋商程序。</w:t>
      </w:r>
    </w:p>
    <w:p w14:paraId="23E8D31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 xml:space="preserve">.1 </w:t>
      </w:r>
      <w:r>
        <w:rPr>
          <w:rFonts w:hint="eastAsia" w:ascii="宋体" w:hAnsi="宋体" w:eastAsia="宋体" w:cs="宋体"/>
          <w:b w:val="0"/>
          <w:bCs w:val="0"/>
          <w:color w:val="auto"/>
          <w:sz w:val="24"/>
          <w:szCs w:val="24"/>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.2 本次竞争性磋商进行</w:t>
      </w:r>
      <w:r>
        <w:rPr>
          <w:rFonts w:hint="eastAsia" w:ascii="宋体" w:hAnsi="宋体" w:eastAsia="宋体" w:cs="宋体"/>
          <w:b w:val="0"/>
          <w:bCs w:val="0"/>
          <w:color w:val="auto"/>
          <w:sz w:val="24"/>
          <w:szCs w:val="24"/>
          <w:highlight w:val="none"/>
          <w:u w:val="single"/>
          <w:lang w:val="en-US" w:eastAsia="zh-CN"/>
        </w:rPr>
        <w:t xml:space="preserve"> 多 </w:t>
      </w:r>
      <w:r>
        <w:rPr>
          <w:rFonts w:hint="eastAsia" w:ascii="宋体" w:hAnsi="宋体" w:eastAsia="宋体" w:cs="宋体"/>
          <w:b w:val="0"/>
          <w:bCs w:val="0"/>
          <w:color w:val="auto"/>
          <w:sz w:val="24"/>
          <w:szCs w:val="24"/>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文件的澄清</w:t>
      </w:r>
    </w:p>
    <w:p w14:paraId="29924CB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1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3C27E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.2评审小组要求供应商澄清、说明或者更正响应文件应当以书面形式作出。供应商的澄清、说明或者更正应当由法定代表人或其授权代表签字或者加盖公章。</w:t>
      </w:r>
    </w:p>
    <w:p w14:paraId="3A86F42C">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 xml:space="preserve"> 评标过程及保密原则</w:t>
      </w:r>
    </w:p>
    <w:p w14:paraId="26B5CC7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 凡与本次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有关人员对属于审查、澄清、评价和比较</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的有关资料以及定标意向等，均不得向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或其他人员透露。否则,将按有关规定追究相关人员的责任。</w:t>
      </w:r>
    </w:p>
    <w:p w14:paraId="098EE9D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.2 在评标期间，</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试图影响或干预评审的任何行为，将导致其</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，并承担相应的法律责任。</w:t>
      </w:r>
    </w:p>
    <w:p w14:paraId="49E8DB03">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成交结果</w:t>
      </w:r>
    </w:p>
    <w:p w14:paraId="470BA4A0">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24</w:t>
      </w:r>
      <w:r>
        <w:rPr>
          <w:rFonts w:hint="eastAsia" w:ascii="宋体" w:hAnsi="宋体" w:eastAsia="宋体" w:cs="宋体"/>
          <w:b/>
          <w:bCs/>
          <w:color w:val="auto"/>
          <w:kern w:val="0"/>
          <w:sz w:val="24"/>
          <w:szCs w:val="24"/>
          <w:highlight w:val="none"/>
        </w:rPr>
        <w:t xml:space="preserve">. </w:t>
      </w:r>
      <w:r>
        <w:rPr>
          <w:rFonts w:hint="eastAsia" w:ascii="宋体" w:hAnsi="宋体" w:cs="宋体"/>
          <w:b/>
          <w:bCs/>
          <w:color w:val="auto"/>
          <w:kern w:val="0"/>
          <w:sz w:val="24"/>
          <w:szCs w:val="24"/>
          <w:highlight w:val="none"/>
          <w:lang w:val="en-US" w:eastAsia="zh-CN"/>
        </w:rPr>
        <w:t>成交</w:t>
      </w:r>
      <w:r>
        <w:rPr>
          <w:rFonts w:hint="eastAsia" w:ascii="宋体" w:hAnsi="宋体" w:eastAsia="宋体" w:cs="宋体"/>
          <w:b/>
          <w:bCs/>
          <w:color w:val="auto"/>
          <w:kern w:val="0"/>
          <w:sz w:val="24"/>
          <w:szCs w:val="24"/>
          <w:highlight w:val="none"/>
        </w:rPr>
        <w:t>原则</w:t>
      </w:r>
    </w:p>
    <w:p w14:paraId="7B136907">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采用综合评分法的，评标结果按评审后得分由高到低顺序排列。</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文件全部实质性要求，且按照评审因素的量化指标评审得分最高的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，以此类推。得分相同的，按</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报价由低到高顺序排列。得分且</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报价相同的，按技术部分得分顺序排列。得分与技术指标优劣均相同的，通过随机抽取产生。</w:t>
      </w:r>
    </w:p>
    <w:p w14:paraId="1362F231">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25</w:t>
      </w:r>
      <w:r>
        <w:rPr>
          <w:rFonts w:hint="eastAsia" w:ascii="宋体" w:hAnsi="宋体" w:eastAsia="宋体" w:cs="宋体"/>
          <w:b/>
          <w:bCs/>
          <w:color w:val="auto"/>
          <w:kern w:val="0"/>
          <w:sz w:val="24"/>
          <w:szCs w:val="24"/>
          <w:highlight w:val="none"/>
        </w:rPr>
        <w:t>. 确定</w:t>
      </w:r>
      <w:r>
        <w:rPr>
          <w:rFonts w:hint="eastAsia" w:ascii="宋体" w:hAnsi="宋体" w:eastAsia="宋体" w:cs="宋体"/>
          <w:b/>
          <w:bCs/>
          <w:color w:val="auto"/>
          <w:kern w:val="0"/>
          <w:sz w:val="24"/>
          <w:szCs w:val="24"/>
          <w:highlight w:val="none"/>
          <w:lang w:eastAsia="zh-CN"/>
        </w:rPr>
        <w:t>成交供应商</w:t>
      </w:r>
      <w:r>
        <w:rPr>
          <w:rFonts w:hint="eastAsia" w:ascii="宋体" w:hAnsi="宋体" w:eastAsia="宋体" w:cs="宋体"/>
          <w:b/>
          <w:bCs/>
          <w:color w:val="auto"/>
          <w:kern w:val="0"/>
          <w:sz w:val="24"/>
          <w:szCs w:val="24"/>
          <w:highlight w:val="none"/>
        </w:rPr>
        <w:t>和</w:t>
      </w:r>
      <w:r>
        <w:rPr>
          <w:rFonts w:hint="eastAsia" w:ascii="宋体" w:hAnsi="宋体" w:eastAsia="宋体" w:cs="宋体"/>
          <w:b/>
          <w:bCs/>
          <w:color w:val="auto"/>
          <w:kern w:val="0"/>
          <w:sz w:val="24"/>
          <w:szCs w:val="24"/>
          <w:highlight w:val="none"/>
          <w:lang w:eastAsia="zh-CN"/>
        </w:rPr>
        <w:t>成交候选供应商</w:t>
      </w:r>
    </w:p>
    <w:p w14:paraId="1A4C6E5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本项目由采购人授权</w:t>
      </w:r>
      <w:r>
        <w:rPr>
          <w:rFonts w:hint="eastAsia" w:ascii="宋体" w:hAnsi="宋体" w:eastAsia="宋体" w:cs="宋体"/>
          <w:bCs/>
          <w:color w:val="auto"/>
          <w:kern w:val="0"/>
          <w:sz w:val="24"/>
          <w:szCs w:val="24"/>
          <w:highlight w:val="none"/>
          <w:lang w:eastAsia="zh-CN"/>
        </w:rPr>
        <w:t>磋商小组</w:t>
      </w:r>
      <w:r>
        <w:rPr>
          <w:rFonts w:hint="eastAsia" w:ascii="宋体" w:hAnsi="宋体" w:eastAsia="宋体" w:cs="宋体"/>
          <w:bCs/>
          <w:color w:val="auto"/>
          <w:kern w:val="0"/>
          <w:sz w:val="24"/>
          <w:szCs w:val="24"/>
          <w:highlight w:val="none"/>
        </w:rPr>
        <w:t>确定一名</w:t>
      </w:r>
      <w:r>
        <w:rPr>
          <w:rFonts w:hint="eastAsia" w:ascii="宋体" w:hAnsi="宋体" w:eastAsia="宋体" w:cs="宋体"/>
          <w:bCs/>
          <w:color w:val="auto"/>
          <w:kern w:val="0"/>
          <w:sz w:val="24"/>
          <w:szCs w:val="24"/>
          <w:highlight w:val="none"/>
          <w:lang w:eastAsia="zh-CN"/>
        </w:rPr>
        <w:t>成交供应商</w:t>
      </w:r>
      <w:r>
        <w:rPr>
          <w:rFonts w:hint="eastAsia" w:ascii="宋体" w:hAnsi="宋体" w:eastAsia="宋体" w:cs="宋体"/>
          <w:bCs/>
          <w:color w:val="auto"/>
          <w:kern w:val="0"/>
          <w:sz w:val="24"/>
          <w:szCs w:val="24"/>
          <w:highlight w:val="none"/>
        </w:rPr>
        <w:t>并推荐</w:t>
      </w:r>
      <w:r>
        <w:rPr>
          <w:rFonts w:hint="eastAsia" w:ascii="宋体" w:hAnsi="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rPr>
        <w:t>名</w:t>
      </w:r>
      <w:r>
        <w:rPr>
          <w:rFonts w:hint="eastAsia" w:ascii="宋体" w:hAnsi="宋体" w:eastAsia="宋体" w:cs="宋体"/>
          <w:bCs/>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w:t>
      </w:r>
    </w:p>
    <w:p w14:paraId="68B24569">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26</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eastAsia="zh-CN"/>
        </w:rPr>
        <w:t>成交通知书</w:t>
      </w:r>
      <w:r>
        <w:rPr>
          <w:rFonts w:hint="eastAsia" w:ascii="宋体" w:hAnsi="宋体" w:eastAsia="宋体" w:cs="宋体"/>
          <w:b/>
          <w:bCs/>
          <w:color w:val="auto"/>
          <w:kern w:val="0"/>
          <w:sz w:val="24"/>
          <w:szCs w:val="24"/>
          <w:highlight w:val="none"/>
        </w:rPr>
        <w:t>及</w:t>
      </w:r>
      <w:r>
        <w:rPr>
          <w:rFonts w:hint="eastAsia" w:ascii="宋体" w:hAnsi="宋体" w:cs="宋体"/>
          <w:b/>
          <w:bCs/>
          <w:color w:val="auto"/>
          <w:kern w:val="0"/>
          <w:sz w:val="24"/>
          <w:szCs w:val="24"/>
          <w:highlight w:val="none"/>
          <w:lang w:eastAsia="zh-CN"/>
        </w:rPr>
        <w:t>成交</w:t>
      </w:r>
      <w:r>
        <w:rPr>
          <w:rFonts w:hint="eastAsia" w:ascii="宋体" w:hAnsi="宋体" w:cs="宋体"/>
          <w:b/>
          <w:bCs/>
          <w:color w:val="auto"/>
          <w:kern w:val="0"/>
          <w:sz w:val="24"/>
          <w:szCs w:val="24"/>
          <w:highlight w:val="none"/>
          <w:lang w:val="en-US" w:eastAsia="zh-CN"/>
        </w:rPr>
        <w:t>结果</w:t>
      </w:r>
      <w:r>
        <w:rPr>
          <w:rFonts w:hint="eastAsia" w:ascii="宋体" w:hAnsi="宋体" w:eastAsia="宋体" w:cs="宋体"/>
          <w:b/>
          <w:bCs/>
          <w:color w:val="auto"/>
          <w:kern w:val="0"/>
          <w:sz w:val="24"/>
          <w:szCs w:val="24"/>
          <w:highlight w:val="none"/>
        </w:rPr>
        <w:t>公告</w:t>
      </w:r>
    </w:p>
    <w:p w14:paraId="74627CA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.1评审结束后，</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人将</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的情况在本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项目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公告发布的同一媒介予以公示，公示</w:t>
      </w:r>
      <w:r>
        <w:rPr>
          <w:rFonts w:hint="eastAsia" w:ascii="宋体" w:hAnsi="宋体" w:eastAsia="宋体" w:cs="宋体"/>
          <w:color w:val="auto"/>
          <w:kern w:val="0"/>
          <w:sz w:val="24"/>
          <w:szCs w:val="24"/>
          <w:highlight w:val="none"/>
          <w:lang w:eastAsia="zh-CN"/>
        </w:rPr>
        <w:t>期限</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个工作日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公示期结束后</w:t>
      </w:r>
      <w:r>
        <w:rPr>
          <w:rFonts w:hint="eastAsia" w:ascii="宋体" w:hAnsi="宋体" w:eastAsia="宋体" w:cs="宋体"/>
          <w:color w:val="auto"/>
          <w:kern w:val="0"/>
          <w:sz w:val="24"/>
          <w:szCs w:val="24"/>
          <w:highlight w:val="none"/>
        </w:rPr>
        <w:t>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w:t>
      </w:r>
    </w:p>
    <w:p w14:paraId="7AE15A0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lang w:eastAsia="zh-CN"/>
        </w:rPr>
        <w:t>.2采购人与成交供应商应当在成交通知书发出之日起 30 日内，按照磋商文件确定的合同文本以及磋商标的、规格型号、磋商金额、磋商数量、技术和服务要求等事项签订采购合同。</w:t>
      </w:r>
    </w:p>
    <w:p w14:paraId="247B0E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对采购人和</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具有同等法律效力。</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发出后，采购人改变</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结果，或者</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放弃</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，应按相关法律、规章、规范性文件的要求承担相应的法律责任。</w:t>
      </w:r>
    </w:p>
    <w:p w14:paraId="744B013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bCs/>
          <w:color w:val="auto"/>
          <w:kern w:val="0"/>
          <w:sz w:val="24"/>
          <w:szCs w:val="24"/>
          <w:highlight w:val="none"/>
        </w:rPr>
        <w:t>.4</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将作为签订合同的依据。合同签订后，</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成为合同的一部分。</w:t>
      </w:r>
    </w:p>
    <w:p w14:paraId="61008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color w:val="auto"/>
          <w:sz w:val="24"/>
          <w:szCs w:val="24"/>
          <w:highlight w:val="none"/>
        </w:rPr>
      </w:pPr>
      <w:r>
        <w:rPr>
          <w:rFonts w:hint="eastAsia" w:ascii="宋体" w:hAnsi="宋体" w:cs="宋体"/>
          <w:color w:val="auto"/>
          <w:kern w:val="0"/>
          <w:sz w:val="24"/>
          <w:szCs w:val="24"/>
          <w:highlight w:val="none"/>
          <w:lang w:val="en-US" w:eastAsia="zh-CN"/>
        </w:rPr>
        <w:t>26.5</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文件的修改文件、</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、补充或修改的文件及澄清或承诺文件等，均为双方签订合同的组成部分，并与合同一并作为本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文件所列采购项目的互补性法律文件，与合同具有同等法律效力。</w:t>
      </w:r>
    </w:p>
    <w:p w14:paraId="3650A538">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27</w:t>
      </w:r>
      <w:r>
        <w:rPr>
          <w:rFonts w:hint="eastAsia" w:ascii="宋体" w:hAnsi="宋体" w:eastAsia="宋体" w:cs="宋体"/>
          <w:b/>
          <w:bCs/>
          <w:color w:val="auto"/>
          <w:kern w:val="0"/>
          <w:sz w:val="24"/>
          <w:szCs w:val="24"/>
          <w:highlight w:val="none"/>
        </w:rPr>
        <w:t>. 采购人宣布废标的权利</w:t>
      </w:r>
    </w:p>
    <w:p w14:paraId="12308D91">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出现下列情况之一时，采购人有权宣布废标，并将理由通知所有</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w:t>
      </w:r>
    </w:p>
    <w:p w14:paraId="60B7851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出现影响采购公正的违法、违规行为的。</w:t>
      </w:r>
    </w:p>
    <w:p w14:paraId="47356DB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的报价均超过了</w:t>
      </w:r>
      <w:r>
        <w:rPr>
          <w:rFonts w:hint="eastAsia" w:ascii="宋体" w:hAnsi="宋体" w:eastAsia="宋体" w:cs="宋体"/>
          <w:bCs/>
          <w:color w:val="auto"/>
          <w:kern w:val="0"/>
          <w:sz w:val="24"/>
          <w:szCs w:val="24"/>
          <w:highlight w:val="none"/>
          <w:lang w:val="en-US" w:eastAsia="zh-CN"/>
        </w:rPr>
        <w:t>采购预算金额</w:t>
      </w:r>
      <w:r>
        <w:rPr>
          <w:rFonts w:hint="eastAsia" w:ascii="宋体" w:hAnsi="宋体" w:eastAsia="宋体" w:cs="宋体"/>
          <w:bCs/>
          <w:color w:val="auto"/>
          <w:kern w:val="0"/>
          <w:sz w:val="24"/>
          <w:szCs w:val="24"/>
          <w:highlight w:val="none"/>
        </w:rPr>
        <w:t>，采购人不能支付的。</w:t>
      </w:r>
    </w:p>
    <w:p w14:paraId="4938A69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因重大变故，采购任务取消的。</w:t>
      </w:r>
    </w:p>
    <w:p w14:paraId="569FAD42">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b/>
          <w:color w:val="auto"/>
          <w:kern w:val="0"/>
          <w:sz w:val="24"/>
          <w:szCs w:val="24"/>
          <w:highlight w:val="none"/>
          <w:lang w:eastAsia="zh-CN"/>
        </w:rPr>
      </w:pPr>
      <w:r>
        <w:rPr>
          <w:rFonts w:hint="eastAsia" w:ascii="宋体" w:hAnsi="宋体" w:cs="宋体"/>
          <w:bCs/>
          <w:color w:val="auto"/>
          <w:kern w:val="0"/>
          <w:sz w:val="24"/>
          <w:szCs w:val="24"/>
          <w:highlight w:val="none"/>
          <w:lang w:val="en-US" w:eastAsia="zh-CN"/>
        </w:rPr>
        <w:t>（4）</w:t>
      </w:r>
      <w:r>
        <w:rPr>
          <w:rFonts w:hint="eastAsia" w:ascii="宋体" w:hAnsi="宋体" w:eastAsia="宋体" w:cs="宋体"/>
          <w:color w:val="auto"/>
          <w:sz w:val="24"/>
          <w:szCs w:val="24"/>
          <w:highlight w:val="none"/>
        </w:rPr>
        <w:t>投标截止后</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不足3家或通过资格性检查或符合性检查的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r>
        <w:rPr>
          <w:rFonts w:hint="eastAsia" w:ascii="宋体" w:hAnsi="宋体" w:cs="宋体"/>
          <w:color w:val="auto"/>
          <w:sz w:val="24"/>
          <w:szCs w:val="24"/>
          <w:highlight w:val="none"/>
          <w:lang w:eastAsia="zh-CN"/>
        </w:rPr>
        <w:t>。</w:t>
      </w:r>
    </w:p>
    <w:p w14:paraId="5EC13C8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05D3E70">
      <w:pPr>
        <w:keepNext w:val="0"/>
        <w:keepLines w:val="0"/>
        <w:pageBreakBefore w:val="0"/>
        <w:widowControl/>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38" w:name="_Toc31399"/>
      <w:r>
        <w:rPr>
          <w:rFonts w:hint="eastAsia" w:ascii="宋体" w:hAnsi="宋体" w:eastAsia="宋体" w:cs="宋体"/>
          <w:b/>
          <w:bCs/>
          <w:color w:val="auto"/>
          <w:kern w:val="0"/>
          <w:sz w:val="32"/>
          <w:szCs w:val="32"/>
          <w:highlight w:val="none"/>
        </w:rPr>
        <w:t>第四章  评标办法及评分标准</w:t>
      </w:r>
      <w:bookmarkEnd w:id="36"/>
      <w:bookmarkEnd w:id="38"/>
    </w:p>
    <w:p w14:paraId="5FA8D29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（一）评标原则</w:t>
      </w:r>
    </w:p>
    <w:p w14:paraId="5A6B0AB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按照“公平、公正”的原则对待所有</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文件的相关规定进行评标、定标。</w:t>
      </w:r>
    </w:p>
    <w:p w14:paraId="2CA30BD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）评标办法</w:t>
      </w:r>
    </w:p>
    <w:p w14:paraId="5807D4BC">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1．本项目采用综合评分法，总分为100分。</w:t>
      </w:r>
    </w:p>
    <w:p w14:paraId="3CDF010F">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文件中规定的评标方法和标准，对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文件进行综合比较与评价。</w:t>
      </w:r>
    </w:p>
    <w:p w14:paraId="4CECA87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文件全部实质性要求，且评审得分最高的</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为</w:t>
      </w:r>
      <w:r>
        <w:rPr>
          <w:rFonts w:hint="eastAsia" w:ascii="宋体" w:hAnsi="宋体" w:eastAsia="宋体" w:cs="宋体"/>
          <w:b w:val="0"/>
          <w:bCs w:val="0"/>
          <w:color w:val="auto"/>
          <w:sz w:val="24"/>
          <w:szCs w:val="24"/>
          <w:highlight w:val="none"/>
          <w:lang w:eastAsia="zh-CN"/>
        </w:rPr>
        <w:t>成交供应商</w:t>
      </w:r>
      <w:r>
        <w:rPr>
          <w:rFonts w:hint="eastAsia" w:ascii="宋体" w:hAnsi="宋体" w:eastAsia="宋体" w:cs="宋体"/>
          <w:b w:val="0"/>
          <w:bCs w:val="0"/>
          <w:color w:val="auto"/>
          <w:sz w:val="24"/>
          <w:szCs w:val="24"/>
          <w:highlight w:val="none"/>
        </w:rPr>
        <w:t>。</w:t>
      </w:r>
    </w:p>
    <w:p w14:paraId="328CEB9D">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三</w:t>
      </w:r>
      <w:r>
        <w:rPr>
          <w:rFonts w:hint="eastAsia" w:ascii="宋体" w:hAnsi="宋体" w:eastAsia="宋体" w:cs="宋体"/>
          <w:b w:val="0"/>
          <w:bCs w:val="0"/>
          <w:color w:val="auto"/>
          <w:sz w:val="24"/>
          <w:szCs w:val="24"/>
          <w:highlight w:val="none"/>
        </w:rPr>
        <w:t>）评标程序</w:t>
      </w:r>
    </w:p>
    <w:tbl>
      <w:tblPr>
        <w:tblStyle w:val="32"/>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473"/>
        <w:gridCol w:w="6936"/>
      </w:tblGrid>
      <w:tr w14:paraId="1D5C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9648" w:type="dxa"/>
            <w:gridSpan w:val="3"/>
            <w:noWrap w:val="0"/>
            <w:vAlign w:val="center"/>
          </w:tcPr>
          <w:p w14:paraId="469082FD">
            <w:pPr>
              <w:keepNext w:val="0"/>
              <w:keepLines w:val="0"/>
              <w:pageBreakBefore w:val="0"/>
              <w:widowControl w:val="0"/>
              <w:tabs>
                <w:tab w:val="left" w:pos="3000"/>
              </w:tabs>
              <w:kinsoku/>
              <w:wordWrap/>
              <w:overflowPunct/>
              <w:topLinePunct w:val="0"/>
              <w:autoSpaceDE/>
              <w:autoSpaceDN/>
              <w:bidi w:val="0"/>
              <w:adjustRightInd/>
              <w:snapToGrid w:val="0"/>
              <w:spacing w:line="38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评审内容</w:t>
            </w:r>
          </w:p>
        </w:tc>
      </w:tr>
      <w:tr w14:paraId="6A83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1239" w:type="dxa"/>
            <w:noWrap w:val="0"/>
            <w:vAlign w:val="center"/>
          </w:tcPr>
          <w:p w14:paraId="30F21E9D">
            <w:pPr>
              <w:keepNext w:val="0"/>
              <w:keepLines w:val="0"/>
              <w:pageBreakBefore w:val="0"/>
              <w:kinsoku/>
              <w:wordWrap/>
              <w:overflowPunct/>
              <w:topLinePunct w:val="0"/>
              <w:bidi w:val="0"/>
              <w:snapToGrid w:val="0"/>
              <w:spacing w:line="38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价格标部分(3</w:t>
            </w:r>
            <w:r>
              <w:rPr>
                <w:rFonts w:hint="eastAsia" w:ascii="宋体" w:hAnsi="宋体" w:eastAsia="宋体" w:cs="宋体"/>
                <w:b w:val="0"/>
                <w:bCs w:val="0"/>
                <w:color w:val="auto"/>
                <w:sz w:val="24"/>
                <w:szCs w:val="24"/>
                <w:highlight w:val="none"/>
                <w:lang w:val="en-US" w:eastAsia="zh-CN"/>
              </w:rPr>
              <w:t>0</w:t>
            </w:r>
            <w:r>
              <w:rPr>
                <w:rFonts w:hint="eastAsia" w:ascii="宋体" w:hAnsi="宋体" w:eastAsia="宋体" w:cs="宋体"/>
                <w:b w:val="0"/>
                <w:bCs w:val="0"/>
                <w:color w:val="auto"/>
                <w:sz w:val="24"/>
                <w:szCs w:val="24"/>
                <w:highlight w:val="none"/>
              </w:rPr>
              <w:t>分)</w:t>
            </w:r>
          </w:p>
        </w:tc>
        <w:tc>
          <w:tcPr>
            <w:tcW w:w="8409" w:type="dxa"/>
            <w:gridSpan w:val="2"/>
            <w:noWrap w:val="0"/>
            <w:vAlign w:val="center"/>
          </w:tcPr>
          <w:p w14:paraId="26B705D9">
            <w:pPr>
              <w:pStyle w:val="48"/>
              <w:keepNext w:val="0"/>
              <w:keepLines w:val="0"/>
              <w:pageBreakBefore w:val="0"/>
              <w:kinsoku/>
              <w:wordWrap/>
              <w:overflowPunct/>
              <w:topLinePunct w:val="0"/>
              <w:bidi w:val="0"/>
              <w:snapToGrid w:val="0"/>
              <w:spacing w:line="38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说明：当</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发现</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的</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报价明显低于其他</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报价，使其</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报价可能低于其个别成本的，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可对其质询，并要求该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做出书面说明和提供相关的证明材料；该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不能合理说明或提供证明材料的，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应按无效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处理。</w:t>
            </w:r>
          </w:p>
          <w:p w14:paraId="46F2DECD">
            <w:pPr>
              <w:pStyle w:val="48"/>
              <w:keepNext w:val="0"/>
              <w:keepLines w:val="0"/>
              <w:pageBreakBefore w:val="0"/>
              <w:kinsoku/>
              <w:wordWrap/>
              <w:overflowPunct/>
              <w:topLinePunct w:val="0"/>
              <w:bidi w:val="0"/>
              <w:snapToGrid w:val="0"/>
              <w:spacing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不高于</w:t>
            </w:r>
            <w:r>
              <w:rPr>
                <w:rFonts w:hint="eastAsia" w:ascii="宋体" w:hAnsi="宋体" w:eastAsia="宋体" w:cs="宋体"/>
                <w:b w:val="0"/>
                <w:bCs w:val="0"/>
                <w:color w:val="auto"/>
                <w:sz w:val="24"/>
                <w:szCs w:val="24"/>
                <w:highlight w:val="none"/>
              </w:rPr>
              <w:t>采购预算价的为有效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p>
          <w:p w14:paraId="5EC4C9CC">
            <w:pPr>
              <w:keepNext w:val="0"/>
              <w:keepLines w:val="0"/>
              <w:pageBreakBefore w:val="0"/>
              <w:kinsoku/>
              <w:wordWrap/>
              <w:overflowPunct/>
              <w:topLinePunct w:val="0"/>
              <w:bidi w:val="0"/>
              <w:snapToGrid w:val="0"/>
              <w:spacing w:line="38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基准值的确定：</w:t>
            </w:r>
            <w:r>
              <w:rPr>
                <w:rFonts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磋商</w:t>
            </w:r>
            <w:r>
              <w:rPr>
                <w:rFonts w:ascii="宋体" w:hAnsi="宋体" w:eastAsia="宋体" w:cs="宋体"/>
                <w:color w:val="auto"/>
                <w:sz w:val="24"/>
                <w:szCs w:val="24"/>
                <w:highlight w:val="none"/>
              </w:rPr>
              <w:t>文件要求且报价最低的有效磋商报价为评审基准价。</w:t>
            </w:r>
          </w:p>
          <w:p w14:paraId="5D0AE4E0">
            <w:pPr>
              <w:keepNext w:val="0"/>
              <w:keepLines w:val="0"/>
              <w:pageBreakBefore w:val="0"/>
              <w:kinsoku/>
              <w:wordWrap/>
              <w:overflowPunct/>
              <w:topLinePunct w:val="0"/>
              <w:bidi w:val="0"/>
              <w:snapToGrid w:val="0"/>
              <w:spacing w:line="38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报价得分=（</w:t>
            </w:r>
            <w:r>
              <w:rPr>
                <w:rFonts w:hint="eastAsia" w:ascii="宋体" w:hAnsi="宋体" w:eastAsia="宋体" w:cs="宋体"/>
                <w:b w:val="0"/>
                <w:bCs w:val="0"/>
                <w:color w:val="auto"/>
                <w:sz w:val="24"/>
                <w:szCs w:val="24"/>
                <w:highlight w:val="none"/>
                <w:lang w:val="en-US" w:eastAsia="zh-CN"/>
              </w:rPr>
              <w:t>评审</w:t>
            </w:r>
            <w:r>
              <w:rPr>
                <w:rFonts w:hint="eastAsia" w:ascii="宋体" w:hAnsi="宋体" w:eastAsia="宋体" w:cs="宋体"/>
                <w:b w:val="0"/>
                <w:bCs w:val="0"/>
                <w:color w:val="auto"/>
                <w:sz w:val="24"/>
                <w:szCs w:val="24"/>
                <w:highlight w:val="none"/>
              </w:rPr>
              <w:t>基准价/有效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rPr>
              <w:t>分</w:t>
            </w:r>
          </w:p>
        </w:tc>
      </w:tr>
      <w:tr w14:paraId="2636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9" w:type="dxa"/>
            <w:vMerge w:val="restart"/>
            <w:noWrap w:val="0"/>
            <w:vAlign w:val="center"/>
          </w:tcPr>
          <w:p w14:paraId="7D578B06">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技术部分</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54</w:t>
            </w:r>
            <w:r>
              <w:rPr>
                <w:rFonts w:hint="eastAsia" w:ascii="宋体" w:hAnsi="宋体" w:eastAsia="宋体" w:cs="宋体"/>
                <w:b w:val="0"/>
                <w:bCs w:val="0"/>
                <w:color w:val="auto"/>
                <w:sz w:val="24"/>
                <w:szCs w:val="24"/>
                <w:highlight w:val="none"/>
                <w:lang w:eastAsia="zh-CN"/>
              </w:rPr>
              <w:t>分）</w:t>
            </w:r>
          </w:p>
        </w:tc>
        <w:tc>
          <w:tcPr>
            <w:tcW w:w="1473" w:type="dxa"/>
            <w:noWrap w:val="0"/>
            <w:vAlign w:val="center"/>
          </w:tcPr>
          <w:p w14:paraId="073FE16C">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1.产品技术参数</w:t>
            </w:r>
          </w:p>
          <w:p w14:paraId="4D145501">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分）</w:t>
            </w:r>
          </w:p>
        </w:tc>
        <w:tc>
          <w:tcPr>
            <w:tcW w:w="6936" w:type="dxa"/>
            <w:noWrap w:val="0"/>
            <w:vAlign w:val="center"/>
          </w:tcPr>
          <w:p w14:paraId="693768C3">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供应商对“第二章采购需求</w:t>
            </w:r>
            <w:r>
              <w:rPr>
                <w:rFonts w:hint="eastAsia" w:ascii="宋体" w:hAnsi="宋体" w:cs="宋体"/>
                <w:color w:val="auto"/>
                <w:sz w:val="24"/>
                <w:szCs w:val="24"/>
                <w:highlight w:val="none"/>
                <w:lang w:val="en-US" w:eastAsia="zh-CN"/>
              </w:rPr>
              <w:t xml:space="preserve"> 二</w:t>
            </w:r>
            <w:r>
              <w:rPr>
                <w:rFonts w:hint="eastAsia" w:ascii="宋体" w:hAnsi="宋体" w:eastAsia="宋体" w:cs="宋体"/>
                <w:color w:val="auto"/>
                <w:sz w:val="24"/>
                <w:szCs w:val="24"/>
                <w:highlight w:val="none"/>
                <w:lang w:val="en-US" w:eastAsia="zh-CN"/>
              </w:rPr>
              <w:t>、采购清单及技术要求”技术参数进行响应，所投产品全部满足磋商文件要求得3</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分，有一项不满足的扣</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分，扣完为止；如得分为0，则磋商无效。</w:t>
            </w:r>
          </w:p>
          <w:p w14:paraId="1051411B">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注：供应商需如实填写技术</w:t>
            </w:r>
            <w:r>
              <w:rPr>
                <w:rFonts w:hint="eastAsia" w:ascii="宋体" w:hAnsi="宋体" w:cs="宋体"/>
                <w:color w:val="auto"/>
                <w:sz w:val="24"/>
                <w:szCs w:val="24"/>
                <w:highlight w:val="none"/>
                <w:lang w:val="en-US" w:eastAsia="zh-CN"/>
              </w:rPr>
              <w:t>响应</w:t>
            </w:r>
            <w:r>
              <w:rPr>
                <w:rFonts w:hint="eastAsia" w:ascii="宋体" w:hAnsi="宋体" w:eastAsia="宋体" w:cs="宋体"/>
                <w:color w:val="auto"/>
                <w:sz w:val="24"/>
                <w:szCs w:val="24"/>
                <w:highlight w:val="none"/>
                <w:lang w:val="en-US" w:eastAsia="zh-CN"/>
              </w:rPr>
              <w:t>表，并标注偏离情况。</w:t>
            </w:r>
          </w:p>
        </w:tc>
      </w:tr>
      <w:tr w14:paraId="0C75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1239" w:type="dxa"/>
            <w:vMerge w:val="continue"/>
            <w:noWrap w:val="0"/>
            <w:vAlign w:val="center"/>
          </w:tcPr>
          <w:p w14:paraId="4E9F3738">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3F8255E9">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kern w:val="2"/>
                <w:sz w:val="24"/>
                <w:szCs w:val="24"/>
                <w:highlight w:val="none"/>
                <w:lang w:val="en-US" w:eastAsia="zh-CN"/>
              </w:rPr>
            </w:pPr>
            <w:r>
              <w:rPr>
                <w:rFonts w:hint="eastAsia" w:ascii="宋体" w:hAnsi="宋体" w:cs="宋体"/>
                <w:b w:val="0"/>
                <w:bCs w:val="0"/>
                <w:color w:val="auto"/>
                <w:kern w:val="2"/>
                <w:sz w:val="24"/>
                <w:szCs w:val="24"/>
                <w:highlight w:val="none"/>
                <w:lang w:val="en-US" w:eastAsia="zh-CN"/>
              </w:rPr>
              <w:t>2</w:t>
            </w:r>
            <w:r>
              <w:rPr>
                <w:rFonts w:hint="eastAsia" w:ascii="宋体" w:hAnsi="宋体" w:eastAsia="宋体" w:cs="宋体"/>
                <w:b w:val="0"/>
                <w:bCs w:val="0"/>
                <w:color w:val="auto"/>
                <w:kern w:val="2"/>
                <w:sz w:val="24"/>
                <w:szCs w:val="24"/>
                <w:highlight w:val="none"/>
                <w:lang w:val="en-US" w:eastAsia="zh-CN"/>
              </w:rPr>
              <w:t>.配送方案</w:t>
            </w:r>
          </w:p>
          <w:p w14:paraId="1965B530">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t>（</w:t>
            </w:r>
            <w:r>
              <w:rPr>
                <w:rFonts w:hint="eastAsia" w:ascii="宋体" w:hAnsi="宋体" w:cs="宋体"/>
                <w:b w:val="0"/>
                <w:bCs w:val="0"/>
                <w:color w:val="auto"/>
                <w:kern w:val="2"/>
                <w:sz w:val="24"/>
                <w:szCs w:val="24"/>
                <w:highlight w:val="none"/>
                <w:lang w:val="en-US" w:eastAsia="zh-CN"/>
              </w:rPr>
              <w:t>5</w:t>
            </w:r>
            <w:r>
              <w:rPr>
                <w:rFonts w:hint="eastAsia" w:ascii="宋体" w:hAnsi="宋体" w:eastAsia="宋体" w:cs="宋体"/>
                <w:b w:val="0"/>
                <w:bCs w:val="0"/>
                <w:color w:val="auto"/>
                <w:kern w:val="2"/>
                <w:sz w:val="24"/>
                <w:szCs w:val="24"/>
                <w:highlight w:val="none"/>
                <w:lang w:val="en-US" w:eastAsia="zh-CN"/>
              </w:rPr>
              <w:t>分）</w:t>
            </w:r>
          </w:p>
        </w:tc>
        <w:tc>
          <w:tcPr>
            <w:tcW w:w="6936" w:type="dxa"/>
            <w:noWrap w:val="0"/>
            <w:vAlign w:val="center"/>
          </w:tcPr>
          <w:p w14:paraId="5946EE46">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配送方案包含以下内容：</w:t>
            </w:r>
          </w:p>
          <w:p w14:paraId="00431099">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①拟投入人员配置以及分工、配送车辆；</w:t>
            </w:r>
          </w:p>
          <w:p w14:paraId="1C3AFDEF">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②供货计划及工作流程；</w:t>
            </w:r>
          </w:p>
          <w:p w14:paraId="452A1B85">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w:t>
            </w:r>
            <w:r>
              <w:rPr>
                <w:rFonts w:hint="eastAsia" w:ascii="宋体" w:hAnsi="宋体" w:cs="宋体"/>
                <w:color w:val="auto"/>
                <w:sz w:val="24"/>
                <w:szCs w:val="24"/>
                <w:highlight w:val="none"/>
                <w:lang w:val="en-US" w:eastAsia="zh-CN"/>
              </w:rPr>
              <w:t>应急配送保障措施</w:t>
            </w:r>
          </w:p>
          <w:p w14:paraId="6FE2742B">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方案措施具体详实，配送人员配置充足、分工清晰合理，配送车辆配备贴合项目配送需求，供货计划科学合理、工作流程规范完整，</w:t>
            </w:r>
            <w:r>
              <w:rPr>
                <w:rFonts w:hint="eastAsia" w:ascii="宋体" w:hAnsi="宋体" w:cs="宋体"/>
                <w:color w:val="auto"/>
                <w:sz w:val="24"/>
                <w:szCs w:val="24"/>
                <w:highlight w:val="none"/>
                <w:lang w:val="en-US" w:eastAsia="zh-CN"/>
              </w:rPr>
              <w:t>应急</w:t>
            </w:r>
            <w:r>
              <w:rPr>
                <w:rFonts w:hint="eastAsia" w:ascii="宋体" w:hAnsi="宋体" w:eastAsia="宋体" w:cs="宋体"/>
                <w:color w:val="auto"/>
                <w:sz w:val="24"/>
                <w:szCs w:val="24"/>
                <w:highlight w:val="none"/>
                <w:lang w:val="en-US" w:eastAsia="zh-CN"/>
              </w:rPr>
              <w:t>保障措施到位</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整体方案可行性、针对性强，内容完整，完全满足采购需求的得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分；</w:t>
            </w:r>
          </w:p>
          <w:p w14:paraId="72DBCF04">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方案有较具体的实施措施，人员、车辆配备基本合理，</w:t>
            </w:r>
            <w:r>
              <w:rPr>
                <w:rFonts w:hint="eastAsia" w:ascii="宋体" w:hAnsi="宋体" w:cs="宋体"/>
                <w:color w:val="auto"/>
                <w:sz w:val="24"/>
                <w:szCs w:val="24"/>
                <w:highlight w:val="none"/>
                <w:lang w:val="en-US" w:eastAsia="zh-CN"/>
              </w:rPr>
              <w:t>应急保障基本可行，</w:t>
            </w:r>
            <w:r>
              <w:rPr>
                <w:rFonts w:hint="eastAsia" w:ascii="宋体" w:hAnsi="宋体" w:eastAsia="宋体" w:cs="宋体"/>
                <w:color w:val="auto"/>
                <w:sz w:val="24"/>
                <w:szCs w:val="24"/>
                <w:highlight w:val="none"/>
                <w:lang w:val="en-US" w:eastAsia="zh-CN"/>
              </w:rPr>
              <w:t>内容齐全，基本满足采购需求的得</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p w14:paraId="5D5A6434">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方案内容不详细，人员分工、车辆配置、</w:t>
            </w:r>
            <w:r>
              <w:rPr>
                <w:rFonts w:hint="eastAsia" w:ascii="宋体" w:hAnsi="宋体" w:cs="宋体"/>
                <w:color w:val="auto"/>
                <w:sz w:val="24"/>
                <w:szCs w:val="24"/>
                <w:highlight w:val="none"/>
                <w:lang w:val="en-US" w:eastAsia="zh-CN"/>
              </w:rPr>
              <w:t>应急保障</w:t>
            </w:r>
            <w:r>
              <w:rPr>
                <w:rFonts w:hint="eastAsia" w:ascii="宋体" w:hAnsi="宋体" w:eastAsia="宋体" w:cs="宋体"/>
                <w:color w:val="auto"/>
                <w:sz w:val="24"/>
                <w:szCs w:val="24"/>
                <w:highlight w:val="none"/>
                <w:lang w:val="en-US" w:eastAsia="zh-CN"/>
              </w:rPr>
              <w:t>等内容完整性不足，合理性、可行性差的得</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分；</w:t>
            </w:r>
          </w:p>
          <w:p w14:paraId="07DCB2C8">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未提供方案的得0分。</w:t>
            </w:r>
          </w:p>
        </w:tc>
      </w:tr>
      <w:tr w14:paraId="32E1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9" w:type="dxa"/>
            <w:vMerge w:val="continue"/>
            <w:noWrap w:val="0"/>
            <w:vAlign w:val="center"/>
          </w:tcPr>
          <w:p w14:paraId="6E81DC20">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36143FEF">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3.质量保障措施（6分）</w:t>
            </w:r>
          </w:p>
        </w:tc>
        <w:tc>
          <w:tcPr>
            <w:tcW w:w="6936" w:type="dxa"/>
            <w:noWrap w:val="0"/>
            <w:vAlign w:val="center"/>
          </w:tcPr>
          <w:p w14:paraId="098D7A64">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磋商小组根据供应商提供的质量保障措施进行评审，包括但不限于：</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=1\*GB3\*MERGEFORMAT</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lang w:val="en-US" w:eastAsia="zh-CN"/>
              </w:rPr>
              <w:fldChar w:fldCharType="end"/>
            </w:r>
            <w:r>
              <w:rPr>
                <w:rFonts w:hint="eastAsia" w:ascii="宋体" w:hAnsi="宋体" w:eastAsia="宋体" w:cs="宋体"/>
                <w:color w:val="auto"/>
                <w:sz w:val="24"/>
                <w:szCs w:val="24"/>
                <w:highlight w:val="none"/>
                <w:lang w:val="en-US" w:eastAsia="zh-CN"/>
              </w:rPr>
              <w:t>货源渠道；②防伪追溯</w:t>
            </w:r>
            <w:r>
              <w:rPr>
                <w:rFonts w:hint="eastAsia" w:ascii="宋体" w:hAnsi="宋体" w:cs="宋体"/>
                <w:color w:val="auto"/>
                <w:sz w:val="24"/>
                <w:szCs w:val="24"/>
                <w:highlight w:val="none"/>
                <w:lang w:val="en-US" w:eastAsia="zh-CN"/>
              </w:rPr>
              <w:t>。</w:t>
            </w:r>
          </w:p>
          <w:p w14:paraId="4EAADD13">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方案措施具体详实，货源渠道正规稳定、防伪追溯体系健全，整体方案可行性、针对性强，内容完整，完全满足采购需求的得6分；</w:t>
            </w:r>
          </w:p>
          <w:p w14:paraId="1AD1A026">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方案有较具体的实施措施，货源渠道、防伪追溯基本合理，整体基本可行，基本满足采购需求的得3分；</w:t>
            </w:r>
          </w:p>
          <w:p w14:paraId="1376E0D1">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方案内容不详细，货源渠道、防伪追溯等内容完整性不足，合理性、可行性差的得1分；</w:t>
            </w:r>
          </w:p>
          <w:p w14:paraId="4F67836E">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未提供相关质量保障方案的得0分。</w:t>
            </w:r>
          </w:p>
        </w:tc>
      </w:tr>
      <w:tr w14:paraId="334A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9" w:type="dxa"/>
            <w:vMerge w:val="continue"/>
            <w:noWrap w:val="0"/>
            <w:vAlign w:val="center"/>
          </w:tcPr>
          <w:p w14:paraId="5D8846FC">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restart"/>
            <w:noWrap w:val="0"/>
            <w:vAlign w:val="center"/>
          </w:tcPr>
          <w:p w14:paraId="3F7CCEE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lang w:val="en-US" w:eastAsia="zh-CN"/>
              </w:rPr>
              <w:t>4.仓储能力（10分）</w:t>
            </w:r>
          </w:p>
        </w:tc>
        <w:tc>
          <w:tcPr>
            <w:tcW w:w="6936" w:type="dxa"/>
            <w:noWrap w:val="0"/>
            <w:vAlign w:val="center"/>
          </w:tcPr>
          <w:p w14:paraId="3BCB4BF0">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4"/>
                <w:highlight w:val="none"/>
                <w:lang w:val="en-US" w:eastAsia="zh-CN"/>
              </w:rPr>
            </w:pPr>
            <w:r>
              <w:rPr>
                <w:rFonts w:hint="default" w:ascii="宋体" w:hAnsi="宋体" w:eastAsia="宋体" w:cs="宋体"/>
                <w:color w:val="auto"/>
                <w:sz w:val="24"/>
                <w:highlight w:val="none"/>
                <w:lang w:val="en-US" w:eastAsia="zh-CN"/>
              </w:rPr>
              <w:t>为保证采购人正常需求或如遇突发情况时具有足够的库存，供应商需具有一定的仓储能力</w:t>
            </w:r>
            <w:r>
              <w:rPr>
                <w:rFonts w:hint="eastAsia" w:ascii="宋体" w:hAnsi="宋体" w:cs="宋体"/>
                <w:color w:val="auto"/>
                <w:sz w:val="24"/>
                <w:highlight w:val="none"/>
                <w:lang w:val="en-US" w:eastAsia="zh-CN"/>
              </w:rPr>
              <w:t>，根据供应商的仓储面积进行评分：</w:t>
            </w:r>
          </w:p>
          <w:p w14:paraId="7383C5E9">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仓储面积</w:t>
            </w:r>
            <w:r>
              <w:rPr>
                <w:rFonts w:hint="eastAsia" w:ascii="宋体" w:hAnsi="宋体" w:eastAsia="宋体" w:cs="宋体"/>
                <w:color w:val="auto"/>
                <w:sz w:val="24"/>
                <w:highlight w:val="none"/>
                <w:lang w:val="en-US" w:eastAsia="zh-CN"/>
              </w:rPr>
              <w:t>≥100㎡，</w:t>
            </w:r>
            <w:r>
              <w:rPr>
                <w:rFonts w:hint="default" w:ascii="宋体" w:hAnsi="宋体" w:eastAsia="宋体" w:cs="宋体"/>
                <w:color w:val="auto"/>
                <w:sz w:val="24"/>
                <w:highlight w:val="none"/>
                <w:lang w:val="en-US" w:eastAsia="zh-CN"/>
              </w:rPr>
              <w:t>得</w:t>
            </w:r>
            <w:r>
              <w:rPr>
                <w:rFonts w:hint="eastAsia" w:ascii="宋体" w:hAnsi="宋体" w:eastAsia="宋体" w:cs="宋体"/>
                <w:color w:val="auto"/>
                <w:sz w:val="24"/>
                <w:highlight w:val="none"/>
                <w:lang w:val="en-US" w:eastAsia="zh-CN"/>
              </w:rPr>
              <w:t>5</w:t>
            </w:r>
            <w:r>
              <w:rPr>
                <w:rFonts w:hint="default" w:ascii="宋体" w:hAnsi="宋体" w:eastAsia="宋体" w:cs="宋体"/>
                <w:color w:val="auto"/>
                <w:sz w:val="24"/>
                <w:highlight w:val="none"/>
                <w:lang w:val="en-US" w:eastAsia="zh-CN"/>
              </w:rPr>
              <w:t>分；</w:t>
            </w:r>
          </w:p>
          <w:p w14:paraId="689D4DC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50㎡≤仓储面积＜100㎡，得3分；</w:t>
            </w:r>
          </w:p>
          <w:p w14:paraId="63FFB1B3">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仓储面积＜50㎡，得1分。</w:t>
            </w:r>
          </w:p>
          <w:p w14:paraId="145C0E14">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default" w:ascii="宋体" w:hAnsi="宋体" w:eastAsia="宋体" w:cs="宋体"/>
                <w:color w:val="auto"/>
                <w:sz w:val="24"/>
                <w:highlight w:val="none"/>
                <w:lang w:val="en-US" w:eastAsia="zh-CN"/>
              </w:rPr>
              <w:t>注：提供仓库房产证或租赁合同扫描件。</w:t>
            </w:r>
          </w:p>
        </w:tc>
      </w:tr>
      <w:tr w14:paraId="333E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239" w:type="dxa"/>
            <w:vMerge w:val="continue"/>
            <w:noWrap w:val="0"/>
            <w:vAlign w:val="center"/>
          </w:tcPr>
          <w:p w14:paraId="67B0628C">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continue"/>
            <w:noWrap w:val="0"/>
            <w:vAlign w:val="center"/>
          </w:tcPr>
          <w:p w14:paraId="5DBE45B8">
            <w:pPr>
              <w:spacing w:line="360" w:lineRule="auto"/>
              <w:jc w:val="center"/>
              <w:rPr>
                <w:rFonts w:hint="eastAsia" w:ascii="宋体" w:hAnsi="宋体" w:eastAsia="宋体" w:cs="宋体"/>
                <w:color w:val="auto"/>
                <w:sz w:val="24"/>
                <w:szCs w:val="24"/>
                <w:highlight w:val="none"/>
                <w:lang w:val="en-US" w:eastAsia="zh-CN"/>
              </w:rPr>
            </w:pPr>
          </w:p>
        </w:tc>
        <w:tc>
          <w:tcPr>
            <w:tcW w:w="6936" w:type="dxa"/>
            <w:noWrap w:val="0"/>
            <w:vAlign w:val="center"/>
          </w:tcPr>
          <w:p w14:paraId="5E2B23B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供应商的仓储</w:t>
            </w:r>
            <w:r>
              <w:rPr>
                <w:rFonts w:hint="eastAsia" w:ascii="宋体" w:hAnsi="宋体" w:cs="宋体"/>
                <w:color w:val="auto"/>
                <w:sz w:val="24"/>
                <w:highlight w:val="none"/>
                <w:lang w:val="en-US" w:eastAsia="zh-CN"/>
              </w:rPr>
              <w:t>环境、库存</w:t>
            </w:r>
            <w:r>
              <w:rPr>
                <w:rFonts w:hint="eastAsia" w:ascii="宋体" w:hAnsi="宋体" w:cs="宋体"/>
                <w:color w:val="auto"/>
                <w:sz w:val="24"/>
                <w:highlight w:val="none"/>
              </w:rPr>
              <w:t>应具备以下条件，包含（但不限于）以下内容：</w:t>
            </w:r>
          </w:p>
          <w:p w14:paraId="3B4CD92B">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①库存环境真实地址、照片（需体现出仓储是否做防损防潮、避光、卫生与防虫及分类储存情况等）；</w:t>
            </w:r>
          </w:p>
          <w:p w14:paraId="43D84901">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cs="宋体"/>
                <w:color w:val="auto"/>
                <w:sz w:val="24"/>
                <w:highlight w:val="none"/>
              </w:rPr>
            </w:pPr>
            <w:r>
              <w:rPr>
                <w:rFonts w:hint="eastAsia" w:ascii="宋体" w:hAnsi="宋体" w:cs="宋体"/>
                <w:color w:val="auto"/>
                <w:sz w:val="24"/>
                <w:highlight w:val="none"/>
              </w:rPr>
              <w:t>②详细数量清单（库存量、进货单或发票）等。</w:t>
            </w:r>
          </w:p>
          <w:p w14:paraId="1B2A9E7A">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产品分类存放，防潮、避光、卫生及防虫措施到位，</w:t>
            </w:r>
            <w:r>
              <w:rPr>
                <w:rFonts w:ascii="宋体" w:hAnsi="宋体" w:eastAsia="宋体" w:cs="宋体"/>
                <w:color w:val="auto"/>
                <w:sz w:val="24"/>
                <w:szCs w:val="24"/>
                <w:highlight w:val="none"/>
              </w:rPr>
              <w:t>库存</w:t>
            </w:r>
            <w:r>
              <w:rPr>
                <w:rFonts w:hint="eastAsia" w:ascii="宋体" w:hAnsi="宋体" w:eastAsia="宋体" w:cs="宋体"/>
                <w:color w:val="auto"/>
                <w:sz w:val="24"/>
                <w:szCs w:val="24"/>
                <w:highlight w:val="none"/>
                <w:lang w:val="en-US" w:eastAsia="zh-CN"/>
              </w:rPr>
              <w:t>充足，得5分。</w:t>
            </w:r>
          </w:p>
          <w:p w14:paraId="42A66281">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仓储环境、库存清单资料较完整，仓储防护措施基本满足要求，库存可保障项目供货，得3分；</w:t>
            </w:r>
          </w:p>
          <w:p w14:paraId="74E5C500">
            <w:pPr>
              <w:keepNext w:val="0"/>
              <w:keepLines w:val="0"/>
              <w:pageBreakBefore w:val="0"/>
              <w:widowControl w:val="0"/>
              <w:kinsoku/>
              <w:wordWrap/>
              <w:overflowPunct/>
              <w:topLinePunct w:val="0"/>
              <w:autoSpaceDE/>
              <w:autoSpaceDN/>
              <w:bidi w:val="0"/>
              <w:adjustRightInd/>
              <w:snapToGrid/>
              <w:spacing w:line="420" w:lineRule="exact"/>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仓储资料不全，防护措施缺失，库存数量不足，合理性、可行性较差，得1分；</w:t>
            </w:r>
          </w:p>
          <w:p w14:paraId="599A5861">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未提供仓储及库存相关材料的得0分。</w:t>
            </w:r>
          </w:p>
        </w:tc>
      </w:tr>
      <w:tr w14:paraId="253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1239" w:type="dxa"/>
            <w:vMerge w:val="restart"/>
            <w:noWrap w:val="0"/>
            <w:vAlign w:val="center"/>
          </w:tcPr>
          <w:p w14:paraId="6CD3009F">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商务评价</w:t>
            </w:r>
          </w:p>
          <w:p w14:paraId="78A2E464">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eastAsia="zh-CN"/>
              </w:rPr>
              <w:t>分)</w:t>
            </w:r>
          </w:p>
        </w:tc>
        <w:tc>
          <w:tcPr>
            <w:tcW w:w="1473" w:type="dxa"/>
            <w:tcBorders>
              <w:top w:val="single" w:color="auto" w:sz="4" w:space="0"/>
            </w:tcBorders>
            <w:noWrap w:val="0"/>
            <w:vAlign w:val="center"/>
          </w:tcPr>
          <w:p w14:paraId="3D398138">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1.类似业绩（6分）</w:t>
            </w:r>
          </w:p>
        </w:tc>
        <w:tc>
          <w:tcPr>
            <w:tcW w:w="6936" w:type="dxa"/>
            <w:noWrap w:val="0"/>
            <w:vAlign w:val="top"/>
          </w:tcPr>
          <w:p w14:paraId="280609AB">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自2023年01月01日以来具有的类似项目(以合同文件为准），每提供一份得2分，最多得6分。</w:t>
            </w:r>
          </w:p>
        </w:tc>
      </w:tr>
      <w:tr w14:paraId="5F29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239" w:type="dxa"/>
            <w:vMerge w:val="continue"/>
            <w:noWrap w:val="0"/>
            <w:vAlign w:val="center"/>
          </w:tcPr>
          <w:p w14:paraId="4C7124A4">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rPr>
            </w:pPr>
          </w:p>
        </w:tc>
        <w:tc>
          <w:tcPr>
            <w:tcW w:w="1473" w:type="dxa"/>
            <w:noWrap w:val="0"/>
            <w:vAlign w:val="center"/>
          </w:tcPr>
          <w:p w14:paraId="52564566">
            <w:pPr>
              <w:keepNext w:val="0"/>
              <w:keepLines w:val="0"/>
              <w:pageBreakBefore w:val="0"/>
              <w:widowControl/>
              <w:kinsoku/>
              <w:wordWrap/>
              <w:overflowPunct/>
              <w:topLinePunct w:val="0"/>
              <w:autoSpaceDE/>
              <w:autoSpaceDN/>
              <w:bidi w:val="0"/>
              <w:adjustRightInd/>
              <w:snapToGrid w:val="0"/>
              <w:spacing w:line="380" w:lineRule="exact"/>
              <w:jc w:val="center"/>
              <w:textAlignment w:val="auto"/>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lang w:val="en-US" w:eastAsia="zh-CN"/>
              </w:rPr>
              <w:t>2.</w:t>
            </w:r>
            <w:r>
              <w:rPr>
                <w:rFonts w:hint="eastAsia" w:ascii="宋体" w:hAnsi="宋体" w:eastAsia="宋体" w:cs="宋体"/>
                <w:color w:val="auto"/>
                <w:spacing w:val="-2"/>
                <w:sz w:val="24"/>
                <w:szCs w:val="24"/>
                <w:highlight w:val="none"/>
              </w:rPr>
              <w:t>售后服务方案</w:t>
            </w:r>
          </w:p>
          <w:p w14:paraId="628D6196">
            <w:pPr>
              <w:keepNext w:val="0"/>
              <w:keepLines w:val="0"/>
              <w:pageBreakBefore w:val="0"/>
              <w:widowControl/>
              <w:kinsoku/>
              <w:wordWrap/>
              <w:overflowPunct/>
              <w:topLinePunct w:val="0"/>
              <w:autoSpaceDE/>
              <w:autoSpaceDN/>
              <w:bidi w:val="0"/>
              <w:adjustRightInd/>
              <w:snapToGrid w:val="0"/>
              <w:spacing w:line="380" w:lineRule="exact"/>
              <w:jc w:val="center"/>
              <w:textAlignment w:val="auto"/>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（10分）</w:t>
            </w:r>
          </w:p>
        </w:tc>
        <w:tc>
          <w:tcPr>
            <w:tcW w:w="6936" w:type="dxa"/>
            <w:noWrap w:val="0"/>
            <w:vAlign w:val="center"/>
          </w:tcPr>
          <w:p w14:paraId="587AC69A">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售后服务方案应</w:t>
            </w:r>
            <w:r>
              <w:rPr>
                <w:rFonts w:hint="eastAsia" w:ascii="宋体" w:hAnsi="宋体" w:eastAsia="宋体" w:cs="宋体"/>
                <w:color w:val="auto"/>
                <w:sz w:val="24"/>
                <w:szCs w:val="24"/>
                <w:highlight w:val="none"/>
                <w:lang w:val="en-US" w:eastAsia="zh-CN"/>
              </w:rPr>
              <w:t>包含以下内容：</w:t>
            </w:r>
          </w:p>
          <w:p w14:paraId="2283F7A9">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①售后服务流程；</w:t>
            </w:r>
          </w:p>
          <w:p w14:paraId="34BDB14F">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②售后服务站点、售后服务团队及联系方式</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售后服务时效性；</w:t>
            </w:r>
          </w:p>
          <w:p w14:paraId="5A897DEA">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③</w:t>
            </w:r>
            <w:r>
              <w:rPr>
                <w:rFonts w:hint="eastAsia" w:ascii="宋体" w:hAnsi="宋体" w:eastAsia="宋体" w:cs="宋体"/>
                <w:color w:val="auto"/>
                <w:sz w:val="24"/>
                <w:szCs w:val="24"/>
                <w:highlight w:val="none"/>
                <w:lang w:val="en-US" w:eastAsia="zh-CN"/>
              </w:rPr>
              <w:t>因产品质量问题的退换货方案；</w:t>
            </w:r>
          </w:p>
          <w:p w14:paraId="51CEB521">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④临期产品处置、质量争议送检配合方案。</w:t>
            </w:r>
          </w:p>
          <w:p w14:paraId="68B845A6">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方案措施具体详实，售后服务流程规范完整，售后站点、服务团队配置齐全、联系方式明确，服务时效性保障有力，产品退换货方案、临期产品处置、质量争议送检配合完善到位，整体方案可行性、针对性强，内容完整，完全满足采购需求的得10分；</w:t>
            </w:r>
          </w:p>
          <w:p w14:paraId="4E5B4D4D">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方案有较具体的实施措施，售后服务流程、售后团队配置、退换货及后续处置相关内容齐全、基本合理，售后保障基本可行，基本满足采购需求的得6分；</w:t>
            </w:r>
          </w:p>
          <w:p w14:paraId="0FDA9D12">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方案内容不详细，售后服务流程、团队配置、退换货处置等内容完整性不足，合理性、可行性差的得2分；</w:t>
            </w:r>
          </w:p>
          <w:p w14:paraId="4C3E6B65">
            <w:pPr>
              <w:keepNext w:val="0"/>
              <w:keepLines w:val="0"/>
              <w:pageBreakBefore w:val="0"/>
              <w:widowControl/>
              <w:kinsoku/>
              <w:wordWrap/>
              <w:overflowPunct/>
              <w:topLinePunct w:val="0"/>
              <w:autoSpaceDE/>
              <w:autoSpaceDN/>
              <w:bidi w:val="0"/>
              <w:adjustRightInd/>
              <w:snapToGrid w:val="0"/>
              <w:spacing w:line="380" w:lineRule="exact"/>
              <w:jc w:val="both"/>
              <w:textAlignment w:val="auto"/>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未提供售后服务方案的得0分。</w:t>
            </w:r>
          </w:p>
        </w:tc>
      </w:tr>
      <w:tr w14:paraId="3BEB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239" w:type="dxa"/>
            <w:noWrap w:val="0"/>
            <w:vAlign w:val="top"/>
          </w:tcPr>
          <w:p w14:paraId="72BBE8EE">
            <w:pPr>
              <w:keepNext w:val="0"/>
              <w:keepLines w:val="0"/>
              <w:pageBreakBefore w:val="0"/>
              <w:kinsoku/>
              <w:wordWrap/>
              <w:overflowPunct/>
              <w:topLinePunct w:val="0"/>
              <w:bidi w:val="0"/>
              <w:snapToGrid w:val="0"/>
              <w:spacing w:line="38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得分的计算</w:t>
            </w:r>
          </w:p>
        </w:tc>
        <w:tc>
          <w:tcPr>
            <w:tcW w:w="8409" w:type="dxa"/>
            <w:gridSpan w:val="2"/>
            <w:noWrap w:val="0"/>
            <w:vAlign w:val="center"/>
          </w:tcPr>
          <w:p w14:paraId="38A897CC">
            <w:pPr>
              <w:keepNext w:val="0"/>
              <w:keepLines w:val="0"/>
              <w:pageBreakBefore w:val="0"/>
              <w:kinsoku/>
              <w:wordWrap/>
              <w:overflowPunct/>
              <w:topLinePunct w:val="0"/>
              <w:bidi w:val="0"/>
              <w:snapToGrid w:val="0"/>
              <w:spacing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成员评分=各项评分因素的汇总得分。</w:t>
            </w:r>
          </w:p>
          <w:p w14:paraId="1982F070">
            <w:pPr>
              <w:keepNext w:val="0"/>
              <w:keepLines w:val="0"/>
              <w:pageBreakBefore w:val="0"/>
              <w:kinsoku/>
              <w:wordWrap/>
              <w:overflowPunct/>
              <w:topLinePunct w:val="0"/>
              <w:bidi w:val="0"/>
              <w:snapToGrid w:val="0"/>
              <w:spacing w:line="38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总得分=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所有成员合计评分/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组成人员数。</w:t>
            </w:r>
          </w:p>
        </w:tc>
      </w:tr>
    </w:tbl>
    <w:p w14:paraId="2F9228D9">
      <w:pPr>
        <w:rPr>
          <w:rFonts w:hint="eastAsia" w:ascii="宋体" w:hAnsi="宋体" w:eastAsia="宋体" w:cs="宋体"/>
          <w:b/>
          <w:color w:val="auto"/>
          <w:highlight w:val="none"/>
        </w:rPr>
      </w:pPr>
    </w:p>
    <w:p w14:paraId="6FAD3FD6">
      <w:pPr>
        <w:outlineLvl w:val="9"/>
        <w:rPr>
          <w:rFonts w:hint="eastAsia" w:ascii="宋体" w:hAnsi="宋体" w:eastAsia="宋体" w:cs="宋体"/>
          <w:b/>
          <w:color w:val="auto"/>
          <w:highlight w:val="none"/>
        </w:rPr>
      </w:pPr>
    </w:p>
    <w:p w14:paraId="3FEC0717">
      <w:pPr>
        <w:outlineLvl w:val="9"/>
        <w:rPr>
          <w:rFonts w:hint="eastAsia"/>
          <w:color w:val="auto"/>
        </w:rPr>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p>
    <w:bookmarkEnd w:id="37"/>
    <w:p w14:paraId="2CCD7513">
      <w:pPr>
        <w:rPr>
          <w:rFonts w:hint="eastAsia" w:ascii="宋体" w:hAnsi="宋体" w:eastAsia="宋体" w:cs="宋体"/>
          <w:color w:val="auto"/>
          <w:highlight w:val="none"/>
        </w:rPr>
      </w:pPr>
      <w:bookmarkStart w:id="39" w:name="_Toc1947"/>
      <w:bookmarkStart w:id="40" w:name="_Toc1482"/>
      <w:bookmarkStart w:id="41" w:name="_Toc256519703"/>
      <w:bookmarkStart w:id="42" w:name="_Toc326786897"/>
    </w:p>
    <w:p w14:paraId="5A0BE0D1">
      <w:pPr>
        <w:pStyle w:val="2"/>
        <w:snapToGrid w:val="0"/>
        <w:spacing w:before="0" w:after="0" w:line="480" w:lineRule="auto"/>
        <w:jc w:val="center"/>
        <w:rPr>
          <w:rFonts w:hint="eastAsia" w:ascii="宋体" w:hAnsi="宋体" w:eastAsia="宋体" w:cs="宋体"/>
          <w:color w:val="auto"/>
          <w:sz w:val="28"/>
          <w:szCs w:val="28"/>
          <w:highlight w:val="none"/>
        </w:rPr>
      </w:pPr>
      <w:bookmarkStart w:id="43" w:name="_Toc11904"/>
      <w:r>
        <w:rPr>
          <w:rFonts w:hint="eastAsia" w:ascii="宋体" w:hAnsi="宋体" w:eastAsia="宋体" w:cs="宋体"/>
          <w:color w:val="auto"/>
          <w:sz w:val="28"/>
          <w:szCs w:val="28"/>
          <w:highlight w:val="none"/>
        </w:rPr>
        <w:t>第五章  采购合同</w:t>
      </w:r>
      <w:bookmarkEnd w:id="43"/>
    </w:p>
    <w:p w14:paraId="7203F7C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rPr>
          <w:rFonts w:hint="eastAsia" w:ascii="宋体" w:hAnsi="宋体" w:eastAsia="宋体" w:cs="宋体"/>
          <w:color w:val="auto"/>
          <w:sz w:val="32"/>
          <w:szCs w:val="32"/>
          <w:highlight w:val="none"/>
        </w:rPr>
      </w:pPr>
    </w:p>
    <w:p w14:paraId="4150DA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0EBB8A6">
      <w:pPr>
        <w:pStyle w:val="2"/>
        <w:jc w:val="center"/>
        <w:rPr>
          <w:rFonts w:hint="eastAsia" w:ascii="宋体" w:hAnsi="宋体" w:eastAsia="宋体" w:cs="宋体"/>
          <w:color w:val="auto"/>
          <w:kern w:val="0"/>
          <w:highlight w:val="none"/>
        </w:rPr>
      </w:pPr>
      <w:bookmarkStart w:id="44" w:name="_Toc18702"/>
      <w:r>
        <w:rPr>
          <w:rFonts w:hint="eastAsia" w:ascii="宋体" w:hAnsi="宋体" w:eastAsia="宋体" w:cs="宋体"/>
          <w:color w:val="auto"/>
          <w:sz w:val="32"/>
          <w:szCs w:val="32"/>
          <w:highlight w:val="none"/>
        </w:rPr>
        <w:t xml:space="preserve">第六章  </w:t>
      </w:r>
      <w:r>
        <w:rPr>
          <w:rFonts w:hint="eastAsia" w:ascii="宋体" w:hAnsi="宋体" w:eastAsia="宋体" w:cs="宋体"/>
          <w:color w:val="auto"/>
          <w:sz w:val="32"/>
          <w:szCs w:val="32"/>
          <w:highlight w:val="none"/>
          <w:lang w:val="en-US" w:eastAsia="zh-CN"/>
        </w:rPr>
        <w:t>响应</w:t>
      </w:r>
      <w:r>
        <w:rPr>
          <w:rFonts w:hint="eastAsia" w:ascii="宋体" w:hAnsi="宋体" w:eastAsia="宋体" w:cs="宋体"/>
          <w:color w:val="auto"/>
          <w:sz w:val="32"/>
          <w:szCs w:val="32"/>
          <w:highlight w:val="none"/>
        </w:rPr>
        <w:t>文件格式</w:t>
      </w:r>
      <w:bookmarkEnd w:id="39"/>
      <w:bookmarkEnd w:id="40"/>
      <w:bookmarkEnd w:id="44"/>
    </w:p>
    <w:p w14:paraId="5164A6B6">
      <w:pPr>
        <w:spacing w:line="440" w:lineRule="exact"/>
        <w:rPr>
          <w:rFonts w:hint="eastAsia" w:ascii="宋体" w:hAnsi="宋体" w:eastAsia="宋体" w:cs="宋体"/>
          <w:color w:val="auto"/>
          <w:sz w:val="24"/>
          <w:highlight w:val="none"/>
        </w:rPr>
      </w:pPr>
    </w:p>
    <w:p w14:paraId="1238A038">
      <w:pPr>
        <w:jc w:val="center"/>
        <w:rPr>
          <w:rFonts w:hint="eastAsia" w:ascii="宋体" w:hAnsi="宋体" w:eastAsia="宋体" w:cs="宋体"/>
          <w:b/>
          <w:bCs/>
          <w:color w:val="auto"/>
          <w:sz w:val="32"/>
          <w:szCs w:val="32"/>
          <w:highlight w:val="none"/>
        </w:rPr>
      </w:pPr>
      <w:bookmarkStart w:id="45" w:name="_Toc13604"/>
      <w:r>
        <w:rPr>
          <w:rFonts w:hint="eastAsia" w:ascii="宋体" w:hAnsi="宋体" w:eastAsia="宋体" w:cs="宋体"/>
          <w:b/>
          <w:bCs/>
          <w:color w:val="auto"/>
          <w:sz w:val="32"/>
          <w:szCs w:val="32"/>
          <w:highlight w:val="none"/>
        </w:rPr>
        <w:t>目    录</w:t>
      </w:r>
      <w:bookmarkEnd w:id="45"/>
    </w:p>
    <w:p w14:paraId="3DEA2778">
      <w:pPr>
        <w:widowControl/>
        <w:wordWrap w:val="0"/>
        <w:spacing w:line="460" w:lineRule="exact"/>
        <w:ind w:firstLine="480" w:firstLineChars="200"/>
        <w:jc w:val="left"/>
        <w:rPr>
          <w:rFonts w:hint="eastAsia" w:ascii="宋体" w:hAnsi="宋体" w:eastAsia="宋体" w:cs="宋体"/>
          <w:color w:val="auto"/>
          <w:kern w:val="0"/>
          <w:sz w:val="24"/>
          <w:highlight w:val="none"/>
        </w:rPr>
      </w:pPr>
    </w:p>
    <w:p w14:paraId="535B7753">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6"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46"/>
    </w:p>
    <w:p w14:paraId="191106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7" w:name="_Toc25345"/>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47"/>
    </w:p>
    <w:p w14:paraId="6ABD8428">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8"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48"/>
    </w:p>
    <w:p w14:paraId="734C82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49" w:name="_Toc9579"/>
      <w:r>
        <w:rPr>
          <w:rFonts w:hint="eastAsia" w:ascii="宋体" w:hAnsi="宋体" w:eastAsia="宋体" w:cs="宋体"/>
          <w:color w:val="auto"/>
          <w:sz w:val="24"/>
          <w:highlight w:val="none"/>
        </w:rPr>
        <w:t xml:space="preserve">附件4 </w:t>
      </w:r>
      <w:bookmarkEnd w:id="49"/>
      <w:r>
        <w:rPr>
          <w:rFonts w:hint="eastAsia" w:ascii="宋体" w:hAnsi="宋体" w:eastAsia="宋体" w:cs="宋体"/>
          <w:color w:val="auto"/>
          <w:sz w:val="24"/>
          <w:highlight w:val="none"/>
          <w:lang w:val="en-US" w:eastAsia="zh-CN"/>
        </w:rPr>
        <w:t>报价明细表（格式）</w:t>
      </w:r>
    </w:p>
    <w:p w14:paraId="03576EA7">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50"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bookmarkEnd w:id="50"/>
      <w:r>
        <w:rPr>
          <w:rFonts w:hint="eastAsia" w:ascii="宋体" w:hAnsi="宋体" w:eastAsia="宋体" w:cs="宋体"/>
          <w:color w:val="auto"/>
          <w:sz w:val="24"/>
          <w:highlight w:val="none"/>
          <w:lang w:val="en-US" w:eastAsia="zh-CN"/>
        </w:rPr>
        <w:t>表（格式）</w:t>
      </w:r>
    </w:p>
    <w:p w14:paraId="200B8AF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eastAsia="zh-CN"/>
        </w:rPr>
      </w:pPr>
      <w:bookmarkStart w:id="51" w:name="_Toc6234"/>
      <w:r>
        <w:rPr>
          <w:rFonts w:hint="eastAsia" w:ascii="宋体" w:hAnsi="宋体" w:eastAsia="宋体" w:cs="宋体"/>
          <w:color w:val="auto"/>
          <w:sz w:val="24"/>
          <w:highlight w:val="none"/>
        </w:rPr>
        <w:t>附件6 商务</w:t>
      </w:r>
      <w:bookmarkEnd w:id="51"/>
      <w:r>
        <w:rPr>
          <w:rFonts w:hint="eastAsia" w:ascii="宋体" w:hAnsi="宋体" w:eastAsia="宋体" w:cs="宋体"/>
          <w:color w:val="auto"/>
          <w:sz w:val="24"/>
          <w:highlight w:val="none"/>
          <w:lang w:val="en-US" w:eastAsia="zh-CN"/>
        </w:rPr>
        <w:t>响应表（格式）</w:t>
      </w:r>
    </w:p>
    <w:p w14:paraId="35F21B36">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2" w:name="_Toc26231"/>
      <w:r>
        <w:rPr>
          <w:rFonts w:hint="eastAsia" w:ascii="宋体" w:hAnsi="宋体" w:eastAsia="宋体" w:cs="宋体"/>
          <w:color w:val="auto"/>
          <w:sz w:val="24"/>
          <w:highlight w:val="none"/>
        </w:rPr>
        <w:t>附件7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52"/>
    </w:p>
    <w:p w14:paraId="0CD3112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3" w:name="_Toc18484"/>
      <w:r>
        <w:rPr>
          <w:rFonts w:hint="eastAsia" w:ascii="宋体" w:hAnsi="宋体" w:eastAsia="宋体" w:cs="宋体"/>
          <w:color w:val="auto"/>
          <w:sz w:val="24"/>
          <w:highlight w:val="none"/>
        </w:rPr>
        <w:t>附件8</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53"/>
    </w:p>
    <w:p w14:paraId="4FFFD47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4" w:name="_Toc31857"/>
      <w:r>
        <w:rPr>
          <w:rFonts w:hint="eastAsia" w:ascii="宋体" w:hAnsi="宋体" w:eastAsia="宋体" w:cs="宋体"/>
          <w:color w:val="auto"/>
          <w:sz w:val="24"/>
          <w:highlight w:val="none"/>
        </w:rPr>
        <w:t>附件9 证明文件</w:t>
      </w:r>
      <w:bookmarkEnd w:id="54"/>
    </w:p>
    <w:p w14:paraId="1E9F0E79">
      <w:pPr>
        <w:snapToGrid w:val="0"/>
        <w:spacing w:line="360" w:lineRule="auto"/>
        <w:ind w:firstLine="480" w:firstLineChars="200"/>
        <w:rPr>
          <w:rFonts w:hint="eastAsia" w:ascii="宋体" w:hAnsi="宋体" w:eastAsia="宋体" w:cs="宋体"/>
          <w:color w:val="auto"/>
          <w:sz w:val="24"/>
          <w:highlight w:val="none"/>
          <w:lang w:val="en-US" w:eastAsia="zh-CN"/>
        </w:rPr>
      </w:pPr>
    </w:p>
    <w:p w14:paraId="63BA1F9E">
      <w:pPr>
        <w:pStyle w:val="30"/>
        <w:rPr>
          <w:rFonts w:hint="eastAsia" w:ascii="宋体" w:hAnsi="宋体" w:eastAsia="宋体" w:cs="宋体"/>
          <w:color w:val="auto"/>
          <w:highlight w:val="none"/>
        </w:rPr>
      </w:pPr>
    </w:p>
    <w:p w14:paraId="174F59C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3"/>
        <w:rPr>
          <w:rFonts w:hint="eastAsia" w:ascii="宋体" w:hAnsi="宋体" w:eastAsia="宋体" w:cs="宋体"/>
          <w:b/>
          <w:bCs/>
          <w:color w:val="auto"/>
          <w:kern w:val="0"/>
          <w:sz w:val="24"/>
          <w:highlight w:val="none"/>
        </w:rPr>
      </w:pPr>
    </w:p>
    <w:p w14:paraId="736844FA">
      <w:pPr>
        <w:pStyle w:val="48"/>
        <w:rPr>
          <w:rFonts w:hint="eastAsia" w:ascii="宋体" w:hAnsi="宋体" w:eastAsia="宋体" w:cs="宋体"/>
          <w:b/>
          <w:bCs/>
          <w:color w:val="auto"/>
          <w:highlight w:val="none"/>
        </w:rPr>
      </w:pPr>
    </w:p>
    <w:p w14:paraId="7C048156">
      <w:pPr>
        <w:pStyle w:val="48"/>
        <w:rPr>
          <w:rFonts w:hint="eastAsia" w:ascii="宋体" w:hAnsi="宋体" w:eastAsia="宋体" w:cs="宋体"/>
          <w:b/>
          <w:bCs/>
          <w:color w:val="auto"/>
          <w:highlight w:val="none"/>
        </w:rPr>
      </w:pPr>
    </w:p>
    <w:p w14:paraId="6EFF072B">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5"/>
        <w:rPr>
          <w:rFonts w:hint="eastAsia" w:ascii="宋体" w:hAnsi="宋体" w:eastAsia="宋体" w:cs="宋体"/>
          <w:color w:val="auto"/>
          <w:highlight w:val="none"/>
        </w:rPr>
      </w:pPr>
    </w:p>
    <w:p w14:paraId="67FE75CD">
      <w:pPr>
        <w:pStyle w:val="4"/>
        <w:keepNext/>
        <w:keepLines/>
        <w:pageBreakBefore w:val="0"/>
        <w:widowControl w:val="0"/>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55" w:name="_Toc31798"/>
      <w:bookmarkStart w:id="56" w:name="_Toc24743"/>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55"/>
      <w:bookmarkEnd w:id="56"/>
    </w:p>
    <w:p w14:paraId="3A0AC99C">
      <w:pPr>
        <w:widowControl/>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p>
    <w:p w14:paraId="37E7F995">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pacing w:line="360" w:lineRule="auto"/>
        <w:rPr>
          <w:rFonts w:hint="eastAsia" w:ascii="宋体" w:hAnsi="宋体" w:eastAsia="宋体" w:cs="宋体"/>
          <w:color w:val="auto"/>
          <w:sz w:val="28"/>
          <w:highlight w:val="none"/>
        </w:rPr>
      </w:pPr>
    </w:p>
    <w:p w14:paraId="596DC1AB">
      <w:pPr>
        <w:pStyle w:val="48"/>
        <w:spacing w:line="360" w:lineRule="auto"/>
        <w:rPr>
          <w:rFonts w:hint="eastAsia" w:ascii="宋体" w:hAnsi="宋体" w:eastAsia="宋体" w:cs="宋体"/>
          <w:color w:val="auto"/>
          <w:highlight w:val="none"/>
        </w:rPr>
      </w:pPr>
    </w:p>
    <w:p w14:paraId="51E48B65">
      <w:pPr>
        <w:pStyle w:val="48"/>
        <w:spacing w:line="360" w:lineRule="auto"/>
        <w:rPr>
          <w:rFonts w:hint="eastAsia" w:ascii="宋体" w:hAnsi="宋体" w:eastAsia="宋体" w:cs="宋体"/>
          <w:color w:val="auto"/>
          <w:highlight w:val="none"/>
        </w:rPr>
      </w:pPr>
    </w:p>
    <w:p w14:paraId="0AF50E0B">
      <w:pPr>
        <w:spacing w:line="360" w:lineRule="auto"/>
        <w:rPr>
          <w:rFonts w:hint="eastAsia" w:ascii="宋体" w:hAnsi="宋体" w:eastAsia="宋体" w:cs="宋体"/>
          <w:color w:val="auto"/>
          <w:sz w:val="28"/>
          <w:highlight w:val="none"/>
        </w:rPr>
      </w:pPr>
    </w:p>
    <w:p w14:paraId="5DD912A3">
      <w:pPr>
        <w:spacing w:line="360" w:lineRule="auto"/>
        <w:rPr>
          <w:rFonts w:hint="eastAsia" w:ascii="宋体" w:hAnsi="宋体" w:eastAsia="宋体" w:cs="宋体"/>
          <w:color w:val="auto"/>
          <w:sz w:val="28"/>
          <w:highlight w:val="none"/>
        </w:rPr>
      </w:pPr>
    </w:p>
    <w:p w14:paraId="5C511D16">
      <w:pPr>
        <w:spacing w:line="360" w:lineRule="auto"/>
        <w:rPr>
          <w:rFonts w:hint="eastAsia" w:ascii="宋体" w:hAnsi="宋体" w:eastAsia="宋体" w:cs="宋体"/>
          <w:color w:val="auto"/>
          <w:sz w:val="28"/>
          <w:highlight w:val="none"/>
        </w:rPr>
      </w:pPr>
    </w:p>
    <w:p w14:paraId="5F7D4E3C">
      <w:pPr>
        <w:spacing w:line="360" w:lineRule="auto"/>
        <w:rPr>
          <w:rFonts w:hint="eastAsia" w:ascii="宋体" w:hAnsi="宋体" w:eastAsia="宋体" w:cs="宋体"/>
          <w:color w:val="auto"/>
          <w:sz w:val="28"/>
          <w:highlight w:val="none"/>
        </w:rPr>
      </w:pPr>
    </w:p>
    <w:p w14:paraId="4A8855A5">
      <w:pPr>
        <w:spacing w:line="360" w:lineRule="auto"/>
        <w:rPr>
          <w:rFonts w:hint="eastAsia" w:ascii="宋体" w:hAnsi="宋体" w:eastAsia="宋体" w:cs="宋体"/>
          <w:color w:val="auto"/>
          <w:sz w:val="28"/>
          <w:highlight w:val="none"/>
        </w:rPr>
      </w:pPr>
    </w:p>
    <w:p w14:paraId="6544AFF1">
      <w:pPr>
        <w:spacing w:line="360" w:lineRule="auto"/>
        <w:rPr>
          <w:rFonts w:hint="eastAsia" w:ascii="宋体" w:hAnsi="宋体" w:eastAsia="宋体" w:cs="宋体"/>
          <w:color w:val="auto"/>
          <w:sz w:val="28"/>
          <w:highlight w:val="none"/>
        </w:rPr>
      </w:pPr>
    </w:p>
    <w:p w14:paraId="26F246B9">
      <w:pP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wordWrap w:val="0"/>
        <w:spacing w:line="460" w:lineRule="exact"/>
        <w:ind w:firstLine="482" w:firstLineChars="200"/>
        <w:jc w:val="left"/>
        <w:rPr>
          <w:rFonts w:hint="eastAsia" w:ascii="宋体" w:hAnsi="宋体" w:eastAsia="宋体" w:cs="宋体"/>
          <w:b/>
          <w:color w:val="auto"/>
          <w:kern w:val="0"/>
          <w:sz w:val="24"/>
          <w:highlight w:val="none"/>
        </w:rPr>
      </w:pPr>
    </w:p>
    <w:p w14:paraId="608C8D96">
      <w:pPr>
        <w:pStyle w:val="3"/>
        <w:rPr>
          <w:rFonts w:hint="eastAsia" w:ascii="宋体" w:hAnsi="宋体" w:eastAsia="宋体" w:cs="宋体"/>
          <w:b/>
          <w:color w:val="auto"/>
          <w:kern w:val="0"/>
          <w:sz w:val="24"/>
          <w:highlight w:val="none"/>
        </w:rPr>
      </w:pPr>
    </w:p>
    <w:p w14:paraId="7B4C1E5E">
      <w:pP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bookmarkEnd w:id="41"/>
    <w:bookmarkEnd w:id="42"/>
    <w:p w14:paraId="7A2FC0EC">
      <w:pPr>
        <w:pStyle w:val="4"/>
        <w:keepNext w:val="0"/>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7" w:name="_Toc14560"/>
      <w:bookmarkStart w:id="58" w:name="_Toc8818"/>
      <w:r>
        <w:rPr>
          <w:rFonts w:hint="eastAsia" w:ascii="宋体" w:hAnsi="宋体" w:eastAsia="宋体" w:cs="宋体"/>
          <w:color w:val="auto"/>
          <w:sz w:val="28"/>
          <w:szCs w:val="28"/>
          <w:highlight w:val="none"/>
          <w:lang w:val="en-US" w:eastAsia="zh-CN"/>
        </w:rPr>
        <w:t>附件2      竞争性磋商响应书（格式）</w:t>
      </w:r>
      <w:bookmarkEnd w:id="57"/>
      <w:bookmarkEnd w:id="58"/>
    </w:p>
    <w:p w14:paraId="3947AC28">
      <w:pPr>
        <w:keepNext w:val="0"/>
        <w:pageBreakBefore w:val="0"/>
        <w:widowControl w:val="0"/>
        <w:wordWrap w:val="0"/>
        <w:overflowPunct/>
        <w:topLinePunct w:val="0"/>
        <w:bidi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cs="宋体"/>
          <w:color w:val="auto"/>
          <w:kern w:val="0"/>
          <w:sz w:val="24"/>
          <w:szCs w:val="24"/>
          <w:highlight w:val="none"/>
          <w:u w:val="single"/>
          <w:lang w:val="en-US" w:eastAsia="zh-CN"/>
        </w:rPr>
        <w:t>驻马店市中心医院</w:t>
      </w:r>
    </w:p>
    <w:p w14:paraId="4525975B">
      <w:pPr>
        <w:pStyle w:val="102"/>
        <w:spacing w:line="360" w:lineRule="auto"/>
        <w:ind w:firstLine="480" w:firstLineChars="200"/>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我方仔细研究</w:t>
      </w:r>
      <w:r>
        <w:rPr>
          <w:rFonts w:hint="eastAsia" w:asciiTheme="minorEastAsia" w:hAnsiTheme="minorEastAsia"/>
          <w:color w:val="auto"/>
          <w:sz w:val="24"/>
          <w:szCs w:val="24"/>
          <w:highlight w:val="none"/>
        </w:rPr>
        <w:t>了</w:t>
      </w:r>
      <w:r>
        <w:rPr>
          <w:rFonts w:hint="eastAsia" w:asciiTheme="minorEastAsia" w:hAnsiTheme="minorEastAsia"/>
          <w:bCs/>
          <w:color w:val="auto"/>
          <w:sz w:val="24"/>
          <w:szCs w:val="24"/>
          <w:highlight w:val="none"/>
          <w:u w:val="single"/>
        </w:rPr>
        <w:t>（项目名称：</w:t>
      </w:r>
      <w:r>
        <w:rPr>
          <w:rFonts w:hint="eastAsia" w:asciiTheme="minorEastAsia" w:hAnsiTheme="minorEastAsia"/>
          <w:bCs/>
          <w:color w:val="auto"/>
          <w:sz w:val="24"/>
          <w:szCs w:val="24"/>
          <w:highlight w:val="none"/>
          <w:u w:val="single"/>
          <w:lang w:val="en-US" w:eastAsia="zh-CN"/>
        </w:rPr>
        <w:t xml:space="preserve">              </w:t>
      </w:r>
      <w:r>
        <w:rPr>
          <w:rFonts w:hint="eastAsia" w:asciiTheme="minorEastAsia" w:hAnsiTheme="minorEastAsia"/>
          <w:bCs/>
          <w:color w:val="auto"/>
          <w:sz w:val="24"/>
          <w:szCs w:val="24"/>
          <w:highlight w:val="none"/>
          <w:u w:val="single"/>
        </w:rPr>
        <w:t>）</w:t>
      </w:r>
      <w:r>
        <w:rPr>
          <w:rFonts w:hint="eastAsia" w:asciiTheme="minorEastAsia" w:hAnsiTheme="minorEastAsia"/>
          <w:color w:val="auto"/>
          <w:sz w:val="24"/>
          <w:szCs w:val="24"/>
          <w:highlight w:val="none"/>
          <w:lang w:val="en-US" w:eastAsia="zh-CN"/>
        </w:rPr>
        <w:t>采</w:t>
      </w:r>
      <w:r>
        <w:rPr>
          <w:rFonts w:hint="eastAsia" w:asciiTheme="minorEastAsia" w:hAnsiTheme="minorEastAsia"/>
          <w:color w:val="auto"/>
          <w:sz w:val="24"/>
          <w:szCs w:val="24"/>
          <w:highlight w:val="none"/>
          <w:lang w:val="en-US" w:eastAsia="zh-CN"/>
        </w:rPr>
        <w:t>购</w:t>
      </w:r>
      <w:r>
        <w:rPr>
          <w:rFonts w:hint="eastAsia" w:asciiTheme="minorEastAsia" w:hAnsiTheme="minorEastAsia"/>
          <w:color w:val="auto"/>
          <w:sz w:val="24"/>
          <w:szCs w:val="24"/>
          <w:highlight w:val="none"/>
        </w:rPr>
        <w:t>文件的全部内容，决定参加该项目的磋商活动并按要求提交响应文件。我们郑重声明以下诸点并负法律责任</w:t>
      </w:r>
      <w:r>
        <w:rPr>
          <w:rFonts w:asciiTheme="minorEastAsia" w:hAnsiTheme="minorEastAsia"/>
          <w:color w:val="auto"/>
          <w:sz w:val="24"/>
          <w:szCs w:val="24"/>
          <w:highlight w:val="none"/>
        </w:rPr>
        <w:t>:</w:t>
      </w:r>
    </w:p>
    <w:p w14:paraId="249BC012">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1、我方愿意向贵方提供任何与本竞争性磋商项目有关的数据、情况和技术资料，并保证其真实、合法、有效</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完整</w:t>
      </w:r>
      <w:r>
        <w:rPr>
          <w:rFonts w:hint="eastAsia" w:ascii="宋体" w:hAnsi="宋体" w:eastAsia="宋体" w:cs="宋体"/>
          <w:color w:val="auto"/>
          <w:kern w:val="0"/>
          <w:sz w:val="24"/>
          <w:szCs w:val="24"/>
          <w:highlight w:val="none"/>
        </w:rPr>
        <w:t>。</w:t>
      </w:r>
    </w:p>
    <w:p w14:paraId="1100F9E0">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、我方</w:t>
      </w:r>
      <w:r>
        <w:rPr>
          <w:rFonts w:hint="eastAsia" w:asciiTheme="minorEastAsia" w:hAnsiTheme="minorEastAsia"/>
          <w:color w:val="auto"/>
          <w:sz w:val="24"/>
          <w:szCs w:val="24"/>
          <w:highlight w:val="none"/>
        </w:rPr>
        <w:t>响应文件有效期为自磋商之日</w:t>
      </w:r>
      <w:r>
        <w:rPr>
          <w:rFonts w:hint="eastAsia" w:asciiTheme="minorEastAsia" w:hAnsiTheme="minorEastAsia"/>
          <w:color w:val="auto"/>
          <w:sz w:val="24"/>
          <w:szCs w:val="24"/>
          <w:highlight w:val="none"/>
          <w:u w:val="none"/>
        </w:rPr>
        <w:t>起</w:t>
      </w:r>
      <w:r>
        <w:rPr>
          <w:rFonts w:asciiTheme="minorEastAsia" w:hAnsiTheme="minorEastAsia"/>
          <w:color w:val="auto"/>
          <w:sz w:val="24"/>
          <w:szCs w:val="24"/>
          <w:highlight w:val="none"/>
          <w:u w:val="none"/>
        </w:rPr>
        <w:t>90</w:t>
      </w:r>
      <w:r>
        <w:rPr>
          <w:rFonts w:hint="eastAsia" w:asciiTheme="minorEastAsia" w:hAnsiTheme="minorEastAsia"/>
          <w:color w:val="auto"/>
          <w:sz w:val="24"/>
          <w:szCs w:val="24"/>
          <w:highlight w:val="none"/>
          <w:u w:val="none"/>
        </w:rPr>
        <w:t>天</w:t>
      </w:r>
      <w:r>
        <w:rPr>
          <w:rFonts w:hint="eastAsia" w:asciiTheme="minorEastAsia" w:hAnsiTheme="minorEastAsia"/>
          <w:color w:val="auto"/>
          <w:sz w:val="24"/>
          <w:szCs w:val="24"/>
          <w:highlight w:val="none"/>
          <w:u w:val="none"/>
          <w:lang w:eastAsia="zh-CN"/>
        </w:rPr>
        <w:t>，</w:t>
      </w:r>
      <w:r>
        <w:rPr>
          <w:rFonts w:hint="eastAsia" w:ascii="宋体" w:hAnsi="宋体" w:eastAsia="宋体" w:cs="宋体"/>
          <w:color w:val="auto"/>
          <w:kern w:val="0"/>
          <w:sz w:val="24"/>
          <w:szCs w:val="24"/>
          <w:highlight w:val="none"/>
        </w:rPr>
        <w:t>同意在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文件有效期内遵守本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文件中的承诺且在此期限期满之前均具有约束力。如果我方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文件有效期与合同履行期相同。</w:t>
      </w:r>
    </w:p>
    <w:p w14:paraId="7592BA80">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、我方已详细审查全部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文件，包括修改文件（如有的话）和有关附件，将自行承担因对全部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文件理解不正确或误解而产生的相应后果。</w:t>
      </w:r>
    </w:p>
    <w:p w14:paraId="6042D978">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、我方尊重</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的评</w:t>
      </w:r>
      <w:r>
        <w:rPr>
          <w:rFonts w:hint="eastAsia" w:ascii="宋体" w:hAnsi="宋体" w:eastAsia="宋体" w:cs="宋体"/>
          <w:color w:val="auto"/>
          <w:kern w:val="0"/>
          <w:sz w:val="24"/>
          <w:szCs w:val="24"/>
          <w:highlight w:val="none"/>
          <w:lang w:val="en-US" w:eastAsia="zh-CN"/>
        </w:rPr>
        <w:t>审</w:t>
      </w:r>
      <w:r>
        <w:rPr>
          <w:rFonts w:hint="eastAsia" w:ascii="宋体" w:hAnsi="宋体" w:eastAsia="宋体" w:cs="宋体"/>
          <w:color w:val="auto"/>
          <w:kern w:val="0"/>
          <w:sz w:val="24"/>
          <w:szCs w:val="24"/>
          <w:highlight w:val="none"/>
        </w:rPr>
        <w:t>结果，完全理解本</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项目最低投标价不作为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的保证。</w:t>
      </w:r>
    </w:p>
    <w:p w14:paraId="17751A93">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并缴纳服务费。否则，视为我方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后自动放弃</w:t>
      </w:r>
      <w:r>
        <w:rPr>
          <w:rFonts w:hint="eastAsia" w:ascii="宋体" w:hAnsi="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资格，承担由此引起的一切后果。</w:t>
      </w:r>
    </w:p>
    <w:p w14:paraId="10FBCF4C">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供应商，我方同意在领取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日内</w:t>
      </w:r>
      <w:r>
        <w:rPr>
          <w:rFonts w:hint="eastAsia" w:ascii="宋体" w:hAnsi="宋体" w:eastAsia="宋体" w:cs="宋体"/>
          <w:color w:val="auto"/>
          <w:kern w:val="0"/>
          <w:sz w:val="24"/>
          <w:szCs w:val="24"/>
          <w:highlight w:val="none"/>
        </w:rPr>
        <w:t>与采购人签订采购合同。否则，视为我方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后无正当理由不与采购人签订合同并承担相应法律责任。</w:t>
      </w:r>
    </w:p>
    <w:p w14:paraId="7DC3EF06">
      <w:pPr>
        <w:keepNext w:val="0"/>
        <w:pageBreakBefore w:val="0"/>
        <w:widowControl w:val="0"/>
        <w:tabs>
          <w:tab w:val="left" w:pos="939"/>
        </w:tabs>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、以上事项如有虚假或隐瞒，我方愿意承担一切后果和责任。</w:t>
      </w:r>
    </w:p>
    <w:p w14:paraId="74C78AF5">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有关的一切正式往来通讯请寄（地址电话必须为最新并可以联系到）：</w:t>
      </w:r>
    </w:p>
    <w:p w14:paraId="101569E0">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地址：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w:t>
      </w:r>
    </w:p>
    <w:p w14:paraId="2B4BB444">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传真： </w:t>
      </w:r>
    </w:p>
    <w:p w14:paraId="52768E29">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p>
    <w:p w14:paraId="6EF9AC46">
      <w:pPr>
        <w:keepNext w:val="0"/>
        <w:pageBreakBefore w:val="0"/>
        <w:widowControl w:val="0"/>
        <w:wordWrap w:val="0"/>
        <w:overflowPunct/>
        <w:topLinePunct w:val="0"/>
        <w:bidi w:val="0"/>
        <w:spacing w:line="460" w:lineRule="exact"/>
        <w:ind w:firstLine="840" w:firstLineChars="35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法定代表人或委托代理人（签字</w:t>
      </w:r>
      <w:r>
        <w:rPr>
          <w:rFonts w:hint="eastAsia" w:ascii="宋体" w:hAnsi="宋体" w:eastAsia="宋体" w:cs="宋体"/>
          <w:color w:val="auto"/>
          <w:kern w:val="0"/>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 xml:space="preserve">： </w:t>
      </w:r>
    </w:p>
    <w:p w14:paraId="461F568A">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全称并</w:t>
      </w:r>
      <w:r>
        <w:rPr>
          <w:rFonts w:hint="eastAsia" w:ascii="宋体" w:hAnsi="宋体" w:eastAsia="宋体" w:cs="宋体"/>
          <w:color w:val="auto"/>
          <w:kern w:val="0"/>
          <w:sz w:val="24"/>
          <w:szCs w:val="24"/>
          <w:highlight w:val="none"/>
          <w:lang w:val="en-US" w:eastAsia="zh-CN"/>
        </w:rPr>
        <w:t>加</w:t>
      </w:r>
      <w:r>
        <w:rPr>
          <w:rFonts w:hint="eastAsia" w:ascii="宋体" w:hAnsi="宋体" w:eastAsia="宋体" w:cs="宋体"/>
          <w:color w:val="auto"/>
          <w:kern w:val="0"/>
          <w:sz w:val="24"/>
          <w:szCs w:val="24"/>
          <w:highlight w:val="none"/>
          <w:lang w:eastAsia="zh-CN"/>
        </w:rPr>
        <w:t>盖</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eastAsia="宋体" w:cs="宋体"/>
          <w:color w:val="auto"/>
          <w:kern w:val="0"/>
          <w:sz w:val="24"/>
          <w:szCs w:val="24"/>
          <w:highlight w:val="none"/>
        </w:rPr>
        <w:t>）</w:t>
      </w:r>
    </w:p>
    <w:p w14:paraId="6050E5DF">
      <w:pPr>
        <w:keepNext w:val="0"/>
        <w:pageBreakBefore w:val="0"/>
        <w:widowControl w:val="0"/>
        <w:wordWrap w:val="0"/>
        <w:overflowPunct/>
        <w:topLinePunct w:val="0"/>
        <w:bidi w:val="0"/>
        <w:spacing w:line="460" w:lineRule="exact"/>
        <w:ind w:firstLine="960" w:firstLineChars="4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 xml:space="preserve">日期：    </w:t>
      </w:r>
      <w:r>
        <w:rPr>
          <w:rFonts w:hint="eastAsia" w:ascii="宋体" w:hAnsi="宋体" w:eastAsia="宋体" w:cs="宋体"/>
          <w:color w:val="auto"/>
          <w:kern w:val="0"/>
          <w:sz w:val="24"/>
          <w:szCs w:val="24"/>
          <w:highlight w:val="none"/>
        </w:rPr>
        <w:t xml:space="preserve">年    月   日 </w:t>
      </w:r>
    </w:p>
    <w:p w14:paraId="5756D53A">
      <w:pPr>
        <w:widowControl/>
        <w:wordWrap w:val="0"/>
        <w:snapToGrid w:val="0"/>
        <w:spacing w:before="50" w:after="50" w:line="480" w:lineRule="auto"/>
        <w:jc w:val="left"/>
        <w:rPr>
          <w:rFonts w:hint="eastAsia" w:ascii="宋体" w:hAnsi="宋体" w:eastAsia="宋体" w:cs="宋体"/>
          <w:b/>
          <w:color w:val="auto"/>
          <w:kern w:val="0"/>
          <w:sz w:val="24"/>
          <w:szCs w:val="24"/>
          <w:highlight w:val="none"/>
        </w:rPr>
      </w:pPr>
    </w:p>
    <w:p w14:paraId="114ABE1E">
      <w:pPr>
        <w:spacing w:line="500" w:lineRule="exact"/>
        <w:jc w:val="center"/>
        <w:rPr>
          <w:rFonts w:hint="eastAsia" w:ascii="宋体" w:hAnsi="宋体" w:eastAsia="宋体" w:cs="宋体"/>
          <w:b/>
          <w:bCs/>
          <w:color w:val="auto"/>
          <w:sz w:val="24"/>
          <w:highlight w:val="none"/>
        </w:rPr>
      </w:pPr>
    </w:p>
    <w:p w14:paraId="3B1CEE48">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25C15F95">
      <w:pPr>
        <w:rPr>
          <w:rFonts w:hint="eastAsia" w:ascii="宋体" w:hAnsi="宋体" w:eastAsia="宋体" w:cs="宋体"/>
          <w:color w:val="auto"/>
          <w:highlight w:val="none"/>
        </w:rPr>
      </w:pPr>
    </w:p>
    <w:p w14:paraId="1AD340C5">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9" w:name="_Toc7838"/>
      <w:r>
        <w:rPr>
          <w:rFonts w:hint="eastAsia" w:ascii="宋体" w:hAnsi="宋体" w:eastAsia="宋体" w:cs="宋体"/>
          <w:color w:val="auto"/>
          <w:sz w:val="28"/>
          <w:szCs w:val="28"/>
          <w:highlight w:val="none"/>
          <w:lang w:val="en-US" w:eastAsia="zh-CN"/>
        </w:rPr>
        <w:t>附件3            初次报价一览表</w:t>
      </w:r>
      <w:bookmarkEnd w:id="59"/>
      <w:r>
        <w:rPr>
          <w:rFonts w:hint="eastAsia" w:ascii="宋体" w:hAnsi="宋体" w:eastAsia="宋体" w:cs="宋体"/>
          <w:color w:val="auto"/>
          <w:sz w:val="28"/>
          <w:szCs w:val="28"/>
          <w:highlight w:val="none"/>
          <w:lang w:val="en-US" w:eastAsia="zh-CN"/>
        </w:rPr>
        <w:t>（格式）</w:t>
      </w:r>
    </w:p>
    <w:p w14:paraId="163DE47D">
      <w:pPr>
        <w:spacing w:line="239" w:lineRule="auto"/>
        <w:jc w:val="right"/>
        <w:rPr>
          <w:rFonts w:hint="eastAsia" w:ascii="宋体" w:hAnsi="宋体" w:eastAsia="宋体" w:cs="宋体"/>
          <w:color w:val="auto"/>
          <w:sz w:val="24"/>
          <w:highlight w:val="none"/>
          <w:lang w:val="en-US"/>
        </w:rPr>
      </w:pPr>
      <w:bookmarkStart w:id="60" w:name="_Toc20877"/>
      <w:bookmarkStart w:id="61" w:name="_Toc11620"/>
      <w:r>
        <w:rPr>
          <w:rFonts w:hint="eastAsia" w:ascii="宋体" w:hAnsi="宋体" w:eastAsia="宋体" w:cs="宋体"/>
          <w:color w:val="auto"/>
          <w:sz w:val="24"/>
          <w:highlight w:val="none"/>
        </w:rPr>
        <w:t>单位：%</w:t>
      </w:r>
    </w:p>
    <w:p w14:paraId="7731EC5A">
      <w:pPr>
        <w:rPr>
          <w:rFonts w:hint="eastAsia" w:ascii="宋体" w:hAnsi="宋体" w:eastAsia="宋体" w:cs="宋体"/>
          <w:color w:val="auto"/>
          <w:highlight w:val="none"/>
        </w:rPr>
      </w:pPr>
    </w:p>
    <w:tbl>
      <w:tblPr>
        <w:tblStyle w:val="32"/>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8"/>
        <w:gridCol w:w="7708"/>
      </w:tblGrid>
      <w:tr w14:paraId="16E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78" w:type="dxa"/>
            <w:noWrap/>
            <w:vAlign w:val="center"/>
          </w:tcPr>
          <w:p w14:paraId="7D35BE1C">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项目名称</w:t>
            </w:r>
          </w:p>
        </w:tc>
        <w:tc>
          <w:tcPr>
            <w:tcW w:w="7708" w:type="dxa"/>
            <w:noWrap/>
            <w:vAlign w:val="center"/>
          </w:tcPr>
          <w:p w14:paraId="29544E6D">
            <w:pPr>
              <w:rPr>
                <w:rFonts w:hint="eastAsia" w:ascii="宋体" w:hAnsi="宋体" w:eastAsia="宋体" w:cs="宋体"/>
                <w:bCs/>
                <w:color w:val="auto"/>
                <w:sz w:val="24"/>
                <w:szCs w:val="24"/>
                <w:highlight w:val="none"/>
              </w:rPr>
            </w:pPr>
          </w:p>
        </w:tc>
      </w:tr>
      <w:tr w14:paraId="58A9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978" w:type="dxa"/>
            <w:noWrap/>
            <w:vAlign w:val="center"/>
          </w:tcPr>
          <w:p w14:paraId="61935F99">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名称</w:t>
            </w:r>
          </w:p>
        </w:tc>
        <w:tc>
          <w:tcPr>
            <w:tcW w:w="7708" w:type="dxa"/>
            <w:noWrap/>
            <w:vAlign w:val="center"/>
          </w:tcPr>
          <w:p w14:paraId="07B627DC">
            <w:pPr>
              <w:rPr>
                <w:rFonts w:hint="eastAsia" w:ascii="宋体" w:hAnsi="宋体" w:eastAsia="宋体" w:cs="宋体"/>
                <w:color w:val="auto"/>
                <w:sz w:val="24"/>
                <w:szCs w:val="24"/>
                <w:highlight w:val="none"/>
              </w:rPr>
            </w:pPr>
          </w:p>
        </w:tc>
      </w:tr>
      <w:tr w14:paraId="362D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978" w:type="dxa"/>
            <w:noWrap/>
            <w:vAlign w:val="center"/>
          </w:tcPr>
          <w:p w14:paraId="5D56F208">
            <w:pPr>
              <w:widowControl/>
              <w:snapToGrid w:val="0"/>
              <w:spacing w:before="50" w:after="50"/>
              <w:jc w:val="center"/>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磋商报价</w:t>
            </w:r>
          </w:p>
          <w:p w14:paraId="2A3EC86B">
            <w:pPr>
              <w:widowControl/>
              <w:snapToGrid w:val="0"/>
              <w:spacing w:before="50" w:after="50"/>
              <w:jc w:val="center"/>
              <w:rPr>
                <w:rFonts w:hint="eastAsia" w:ascii="宋体" w:hAnsi="宋体" w:eastAsia="宋体" w:cs="宋体"/>
                <w:b/>
                <w:bCs/>
                <w:color w:val="auto"/>
                <w:spacing w:val="-20"/>
                <w:sz w:val="24"/>
                <w:szCs w:val="24"/>
                <w:highlight w:val="none"/>
                <w:lang w:eastAsia="zh-CN"/>
              </w:rPr>
            </w:pPr>
            <w:r>
              <w:rPr>
                <w:rFonts w:hint="eastAsia" w:ascii="宋体" w:hAnsi="宋体" w:eastAsia="宋体" w:cs="宋体"/>
                <w:b/>
                <w:bCs/>
                <w:color w:val="auto"/>
                <w:kern w:val="0"/>
                <w:sz w:val="24"/>
                <w:szCs w:val="24"/>
                <w:highlight w:val="none"/>
                <w:lang w:eastAsia="zh-CN"/>
              </w:rPr>
              <w:t>（综合折扣率）</w:t>
            </w:r>
          </w:p>
        </w:tc>
        <w:tc>
          <w:tcPr>
            <w:tcW w:w="7708" w:type="dxa"/>
            <w:noWrap/>
            <w:vAlign w:val="center"/>
          </w:tcPr>
          <w:p w14:paraId="05A11423">
            <w:pPr>
              <w:rPr>
                <w:rFonts w:ascii="宋体" w:cs="宋体"/>
                <w:color w:val="auto"/>
                <w:sz w:val="24"/>
                <w:szCs w:val="24"/>
                <w:highlight w:val="none"/>
              </w:rPr>
            </w:pPr>
            <w:r>
              <w:rPr>
                <w:rFonts w:hint="eastAsia" w:ascii="宋体" w:hAnsi="宋体" w:cs="宋体"/>
                <w:color w:val="auto"/>
                <w:sz w:val="24"/>
                <w:szCs w:val="24"/>
                <w:highlight w:val="none"/>
              </w:rPr>
              <w:t>大写：百分之</w:t>
            </w:r>
            <w:r>
              <w:rPr>
                <w:color w:val="auto"/>
                <w:sz w:val="24"/>
                <w:szCs w:val="32"/>
                <w:highlight w:val="none"/>
                <w:u w:val="single"/>
              </w:rPr>
              <w:t xml:space="preserve">    </w:t>
            </w:r>
            <w:r>
              <w:rPr>
                <w:rFonts w:hint="eastAsia"/>
                <w:color w:val="auto"/>
                <w:sz w:val="24"/>
                <w:szCs w:val="32"/>
                <w:highlight w:val="none"/>
                <w:u w:val="single"/>
                <w:lang w:val="en-US" w:eastAsia="zh-CN"/>
              </w:rPr>
              <w:t xml:space="preserve">  </w:t>
            </w:r>
            <w:r>
              <w:rPr>
                <w:color w:val="auto"/>
                <w:sz w:val="24"/>
                <w:szCs w:val="32"/>
                <w:highlight w:val="none"/>
                <w:u w:val="single"/>
              </w:rPr>
              <w:t xml:space="preserve">      </w:t>
            </w:r>
            <w:r>
              <w:rPr>
                <w:rFonts w:ascii="宋体" w:hAnsi="宋体" w:cs="宋体"/>
                <w:color w:val="auto"/>
                <w:sz w:val="24"/>
                <w:szCs w:val="24"/>
                <w:highlight w:val="none"/>
              </w:rPr>
              <w:t xml:space="preserve">        </w:t>
            </w:r>
          </w:p>
          <w:p w14:paraId="3238EA97">
            <w:pP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小写：</w:t>
            </w:r>
            <w:r>
              <w:rPr>
                <w:color w:val="auto"/>
                <w:sz w:val="24"/>
                <w:szCs w:val="32"/>
                <w:highlight w:val="none"/>
                <w:u w:val="single"/>
              </w:rPr>
              <w:t xml:space="preserve">       </w:t>
            </w:r>
            <w:r>
              <w:rPr>
                <w:rFonts w:ascii="宋体" w:hAnsi="宋体" w:cs="宋体"/>
                <w:color w:val="auto"/>
                <w:sz w:val="24"/>
                <w:szCs w:val="24"/>
                <w:highlight w:val="none"/>
              </w:rPr>
              <w:t>%</w:t>
            </w:r>
            <w:r>
              <w:rPr>
                <w:rFonts w:hint="eastAsia" w:ascii="宋体" w:hAnsi="宋体" w:cs="宋体"/>
                <w:color w:val="auto"/>
                <w:sz w:val="24"/>
                <w:szCs w:val="24"/>
                <w:highlight w:val="none"/>
              </w:rPr>
              <w:t>（详见报价明细表）</w:t>
            </w:r>
          </w:p>
        </w:tc>
      </w:tr>
      <w:tr w14:paraId="054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978" w:type="dxa"/>
            <w:noWrap/>
            <w:vAlign w:val="center"/>
          </w:tcPr>
          <w:p w14:paraId="2D64A98F">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  注</w:t>
            </w:r>
          </w:p>
        </w:tc>
        <w:tc>
          <w:tcPr>
            <w:tcW w:w="7708" w:type="dxa"/>
            <w:noWrap/>
            <w:vAlign w:val="center"/>
          </w:tcPr>
          <w:p w14:paraId="0FDD4FAD">
            <w:pPr>
              <w:pStyle w:val="19"/>
              <w:ind w:left="0" w:leftChars="0"/>
              <w:rPr>
                <w:rFonts w:hint="eastAsia" w:ascii="宋体" w:hAnsi="宋体" w:eastAsia="宋体" w:cs="宋体"/>
                <w:color w:val="auto"/>
                <w:sz w:val="24"/>
                <w:szCs w:val="24"/>
                <w:highlight w:val="none"/>
              </w:rPr>
            </w:pPr>
          </w:p>
        </w:tc>
      </w:tr>
    </w:tbl>
    <w:p w14:paraId="3637A574">
      <w:pPr>
        <w:spacing w:line="360" w:lineRule="auto"/>
        <w:ind w:firstLine="420" w:firstLineChars="200"/>
        <w:jc w:val="center"/>
        <w:rPr>
          <w:rFonts w:hint="eastAsia" w:ascii="宋体" w:hAnsi="宋体" w:eastAsia="宋体" w:cs="宋体"/>
          <w:color w:val="auto"/>
          <w:szCs w:val="21"/>
          <w:highlight w:val="none"/>
          <w:lang w:eastAsia="zh-CN"/>
        </w:rPr>
      </w:pPr>
    </w:p>
    <w:p w14:paraId="41A82839">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注：磋商报价填写产品综合折扣率：即该项目各类产品最终实际供货折扣。例如：一克配方乳粉的折扣为7.5折，即综合折扣率为75%（响应报价大写填写为柒拾伍，小写填写为75）；</w:t>
      </w:r>
    </w:p>
    <w:p w14:paraId="5B5D2365">
      <w:pPr>
        <w:spacing w:line="360" w:lineRule="auto"/>
        <w:ind w:firstLine="420" w:firstLineChars="200"/>
        <w:jc w:val="center"/>
        <w:rPr>
          <w:rFonts w:hint="eastAsia" w:ascii="宋体" w:hAnsi="宋体" w:eastAsia="宋体" w:cs="宋体"/>
          <w:color w:val="auto"/>
          <w:szCs w:val="21"/>
          <w:highlight w:val="none"/>
          <w:lang w:eastAsia="zh-CN"/>
        </w:rPr>
      </w:pPr>
    </w:p>
    <w:p w14:paraId="61C10808">
      <w:pPr>
        <w:spacing w:line="360" w:lineRule="auto"/>
        <w:jc w:val="both"/>
        <w:rPr>
          <w:rFonts w:hint="eastAsia" w:ascii="宋体" w:hAnsi="宋体" w:eastAsia="宋体" w:cs="宋体"/>
          <w:color w:val="auto"/>
          <w:szCs w:val="21"/>
          <w:highlight w:val="none"/>
          <w:lang w:eastAsia="zh-CN"/>
        </w:rPr>
      </w:pPr>
    </w:p>
    <w:bookmarkEnd w:id="60"/>
    <w:bookmarkEnd w:id="61"/>
    <w:p w14:paraId="052D9E4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3D149974">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27F4E33">
      <w:pP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p w14:paraId="1D94AE4F">
      <w:pPr>
        <w:spacing w:before="20" w:after="20"/>
        <w:outlineLvl w:val="9"/>
        <w:rPr>
          <w:rFonts w:hint="eastAsia" w:ascii="宋体" w:hAnsi="宋体" w:eastAsia="宋体" w:cs="宋体"/>
          <w:color w:val="auto"/>
          <w:highlight w:val="none"/>
          <w:lang w:eastAsia="zh-CN"/>
        </w:rPr>
      </w:pPr>
      <w:bookmarkStart w:id="62" w:name="_Toc24984"/>
      <w:bookmarkStart w:id="63" w:name="_Toc22004"/>
    </w:p>
    <w:p w14:paraId="4EFFFED2">
      <w:pPr>
        <w:outlineLvl w:val="9"/>
        <w:rPr>
          <w:rFonts w:hint="eastAsia" w:ascii="宋体" w:hAnsi="宋体" w:eastAsia="宋体" w:cs="宋体"/>
          <w:color w:val="auto"/>
          <w:highlight w:val="none"/>
          <w:lang w:eastAsia="zh-CN"/>
        </w:rPr>
      </w:pPr>
    </w:p>
    <w:p w14:paraId="638ED0B5">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A621A8C">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附件4        </w:t>
      </w:r>
      <w:bookmarkEnd w:id="62"/>
      <w:bookmarkEnd w:id="63"/>
      <w:r>
        <w:rPr>
          <w:rFonts w:hint="eastAsia" w:ascii="宋体" w:hAnsi="宋体" w:eastAsia="宋体" w:cs="宋体"/>
          <w:color w:val="auto"/>
          <w:sz w:val="28"/>
          <w:szCs w:val="28"/>
          <w:highlight w:val="none"/>
          <w:lang w:val="en-US" w:eastAsia="zh-CN"/>
        </w:rPr>
        <w:t>报价明细表（格式）</w:t>
      </w:r>
    </w:p>
    <w:tbl>
      <w:tblPr>
        <w:tblStyle w:val="32"/>
        <w:tblpPr w:leftFromText="180" w:rightFromText="180" w:vertAnchor="text" w:horzAnchor="page" w:tblpXSpec="center" w:tblpY="449"/>
        <w:tblOverlap w:val="never"/>
        <w:tblW w:w="933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1506"/>
        <w:gridCol w:w="876"/>
        <w:gridCol w:w="1496"/>
        <w:gridCol w:w="1274"/>
        <w:gridCol w:w="1548"/>
        <w:gridCol w:w="1744"/>
      </w:tblGrid>
      <w:tr w14:paraId="18A873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54" w:hRule="atLeast"/>
          <w:jc w:val="center"/>
        </w:trPr>
        <w:tc>
          <w:tcPr>
            <w:tcW w:w="893" w:type="dxa"/>
            <w:tcBorders>
              <w:top w:val="single" w:color="auto" w:sz="4" w:space="0"/>
              <w:left w:val="single" w:color="auto" w:sz="4" w:space="0"/>
              <w:bottom w:val="nil"/>
              <w:right w:val="single" w:color="auto" w:sz="4" w:space="0"/>
            </w:tcBorders>
            <w:vAlign w:val="center"/>
          </w:tcPr>
          <w:p w14:paraId="047219B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r>
              <w:rPr>
                <w:rFonts w:hint="eastAsia" w:ascii="宋体" w:hAnsi="宋体" w:cs="宋体"/>
                <w:color w:val="auto"/>
                <w:kern w:val="0"/>
                <w:sz w:val="24"/>
                <w:highlight w:val="none"/>
              </w:rPr>
              <w:t>序号</w:t>
            </w:r>
          </w:p>
        </w:tc>
        <w:tc>
          <w:tcPr>
            <w:tcW w:w="1506" w:type="dxa"/>
            <w:tcBorders>
              <w:top w:val="single" w:color="auto" w:sz="4" w:space="0"/>
              <w:left w:val="single" w:color="auto" w:sz="4" w:space="0"/>
              <w:bottom w:val="nil"/>
              <w:right w:val="single" w:color="auto" w:sz="4" w:space="0"/>
            </w:tcBorders>
            <w:vAlign w:val="center"/>
          </w:tcPr>
          <w:p w14:paraId="52EE992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货物</w:t>
            </w:r>
            <w:r>
              <w:rPr>
                <w:rFonts w:hint="eastAsia" w:ascii="宋体" w:hAnsi="宋体" w:eastAsia="宋体" w:cs="宋体"/>
                <w:color w:val="auto"/>
                <w:spacing w:val="20"/>
                <w:kern w:val="0"/>
                <w:sz w:val="24"/>
                <w:szCs w:val="24"/>
                <w:highlight w:val="none"/>
                <w:lang w:val="en-US" w:eastAsia="zh-CN" w:bidi="ar-SA"/>
              </w:rPr>
              <w:t>名称</w:t>
            </w:r>
          </w:p>
        </w:tc>
        <w:tc>
          <w:tcPr>
            <w:tcW w:w="876" w:type="dxa"/>
            <w:tcBorders>
              <w:top w:val="single" w:color="auto" w:sz="4" w:space="0"/>
              <w:left w:val="single" w:color="auto" w:sz="4" w:space="0"/>
              <w:bottom w:val="nil"/>
              <w:right w:val="single" w:color="auto" w:sz="4" w:space="0"/>
            </w:tcBorders>
            <w:vAlign w:val="center"/>
          </w:tcPr>
          <w:p w14:paraId="7211CCE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品牌</w:t>
            </w:r>
          </w:p>
        </w:tc>
        <w:tc>
          <w:tcPr>
            <w:tcW w:w="1496" w:type="dxa"/>
            <w:tcBorders>
              <w:top w:val="single" w:color="auto" w:sz="4" w:space="0"/>
              <w:left w:val="single" w:color="auto" w:sz="4" w:space="0"/>
              <w:bottom w:val="nil"/>
              <w:right w:val="single" w:color="auto" w:sz="4" w:space="0"/>
            </w:tcBorders>
            <w:vAlign w:val="center"/>
          </w:tcPr>
          <w:p w14:paraId="5F76D8B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规格型号</w:t>
            </w:r>
          </w:p>
        </w:tc>
        <w:tc>
          <w:tcPr>
            <w:tcW w:w="1274" w:type="dxa"/>
            <w:tcBorders>
              <w:top w:val="single" w:color="auto" w:sz="4" w:space="0"/>
              <w:left w:val="single" w:color="auto" w:sz="4" w:space="0"/>
              <w:bottom w:val="nil"/>
              <w:right w:val="single" w:color="auto" w:sz="4" w:space="0"/>
            </w:tcBorders>
            <w:vAlign w:val="center"/>
          </w:tcPr>
          <w:p w14:paraId="766FCCF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系列</w:t>
            </w:r>
          </w:p>
        </w:tc>
        <w:tc>
          <w:tcPr>
            <w:tcW w:w="1548" w:type="dxa"/>
            <w:tcBorders>
              <w:top w:val="single" w:color="auto" w:sz="4" w:space="0"/>
              <w:left w:val="single" w:color="auto" w:sz="4" w:space="0"/>
              <w:bottom w:val="nil"/>
              <w:right w:val="single" w:color="auto" w:sz="4" w:space="0"/>
            </w:tcBorders>
            <w:vAlign w:val="center"/>
          </w:tcPr>
          <w:p w14:paraId="7CCBA30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生产厂家</w:t>
            </w:r>
          </w:p>
        </w:tc>
        <w:tc>
          <w:tcPr>
            <w:tcW w:w="1744" w:type="dxa"/>
            <w:tcBorders>
              <w:top w:val="single" w:color="auto" w:sz="4" w:space="0"/>
              <w:left w:val="single" w:color="auto" w:sz="4" w:space="0"/>
              <w:bottom w:val="nil"/>
              <w:right w:val="single" w:color="auto" w:sz="4" w:space="0"/>
            </w:tcBorders>
            <w:vAlign w:val="center"/>
          </w:tcPr>
          <w:p w14:paraId="3B38EF26">
            <w:pPr>
              <w:keepNext w:val="0"/>
              <w:keepLines w:val="0"/>
              <w:widowControl/>
              <w:suppressLineNumbers w:val="0"/>
              <w:jc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供货单价</w:t>
            </w:r>
          </w:p>
          <w:p w14:paraId="1B48FA41">
            <w:pPr>
              <w:keepNext w:val="0"/>
              <w:keepLines w:val="0"/>
              <w:widowControl/>
              <w:suppressLineNumbers w:val="0"/>
              <w:jc w:val="center"/>
              <w:rPr>
                <w:rFonts w:hint="eastAsia" w:ascii="宋体" w:hAnsi="宋体" w:cs="宋体"/>
                <w:color w:val="auto"/>
                <w:kern w:val="0"/>
                <w:sz w:val="24"/>
                <w:highlight w:val="none"/>
                <w:lang w:val="en-US" w:eastAsia="zh-CN"/>
              </w:rPr>
            </w:pPr>
            <w:r>
              <w:rPr>
                <w:rFonts w:hint="eastAsia" w:ascii="宋体" w:hAnsi="宋体" w:eastAsia="宋体" w:cs="宋体"/>
                <w:color w:val="auto"/>
                <w:kern w:val="0"/>
                <w:sz w:val="24"/>
                <w:szCs w:val="24"/>
                <w:lang w:val="en-US" w:eastAsia="zh-CN" w:bidi="ar"/>
              </w:rPr>
              <w:t>（元/克）</w:t>
            </w:r>
          </w:p>
        </w:tc>
      </w:tr>
      <w:tr w14:paraId="596E0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93" w:type="dxa"/>
            <w:tcBorders>
              <w:top w:val="single" w:color="auto" w:sz="4" w:space="0"/>
              <w:left w:val="single" w:color="auto" w:sz="4" w:space="0"/>
              <w:bottom w:val="single" w:color="auto" w:sz="4" w:space="0"/>
              <w:right w:val="single" w:color="auto" w:sz="4" w:space="0"/>
            </w:tcBorders>
            <w:vAlign w:val="center"/>
          </w:tcPr>
          <w:p w14:paraId="7C82BA8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1</w:t>
            </w:r>
          </w:p>
        </w:tc>
        <w:tc>
          <w:tcPr>
            <w:tcW w:w="1506" w:type="dxa"/>
            <w:tcBorders>
              <w:top w:val="single" w:color="auto" w:sz="4" w:space="0"/>
              <w:left w:val="single" w:color="auto" w:sz="4" w:space="0"/>
              <w:bottom w:val="single" w:color="auto" w:sz="4" w:space="0"/>
              <w:right w:val="single" w:color="auto" w:sz="4" w:space="0"/>
            </w:tcBorders>
          </w:tcPr>
          <w:p w14:paraId="0C1B6C0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76" w:type="dxa"/>
            <w:tcBorders>
              <w:top w:val="single" w:color="auto" w:sz="4" w:space="0"/>
              <w:left w:val="single" w:color="auto" w:sz="4" w:space="0"/>
              <w:bottom w:val="single" w:color="auto" w:sz="4" w:space="0"/>
              <w:right w:val="single" w:color="auto" w:sz="4" w:space="0"/>
            </w:tcBorders>
          </w:tcPr>
          <w:p w14:paraId="1B9A248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96" w:type="dxa"/>
            <w:tcBorders>
              <w:top w:val="single" w:color="auto" w:sz="4" w:space="0"/>
              <w:left w:val="single" w:color="auto" w:sz="4" w:space="0"/>
              <w:bottom w:val="single" w:color="auto" w:sz="4" w:space="0"/>
              <w:right w:val="single" w:color="auto" w:sz="4" w:space="0"/>
            </w:tcBorders>
          </w:tcPr>
          <w:p w14:paraId="3410B68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274" w:type="dxa"/>
            <w:tcBorders>
              <w:top w:val="single" w:color="auto" w:sz="4" w:space="0"/>
              <w:left w:val="single" w:color="auto" w:sz="4" w:space="0"/>
              <w:bottom w:val="single" w:color="auto" w:sz="4" w:space="0"/>
              <w:right w:val="single" w:color="auto" w:sz="4" w:space="0"/>
            </w:tcBorders>
          </w:tcPr>
          <w:p w14:paraId="0D882A2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548" w:type="dxa"/>
            <w:tcBorders>
              <w:top w:val="single" w:color="auto" w:sz="4" w:space="0"/>
              <w:left w:val="single" w:color="auto" w:sz="4" w:space="0"/>
              <w:bottom w:val="single" w:color="auto" w:sz="4" w:space="0"/>
              <w:right w:val="single" w:color="auto" w:sz="4" w:space="0"/>
            </w:tcBorders>
          </w:tcPr>
          <w:p w14:paraId="37592B3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44" w:type="dxa"/>
            <w:tcBorders>
              <w:top w:val="single" w:color="auto" w:sz="4" w:space="0"/>
              <w:left w:val="single" w:color="auto" w:sz="4" w:space="0"/>
              <w:bottom w:val="single" w:color="auto" w:sz="4" w:space="0"/>
              <w:right w:val="single" w:color="auto" w:sz="4" w:space="0"/>
            </w:tcBorders>
          </w:tcPr>
          <w:p w14:paraId="7B0904F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07DFC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93" w:type="dxa"/>
            <w:tcBorders>
              <w:top w:val="single" w:color="auto" w:sz="4" w:space="0"/>
              <w:left w:val="single" w:color="auto" w:sz="4" w:space="0"/>
              <w:bottom w:val="single" w:color="auto" w:sz="4" w:space="0"/>
              <w:right w:val="single" w:color="auto" w:sz="4" w:space="0"/>
            </w:tcBorders>
            <w:vAlign w:val="center"/>
          </w:tcPr>
          <w:p w14:paraId="25211ED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2</w:t>
            </w:r>
          </w:p>
        </w:tc>
        <w:tc>
          <w:tcPr>
            <w:tcW w:w="1506" w:type="dxa"/>
            <w:tcBorders>
              <w:top w:val="single" w:color="auto" w:sz="4" w:space="0"/>
              <w:left w:val="single" w:color="auto" w:sz="4" w:space="0"/>
              <w:bottom w:val="single" w:color="auto" w:sz="4" w:space="0"/>
              <w:right w:val="single" w:color="auto" w:sz="4" w:space="0"/>
            </w:tcBorders>
          </w:tcPr>
          <w:p w14:paraId="5151D98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76" w:type="dxa"/>
            <w:tcBorders>
              <w:top w:val="single" w:color="auto" w:sz="4" w:space="0"/>
              <w:left w:val="single" w:color="auto" w:sz="4" w:space="0"/>
              <w:bottom w:val="single" w:color="auto" w:sz="4" w:space="0"/>
              <w:right w:val="single" w:color="auto" w:sz="4" w:space="0"/>
            </w:tcBorders>
          </w:tcPr>
          <w:p w14:paraId="34EB7F9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96" w:type="dxa"/>
            <w:tcBorders>
              <w:top w:val="single" w:color="auto" w:sz="4" w:space="0"/>
              <w:left w:val="single" w:color="auto" w:sz="4" w:space="0"/>
              <w:bottom w:val="single" w:color="auto" w:sz="4" w:space="0"/>
              <w:right w:val="single" w:color="auto" w:sz="4" w:space="0"/>
            </w:tcBorders>
          </w:tcPr>
          <w:p w14:paraId="4DA944F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274" w:type="dxa"/>
            <w:tcBorders>
              <w:top w:val="single" w:color="auto" w:sz="4" w:space="0"/>
              <w:left w:val="single" w:color="auto" w:sz="4" w:space="0"/>
              <w:bottom w:val="single" w:color="auto" w:sz="4" w:space="0"/>
              <w:right w:val="single" w:color="auto" w:sz="4" w:space="0"/>
            </w:tcBorders>
          </w:tcPr>
          <w:p w14:paraId="1E2433C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548" w:type="dxa"/>
            <w:tcBorders>
              <w:top w:val="single" w:color="auto" w:sz="4" w:space="0"/>
              <w:left w:val="single" w:color="auto" w:sz="4" w:space="0"/>
              <w:bottom w:val="single" w:color="auto" w:sz="4" w:space="0"/>
              <w:right w:val="single" w:color="auto" w:sz="4" w:space="0"/>
            </w:tcBorders>
          </w:tcPr>
          <w:p w14:paraId="41A6039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44" w:type="dxa"/>
            <w:tcBorders>
              <w:top w:val="single" w:color="auto" w:sz="4" w:space="0"/>
              <w:left w:val="single" w:color="auto" w:sz="4" w:space="0"/>
              <w:bottom w:val="single" w:color="auto" w:sz="4" w:space="0"/>
              <w:right w:val="single" w:color="auto" w:sz="4" w:space="0"/>
            </w:tcBorders>
          </w:tcPr>
          <w:p w14:paraId="445C349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72F924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93" w:type="dxa"/>
            <w:tcBorders>
              <w:top w:val="single" w:color="auto" w:sz="4" w:space="0"/>
              <w:left w:val="single" w:color="auto" w:sz="4" w:space="0"/>
              <w:bottom w:val="single" w:color="auto" w:sz="4" w:space="0"/>
              <w:right w:val="single" w:color="auto" w:sz="4" w:space="0"/>
            </w:tcBorders>
            <w:vAlign w:val="center"/>
          </w:tcPr>
          <w:p w14:paraId="29ACFE3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3</w:t>
            </w:r>
          </w:p>
        </w:tc>
        <w:tc>
          <w:tcPr>
            <w:tcW w:w="1506" w:type="dxa"/>
            <w:tcBorders>
              <w:top w:val="single" w:color="auto" w:sz="4" w:space="0"/>
              <w:left w:val="single" w:color="auto" w:sz="4" w:space="0"/>
              <w:bottom w:val="single" w:color="auto" w:sz="4" w:space="0"/>
              <w:right w:val="single" w:color="auto" w:sz="4" w:space="0"/>
            </w:tcBorders>
          </w:tcPr>
          <w:p w14:paraId="772F43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76" w:type="dxa"/>
            <w:tcBorders>
              <w:top w:val="single" w:color="auto" w:sz="4" w:space="0"/>
              <w:left w:val="single" w:color="auto" w:sz="4" w:space="0"/>
              <w:bottom w:val="single" w:color="auto" w:sz="4" w:space="0"/>
              <w:right w:val="single" w:color="auto" w:sz="4" w:space="0"/>
            </w:tcBorders>
          </w:tcPr>
          <w:p w14:paraId="7DBC61D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96" w:type="dxa"/>
            <w:tcBorders>
              <w:top w:val="single" w:color="auto" w:sz="4" w:space="0"/>
              <w:left w:val="single" w:color="auto" w:sz="4" w:space="0"/>
              <w:bottom w:val="single" w:color="auto" w:sz="4" w:space="0"/>
              <w:right w:val="single" w:color="auto" w:sz="4" w:space="0"/>
            </w:tcBorders>
          </w:tcPr>
          <w:p w14:paraId="6B223C6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274" w:type="dxa"/>
            <w:tcBorders>
              <w:top w:val="single" w:color="auto" w:sz="4" w:space="0"/>
              <w:left w:val="single" w:color="auto" w:sz="4" w:space="0"/>
              <w:bottom w:val="single" w:color="auto" w:sz="4" w:space="0"/>
              <w:right w:val="single" w:color="auto" w:sz="4" w:space="0"/>
            </w:tcBorders>
          </w:tcPr>
          <w:p w14:paraId="2B8D90C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548" w:type="dxa"/>
            <w:tcBorders>
              <w:top w:val="single" w:color="auto" w:sz="4" w:space="0"/>
              <w:left w:val="single" w:color="auto" w:sz="4" w:space="0"/>
              <w:bottom w:val="single" w:color="auto" w:sz="4" w:space="0"/>
              <w:right w:val="single" w:color="auto" w:sz="4" w:space="0"/>
            </w:tcBorders>
          </w:tcPr>
          <w:p w14:paraId="193F2A3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44" w:type="dxa"/>
            <w:tcBorders>
              <w:top w:val="single" w:color="auto" w:sz="4" w:space="0"/>
              <w:left w:val="single" w:color="auto" w:sz="4" w:space="0"/>
              <w:bottom w:val="single" w:color="auto" w:sz="4" w:space="0"/>
              <w:right w:val="single" w:color="auto" w:sz="4" w:space="0"/>
            </w:tcBorders>
          </w:tcPr>
          <w:p w14:paraId="3C14C7C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5F7A5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893" w:type="dxa"/>
            <w:tcBorders>
              <w:top w:val="single" w:color="auto" w:sz="4" w:space="0"/>
              <w:left w:val="single" w:color="auto" w:sz="4" w:space="0"/>
              <w:bottom w:val="single" w:color="auto" w:sz="4" w:space="0"/>
              <w:right w:val="single" w:color="auto" w:sz="4" w:space="0"/>
            </w:tcBorders>
            <w:vAlign w:val="center"/>
          </w:tcPr>
          <w:p w14:paraId="675BED1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4</w:t>
            </w:r>
          </w:p>
        </w:tc>
        <w:tc>
          <w:tcPr>
            <w:tcW w:w="1506" w:type="dxa"/>
            <w:tcBorders>
              <w:top w:val="single" w:color="auto" w:sz="4" w:space="0"/>
              <w:left w:val="single" w:color="auto" w:sz="4" w:space="0"/>
              <w:bottom w:val="single" w:color="auto" w:sz="4" w:space="0"/>
              <w:right w:val="single" w:color="auto" w:sz="4" w:space="0"/>
            </w:tcBorders>
          </w:tcPr>
          <w:p w14:paraId="5CD4112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76" w:type="dxa"/>
            <w:tcBorders>
              <w:top w:val="single" w:color="auto" w:sz="4" w:space="0"/>
              <w:left w:val="single" w:color="auto" w:sz="4" w:space="0"/>
              <w:bottom w:val="single" w:color="auto" w:sz="4" w:space="0"/>
              <w:right w:val="single" w:color="auto" w:sz="4" w:space="0"/>
            </w:tcBorders>
          </w:tcPr>
          <w:p w14:paraId="5B6DD9F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96" w:type="dxa"/>
            <w:tcBorders>
              <w:top w:val="single" w:color="auto" w:sz="4" w:space="0"/>
              <w:left w:val="single" w:color="auto" w:sz="4" w:space="0"/>
              <w:bottom w:val="single" w:color="auto" w:sz="4" w:space="0"/>
              <w:right w:val="single" w:color="auto" w:sz="4" w:space="0"/>
            </w:tcBorders>
          </w:tcPr>
          <w:p w14:paraId="3F7FFA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274" w:type="dxa"/>
            <w:tcBorders>
              <w:top w:val="single" w:color="auto" w:sz="4" w:space="0"/>
              <w:left w:val="single" w:color="auto" w:sz="4" w:space="0"/>
              <w:bottom w:val="single" w:color="auto" w:sz="4" w:space="0"/>
              <w:right w:val="single" w:color="auto" w:sz="4" w:space="0"/>
            </w:tcBorders>
          </w:tcPr>
          <w:p w14:paraId="2DAC0D1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548" w:type="dxa"/>
            <w:tcBorders>
              <w:top w:val="single" w:color="auto" w:sz="4" w:space="0"/>
              <w:left w:val="single" w:color="auto" w:sz="4" w:space="0"/>
              <w:bottom w:val="single" w:color="auto" w:sz="4" w:space="0"/>
              <w:right w:val="single" w:color="auto" w:sz="4" w:space="0"/>
            </w:tcBorders>
          </w:tcPr>
          <w:p w14:paraId="2510BDD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44" w:type="dxa"/>
            <w:tcBorders>
              <w:top w:val="single" w:color="auto" w:sz="4" w:space="0"/>
              <w:left w:val="single" w:color="auto" w:sz="4" w:space="0"/>
              <w:bottom w:val="single" w:color="auto" w:sz="4" w:space="0"/>
              <w:right w:val="single" w:color="auto" w:sz="4" w:space="0"/>
            </w:tcBorders>
          </w:tcPr>
          <w:p w14:paraId="2C12C22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7B7ED2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893" w:type="dxa"/>
            <w:tcBorders>
              <w:top w:val="single" w:color="auto" w:sz="4" w:space="0"/>
              <w:left w:val="single" w:color="auto" w:sz="4" w:space="0"/>
              <w:bottom w:val="single" w:color="auto" w:sz="4" w:space="0"/>
              <w:right w:val="single" w:color="auto" w:sz="4" w:space="0"/>
            </w:tcBorders>
            <w:vAlign w:val="center"/>
          </w:tcPr>
          <w:p w14:paraId="4CA6913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5</w:t>
            </w:r>
          </w:p>
        </w:tc>
        <w:tc>
          <w:tcPr>
            <w:tcW w:w="1506" w:type="dxa"/>
            <w:tcBorders>
              <w:top w:val="single" w:color="auto" w:sz="4" w:space="0"/>
              <w:left w:val="single" w:color="auto" w:sz="4" w:space="0"/>
              <w:bottom w:val="single" w:color="auto" w:sz="4" w:space="0"/>
              <w:right w:val="single" w:color="auto" w:sz="4" w:space="0"/>
            </w:tcBorders>
          </w:tcPr>
          <w:p w14:paraId="7A1444D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76" w:type="dxa"/>
            <w:tcBorders>
              <w:top w:val="single" w:color="auto" w:sz="4" w:space="0"/>
              <w:left w:val="single" w:color="auto" w:sz="4" w:space="0"/>
              <w:bottom w:val="single" w:color="auto" w:sz="4" w:space="0"/>
              <w:right w:val="single" w:color="auto" w:sz="4" w:space="0"/>
            </w:tcBorders>
          </w:tcPr>
          <w:p w14:paraId="705C6CA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96" w:type="dxa"/>
            <w:tcBorders>
              <w:top w:val="single" w:color="auto" w:sz="4" w:space="0"/>
              <w:left w:val="single" w:color="auto" w:sz="4" w:space="0"/>
              <w:bottom w:val="single" w:color="auto" w:sz="4" w:space="0"/>
              <w:right w:val="single" w:color="auto" w:sz="4" w:space="0"/>
            </w:tcBorders>
          </w:tcPr>
          <w:p w14:paraId="277AA21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274" w:type="dxa"/>
            <w:tcBorders>
              <w:top w:val="single" w:color="auto" w:sz="4" w:space="0"/>
              <w:left w:val="single" w:color="auto" w:sz="4" w:space="0"/>
              <w:bottom w:val="single" w:color="auto" w:sz="4" w:space="0"/>
              <w:right w:val="single" w:color="auto" w:sz="4" w:space="0"/>
            </w:tcBorders>
          </w:tcPr>
          <w:p w14:paraId="1CB69B9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548" w:type="dxa"/>
            <w:tcBorders>
              <w:top w:val="single" w:color="auto" w:sz="4" w:space="0"/>
              <w:left w:val="single" w:color="auto" w:sz="4" w:space="0"/>
              <w:bottom w:val="single" w:color="auto" w:sz="4" w:space="0"/>
              <w:right w:val="single" w:color="auto" w:sz="4" w:space="0"/>
            </w:tcBorders>
          </w:tcPr>
          <w:p w14:paraId="1995330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744" w:type="dxa"/>
            <w:tcBorders>
              <w:top w:val="single" w:color="auto" w:sz="4" w:space="0"/>
              <w:left w:val="single" w:color="auto" w:sz="4" w:space="0"/>
              <w:bottom w:val="single" w:color="auto" w:sz="4" w:space="0"/>
              <w:right w:val="single" w:color="auto" w:sz="4" w:space="0"/>
            </w:tcBorders>
          </w:tcPr>
          <w:p w14:paraId="17EC7D7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bl>
    <w:p w14:paraId="5C5094A7">
      <w:pPr>
        <w:pStyle w:val="30"/>
        <w:ind w:firstLine="3990" w:firstLineChars="1900"/>
        <w:rPr>
          <w:rFonts w:hint="eastAsia" w:ascii="宋体" w:hAnsi="宋体" w:eastAsia="宋体" w:cs="宋体"/>
          <w:color w:val="auto"/>
          <w:sz w:val="21"/>
          <w:szCs w:val="21"/>
          <w:highlight w:val="none"/>
          <w:lang w:eastAsia="zh-CN"/>
        </w:rPr>
      </w:pPr>
    </w:p>
    <w:p w14:paraId="584F5980">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color w:val="auto"/>
        </w:rPr>
      </w:pPr>
      <w:r>
        <w:rPr>
          <w:rFonts w:hint="eastAsia" w:ascii="宋体" w:hAnsi="宋体" w:eastAsia="宋体" w:cs="宋体"/>
          <w:color w:val="auto"/>
          <w:kern w:val="0"/>
          <w:sz w:val="24"/>
          <w:szCs w:val="24"/>
          <w:lang w:val="en-US" w:eastAsia="zh-CN" w:bidi="ar"/>
        </w:rPr>
        <w:t>注：</w:t>
      </w:r>
    </w:p>
    <w:p w14:paraId="73A73165">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、供货单价（元/克）=控制单价（元/克）×综合折扣率</w:t>
      </w:r>
    </w:p>
    <w:p w14:paraId="1DD4186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2、综合折扣率（%）应当与“初次报价一览表”中磋商报价（%）相同，否则按无效投标处理。 </w:t>
      </w:r>
    </w:p>
    <w:p w14:paraId="16DB897B">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3、本项目各类产品最终以“实际供货数量×供货单价”进行结算。</w:t>
      </w:r>
    </w:p>
    <w:p w14:paraId="34D05FFC">
      <w:pPr>
        <w:pStyle w:val="4"/>
        <w:rPr>
          <w:color w:val="auto"/>
        </w:rPr>
      </w:pPr>
    </w:p>
    <w:p w14:paraId="6111CC48">
      <w:pPr>
        <w:pStyle w:val="31"/>
        <w:rPr>
          <w:rFonts w:hint="eastAsia"/>
          <w:color w:val="auto"/>
          <w:highlight w:val="none"/>
          <w:lang w:eastAsia="zh-CN"/>
        </w:rPr>
      </w:pPr>
    </w:p>
    <w:p w14:paraId="6614E09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7AB74C8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6DE66000">
      <w:pPr>
        <w:spacing w:line="360" w:lineRule="auto"/>
        <w:ind w:firstLine="1680" w:firstLineChars="800"/>
        <w:jc w:val="both"/>
        <w:rPr>
          <w:rFonts w:hint="eastAsia" w:ascii="宋体" w:hAnsi="宋体" w:eastAsia="宋体" w:cs="宋体"/>
          <w:color w:val="auto"/>
          <w:szCs w:val="21"/>
          <w:highlight w:val="none"/>
          <w:u w:val="single"/>
        </w:rPr>
      </w:pPr>
    </w:p>
    <w:p w14:paraId="054C4BE9">
      <w:pPr>
        <w:widowControl/>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6633B4E9">
      <w:pPr>
        <w:pStyle w:val="14"/>
        <w:rPr>
          <w:rFonts w:hint="eastAsia" w:ascii="宋体" w:hAnsi="宋体" w:eastAsia="宋体" w:cs="宋体"/>
          <w:color w:val="auto"/>
          <w:kern w:val="0"/>
          <w:sz w:val="24"/>
          <w:highlight w:val="none"/>
        </w:rPr>
        <w:sectPr>
          <w:pgSz w:w="11906" w:h="16838"/>
          <w:pgMar w:top="1417" w:right="1474" w:bottom="1417" w:left="1474" w:header="851" w:footer="624" w:gutter="0"/>
          <w:pgNumType w:fmt="decimal"/>
          <w:cols w:space="720" w:num="1"/>
          <w:docGrid w:type="lines" w:linePitch="319" w:charSpace="0"/>
        </w:sectPr>
      </w:pPr>
    </w:p>
    <w:p w14:paraId="680BBFF6">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4" w:name="_Toc15804"/>
      <w:bookmarkStart w:id="65" w:name="_Toc226"/>
      <w:r>
        <w:rPr>
          <w:rFonts w:hint="eastAsia" w:ascii="宋体" w:hAnsi="宋体" w:eastAsia="宋体" w:cs="宋体"/>
          <w:color w:val="auto"/>
          <w:sz w:val="28"/>
          <w:szCs w:val="28"/>
          <w:highlight w:val="none"/>
          <w:lang w:val="en-US" w:eastAsia="zh-CN"/>
        </w:rPr>
        <w:t xml:space="preserve">附件5         </w:t>
      </w:r>
      <w:bookmarkEnd w:id="64"/>
      <w:bookmarkEnd w:id="65"/>
      <w:r>
        <w:rPr>
          <w:rFonts w:hint="eastAsia" w:ascii="宋体" w:hAnsi="宋体" w:eastAsia="宋体" w:cs="宋体"/>
          <w:color w:val="auto"/>
          <w:sz w:val="28"/>
          <w:szCs w:val="28"/>
          <w:highlight w:val="none"/>
          <w:lang w:val="en-US" w:eastAsia="zh-CN"/>
        </w:rPr>
        <w:t xml:space="preserve">  技术响应表（格式）</w:t>
      </w:r>
    </w:p>
    <w:tbl>
      <w:tblPr>
        <w:tblStyle w:val="96"/>
        <w:tblW w:w="93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837"/>
        <w:gridCol w:w="2160"/>
        <w:gridCol w:w="2205"/>
        <w:gridCol w:w="1425"/>
        <w:gridCol w:w="930"/>
      </w:tblGrid>
      <w:tr w14:paraId="64CEF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 w:hRule="atLeast"/>
        </w:trPr>
        <w:tc>
          <w:tcPr>
            <w:tcW w:w="772" w:type="dxa"/>
            <w:noWrap w:val="0"/>
            <w:vAlign w:val="center"/>
          </w:tcPr>
          <w:p w14:paraId="36ABE01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序号</w:t>
            </w:r>
          </w:p>
        </w:tc>
        <w:tc>
          <w:tcPr>
            <w:tcW w:w="1837" w:type="dxa"/>
            <w:noWrap w:val="0"/>
            <w:vAlign w:val="center"/>
          </w:tcPr>
          <w:p w14:paraId="1AA33AD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货物名称</w:t>
            </w:r>
          </w:p>
        </w:tc>
        <w:tc>
          <w:tcPr>
            <w:tcW w:w="2160" w:type="dxa"/>
            <w:noWrap w:val="0"/>
            <w:vAlign w:val="center"/>
          </w:tcPr>
          <w:p w14:paraId="326CF64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磋商文件要求</w:t>
            </w:r>
          </w:p>
        </w:tc>
        <w:tc>
          <w:tcPr>
            <w:tcW w:w="2205" w:type="dxa"/>
            <w:noWrap w:val="0"/>
            <w:vAlign w:val="center"/>
          </w:tcPr>
          <w:p w14:paraId="62646E8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响应文件响应</w:t>
            </w:r>
          </w:p>
        </w:tc>
        <w:tc>
          <w:tcPr>
            <w:tcW w:w="1425" w:type="dxa"/>
            <w:noWrap w:val="0"/>
            <w:vAlign w:val="center"/>
          </w:tcPr>
          <w:p w14:paraId="034408E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偏离情况</w:t>
            </w:r>
          </w:p>
        </w:tc>
        <w:tc>
          <w:tcPr>
            <w:tcW w:w="930" w:type="dxa"/>
            <w:noWrap w:val="0"/>
            <w:vAlign w:val="center"/>
          </w:tcPr>
          <w:p w14:paraId="68D1964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0"/>
                <w:kern w:val="0"/>
                <w:sz w:val="24"/>
                <w:szCs w:val="24"/>
                <w:highlight w:val="none"/>
                <w:lang w:val="en-US" w:eastAsia="zh-CN" w:bidi="ar-SA"/>
              </w:rPr>
            </w:pPr>
            <w:r>
              <w:rPr>
                <w:rFonts w:hint="eastAsia" w:ascii="宋体" w:hAnsi="宋体" w:cs="宋体"/>
                <w:color w:val="auto"/>
                <w:spacing w:val="0"/>
                <w:kern w:val="0"/>
                <w:sz w:val="24"/>
                <w:szCs w:val="24"/>
                <w:highlight w:val="none"/>
                <w:lang w:val="en-US" w:eastAsia="zh-CN" w:bidi="ar-SA"/>
              </w:rPr>
              <w:t>备注</w:t>
            </w:r>
          </w:p>
        </w:tc>
      </w:tr>
      <w:tr w14:paraId="564B2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772" w:type="dxa"/>
            <w:noWrap w:val="0"/>
            <w:vAlign w:val="center"/>
          </w:tcPr>
          <w:p w14:paraId="6097716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37" w:type="dxa"/>
            <w:noWrap w:val="0"/>
            <w:vAlign w:val="center"/>
          </w:tcPr>
          <w:p w14:paraId="07AE80D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4FEA0A0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2B4E1F5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144334B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3BB1054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72F5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trPr>
        <w:tc>
          <w:tcPr>
            <w:tcW w:w="772" w:type="dxa"/>
            <w:noWrap w:val="0"/>
            <w:vAlign w:val="center"/>
          </w:tcPr>
          <w:p w14:paraId="39EB156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37" w:type="dxa"/>
            <w:noWrap w:val="0"/>
            <w:vAlign w:val="center"/>
          </w:tcPr>
          <w:p w14:paraId="04A1B96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3503725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52107F0B">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0007972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083F1D1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6A690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5" w:hRule="atLeast"/>
        </w:trPr>
        <w:tc>
          <w:tcPr>
            <w:tcW w:w="772" w:type="dxa"/>
            <w:noWrap w:val="0"/>
            <w:vAlign w:val="center"/>
          </w:tcPr>
          <w:p w14:paraId="25D36DF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837" w:type="dxa"/>
            <w:noWrap w:val="0"/>
            <w:vAlign w:val="center"/>
          </w:tcPr>
          <w:p w14:paraId="7CCF6FD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160" w:type="dxa"/>
            <w:noWrap w:val="0"/>
            <w:vAlign w:val="center"/>
          </w:tcPr>
          <w:p w14:paraId="35CC84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205" w:type="dxa"/>
            <w:noWrap w:val="0"/>
            <w:vAlign w:val="center"/>
          </w:tcPr>
          <w:p w14:paraId="06EADA1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425" w:type="dxa"/>
            <w:noWrap w:val="0"/>
            <w:vAlign w:val="center"/>
          </w:tcPr>
          <w:p w14:paraId="5B2832E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930" w:type="dxa"/>
            <w:noWrap w:val="0"/>
            <w:vAlign w:val="center"/>
          </w:tcPr>
          <w:p w14:paraId="33B1FC9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4AFFF5E2">
      <w:pPr>
        <w:widowControl/>
        <w:wordWrap w:val="0"/>
        <w:spacing w:line="460" w:lineRule="exact"/>
        <w:ind w:firstLine="422" w:firstLineChars="200"/>
        <w:jc w:val="left"/>
        <w:rPr>
          <w:rFonts w:hint="eastAsia" w:ascii="宋体" w:hAnsi="宋体" w:eastAsia="宋体" w:cs="宋体"/>
          <w:b/>
          <w:color w:val="auto"/>
          <w:kern w:val="0"/>
          <w:sz w:val="21"/>
          <w:szCs w:val="21"/>
          <w:highlight w:val="none"/>
          <w:lang w:val="en-US" w:eastAsia="zh-CN"/>
        </w:rPr>
      </w:pPr>
    </w:p>
    <w:p w14:paraId="1817467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b/>
          <w:bCs/>
          <w:color w:val="auto"/>
          <w:sz w:val="24"/>
          <w:szCs w:val="32"/>
          <w:highlight w:val="none"/>
        </w:rPr>
      </w:pPr>
      <w:r>
        <w:rPr>
          <w:rFonts w:hint="eastAsia" w:asciiTheme="minorEastAsia" w:hAnsiTheme="minorEastAsia"/>
          <w:b/>
          <w:bCs/>
          <w:color w:val="auto"/>
          <w:sz w:val="24"/>
          <w:szCs w:val="32"/>
          <w:highlight w:val="none"/>
          <w:lang w:val="en-US" w:eastAsia="zh-CN"/>
        </w:rPr>
        <w:t>注：</w:t>
      </w:r>
      <w:r>
        <w:rPr>
          <w:rFonts w:hint="eastAsia" w:asciiTheme="minorEastAsia" w:hAnsiTheme="minorEastAsia"/>
          <w:b/>
          <w:bCs/>
          <w:color w:val="auto"/>
          <w:sz w:val="24"/>
          <w:szCs w:val="32"/>
          <w:highlight w:val="none"/>
        </w:rPr>
        <w:t>本表中“偏离</w:t>
      </w:r>
      <w:r>
        <w:rPr>
          <w:rFonts w:hint="eastAsia" w:asciiTheme="minorEastAsia" w:hAnsiTheme="minorEastAsia"/>
          <w:b/>
          <w:bCs/>
          <w:color w:val="auto"/>
          <w:sz w:val="24"/>
          <w:szCs w:val="32"/>
          <w:highlight w:val="none"/>
          <w:lang w:val="en-US" w:eastAsia="zh-CN"/>
        </w:rPr>
        <w:t>情况</w:t>
      </w:r>
      <w:r>
        <w:rPr>
          <w:rFonts w:hint="eastAsia" w:asciiTheme="minorEastAsia" w:hAnsiTheme="minorEastAsia"/>
          <w:b/>
          <w:bCs/>
          <w:color w:val="auto"/>
          <w:sz w:val="24"/>
          <w:szCs w:val="32"/>
          <w:highlight w:val="none"/>
        </w:rPr>
        <w:t>”只有三种状态（正偏离、无偏离、负偏离）</w:t>
      </w:r>
    </w:p>
    <w:p w14:paraId="0F255258">
      <w:pPr>
        <w:pageBreakBefore w:val="0"/>
        <w:widowControl/>
        <w:wordWrap/>
        <w:overflowPunct/>
        <w:topLinePunct w:val="0"/>
        <w:bidi w:val="0"/>
        <w:spacing w:line="360" w:lineRule="auto"/>
        <w:textAlignment w:val="baseline"/>
        <w:rPr>
          <w:rFonts w:hint="eastAsia" w:ascii="宋体" w:hAnsi="宋体" w:eastAsia="宋体" w:cs="宋体"/>
          <w:b/>
          <w:bCs/>
          <w:color w:val="auto"/>
          <w:sz w:val="21"/>
          <w:szCs w:val="21"/>
          <w:highlight w:val="none"/>
        </w:rPr>
      </w:pPr>
    </w:p>
    <w:p w14:paraId="1D18D835">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p>
    <w:p w14:paraId="64DC9DF3">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9CC9133">
      <w:pPr>
        <w:pageBreakBefore w:val="0"/>
        <w:widowControl/>
        <w:wordWrap/>
        <w:overflowPunct/>
        <w:topLinePunct w:val="0"/>
        <w:bidi w:val="0"/>
        <w:spacing w:line="360" w:lineRule="auto"/>
        <w:ind w:firstLine="2100" w:firstLineChars="10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2478C7F9">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76916F76">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6" w:name="_Toc24168"/>
      <w:bookmarkStart w:id="67" w:name="_Toc29960"/>
      <w:bookmarkStart w:id="68" w:name="_Toc20420"/>
      <w:r>
        <w:rPr>
          <w:rFonts w:hint="eastAsia" w:ascii="宋体" w:hAnsi="宋体" w:eastAsia="宋体" w:cs="宋体"/>
          <w:color w:val="auto"/>
          <w:sz w:val="28"/>
          <w:szCs w:val="28"/>
          <w:highlight w:val="none"/>
          <w:lang w:val="en-US" w:eastAsia="zh-CN"/>
        </w:rPr>
        <w:t>附件6            商务响应</w:t>
      </w:r>
      <w:bookmarkEnd w:id="66"/>
      <w:bookmarkEnd w:id="67"/>
      <w:bookmarkEnd w:id="68"/>
      <w:r>
        <w:rPr>
          <w:rFonts w:hint="eastAsia" w:ascii="宋体" w:hAnsi="宋体" w:eastAsia="宋体" w:cs="宋体"/>
          <w:color w:val="auto"/>
          <w:sz w:val="28"/>
          <w:szCs w:val="28"/>
          <w:highlight w:val="none"/>
          <w:lang w:val="en-US" w:eastAsia="zh-CN"/>
        </w:rPr>
        <w:t>表（格式）</w:t>
      </w:r>
    </w:p>
    <w:p w14:paraId="6BAFA9AB">
      <w:pPr>
        <w:widowControl/>
        <w:wordWrap w:val="0"/>
        <w:spacing w:line="460" w:lineRule="exact"/>
        <w:jc w:val="left"/>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 xml:space="preserve">  </w:t>
      </w:r>
    </w:p>
    <w:tbl>
      <w:tblPr>
        <w:tblStyle w:val="96"/>
        <w:tblW w:w="102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11"/>
        <w:gridCol w:w="2301"/>
        <w:gridCol w:w="2198"/>
        <w:gridCol w:w="2038"/>
        <w:gridCol w:w="1349"/>
        <w:gridCol w:w="1349"/>
      </w:tblGrid>
      <w:tr w14:paraId="69DB3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011" w:type="dxa"/>
            <w:noWrap w:val="0"/>
            <w:vAlign w:val="center"/>
          </w:tcPr>
          <w:p w14:paraId="4BA83DF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序号</w:t>
            </w:r>
          </w:p>
        </w:tc>
        <w:tc>
          <w:tcPr>
            <w:tcW w:w="2301" w:type="dxa"/>
            <w:noWrap w:val="0"/>
            <w:vAlign w:val="center"/>
          </w:tcPr>
          <w:p w14:paraId="116B7DD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项目</w:t>
            </w:r>
          </w:p>
        </w:tc>
        <w:tc>
          <w:tcPr>
            <w:tcW w:w="2198" w:type="dxa"/>
            <w:noWrap w:val="0"/>
            <w:vAlign w:val="center"/>
          </w:tcPr>
          <w:p w14:paraId="03976BA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磋商文件要求</w:t>
            </w:r>
          </w:p>
        </w:tc>
        <w:tc>
          <w:tcPr>
            <w:tcW w:w="2038" w:type="dxa"/>
            <w:noWrap w:val="0"/>
            <w:vAlign w:val="center"/>
          </w:tcPr>
          <w:p w14:paraId="01FCE42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响应文件响应</w:t>
            </w:r>
          </w:p>
        </w:tc>
        <w:tc>
          <w:tcPr>
            <w:tcW w:w="1349" w:type="dxa"/>
            <w:noWrap w:val="0"/>
            <w:vAlign w:val="center"/>
          </w:tcPr>
          <w:p w14:paraId="659D63C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偏离情况</w:t>
            </w:r>
          </w:p>
        </w:tc>
        <w:tc>
          <w:tcPr>
            <w:tcW w:w="1349" w:type="dxa"/>
            <w:noWrap w:val="0"/>
            <w:vAlign w:val="center"/>
          </w:tcPr>
          <w:p w14:paraId="217809A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备注</w:t>
            </w:r>
          </w:p>
        </w:tc>
      </w:tr>
      <w:tr w14:paraId="03EA7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26C8ED0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301" w:type="dxa"/>
            <w:noWrap w:val="0"/>
            <w:vAlign w:val="center"/>
          </w:tcPr>
          <w:p w14:paraId="3293AE42">
            <w:pPr>
              <w:pStyle w:val="13"/>
              <w:ind w:left="0" w:leftChars="0"/>
              <w:jc w:val="center"/>
              <w:rPr>
                <w:rFonts w:hint="eastAsia" w:ascii="宋体" w:hAnsi="宋体" w:eastAsia="宋体" w:cs="宋体"/>
                <w:color w:val="auto"/>
                <w:sz w:val="21"/>
                <w:szCs w:val="21"/>
                <w:highlight w:val="none"/>
              </w:rPr>
            </w:pPr>
          </w:p>
        </w:tc>
        <w:tc>
          <w:tcPr>
            <w:tcW w:w="2198" w:type="dxa"/>
            <w:noWrap w:val="0"/>
            <w:vAlign w:val="center"/>
          </w:tcPr>
          <w:p w14:paraId="428E1CA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19696E5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5F3761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5B8E5F2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190B4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55F100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2301" w:type="dxa"/>
            <w:noWrap w:val="0"/>
            <w:vAlign w:val="center"/>
          </w:tcPr>
          <w:p w14:paraId="77DB1EDF">
            <w:pPr>
              <w:pStyle w:val="13"/>
              <w:ind w:left="0" w:leftChars="0"/>
              <w:jc w:val="center"/>
              <w:rPr>
                <w:rFonts w:hint="eastAsia" w:ascii="宋体" w:hAnsi="宋体" w:eastAsia="宋体" w:cs="宋体"/>
                <w:color w:val="auto"/>
                <w:sz w:val="21"/>
                <w:szCs w:val="21"/>
                <w:highlight w:val="none"/>
                <w:lang w:val="en-US" w:eastAsia="zh-CN"/>
              </w:rPr>
            </w:pPr>
          </w:p>
        </w:tc>
        <w:tc>
          <w:tcPr>
            <w:tcW w:w="2198" w:type="dxa"/>
            <w:noWrap w:val="0"/>
            <w:vAlign w:val="center"/>
          </w:tcPr>
          <w:p w14:paraId="4A7939A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02FA647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43687C0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52AB6B3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240A1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9E4F4C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eastAsia="zh-CN"/>
              </w:rPr>
            </w:pPr>
          </w:p>
        </w:tc>
        <w:tc>
          <w:tcPr>
            <w:tcW w:w="2301" w:type="dxa"/>
            <w:noWrap w:val="0"/>
            <w:vAlign w:val="center"/>
          </w:tcPr>
          <w:p w14:paraId="3BE4DBE8">
            <w:pPr>
              <w:pStyle w:val="13"/>
              <w:ind w:left="0" w:leftChars="0"/>
              <w:jc w:val="center"/>
              <w:rPr>
                <w:rFonts w:hint="eastAsia" w:ascii="宋体" w:hAnsi="宋体" w:eastAsia="宋体" w:cs="宋体"/>
                <w:color w:val="auto"/>
                <w:sz w:val="21"/>
                <w:szCs w:val="21"/>
                <w:highlight w:val="none"/>
              </w:rPr>
            </w:pPr>
          </w:p>
        </w:tc>
        <w:tc>
          <w:tcPr>
            <w:tcW w:w="2198" w:type="dxa"/>
            <w:noWrap w:val="0"/>
            <w:vAlign w:val="center"/>
          </w:tcPr>
          <w:p w14:paraId="16CCDC2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39712AD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2078B30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3277D7B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00FC7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67B5752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2301" w:type="dxa"/>
            <w:noWrap w:val="0"/>
            <w:vAlign w:val="center"/>
          </w:tcPr>
          <w:p w14:paraId="65772E98">
            <w:pPr>
              <w:pStyle w:val="13"/>
              <w:ind w:left="0" w:leftChars="0"/>
              <w:jc w:val="center"/>
              <w:rPr>
                <w:rFonts w:hint="eastAsia" w:ascii="宋体" w:hAnsi="宋体" w:eastAsia="宋体" w:cs="宋体"/>
                <w:color w:val="auto"/>
                <w:sz w:val="21"/>
                <w:szCs w:val="21"/>
                <w:highlight w:val="none"/>
              </w:rPr>
            </w:pPr>
          </w:p>
        </w:tc>
        <w:tc>
          <w:tcPr>
            <w:tcW w:w="2198" w:type="dxa"/>
            <w:noWrap w:val="0"/>
            <w:vAlign w:val="center"/>
          </w:tcPr>
          <w:p w14:paraId="14678F0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554ED0B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1559E2D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4301EE5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7B9E0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5FCF660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2301" w:type="dxa"/>
            <w:noWrap w:val="0"/>
            <w:vAlign w:val="center"/>
          </w:tcPr>
          <w:p w14:paraId="14EF3971">
            <w:pPr>
              <w:pStyle w:val="13"/>
              <w:ind w:left="0" w:leftChars="0"/>
              <w:jc w:val="center"/>
              <w:rPr>
                <w:rFonts w:hint="eastAsia" w:ascii="宋体" w:hAnsi="宋体" w:eastAsia="宋体" w:cs="宋体"/>
                <w:color w:val="auto"/>
                <w:sz w:val="21"/>
                <w:szCs w:val="21"/>
                <w:highlight w:val="none"/>
              </w:rPr>
            </w:pPr>
          </w:p>
        </w:tc>
        <w:tc>
          <w:tcPr>
            <w:tcW w:w="2198" w:type="dxa"/>
            <w:noWrap w:val="0"/>
            <w:vAlign w:val="center"/>
          </w:tcPr>
          <w:p w14:paraId="07C8FC1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1553AA8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F15F8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64239D2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r w14:paraId="602D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jc w:val="center"/>
        </w:trPr>
        <w:tc>
          <w:tcPr>
            <w:tcW w:w="1011" w:type="dxa"/>
            <w:noWrap w:val="0"/>
            <w:vAlign w:val="center"/>
          </w:tcPr>
          <w:p w14:paraId="21DC04B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2301" w:type="dxa"/>
            <w:noWrap w:val="0"/>
            <w:vAlign w:val="center"/>
          </w:tcPr>
          <w:p w14:paraId="396498BD">
            <w:pPr>
              <w:pStyle w:val="13"/>
              <w:ind w:left="0" w:leftChars="0"/>
              <w:jc w:val="center"/>
              <w:rPr>
                <w:rFonts w:hint="eastAsia" w:ascii="宋体" w:hAnsi="宋体" w:eastAsia="宋体" w:cs="宋体"/>
                <w:color w:val="auto"/>
                <w:sz w:val="21"/>
                <w:szCs w:val="21"/>
                <w:highlight w:val="none"/>
              </w:rPr>
            </w:pPr>
          </w:p>
        </w:tc>
        <w:tc>
          <w:tcPr>
            <w:tcW w:w="2198" w:type="dxa"/>
            <w:noWrap w:val="0"/>
            <w:vAlign w:val="center"/>
          </w:tcPr>
          <w:p w14:paraId="0DEF108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7605C91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212457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68DEFB2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2A1A9B6B">
      <w:pPr>
        <w:rPr>
          <w:rFonts w:hint="eastAsia" w:ascii="宋体" w:hAnsi="宋体" w:eastAsia="宋体" w:cs="宋体"/>
          <w:b/>
          <w:color w:val="auto"/>
          <w:kern w:val="0"/>
          <w:sz w:val="21"/>
          <w:szCs w:val="21"/>
          <w:highlight w:val="none"/>
        </w:rPr>
      </w:pPr>
    </w:p>
    <w:p w14:paraId="35E8E964">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color w:val="auto"/>
          <w:sz w:val="24"/>
          <w:szCs w:val="32"/>
          <w:highlight w:val="none"/>
        </w:rPr>
      </w:pPr>
      <w:r>
        <w:rPr>
          <w:rFonts w:hint="eastAsia" w:asciiTheme="minorEastAsia" w:hAnsiTheme="minorEastAsia"/>
          <w:b/>
          <w:bCs/>
          <w:color w:val="auto"/>
          <w:sz w:val="24"/>
          <w:szCs w:val="32"/>
          <w:highlight w:val="none"/>
          <w:lang w:val="en-US" w:eastAsia="zh-CN"/>
        </w:rPr>
        <w:t>注：</w:t>
      </w:r>
      <w:r>
        <w:rPr>
          <w:rFonts w:hint="eastAsia" w:asciiTheme="minorEastAsia" w:hAnsiTheme="minorEastAsia"/>
          <w:b/>
          <w:bCs/>
          <w:color w:val="auto"/>
          <w:sz w:val="24"/>
          <w:szCs w:val="32"/>
          <w:highlight w:val="none"/>
        </w:rPr>
        <w:t>本表中“偏离</w:t>
      </w:r>
      <w:r>
        <w:rPr>
          <w:rFonts w:hint="eastAsia" w:asciiTheme="minorEastAsia" w:hAnsiTheme="minorEastAsia"/>
          <w:b/>
          <w:bCs/>
          <w:color w:val="auto"/>
          <w:sz w:val="24"/>
          <w:szCs w:val="32"/>
          <w:highlight w:val="none"/>
          <w:lang w:val="en-US" w:eastAsia="zh-CN"/>
        </w:rPr>
        <w:t>情况</w:t>
      </w:r>
      <w:r>
        <w:rPr>
          <w:rFonts w:hint="eastAsia" w:asciiTheme="minorEastAsia" w:hAnsiTheme="minorEastAsia"/>
          <w:b/>
          <w:bCs/>
          <w:color w:val="auto"/>
          <w:sz w:val="24"/>
          <w:szCs w:val="32"/>
          <w:highlight w:val="none"/>
        </w:rPr>
        <w:t>”只有三种状态（正偏离、无偏离、负偏离）</w:t>
      </w:r>
    </w:p>
    <w:p w14:paraId="3A6DD457">
      <w:pPr>
        <w:pStyle w:val="30"/>
        <w:rPr>
          <w:rFonts w:hint="eastAsia" w:ascii="宋体" w:hAnsi="宋体" w:eastAsia="宋体" w:cs="宋体"/>
          <w:color w:val="auto"/>
          <w:sz w:val="21"/>
          <w:szCs w:val="21"/>
          <w:highlight w:val="none"/>
        </w:rPr>
      </w:pPr>
    </w:p>
    <w:p w14:paraId="6837A39B">
      <w:pPr>
        <w:pageBreakBefore w:val="0"/>
        <w:widowControl/>
        <w:wordWrap/>
        <w:overflowPunct/>
        <w:topLinePunct w:val="0"/>
        <w:bidi w:val="0"/>
        <w:spacing w:line="360" w:lineRule="auto"/>
        <w:ind w:firstLine="3360" w:firstLineChars="1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33824051">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3360" w:firstLineChars="14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7588281B">
      <w:pPr>
        <w:outlineLvl w:val="9"/>
        <w:rPr>
          <w:rFonts w:hint="eastAsia" w:ascii="宋体" w:hAnsi="宋体" w:eastAsia="宋体" w:cs="宋体"/>
          <w:color w:val="auto"/>
          <w:highlight w:val="none"/>
        </w:rPr>
      </w:pPr>
    </w:p>
    <w:p w14:paraId="53FD0412">
      <w:pPr>
        <w:outlineLvl w:val="9"/>
        <w:rPr>
          <w:rFonts w:hint="eastAsia" w:ascii="宋体" w:hAnsi="宋体" w:eastAsia="宋体" w:cs="宋体"/>
          <w:color w:val="auto"/>
          <w:highlight w:val="none"/>
        </w:rPr>
      </w:pPr>
    </w:p>
    <w:p w14:paraId="3AEB9F14">
      <w:pPr>
        <w:outlineLvl w:val="9"/>
        <w:rPr>
          <w:rFonts w:hint="eastAsia" w:ascii="宋体" w:hAnsi="宋体" w:eastAsia="宋体" w:cs="宋体"/>
          <w:color w:val="auto"/>
          <w:highlight w:val="none"/>
        </w:rPr>
      </w:pPr>
    </w:p>
    <w:p w14:paraId="5AED0F2A">
      <w:pPr>
        <w:outlineLvl w:val="9"/>
        <w:rPr>
          <w:rFonts w:hint="eastAsia" w:ascii="宋体" w:hAnsi="宋体" w:eastAsia="宋体" w:cs="宋体"/>
          <w:color w:val="auto"/>
          <w:highlight w:val="none"/>
        </w:rPr>
      </w:pPr>
    </w:p>
    <w:p w14:paraId="5EA0D74E">
      <w:pPr>
        <w:outlineLvl w:val="9"/>
        <w:rPr>
          <w:rFonts w:hint="eastAsia" w:ascii="宋体" w:hAnsi="宋体" w:eastAsia="宋体" w:cs="宋体"/>
          <w:color w:val="auto"/>
          <w:highlight w:val="none"/>
        </w:rPr>
      </w:pPr>
    </w:p>
    <w:p w14:paraId="3570C238">
      <w:pPr>
        <w:outlineLvl w:val="9"/>
        <w:rPr>
          <w:rFonts w:hint="eastAsia" w:ascii="宋体" w:hAnsi="宋体" w:eastAsia="宋体" w:cs="宋体"/>
          <w:color w:val="auto"/>
          <w:highlight w:val="none"/>
        </w:rPr>
      </w:pPr>
    </w:p>
    <w:p w14:paraId="3A08270B">
      <w:pPr>
        <w:outlineLvl w:val="9"/>
        <w:rPr>
          <w:rFonts w:hint="eastAsia" w:ascii="宋体" w:hAnsi="宋体" w:eastAsia="宋体" w:cs="宋体"/>
          <w:color w:val="auto"/>
          <w:highlight w:val="none"/>
        </w:rPr>
      </w:pPr>
    </w:p>
    <w:p w14:paraId="12F493B2">
      <w:pPr>
        <w:outlineLvl w:val="9"/>
        <w:rPr>
          <w:rFonts w:hint="eastAsia" w:ascii="宋体" w:hAnsi="宋体" w:eastAsia="宋体" w:cs="宋体"/>
          <w:color w:val="auto"/>
          <w:highlight w:val="none"/>
        </w:rPr>
      </w:pPr>
    </w:p>
    <w:p w14:paraId="379B96AA">
      <w:pPr>
        <w:outlineLvl w:val="9"/>
        <w:rPr>
          <w:rFonts w:hint="eastAsia" w:ascii="宋体" w:hAnsi="宋体" w:eastAsia="宋体" w:cs="宋体"/>
          <w:color w:val="auto"/>
          <w:highlight w:val="none"/>
        </w:rPr>
      </w:pPr>
    </w:p>
    <w:p w14:paraId="5F90B2F8">
      <w:pPr>
        <w:outlineLvl w:val="9"/>
        <w:rPr>
          <w:rFonts w:hint="eastAsia" w:ascii="宋体" w:hAnsi="宋体" w:eastAsia="宋体" w:cs="宋体"/>
          <w:color w:val="auto"/>
          <w:highlight w:val="none"/>
        </w:rPr>
      </w:pPr>
    </w:p>
    <w:p w14:paraId="78328238">
      <w:pPr>
        <w:outlineLvl w:val="9"/>
        <w:rPr>
          <w:rFonts w:hint="eastAsia" w:ascii="宋体" w:hAnsi="宋体" w:eastAsia="宋体" w:cs="宋体"/>
          <w:color w:val="auto"/>
          <w:highlight w:val="none"/>
        </w:rPr>
      </w:pPr>
    </w:p>
    <w:p w14:paraId="69EB5529">
      <w:pPr>
        <w:outlineLvl w:val="9"/>
        <w:rPr>
          <w:rFonts w:hint="eastAsia" w:ascii="宋体" w:hAnsi="宋体" w:eastAsia="宋体" w:cs="宋体"/>
          <w:color w:val="auto"/>
          <w:highlight w:val="none"/>
        </w:rPr>
      </w:pPr>
    </w:p>
    <w:p w14:paraId="55661C75">
      <w:pPr>
        <w:outlineLvl w:val="9"/>
        <w:rPr>
          <w:rFonts w:hint="eastAsia" w:ascii="宋体" w:hAnsi="宋体" w:eastAsia="宋体" w:cs="宋体"/>
          <w:color w:val="auto"/>
          <w:highlight w:val="none"/>
        </w:rPr>
      </w:pPr>
    </w:p>
    <w:p w14:paraId="3EE75555">
      <w:pPr>
        <w:outlineLvl w:val="9"/>
        <w:rPr>
          <w:rFonts w:hint="eastAsia" w:ascii="宋体" w:hAnsi="宋体" w:eastAsia="宋体" w:cs="宋体"/>
          <w:color w:val="auto"/>
          <w:highlight w:val="none"/>
        </w:rPr>
      </w:pPr>
    </w:p>
    <w:p w14:paraId="7B5DFD3A">
      <w:pPr>
        <w:outlineLvl w:val="9"/>
        <w:rPr>
          <w:rFonts w:hint="eastAsia" w:ascii="宋体" w:hAnsi="宋体" w:eastAsia="宋体" w:cs="宋体"/>
          <w:color w:val="auto"/>
          <w:highlight w:val="none"/>
        </w:rPr>
      </w:pPr>
    </w:p>
    <w:p w14:paraId="301B401F">
      <w:pPr>
        <w:rPr>
          <w:rFonts w:hint="eastAsia" w:ascii="宋体" w:hAnsi="宋体" w:eastAsia="宋体" w:cs="宋体"/>
          <w:b/>
          <w:color w:val="auto"/>
          <w:sz w:val="28"/>
          <w:highlight w:val="none"/>
        </w:rPr>
      </w:pPr>
      <w:bookmarkStart w:id="69" w:name="_Toc28621"/>
      <w:bookmarkStart w:id="70" w:name="_Toc31526"/>
      <w:r>
        <w:rPr>
          <w:rFonts w:hint="eastAsia" w:ascii="宋体" w:hAnsi="宋体" w:eastAsia="宋体" w:cs="宋体"/>
          <w:b/>
          <w:color w:val="auto"/>
          <w:sz w:val="28"/>
          <w:highlight w:val="none"/>
        </w:rPr>
        <w:br w:type="page"/>
      </w:r>
    </w:p>
    <w:p w14:paraId="1F11031E">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1" w:name="_Toc29406"/>
      <w:r>
        <w:rPr>
          <w:rFonts w:hint="eastAsia" w:ascii="宋体" w:hAnsi="宋体" w:eastAsia="宋体" w:cs="宋体"/>
          <w:color w:val="auto"/>
          <w:sz w:val="28"/>
          <w:szCs w:val="28"/>
          <w:highlight w:val="none"/>
          <w:lang w:val="en-US" w:eastAsia="zh-CN"/>
        </w:rPr>
        <w:t>附件7         法定代表人身份证明（格式）</w:t>
      </w:r>
      <w:bookmarkEnd w:id="69"/>
      <w:bookmarkEnd w:id="70"/>
      <w:bookmarkEnd w:id="71"/>
    </w:p>
    <w:p w14:paraId="4E6952A4">
      <w:pPr>
        <w:widowControl/>
        <w:wordWrap w:val="0"/>
        <w:spacing w:line="460" w:lineRule="exact"/>
        <w:jc w:val="left"/>
        <w:rPr>
          <w:rFonts w:hint="eastAsia" w:ascii="宋体" w:hAnsi="宋体" w:eastAsia="宋体" w:cs="宋体"/>
          <w:color w:val="auto"/>
          <w:kern w:val="0"/>
          <w:sz w:val="24"/>
          <w:highlight w:val="none"/>
        </w:rPr>
      </w:pPr>
    </w:p>
    <w:p w14:paraId="2B8F8B92">
      <w:pPr>
        <w:widowControl/>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名称：</w:t>
      </w:r>
      <w:r>
        <w:rPr>
          <w:rFonts w:hint="eastAsia" w:ascii="宋体" w:hAnsi="宋体" w:eastAsia="宋体" w:cs="宋体"/>
          <w:color w:val="auto"/>
          <w:kern w:val="0"/>
          <w:szCs w:val="21"/>
          <w:highlight w:val="none"/>
          <w:u w:val="single"/>
          <w:lang w:val="en-US" w:eastAsia="zh-CN"/>
        </w:rPr>
        <w:t xml:space="preserve">                                </w:t>
      </w:r>
    </w:p>
    <w:p w14:paraId="7F360F26">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Cs w:val="21"/>
          <w:highlight w:val="none"/>
          <w:u w:val="single"/>
          <w:lang w:val="en-US" w:eastAsia="zh-CN"/>
        </w:rPr>
        <w:t xml:space="preserve">                                        </w:t>
      </w:r>
    </w:p>
    <w:p w14:paraId="75574A66">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年</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月</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日</w:t>
      </w:r>
    </w:p>
    <w:p w14:paraId="5BE70587">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szCs w:val="20"/>
          <w:highlight w:val="none"/>
        </w:rPr>
        <w:t>经营期限：</w:t>
      </w:r>
      <w:r>
        <w:rPr>
          <w:rFonts w:hint="eastAsia" w:ascii="宋体" w:hAnsi="宋体" w:eastAsia="宋体" w:cs="宋体"/>
          <w:color w:val="auto"/>
          <w:kern w:val="0"/>
          <w:szCs w:val="21"/>
          <w:highlight w:val="none"/>
          <w:u w:val="single"/>
          <w:lang w:val="en-US" w:eastAsia="zh-CN"/>
        </w:rPr>
        <w:t xml:space="preserve">                        </w:t>
      </w:r>
    </w:p>
    <w:p w14:paraId="72BF871B">
      <w:pPr>
        <w:widowControl/>
        <w:wordWrap w:val="0"/>
        <w:spacing w:line="460" w:lineRule="exact"/>
        <w:ind w:firstLine="48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，性别：</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，职务：</w:t>
      </w:r>
      <w:r>
        <w:rPr>
          <w:rFonts w:hint="eastAsia" w:ascii="宋体" w:hAnsi="宋体" w:eastAsia="宋体" w:cs="宋体"/>
          <w:color w:val="auto"/>
          <w:kern w:val="0"/>
          <w:szCs w:val="21"/>
          <w:highlight w:val="none"/>
          <w:u w:val="single"/>
          <w:lang w:val="en-US" w:eastAsia="zh-CN"/>
        </w:rPr>
        <w:t xml:space="preserve">        </w:t>
      </w:r>
    </w:p>
    <w:p w14:paraId="2A93B028">
      <w:pPr>
        <w:widowControl/>
        <w:wordWrap w:val="0"/>
        <w:spacing w:line="460" w:lineRule="exact"/>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w:t>
      </w:r>
      <w:r>
        <w:rPr>
          <w:rFonts w:hint="eastAsia" w:ascii="宋体" w:hAnsi="宋体" w:eastAsia="宋体" w:cs="宋体"/>
          <w:color w:val="auto"/>
          <w:kern w:val="0"/>
          <w:sz w:val="24"/>
          <w:szCs w:val="20"/>
          <w:highlight w:val="none"/>
          <w:lang w:eastAsia="zh-CN"/>
        </w:rPr>
        <w:t>供应商</w:t>
      </w:r>
      <w:r>
        <w:rPr>
          <w:rFonts w:hint="eastAsia" w:ascii="宋体" w:hAnsi="宋体" w:eastAsia="宋体" w:cs="宋体"/>
          <w:color w:val="auto"/>
          <w:kern w:val="0"/>
          <w:sz w:val="24"/>
          <w:szCs w:val="20"/>
          <w:highlight w:val="none"/>
        </w:rPr>
        <w:t>名称）的法定代表人。</w:t>
      </w:r>
    </w:p>
    <w:p w14:paraId="734506D8">
      <w:pPr>
        <w:widowControl/>
        <w:wordWrap w:val="0"/>
        <w:spacing w:line="460" w:lineRule="exact"/>
        <w:jc w:val="left"/>
        <w:rPr>
          <w:rFonts w:hint="eastAsia" w:ascii="宋体" w:hAnsi="宋体" w:eastAsia="宋体" w:cs="宋体"/>
          <w:color w:val="auto"/>
          <w:kern w:val="0"/>
          <w:sz w:val="24"/>
          <w:szCs w:val="20"/>
          <w:highlight w:val="none"/>
        </w:rPr>
      </w:pPr>
    </w:p>
    <w:p w14:paraId="63F2B553">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特此证明。</w:t>
      </w:r>
    </w:p>
    <w:p w14:paraId="1AEAD95F">
      <w:pPr>
        <w:widowControl/>
        <w:wordWrap w:val="0"/>
        <w:spacing w:line="460" w:lineRule="exact"/>
        <w:jc w:val="left"/>
        <w:rPr>
          <w:rFonts w:hint="eastAsia" w:ascii="宋体" w:hAnsi="宋体" w:eastAsia="宋体" w:cs="宋体"/>
          <w:color w:val="auto"/>
          <w:kern w:val="0"/>
          <w:sz w:val="24"/>
          <w:szCs w:val="20"/>
          <w:highlight w:val="none"/>
        </w:rPr>
      </w:pPr>
    </w:p>
    <w:p w14:paraId="5332D657">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tbl>
      <w:tblPr>
        <w:tblStyle w:val="32"/>
        <w:tblpPr w:leftFromText="180" w:rightFromText="180" w:topFromText="100" w:bottomFromText="100" w:vertAnchor="text" w:horzAnchor="page" w:tblpX="2106"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7"/>
      </w:tblGrid>
      <w:tr w14:paraId="5CAD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7527" w:type="dxa"/>
            <w:tcBorders>
              <w:top w:val="single" w:color="auto" w:sz="4" w:space="0"/>
              <w:left w:val="single" w:color="auto" w:sz="4" w:space="0"/>
              <w:bottom w:val="single" w:color="auto" w:sz="4" w:space="0"/>
              <w:right w:val="single" w:color="auto" w:sz="4" w:space="0"/>
            </w:tcBorders>
          </w:tcPr>
          <w:p w14:paraId="4F3A0D42">
            <w:pPr>
              <w:widowControl/>
              <w:spacing w:line="480" w:lineRule="exact"/>
              <w:jc w:val="center"/>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rPr>
              <w:t>此处请粘贴法定代表人身份</w:t>
            </w:r>
            <w:r>
              <w:rPr>
                <w:rFonts w:hint="eastAsia" w:ascii="宋体" w:hAnsi="宋体" w:cs="宋体"/>
                <w:bCs/>
                <w:color w:val="auto"/>
                <w:kern w:val="0"/>
                <w:sz w:val="24"/>
                <w:highlight w:val="none"/>
                <w:lang w:val="en-US" w:eastAsia="zh-CN"/>
              </w:rPr>
              <w:t>证明</w:t>
            </w:r>
          </w:p>
          <w:p w14:paraId="6540D297">
            <w:pPr>
              <w:widowControl/>
              <w:spacing w:line="480" w:lineRule="exact"/>
              <w:jc w:val="left"/>
              <w:rPr>
                <w:rFonts w:hint="eastAsia" w:ascii="宋体" w:hAnsi="宋体" w:eastAsia="宋体" w:cs="宋体"/>
                <w:color w:val="auto"/>
                <w:kern w:val="0"/>
                <w:sz w:val="24"/>
                <w:highlight w:val="none"/>
              </w:rPr>
            </w:pPr>
          </w:p>
          <w:p w14:paraId="5DADE8D1">
            <w:pPr>
              <w:widowControl/>
              <w:spacing w:line="480" w:lineRule="exact"/>
              <w:jc w:val="left"/>
              <w:rPr>
                <w:rFonts w:hint="eastAsia" w:ascii="宋体" w:hAnsi="宋体" w:eastAsia="宋体" w:cs="宋体"/>
                <w:color w:val="auto"/>
                <w:kern w:val="0"/>
                <w:sz w:val="24"/>
                <w:highlight w:val="none"/>
              </w:rPr>
            </w:pPr>
          </w:p>
        </w:tc>
      </w:tr>
    </w:tbl>
    <w:p w14:paraId="67115485">
      <w:pPr>
        <w:widowControl/>
        <w:wordWrap w:val="0"/>
        <w:spacing w:beforeLines="100" w:afterLines="100" w:line="480" w:lineRule="exact"/>
        <w:jc w:val="center"/>
        <w:rPr>
          <w:rFonts w:hint="eastAsia" w:ascii="宋体" w:hAnsi="宋体" w:eastAsia="宋体" w:cs="宋体"/>
          <w:b/>
          <w:color w:val="auto"/>
          <w:kern w:val="0"/>
          <w:sz w:val="24"/>
          <w:highlight w:val="none"/>
        </w:rPr>
      </w:pPr>
    </w:p>
    <w:p w14:paraId="7D154877">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751B2E01">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47A7ED37">
      <w:pPr>
        <w:widowControl/>
        <w:wordWrap w:val="0"/>
        <w:spacing w:line="480" w:lineRule="exact"/>
        <w:jc w:val="right"/>
        <w:rPr>
          <w:rFonts w:hint="eastAsia" w:ascii="宋体" w:hAnsi="宋体" w:eastAsia="宋体" w:cs="宋体"/>
          <w:color w:val="auto"/>
          <w:kern w:val="0"/>
          <w:sz w:val="24"/>
          <w:highlight w:val="none"/>
        </w:rPr>
      </w:pPr>
    </w:p>
    <w:p w14:paraId="0D99BF1A">
      <w:pPr>
        <w:widowControl/>
        <w:wordWrap w:val="0"/>
        <w:spacing w:line="480" w:lineRule="exact"/>
        <w:jc w:val="right"/>
        <w:rPr>
          <w:rFonts w:hint="eastAsia" w:ascii="宋体" w:hAnsi="宋体" w:eastAsia="宋体" w:cs="宋体"/>
          <w:color w:val="auto"/>
          <w:kern w:val="0"/>
          <w:sz w:val="24"/>
          <w:highlight w:val="none"/>
        </w:rPr>
      </w:pPr>
    </w:p>
    <w:p w14:paraId="71E14AB3">
      <w:pPr>
        <w:widowControl/>
        <w:wordWrap w:val="0"/>
        <w:snapToGrid w:val="0"/>
        <w:spacing w:line="460" w:lineRule="exact"/>
        <w:ind w:firstLine="2760" w:firstLineChars="115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1BF19C93">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88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DC83681">
      <w:pPr>
        <w:rPr>
          <w:rFonts w:hint="eastAsia" w:ascii="宋体" w:hAnsi="宋体" w:eastAsia="宋体" w:cs="宋体"/>
          <w:color w:val="auto"/>
          <w:highlight w:val="none"/>
        </w:rPr>
      </w:pPr>
    </w:p>
    <w:p w14:paraId="5EF34DBC">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1AD1E097">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2" w:name="_Toc12939"/>
      <w:bookmarkStart w:id="73" w:name="_Toc30519"/>
      <w:bookmarkStart w:id="74" w:name="_Toc13976"/>
      <w:r>
        <w:rPr>
          <w:rFonts w:hint="eastAsia" w:ascii="宋体" w:hAnsi="宋体" w:eastAsia="宋体" w:cs="宋体"/>
          <w:color w:val="auto"/>
          <w:sz w:val="28"/>
          <w:szCs w:val="28"/>
          <w:highlight w:val="none"/>
          <w:lang w:val="en-US" w:eastAsia="zh-CN"/>
        </w:rPr>
        <w:t>附件8         法定代表人授权书（格式）</w:t>
      </w:r>
      <w:bookmarkEnd w:id="72"/>
      <w:bookmarkEnd w:id="73"/>
      <w:bookmarkEnd w:id="74"/>
    </w:p>
    <w:p w14:paraId="1FB7171E">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5D9084CA">
      <w:pPr>
        <w:widowControl/>
        <w:wordWrap w:val="0"/>
        <w:snapToGrid w:val="0"/>
        <w:spacing w:line="46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驻马店市中心医院</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0497B3EE">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 xml:space="preserve">名称）的法定代表人，现委托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项目的投标活动，并代表我方全权办理针对上述项目的</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、开标、评</w:t>
      </w:r>
      <w:r>
        <w:rPr>
          <w:rFonts w:hint="eastAsia" w:ascii="宋体" w:hAnsi="宋体" w:eastAsia="宋体" w:cs="宋体"/>
          <w:color w:val="auto"/>
          <w:kern w:val="0"/>
          <w:sz w:val="24"/>
          <w:highlight w:val="none"/>
          <w:lang w:val="en-US" w:eastAsia="zh-CN"/>
        </w:rPr>
        <w:t>审</w:t>
      </w:r>
      <w:r>
        <w:rPr>
          <w:rFonts w:hint="eastAsia" w:ascii="宋体" w:hAnsi="宋体" w:eastAsia="宋体" w:cs="宋体"/>
          <w:color w:val="auto"/>
          <w:kern w:val="0"/>
          <w:sz w:val="24"/>
          <w:highlight w:val="none"/>
        </w:rPr>
        <w:t>、签约等具体事务和签署相关文件。</w:t>
      </w:r>
    </w:p>
    <w:p w14:paraId="54A44FB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3D4F1BE6">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如果本次采购活动现场变更采购方式，本授权书有效。</w:t>
      </w:r>
    </w:p>
    <w:p w14:paraId="71CD0778">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代理人无转委托权。</w:t>
      </w:r>
    </w:p>
    <w:p w14:paraId="1EA1FE12">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p>
    <w:p w14:paraId="180CC313">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p>
    <w:p w14:paraId="387F8D49">
      <w:pPr>
        <w:widowControl/>
        <w:wordWrap w:val="0"/>
        <w:snapToGrid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             法定代表人签名</w:t>
      </w:r>
      <w:r>
        <w:rPr>
          <w:rFonts w:hint="eastAsia" w:ascii="宋体" w:hAnsi="宋体" w:eastAsia="宋体" w:cs="宋体"/>
          <w:color w:val="auto"/>
          <w:kern w:val="0"/>
          <w:sz w:val="24"/>
          <w:highlight w:val="none"/>
          <w:lang w:val="en-US" w:eastAsia="zh-CN"/>
        </w:rPr>
        <w:t>或盖章</w:t>
      </w:r>
      <w:r>
        <w:rPr>
          <w:rFonts w:hint="eastAsia" w:ascii="宋体" w:hAnsi="宋体" w:eastAsia="宋体" w:cs="宋体"/>
          <w:color w:val="auto"/>
          <w:kern w:val="0"/>
          <w:sz w:val="24"/>
          <w:highlight w:val="none"/>
        </w:rPr>
        <w:t>：</w:t>
      </w:r>
    </w:p>
    <w:p w14:paraId="7663553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职务：                      职务：</w:t>
      </w:r>
    </w:p>
    <w:tbl>
      <w:tblPr>
        <w:tblStyle w:val="32"/>
        <w:tblpPr w:leftFromText="180" w:rightFromText="180" w:topFromText="100" w:bottomFromText="100" w:vertAnchor="text" w:horzAnchor="page" w:tblpX="208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0"/>
      </w:tblGrid>
      <w:tr w14:paraId="49DA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7250" w:type="dxa"/>
            <w:tcBorders>
              <w:top w:val="single" w:color="auto" w:sz="4" w:space="0"/>
              <w:left w:val="single" w:color="auto" w:sz="4" w:space="0"/>
              <w:bottom w:val="single" w:color="auto" w:sz="4" w:space="0"/>
              <w:right w:val="single" w:color="auto" w:sz="4" w:space="0"/>
            </w:tcBorders>
          </w:tcPr>
          <w:p w14:paraId="303B381D">
            <w:pPr>
              <w:widowControl/>
              <w:spacing w:line="480" w:lineRule="exact"/>
              <w:jc w:val="center"/>
              <w:rPr>
                <w:rFonts w:hint="eastAsia" w:ascii="宋体" w:hAnsi="宋体" w:eastAsia="宋体" w:cs="宋体"/>
                <w:color w:val="auto"/>
                <w:kern w:val="0"/>
                <w:sz w:val="24"/>
                <w:highlight w:val="none"/>
                <w:lang w:eastAsia="zh-CN"/>
              </w:rPr>
            </w:pPr>
            <w:r>
              <w:rPr>
                <w:rFonts w:hint="eastAsia" w:ascii="宋体" w:hAnsi="宋体" w:eastAsia="宋体" w:cs="宋体"/>
                <w:bCs/>
                <w:color w:val="auto"/>
                <w:kern w:val="0"/>
                <w:sz w:val="24"/>
                <w:highlight w:val="none"/>
              </w:rPr>
              <w:t>此处请粘贴</w:t>
            </w:r>
            <w:r>
              <w:rPr>
                <w:rFonts w:hint="eastAsia" w:ascii="宋体" w:hAnsi="宋体" w:eastAsia="宋体" w:cs="宋体"/>
                <w:color w:val="auto"/>
                <w:kern w:val="0"/>
                <w:sz w:val="24"/>
                <w:highlight w:val="none"/>
              </w:rPr>
              <w:t>委托代理人</w:t>
            </w:r>
            <w:r>
              <w:rPr>
                <w:rFonts w:hint="eastAsia" w:ascii="宋体" w:hAnsi="宋体" w:eastAsia="宋体" w:cs="宋体"/>
                <w:bCs/>
                <w:color w:val="auto"/>
                <w:kern w:val="0"/>
                <w:sz w:val="24"/>
                <w:highlight w:val="none"/>
              </w:rPr>
              <w:t>身份</w:t>
            </w:r>
            <w:r>
              <w:rPr>
                <w:rFonts w:hint="eastAsia" w:ascii="宋体" w:hAnsi="宋体" w:cs="宋体"/>
                <w:bCs/>
                <w:color w:val="auto"/>
                <w:kern w:val="0"/>
                <w:sz w:val="24"/>
                <w:highlight w:val="none"/>
                <w:lang w:val="en-US" w:eastAsia="zh-CN"/>
              </w:rPr>
              <w:t>证明</w:t>
            </w:r>
          </w:p>
        </w:tc>
      </w:tr>
    </w:tbl>
    <w:p w14:paraId="7A304355">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委托代理人身份证号码：</w:t>
      </w:r>
    </w:p>
    <w:p w14:paraId="06F8F4D1">
      <w:pPr>
        <w:widowControl/>
        <w:wordWrap w:val="0"/>
        <w:spacing w:line="460" w:lineRule="exact"/>
        <w:ind w:firstLine="4800" w:firstLineChars="2000"/>
        <w:jc w:val="left"/>
        <w:rPr>
          <w:rFonts w:hint="eastAsia" w:ascii="宋体" w:hAnsi="宋体" w:eastAsia="宋体" w:cs="宋体"/>
          <w:color w:val="auto"/>
          <w:kern w:val="0"/>
          <w:sz w:val="24"/>
          <w:highlight w:val="none"/>
        </w:rPr>
      </w:pPr>
    </w:p>
    <w:p w14:paraId="6E3DB2F7">
      <w:pPr>
        <w:widowControl/>
        <w:wordWrap w:val="0"/>
        <w:spacing w:line="360" w:lineRule="auto"/>
        <w:jc w:val="center"/>
        <w:rPr>
          <w:rFonts w:hint="eastAsia" w:ascii="宋体" w:hAnsi="宋体" w:eastAsia="宋体" w:cs="宋体"/>
          <w:color w:val="auto"/>
          <w:kern w:val="0"/>
          <w:sz w:val="24"/>
          <w:highlight w:val="none"/>
        </w:rPr>
      </w:pPr>
    </w:p>
    <w:p w14:paraId="7E2A20D2">
      <w:pPr>
        <w:widowControl/>
        <w:wordWrap w:val="0"/>
        <w:spacing w:line="360" w:lineRule="auto"/>
        <w:jc w:val="right"/>
        <w:rPr>
          <w:rFonts w:hint="eastAsia" w:ascii="宋体" w:hAnsi="宋体" w:eastAsia="宋体" w:cs="宋体"/>
          <w:color w:val="auto"/>
          <w:kern w:val="0"/>
          <w:sz w:val="24"/>
          <w:highlight w:val="none"/>
        </w:rPr>
      </w:pPr>
    </w:p>
    <w:p w14:paraId="0041CCE6">
      <w:pPr>
        <w:widowControl/>
        <w:wordWrap w:val="0"/>
        <w:spacing w:line="360" w:lineRule="auto"/>
        <w:jc w:val="right"/>
        <w:rPr>
          <w:rFonts w:hint="eastAsia" w:ascii="宋体" w:hAnsi="宋体" w:eastAsia="宋体" w:cs="宋体"/>
          <w:color w:val="auto"/>
          <w:kern w:val="0"/>
          <w:sz w:val="24"/>
          <w:highlight w:val="none"/>
        </w:rPr>
      </w:pPr>
    </w:p>
    <w:p w14:paraId="046AAC91">
      <w:pPr>
        <w:widowControl/>
        <w:wordWrap w:val="0"/>
        <w:spacing w:line="360" w:lineRule="auto"/>
        <w:jc w:val="right"/>
        <w:rPr>
          <w:rFonts w:hint="eastAsia" w:ascii="宋体" w:hAnsi="宋体" w:eastAsia="宋体" w:cs="宋体"/>
          <w:color w:val="auto"/>
          <w:kern w:val="0"/>
          <w:sz w:val="24"/>
          <w:highlight w:val="none"/>
        </w:rPr>
      </w:pPr>
    </w:p>
    <w:p w14:paraId="10AE64D3">
      <w:pPr>
        <w:widowControl/>
        <w:wordWrap w:val="0"/>
        <w:spacing w:line="360" w:lineRule="auto"/>
        <w:jc w:val="right"/>
        <w:rPr>
          <w:rFonts w:hint="eastAsia" w:ascii="宋体" w:hAnsi="宋体" w:eastAsia="宋体" w:cs="宋体"/>
          <w:color w:val="auto"/>
          <w:kern w:val="0"/>
          <w:sz w:val="24"/>
          <w:highlight w:val="none"/>
        </w:rPr>
      </w:pPr>
    </w:p>
    <w:p w14:paraId="3F7B9410">
      <w:pPr>
        <w:widowControl/>
        <w:wordWrap w:val="0"/>
        <w:spacing w:line="360" w:lineRule="auto"/>
        <w:jc w:val="right"/>
        <w:rPr>
          <w:rFonts w:hint="eastAsia" w:ascii="宋体" w:hAnsi="宋体" w:eastAsia="宋体" w:cs="宋体"/>
          <w:color w:val="auto"/>
          <w:kern w:val="0"/>
          <w:sz w:val="24"/>
          <w:highlight w:val="none"/>
        </w:rPr>
      </w:pPr>
    </w:p>
    <w:p w14:paraId="2780542A">
      <w:pPr>
        <w:widowControl/>
        <w:wordWrap/>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114B5FF3">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5CD4EA78">
      <w:pPr>
        <w:widowControl/>
        <w:spacing w:line="360" w:lineRule="auto"/>
        <w:ind w:firstLine="7228" w:firstLineChars="2250"/>
        <w:jc w:val="left"/>
        <w:rPr>
          <w:rFonts w:hint="eastAsia" w:ascii="宋体" w:hAnsi="宋体" w:eastAsia="宋体" w:cs="宋体"/>
          <w:b/>
          <w:color w:val="auto"/>
          <w:kern w:val="0"/>
          <w:sz w:val="32"/>
          <w:szCs w:val="32"/>
          <w:highlight w:val="none"/>
        </w:rPr>
      </w:pPr>
    </w:p>
    <w:p w14:paraId="730E0196">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7FE32602">
      <w:pPr>
        <w:pStyle w:val="4"/>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bCs/>
          <w:color w:val="auto"/>
          <w:sz w:val="21"/>
          <w:szCs w:val="21"/>
          <w:highlight w:val="none"/>
        </w:rPr>
      </w:pPr>
      <w:bookmarkStart w:id="75" w:name="_Toc18105"/>
      <w:bookmarkStart w:id="76" w:name="_Toc24693"/>
      <w:bookmarkStart w:id="77" w:name="_Toc3342"/>
      <w:r>
        <w:rPr>
          <w:rFonts w:hint="eastAsia" w:ascii="宋体" w:hAnsi="宋体" w:eastAsia="宋体" w:cs="宋体"/>
          <w:color w:val="auto"/>
          <w:sz w:val="28"/>
          <w:szCs w:val="28"/>
          <w:highlight w:val="none"/>
          <w:lang w:val="en-US" w:eastAsia="zh-CN"/>
        </w:rPr>
        <w:t>附件9          证明文件</w:t>
      </w:r>
      <w:bookmarkEnd w:id="75"/>
      <w:bookmarkEnd w:id="76"/>
      <w:bookmarkEnd w:id="77"/>
    </w:p>
    <w:p w14:paraId="3017862A">
      <w:pPr>
        <w:pStyle w:val="9"/>
        <w:spacing w:beforeAutospacing="0" w:afterAutospacing="0" w:line="480" w:lineRule="auto"/>
        <w:ind w:firstLine="540" w:firstLineChars="224"/>
        <w:jc w:val="both"/>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9.1</w:t>
      </w:r>
      <w:r>
        <w:rPr>
          <w:rFonts w:hint="eastAsia" w:ascii="宋体" w:hAnsi="宋体" w:eastAsia="宋体" w:cs="宋体"/>
          <w:b/>
          <w:bCs w:val="0"/>
          <w:color w:val="auto"/>
          <w:sz w:val="24"/>
          <w:szCs w:val="24"/>
          <w:highlight w:val="none"/>
          <w:lang w:val="en-US" w:eastAsia="zh-CN"/>
        </w:rPr>
        <w:t xml:space="preserve"> </w:t>
      </w:r>
      <w:r>
        <w:rPr>
          <w:rFonts w:hint="eastAsia" w:cs="宋体"/>
          <w:b/>
          <w:bCs w:val="0"/>
          <w:color w:val="auto"/>
          <w:sz w:val="24"/>
          <w:szCs w:val="24"/>
          <w:highlight w:val="none"/>
          <w:lang w:val="en-US" w:eastAsia="zh-CN"/>
        </w:rPr>
        <w:t>供应商资格审查证明材料</w:t>
      </w:r>
    </w:p>
    <w:p w14:paraId="5110E480">
      <w:pPr>
        <w:pStyle w:val="9"/>
        <w:spacing w:beforeAutospacing="0" w:afterAutospacing="0" w:line="480" w:lineRule="auto"/>
        <w:jc w:val="both"/>
        <w:rPr>
          <w:rFonts w:hint="eastAsia" w:ascii="宋体" w:hAnsi="宋体" w:eastAsia="宋体" w:cs="宋体"/>
          <w:bCs/>
          <w:color w:val="auto"/>
          <w:sz w:val="24"/>
          <w:szCs w:val="24"/>
          <w:highlight w:val="none"/>
        </w:rPr>
      </w:pPr>
    </w:p>
    <w:p w14:paraId="331AA9DC">
      <w:pPr>
        <w:pStyle w:val="9"/>
        <w:spacing w:beforeAutospacing="0" w:afterAutospacing="0" w:line="480" w:lineRule="auto"/>
        <w:jc w:val="both"/>
        <w:rPr>
          <w:rFonts w:hint="eastAsia" w:ascii="宋体" w:hAnsi="宋体" w:eastAsia="宋体" w:cs="宋体"/>
          <w:bCs/>
          <w:color w:val="auto"/>
          <w:sz w:val="24"/>
          <w:szCs w:val="24"/>
          <w:highlight w:val="none"/>
        </w:rPr>
      </w:pPr>
    </w:p>
    <w:p w14:paraId="02581DAF">
      <w:pPr>
        <w:pStyle w:val="9"/>
        <w:spacing w:beforeAutospacing="0" w:afterAutospacing="0" w:line="480" w:lineRule="auto"/>
        <w:jc w:val="both"/>
        <w:rPr>
          <w:rFonts w:hint="eastAsia" w:ascii="宋体" w:hAnsi="宋体" w:eastAsia="宋体" w:cs="宋体"/>
          <w:bCs/>
          <w:color w:val="auto"/>
          <w:sz w:val="24"/>
          <w:szCs w:val="24"/>
          <w:highlight w:val="none"/>
        </w:rPr>
      </w:pPr>
    </w:p>
    <w:p w14:paraId="7A9F6387">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default" w:ascii="宋体" w:hAnsi="宋体" w:cs="宋体"/>
          <w:b/>
          <w:bCs w:val="0"/>
          <w:color w:val="auto"/>
          <w:sz w:val="24"/>
          <w:szCs w:val="24"/>
          <w:highlight w:val="none"/>
          <w:lang w:val="en-US"/>
        </w:rPr>
      </w:pPr>
      <w:r>
        <w:rPr>
          <w:rFonts w:hint="eastAsia" w:cs="宋体"/>
          <w:b/>
          <w:bCs w:val="0"/>
          <w:color w:val="auto"/>
          <w:sz w:val="24"/>
          <w:szCs w:val="24"/>
          <w:highlight w:val="none"/>
          <w:lang w:val="en-US" w:eastAsia="zh-CN"/>
        </w:rPr>
        <w:t>9.2</w:t>
      </w:r>
      <w:bookmarkStart w:id="78" w:name="_Toc17966"/>
      <w:r>
        <w:rPr>
          <w:rFonts w:hint="eastAsia" w:cs="宋体"/>
          <w:b/>
          <w:bCs w:val="0"/>
          <w:color w:val="auto"/>
          <w:sz w:val="24"/>
          <w:szCs w:val="24"/>
          <w:highlight w:val="none"/>
          <w:lang w:val="en-US" w:eastAsia="zh-CN"/>
        </w:rPr>
        <w:t xml:space="preserve"> 评分标准中需提供的证明材料</w:t>
      </w:r>
    </w:p>
    <w:p w14:paraId="598EB0CE">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5B06BA81">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7977B72A">
      <w:pPr>
        <w:pStyle w:val="9"/>
        <w:keepNext w:val="0"/>
        <w:keepLines w:val="0"/>
        <w:pageBreakBefore w:val="0"/>
        <w:widowControl/>
        <w:kinsoku/>
        <w:wordWrap/>
        <w:overflowPunct/>
        <w:topLinePunct w:val="0"/>
        <w:autoSpaceDE/>
        <w:autoSpaceDN/>
        <w:bidi w:val="0"/>
        <w:adjustRightInd/>
        <w:snapToGrid/>
        <w:spacing w:beforeAutospacing="0" w:afterAutospacing="0" w:line="360" w:lineRule="auto"/>
        <w:ind w:firstLine="540" w:firstLineChars="224"/>
        <w:jc w:val="both"/>
        <w:textAlignment w:val="auto"/>
        <w:rPr>
          <w:rFonts w:hint="eastAsia" w:ascii="宋体" w:hAnsi="宋体" w:cs="宋体"/>
          <w:b/>
          <w:bCs w:val="0"/>
          <w:color w:val="auto"/>
          <w:sz w:val="24"/>
          <w:szCs w:val="24"/>
          <w:highlight w:val="none"/>
        </w:rPr>
      </w:pPr>
    </w:p>
    <w:p w14:paraId="190399CF">
      <w:pPr>
        <w:pStyle w:val="9"/>
        <w:spacing w:beforeAutospacing="0" w:afterAutospacing="0" w:line="480" w:lineRule="auto"/>
        <w:ind w:firstLine="540" w:firstLineChars="224"/>
        <w:jc w:val="both"/>
        <w:rPr>
          <w:rFonts w:cs="Arial" w:asciiTheme="minorEastAsia" w:hAnsiTheme="minorEastAsia"/>
          <w:color w:val="auto"/>
          <w:sz w:val="24"/>
          <w:szCs w:val="24"/>
          <w:highlight w:val="none"/>
        </w:rPr>
      </w:pPr>
      <w:r>
        <w:rPr>
          <w:rFonts w:hint="eastAsia" w:ascii="宋体" w:hAnsi="宋体" w:eastAsia="宋体" w:cs="宋体"/>
          <w:b/>
          <w:bCs w:val="0"/>
          <w:color w:val="auto"/>
          <w:sz w:val="24"/>
          <w:szCs w:val="24"/>
          <w:highlight w:val="none"/>
          <w:lang w:val="en-US" w:eastAsia="zh-CN"/>
        </w:rPr>
        <w:t>9.</w:t>
      </w:r>
      <w:r>
        <w:rPr>
          <w:rFonts w:hint="eastAsia" w:cs="宋体"/>
          <w:b/>
          <w:bCs w:val="0"/>
          <w:color w:val="auto"/>
          <w:sz w:val="24"/>
          <w:szCs w:val="24"/>
          <w:highlight w:val="none"/>
          <w:lang w:val="en-US" w:eastAsia="zh-CN"/>
        </w:rPr>
        <w:t>3</w:t>
      </w:r>
      <w:r>
        <w:rPr>
          <w:rFonts w:cs="Arial" w:asciiTheme="minorEastAsia" w:hAnsiTheme="minorEastAsia"/>
          <w:b/>
          <w:color w:val="auto"/>
          <w:sz w:val="24"/>
          <w:szCs w:val="24"/>
          <w:highlight w:val="none"/>
        </w:rPr>
        <w:t>销售业绩</w:t>
      </w:r>
    </w:p>
    <w:tbl>
      <w:tblPr>
        <w:tblStyle w:val="32"/>
        <w:tblW w:w="759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1950"/>
        <w:gridCol w:w="2277"/>
        <w:gridCol w:w="1938"/>
      </w:tblGrid>
      <w:tr w14:paraId="319B3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379AC8E2">
            <w:pPr>
              <w:spacing w:before="120"/>
              <w:jc w:val="center"/>
              <w:rPr>
                <w:rFonts w:hint="eastAsia" w:eastAsia="宋体" w:cs="Arial" w:asciiTheme="minorEastAsia" w:hAnsiTheme="minorEastAsia"/>
                <w:color w:val="auto"/>
                <w:sz w:val="24"/>
                <w:highlight w:val="none"/>
                <w:lang w:val="en-US" w:eastAsia="zh-CN"/>
              </w:rPr>
            </w:pPr>
            <w:r>
              <w:rPr>
                <w:rFonts w:hint="eastAsia" w:cs="Arial" w:asciiTheme="minorEastAsia" w:hAnsiTheme="minorEastAsia"/>
                <w:color w:val="auto"/>
                <w:sz w:val="24"/>
                <w:highlight w:val="none"/>
                <w:lang w:val="en-US" w:eastAsia="zh-CN"/>
              </w:rPr>
              <w:t>序号</w:t>
            </w:r>
          </w:p>
        </w:tc>
        <w:tc>
          <w:tcPr>
            <w:tcW w:w="1950" w:type="dxa"/>
            <w:vAlign w:val="center"/>
          </w:tcPr>
          <w:p w14:paraId="15155689">
            <w:pPr>
              <w:spacing w:before="120"/>
              <w:jc w:val="center"/>
              <w:rPr>
                <w:rFonts w:cs="Arial" w:asciiTheme="minorEastAsia" w:hAnsiTheme="minorEastAsia"/>
                <w:color w:val="auto"/>
                <w:sz w:val="24"/>
                <w:highlight w:val="none"/>
              </w:rPr>
            </w:pPr>
            <w:r>
              <w:rPr>
                <w:rFonts w:cs="Arial" w:asciiTheme="minorEastAsia" w:hAnsiTheme="minorEastAsia"/>
                <w:color w:val="auto"/>
                <w:sz w:val="24"/>
                <w:highlight w:val="none"/>
              </w:rPr>
              <w:t>销售用户</w:t>
            </w:r>
          </w:p>
        </w:tc>
        <w:tc>
          <w:tcPr>
            <w:tcW w:w="2277" w:type="dxa"/>
            <w:vAlign w:val="center"/>
          </w:tcPr>
          <w:p w14:paraId="49850E68">
            <w:pPr>
              <w:spacing w:before="12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lang w:val="en-US" w:eastAsia="zh-CN"/>
              </w:rPr>
              <w:t>联系人及</w:t>
            </w:r>
            <w:r>
              <w:rPr>
                <w:rFonts w:cs="Arial" w:asciiTheme="minorEastAsia" w:hAnsiTheme="minorEastAsia"/>
                <w:color w:val="auto"/>
                <w:sz w:val="24"/>
                <w:highlight w:val="none"/>
              </w:rPr>
              <w:t>联系</w:t>
            </w:r>
            <w:r>
              <w:rPr>
                <w:rFonts w:hint="eastAsia" w:cs="Arial" w:asciiTheme="minorEastAsia" w:hAnsiTheme="minorEastAsia"/>
                <w:color w:val="auto"/>
                <w:sz w:val="24"/>
                <w:highlight w:val="none"/>
              </w:rPr>
              <w:t>电话</w:t>
            </w:r>
          </w:p>
        </w:tc>
        <w:tc>
          <w:tcPr>
            <w:tcW w:w="1938" w:type="dxa"/>
            <w:vAlign w:val="center"/>
          </w:tcPr>
          <w:p w14:paraId="030F8CA9">
            <w:pPr>
              <w:spacing w:before="120"/>
              <w:jc w:val="center"/>
              <w:rPr>
                <w:rFonts w:cs="Arial" w:asciiTheme="minorEastAsia" w:hAnsiTheme="minorEastAsia"/>
                <w:color w:val="auto"/>
                <w:sz w:val="24"/>
                <w:highlight w:val="none"/>
              </w:rPr>
            </w:pPr>
            <w:r>
              <w:rPr>
                <w:rFonts w:hint="eastAsia" w:cs="Arial" w:asciiTheme="minorEastAsia" w:hAnsiTheme="minorEastAsia"/>
                <w:color w:val="auto"/>
                <w:sz w:val="24"/>
                <w:highlight w:val="none"/>
              </w:rPr>
              <w:t>销售年份</w:t>
            </w:r>
          </w:p>
        </w:tc>
      </w:tr>
      <w:tr w14:paraId="0C4C18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DE849B0">
            <w:pPr>
              <w:spacing w:before="120"/>
              <w:jc w:val="center"/>
              <w:rPr>
                <w:rFonts w:cs="Arial" w:asciiTheme="minorEastAsia" w:hAnsiTheme="minorEastAsia"/>
                <w:color w:val="auto"/>
                <w:highlight w:val="none"/>
              </w:rPr>
            </w:pPr>
          </w:p>
        </w:tc>
        <w:tc>
          <w:tcPr>
            <w:tcW w:w="1950" w:type="dxa"/>
            <w:vAlign w:val="center"/>
          </w:tcPr>
          <w:p w14:paraId="2C1DB417">
            <w:pPr>
              <w:spacing w:before="120"/>
              <w:jc w:val="center"/>
              <w:rPr>
                <w:rFonts w:cs="Arial" w:asciiTheme="minorEastAsia" w:hAnsiTheme="minorEastAsia"/>
                <w:color w:val="auto"/>
                <w:highlight w:val="none"/>
              </w:rPr>
            </w:pPr>
          </w:p>
        </w:tc>
        <w:tc>
          <w:tcPr>
            <w:tcW w:w="2277" w:type="dxa"/>
            <w:vAlign w:val="center"/>
          </w:tcPr>
          <w:p w14:paraId="18F7DFC2">
            <w:pPr>
              <w:spacing w:before="120"/>
              <w:jc w:val="center"/>
              <w:rPr>
                <w:rFonts w:cs="Arial" w:asciiTheme="minorEastAsia" w:hAnsiTheme="minorEastAsia"/>
                <w:color w:val="auto"/>
                <w:highlight w:val="none"/>
              </w:rPr>
            </w:pPr>
          </w:p>
        </w:tc>
        <w:tc>
          <w:tcPr>
            <w:tcW w:w="1938" w:type="dxa"/>
            <w:vAlign w:val="center"/>
          </w:tcPr>
          <w:p w14:paraId="664CCE90">
            <w:pPr>
              <w:spacing w:before="120"/>
              <w:jc w:val="center"/>
              <w:rPr>
                <w:rFonts w:cs="Arial" w:asciiTheme="minorEastAsia" w:hAnsiTheme="minorEastAsia"/>
                <w:color w:val="auto"/>
                <w:highlight w:val="none"/>
              </w:rPr>
            </w:pPr>
          </w:p>
        </w:tc>
      </w:tr>
      <w:tr w14:paraId="157991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35AE38F1">
            <w:pPr>
              <w:spacing w:before="120"/>
              <w:jc w:val="center"/>
              <w:rPr>
                <w:rFonts w:cs="Arial" w:asciiTheme="minorEastAsia" w:hAnsiTheme="minorEastAsia"/>
                <w:color w:val="auto"/>
                <w:highlight w:val="none"/>
              </w:rPr>
            </w:pPr>
          </w:p>
        </w:tc>
        <w:tc>
          <w:tcPr>
            <w:tcW w:w="1950" w:type="dxa"/>
            <w:vAlign w:val="center"/>
          </w:tcPr>
          <w:p w14:paraId="4F3FAA40">
            <w:pPr>
              <w:spacing w:before="120"/>
              <w:jc w:val="center"/>
              <w:rPr>
                <w:rFonts w:cs="Arial" w:asciiTheme="minorEastAsia" w:hAnsiTheme="minorEastAsia"/>
                <w:color w:val="auto"/>
                <w:highlight w:val="none"/>
              </w:rPr>
            </w:pPr>
          </w:p>
        </w:tc>
        <w:tc>
          <w:tcPr>
            <w:tcW w:w="2277" w:type="dxa"/>
            <w:vAlign w:val="center"/>
          </w:tcPr>
          <w:p w14:paraId="2B078D28">
            <w:pPr>
              <w:spacing w:before="120"/>
              <w:jc w:val="center"/>
              <w:rPr>
                <w:rFonts w:cs="Arial" w:asciiTheme="minorEastAsia" w:hAnsiTheme="minorEastAsia"/>
                <w:color w:val="auto"/>
                <w:highlight w:val="none"/>
              </w:rPr>
            </w:pPr>
          </w:p>
        </w:tc>
        <w:tc>
          <w:tcPr>
            <w:tcW w:w="1938" w:type="dxa"/>
            <w:vAlign w:val="center"/>
          </w:tcPr>
          <w:p w14:paraId="0F96DA0A">
            <w:pPr>
              <w:spacing w:before="120"/>
              <w:jc w:val="center"/>
              <w:rPr>
                <w:rFonts w:cs="Arial" w:asciiTheme="minorEastAsia" w:hAnsiTheme="minorEastAsia"/>
                <w:color w:val="auto"/>
                <w:highlight w:val="none"/>
              </w:rPr>
            </w:pPr>
          </w:p>
        </w:tc>
      </w:tr>
      <w:tr w14:paraId="542E4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6174B15D">
            <w:pPr>
              <w:spacing w:before="120"/>
              <w:jc w:val="center"/>
              <w:rPr>
                <w:rFonts w:cs="Arial" w:asciiTheme="minorEastAsia" w:hAnsiTheme="minorEastAsia"/>
                <w:color w:val="auto"/>
                <w:highlight w:val="none"/>
              </w:rPr>
            </w:pPr>
          </w:p>
        </w:tc>
        <w:tc>
          <w:tcPr>
            <w:tcW w:w="1950" w:type="dxa"/>
            <w:vAlign w:val="center"/>
          </w:tcPr>
          <w:p w14:paraId="04C4BACC">
            <w:pPr>
              <w:spacing w:before="120"/>
              <w:jc w:val="center"/>
              <w:rPr>
                <w:rFonts w:cs="Arial" w:asciiTheme="minorEastAsia" w:hAnsiTheme="minorEastAsia"/>
                <w:color w:val="auto"/>
                <w:highlight w:val="none"/>
              </w:rPr>
            </w:pPr>
          </w:p>
        </w:tc>
        <w:tc>
          <w:tcPr>
            <w:tcW w:w="2277" w:type="dxa"/>
            <w:vAlign w:val="center"/>
          </w:tcPr>
          <w:p w14:paraId="2BFD981D">
            <w:pPr>
              <w:spacing w:before="120"/>
              <w:jc w:val="center"/>
              <w:rPr>
                <w:rFonts w:cs="Arial" w:asciiTheme="minorEastAsia" w:hAnsiTheme="minorEastAsia"/>
                <w:color w:val="auto"/>
                <w:highlight w:val="none"/>
              </w:rPr>
            </w:pPr>
          </w:p>
        </w:tc>
        <w:tc>
          <w:tcPr>
            <w:tcW w:w="1938" w:type="dxa"/>
            <w:vAlign w:val="center"/>
          </w:tcPr>
          <w:p w14:paraId="6ABAF854">
            <w:pPr>
              <w:spacing w:before="120"/>
              <w:jc w:val="center"/>
              <w:rPr>
                <w:rFonts w:cs="Arial" w:asciiTheme="minorEastAsia" w:hAnsiTheme="minorEastAsia"/>
                <w:color w:val="auto"/>
                <w:highlight w:val="none"/>
              </w:rPr>
            </w:pPr>
          </w:p>
        </w:tc>
      </w:tr>
      <w:tr w14:paraId="6D1317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199D74B5">
            <w:pPr>
              <w:spacing w:before="120"/>
              <w:jc w:val="center"/>
              <w:rPr>
                <w:rFonts w:cs="Arial" w:asciiTheme="minorEastAsia" w:hAnsiTheme="minorEastAsia"/>
                <w:color w:val="auto"/>
                <w:highlight w:val="none"/>
              </w:rPr>
            </w:pPr>
          </w:p>
        </w:tc>
        <w:tc>
          <w:tcPr>
            <w:tcW w:w="1950" w:type="dxa"/>
            <w:vAlign w:val="center"/>
          </w:tcPr>
          <w:p w14:paraId="6018911E">
            <w:pPr>
              <w:spacing w:before="120"/>
              <w:jc w:val="center"/>
              <w:rPr>
                <w:rFonts w:cs="Arial" w:asciiTheme="minorEastAsia" w:hAnsiTheme="minorEastAsia"/>
                <w:color w:val="auto"/>
                <w:highlight w:val="none"/>
              </w:rPr>
            </w:pPr>
          </w:p>
        </w:tc>
        <w:tc>
          <w:tcPr>
            <w:tcW w:w="2277" w:type="dxa"/>
            <w:vAlign w:val="center"/>
          </w:tcPr>
          <w:p w14:paraId="03A8E64B">
            <w:pPr>
              <w:spacing w:before="120"/>
              <w:jc w:val="center"/>
              <w:rPr>
                <w:rFonts w:cs="Arial" w:asciiTheme="minorEastAsia" w:hAnsiTheme="minorEastAsia"/>
                <w:color w:val="auto"/>
                <w:highlight w:val="none"/>
              </w:rPr>
            </w:pPr>
          </w:p>
        </w:tc>
        <w:tc>
          <w:tcPr>
            <w:tcW w:w="1938" w:type="dxa"/>
            <w:vAlign w:val="center"/>
          </w:tcPr>
          <w:p w14:paraId="2B491C74">
            <w:pPr>
              <w:spacing w:before="120"/>
              <w:jc w:val="center"/>
              <w:rPr>
                <w:rFonts w:cs="Arial" w:asciiTheme="minorEastAsia" w:hAnsiTheme="minorEastAsia"/>
                <w:color w:val="auto"/>
                <w:highlight w:val="none"/>
              </w:rPr>
            </w:pPr>
          </w:p>
        </w:tc>
      </w:tr>
      <w:tr w14:paraId="6D99A6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56660B22">
            <w:pPr>
              <w:spacing w:before="120"/>
              <w:jc w:val="center"/>
              <w:rPr>
                <w:rFonts w:cs="Arial" w:asciiTheme="minorEastAsia" w:hAnsiTheme="minorEastAsia"/>
                <w:color w:val="auto"/>
                <w:highlight w:val="none"/>
              </w:rPr>
            </w:pPr>
          </w:p>
        </w:tc>
        <w:tc>
          <w:tcPr>
            <w:tcW w:w="1950" w:type="dxa"/>
            <w:vAlign w:val="center"/>
          </w:tcPr>
          <w:p w14:paraId="0819E614">
            <w:pPr>
              <w:spacing w:before="120"/>
              <w:jc w:val="center"/>
              <w:rPr>
                <w:rFonts w:cs="Arial" w:asciiTheme="minorEastAsia" w:hAnsiTheme="minorEastAsia"/>
                <w:color w:val="auto"/>
                <w:highlight w:val="none"/>
              </w:rPr>
            </w:pPr>
          </w:p>
        </w:tc>
        <w:tc>
          <w:tcPr>
            <w:tcW w:w="2277" w:type="dxa"/>
            <w:vAlign w:val="center"/>
          </w:tcPr>
          <w:p w14:paraId="05E59BFD">
            <w:pPr>
              <w:spacing w:before="120"/>
              <w:jc w:val="center"/>
              <w:rPr>
                <w:rFonts w:cs="Arial" w:asciiTheme="minorEastAsia" w:hAnsiTheme="minorEastAsia"/>
                <w:color w:val="auto"/>
                <w:highlight w:val="none"/>
              </w:rPr>
            </w:pPr>
          </w:p>
        </w:tc>
        <w:tc>
          <w:tcPr>
            <w:tcW w:w="1938" w:type="dxa"/>
            <w:vAlign w:val="center"/>
          </w:tcPr>
          <w:p w14:paraId="18FE4E16">
            <w:pPr>
              <w:spacing w:before="120"/>
              <w:jc w:val="center"/>
              <w:rPr>
                <w:rFonts w:cs="Arial" w:asciiTheme="minorEastAsia" w:hAnsiTheme="minorEastAsia"/>
                <w:color w:val="auto"/>
                <w:highlight w:val="none"/>
              </w:rPr>
            </w:pPr>
          </w:p>
        </w:tc>
      </w:tr>
      <w:tr w14:paraId="3965A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713CBF6">
            <w:pPr>
              <w:spacing w:before="120"/>
              <w:jc w:val="center"/>
              <w:rPr>
                <w:rFonts w:cs="Arial" w:asciiTheme="minorEastAsia" w:hAnsiTheme="minorEastAsia"/>
                <w:color w:val="auto"/>
                <w:highlight w:val="none"/>
              </w:rPr>
            </w:pPr>
          </w:p>
        </w:tc>
        <w:tc>
          <w:tcPr>
            <w:tcW w:w="1950" w:type="dxa"/>
            <w:vAlign w:val="center"/>
          </w:tcPr>
          <w:p w14:paraId="07F54CE7">
            <w:pPr>
              <w:spacing w:before="120"/>
              <w:jc w:val="center"/>
              <w:rPr>
                <w:rFonts w:cs="Arial" w:asciiTheme="minorEastAsia" w:hAnsiTheme="minorEastAsia"/>
                <w:color w:val="auto"/>
                <w:highlight w:val="none"/>
              </w:rPr>
            </w:pPr>
          </w:p>
        </w:tc>
        <w:tc>
          <w:tcPr>
            <w:tcW w:w="2277" w:type="dxa"/>
            <w:vAlign w:val="center"/>
          </w:tcPr>
          <w:p w14:paraId="34BC542B">
            <w:pPr>
              <w:spacing w:before="120"/>
              <w:jc w:val="center"/>
              <w:rPr>
                <w:rFonts w:cs="Arial" w:asciiTheme="minorEastAsia" w:hAnsiTheme="minorEastAsia"/>
                <w:color w:val="auto"/>
                <w:highlight w:val="none"/>
              </w:rPr>
            </w:pPr>
          </w:p>
        </w:tc>
        <w:tc>
          <w:tcPr>
            <w:tcW w:w="1938" w:type="dxa"/>
            <w:vAlign w:val="center"/>
          </w:tcPr>
          <w:p w14:paraId="02DA0B90">
            <w:pPr>
              <w:spacing w:before="120"/>
              <w:jc w:val="center"/>
              <w:rPr>
                <w:rFonts w:cs="Arial" w:asciiTheme="minorEastAsia" w:hAnsiTheme="minorEastAsia"/>
                <w:color w:val="auto"/>
                <w:highlight w:val="none"/>
              </w:rPr>
            </w:pPr>
          </w:p>
        </w:tc>
      </w:tr>
      <w:tr w14:paraId="5A4C9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9044923">
            <w:pPr>
              <w:spacing w:before="120"/>
              <w:jc w:val="center"/>
              <w:rPr>
                <w:rFonts w:cs="Arial" w:asciiTheme="minorEastAsia" w:hAnsiTheme="minorEastAsia"/>
                <w:color w:val="auto"/>
                <w:highlight w:val="none"/>
              </w:rPr>
            </w:pPr>
          </w:p>
        </w:tc>
        <w:tc>
          <w:tcPr>
            <w:tcW w:w="1950" w:type="dxa"/>
            <w:vAlign w:val="center"/>
          </w:tcPr>
          <w:p w14:paraId="67A60464">
            <w:pPr>
              <w:spacing w:before="120"/>
              <w:jc w:val="center"/>
              <w:rPr>
                <w:rFonts w:cs="Arial" w:asciiTheme="minorEastAsia" w:hAnsiTheme="minorEastAsia"/>
                <w:color w:val="auto"/>
                <w:highlight w:val="none"/>
              </w:rPr>
            </w:pPr>
          </w:p>
        </w:tc>
        <w:tc>
          <w:tcPr>
            <w:tcW w:w="2277" w:type="dxa"/>
            <w:vAlign w:val="center"/>
          </w:tcPr>
          <w:p w14:paraId="292D55FE">
            <w:pPr>
              <w:spacing w:before="120"/>
              <w:jc w:val="center"/>
              <w:rPr>
                <w:rFonts w:cs="Arial" w:asciiTheme="minorEastAsia" w:hAnsiTheme="minorEastAsia"/>
                <w:color w:val="auto"/>
                <w:highlight w:val="none"/>
              </w:rPr>
            </w:pPr>
          </w:p>
        </w:tc>
        <w:tc>
          <w:tcPr>
            <w:tcW w:w="1938" w:type="dxa"/>
            <w:vAlign w:val="center"/>
          </w:tcPr>
          <w:p w14:paraId="45607252">
            <w:pPr>
              <w:spacing w:before="120"/>
              <w:jc w:val="center"/>
              <w:rPr>
                <w:rFonts w:cs="Arial" w:asciiTheme="minorEastAsia" w:hAnsiTheme="minorEastAsia"/>
                <w:color w:val="auto"/>
                <w:highlight w:val="none"/>
              </w:rPr>
            </w:pPr>
          </w:p>
        </w:tc>
      </w:tr>
      <w:tr w14:paraId="6BB6E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426" w:type="dxa"/>
            <w:vAlign w:val="center"/>
          </w:tcPr>
          <w:p w14:paraId="0C8AC544">
            <w:pPr>
              <w:spacing w:before="120"/>
              <w:jc w:val="center"/>
              <w:rPr>
                <w:rFonts w:cs="Arial" w:asciiTheme="minorEastAsia" w:hAnsiTheme="minorEastAsia"/>
                <w:color w:val="auto"/>
                <w:highlight w:val="none"/>
              </w:rPr>
            </w:pPr>
          </w:p>
        </w:tc>
        <w:tc>
          <w:tcPr>
            <w:tcW w:w="1950" w:type="dxa"/>
            <w:vAlign w:val="center"/>
          </w:tcPr>
          <w:p w14:paraId="56454432">
            <w:pPr>
              <w:spacing w:before="120"/>
              <w:jc w:val="center"/>
              <w:rPr>
                <w:rFonts w:cs="Arial" w:asciiTheme="minorEastAsia" w:hAnsiTheme="minorEastAsia"/>
                <w:color w:val="auto"/>
                <w:highlight w:val="none"/>
              </w:rPr>
            </w:pPr>
          </w:p>
        </w:tc>
        <w:tc>
          <w:tcPr>
            <w:tcW w:w="2277" w:type="dxa"/>
            <w:vAlign w:val="center"/>
          </w:tcPr>
          <w:p w14:paraId="6DF2BC41">
            <w:pPr>
              <w:spacing w:before="120"/>
              <w:jc w:val="center"/>
              <w:rPr>
                <w:rFonts w:cs="Arial" w:asciiTheme="minorEastAsia" w:hAnsiTheme="minorEastAsia"/>
                <w:color w:val="auto"/>
                <w:highlight w:val="none"/>
              </w:rPr>
            </w:pPr>
          </w:p>
        </w:tc>
        <w:tc>
          <w:tcPr>
            <w:tcW w:w="1938" w:type="dxa"/>
            <w:vAlign w:val="center"/>
          </w:tcPr>
          <w:p w14:paraId="475B0D71">
            <w:pPr>
              <w:spacing w:before="120"/>
              <w:jc w:val="center"/>
              <w:rPr>
                <w:rFonts w:cs="Arial" w:asciiTheme="minorEastAsia" w:hAnsiTheme="minorEastAsia"/>
                <w:color w:val="auto"/>
                <w:highlight w:val="none"/>
              </w:rPr>
            </w:pPr>
          </w:p>
        </w:tc>
      </w:tr>
    </w:tbl>
    <w:p w14:paraId="5501DBA1">
      <w:pPr>
        <w:spacing w:line="380" w:lineRule="exact"/>
        <w:rPr>
          <w:rFonts w:hint="default" w:eastAsia="宋体" w:asciiTheme="minorEastAsia" w:hAnsiTheme="minorEastAsia"/>
          <w:b/>
          <w:color w:val="auto"/>
          <w:szCs w:val="21"/>
          <w:highlight w:val="none"/>
          <w:lang w:val="en-US" w:eastAsia="zh-CN"/>
        </w:rPr>
      </w:pPr>
      <w:r>
        <w:rPr>
          <w:rFonts w:hint="eastAsia" w:asciiTheme="minorEastAsia" w:hAnsiTheme="minorEastAsia"/>
          <w:b/>
          <w:color w:val="auto"/>
          <w:szCs w:val="21"/>
          <w:highlight w:val="none"/>
        </w:rPr>
        <w:t>注：供应商需在本表后附</w:t>
      </w:r>
      <w:r>
        <w:rPr>
          <w:rFonts w:hint="eastAsia" w:asciiTheme="minorEastAsia" w:hAnsiTheme="minorEastAsia"/>
          <w:b/>
          <w:color w:val="auto"/>
          <w:szCs w:val="21"/>
          <w:highlight w:val="none"/>
          <w:lang w:val="en-US" w:eastAsia="zh-CN"/>
        </w:rPr>
        <w:t>销售业绩</w:t>
      </w:r>
      <w:r>
        <w:rPr>
          <w:rFonts w:hint="eastAsia" w:asciiTheme="minorEastAsia" w:hAnsiTheme="minorEastAsia"/>
          <w:b/>
          <w:color w:val="auto"/>
          <w:szCs w:val="21"/>
          <w:highlight w:val="none"/>
        </w:rPr>
        <w:t>合同</w:t>
      </w:r>
      <w:r>
        <w:rPr>
          <w:rFonts w:hint="eastAsia" w:asciiTheme="minorEastAsia" w:hAnsiTheme="minorEastAsia"/>
          <w:b/>
          <w:color w:val="auto"/>
          <w:szCs w:val="21"/>
          <w:highlight w:val="none"/>
          <w:lang w:val="en-US" w:eastAsia="zh-CN"/>
        </w:rPr>
        <w:t>。</w:t>
      </w:r>
    </w:p>
    <w:p w14:paraId="3330C6C8">
      <w:pPr>
        <w:pStyle w:val="9"/>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0BF1BA20">
      <w:pPr>
        <w:pStyle w:val="9"/>
        <w:spacing w:beforeAutospacing="0" w:afterAutospacing="0" w:line="480" w:lineRule="auto"/>
        <w:ind w:firstLine="472" w:firstLineChars="224"/>
        <w:jc w:val="both"/>
        <w:rPr>
          <w:rFonts w:hint="eastAsia" w:ascii="宋体" w:hAnsi="宋体" w:eastAsia="宋体" w:cs="宋体"/>
          <w:b/>
          <w:bCs w:val="0"/>
          <w:color w:val="auto"/>
          <w:sz w:val="21"/>
          <w:szCs w:val="21"/>
          <w:highlight w:val="none"/>
          <w:lang w:val="en-US" w:eastAsia="zh-CN"/>
        </w:rPr>
      </w:pPr>
    </w:p>
    <w:p w14:paraId="2836A963">
      <w:pPr>
        <w:pStyle w:val="9"/>
        <w:spacing w:beforeAutospacing="0" w:afterAutospacing="0" w:line="480" w:lineRule="auto"/>
        <w:ind w:firstLine="472" w:firstLineChars="224"/>
        <w:jc w:val="both"/>
        <w:rPr>
          <w:rFonts w:hint="eastAsia" w:ascii="宋体" w:hAnsi="宋体" w:eastAsia="宋体" w:cs="宋体"/>
          <w:b/>
          <w:bCs w:val="0"/>
          <w:color w:val="auto"/>
          <w:sz w:val="21"/>
          <w:szCs w:val="21"/>
          <w:highlight w:val="none"/>
          <w:lang w:val="en-US" w:eastAsia="zh-CN"/>
        </w:rPr>
      </w:pPr>
    </w:p>
    <w:p w14:paraId="335E608E">
      <w:pPr>
        <w:pStyle w:val="9"/>
        <w:spacing w:beforeAutospacing="0" w:afterAutospacing="0" w:line="480" w:lineRule="auto"/>
        <w:jc w:val="both"/>
        <w:rPr>
          <w:rFonts w:hint="eastAsia" w:ascii="宋体" w:hAnsi="宋体" w:eastAsia="宋体" w:cs="宋体"/>
          <w:b/>
          <w:bCs/>
          <w:color w:val="auto"/>
          <w:sz w:val="28"/>
          <w:szCs w:val="28"/>
          <w:highlight w:val="none"/>
        </w:rPr>
      </w:pPr>
      <w:r>
        <w:rPr>
          <w:rFonts w:hint="eastAsia" w:ascii="宋体" w:hAnsi="宋体" w:eastAsia="宋体" w:cs="宋体"/>
          <w:b/>
          <w:bCs w:val="0"/>
          <w:color w:val="auto"/>
          <w:sz w:val="24"/>
          <w:szCs w:val="24"/>
          <w:highlight w:val="none"/>
        </w:rPr>
        <w:t>9.</w:t>
      </w:r>
      <w:r>
        <w:rPr>
          <w:rFonts w:hint="eastAsia" w:cs="宋体"/>
          <w:b/>
          <w:bCs w:val="0"/>
          <w:color w:val="auto"/>
          <w:sz w:val="24"/>
          <w:szCs w:val="24"/>
          <w:highlight w:val="none"/>
          <w:lang w:val="en-US" w:eastAsia="zh-CN"/>
        </w:rPr>
        <w:t>4</w:t>
      </w:r>
      <w:r>
        <w:rPr>
          <w:rFonts w:hint="eastAsia" w:ascii="宋体" w:hAnsi="宋体" w:eastAsia="宋体" w:cs="宋体"/>
          <w:b/>
          <w:bCs w:val="0"/>
          <w:color w:val="auto"/>
          <w:sz w:val="24"/>
          <w:szCs w:val="24"/>
          <w:highlight w:val="none"/>
          <w:lang w:val="en-US" w:eastAsia="zh-CN"/>
        </w:rPr>
        <w:t xml:space="preserve"> 供应商认为其他应提供的证明材料</w:t>
      </w:r>
      <w:bookmarkEnd w:id="78"/>
    </w:p>
    <w:p w14:paraId="65739BF4">
      <w:pPr>
        <w:pStyle w:val="9"/>
        <w:spacing w:beforeAutospacing="0" w:afterAutospacing="0" w:line="480" w:lineRule="auto"/>
        <w:ind w:firstLine="540" w:firstLineChars="224"/>
        <w:jc w:val="both"/>
        <w:rPr>
          <w:rFonts w:hint="eastAsia" w:ascii="宋体" w:hAnsi="宋体" w:eastAsia="宋体" w:cs="宋体"/>
          <w:b/>
          <w:bCs/>
          <w:color w:val="auto"/>
          <w:highlight w:val="none"/>
        </w:rPr>
      </w:pPr>
    </w:p>
    <w:sectPr>
      <w:pgSz w:w="11906" w:h="16838"/>
      <w:pgMar w:top="1417" w:right="1474" w:bottom="1417" w:left="1474" w:header="851" w:footer="624" w:gutter="0"/>
      <w:pgBorders>
        <w:top w:val="none" w:sz="0" w:space="0"/>
        <w:left w:val="none" w:sz="0" w:space="0"/>
        <w:bottom w:val="none" w:sz="0" w:space="0"/>
        <w:right w:val="none" w:sz="0" w:space="0"/>
      </w:pgBorders>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EFEE69-38B9-4233-97D9-2837014E9BC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38AEE89E-B394-414D-AC36-61E22AEB51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1"/>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1"/>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1"/>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1"/>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1"/>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1D8B">
    <w:pPr>
      <w:pStyle w:val="22"/>
      <w:jc w:val="right"/>
      <w:rPr>
        <w:rFonts w:hint="eastAsia"/>
      </w:rPr>
    </w:pPr>
    <w:r>
      <w:rPr>
        <w:rFonts w:hint="eastAsia" w:ascii="宋体" w:hAnsi="宋体" w:cs="宋体"/>
        <w:color w:val="auto"/>
        <w:szCs w:val="21"/>
        <w:highlight w:val="none"/>
        <w:u w:val="none"/>
        <w:shd w:val="clear" w:color="auto" w:fill="FFFFFF"/>
        <w:lang w:val="en-US" w:eastAsia="zh-CN"/>
      </w:rPr>
      <w:t>驻马店市中心医院妇儿院区特殊医学用途儿童配方乳粉采购项目采购</w:t>
    </w:r>
    <w:r>
      <w:rPr>
        <w:rFonts w:hint="eastAsia"/>
      </w:rP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024B"/>
    <w:rsid w:val="000C1FF9"/>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5B84"/>
    <w:rsid w:val="00162EA5"/>
    <w:rsid w:val="001630D8"/>
    <w:rsid w:val="001641C5"/>
    <w:rsid w:val="001656CE"/>
    <w:rsid w:val="001669D4"/>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357D8"/>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4A62"/>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47DE1"/>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024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2E6D"/>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812"/>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C673F"/>
    <w:rsid w:val="00CD000D"/>
    <w:rsid w:val="00CD0D03"/>
    <w:rsid w:val="00CD0D99"/>
    <w:rsid w:val="00CD25AE"/>
    <w:rsid w:val="00CD2661"/>
    <w:rsid w:val="00CD2AD8"/>
    <w:rsid w:val="00CD341A"/>
    <w:rsid w:val="00CD3D11"/>
    <w:rsid w:val="00CD4F14"/>
    <w:rsid w:val="00CD5D67"/>
    <w:rsid w:val="00CD684B"/>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2F76"/>
    <w:rsid w:val="00E537C1"/>
    <w:rsid w:val="00E53F4F"/>
    <w:rsid w:val="00E552BC"/>
    <w:rsid w:val="00E60EF2"/>
    <w:rsid w:val="00E61CC7"/>
    <w:rsid w:val="00E645F8"/>
    <w:rsid w:val="00E653A3"/>
    <w:rsid w:val="00E661C5"/>
    <w:rsid w:val="00E66369"/>
    <w:rsid w:val="00E6759D"/>
    <w:rsid w:val="00E82A03"/>
    <w:rsid w:val="00E847C5"/>
    <w:rsid w:val="00E91DA8"/>
    <w:rsid w:val="00E92683"/>
    <w:rsid w:val="00E94B0A"/>
    <w:rsid w:val="00E95A32"/>
    <w:rsid w:val="00EA0507"/>
    <w:rsid w:val="00EA0EC3"/>
    <w:rsid w:val="00EA233A"/>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6BA"/>
    <w:rsid w:val="00FF5B28"/>
    <w:rsid w:val="00FF7C18"/>
    <w:rsid w:val="01001B5E"/>
    <w:rsid w:val="01076050"/>
    <w:rsid w:val="010C3DC8"/>
    <w:rsid w:val="011E110B"/>
    <w:rsid w:val="01525212"/>
    <w:rsid w:val="01564054"/>
    <w:rsid w:val="015C0A67"/>
    <w:rsid w:val="01626374"/>
    <w:rsid w:val="01745FBF"/>
    <w:rsid w:val="017E6D95"/>
    <w:rsid w:val="01822573"/>
    <w:rsid w:val="01853E11"/>
    <w:rsid w:val="018D0058"/>
    <w:rsid w:val="018D1D97"/>
    <w:rsid w:val="019376D8"/>
    <w:rsid w:val="01976717"/>
    <w:rsid w:val="019F1377"/>
    <w:rsid w:val="01D60B10"/>
    <w:rsid w:val="01D715BE"/>
    <w:rsid w:val="01EB45BC"/>
    <w:rsid w:val="01EC1D06"/>
    <w:rsid w:val="01F04981"/>
    <w:rsid w:val="01F9035B"/>
    <w:rsid w:val="01FA63A5"/>
    <w:rsid w:val="02011C7D"/>
    <w:rsid w:val="02035523"/>
    <w:rsid w:val="02160F0D"/>
    <w:rsid w:val="021653B1"/>
    <w:rsid w:val="02184C85"/>
    <w:rsid w:val="021C6E40"/>
    <w:rsid w:val="02222FF2"/>
    <w:rsid w:val="023615AF"/>
    <w:rsid w:val="02384FF4"/>
    <w:rsid w:val="023C4E17"/>
    <w:rsid w:val="023D0B8F"/>
    <w:rsid w:val="023F67A9"/>
    <w:rsid w:val="0247575A"/>
    <w:rsid w:val="025235B1"/>
    <w:rsid w:val="0261030A"/>
    <w:rsid w:val="0262674D"/>
    <w:rsid w:val="026B74AB"/>
    <w:rsid w:val="02747B01"/>
    <w:rsid w:val="027619AC"/>
    <w:rsid w:val="02890D36"/>
    <w:rsid w:val="02B97DFD"/>
    <w:rsid w:val="02C866AB"/>
    <w:rsid w:val="02CB7F49"/>
    <w:rsid w:val="02D92EF7"/>
    <w:rsid w:val="02DA4665"/>
    <w:rsid w:val="02ED6112"/>
    <w:rsid w:val="02F40325"/>
    <w:rsid w:val="02F4726F"/>
    <w:rsid w:val="02F56D74"/>
    <w:rsid w:val="02FA082F"/>
    <w:rsid w:val="031126C4"/>
    <w:rsid w:val="031C0676"/>
    <w:rsid w:val="0323019C"/>
    <w:rsid w:val="034733B8"/>
    <w:rsid w:val="03475E56"/>
    <w:rsid w:val="0353518A"/>
    <w:rsid w:val="035937A7"/>
    <w:rsid w:val="035E4919"/>
    <w:rsid w:val="036056EE"/>
    <w:rsid w:val="03675F31"/>
    <w:rsid w:val="036A009A"/>
    <w:rsid w:val="037A734D"/>
    <w:rsid w:val="037F2E04"/>
    <w:rsid w:val="03844805"/>
    <w:rsid w:val="03845791"/>
    <w:rsid w:val="039667A9"/>
    <w:rsid w:val="03A011E9"/>
    <w:rsid w:val="03AE7F27"/>
    <w:rsid w:val="03BC3316"/>
    <w:rsid w:val="03BD2BCD"/>
    <w:rsid w:val="03CC058D"/>
    <w:rsid w:val="03D34DCC"/>
    <w:rsid w:val="03E017D2"/>
    <w:rsid w:val="03F447E2"/>
    <w:rsid w:val="03F77068"/>
    <w:rsid w:val="03FB660C"/>
    <w:rsid w:val="03FF60FC"/>
    <w:rsid w:val="04066FA8"/>
    <w:rsid w:val="0415231B"/>
    <w:rsid w:val="042A6EF2"/>
    <w:rsid w:val="042E37DB"/>
    <w:rsid w:val="04416C20"/>
    <w:rsid w:val="044A0592"/>
    <w:rsid w:val="04575AAE"/>
    <w:rsid w:val="04732647"/>
    <w:rsid w:val="047968B1"/>
    <w:rsid w:val="04870542"/>
    <w:rsid w:val="04983E5B"/>
    <w:rsid w:val="049D6C81"/>
    <w:rsid w:val="04B30F7A"/>
    <w:rsid w:val="04C5285F"/>
    <w:rsid w:val="050E236F"/>
    <w:rsid w:val="0512137B"/>
    <w:rsid w:val="05121E5F"/>
    <w:rsid w:val="0523406D"/>
    <w:rsid w:val="054C0111"/>
    <w:rsid w:val="05545DD3"/>
    <w:rsid w:val="05571F68"/>
    <w:rsid w:val="05656433"/>
    <w:rsid w:val="056A52BC"/>
    <w:rsid w:val="056E2AD6"/>
    <w:rsid w:val="05720B50"/>
    <w:rsid w:val="05760640"/>
    <w:rsid w:val="05806815"/>
    <w:rsid w:val="058251D3"/>
    <w:rsid w:val="058B6B66"/>
    <w:rsid w:val="058C28F1"/>
    <w:rsid w:val="05945CCE"/>
    <w:rsid w:val="059652F0"/>
    <w:rsid w:val="059D05A4"/>
    <w:rsid w:val="059D5E17"/>
    <w:rsid w:val="059E1E1A"/>
    <w:rsid w:val="05A21435"/>
    <w:rsid w:val="05AB0A28"/>
    <w:rsid w:val="05AB0F81"/>
    <w:rsid w:val="05B93D6B"/>
    <w:rsid w:val="05C23EEE"/>
    <w:rsid w:val="05C313AC"/>
    <w:rsid w:val="05CA4074"/>
    <w:rsid w:val="05D53002"/>
    <w:rsid w:val="05D75738"/>
    <w:rsid w:val="05EB110D"/>
    <w:rsid w:val="05EB4481"/>
    <w:rsid w:val="05EB48F5"/>
    <w:rsid w:val="05EC26B0"/>
    <w:rsid w:val="05EC445F"/>
    <w:rsid w:val="05F17CC7"/>
    <w:rsid w:val="05F23A3F"/>
    <w:rsid w:val="05FC520E"/>
    <w:rsid w:val="06020D60"/>
    <w:rsid w:val="060E737E"/>
    <w:rsid w:val="061E7D14"/>
    <w:rsid w:val="0627193B"/>
    <w:rsid w:val="06304C93"/>
    <w:rsid w:val="06446B44"/>
    <w:rsid w:val="06560AED"/>
    <w:rsid w:val="066469C9"/>
    <w:rsid w:val="066646A1"/>
    <w:rsid w:val="06695AAF"/>
    <w:rsid w:val="066E164D"/>
    <w:rsid w:val="06896151"/>
    <w:rsid w:val="068D56CD"/>
    <w:rsid w:val="068E7B23"/>
    <w:rsid w:val="06983B20"/>
    <w:rsid w:val="069A3B66"/>
    <w:rsid w:val="06A869D6"/>
    <w:rsid w:val="06A9264E"/>
    <w:rsid w:val="06B07B82"/>
    <w:rsid w:val="06B31420"/>
    <w:rsid w:val="06B91765"/>
    <w:rsid w:val="06BF7DC5"/>
    <w:rsid w:val="06CA2AD2"/>
    <w:rsid w:val="06CB0518"/>
    <w:rsid w:val="06CB0D68"/>
    <w:rsid w:val="06CE3071"/>
    <w:rsid w:val="06D33DBA"/>
    <w:rsid w:val="06D73361"/>
    <w:rsid w:val="06E13F9F"/>
    <w:rsid w:val="06FB0AC5"/>
    <w:rsid w:val="06FE7278"/>
    <w:rsid w:val="070D2D5D"/>
    <w:rsid w:val="07104A12"/>
    <w:rsid w:val="07111B8D"/>
    <w:rsid w:val="07260519"/>
    <w:rsid w:val="072916E2"/>
    <w:rsid w:val="072C5514"/>
    <w:rsid w:val="0737768A"/>
    <w:rsid w:val="074A5B92"/>
    <w:rsid w:val="075D0147"/>
    <w:rsid w:val="075E3193"/>
    <w:rsid w:val="078E18EB"/>
    <w:rsid w:val="07AA2823"/>
    <w:rsid w:val="07AC3BD8"/>
    <w:rsid w:val="07B02D9F"/>
    <w:rsid w:val="07B10EA5"/>
    <w:rsid w:val="07C510CB"/>
    <w:rsid w:val="07CD6512"/>
    <w:rsid w:val="07CE3FA1"/>
    <w:rsid w:val="07EC2ECB"/>
    <w:rsid w:val="07FE66CB"/>
    <w:rsid w:val="08057A5A"/>
    <w:rsid w:val="08071A24"/>
    <w:rsid w:val="080B4D47"/>
    <w:rsid w:val="08144141"/>
    <w:rsid w:val="081B727D"/>
    <w:rsid w:val="081D2FF5"/>
    <w:rsid w:val="08321601"/>
    <w:rsid w:val="08326375"/>
    <w:rsid w:val="08390122"/>
    <w:rsid w:val="083D5C91"/>
    <w:rsid w:val="0847191F"/>
    <w:rsid w:val="084F5828"/>
    <w:rsid w:val="08591DC3"/>
    <w:rsid w:val="085B58CB"/>
    <w:rsid w:val="085E7023"/>
    <w:rsid w:val="08672793"/>
    <w:rsid w:val="08695E80"/>
    <w:rsid w:val="08716E9D"/>
    <w:rsid w:val="087C4541"/>
    <w:rsid w:val="087E5595"/>
    <w:rsid w:val="08955281"/>
    <w:rsid w:val="08A92ADB"/>
    <w:rsid w:val="08BC0A60"/>
    <w:rsid w:val="08C52D6F"/>
    <w:rsid w:val="08CB0CA3"/>
    <w:rsid w:val="08E42BE4"/>
    <w:rsid w:val="08EB30F3"/>
    <w:rsid w:val="08EF0201"/>
    <w:rsid w:val="08F41DE8"/>
    <w:rsid w:val="08FB2C0B"/>
    <w:rsid w:val="090221EB"/>
    <w:rsid w:val="093D1475"/>
    <w:rsid w:val="094840A2"/>
    <w:rsid w:val="09491BC8"/>
    <w:rsid w:val="0952109C"/>
    <w:rsid w:val="09644C54"/>
    <w:rsid w:val="09737462"/>
    <w:rsid w:val="09766415"/>
    <w:rsid w:val="098B21E0"/>
    <w:rsid w:val="099156C3"/>
    <w:rsid w:val="099A0675"/>
    <w:rsid w:val="09A33F5B"/>
    <w:rsid w:val="09A53F39"/>
    <w:rsid w:val="09A60E13"/>
    <w:rsid w:val="09A82D92"/>
    <w:rsid w:val="09AB2883"/>
    <w:rsid w:val="09AF4FD9"/>
    <w:rsid w:val="09C35E1E"/>
    <w:rsid w:val="09CD0A4B"/>
    <w:rsid w:val="09D206F0"/>
    <w:rsid w:val="09D27E0F"/>
    <w:rsid w:val="09E45D6B"/>
    <w:rsid w:val="0A0D0E47"/>
    <w:rsid w:val="0A287A2F"/>
    <w:rsid w:val="0A321AC2"/>
    <w:rsid w:val="0A343D4E"/>
    <w:rsid w:val="0A344626"/>
    <w:rsid w:val="0A3E25DB"/>
    <w:rsid w:val="0A3E6D2E"/>
    <w:rsid w:val="0A4232E4"/>
    <w:rsid w:val="0A4C7BC2"/>
    <w:rsid w:val="0A4F145F"/>
    <w:rsid w:val="0A7964DD"/>
    <w:rsid w:val="0A8455AD"/>
    <w:rsid w:val="0A8729A8"/>
    <w:rsid w:val="0A9450C5"/>
    <w:rsid w:val="0AA90B70"/>
    <w:rsid w:val="0ABA2D7D"/>
    <w:rsid w:val="0AD13A85"/>
    <w:rsid w:val="0AE0655C"/>
    <w:rsid w:val="0B091954"/>
    <w:rsid w:val="0B195776"/>
    <w:rsid w:val="0B1A7CC0"/>
    <w:rsid w:val="0B224DC6"/>
    <w:rsid w:val="0B34773E"/>
    <w:rsid w:val="0B3B7D65"/>
    <w:rsid w:val="0B434C20"/>
    <w:rsid w:val="0B534F80"/>
    <w:rsid w:val="0B5F0822"/>
    <w:rsid w:val="0B637D77"/>
    <w:rsid w:val="0B6B6A4F"/>
    <w:rsid w:val="0B7006C4"/>
    <w:rsid w:val="0B726646"/>
    <w:rsid w:val="0B7606E8"/>
    <w:rsid w:val="0B837613"/>
    <w:rsid w:val="0B8B471A"/>
    <w:rsid w:val="0B8E420A"/>
    <w:rsid w:val="0B924545"/>
    <w:rsid w:val="0BAC324F"/>
    <w:rsid w:val="0BB35A1E"/>
    <w:rsid w:val="0BB40DF1"/>
    <w:rsid w:val="0BC11EE9"/>
    <w:rsid w:val="0BCC62FA"/>
    <w:rsid w:val="0BF16C73"/>
    <w:rsid w:val="0BF72F1E"/>
    <w:rsid w:val="0C0A7D34"/>
    <w:rsid w:val="0C230DF6"/>
    <w:rsid w:val="0C3152C1"/>
    <w:rsid w:val="0C336D77"/>
    <w:rsid w:val="0C3957A5"/>
    <w:rsid w:val="0C4E6409"/>
    <w:rsid w:val="0C507E2F"/>
    <w:rsid w:val="0C5A7F58"/>
    <w:rsid w:val="0C600D66"/>
    <w:rsid w:val="0C626DA7"/>
    <w:rsid w:val="0C6876AE"/>
    <w:rsid w:val="0C71390F"/>
    <w:rsid w:val="0C720EC8"/>
    <w:rsid w:val="0C820A5E"/>
    <w:rsid w:val="0C87121B"/>
    <w:rsid w:val="0C880C59"/>
    <w:rsid w:val="0C942042"/>
    <w:rsid w:val="0C9C5EA0"/>
    <w:rsid w:val="0C9D50DC"/>
    <w:rsid w:val="0CA5271D"/>
    <w:rsid w:val="0CAC4D10"/>
    <w:rsid w:val="0CC53C5B"/>
    <w:rsid w:val="0CC72121"/>
    <w:rsid w:val="0CC9374C"/>
    <w:rsid w:val="0CDF2F6F"/>
    <w:rsid w:val="0CEE5A21"/>
    <w:rsid w:val="0CEF1BE9"/>
    <w:rsid w:val="0CF0217F"/>
    <w:rsid w:val="0D05268E"/>
    <w:rsid w:val="0D0646E7"/>
    <w:rsid w:val="0D0C38CA"/>
    <w:rsid w:val="0D206810"/>
    <w:rsid w:val="0D474670"/>
    <w:rsid w:val="0D4861FD"/>
    <w:rsid w:val="0D660F9A"/>
    <w:rsid w:val="0D735465"/>
    <w:rsid w:val="0D9D0734"/>
    <w:rsid w:val="0DC577E0"/>
    <w:rsid w:val="0DDC6319"/>
    <w:rsid w:val="0DE1181F"/>
    <w:rsid w:val="0DF447F8"/>
    <w:rsid w:val="0DFA5B87"/>
    <w:rsid w:val="0DFE4F67"/>
    <w:rsid w:val="0E06277D"/>
    <w:rsid w:val="0E0C0D4C"/>
    <w:rsid w:val="0E0F1632"/>
    <w:rsid w:val="0E115DA1"/>
    <w:rsid w:val="0E1409F6"/>
    <w:rsid w:val="0E147118"/>
    <w:rsid w:val="0E162D6D"/>
    <w:rsid w:val="0E2949C6"/>
    <w:rsid w:val="0E460DCC"/>
    <w:rsid w:val="0E484B44"/>
    <w:rsid w:val="0E5055E0"/>
    <w:rsid w:val="0E541CA2"/>
    <w:rsid w:val="0E576B35"/>
    <w:rsid w:val="0E594756"/>
    <w:rsid w:val="0E6A3AEA"/>
    <w:rsid w:val="0E72571D"/>
    <w:rsid w:val="0E8F2773"/>
    <w:rsid w:val="0E921DE2"/>
    <w:rsid w:val="0E95596D"/>
    <w:rsid w:val="0EA0188B"/>
    <w:rsid w:val="0EAE6205"/>
    <w:rsid w:val="0EAE6579"/>
    <w:rsid w:val="0EAF4BC3"/>
    <w:rsid w:val="0EAF71BF"/>
    <w:rsid w:val="0EBE2C52"/>
    <w:rsid w:val="0ECE6257"/>
    <w:rsid w:val="0EE24651"/>
    <w:rsid w:val="0EE4129D"/>
    <w:rsid w:val="0EF34AB0"/>
    <w:rsid w:val="0F0B7106"/>
    <w:rsid w:val="0F0E3698"/>
    <w:rsid w:val="0F16376C"/>
    <w:rsid w:val="0F171032"/>
    <w:rsid w:val="0F335E69"/>
    <w:rsid w:val="0F372614"/>
    <w:rsid w:val="0F3D59C9"/>
    <w:rsid w:val="0F515A6B"/>
    <w:rsid w:val="0F516D5A"/>
    <w:rsid w:val="0F565B36"/>
    <w:rsid w:val="0F684933"/>
    <w:rsid w:val="0F6E2388"/>
    <w:rsid w:val="0F7A0D2D"/>
    <w:rsid w:val="0F821E7D"/>
    <w:rsid w:val="0FB3423F"/>
    <w:rsid w:val="0FC91CB4"/>
    <w:rsid w:val="0FCA42ED"/>
    <w:rsid w:val="0FDB5F4F"/>
    <w:rsid w:val="0FE7592C"/>
    <w:rsid w:val="0FF3288D"/>
    <w:rsid w:val="0FFC17A5"/>
    <w:rsid w:val="0FFD20F0"/>
    <w:rsid w:val="10142F30"/>
    <w:rsid w:val="10194D1A"/>
    <w:rsid w:val="10352857"/>
    <w:rsid w:val="103E6E57"/>
    <w:rsid w:val="1041497B"/>
    <w:rsid w:val="104259C4"/>
    <w:rsid w:val="10425FF6"/>
    <w:rsid w:val="104B4477"/>
    <w:rsid w:val="106612B1"/>
    <w:rsid w:val="107F508E"/>
    <w:rsid w:val="109010E6"/>
    <w:rsid w:val="10B271F4"/>
    <w:rsid w:val="10B537CC"/>
    <w:rsid w:val="10B97633"/>
    <w:rsid w:val="10BC7123"/>
    <w:rsid w:val="10C61D50"/>
    <w:rsid w:val="10C8275C"/>
    <w:rsid w:val="10C86D3B"/>
    <w:rsid w:val="10D97CD5"/>
    <w:rsid w:val="10E03539"/>
    <w:rsid w:val="10E36DA6"/>
    <w:rsid w:val="10E82D1F"/>
    <w:rsid w:val="10EE5C94"/>
    <w:rsid w:val="10F5757C"/>
    <w:rsid w:val="10F93ED3"/>
    <w:rsid w:val="11131439"/>
    <w:rsid w:val="111D7BC2"/>
    <w:rsid w:val="11250F40"/>
    <w:rsid w:val="112A0531"/>
    <w:rsid w:val="113329E7"/>
    <w:rsid w:val="113F294C"/>
    <w:rsid w:val="11437C85"/>
    <w:rsid w:val="11575085"/>
    <w:rsid w:val="116021A5"/>
    <w:rsid w:val="1166372C"/>
    <w:rsid w:val="11700D10"/>
    <w:rsid w:val="1178125A"/>
    <w:rsid w:val="118441E0"/>
    <w:rsid w:val="1196056D"/>
    <w:rsid w:val="119C228C"/>
    <w:rsid w:val="11B85B3D"/>
    <w:rsid w:val="11CD20A0"/>
    <w:rsid w:val="11D34654"/>
    <w:rsid w:val="11E61731"/>
    <w:rsid w:val="11FC3C7B"/>
    <w:rsid w:val="12010480"/>
    <w:rsid w:val="12062D4C"/>
    <w:rsid w:val="120E707F"/>
    <w:rsid w:val="121D0051"/>
    <w:rsid w:val="12266F4A"/>
    <w:rsid w:val="12413D84"/>
    <w:rsid w:val="126A50AF"/>
    <w:rsid w:val="127A7D1C"/>
    <w:rsid w:val="12836D8B"/>
    <w:rsid w:val="12902616"/>
    <w:rsid w:val="12993BC0"/>
    <w:rsid w:val="12AB0349"/>
    <w:rsid w:val="12B66520"/>
    <w:rsid w:val="12C176D6"/>
    <w:rsid w:val="12CD57F1"/>
    <w:rsid w:val="12CE5941"/>
    <w:rsid w:val="12CE7AFA"/>
    <w:rsid w:val="12D469A6"/>
    <w:rsid w:val="12D67466"/>
    <w:rsid w:val="12FC6184"/>
    <w:rsid w:val="13036052"/>
    <w:rsid w:val="130A61F8"/>
    <w:rsid w:val="13272A5D"/>
    <w:rsid w:val="132A2A6A"/>
    <w:rsid w:val="133032AB"/>
    <w:rsid w:val="13367661"/>
    <w:rsid w:val="133B6A25"/>
    <w:rsid w:val="133C40E3"/>
    <w:rsid w:val="133F4BFF"/>
    <w:rsid w:val="13410069"/>
    <w:rsid w:val="1347448C"/>
    <w:rsid w:val="13477178"/>
    <w:rsid w:val="13493108"/>
    <w:rsid w:val="134A4EBA"/>
    <w:rsid w:val="13713CFE"/>
    <w:rsid w:val="13733928"/>
    <w:rsid w:val="13741F37"/>
    <w:rsid w:val="13833F28"/>
    <w:rsid w:val="13857CA0"/>
    <w:rsid w:val="138F10FE"/>
    <w:rsid w:val="13920D68"/>
    <w:rsid w:val="139C16C9"/>
    <w:rsid w:val="13A5238E"/>
    <w:rsid w:val="13B63CE1"/>
    <w:rsid w:val="13BC6684"/>
    <w:rsid w:val="13C62793"/>
    <w:rsid w:val="13C72B3A"/>
    <w:rsid w:val="13D12EE6"/>
    <w:rsid w:val="13DA623E"/>
    <w:rsid w:val="13DF575E"/>
    <w:rsid w:val="13E470BD"/>
    <w:rsid w:val="13EB21F9"/>
    <w:rsid w:val="13EE3A98"/>
    <w:rsid w:val="13F3280A"/>
    <w:rsid w:val="13FA0E17"/>
    <w:rsid w:val="13FB7F63"/>
    <w:rsid w:val="140D6614"/>
    <w:rsid w:val="14164D9C"/>
    <w:rsid w:val="142123F7"/>
    <w:rsid w:val="142A11D8"/>
    <w:rsid w:val="142E34B0"/>
    <w:rsid w:val="144B544C"/>
    <w:rsid w:val="145B7B45"/>
    <w:rsid w:val="14627FE2"/>
    <w:rsid w:val="14717443"/>
    <w:rsid w:val="14795A57"/>
    <w:rsid w:val="14825F8A"/>
    <w:rsid w:val="14887A48"/>
    <w:rsid w:val="148C70AD"/>
    <w:rsid w:val="148D52E3"/>
    <w:rsid w:val="14922675"/>
    <w:rsid w:val="14992B90"/>
    <w:rsid w:val="149F10C7"/>
    <w:rsid w:val="14AD3953"/>
    <w:rsid w:val="14AF1856"/>
    <w:rsid w:val="14AF19A3"/>
    <w:rsid w:val="14B22D17"/>
    <w:rsid w:val="14B53957"/>
    <w:rsid w:val="14BF5DB6"/>
    <w:rsid w:val="14C53ECE"/>
    <w:rsid w:val="14CF6CB0"/>
    <w:rsid w:val="14D10E8D"/>
    <w:rsid w:val="14D72A6E"/>
    <w:rsid w:val="14DB04C0"/>
    <w:rsid w:val="14DC5FE6"/>
    <w:rsid w:val="14DE1D5E"/>
    <w:rsid w:val="14E002E6"/>
    <w:rsid w:val="14FC36BD"/>
    <w:rsid w:val="14FF5EA7"/>
    <w:rsid w:val="15054F9B"/>
    <w:rsid w:val="151237B6"/>
    <w:rsid w:val="15127C5A"/>
    <w:rsid w:val="15192D96"/>
    <w:rsid w:val="151E03AD"/>
    <w:rsid w:val="151E3A0F"/>
    <w:rsid w:val="152534E9"/>
    <w:rsid w:val="152A4FA3"/>
    <w:rsid w:val="1534197E"/>
    <w:rsid w:val="153A36AA"/>
    <w:rsid w:val="15477903"/>
    <w:rsid w:val="1557566D"/>
    <w:rsid w:val="1565422D"/>
    <w:rsid w:val="156E0971"/>
    <w:rsid w:val="15785B3E"/>
    <w:rsid w:val="15811F1B"/>
    <w:rsid w:val="15910B7E"/>
    <w:rsid w:val="15A30135"/>
    <w:rsid w:val="15A34015"/>
    <w:rsid w:val="15A703A2"/>
    <w:rsid w:val="15BB487B"/>
    <w:rsid w:val="15CE086D"/>
    <w:rsid w:val="15D26F32"/>
    <w:rsid w:val="15E2236F"/>
    <w:rsid w:val="15E74C42"/>
    <w:rsid w:val="16005D04"/>
    <w:rsid w:val="161517B0"/>
    <w:rsid w:val="161D09ED"/>
    <w:rsid w:val="162323A3"/>
    <w:rsid w:val="162F30B1"/>
    <w:rsid w:val="1650762F"/>
    <w:rsid w:val="16510F12"/>
    <w:rsid w:val="166448F9"/>
    <w:rsid w:val="1677211D"/>
    <w:rsid w:val="16774218"/>
    <w:rsid w:val="167954F9"/>
    <w:rsid w:val="169311EC"/>
    <w:rsid w:val="169C5A2D"/>
    <w:rsid w:val="169F7296"/>
    <w:rsid w:val="16A060BA"/>
    <w:rsid w:val="16A57EAF"/>
    <w:rsid w:val="16A918E4"/>
    <w:rsid w:val="16AC6E3F"/>
    <w:rsid w:val="16AE652A"/>
    <w:rsid w:val="16B56AEF"/>
    <w:rsid w:val="16B74615"/>
    <w:rsid w:val="16C872D5"/>
    <w:rsid w:val="16D54FA3"/>
    <w:rsid w:val="16D84D9F"/>
    <w:rsid w:val="16E94D3E"/>
    <w:rsid w:val="170D06E0"/>
    <w:rsid w:val="17233E03"/>
    <w:rsid w:val="17263548"/>
    <w:rsid w:val="17332185"/>
    <w:rsid w:val="17475951"/>
    <w:rsid w:val="175B7696"/>
    <w:rsid w:val="175C542D"/>
    <w:rsid w:val="175D0ED4"/>
    <w:rsid w:val="1767428D"/>
    <w:rsid w:val="17681DB3"/>
    <w:rsid w:val="176F6C9D"/>
    <w:rsid w:val="17793FC0"/>
    <w:rsid w:val="179D33A9"/>
    <w:rsid w:val="179F2E61"/>
    <w:rsid w:val="17A06264"/>
    <w:rsid w:val="17BE19D3"/>
    <w:rsid w:val="17C227C0"/>
    <w:rsid w:val="17D567AE"/>
    <w:rsid w:val="17D66D7C"/>
    <w:rsid w:val="17DE0EDF"/>
    <w:rsid w:val="17EE5BFF"/>
    <w:rsid w:val="17FA6EAF"/>
    <w:rsid w:val="18027B12"/>
    <w:rsid w:val="18097740"/>
    <w:rsid w:val="18136133"/>
    <w:rsid w:val="181B6E25"/>
    <w:rsid w:val="184055B9"/>
    <w:rsid w:val="184A2082"/>
    <w:rsid w:val="185A16FC"/>
    <w:rsid w:val="185D3C42"/>
    <w:rsid w:val="185F38AF"/>
    <w:rsid w:val="18694035"/>
    <w:rsid w:val="18864631"/>
    <w:rsid w:val="188F0211"/>
    <w:rsid w:val="18AD1BEB"/>
    <w:rsid w:val="18B3004A"/>
    <w:rsid w:val="18B31B6D"/>
    <w:rsid w:val="18B83CF9"/>
    <w:rsid w:val="18B96080"/>
    <w:rsid w:val="18CB43A7"/>
    <w:rsid w:val="18CE20EA"/>
    <w:rsid w:val="18DB2CD8"/>
    <w:rsid w:val="18F67868"/>
    <w:rsid w:val="190B2D88"/>
    <w:rsid w:val="190E6B63"/>
    <w:rsid w:val="19123928"/>
    <w:rsid w:val="19153926"/>
    <w:rsid w:val="19194264"/>
    <w:rsid w:val="191D00C0"/>
    <w:rsid w:val="191F7A42"/>
    <w:rsid w:val="19283048"/>
    <w:rsid w:val="192B3098"/>
    <w:rsid w:val="19377C8F"/>
    <w:rsid w:val="19420786"/>
    <w:rsid w:val="19427EC0"/>
    <w:rsid w:val="195711D7"/>
    <w:rsid w:val="195D2A3F"/>
    <w:rsid w:val="19600F94"/>
    <w:rsid w:val="19602A23"/>
    <w:rsid w:val="198310E9"/>
    <w:rsid w:val="198D747A"/>
    <w:rsid w:val="19A15638"/>
    <w:rsid w:val="19A74DFE"/>
    <w:rsid w:val="19A753EF"/>
    <w:rsid w:val="19B117EF"/>
    <w:rsid w:val="19B843A9"/>
    <w:rsid w:val="1A125525"/>
    <w:rsid w:val="1A3A17E5"/>
    <w:rsid w:val="1A5F4342"/>
    <w:rsid w:val="1A616E2C"/>
    <w:rsid w:val="1A715D02"/>
    <w:rsid w:val="1A7D0B0E"/>
    <w:rsid w:val="1A7F369B"/>
    <w:rsid w:val="1A862C7C"/>
    <w:rsid w:val="1A8C5D82"/>
    <w:rsid w:val="1A907657"/>
    <w:rsid w:val="1A994988"/>
    <w:rsid w:val="1A9B546C"/>
    <w:rsid w:val="1A9E141F"/>
    <w:rsid w:val="1AA3511F"/>
    <w:rsid w:val="1AAE3B54"/>
    <w:rsid w:val="1AC10987"/>
    <w:rsid w:val="1AC92B69"/>
    <w:rsid w:val="1ACD08AB"/>
    <w:rsid w:val="1AD81468"/>
    <w:rsid w:val="1AEB6F83"/>
    <w:rsid w:val="1AF20F2C"/>
    <w:rsid w:val="1AF423FA"/>
    <w:rsid w:val="1AFF658A"/>
    <w:rsid w:val="1B0C5B32"/>
    <w:rsid w:val="1B0D3E82"/>
    <w:rsid w:val="1B1464DA"/>
    <w:rsid w:val="1B157B5C"/>
    <w:rsid w:val="1B1652AB"/>
    <w:rsid w:val="1B181CD5"/>
    <w:rsid w:val="1B265306"/>
    <w:rsid w:val="1B283D33"/>
    <w:rsid w:val="1B2F579C"/>
    <w:rsid w:val="1B4346C9"/>
    <w:rsid w:val="1B486183"/>
    <w:rsid w:val="1B4F2450"/>
    <w:rsid w:val="1B50619C"/>
    <w:rsid w:val="1B530868"/>
    <w:rsid w:val="1B6034CD"/>
    <w:rsid w:val="1B6573E8"/>
    <w:rsid w:val="1B6922A5"/>
    <w:rsid w:val="1B701236"/>
    <w:rsid w:val="1B721452"/>
    <w:rsid w:val="1B724FAE"/>
    <w:rsid w:val="1B8C18B7"/>
    <w:rsid w:val="1BB73AE1"/>
    <w:rsid w:val="1BD619E1"/>
    <w:rsid w:val="1BDA6D68"/>
    <w:rsid w:val="1BF14125"/>
    <w:rsid w:val="1C002CEE"/>
    <w:rsid w:val="1C180F75"/>
    <w:rsid w:val="1C24274C"/>
    <w:rsid w:val="1C27223D"/>
    <w:rsid w:val="1C273FEB"/>
    <w:rsid w:val="1C2E35CB"/>
    <w:rsid w:val="1C3861F8"/>
    <w:rsid w:val="1C4032FE"/>
    <w:rsid w:val="1C424981"/>
    <w:rsid w:val="1C4E77C9"/>
    <w:rsid w:val="1C555978"/>
    <w:rsid w:val="1C6554A1"/>
    <w:rsid w:val="1C705992"/>
    <w:rsid w:val="1C7971B7"/>
    <w:rsid w:val="1C8036FB"/>
    <w:rsid w:val="1C872CDB"/>
    <w:rsid w:val="1C917D91"/>
    <w:rsid w:val="1CA473E9"/>
    <w:rsid w:val="1CAB1D11"/>
    <w:rsid w:val="1CAB2820"/>
    <w:rsid w:val="1CB57848"/>
    <w:rsid w:val="1CD402EC"/>
    <w:rsid w:val="1CD76EF2"/>
    <w:rsid w:val="1CDF6F49"/>
    <w:rsid w:val="1CE7377A"/>
    <w:rsid w:val="1CED16EF"/>
    <w:rsid w:val="1CF02333"/>
    <w:rsid w:val="1D036806"/>
    <w:rsid w:val="1D047E88"/>
    <w:rsid w:val="1D0C33A2"/>
    <w:rsid w:val="1D0C4F8F"/>
    <w:rsid w:val="1D113E6E"/>
    <w:rsid w:val="1D114E5E"/>
    <w:rsid w:val="1D1F0050"/>
    <w:rsid w:val="1D214EDE"/>
    <w:rsid w:val="1D2222DC"/>
    <w:rsid w:val="1D320E99"/>
    <w:rsid w:val="1D3544E5"/>
    <w:rsid w:val="1D5144F7"/>
    <w:rsid w:val="1D5B3CDE"/>
    <w:rsid w:val="1D5D0701"/>
    <w:rsid w:val="1D6E2950"/>
    <w:rsid w:val="1D79298C"/>
    <w:rsid w:val="1D864D41"/>
    <w:rsid w:val="1D98209B"/>
    <w:rsid w:val="1DA23746"/>
    <w:rsid w:val="1DAA14B9"/>
    <w:rsid w:val="1DD04513"/>
    <w:rsid w:val="1DD41F50"/>
    <w:rsid w:val="1DD8524D"/>
    <w:rsid w:val="1DDD2BCB"/>
    <w:rsid w:val="1E002D45"/>
    <w:rsid w:val="1E0345E3"/>
    <w:rsid w:val="1E1B7B7F"/>
    <w:rsid w:val="1E443370"/>
    <w:rsid w:val="1E4766DC"/>
    <w:rsid w:val="1E4C3240"/>
    <w:rsid w:val="1E656063"/>
    <w:rsid w:val="1E6B06A5"/>
    <w:rsid w:val="1E6E02FD"/>
    <w:rsid w:val="1E7554E1"/>
    <w:rsid w:val="1E7F7D9E"/>
    <w:rsid w:val="1E840DA4"/>
    <w:rsid w:val="1EA00084"/>
    <w:rsid w:val="1EA5444C"/>
    <w:rsid w:val="1EA5569B"/>
    <w:rsid w:val="1EB350EF"/>
    <w:rsid w:val="1EC21749"/>
    <w:rsid w:val="1EEB7C4E"/>
    <w:rsid w:val="1EFD1033"/>
    <w:rsid w:val="1EFE0DA3"/>
    <w:rsid w:val="1F072441"/>
    <w:rsid w:val="1F171B83"/>
    <w:rsid w:val="1F2D4691"/>
    <w:rsid w:val="1F2D491A"/>
    <w:rsid w:val="1F3F789D"/>
    <w:rsid w:val="1F4E5D32"/>
    <w:rsid w:val="1F503858"/>
    <w:rsid w:val="1F572E39"/>
    <w:rsid w:val="1F66355F"/>
    <w:rsid w:val="1F674479"/>
    <w:rsid w:val="1F6A2B6C"/>
    <w:rsid w:val="1F6B41EE"/>
    <w:rsid w:val="1F7369C7"/>
    <w:rsid w:val="1F895015"/>
    <w:rsid w:val="1F9113A9"/>
    <w:rsid w:val="1F94547B"/>
    <w:rsid w:val="1F996766"/>
    <w:rsid w:val="1FA47700"/>
    <w:rsid w:val="1FAF308C"/>
    <w:rsid w:val="1FB64FF9"/>
    <w:rsid w:val="1FC11109"/>
    <w:rsid w:val="1FDA3223"/>
    <w:rsid w:val="1FDE2C12"/>
    <w:rsid w:val="1FE312CB"/>
    <w:rsid w:val="1FEF08C8"/>
    <w:rsid w:val="1FF72E6A"/>
    <w:rsid w:val="1FFB6F12"/>
    <w:rsid w:val="200A3A07"/>
    <w:rsid w:val="201B3ED4"/>
    <w:rsid w:val="201C373B"/>
    <w:rsid w:val="20230F6D"/>
    <w:rsid w:val="20310B02"/>
    <w:rsid w:val="20344F28"/>
    <w:rsid w:val="205B4263"/>
    <w:rsid w:val="206F0406"/>
    <w:rsid w:val="207417C9"/>
    <w:rsid w:val="20784063"/>
    <w:rsid w:val="207E346A"/>
    <w:rsid w:val="20847C5E"/>
    <w:rsid w:val="20895274"/>
    <w:rsid w:val="208E12C3"/>
    <w:rsid w:val="209502A3"/>
    <w:rsid w:val="20CC4560"/>
    <w:rsid w:val="20CF36F6"/>
    <w:rsid w:val="20EA3839"/>
    <w:rsid w:val="20EE3329"/>
    <w:rsid w:val="2100305C"/>
    <w:rsid w:val="210C1A01"/>
    <w:rsid w:val="210F579E"/>
    <w:rsid w:val="21162880"/>
    <w:rsid w:val="21163FF0"/>
    <w:rsid w:val="211B39F2"/>
    <w:rsid w:val="21224762"/>
    <w:rsid w:val="212550B5"/>
    <w:rsid w:val="213827F6"/>
    <w:rsid w:val="21592B62"/>
    <w:rsid w:val="215B0293"/>
    <w:rsid w:val="2172049B"/>
    <w:rsid w:val="21747CD2"/>
    <w:rsid w:val="217D46AD"/>
    <w:rsid w:val="218E68BA"/>
    <w:rsid w:val="219263AA"/>
    <w:rsid w:val="219E5782"/>
    <w:rsid w:val="21AE2AB8"/>
    <w:rsid w:val="21BF0821"/>
    <w:rsid w:val="21D10545"/>
    <w:rsid w:val="21D50045"/>
    <w:rsid w:val="21DC7625"/>
    <w:rsid w:val="21E72B0B"/>
    <w:rsid w:val="21E76A4A"/>
    <w:rsid w:val="21EE607E"/>
    <w:rsid w:val="21F229A5"/>
    <w:rsid w:val="21F66F4C"/>
    <w:rsid w:val="2210107D"/>
    <w:rsid w:val="221F2D96"/>
    <w:rsid w:val="22246DB1"/>
    <w:rsid w:val="22435D3F"/>
    <w:rsid w:val="22440067"/>
    <w:rsid w:val="225A6017"/>
    <w:rsid w:val="22631AF5"/>
    <w:rsid w:val="22655D1C"/>
    <w:rsid w:val="22745AB0"/>
    <w:rsid w:val="22761B2F"/>
    <w:rsid w:val="22765C1A"/>
    <w:rsid w:val="227A5532"/>
    <w:rsid w:val="22837AA1"/>
    <w:rsid w:val="22843A03"/>
    <w:rsid w:val="228E2802"/>
    <w:rsid w:val="228E5C2C"/>
    <w:rsid w:val="229C0B63"/>
    <w:rsid w:val="22A338AB"/>
    <w:rsid w:val="22AA7723"/>
    <w:rsid w:val="22AD37A2"/>
    <w:rsid w:val="22AE0FC2"/>
    <w:rsid w:val="22B31E8A"/>
    <w:rsid w:val="22B45EAC"/>
    <w:rsid w:val="22C05285"/>
    <w:rsid w:val="22C5630B"/>
    <w:rsid w:val="22C72083"/>
    <w:rsid w:val="22C735BD"/>
    <w:rsid w:val="22CF0F38"/>
    <w:rsid w:val="22D36C7A"/>
    <w:rsid w:val="22D729A8"/>
    <w:rsid w:val="22D97444"/>
    <w:rsid w:val="22F06957"/>
    <w:rsid w:val="22F83FEB"/>
    <w:rsid w:val="23057681"/>
    <w:rsid w:val="230F0AA7"/>
    <w:rsid w:val="23122833"/>
    <w:rsid w:val="23137077"/>
    <w:rsid w:val="231D4917"/>
    <w:rsid w:val="23223458"/>
    <w:rsid w:val="23225D32"/>
    <w:rsid w:val="23357BE6"/>
    <w:rsid w:val="2342574E"/>
    <w:rsid w:val="2355143D"/>
    <w:rsid w:val="236B2A0F"/>
    <w:rsid w:val="236D1BFA"/>
    <w:rsid w:val="236D331D"/>
    <w:rsid w:val="2377331D"/>
    <w:rsid w:val="237D43DE"/>
    <w:rsid w:val="23940114"/>
    <w:rsid w:val="239A1546"/>
    <w:rsid w:val="23A203FB"/>
    <w:rsid w:val="23A45F21"/>
    <w:rsid w:val="23AE4FF1"/>
    <w:rsid w:val="23B57016"/>
    <w:rsid w:val="23C16AD3"/>
    <w:rsid w:val="23C4797E"/>
    <w:rsid w:val="23CD5478"/>
    <w:rsid w:val="23D4764B"/>
    <w:rsid w:val="23EC3718"/>
    <w:rsid w:val="23EE304F"/>
    <w:rsid w:val="23F8626D"/>
    <w:rsid w:val="23F9517F"/>
    <w:rsid w:val="23FD7010"/>
    <w:rsid w:val="240243FC"/>
    <w:rsid w:val="24044EF2"/>
    <w:rsid w:val="2407139D"/>
    <w:rsid w:val="240B04F4"/>
    <w:rsid w:val="240B7534"/>
    <w:rsid w:val="240E369A"/>
    <w:rsid w:val="240E783E"/>
    <w:rsid w:val="241C1F5B"/>
    <w:rsid w:val="241E2177"/>
    <w:rsid w:val="242A0646"/>
    <w:rsid w:val="242B2542"/>
    <w:rsid w:val="242D23BA"/>
    <w:rsid w:val="242D4168"/>
    <w:rsid w:val="2435301D"/>
    <w:rsid w:val="24383F19"/>
    <w:rsid w:val="243A0633"/>
    <w:rsid w:val="243D6E1A"/>
    <w:rsid w:val="24453D05"/>
    <w:rsid w:val="244A2F6C"/>
    <w:rsid w:val="244A6AC8"/>
    <w:rsid w:val="24607F91"/>
    <w:rsid w:val="246C581B"/>
    <w:rsid w:val="247973AD"/>
    <w:rsid w:val="247C52A2"/>
    <w:rsid w:val="248A3369"/>
    <w:rsid w:val="24942917"/>
    <w:rsid w:val="24AE34FB"/>
    <w:rsid w:val="24CC106B"/>
    <w:rsid w:val="24D00598"/>
    <w:rsid w:val="24D377A4"/>
    <w:rsid w:val="24D725E9"/>
    <w:rsid w:val="24E72569"/>
    <w:rsid w:val="24EA2059"/>
    <w:rsid w:val="24EC31CF"/>
    <w:rsid w:val="24EF58C2"/>
    <w:rsid w:val="25045F70"/>
    <w:rsid w:val="250474F1"/>
    <w:rsid w:val="25056E93"/>
    <w:rsid w:val="25092EBA"/>
    <w:rsid w:val="250E4F12"/>
    <w:rsid w:val="250E5D48"/>
    <w:rsid w:val="2523453A"/>
    <w:rsid w:val="25241020"/>
    <w:rsid w:val="25302410"/>
    <w:rsid w:val="25317C88"/>
    <w:rsid w:val="2542719A"/>
    <w:rsid w:val="255B6AB3"/>
    <w:rsid w:val="25647C5C"/>
    <w:rsid w:val="257572C3"/>
    <w:rsid w:val="25790E85"/>
    <w:rsid w:val="25823C3E"/>
    <w:rsid w:val="25856F37"/>
    <w:rsid w:val="25965D3D"/>
    <w:rsid w:val="25972C60"/>
    <w:rsid w:val="25974C6F"/>
    <w:rsid w:val="259A75DB"/>
    <w:rsid w:val="259D1676"/>
    <w:rsid w:val="25A353EB"/>
    <w:rsid w:val="25A93CC2"/>
    <w:rsid w:val="25B111B0"/>
    <w:rsid w:val="25B413A1"/>
    <w:rsid w:val="25B87B65"/>
    <w:rsid w:val="25CB78C3"/>
    <w:rsid w:val="25D30D3F"/>
    <w:rsid w:val="25D54390"/>
    <w:rsid w:val="25D6438C"/>
    <w:rsid w:val="25E371D4"/>
    <w:rsid w:val="25E524E9"/>
    <w:rsid w:val="25E60A73"/>
    <w:rsid w:val="25FD5DBC"/>
    <w:rsid w:val="261879A7"/>
    <w:rsid w:val="261A071C"/>
    <w:rsid w:val="2628108B"/>
    <w:rsid w:val="26395046"/>
    <w:rsid w:val="264B0BA4"/>
    <w:rsid w:val="264F4111"/>
    <w:rsid w:val="265E0AEC"/>
    <w:rsid w:val="2661459D"/>
    <w:rsid w:val="266D6A9E"/>
    <w:rsid w:val="26865DB2"/>
    <w:rsid w:val="268C5256"/>
    <w:rsid w:val="268E455B"/>
    <w:rsid w:val="26912B30"/>
    <w:rsid w:val="269772F0"/>
    <w:rsid w:val="26997893"/>
    <w:rsid w:val="269C55D5"/>
    <w:rsid w:val="26A30712"/>
    <w:rsid w:val="26AC0C27"/>
    <w:rsid w:val="26B97F35"/>
    <w:rsid w:val="26BE72FA"/>
    <w:rsid w:val="26C807A6"/>
    <w:rsid w:val="26D1527F"/>
    <w:rsid w:val="26D23F28"/>
    <w:rsid w:val="26DB67BA"/>
    <w:rsid w:val="26DE3298"/>
    <w:rsid w:val="26E311CD"/>
    <w:rsid w:val="26E56F7C"/>
    <w:rsid w:val="26E967AC"/>
    <w:rsid w:val="26EF24ED"/>
    <w:rsid w:val="26F1408A"/>
    <w:rsid w:val="26F86CAF"/>
    <w:rsid w:val="26F96584"/>
    <w:rsid w:val="26FC4FA5"/>
    <w:rsid w:val="27015370"/>
    <w:rsid w:val="270B421F"/>
    <w:rsid w:val="271E248E"/>
    <w:rsid w:val="271F6B87"/>
    <w:rsid w:val="27232743"/>
    <w:rsid w:val="274E2228"/>
    <w:rsid w:val="2751016E"/>
    <w:rsid w:val="27517A93"/>
    <w:rsid w:val="27565784"/>
    <w:rsid w:val="275E53AF"/>
    <w:rsid w:val="27606603"/>
    <w:rsid w:val="276658E8"/>
    <w:rsid w:val="276F6846"/>
    <w:rsid w:val="277E30D2"/>
    <w:rsid w:val="27803F2A"/>
    <w:rsid w:val="278A18D2"/>
    <w:rsid w:val="27983FEE"/>
    <w:rsid w:val="279B2689"/>
    <w:rsid w:val="27A34941"/>
    <w:rsid w:val="27A97FAA"/>
    <w:rsid w:val="27D2250A"/>
    <w:rsid w:val="27EE3A7B"/>
    <w:rsid w:val="27FA25B3"/>
    <w:rsid w:val="28033B5E"/>
    <w:rsid w:val="28100029"/>
    <w:rsid w:val="2826784C"/>
    <w:rsid w:val="282B09BF"/>
    <w:rsid w:val="282E4F00"/>
    <w:rsid w:val="283C23DF"/>
    <w:rsid w:val="283D69F1"/>
    <w:rsid w:val="283F090E"/>
    <w:rsid w:val="284C16F5"/>
    <w:rsid w:val="28570AB5"/>
    <w:rsid w:val="285F2CDC"/>
    <w:rsid w:val="28622C36"/>
    <w:rsid w:val="2869172C"/>
    <w:rsid w:val="286B525F"/>
    <w:rsid w:val="288C2D07"/>
    <w:rsid w:val="289E7E22"/>
    <w:rsid w:val="28C2534B"/>
    <w:rsid w:val="28C5525A"/>
    <w:rsid w:val="28D14B96"/>
    <w:rsid w:val="28DC7F0B"/>
    <w:rsid w:val="28E60D8A"/>
    <w:rsid w:val="29020C46"/>
    <w:rsid w:val="290240C7"/>
    <w:rsid w:val="29114058"/>
    <w:rsid w:val="291713AF"/>
    <w:rsid w:val="291A2B97"/>
    <w:rsid w:val="29274EE0"/>
    <w:rsid w:val="292C0E92"/>
    <w:rsid w:val="29477A7A"/>
    <w:rsid w:val="294F692F"/>
    <w:rsid w:val="295029E3"/>
    <w:rsid w:val="295201CD"/>
    <w:rsid w:val="29543A59"/>
    <w:rsid w:val="295D104C"/>
    <w:rsid w:val="29670ED3"/>
    <w:rsid w:val="2969197F"/>
    <w:rsid w:val="29695C42"/>
    <w:rsid w:val="29746E87"/>
    <w:rsid w:val="297939AC"/>
    <w:rsid w:val="297C03C2"/>
    <w:rsid w:val="29817369"/>
    <w:rsid w:val="29951314"/>
    <w:rsid w:val="299573AB"/>
    <w:rsid w:val="29B05804"/>
    <w:rsid w:val="29BD1AEA"/>
    <w:rsid w:val="29BE5BD0"/>
    <w:rsid w:val="29C01572"/>
    <w:rsid w:val="29C25353"/>
    <w:rsid w:val="29C966E1"/>
    <w:rsid w:val="29CA4207"/>
    <w:rsid w:val="29D124F9"/>
    <w:rsid w:val="29D82DC8"/>
    <w:rsid w:val="29DA08EE"/>
    <w:rsid w:val="29DB6414"/>
    <w:rsid w:val="29E74CE2"/>
    <w:rsid w:val="29E75C1B"/>
    <w:rsid w:val="2A133E00"/>
    <w:rsid w:val="2A241B69"/>
    <w:rsid w:val="2A2B114A"/>
    <w:rsid w:val="2A306A36"/>
    <w:rsid w:val="2A457300"/>
    <w:rsid w:val="2A5372C6"/>
    <w:rsid w:val="2A5A558B"/>
    <w:rsid w:val="2A5B03D8"/>
    <w:rsid w:val="2A6F6D07"/>
    <w:rsid w:val="2A7A3E7F"/>
    <w:rsid w:val="2A852253"/>
    <w:rsid w:val="2A882500"/>
    <w:rsid w:val="2AA35184"/>
    <w:rsid w:val="2AAB228B"/>
    <w:rsid w:val="2AAB4E76"/>
    <w:rsid w:val="2AB63ABC"/>
    <w:rsid w:val="2AB63D0A"/>
    <w:rsid w:val="2AC31382"/>
    <w:rsid w:val="2AD0584D"/>
    <w:rsid w:val="2AD549F8"/>
    <w:rsid w:val="2AEA74E5"/>
    <w:rsid w:val="2AF91248"/>
    <w:rsid w:val="2AFB4FC0"/>
    <w:rsid w:val="2B003D00"/>
    <w:rsid w:val="2B074D5E"/>
    <w:rsid w:val="2B0A6991"/>
    <w:rsid w:val="2B100BA9"/>
    <w:rsid w:val="2B1B508E"/>
    <w:rsid w:val="2B1B5825"/>
    <w:rsid w:val="2B1E3AFC"/>
    <w:rsid w:val="2B2160A9"/>
    <w:rsid w:val="2B303E8B"/>
    <w:rsid w:val="2B400742"/>
    <w:rsid w:val="2B41674B"/>
    <w:rsid w:val="2B430715"/>
    <w:rsid w:val="2B4A5600"/>
    <w:rsid w:val="2B574FD9"/>
    <w:rsid w:val="2B642979"/>
    <w:rsid w:val="2B681F2A"/>
    <w:rsid w:val="2B6F5066"/>
    <w:rsid w:val="2B7408CF"/>
    <w:rsid w:val="2B797C93"/>
    <w:rsid w:val="2B807273"/>
    <w:rsid w:val="2B85488A"/>
    <w:rsid w:val="2B88534B"/>
    <w:rsid w:val="2B886128"/>
    <w:rsid w:val="2B8D373E"/>
    <w:rsid w:val="2B9E4F56"/>
    <w:rsid w:val="2BAB4256"/>
    <w:rsid w:val="2BD96984"/>
    <w:rsid w:val="2BDB5A88"/>
    <w:rsid w:val="2BDB6BA0"/>
    <w:rsid w:val="2BE91C37"/>
    <w:rsid w:val="2BEC3F72"/>
    <w:rsid w:val="2BF612E4"/>
    <w:rsid w:val="2C083572"/>
    <w:rsid w:val="2C0E487F"/>
    <w:rsid w:val="2C100BCC"/>
    <w:rsid w:val="2C185F94"/>
    <w:rsid w:val="2C1F1AC4"/>
    <w:rsid w:val="2C2945BA"/>
    <w:rsid w:val="2C2E71FC"/>
    <w:rsid w:val="2C3167C0"/>
    <w:rsid w:val="2C3F3A41"/>
    <w:rsid w:val="2C4431C4"/>
    <w:rsid w:val="2C471F66"/>
    <w:rsid w:val="2C55747C"/>
    <w:rsid w:val="2C567FD4"/>
    <w:rsid w:val="2C62059F"/>
    <w:rsid w:val="2C6634FA"/>
    <w:rsid w:val="2C7566AC"/>
    <w:rsid w:val="2C7843EE"/>
    <w:rsid w:val="2C931228"/>
    <w:rsid w:val="2C9C00DD"/>
    <w:rsid w:val="2CA25191"/>
    <w:rsid w:val="2CAC022C"/>
    <w:rsid w:val="2CC11807"/>
    <w:rsid w:val="2CC66CD6"/>
    <w:rsid w:val="2CDA6E57"/>
    <w:rsid w:val="2CE327BC"/>
    <w:rsid w:val="2CF16074"/>
    <w:rsid w:val="2CF81D1B"/>
    <w:rsid w:val="2D200D0E"/>
    <w:rsid w:val="2D3F2453"/>
    <w:rsid w:val="2D4743E0"/>
    <w:rsid w:val="2D4E3657"/>
    <w:rsid w:val="2D536CB5"/>
    <w:rsid w:val="2D574004"/>
    <w:rsid w:val="2D6F134E"/>
    <w:rsid w:val="2D76092E"/>
    <w:rsid w:val="2D7626DC"/>
    <w:rsid w:val="2D835174"/>
    <w:rsid w:val="2D9331F9"/>
    <w:rsid w:val="2D956230"/>
    <w:rsid w:val="2D99461C"/>
    <w:rsid w:val="2DA541FC"/>
    <w:rsid w:val="2DD90B7B"/>
    <w:rsid w:val="2DD92C6B"/>
    <w:rsid w:val="2DDD3FC1"/>
    <w:rsid w:val="2DE531B8"/>
    <w:rsid w:val="2DEA131C"/>
    <w:rsid w:val="2DEB702A"/>
    <w:rsid w:val="2DF45CF7"/>
    <w:rsid w:val="2DF701D8"/>
    <w:rsid w:val="2DF970A1"/>
    <w:rsid w:val="2E0665A9"/>
    <w:rsid w:val="2E085834"/>
    <w:rsid w:val="2E1034F8"/>
    <w:rsid w:val="2E112405"/>
    <w:rsid w:val="2E120D8E"/>
    <w:rsid w:val="2E187C37"/>
    <w:rsid w:val="2E310CF9"/>
    <w:rsid w:val="2E443652"/>
    <w:rsid w:val="2E505773"/>
    <w:rsid w:val="2E586286"/>
    <w:rsid w:val="2E5C0A3D"/>
    <w:rsid w:val="2E6611AB"/>
    <w:rsid w:val="2E6F7715"/>
    <w:rsid w:val="2E742F70"/>
    <w:rsid w:val="2E905A1F"/>
    <w:rsid w:val="2E9077CD"/>
    <w:rsid w:val="2E9574DA"/>
    <w:rsid w:val="2E9A689E"/>
    <w:rsid w:val="2EA94D33"/>
    <w:rsid w:val="2EAB0AAB"/>
    <w:rsid w:val="2ED61D9E"/>
    <w:rsid w:val="2EDC2A13"/>
    <w:rsid w:val="2EFD7DB9"/>
    <w:rsid w:val="2F1A081D"/>
    <w:rsid w:val="2F1C72B3"/>
    <w:rsid w:val="2F1E1306"/>
    <w:rsid w:val="2F1E3DC0"/>
    <w:rsid w:val="2F2D326E"/>
    <w:rsid w:val="2F3112DE"/>
    <w:rsid w:val="2F37233F"/>
    <w:rsid w:val="2F3960B7"/>
    <w:rsid w:val="2F3B6922"/>
    <w:rsid w:val="2F3D7B25"/>
    <w:rsid w:val="2F480119"/>
    <w:rsid w:val="2F506C6D"/>
    <w:rsid w:val="2F512253"/>
    <w:rsid w:val="2F51291F"/>
    <w:rsid w:val="2F55758A"/>
    <w:rsid w:val="2F68074A"/>
    <w:rsid w:val="2F7F15AE"/>
    <w:rsid w:val="2F912594"/>
    <w:rsid w:val="2F970416"/>
    <w:rsid w:val="2F9B467C"/>
    <w:rsid w:val="2FA54796"/>
    <w:rsid w:val="2FA674E2"/>
    <w:rsid w:val="2FC31E25"/>
    <w:rsid w:val="2FD23E16"/>
    <w:rsid w:val="2FD271D9"/>
    <w:rsid w:val="2FE853E7"/>
    <w:rsid w:val="2FEE6EA1"/>
    <w:rsid w:val="2FFE7D49"/>
    <w:rsid w:val="3002294D"/>
    <w:rsid w:val="3011153D"/>
    <w:rsid w:val="30142680"/>
    <w:rsid w:val="30183F1E"/>
    <w:rsid w:val="302567CF"/>
    <w:rsid w:val="302A11B1"/>
    <w:rsid w:val="302A5C42"/>
    <w:rsid w:val="30340091"/>
    <w:rsid w:val="303D5733"/>
    <w:rsid w:val="30534F57"/>
    <w:rsid w:val="305D4027"/>
    <w:rsid w:val="30662043"/>
    <w:rsid w:val="306D3B35"/>
    <w:rsid w:val="307153DD"/>
    <w:rsid w:val="3083092C"/>
    <w:rsid w:val="30930D2E"/>
    <w:rsid w:val="30B8125D"/>
    <w:rsid w:val="30B87D63"/>
    <w:rsid w:val="30BF439A"/>
    <w:rsid w:val="30CF6A37"/>
    <w:rsid w:val="30D250CF"/>
    <w:rsid w:val="30D3355A"/>
    <w:rsid w:val="30E7260A"/>
    <w:rsid w:val="30ED7159"/>
    <w:rsid w:val="31002970"/>
    <w:rsid w:val="311016AD"/>
    <w:rsid w:val="31220DA0"/>
    <w:rsid w:val="31253A1B"/>
    <w:rsid w:val="312D39F9"/>
    <w:rsid w:val="313034EA"/>
    <w:rsid w:val="3136622A"/>
    <w:rsid w:val="31393501"/>
    <w:rsid w:val="3139422E"/>
    <w:rsid w:val="31496359"/>
    <w:rsid w:val="314D19A6"/>
    <w:rsid w:val="31570A76"/>
    <w:rsid w:val="31580A38"/>
    <w:rsid w:val="316177A4"/>
    <w:rsid w:val="31700E4B"/>
    <w:rsid w:val="3172683C"/>
    <w:rsid w:val="318F773E"/>
    <w:rsid w:val="31A359FC"/>
    <w:rsid w:val="31A67308"/>
    <w:rsid w:val="31AD0D61"/>
    <w:rsid w:val="31AF440F"/>
    <w:rsid w:val="31C3435E"/>
    <w:rsid w:val="31C42968"/>
    <w:rsid w:val="31CD297B"/>
    <w:rsid w:val="31CD73BD"/>
    <w:rsid w:val="31D245A1"/>
    <w:rsid w:val="31D66571"/>
    <w:rsid w:val="31DB4220"/>
    <w:rsid w:val="31DC56CD"/>
    <w:rsid w:val="31E57E30"/>
    <w:rsid w:val="31E63B94"/>
    <w:rsid w:val="31EF6F01"/>
    <w:rsid w:val="31F27AF7"/>
    <w:rsid w:val="31F532C8"/>
    <w:rsid w:val="31FA74CA"/>
    <w:rsid w:val="32176602"/>
    <w:rsid w:val="322A7699"/>
    <w:rsid w:val="322B25C6"/>
    <w:rsid w:val="322D09E9"/>
    <w:rsid w:val="32384404"/>
    <w:rsid w:val="32422E70"/>
    <w:rsid w:val="325E56C6"/>
    <w:rsid w:val="3275698A"/>
    <w:rsid w:val="327C0679"/>
    <w:rsid w:val="32870EE7"/>
    <w:rsid w:val="32943B86"/>
    <w:rsid w:val="32A93829"/>
    <w:rsid w:val="32AE0B6A"/>
    <w:rsid w:val="32B943EC"/>
    <w:rsid w:val="32B9519B"/>
    <w:rsid w:val="32C338D5"/>
    <w:rsid w:val="32C9710C"/>
    <w:rsid w:val="32D22AAA"/>
    <w:rsid w:val="32DC63A0"/>
    <w:rsid w:val="32E12CEE"/>
    <w:rsid w:val="32E429C1"/>
    <w:rsid w:val="32F32A21"/>
    <w:rsid w:val="330503EE"/>
    <w:rsid w:val="33062754"/>
    <w:rsid w:val="33274478"/>
    <w:rsid w:val="3337290D"/>
    <w:rsid w:val="333948D8"/>
    <w:rsid w:val="333B1446"/>
    <w:rsid w:val="333E1EEE"/>
    <w:rsid w:val="334045BE"/>
    <w:rsid w:val="3341378C"/>
    <w:rsid w:val="334A3B2A"/>
    <w:rsid w:val="334E5EA9"/>
    <w:rsid w:val="335133F7"/>
    <w:rsid w:val="3365592E"/>
    <w:rsid w:val="336A31F3"/>
    <w:rsid w:val="336D632F"/>
    <w:rsid w:val="336F5D12"/>
    <w:rsid w:val="336F6533"/>
    <w:rsid w:val="3376367E"/>
    <w:rsid w:val="337E5E2F"/>
    <w:rsid w:val="3384610D"/>
    <w:rsid w:val="33886F33"/>
    <w:rsid w:val="33AA5979"/>
    <w:rsid w:val="33C03E90"/>
    <w:rsid w:val="33C96649"/>
    <w:rsid w:val="33CC3D88"/>
    <w:rsid w:val="33D939C5"/>
    <w:rsid w:val="33DD0306"/>
    <w:rsid w:val="33E04D53"/>
    <w:rsid w:val="33E222C5"/>
    <w:rsid w:val="33F56325"/>
    <w:rsid w:val="33FD3B57"/>
    <w:rsid w:val="33FD722F"/>
    <w:rsid w:val="3400362D"/>
    <w:rsid w:val="340B09C5"/>
    <w:rsid w:val="340B78F6"/>
    <w:rsid w:val="341E4CAB"/>
    <w:rsid w:val="34205B4A"/>
    <w:rsid w:val="342235BE"/>
    <w:rsid w:val="34346E4D"/>
    <w:rsid w:val="34584EE2"/>
    <w:rsid w:val="34656107"/>
    <w:rsid w:val="3474193F"/>
    <w:rsid w:val="347A1C51"/>
    <w:rsid w:val="347D373F"/>
    <w:rsid w:val="348E0C53"/>
    <w:rsid w:val="34922A93"/>
    <w:rsid w:val="34956481"/>
    <w:rsid w:val="34A35871"/>
    <w:rsid w:val="34C06C9D"/>
    <w:rsid w:val="34C71A6F"/>
    <w:rsid w:val="34C93A39"/>
    <w:rsid w:val="34DB551B"/>
    <w:rsid w:val="34DF24AE"/>
    <w:rsid w:val="34FA4C30"/>
    <w:rsid w:val="350C7DCA"/>
    <w:rsid w:val="35134CB4"/>
    <w:rsid w:val="351C4931"/>
    <w:rsid w:val="351C4EAC"/>
    <w:rsid w:val="351D4C26"/>
    <w:rsid w:val="351F3659"/>
    <w:rsid w:val="352275ED"/>
    <w:rsid w:val="352B46F4"/>
    <w:rsid w:val="352E7D40"/>
    <w:rsid w:val="35361A77"/>
    <w:rsid w:val="354237EC"/>
    <w:rsid w:val="35461A22"/>
    <w:rsid w:val="35483CC9"/>
    <w:rsid w:val="35492DCC"/>
    <w:rsid w:val="354B08F2"/>
    <w:rsid w:val="35571045"/>
    <w:rsid w:val="356E46AA"/>
    <w:rsid w:val="357235B0"/>
    <w:rsid w:val="35776FED"/>
    <w:rsid w:val="3578502D"/>
    <w:rsid w:val="357F059C"/>
    <w:rsid w:val="3586192A"/>
    <w:rsid w:val="358625C7"/>
    <w:rsid w:val="35887450"/>
    <w:rsid w:val="35A136FA"/>
    <w:rsid w:val="35A815CB"/>
    <w:rsid w:val="35A85BD0"/>
    <w:rsid w:val="35AA1B9C"/>
    <w:rsid w:val="35BC70FA"/>
    <w:rsid w:val="35D501BC"/>
    <w:rsid w:val="35D94150"/>
    <w:rsid w:val="35DB09A6"/>
    <w:rsid w:val="35DE52C2"/>
    <w:rsid w:val="36080591"/>
    <w:rsid w:val="3609472F"/>
    <w:rsid w:val="3619454C"/>
    <w:rsid w:val="36203B2D"/>
    <w:rsid w:val="362F1FC2"/>
    <w:rsid w:val="363E0457"/>
    <w:rsid w:val="36401760"/>
    <w:rsid w:val="365657A0"/>
    <w:rsid w:val="365B4B65"/>
    <w:rsid w:val="366559E4"/>
    <w:rsid w:val="36687282"/>
    <w:rsid w:val="368F480F"/>
    <w:rsid w:val="369B4CF0"/>
    <w:rsid w:val="36A42101"/>
    <w:rsid w:val="36A93B22"/>
    <w:rsid w:val="36D62629"/>
    <w:rsid w:val="36D76172"/>
    <w:rsid w:val="36D84407"/>
    <w:rsid w:val="36E833BB"/>
    <w:rsid w:val="36EB1E1B"/>
    <w:rsid w:val="36F17F0D"/>
    <w:rsid w:val="36F45348"/>
    <w:rsid w:val="36F50D9B"/>
    <w:rsid w:val="36FB00F6"/>
    <w:rsid w:val="37103BA1"/>
    <w:rsid w:val="37224581"/>
    <w:rsid w:val="3735197D"/>
    <w:rsid w:val="373756A2"/>
    <w:rsid w:val="373B04F2"/>
    <w:rsid w:val="374A416C"/>
    <w:rsid w:val="374D7614"/>
    <w:rsid w:val="375E0DA6"/>
    <w:rsid w:val="37704640"/>
    <w:rsid w:val="377639AE"/>
    <w:rsid w:val="377E111B"/>
    <w:rsid w:val="378142CB"/>
    <w:rsid w:val="378B61A6"/>
    <w:rsid w:val="378E5D13"/>
    <w:rsid w:val="37920A5A"/>
    <w:rsid w:val="379E11AD"/>
    <w:rsid w:val="37A56D79"/>
    <w:rsid w:val="37B90F0B"/>
    <w:rsid w:val="37BA1D5F"/>
    <w:rsid w:val="37CD3F98"/>
    <w:rsid w:val="37CD55EE"/>
    <w:rsid w:val="37DF75BA"/>
    <w:rsid w:val="37E148E2"/>
    <w:rsid w:val="37F848EE"/>
    <w:rsid w:val="37F912FC"/>
    <w:rsid w:val="37FB65FF"/>
    <w:rsid w:val="38057AB7"/>
    <w:rsid w:val="380D59EE"/>
    <w:rsid w:val="382471D8"/>
    <w:rsid w:val="38304889"/>
    <w:rsid w:val="3836588A"/>
    <w:rsid w:val="383733B0"/>
    <w:rsid w:val="38382675"/>
    <w:rsid w:val="383B7B0D"/>
    <w:rsid w:val="3848553B"/>
    <w:rsid w:val="3851700B"/>
    <w:rsid w:val="385246B6"/>
    <w:rsid w:val="385775AE"/>
    <w:rsid w:val="385E6B8E"/>
    <w:rsid w:val="3876113B"/>
    <w:rsid w:val="38A53DB7"/>
    <w:rsid w:val="38BF3388"/>
    <w:rsid w:val="38CA5FD2"/>
    <w:rsid w:val="38CC268D"/>
    <w:rsid w:val="38D429AD"/>
    <w:rsid w:val="38DF1FDA"/>
    <w:rsid w:val="38EC2960"/>
    <w:rsid w:val="38F2046B"/>
    <w:rsid w:val="390069DD"/>
    <w:rsid w:val="3902603A"/>
    <w:rsid w:val="39030CF9"/>
    <w:rsid w:val="39074B30"/>
    <w:rsid w:val="390908A8"/>
    <w:rsid w:val="39091F35"/>
    <w:rsid w:val="39253208"/>
    <w:rsid w:val="392536E2"/>
    <w:rsid w:val="392751D2"/>
    <w:rsid w:val="392E030F"/>
    <w:rsid w:val="39465F15"/>
    <w:rsid w:val="39505209"/>
    <w:rsid w:val="396453C5"/>
    <w:rsid w:val="396B4DB7"/>
    <w:rsid w:val="397462A5"/>
    <w:rsid w:val="39922CCF"/>
    <w:rsid w:val="39A24859"/>
    <w:rsid w:val="39A65327"/>
    <w:rsid w:val="39A65C9B"/>
    <w:rsid w:val="39BC5ED6"/>
    <w:rsid w:val="39BD78E5"/>
    <w:rsid w:val="39D013C6"/>
    <w:rsid w:val="39D02B66"/>
    <w:rsid w:val="39D0586A"/>
    <w:rsid w:val="39D27231"/>
    <w:rsid w:val="39E82BB3"/>
    <w:rsid w:val="39EB39E0"/>
    <w:rsid w:val="39EE7A9E"/>
    <w:rsid w:val="39EF02D4"/>
    <w:rsid w:val="3A08699C"/>
    <w:rsid w:val="3A11342A"/>
    <w:rsid w:val="3A153110"/>
    <w:rsid w:val="3A18450B"/>
    <w:rsid w:val="3A1A4D37"/>
    <w:rsid w:val="3A2149EA"/>
    <w:rsid w:val="3A2507C0"/>
    <w:rsid w:val="3A26548A"/>
    <w:rsid w:val="3A285AD8"/>
    <w:rsid w:val="3A393FA7"/>
    <w:rsid w:val="3A3A5A22"/>
    <w:rsid w:val="3A524858"/>
    <w:rsid w:val="3A64203E"/>
    <w:rsid w:val="3A663D00"/>
    <w:rsid w:val="3A7428D0"/>
    <w:rsid w:val="3A747EDD"/>
    <w:rsid w:val="3A8F302F"/>
    <w:rsid w:val="3A923AE4"/>
    <w:rsid w:val="3A9A304E"/>
    <w:rsid w:val="3AA50E25"/>
    <w:rsid w:val="3AAC1E33"/>
    <w:rsid w:val="3AC566E3"/>
    <w:rsid w:val="3AD6747A"/>
    <w:rsid w:val="3AD95C48"/>
    <w:rsid w:val="3ADF5D0A"/>
    <w:rsid w:val="3B025EF1"/>
    <w:rsid w:val="3B082DE1"/>
    <w:rsid w:val="3B0F23C2"/>
    <w:rsid w:val="3B1D4ADF"/>
    <w:rsid w:val="3B312338"/>
    <w:rsid w:val="3B3C5B77"/>
    <w:rsid w:val="3B3D0FF2"/>
    <w:rsid w:val="3B44206B"/>
    <w:rsid w:val="3B501351"/>
    <w:rsid w:val="3B516536"/>
    <w:rsid w:val="3B521A18"/>
    <w:rsid w:val="3B741699"/>
    <w:rsid w:val="3B8D2B96"/>
    <w:rsid w:val="3B90705F"/>
    <w:rsid w:val="3B923660"/>
    <w:rsid w:val="3BB16FD5"/>
    <w:rsid w:val="3BCA44BE"/>
    <w:rsid w:val="3BD66A3C"/>
    <w:rsid w:val="3BDD7DCA"/>
    <w:rsid w:val="3C017F5D"/>
    <w:rsid w:val="3C061F3A"/>
    <w:rsid w:val="3C0A04F9"/>
    <w:rsid w:val="3C1C6B44"/>
    <w:rsid w:val="3C2854E9"/>
    <w:rsid w:val="3C3B1EF8"/>
    <w:rsid w:val="3C491519"/>
    <w:rsid w:val="3C495480"/>
    <w:rsid w:val="3C4C3A42"/>
    <w:rsid w:val="3C557EA4"/>
    <w:rsid w:val="3C664263"/>
    <w:rsid w:val="3C6F0167"/>
    <w:rsid w:val="3C71667B"/>
    <w:rsid w:val="3C7C75E3"/>
    <w:rsid w:val="3C8B7826"/>
    <w:rsid w:val="3C914F3B"/>
    <w:rsid w:val="3CA37266"/>
    <w:rsid w:val="3CA803D8"/>
    <w:rsid w:val="3CC17F13"/>
    <w:rsid w:val="3CD15B81"/>
    <w:rsid w:val="3CD50B40"/>
    <w:rsid w:val="3CE320A3"/>
    <w:rsid w:val="3CE9196C"/>
    <w:rsid w:val="3CF15105"/>
    <w:rsid w:val="3CF70A12"/>
    <w:rsid w:val="3D0C04B9"/>
    <w:rsid w:val="3D1414C5"/>
    <w:rsid w:val="3D1C763E"/>
    <w:rsid w:val="3D201AA5"/>
    <w:rsid w:val="3D2B37EA"/>
    <w:rsid w:val="3D2F7FF3"/>
    <w:rsid w:val="3D3B56F0"/>
    <w:rsid w:val="3D3C45F6"/>
    <w:rsid w:val="3D3D1507"/>
    <w:rsid w:val="3D62085B"/>
    <w:rsid w:val="3D6B12FD"/>
    <w:rsid w:val="3D7B4622"/>
    <w:rsid w:val="3D8E5820"/>
    <w:rsid w:val="3D931088"/>
    <w:rsid w:val="3D942E29"/>
    <w:rsid w:val="3D9646D4"/>
    <w:rsid w:val="3DA53531"/>
    <w:rsid w:val="3DA70690"/>
    <w:rsid w:val="3DAC3EF8"/>
    <w:rsid w:val="3DB039E8"/>
    <w:rsid w:val="3DB54E0C"/>
    <w:rsid w:val="3DB900C1"/>
    <w:rsid w:val="3DE03BA2"/>
    <w:rsid w:val="3DE51866"/>
    <w:rsid w:val="3DE91725"/>
    <w:rsid w:val="3DF159B1"/>
    <w:rsid w:val="3E135D25"/>
    <w:rsid w:val="3E1A106E"/>
    <w:rsid w:val="3E36303B"/>
    <w:rsid w:val="3E514F5F"/>
    <w:rsid w:val="3E526044"/>
    <w:rsid w:val="3E5C591E"/>
    <w:rsid w:val="3E6C2B3A"/>
    <w:rsid w:val="3E6E11AD"/>
    <w:rsid w:val="3E793C4B"/>
    <w:rsid w:val="3E832EAB"/>
    <w:rsid w:val="3E8C5311"/>
    <w:rsid w:val="3E8E7E55"/>
    <w:rsid w:val="3E98013E"/>
    <w:rsid w:val="3EB61473"/>
    <w:rsid w:val="3EC07D3E"/>
    <w:rsid w:val="3EC66011"/>
    <w:rsid w:val="3ED25BE0"/>
    <w:rsid w:val="3ED75B7F"/>
    <w:rsid w:val="3EE8744A"/>
    <w:rsid w:val="3EF9316D"/>
    <w:rsid w:val="3F073ADC"/>
    <w:rsid w:val="3F1104B7"/>
    <w:rsid w:val="3F222DB1"/>
    <w:rsid w:val="3F315E6B"/>
    <w:rsid w:val="3F5175E2"/>
    <w:rsid w:val="3F56276A"/>
    <w:rsid w:val="3F5C5D42"/>
    <w:rsid w:val="3F6C10E0"/>
    <w:rsid w:val="3F963015"/>
    <w:rsid w:val="3F964D35"/>
    <w:rsid w:val="3FA327ED"/>
    <w:rsid w:val="3FB11738"/>
    <w:rsid w:val="3FB5581B"/>
    <w:rsid w:val="3FC33D05"/>
    <w:rsid w:val="3FD339BE"/>
    <w:rsid w:val="3FF46B18"/>
    <w:rsid w:val="3FF74A2E"/>
    <w:rsid w:val="3FFC36E2"/>
    <w:rsid w:val="4005572D"/>
    <w:rsid w:val="400973E0"/>
    <w:rsid w:val="40104C12"/>
    <w:rsid w:val="401A339B"/>
    <w:rsid w:val="402833BA"/>
    <w:rsid w:val="40283C2B"/>
    <w:rsid w:val="402B55A8"/>
    <w:rsid w:val="40394FD1"/>
    <w:rsid w:val="403A3A3D"/>
    <w:rsid w:val="40425879"/>
    <w:rsid w:val="405C1C05"/>
    <w:rsid w:val="405E3BCF"/>
    <w:rsid w:val="406B3DDC"/>
    <w:rsid w:val="40765D15"/>
    <w:rsid w:val="407B4FC1"/>
    <w:rsid w:val="407F2DE9"/>
    <w:rsid w:val="40866C82"/>
    <w:rsid w:val="40910B24"/>
    <w:rsid w:val="40920B61"/>
    <w:rsid w:val="40953369"/>
    <w:rsid w:val="40991379"/>
    <w:rsid w:val="409B3C3D"/>
    <w:rsid w:val="409F1D81"/>
    <w:rsid w:val="40A35A86"/>
    <w:rsid w:val="40AE7F87"/>
    <w:rsid w:val="40AF4F49"/>
    <w:rsid w:val="40C81049"/>
    <w:rsid w:val="40DA7CD6"/>
    <w:rsid w:val="40E66965"/>
    <w:rsid w:val="40F279CF"/>
    <w:rsid w:val="40F701DF"/>
    <w:rsid w:val="40FD480A"/>
    <w:rsid w:val="411B59C4"/>
    <w:rsid w:val="411E6EBB"/>
    <w:rsid w:val="41265D6F"/>
    <w:rsid w:val="412A32F8"/>
    <w:rsid w:val="41452699"/>
    <w:rsid w:val="414601C0"/>
    <w:rsid w:val="417D433E"/>
    <w:rsid w:val="417F433E"/>
    <w:rsid w:val="41807B75"/>
    <w:rsid w:val="41860B91"/>
    <w:rsid w:val="418A1D66"/>
    <w:rsid w:val="418A4550"/>
    <w:rsid w:val="41923405"/>
    <w:rsid w:val="419C4043"/>
    <w:rsid w:val="41B7239D"/>
    <w:rsid w:val="41C95079"/>
    <w:rsid w:val="41D852BC"/>
    <w:rsid w:val="41DF2AEE"/>
    <w:rsid w:val="41E33C60"/>
    <w:rsid w:val="41F63994"/>
    <w:rsid w:val="41FF3845"/>
    <w:rsid w:val="420A743F"/>
    <w:rsid w:val="420E33D3"/>
    <w:rsid w:val="42101488"/>
    <w:rsid w:val="421104A9"/>
    <w:rsid w:val="42110508"/>
    <w:rsid w:val="42143B88"/>
    <w:rsid w:val="42164586"/>
    <w:rsid w:val="422936B2"/>
    <w:rsid w:val="422E75D1"/>
    <w:rsid w:val="424566C9"/>
    <w:rsid w:val="42475850"/>
    <w:rsid w:val="424C7A58"/>
    <w:rsid w:val="424E1A22"/>
    <w:rsid w:val="425B5DD1"/>
    <w:rsid w:val="4260300C"/>
    <w:rsid w:val="42621029"/>
    <w:rsid w:val="42635180"/>
    <w:rsid w:val="42755200"/>
    <w:rsid w:val="42772802"/>
    <w:rsid w:val="427C799E"/>
    <w:rsid w:val="427F607F"/>
    <w:rsid w:val="42800B9B"/>
    <w:rsid w:val="4281223D"/>
    <w:rsid w:val="428E1E1E"/>
    <w:rsid w:val="428E62C2"/>
    <w:rsid w:val="42A06B6C"/>
    <w:rsid w:val="42A27996"/>
    <w:rsid w:val="42A45E72"/>
    <w:rsid w:val="42AA04E2"/>
    <w:rsid w:val="42C615B8"/>
    <w:rsid w:val="42C972FA"/>
    <w:rsid w:val="42D737C5"/>
    <w:rsid w:val="42E17EF5"/>
    <w:rsid w:val="42EA5650"/>
    <w:rsid w:val="431408DA"/>
    <w:rsid w:val="431B7C78"/>
    <w:rsid w:val="431F7A6A"/>
    <w:rsid w:val="432D7889"/>
    <w:rsid w:val="4331401E"/>
    <w:rsid w:val="433805EC"/>
    <w:rsid w:val="433A2751"/>
    <w:rsid w:val="433A3D54"/>
    <w:rsid w:val="43486FC5"/>
    <w:rsid w:val="43526885"/>
    <w:rsid w:val="43591DDA"/>
    <w:rsid w:val="435A0DF2"/>
    <w:rsid w:val="436C42E1"/>
    <w:rsid w:val="437102E7"/>
    <w:rsid w:val="437C210F"/>
    <w:rsid w:val="43847F02"/>
    <w:rsid w:val="438F113C"/>
    <w:rsid w:val="439E7EFB"/>
    <w:rsid w:val="43B1568A"/>
    <w:rsid w:val="43B64E08"/>
    <w:rsid w:val="43B90147"/>
    <w:rsid w:val="43BD7F58"/>
    <w:rsid w:val="43BE6733"/>
    <w:rsid w:val="43D43ECA"/>
    <w:rsid w:val="43D60064"/>
    <w:rsid w:val="43DD452F"/>
    <w:rsid w:val="43DE6CD4"/>
    <w:rsid w:val="43DF63AB"/>
    <w:rsid w:val="43E51150"/>
    <w:rsid w:val="43EF28BB"/>
    <w:rsid w:val="43EF56D3"/>
    <w:rsid w:val="43F47D80"/>
    <w:rsid w:val="43F565F9"/>
    <w:rsid w:val="43F839F3"/>
    <w:rsid w:val="44095C00"/>
    <w:rsid w:val="440A6FD2"/>
    <w:rsid w:val="440E1469"/>
    <w:rsid w:val="4416656F"/>
    <w:rsid w:val="442347E8"/>
    <w:rsid w:val="442A1797"/>
    <w:rsid w:val="44366C11"/>
    <w:rsid w:val="444946CA"/>
    <w:rsid w:val="444B3F54"/>
    <w:rsid w:val="445A46AE"/>
    <w:rsid w:val="445B0426"/>
    <w:rsid w:val="44611430"/>
    <w:rsid w:val="4476661F"/>
    <w:rsid w:val="447B4624"/>
    <w:rsid w:val="447E3AC5"/>
    <w:rsid w:val="44805ED4"/>
    <w:rsid w:val="448E5DEE"/>
    <w:rsid w:val="44957494"/>
    <w:rsid w:val="449C4CC6"/>
    <w:rsid w:val="449E4142"/>
    <w:rsid w:val="44A90BAA"/>
    <w:rsid w:val="44B042CE"/>
    <w:rsid w:val="44B24A20"/>
    <w:rsid w:val="44BC0BEE"/>
    <w:rsid w:val="44BF6C07"/>
    <w:rsid w:val="44C24001"/>
    <w:rsid w:val="44C55A88"/>
    <w:rsid w:val="44FB1C9C"/>
    <w:rsid w:val="45014B29"/>
    <w:rsid w:val="450C05A0"/>
    <w:rsid w:val="4517259F"/>
    <w:rsid w:val="45392A13"/>
    <w:rsid w:val="453E3FCF"/>
    <w:rsid w:val="454F1836"/>
    <w:rsid w:val="455A248C"/>
    <w:rsid w:val="45637592"/>
    <w:rsid w:val="45887B45"/>
    <w:rsid w:val="458B66DF"/>
    <w:rsid w:val="45940F0E"/>
    <w:rsid w:val="45AC5DBA"/>
    <w:rsid w:val="45BE2A1A"/>
    <w:rsid w:val="45C647AF"/>
    <w:rsid w:val="45CF3374"/>
    <w:rsid w:val="45D65C8D"/>
    <w:rsid w:val="45DD529D"/>
    <w:rsid w:val="45E57886"/>
    <w:rsid w:val="45E945CC"/>
    <w:rsid w:val="45FC3543"/>
    <w:rsid w:val="46003076"/>
    <w:rsid w:val="46021398"/>
    <w:rsid w:val="46026F63"/>
    <w:rsid w:val="46113492"/>
    <w:rsid w:val="46164604"/>
    <w:rsid w:val="46177E29"/>
    <w:rsid w:val="4618414C"/>
    <w:rsid w:val="46205B7F"/>
    <w:rsid w:val="462A00B0"/>
    <w:rsid w:val="462A4554"/>
    <w:rsid w:val="462A6010"/>
    <w:rsid w:val="462F1B6A"/>
    <w:rsid w:val="465D501C"/>
    <w:rsid w:val="466367DB"/>
    <w:rsid w:val="46686D18"/>
    <w:rsid w:val="466D15DA"/>
    <w:rsid w:val="46767799"/>
    <w:rsid w:val="4691012F"/>
    <w:rsid w:val="46AE0CE1"/>
    <w:rsid w:val="46BF7E28"/>
    <w:rsid w:val="46C3037C"/>
    <w:rsid w:val="46CB1893"/>
    <w:rsid w:val="46CB53EF"/>
    <w:rsid w:val="46EF26BD"/>
    <w:rsid w:val="46FF15E0"/>
    <w:rsid w:val="4700581C"/>
    <w:rsid w:val="4702516A"/>
    <w:rsid w:val="470628CB"/>
    <w:rsid w:val="471548BC"/>
    <w:rsid w:val="4724600B"/>
    <w:rsid w:val="472E597E"/>
    <w:rsid w:val="474A4B33"/>
    <w:rsid w:val="47543636"/>
    <w:rsid w:val="475A6773"/>
    <w:rsid w:val="47665A15"/>
    <w:rsid w:val="47677941"/>
    <w:rsid w:val="477F1660"/>
    <w:rsid w:val="4788232A"/>
    <w:rsid w:val="478B0398"/>
    <w:rsid w:val="478D08F6"/>
    <w:rsid w:val="478D1622"/>
    <w:rsid w:val="478F5D0B"/>
    <w:rsid w:val="47926E00"/>
    <w:rsid w:val="479A3013"/>
    <w:rsid w:val="479D5A47"/>
    <w:rsid w:val="47A11E6C"/>
    <w:rsid w:val="47A31F5F"/>
    <w:rsid w:val="47A345BE"/>
    <w:rsid w:val="47A84BA6"/>
    <w:rsid w:val="47AA2CB1"/>
    <w:rsid w:val="47B52444"/>
    <w:rsid w:val="47B8724E"/>
    <w:rsid w:val="47C167F2"/>
    <w:rsid w:val="47D46525"/>
    <w:rsid w:val="47ED7BCA"/>
    <w:rsid w:val="47F24BFD"/>
    <w:rsid w:val="47F46BC7"/>
    <w:rsid w:val="48016F34"/>
    <w:rsid w:val="480556DB"/>
    <w:rsid w:val="48185C56"/>
    <w:rsid w:val="48254C34"/>
    <w:rsid w:val="48450F81"/>
    <w:rsid w:val="48455675"/>
    <w:rsid w:val="484E729D"/>
    <w:rsid w:val="48566773"/>
    <w:rsid w:val="485A23C2"/>
    <w:rsid w:val="48623B31"/>
    <w:rsid w:val="48691107"/>
    <w:rsid w:val="48895289"/>
    <w:rsid w:val="48A16B62"/>
    <w:rsid w:val="48AE0D54"/>
    <w:rsid w:val="48BC6222"/>
    <w:rsid w:val="48BD16AF"/>
    <w:rsid w:val="48BF2D31"/>
    <w:rsid w:val="48C245E9"/>
    <w:rsid w:val="48CF1BDE"/>
    <w:rsid w:val="48DB312A"/>
    <w:rsid w:val="48DF49D9"/>
    <w:rsid w:val="48E76711"/>
    <w:rsid w:val="48F14EB5"/>
    <w:rsid w:val="490B5F77"/>
    <w:rsid w:val="491D3EFC"/>
    <w:rsid w:val="492108CC"/>
    <w:rsid w:val="492928A1"/>
    <w:rsid w:val="49413F52"/>
    <w:rsid w:val="494F6304"/>
    <w:rsid w:val="4968786D"/>
    <w:rsid w:val="496A2251"/>
    <w:rsid w:val="49792B95"/>
    <w:rsid w:val="498477B9"/>
    <w:rsid w:val="498521CD"/>
    <w:rsid w:val="498875C7"/>
    <w:rsid w:val="49A34401"/>
    <w:rsid w:val="49AB1508"/>
    <w:rsid w:val="49EF5898"/>
    <w:rsid w:val="49F11610"/>
    <w:rsid w:val="4A01681E"/>
    <w:rsid w:val="4A05334F"/>
    <w:rsid w:val="4A060864"/>
    <w:rsid w:val="4A244932"/>
    <w:rsid w:val="4A2922C8"/>
    <w:rsid w:val="4A344C24"/>
    <w:rsid w:val="4A4117B2"/>
    <w:rsid w:val="4A4A6F73"/>
    <w:rsid w:val="4A642BBB"/>
    <w:rsid w:val="4A712751"/>
    <w:rsid w:val="4A7A4350"/>
    <w:rsid w:val="4A7B1703"/>
    <w:rsid w:val="4A7E2497"/>
    <w:rsid w:val="4A896826"/>
    <w:rsid w:val="4A8E50B1"/>
    <w:rsid w:val="4A993A56"/>
    <w:rsid w:val="4A9F6367"/>
    <w:rsid w:val="4AA77F21"/>
    <w:rsid w:val="4AAC5537"/>
    <w:rsid w:val="4AB74A04"/>
    <w:rsid w:val="4ABF5E17"/>
    <w:rsid w:val="4ACB00B3"/>
    <w:rsid w:val="4ACF7478"/>
    <w:rsid w:val="4AD52CE0"/>
    <w:rsid w:val="4AD5594C"/>
    <w:rsid w:val="4AE01A66"/>
    <w:rsid w:val="4AE03433"/>
    <w:rsid w:val="4AE104D6"/>
    <w:rsid w:val="4AE724D1"/>
    <w:rsid w:val="4AE77140"/>
    <w:rsid w:val="4AEA4061"/>
    <w:rsid w:val="4AEB3612"/>
    <w:rsid w:val="4AED707B"/>
    <w:rsid w:val="4AFA2F07"/>
    <w:rsid w:val="4B013AD5"/>
    <w:rsid w:val="4B015D61"/>
    <w:rsid w:val="4B0B7979"/>
    <w:rsid w:val="4B1530DD"/>
    <w:rsid w:val="4B1F6EF9"/>
    <w:rsid w:val="4B3E3B79"/>
    <w:rsid w:val="4B4A760A"/>
    <w:rsid w:val="4B520DF4"/>
    <w:rsid w:val="4B55797D"/>
    <w:rsid w:val="4B603107"/>
    <w:rsid w:val="4B753078"/>
    <w:rsid w:val="4B773D97"/>
    <w:rsid w:val="4B7A5635"/>
    <w:rsid w:val="4B7C315C"/>
    <w:rsid w:val="4B8509FE"/>
    <w:rsid w:val="4B8E10E1"/>
    <w:rsid w:val="4B9802B0"/>
    <w:rsid w:val="4B9E65BE"/>
    <w:rsid w:val="4B9F33A8"/>
    <w:rsid w:val="4BA80AFD"/>
    <w:rsid w:val="4BB033BA"/>
    <w:rsid w:val="4BB41A6E"/>
    <w:rsid w:val="4BB469AD"/>
    <w:rsid w:val="4BC06040"/>
    <w:rsid w:val="4BC66ACD"/>
    <w:rsid w:val="4BCF5981"/>
    <w:rsid w:val="4BD846DB"/>
    <w:rsid w:val="4BDC3BFA"/>
    <w:rsid w:val="4BF441D2"/>
    <w:rsid w:val="4BFE6267"/>
    <w:rsid w:val="4C1C2A09"/>
    <w:rsid w:val="4C284AD9"/>
    <w:rsid w:val="4C423098"/>
    <w:rsid w:val="4C694192"/>
    <w:rsid w:val="4C7964D9"/>
    <w:rsid w:val="4C7C718B"/>
    <w:rsid w:val="4C8229F4"/>
    <w:rsid w:val="4C891FD4"/>
    <w:rsid w:val="4C8C5620"/>
    <w:rsid w:val="4C8D4534"/>
    <w:rsid w:val="4C905CCA"/>
    <w:rsid w:val="4C9269F6"/>
    <w:rsid w:val="4C973D5A"/>
    <w:rsid w:val="4CB75F07"/>
    <w:rsid w:val="4CC4733F"/>
    <w:rsid w:val="4CC84335"/>
    <w:rsid w:val="4CD22B0F"/>
    <w:rsid w:val="4CDA3E72"/>
    <w:rsid w:val="4CE4545C"/>
    <w:rsid w:val="4CE9350A"/>
    <w:rsid w:val="4CE94821"/>
    <w:rsid w:val="4D014937"/>
    <w:rsid w:val="4D072EF9"/>
    <w:rsid w:val="4D175F8A"/>
    <w:rsid w:val="4D1E2466"/>
    <w:rsid w:val="4D2256CD"/>
    <w:rsid w:val="4D225F85"/>
    <w:rsid w:val="4D27359B"/>
    <w:rsid w:val="4D297BF3"/>
    <w:rsid w:val="4D2D0EAF"/>
    <w:rsid w:val="4D534390"/>
    <w:rsid w:val="4D550108"/>
    <w:rsid w:val="4D795A49"/>
    <w:rsid w:val="4D7F0082"/>
    <w:rsid w:val="4D910B7E"/>
    <w:rsid w:val="4D952FD9"/>
    <w:rsid w:val="4D970662"/>
    <w:rsid w:val="4D9A1FBF"/>
    <w:rsid w:val="4D9F40B3"/>
    <w:rsid w:val="4DB33393"/>
    <w:rsid w:val="4DB90B8C"/>
    <w:rsid w:val="4DBC3CE3"/>
    <w:rsid w:val="4DCB51C5"/>
    <w:rsid w:val="4DCF1E0D"/>
    <w:rsid w:val="4DD632D9"/>
    <w:rsid w:val="4DD94895"/>
    <w:rsid w:val="4DE05D9E"/>
    <w:rsid w:val="4DE05DF9"/>
    <w:rsid w:val="4DE44800"/>
    <w:rsid w:val="4DE90850"/>
    <w:rsid w:val="4DEE0709"/>
    <w:rsid w:val="4DF26A56"/>
    <w:rsid w:val="4DF47921"/>
    <w:rsid w:val="4DF558BF"/>
    <w:rsid w:val="4DFC14EA"/>
    <w:rsid w:val="4DFF6815"/>
    <w:rsid w:val="4E0A3427"/>
    <w:rsid w:val="4E2423AC"/>
    <w:rsid w:val="4E261AA5"/>
    <w:rsid w:val="4E287F63"/>
    <w:rsid w:val="4E304B5D"/>
    <w:rsid w:val="4E345F70"/>
    <w:rsid w:val="4E353A96"/>
    <w:rsid w:val="4E377F77"/>
    <w:rsid w:val="4E3F66C2"/>
    <w:rsid w:val="4E406B13"/>
    <w:rsid w:val="4E611B8B"/>
    <w:rsid w:val="4E6279D7"/>
    <w:rsid w:val="4E682F8C"/>
    <w:rsid w:val="4E683E6B"/>
    <w:rsid w:val="4E6A7BB7"/>
    <w:rsid w:val="4E6C5D89"/>
    <w:rsid w:val="4E9133C2"/>
    <w:rsid w:val="4EB23220"/>
    <w:rsid w:val="4EC70B92"/>
    <w:rsid w:val="4EC866B8"/>
    <w:rsid w:val="4ED46303"/>
    <w:rsid w:val="4EE661F8"/>
    <w:rsid w:val="4EF27A04"/>
    <w:rsid w:val="4F0773B4"/>
    <w:rsid w:val="4F0C69BB"/>
    <w:rsid w:val="4F241019"/>
    <w:rsid w:val="4F307BB1"/>
    <w:rsid w:val="4F336227"/>
    <w:rsid w:val="4F3B50DC"/>
    <w:rsid w:val="4F3C3EF2"/>
    <w:rsid w:val="4F3D562D"/>
    <w:rsid w:val="4F5C4EE0"/>
    <w:rsid w:val="4F681AF1"/>
    <w:rsid w:val="4F6E1972"/>
    <w:rsid w:val="4F943166"/>
    <w:rsid w:val="4F9C19A5"/>
    <w:rsid w:val="4FBA02A1"/>
    <w:rsid w:val="4FBA24A4"/>
    <w:rsid w:val="4FC275AB"/>
    <w:rsid w:val="4FD24AEE"/>
    <w:rsid w:val="4FD86DCF"/>
    <w:rsid w:val="4FE319FB"/>
    <w:rsid w:val="4FE7106E"/>
    <w:rsid w:val="4FF82FCD"/>
    <w:rsid w:val="4FFC288D"/>
    <w:rsid w:val="50053943"/>
    <w:rsid w:val="50260569"/>
    <w:rsid w:val="50374A3C"/>
    <w:rsid w:val="5039786D"/>
    <w:rsid w:val="50487AB0"/>
    <w:rsid w:val="50550E55"/>
    <w:rsid w:val="50666188"/>
    <w:rsid w:val="506F7733"/>
    <w:rsid w:val="50901457"/>
    <w:rsid w:val="509F43E4"/>
    <w:rsid w:val="50A54D3E"/>
    <w:rsid w:val="50B67110"/>
    <w:rsid w:val="50B82E88"/>
    <w:rsid w:val="50BB32A7"/>
    <w:rsid w:val="50CC5CB2"/>
    <w:rsid w:val="50ED1473"/>
    <w:rsid w:val="50F1402B"/>
    <w:rsid w:val="50FD2AD9"/>
    <w:rsid w:val="51064A9D"/>
    <w:rsid w:val="51081E85"/>
    <w:rsid w:val="51097D9A"/>
    <w:rsid w:val="511A650F"/>
    <w:rsid w:val="51237D2E"/>
    <w:rsid w:val="51295DBA"/>
    <w:rsid w:val="514229EF"/>
    <w:rsid w:val="5147193B"/>
    <w:rsid w:val="515B06D0"/>
    <w:rsid w:val="51764AF1"/>
    <w:rsid w:val="51907961"/>
    <w:rsid w:val="51996737"/>
    <w:rsid w:val="51B408B8"/>
    <w:rsid w:val="51B80848"/>
    <w:rsid w:val="51CC0868"/>
    <w:rsid w:val="51D5340F"/>
    <w:rsid w:val="51DA5080"/>
    <w:rsid w:val="51DE608F"/>
    <w:rsid w:val="51DF2696"/>
    <w:rsid w:val="521A6BBB"/>
    <w:rsid w:val="521C24C4"/>
    <w:rsid w:val="52287B99"/>
    <w:rsid w:val="52382F2A"/>
    <w:rsid w:val="52386E3D"/>
    <w:rsid w:val="523A7DD1"/>
    <w:rsid w:val="523B7711"/>
    <w:rsid w:val="524C0327"/>
    <w:rsid w:val="524D7600"/>
    <w:rsid w:val="52662470"/>
    <w:rsid w:val="526C337C"/>
    <w:rsid w:val="5271774C"/>
    <w:rsid w:val="527A416D"/>
    <w:rsid w:val="528D5323"/>
    <w:rsid w:val="528D7B65"/>
    <w:rsid w:val="52976ACD"/>
    <w:rsid w:val="5299416C"/>
    <w:rsid w:val="52AA11D3"/>
    <w:rsid w:val="52DE008D"/>
    <w:rsid w:val="52EE341E"/>
    <w:rsid w:val="52F37FE6"/>
    <w:rsid w:val="52FC1CAF"/>
    <w:rsid w:val="52FE08FA"/>
    <w:rsid w:val="52FF22FE"/>
    <w:rsid w:val="53004672"/>
    <w:rsid w:val="530B071F"/>
    <w:rsid w:val="531A330F"/>
    <w:rsid w:val="532B6CAF"/>
    <w:rsid w:val="53350D91"/>
    <w:rsid w:val="53412644"/>
    <w:rsid w:val="53433903"/>
    <w:rsid w:val="534E7AD3"/>
    <w:rsid w:val="53517A72"/>
    <w:rsid w:val="535D4B57"/>
    <w:rsid w:val="5361549D"/>
    <w:rsid w:val="536220DA"/>
    <w:rsid w:val="53650637"/>
    <w:rsid w:val="5367649F"/>
    <w:rsid w:val="536A5F90"/>
    <w:rsid w:val="537155BE"/>
    <w:rsid w:val="53757C6B"/>
    <w:rsid w:val="537E1075"/>
    <w:rsid w:val="538452A3"/>
    <w:rsid w:val="539A4AC7"/>
    <w:rsid w:val="53A44D07"/>
    <w:rsid w:val="53A46AC8"/>
    <w:rsid w:val="53AB7F1F"/>
    <w:rsid w:val="53AC6F7B"/>
    <w:rsid w:val="53C01F4F"/>
    <w:rsid w:val="53C421A6"/>
    <w:rsid w:val="53C75DFB"/>
    <w:rsid w:val="53D8739D"/>
    <w:rsid w:val="53DD3E25"/>
    <w:rsid w:val="53E15798"/>
    <w:rsid w:val="53EB297B"/>
    <w:rsid w:val="53EC4BF7"/>
    <w:rsid w:val="53F671DE"/>
    <w:rsid w:val="53F758A1"/>
    <w:rsid w:val="53FC2BBB"/>
    <w:rsid w:val="540D5A7F"/>
    <w:rsid w:val="542C1497"/>
    <w:rsid w:val="542E2BC2"/>
    <w:rsid w:val="54352A96"/>
    <w:rsid w:val="54406946"/>
    <w:rsid w:val="54447390"/>
    <w:rsid w:val="544B514D"/>
    <w:rsid w:val="545E1D01"/>
    <w:rsid w:val="5463404B"/>
    <w:rsid w:val="54674051"/>
    <w:rsid w:val="54705828"/>
    <w:rsid w:val="5472334E"/>
    <w:rsid w:val="54935B8F"/>
    <w:rsid w:val="54996B2C"/>
    <w:rsid w:val="549D3677"/>
    <w:rsid w:val="549E4143"/>
    <w:rsid w:val="54AA6F8B"/>
    <w:rsid w:val="54B03E76"/>
    <w:rsid w:val="54BB2F47"/>
    <w:rsid w:val="54BF230B"/>
    <w:rsid w:val="54CC6227"/>
    <w:rsid w:val="54D10F9B"/>
    <w:rsid w:val="54D97871"/>
    <w:rsid w:val="54DB4AA8"/>
    <w:rsid w:val="54DC4C6B"/>
    <w:rsid w:val="550B5550"/>
    <w:rsid w:val="551D586C"/>
    <w:rsid w:val="55200298"/>
    <w:rsid w:val="55225AFC"/>
    <w:rsid w:val="55335E1B"/>
    <w:rsid w:val="5536079B"/>
    <w:rsid w:val="554B7EF0"/>
    <w:rsid w:val="554C1DF1"/>
    <w:rsid w:val="556F3D99"/>
    <w:rsid w:val="556F788D"/>
    <w:rsid w:val="55720837"/>
    <w:rsid w:val="55860894"/>
    <w:rsid w:val="558F6181"/>
    <w:rsid w:val="55B02DF1"/>
    <w:rsid w:val="55C4407D"/>
    <w:rsid w:val="55CC69FA"/>
    <w:rsid w:val="55CD0FB3"/>
    <w:rsid w:val="55D47A00"/>
    <w:rsid w:val="55D5456D"/>
    <w:rsid w:val="55DC290C"/>
    <w:rsid w:val="55E71B19"/>
    <w:rsid w:val="55EA5D64"/>
    <w:rsid w:val="55F01FA1"/>
    <w:rsid w:val="55F12998"/>
    <w:rsid w:val="55F45FE4"/>
    <w:rsid w:val="55FC19B9"/>
    <w:rsid w:val="56130B60"/>
    <w:rsid w:val="561A5A4B"/>
    <w:rsid w:val="56234F28"/>
    <w:rsid w:val="562C1C22"/>
    <w:rsid w:val="56586573"/>
    <w:rsid w:val="56666B5B"/>
    <w:rsid w:val="56717635"/>
    <w:rsid w:val="567333AD"/>
    <w:rsid w:val="56764C4B"/>
    <w:rsid w:val="568E01E7"/>
    <w:rsid w:val="56990B7C"/>
    <w:rsid w:val="569972B8"/>
    <w:rsid w:val="569E1126"/>
    <w:rsid w:val="56A8690E"/>
    <w:rsid w:val="56B51C18"/>
    <w:rsid w:val="56B679AB"/>
    <w:rsid w:val="56B72852"/>
    <w:rsid w:val="56B80DEB"/>
    <w:rsid w:val="56D976B4"/>
    <w:rsid w:val="56E0560F"/>
    <w:rsid w:val="56E06E61"/>
    <w:rsid w:val="56E9366F"/>
    <w:rsid w:val="56EF3C74"/>
    <w:rsid w:val="56F653FE"/>
    <w:rsid w:val="57007337"/>
    <w:rsid w:val="571526B6"/>
    <w:rsid w:val="57272B15"/>
    <w:rsid w:val="572B1EDA"/>
    <w:rsid w:val="57315742"/>
    <w:rsid w:val="573D6AD0"/>
    <w:rsid w:val="574448FC"/>
    <w:rsid w:val="57561D39"/>
    <w:rsid w:val="575B7AFD"/>
    <w:rsid w:val="576176AA"/>
    <w:rsid w:val="57660D3F"/>
    <w:rsid w:val="5774562F"/>
    <w:rsid w:val="5785783C"/>
    <w:rsid w:val="578F06BB"/>
    <w:rsid w:val="57A23AD5"/>
    <w:rsid w:val="57A469A0"/>
    <w:rsid w:val="57A620E9"/>
    <w:rsid w:val="57CC4BC2"/>
    <w:rsid w:val="57CF0BCB"/>
    <w:rsid w:val="57D10760"/>
    <w:rsid w:val="57D1153D"/>
    <w:rsid w:val="57D77297"/>
    <w:rsid w:val="57EF4CB5"/>
    <w:rsid w:val="57FA3774"/>
    <w:rsid w:val="58020B21"/>
    <w:rsid w:val="58084A3C"/>
    <w:rsid w:val="582772A7"/>
    <w:rsid w:val="583059FA"/>
    <w:rsid w:val="583354EA"/>
    <w:rsid w:val="583F79EB"/>
    <w:rsid w:val="5847689F"/>
    <w:rsid w:val="58531B77"/>
    <w:rsid w:val="58564D34"/>
    <w:rsid w:val="585D2975"/>
    <w:rsid w:val="585D4315"/>
    <w:rsid w:val="585E3492"/>
    <w:rsid w:val="585F64F9"/>
    <w:rsid w:val="587A6C4B"/>
    <w:rsid w:val="587E3341"/>
    <w:rsid w:val="587F428B"/>
    <w:rsid w:val="58843A9C"/>
    <w:rsid w:val="58935F89"/>
    <w:rsid w:val="5895585D"/>
    <w:rsid w:val="58B31855"/>
    <w:rsid w:val="58C6004A"/>
    <w:rsid w:val="58CF56D8"/>
    <w:rsid w:val="58D31010"/>
    <w:rsid w:val="58D6741E"/>
    <w:rsid w:val="58DB0535"/>
    <w:rsid w:val="58E467E4"/>
    <w:rsid w:val="58E62E0E"/>
    <w:rsid w:val="58EA3D0E"/>
    <w:rsid w:val="58F24A5D"/>
    <w:rsid w:val="58F71269"/>
    <w:rsid w:val="58FE045E"/>
    <w:rsid w:val="58FE78A6"/>
    <w:rsid w:val="59014CEF"/>
    <w:rsid w:val="59017396"/>
    <w:rsid w:val="591744C4"/>
    <w:rsid w:val="591946E0"/>
    <w:rsid w:val="59442D7E"/>
    <w:rsid w:val="59561946"/>
    <w:rsid w:val="5961765F"/>
    <w:rsid w:val="59670F51"/>
    <w:rsid w:val="596A44F9"/>
    <w:rsid w:val="596C19BB"/>
    <w:rsid w:val="59790BDB"/>
    <w:rsid w:val="597E3F42"/>
    <w:rsid w:val="598653AC"/>
    <w:rsid w:val="598F04FE"/>
    <w:rsid w:val="59AC10B0"/>
    <w:rsid w:val="59AC3C86"/>
    <w:rsid w:val="59B461B6"/>
    <w:rsid w:val="59B817D3"/>
    <w:rsid w:val="59C11856"/>
    <w:rsid w:val="59C153AB"/>
    <w:rsid w:val="59CC1752"/>
    <w:rsid w:val="59D42FDA"/>
    <w:rsid w:val="59D70DF6"/>
    <w:rsid w:val="59DA4E01"/>
    <w:rsid w:val="59F64E82"/>
    <w:rsid w:val="5A04713E"/>
    <w:rsid w:val="5A062F3F"/>
    <w:rsid w:val="5A0A5DD6"/>
    <w:rsid w:val="5A10435C"/>
    <w:rsid w:val="5A111C53"/>
    <w:rsid w:val="5A1621EF"/>
    <w:rsid w:val="5A2654CC"/>
    <w:rsid w:val="5A292701"/>
    <w:rsid w:val="5A323A44"/>
    <w:rsid w:val="5A395E66"/>
    <w:rsid w:val="5A476FBE"/>
    <w:rsid w:val="5A484352"/>
    <w:rsid w:val="5A5321A5"/>
    <w:rsid w:val="5A783688"/>
    <w:rsid w:val="5A845B89"/>
    <w:rsid w:val="5A8734AF"/>
    <w:rsid w:val="5A955FE8"/>
    <w:rsid w:val="5A9D3E45"/>
    <w:rsid w:val="5AA1673B"/>
    <w:rsid w:val="5AA4101D"/>
    <w:rsid w:val="5AA93841"/>
    <w:rsid w:val="5AB17576"/>
    <w:rsid w:val="5ABA59C8"/>
    <w:rsid w:val="5ABD68E6"/>
    <w:rsid w:val="5ABF73D2"/>
    <w:rsid w:val="5ACB3D8A"/>
    <w:rsid w:val="5ACE32A8"/>
    <w:rsid w:val="5AD52888"/>
    <w:rsid w:val="5ADE798F"/>
    <w:rsid w:val="5AE12FDB"/>
    <w:rsid w:val="5AE1508F"/>
    <w:rsid w:val="5AF80256"/>
    <w:rsid w:val="5B110CC9"/>
    <w:rsid w:val="5B136165"/>
    <w:rsid w:val="5B172EA1"/>
    <w:rsid w:val="5B1851F5"/>
    <w:rsid w:val="5B1F7B5D"/>
    <w:rsid w:val="5B24736C"/>
    <w:rsid w:val="5B29420B"/>
    <w:rsid w:val="5B585171"/>
    <w:rsid w:val="5B585B78"/>
    <w:rsid w:val="5B5E0F00"/>
    <w:rsid w:val="5B6D62B9"/>
    <w:rsid w:val="5B746CFA"/>
    <w:rsid w:val="5B7A4125"/>
    <w:rsid w:val="5B9A2B59"/>
    <w:rsid w:val="5B9C5AAD"/>
    <w:rsid w:val="5BA652E6"/>
    <w:rsid w:val="5BAA7871"/>
    <w:rsid w:val="5BBB7CD0"/>
    <w:rsid w:val="5BC0085A"/>
    <w:rsid w:val="5BC326E1"/>
    <w:rsid w:val="5BE03293"/>
    <w:rsid w:val="5BF03D58"/>
    <w:rsid w:val="5BF20AFB"/>
    <w:rsid w:val="5C0E5921"/>
    <w:rsid w:val="5C1823FA"/>
    <w:rsid w:val="5C1A6BB2"/>
    <w:rsid w:val="5C284A34"/>
    <w:rsid w:val="5C306D31"/>
    <w:rsid w:val="5C3435DF"/>
    <w:rsid w:val="5C37233A"/>
    <w:rsid w:val="5C4557EC"/>
    <w:rsid w:val="5C5355FE"/>
    <w:rsid w:val="5C551CAC"/>
    <w:rsid w:val="5C5A49A5"/>
    <w:rsid w:val="5C6519EA"/>
    <w:rsid w:val="5C6715FE"/>
    <w:rsid w:val="5C6F4105"/>
    <w:rsid w:val="5C7542D1"/>
    <w:rsid w:val="5C902F0B"/>
    <w:rsid w:val="5CB12E81"/>
    <w:rsid w:val="5CBB7F6F"/>
    <w:rsid w:val="5CC248CE"/>
    <w:rsid w:val="5CC2690B"/>
    <w:rsid w:val="5CC826A5"/>
    <w:rsid w:val="5CD31049"/>
    <w:rsid w:val="5CF1327E"/>
    <w:rsid w:val="5D042FB1"/>
    <w:rsid w:val="5D3A2E77"/>
    <w:rsid w:val="5D442CB4"/>
    <w:rsid w:val="5D4C6846"/>
    <w:rsid w:val="5D5757D7"/>
    <w:rsid w:val="5D773808"/>
    <w:rsid w:val="5D7C3F11"/>
    <w:rsid w:val="5D9702C9"/>
    <w:rsid w:val="5D971C5A"/>
    <w:rsid w:val="5D9D49E0"/>
    <w:rsid w:val="5DA01E9E"/>
    <w:rsid w:val="5DAD3649"/>
    <w:rsid w:val="5DAD55EA"/>
    <w:rsid w:val="5DC310BE"/>
    <w:rsid w:val="5DC32E6C"/>
    <w:rsid w:val="5DDF1821"/>
    <w:rsid w:val="5DE2656A"/>
    <w:rsid w:val="5DEA2F91"/>
    <w:rsid w:val="5DF94AE0"/>
    <w:rsid w:val="5DFA5883"/>
    <w:rsid w:val="5E1C432A"/>
    <w:rsid w:val="5E224037"/>
    <w:rsid w:val="5E3146A3"/>
    <w:rsid w:val="5E336236"/>
    <w:rsid w:val="5E442F62"/>
    <w:rsid w:val="5E6C2C5B"/>
    <w:rsid w:val="5E6E2DD8"/>
    <w:rsid w:val="5E7251A2"/>
    <w:rsid w:val="5E7C3591"/>
    <w:rsid w:val="5E8E347A"/>
    <w:rsid w:val="5E9842F9"/>
    <w:rsid w:val="5E9D0E18"/>
    <w:rsid w:val="5EA26F25"/>
    <w:rsid w:val="5EA341D7"/>
    <w:rsid w:val="5EA755DE"/>
    <w:rsid w:val="5EAE7678"/>
    <w:rsid w:val="5ED35F0E"/>
    <w:rsid w:val="5EDF7832"/>
    <w:rsid w:val="5EFC1390"/>
    <w:rsid w:val="5EFC3EB6"/>
    <w:rsid w:val="5F00622C"/>
    <w:rsid w:val="5F03335D"/>
    <w:rsid w:val="5F0368C7"/>
    <w:rsid w:val="5F096FA4"/>
    <w:rsid w:val="5F1544E7"/>
    <w:rsid w:val="5F197EE8"/>
    <w:rsid w:val="5F312D8D"/>
    <w:rsid w:val="5F3C1030"/>
    <w:rsid w:val="5F3C4923"/>
    <w:rsid w:val="5F4160B0"/>
    <w:rsid w:val="5F426012"/>
    <w:rsid w:val="5F473629"/>
    <w:rsid w:val="5F5A7800"/>
    <w:rsid w:val="5F621814"/>
    <w:rsid w:val="5F6368E9"/>
    <w:rsid w:val="5F7811D3"/>
    <w:rsid w:val="5F9A65E6"/>
    <w:rsid w:val="5F9B2627"/>
    <w:rsid w:val="5FA03FC2"/>
    <w:rsid w:val="5FA66B60"/>
    <w:rsid w:val="5FAA0B34"/>
    <w:rsid w:val="5FAC7B1F"/>
    <w:rsid w:val="5FB5266F"/>
    <w:rsid w:val="5FB80E3D"/>
    <w:rsid w:val="5FB831B4"/>
    <w:rsid w:val="5FBD2955"/>
    <w:rsid w:val="5FD40999"/>
    <w:rsid w:val="5FE5522B"/>
    <w:rsid w:val="5FEB14C7"/>
    <w:rsid w:val="5FF03F08"/>
    <w:rsid w:val="5FF2548E"/>
    <w:rsid w:val="5FF313D3"/>
    <w:rsid w:val="6005776C"/>
    <w:rsid w:val="602610FD"/>
    <w:rsid w:val="602808B2"/>
    <w:rsid w:val="602C2F4B"/>
    <w:rsid w:val="602D0A71"/>
    <w:rsid w:val="60307A2A"/>
    <w:rsid w:val="603814FF"/>
    <w:rsid w:val="604109A8"/>
    <w:rsid w:val="60522285"/>
    <w:rsid w:val="605D2617"/>
    <w:rsid w:val="60616CDC"/>
    <w:rsid w:val="60624E53"/>
    <w:rsid w:val="606319E5"/>
    <w:rsid w:val="607A77D8"/>
    <w:rsid w:val="607B3C50"/>
    <w:rsid w:val="608B6567"/>
    <w:rsid w:val="60902A4E"/>
    <w:rsid w:val="60917251"/>
    <w:rsid w:val="60AA3E6F"/>
    <w:rsid w:val="60BB607C"/>
    <w:rsid w:val="60C7627E"/>
    <w:rsid w:val="60E02B13"/>
    <w:rsid w:val="60FF21D9"/>
    <w:rsid w:val="610C0686"/>
    <w:rsid w:val="611063C8"/>
    <w:rsid w:val="611E37D0"/>
    <w:rsid w:val="613021B3"/>
    <w:rsid w:val="61306A6A"/>
    <w:rsid w:val="613253FD"/>
    <w:rsid w:val="61421F29"/>
    <w:rsid w:val="61521F2D"/>
    <w:rsid w:val="615F221E"/>
    <w:rsid w:val="61637D56"/>
    <w:rsid w:val="61712185"/>
    <w:rsid w:val="618B5A4F"/>
    <w:rsid w:val="618B7207"/>
    <w:rsid w:val="61907E69"/>
    <w:rsid w:val="619E1C26"/>
    <w:rsid w:val="61A86601"/>
    <w:rsid w:val="61A90D68"/>
    <w:rsid w:val="61B22578"/>
    <w:rsid w:val="61B43A15"/>
    <w:rsid w:val="61DA0425"/>
    <w:rsid w:val="61E33ADD"/>
    <w:rsid w:val="62015D11"/>
    <w:rsid w:val="62065A1D"/>
    <w:rsid w:val="6213792C"/>
    <w:rsid w:val="621775E2"/>
    <w:rsid w:val="621C0D9D"/>
    <w:rsid w:val="622F7552"/>
    <w:rsid w:val="6250406E"/>
    <w:rsid w:val="626369CC"/>
    <w:rsid w:val="6267666C"/>
    <w:rsid w:val="627D6831"/>
    <w:rsid w:val="627E3805"/>
    <w:rsid w:val="62811B1C"/>
    <w:rsid w:val="62A20409"/>
    <w:rsid w:val="62AC0373"/>
    <w:rsid w:val="62B54B44"/>
    <w:rsid w:val="62CE02E9"/>
    <w:rsid w:val="62E045DA"/>
    <w:rsid w:val="62E23D94"/>
    <w:rsid w:val="62E454A1"/>
    <w:rsid w:val="62E95123"/>
    <w:rsid w:val="62EF025F"/>
    <w:rsid w:val="62F36E4C"/>
    <w:rsid w:val="62F47F8F"/>
    <w:rsid w:val="62F7233F"/>
    <w:rsid w:val="63051831"/>
    <w:rsid w:val="630737FB"/>
    <w:rsid w:val="631B2E02"/>
    <w:rsid w:val="631F3FB4"/>
    <w:rsid w:val="63273E9D"/>
    <w:rsid w:val="63364F75"/>
    <w:rsid w:val="6340438B"/>
    <w:rsid w:val="6353238E"/>
    <w:rsid w:val="63612AB8"/>
    <w:rsid w:val="63676048"/>
    <w:rsid w:val="6379289B"/>
    <w:rsid w:val="63794D6B"/>
    <w:rsid w:val="637B1AF3"/>
    <w:rsid w:val="637D0978"/>
    <w:rsid w:val="637D18D6"/>
    <w:rsid w:val="63861A11"/>
    <w:rsid w:val="638906B4"/>
    <w:rsid w:val="638968B0"/>
    <w:rsid w:val="638A282C"/>
    <w:rsid w:val="6393508F"/>
    <w:rsid w:val="639A3568"/>
    <w:rsid w:val="63A75341"/>
    <w:rsid w:val="63A85E90"/>
    <w:rsid w:val="63A962DB"/>
    <w:rsid w:val="63AB1A91"/>
    <w:rsid w:val="63B75221"/>
    <w:rsid w:val="63B82D47"/>
    <w:rsid w:val="63C416EC"/>
    <w:rsid w:val="63C74D38"/>
    <w:rsid w:val="63D556A7"/>
    <w:rsid w:val="63E17D6C"/>
    <w:rsid w:val="63EA73A4"/>
    <w:rsid w:val="63EE4692"/>
    <w:rsid w:val="63FD622D"/>
    <w:rsid w:val="63FE4BFE"/>
    <w:rsid w:val="64177A6E"/>
    <w:rsid w:val="641F42FB"/>
    <w:rsid w:val="6428796E"/>
    <w:rsid w:val="642F4DB7"/>
    <w:rsid w:val="643F32F9"/>
    <w:rsid w:val="644F7208"/>
    <w:rsid w:val="64582686"/>
    <w:rsid w:val="64673C87"/>
    <w:rsid w:val="646E3CD1"/>
    <w:rsid w:val="647A1DAB"/>
    <w:rsid w:val="64877733"/>
    <w:rsid w:val="64925346"/>
    <w:rsid w:val="64A170D2"/>
    <w:rsid w:val="64A251DD"/>
    <w:rsid w:val="64A532CB"/>
    <w:rsid w:val="64A62BA0"/>
    <w:rsid w:val="64BC182A"/>
    <w:rsid w:val="64F46001"/>
    <w:rsid w:val="64FB6CCD"/>
    <w:rsid w:val="650242F0"/>
    <w:rsid w:val="65365B2B"/>
    <w:rsid w:val="653F447E"/>
    <w:rsid w:val="65542778"/>
    <w:rsid w:val="655829AF"/>
    <w:rsid w:val="65665961"/>
    <w:rsid w:val="656B70C3"/>
    <w:rsid w:val="657038D9"/>
    <w:rsid w:val="65711400"/>
    <w:rsid w:val="657D1B52"/>
    <w:rsid w:val="657D7DA4"/>
    <w:rsid w:val="657F1D6E"/>
    <w:rsid w:val="65864EAB"/>
    <w:rsid w:val="658F4798"/>
    <w:rsid w:val="65975457"/>
    <w:rsid w:val="659B1EBA"/>
    <w:rsid w:val="659C3AAC"/>
    <w:rsid w:val="65A11CE5"/>
    <w:rsid w:val="65A83379"/>
    <w:rsid w:val="65B461E9"/>
    <w:rsid w:val="65B73498"/>
    <w:rsid w:val="65BE39A8"/>
    <w:rsid w:val="65C23A09"/>
    <w:rsid w:val="65E46075"/>
    <w:rsid w:val="65FB3FBE"/>
    <w:rsid w:val="660109D5"/>
    <w:rsid w:val="66101A71"/>
    <w:rsid w:val="66171FA7"/>
    <w:rsid w:val="6623094C"/>
    <w:rsid w:val="66247D11"/>
    <w:rsid w:val="66326DE1"/>
    <w:rsid w:val="663A5C95"/>
    <w:rsid w:val="663B3EC9"/>
    <w:rsid w:val="663F505A"/>
    <w:rsid w:val="665A1E94"/>
    <w:rsid w:val="66736112"/>
    <w:rsid w:val="667F5B5B"/>
    <w:rsid w:val="6694262A"/>
    <w:rsid w:val="66990381"/>
    <w:rsid w:val="66996E60"/>
    <w:rsid w:val="66A3383B"/>
    <w:rsid w:val="66A870A3"/>
    <w:rsid w:val="66B31B01"/>
    <w:rsid w:val="66B45A48"/>
    <w:rsid w:val="66B6356E"/>
    <w:rsid w:val="66CE1E80"/>
    <w:rsid w:val="66E362F9"/>
    <w:rsid w:val="66E47FD9"/>
    <w:rsid w:val="66E520A5"/>
    <w:rsid w:val="66E8749F"/>
    <w:rsid w:val="66F04175"/>
    <w:rsid w:val="66F127F8"/>
    <w:rsid w:val="66F2031E"/>
    <w:rsid w:val="67071922"/>
    <w:rsid w:val="6731254F"/>
    <w:rsid w:val="673B73C0"/>
    <w:rsid w:val="674548F2"/>
    <w:rsid w:val="674743C8"/>
    <w:rsid w:val="674A1F08"/>
    <w:rsid w:val="674E19F8"/>
    <w:rsid w:val="675608B6"/>
    <w:rsid w:val="6760172C"/>
    <w:rsid w:val="67754402"/>
    <w:rsid w:val="677D54ED"/>
    <w:rsid w:val="678B726C"/>
    <w:rsid w:val="67925D9A"/>
    <w:rsid w:val="67A00F19"/>
    <w:rsid w:val="67B25E27"/>
    <w:rsid w:val="67B4646D"/>
    <w:rsid w:val="67B464CA"/>
    <w:rsid w:val="67C4383B"/>
    <w:rsid w:val="67D0240D"/>
    <w:rsid w:val="67D35E1A"/>
    <w:rsid w:val="67D839B8"/>
    <w:rsid w:val="67DB0DB2"/>
    <w:rsid w:val="67F35317"/>
    <w:rsid w:val="67F73E3E"/>
    <w:rsid w:val="68016A6B"/>
    <w:rsid w:val="680201B7"/>
    <w:rsid w:val="68040309"/>
    <w:rsid w:val="68060525"/>
    <w:rsid w:val="68103152"/>
    <w:rsid w:val="681A5D7E"/>
    <w:rsid w:val="68362BFB"/>
    <w:rsid w:val="6837248C"/>
    <w:rsid w:val="683D085A"/>
    <w:rsid w:val="683F1130"/>
    <w:rsid w:val="684456A1"/>
    <w:rsid w:val="684C2838"/>
    <w:rsid w:val="685E1363"/>
    <w:rsid w:val="687731D1"/>
    <w:rsid w:val="6878475E"/>
    <w:rsid w:val="6888718C"/>
    <w:rsid w:val="688B4E68"/>
    <w:rsid w:val="688E1089"/>
    <w:rsid w:val="68993219"/>
    <w:rsid w:val="689A674E"/>
    <w:rsid w:val="689E250C"/>
    <w:rsid w:val="689E42BA"/>
    <w:rsid w:val="68A026F3"/>
    <w:rsid w:val="68AD09A1"/>
    <w:rsid w:val="68AF6C13"/>
    <w:rsid w:val="68C77CB4"/>
    <w:rsid w:val="68D221B5"/>
    <w:rsid w:val="68D93544"/>
    <w:rsid w:val="68F25680"/>
    <w:rsid w:val="68FB170C"/>
    <w:rsid w:val="68FB795E"/>
    <w:rsid w:val="68FF6F67"/>
    <w:rsid w:val="69074555"/>
    <w:rsid w:val="690A5DF3"/>
    <w:rsid w:val="690C1B6B"/>
    <w:rsid w:val="690E07C7"/>
    <w:rsid w:val="69140A20"/>
    <w:rsid w:val="69236A65"/>
    <w:rsid w:val="692E469B"/>
    <w:rsid w:val="69315C48"/>
    <w:rsid w:val="694019EC"/>
    <w:rsid w:val="694841AF"/>
    <w:rsid w:val="69584DB4"/>
    <w:rsid w:val="695B5B89"/>
    <w:rsid w:val="696C3D80"/>
    <w:rsid w:val="696D7E94"/>
    <w:rsid w:val="697D0373"/>
    <w:rsid w:val="69821E2D"/>
    <w:rsid w:val="69863787"/>
    <w:rsid w:val="698A5EE4"/>
    <w:rsid w:val="69A27DD9"/>
    <w:rsid w:val="69B30239"/>
    <w:rsid w:val="69C67F6C"/>
    <w:rsid w:val="69C811ED"/>
    <w:rsid w:val="69D33070"/>
    <w:rsid w:val="69E06B54"/>
    <w:rsid w:val="69E97E75"/>
    <w:rsid w:val="69EF33C0"/>
    <w:rsid w:val="69FB5D9E"/>
    <w:rsid w:val="69FF6FDA"/>
    <w:rsid w:val="6A09542B"/>
    <w:rsid w:val="6A0D5B9B"/>
    <w:rsid w:val="6A143C4B"/>
    <w:rsid w:val="6A1A3007"/>
    <w:rsid w:val="6A1E645E"/>
    <w:rsid w:val="6A3C6480"/>
    <w:rsid w:val="6A417049"/>
    <w:rsid w:val="6A576E16"/>
    <w:rsid w:val="6A7903E5"/>
    <w:rsid w:val="6A8219B9"/>
    <w:rsid w:val="6A822A1B"/>
    <w:rsid w:val="6A8641F2"/>
    <w:rsid w:val="6A8B6AC0"/>
    <w:rsid w:val="6A9701A5"/>
    <w:rsid w:val="6AA03032"/>
    <w:rsid w:val="6AA86FEC"/>
    <w:rsid w:val="6AA87672"/>
    <w:rsid w:val="6AB06526"/>
    <w:rsid w:val="6AB204F0"/>
    <w:rsid w:val="6AC50223"/>
    <w:rsid w:val="6ACB20F7"/>
    <w:rsid w:val="6AD54E94"/>
    <w:rsid w:val="6ADA35A3"/>
    <w:rsid w:val="6ADA6AC4"/>
    <w:rsid w:val="6ADB11D6"/>
    <w:rsid w:val="6AF208ED"/>
    <w:rsid w:val="6B1A2C3C"/>
    <w:rsid w:val="6B221F4E"/>
    <w:rsid w:val="6B2C2051"/>
    <w:rsid w:val="6B31644D"/>
    <w:rsid w:val="6B486C86"/>
    <w:rsid w:val="6B546244"/>
    <w:rsid w:val="6B554C72"/>
    <w:rsid w:val="6B680BAF"/>
    <w:rsid w:val="6B774DF2"/>
    <w:rsid w:val="6B7834E8"/>
    <w:rsid w:val="6B847AD7"/>
    <w:rsid w:val="6B961F07"/>
    <w:rsid w:val="6B9A2DF9"/>
    <w:rsid w:val="6BA56BC7"/>
    <w:rsid w:val="6BAA11C7"/>
    <w:rsid w:val="6BAA566B"/>
    <w:rsid w:val="6BAC4619"/>
    <w:rsid w:val="6BB118FD"/>
    <w:rsid w:val="6BC60150"/>
    <w:rsid w:val="6BCD2823"/>
    <w:rsid w:val="6BDD15DD"/>
    <w:rsid w:val="6BDF2966"/>
    <w:rsid w:val="6BE86A5F"/>
    <w:rsid w:val="6C053C7D"/>
    <w:rsid w:val="6C0D357A"/>
    <w:rsid w:val="6C134FBF"/>
    <w:rsid w:val="6C186A79"/>
    <w:rsid w:val="6C2076DB"/>
    <w:rsid w:val="6C234DED"/>
    <w:rsid w:val="6C29198B"/>
    <w:rsid w:val="6C3A079D"/>
    <w:rsid w:val="6C3A67D1"/>
    <w:rsid w:val="6C3D2157"/>
    <w:rsid w:val="6C3D2D5C"/>
    <w:rsid w:val="6C4800AA"/>
    <w:rsid w:val="6C4D28F8"/>
    <w:rsid w:val="6C573E9C"/>
    <w:rsid w:val="6C5C23DC"/>
    <w:rsid w:val="6C637F41"/>
    <w:rsid w:val="6C6D1126"/>
    <w:rsid w:val="6C742B50"/>
    <w:rsid w:val="6C7672FB"/>
    <w:rsid w:val="6C986334"/>
    <w:rsid w:val="6C9C4FB4"/>
    <w:rsid w:val="6CA35B3A"/>
    <w:rsid w:val="6CA41A5D"/>
    <w:rsid w:val="6CA479DF"/>
    <w:rsid w:val="6CAF588C"/>
    <w:rsid w:val="6CB0280D"/>
    <w:rsid w:val="6CB4638E"/>
    <w:rsid w:val="6CBF3C6A"/>
    <w:rsid w:val="6CBF5306"/>
    <w:rsid w:val="6CC14A1B"/>
    <w:rsid w:val="6CCE7137"/>
    <w:rsid w:val="6CD7423E"/>
    <w:rsid w:val="6CD930DF"/>
    <w:rsid w:val="6CDC1854"/>
    <w:rsid w:val="6CE70FA1"/>
    <w:rsid w:val="6CF05300"/>
    <w:rsid w:val="6CFA6351"/>
    <w:rsid w:val="6CFC3C40"/>
    <w:rsid w:val="6D231231"/>
    <w:rsid w:val="6D266F73"/>
    <w:rsid w:val="6D2F6F7D"/>
    <w:rsid w:val="6D341690"/>
    <w:rsid w:val="6D480984"/>
    <w:rsid w:val="6D521B17"/>
    <w:rsid w:val="6D714693"/>
    <w:rsid w:val="6D8079F9"/>
    <w:rsid w:val="6D8C5028"/>
    <w:rsid w:val="6D9B526C"/>
    <w:rsid w:val="6DA67040"/>
    <w:rsid w:val="6DB13E57"/>
    <w:rsid w:val="6DC20A4A"/>
    <w:rsid w:val="6DC245A2"/>
    <w:rsid w:val="6DC71662"/>
    <w:rsid w:val="6DCD5126"/>
    <w:rsid w:val="6DDB6CB0"/>
    <w:rsid w:val="6DE21877"/>
    <w:rsid w:val="6DE52ACD"/>
    <w:rsid w:val="6DE6443E"/>
    <w:rsid w:val="6DF36E56"/>
    <w:rsid w:val="6DFC0B44"/>
    <w:rsid w:val="6E0458E7"/>
    <w:rsid w:val="6E212037"/>
    <w:rsid w:val="6E25722B"/>
    <w:rsid w:val="6E263D90"/>
    <w:rsid w:val="6E3B221B"/>
    <w:rsid w:val="6E475779"/>
    <w:rsid w:val="6E51424D"/>
    <w:rsid w:val="6E531383"/>
    <w:rsid w:val="6E57750F"/>
    <w:rsid w:val="6E663C68"/>
    <w:rsid w:val="6E7764EF"/>
    <w:rsid w:val="6E8403F6"/>
    <w:rsid w:val="6E952B9A"/>
    <w:rsid w:val="6EA75E92"/>
    <w:rsid w:val="6EA86C1C"/>
    <w:rsid w:val="6EAD447C"/>
    <w:rsid w:val="6EAE5472"/>
    <w:rsid w:val="6EB32A89"/>
    <w:rsid w:val="6EBC069A"/>
    <w:rsid w:val="6EBF4F8A"/>
    <w:rsid w:val="6ECD7F59"/>
    <w:rsid w:val="6ECF449B"/>
    <w:rsid w:val="6ED975CA"/>
    <w:rsid w:val="6EED7C80"/>
    <w:rsid w:val="6EF03395"/>
    <w:rsid w:val="6EF72976"/>
    <w:rsid w:val="6EF773A4"/>
    <w:rsid w:val="6F174DC6"/>
    <w:rsid w:val="6F1E2E65"/>
    <w:rsid w:val="6F26325B"/>
    <w:rsid w:val="6F286FD3"/>
    <w:rsid w:val="6F2F2D9E"/>
    <w:rsid w:val="6F3A05FC"/>
    <w:rsid w:val="6F40431D"/>
    <w:rsid w:val="6F4147D9"/>
    <w:rsid w:val="6F455D89"/>
    <w:rsid w:val="6F5002D8"/>
    <w:rsid w:val="6F581F47"/>
    <w:rsid w:val="6F5B0D5A"/>
    <w:rsid w:val="6F5C35EA"/>
    <w:rsid w:val="6F63625D"/>
    <w:rsid w:val="6F6B6A15"/>
    <w:rsid w:val="6F834209"/>
    <w:rsid w:val="6F947E4B"/>
    <w:rsid w:val="6F9957DB"/>
    <w:rsid w:val="6FA30BDA"/>
    <w:rsid w:val="6FAF14A2"/>
    <w:rsid w:val="6FB21D4C"/>
    <w:rsid w:val="6FB80698"/>
    <w:rsid w:val="6FFD5E0F"/>
    <w:rsid w:val="70076BE8"/>
    <w:rsid w:val="701021F4"/>
    <w:rsid w:val="701B08E6"/>
    <w:rsid w:val="701C29A6"/>
    <w:rsid w:val="7024611F"/>
    <w:rsid w:val="702F7EED"/>
    <w:rsid w:val="70357BF9"/>
    <w:rsid w:val="7038498C"/>
    <w:rsid w:val="703F45D4"/>
    <w:rsid w:val="70637B96"/>
    <w:rsid w:val="70797317"/>
    <w:rsid w:val="707A560C"/>
    <w:rsid w:val="707E201F"/>
    <w:rsid w:val="7099044B"/>
    <w:rsid w:val="709A06E1"/>
    <w:rsid w:val="709A7D17"/>
    <w:rsid w:val="709D518F"/>
    <w:rsid w:val="709E387E"/>
    <w:rsid w:val="70B76860"/>
    <w:rsid w:val="70C268FE"/>
    <w:rsid w:val="70C759D3"/>
    <w:rsid w:val="70CC0A10"/>
    <w:rsid w:val="70CD7E32"/>
    <w:rsid w:val="70CF2B23"/>
    <w:rsid w:val="70CF74E9"/>
    <w:rsid w:val="70D70CB1"/>
    <w:rsid w:val="70D80585"/>
    <w:rsid w:val="70DF36C1"/>
    <w:rsid w:val="70FA674D"/>
    <w:rsid w:val="710952C1"/>
    <w:rsid w:val="713420C5"/>
    <w:rsid w:val="71347EB1"/>
    <w:rsid w:val="713954C7"/>
    <w:rsid w:val="713F70AB"/>
    <w:rsid w:val="71452CD8"/>
    <w:rsid w:val="71583F2D"/>
    <w:rsid w:val="7158683A"/>
    <w:rsid w:val="715B2F52"/>
    <w:rsid w:val="7167680B"/>
    <w:rsid w:val="717604C9"/>
    <w:rsid w:val="71764F23"/>
    <w:rsid w:val="71881188"/>
    <w:rsid w:val="71946576"/>
    <w:rsid w:val="71967E84"/>
    <w:rsid w:val="7197629F"/>
    <w:rsid w:val="71A61873"/>
    <w:rsid w:val="71AF4936"/>
    <w:rsid w:val="71B12351"/>
    <w:rsid w:val="71BB4E1E"/>
    <w:rsid w:val="71CA0C1B"/>
    <w:rsid w:val="71CD79BE"/>
    <w:rsid w:val="71D07496"/>
    <w:rsid w:val="71D75D0F"/>
    <w:rsid w:val="71E2790D"/>
    <w:rsid w:val="71F437A4"/>
    <w:rsid w:val="720676AD"/>
    <w:rsid w:val="720930EC"/>
    <w:rsid w:val="720C2BDC"/>
    <w:rsid w:val="721867DE"/>
    <w:rsid w:val="721919B3"/>
    <w:rsid w:val="721A6098"/>
    <w:rsid w:val="721D18D3"/>
    <w:rsid w:val="72310D1A"/>
    <w:rsid w:val="724539F8"/>
    <w:rsid w:val="7252306F"/>
    <w:rsid w:val="725D6B54"/>
    <w:rsid w:val="726939CF"/>
    <w:rsid w:val="7294672D"/>
    <w:rsid w:val="72952BD1"/>
    <w:rsid w:val="7295497F"/>
    <w:rsid w:val="72986FA0"/>
    <w:rsid w:val="72A17C99"/>
    <w:rsid w:val="72A2709C"/>
    <w:rsid w:val="72A5093A"/>
    <w:rsid w:val="72AD4703"/>
    <w:rsid w:val="72AD7197"/>
    <w:rsid w:val="72AF6F7E"/>
    <w:rsid w:val="72B15531"/>
    <w:rsid w:val="72BD2C86"/>
    <w:rsid w:val="72CD226C"/>
    <w:rsid w:val="72D27981"/>
    <w:rsid w:val="72EC1B47"/>
    <w:rsid w:val="73047407"/>
    <w:rsid w:val="73047904"/>
    <w:rsid w:val="731A4E85"/>
    <w:rsid w:val="731D3DCF"/>
    <w:rsid w:val="73253EFA"/>
    <w:rsid w:val="732857F3"/>
    <w:rsid w:val="73353A6C"/>
    <w:rsid w:val="734C1A6A"/>
    <w:rsid w:val="73555EBD"/>
    <w:rsid w:val="735663B7"/>
    <w:rsid w:val="735C5949"/>
    <w:rsid w:val="73671287"/>
    <w:rsid w:val="73737DA5"/>
    <w:rsid w:val="73740A39"/>
    <w:rsid w:val="73783823"/>
    <w:rsid w:val="73887B3E"/>
    <w:rsid w:val="73892412"/>
    <w:rsid w:val="73AF2114"/>
    <w:rsid w:val="73AF381F"/>
    <w:rsid w:val="73D47729"/>
    <w:rsid w:val="73E96BCA"/>
    <w:rsid w:val="73EE4A6E"/>
    <w:rsid w:val="741048BC"/>
    <w:rsid w:val="7419513C"/>
    <w:rsid w:val="74275AAB"/>
    <w:rsid w:val="742E78D4"/>
    <w:rsid w:val="74317498"/>
    <w:rsid w:val="74335A84"/>
    <w:rsid w:val="74367A9C"/>
    <w:rsid w:val="743A6A13"/>
    <w:rsid w:val="744877CF"/>
    <w:rsid w:val="74604CCB"/>
    <w:rsid w:val="74676A28"/>
    <w:rsid w:val="747131CA"/>
    <w:rsid w:val="74714F78"/>
    <w:rsid w:val="747B1953"/>
    <w:rsid w:val="747E40B6"/>
    <w:rsid w:val="74863713"/>
    <w:rsid w:val="74AA2238"/>
    <w:rsid w:val="74AC3224"/>
    <w:rsid w:val="74B21065"/>
    <w:rsid w:val="74BB2C83"/>
    <w:rsid w:val="74C01A5C"/>
    <w:rsid w:val="74C0380A"/>
    <w:rsid w:val="74C33758"/>
    <w:rsid w:val="74D476FB"/>
    <w:rsid w:val="74D72451"/>
    <w:rsid w:val="74DE4E5F"/>
    <w:rsid w:val="74EB54AB"/>
    <w:rsid w:val="74F0689A"/>
    <w:rsid w:val="74F33BDF"/>
    <w:rsid w:val="74FF6D43"/>
    <w:rsid w:val="750201A2"/>
    <w:rsid w:val="750E70AC"/>
    <w:rsid w:val="75137DDD"/>
    <w:rsid w:val="751A76AF"/>
    <w:rsid w:val="751C37AC"/>
    <w:rsid w:val="75241FEA"/>
    <w:rsid w:val="75250574"/>
    <w:rsid w:val="75306BE1"/>
    <w:rsid w:val="753649D0"/>
    <w:rsid w:val="754459E0"/>
    <w:rsid w:val="7550443E"/>
    <w:rsid w:val="755F0BCC"/>
    <w:rsid w:val="75611D9B"/>
    <w:rsid w:val="7561323F"/>
    <w:rsid w:val="756F17F9"/>
    <w:rsid w:val="756F3599"/>
    <w:rsid w:val="757E5B9F"/>
    <w:rsid w:val="75825461"/>
    <w:rsid w:val="758807CB"/>
    <w:rsid w:val="75907680"/>
    <w:rsid w:val="75916599"/>
    <w:rsid w:val="759926FC"/>
    <w:rsid w:val="759A6034"/>
    <w:rsid w:val="75A24276"/>
    <w:rsid w:val="75AA231D"/>
    <w:rsid w:val="75AD6340"/>
    <w:rsid w:val="75B90985"/>
    <w:rsid w:val="75DF5F11"/>
    <w:rsid w:val="75E8633A"/>
    <w:rsid w:val="75ED062E"/>
    <w:rsid w:val="763224E5"/>
    <w:rsid w:val="76360227"/>
    <w:rsid w:val="76366479"/>
    <w:rsid w:val="76393874"/>
    <w:rsid w:val="763F09AA"/>
    <w:rsid w:val="764F12E9"/>
    <w:rsid w:val="764F3FCC"/>
    <w:rsid w:val="7650339F"/>
    <w:rsid w:val="76595CC4"/>
    <w:rsid w:val="76603C9A"/>
    <w:rsid w:val="766B00E5"/>
    <w:rsid w:val="7680773A"/>
    <w:rsid w:val="76832D41"/>
    <w:rsid w:val="768B2C28"/>
    <w:rsid w:val="76A50F09"/>
    <w:rsid w:val="76A967C4"/>
    <w:rsid w:val="76BB1CAB"/>
    <w:rsid w:val="76C04050"/>
    <w:rsid w:val="76D67314"/>
    <w:rsid w:val="76E00193"/>
    <w:rsid w:val="76E23F0B"/>
    <w:rsid w:val="76E65049"/>
    <w:rsid w:val="76FA74A7"/>
    <w:rsid w:val="76FB26C3"/>
    <w:rsid w:val="77076007"/>
    <w:rsid w:val="770E18F5"/>
    <w:rsid w:val="770F77AA"/>
    <w:rsid w:val="77183DD1"/>
    <w:rsid w:val="771A36A5"/>
    <w:rsid w:val="772C33D8"/>
    <w:rsid w:val="7735228D"/>
    <w:rsid w:val="77413F7E"/>
    <w:rsid w:val="77464076"/>
    <w:rsid w:val="7758241F"/>
    <w:rsid w:val="777A7D22"/>
    <w:rsid w:val="777E28EC"/>
    <w:rsid w:val="77835654"/>
    <w:rsid w:val="7797109C"/>
    <w:rsid w:val="779A2A38"/>
    <w:rsid w:val="779F437F"/>
    <w:rsid w:val="77B4450A"/>
    <w:rsid w:val="77B46E73"/>
    <w:rsid w:val="77B977E2"/>
    <w:rsid w:val="77DC6BAC"/>
    <w:rsid w:val="77E37A12"/>
    <w:rsid w:val="77F42148"/>
    <w:rsid w:val="77FE3468"/>
    <w:rsid w:val="78023DEF"/>
    <w:rsid w:val="780B1240"/>
    <w:rsid w:val="78120820"/>
    <w:rsid w:val="7819395D"/>
    <w:rsid w:val="782347DB"/>
    <w:rsid w:val="78250553"/>
    <w:rsid w:val="783B17B1"/>
    <w:rsid w:val="783B7D77"/>
    <w:rsid w:val="784322CA"/>
    <w:rsid w:val="784E2046"/>
    <w:rsid w:val="78546F0C"/>
    <w:rsid w:val="786778FE"/>
    <w:rsid w:val="786C195E"/>
    <w:rsid w:val="78727511"/>
    <w:rsid w:val="788C0D6B"/>
    <w:rsid w:val="789D588A"/>
    <w:rsid w:val="78B65E3A"/>
    <w:rsid w:val="78C95383"/>
    <w:rsid w:val="78D635FC"/>
    <w:rsid w:val="78D87374"/>
    <w:rsid w:val="78E0091E"/>
    <w:rsid w:val="78EB11BD"/>
    <w:rsid w:val="78EE1C79"/>
    <w:rsid w:val="78F85605"/>
    <w:rsid w:val="78FA66FA"/>
    <w:rsid w:val="791151EE"/>
    <w:rsid w:val="79345B6A"/>
    <w:rsid w:val="79380036"/>
    <w:rsid w:val="79424F6E"/>
    <w:rsid w:val="794F33AE"/>
    <w:rsid w:val="795F3706"/>
    <w:rsid w:val="797239CC"/>
    <w:rsid w:val="797F54AB"/>
    <w:rsid w:val="79817A0B"/>
    <w:rsid w:val="79831473"/>
    <w:rsid w:val="79983E9C"/>
    <w:rsid w:val="7999527A"/>
    <w:rsid w:val="79AF76C5"/>
    <w:rsid w:val="79C25EE1"/>
    <w:rsid w:val="79CE2967"/>
    <w:rsid w:val="79D36716"/>
    <w:rsid w:val="79DD09BA"/>
    <w:rsid w:val="79E30EE8"/>
    <w:rsid w:val="79E34934"/>
    <w:rsid w:val="79EA664C"/>
    <w:rsid w:val="79F9627A"/>
    <w:rsid w:val="79FC3536"/>
    <w:rsid w:val="79FF6948"/>
    <w:rsid w:val="7A044199"/>
    <w:rsid w:val="7A0657CF"/>
    <w:rsid w:val="7A240F4C"/>
    <w:rsid w:val="7A2F3BBF"/>
    <w:rsid w:val="7A2F459A"/>
    <w:rsid w:val="7A322A39"/>
    <w:rsid w:val="7A392094"/>
    <w:rsid w:val="7A517022"/>
    <w:rsid w:val="7A6510DB"/>
    <w:rsid w:val="7A6F5001"/>
    <w:rsid w:val="7A7720A0"/>
    <w:rsid w:val="7A772BBC"/>
    <w:rsid w:val="7A846E66"/>
    <w:rsid w:val="7A8F398F"/>
    <w:rsid w:val="7A8F7F06"/>
    <w:rsid w:val="7A904DD0"/>
    <w:rsid w:val="7A9635B3"/>
    <w:rsid w:val="7AA2343E"/>
    <w:rsid w:val="7AC53928"/>
    <w:rsid w:val="7AD60EB8"/>
    <w:rsid w:val="7ADA73A4"/>
    <w:rsid w:val="7AE55396"/>
    <w:rsid w:val="7AE66B99"/>
    <w:rsid w:val="7AF34646"/>
    <w:rsid w:val="7AF83CFD"/>
    <w:rsid w:val="7AFE508C"/>
    <w:rsid w:val="7B017E0B"/>
    <w:rsid w:val="7B0A3BCA"/>
    <w:rsid w:val="7B1C0EF4"/>
    <w:rsid w:val="7B1E510C"/>
    <w:rsid w:val="7B212805"/>
    <w:rsid w:val="7B234AF2"/>
    <w:rsid w:val="7B31720F"/>
    <w:rsid w:val="7B332F87"/>
    <w:rsid w:val="7B345AA9"/>
    <w:rsid w:val="7B4048C1"/>
    <w:rsid w:val="7B4C4049"/>
    <w:rsid w:val="7B4C5DF7"/>
    <w:rsid w:val="7B73082F"/>
    <w:rsid w:val="7B7B492E"/>
    <w:rsid w:val="7B98728E"/>
    <w:rsid w:val="7B9A3D1D"/>
    <w:rsid w:val="7BB46FBD"/>
    <w:rsid w:val="7BC62E00"/>
    <w:rsid w:val="7BC73B55"/>
    <w:rsid w:val="7BCD518A"/>
    <w:rsid w:val="7BD04C7A"/>
    <w:rsid w:val="7BD209F2"/>
    <w:rsid w:val="7BD5403F"/>
    <w:rsid w:val="7BDE7397"/>
    <w:rsid w:val="7BE35E2A"/>
    <w:rsid w:val="7BEE6EAE"/>
    <w:rsid w:val="7BF538C2"/>
    <w:rsid w:val="7BF66C24"/>
    <w:rsid w:val="7BFA1CC7"/>
    <w:rsid w:val="7BFB70B3"/>
    <w:rsid w:val="7C0146FA"/>
    <w:rsid w:val="7C0251DA"/>
    <w:rsid w:val="7C0C0E4A"/>
    <w:rsid w:val="7C0E41D1"/>
    <w:rsid w:val="7C1052F2"/>
    <w:rsid w:val="7C21292C"/>
    <w:rsid w:val="7C2154D6"/>
    <w:rsid w:val="7C2668D9"/>
    <w:rsid w:val="7C32497F"/>
    <w:rsid w:val="7C370855"/>
    <w:rsid w:val="7C3C69AE"/>
    <w:rsid w:val="7C631577"/>
    <w:rsid w:val="7C691974"/>
    <w:rsid w:val="7C8A6570"/>
    <w:rsid w:val="7C8B7390"/>
    <w:rsid w:val="7C975798"/>
    <w:rsid w:val="7C9B0D0E"/>
    <w:rsid w:val="7CA42B03"/>
    <w:rsid w:val="7CBB76D8"/>
    <w:rsid w:val="7CC55E61"/>
    <w:rsid w:val="7CCC5441"/>
    <w:rsid w:val="7CD07583"/>
    <w:rsid w:val="7CD2318A"/>
    <w:rsid w:val="7CD2702A"/>
    <w:rsid w:val="7CD34C42"/>
    <w:rsid w:val="7CD46B29"/>
    <w:rsid w:val="7CDE3FF9"/>
    <w:rsid w:val="7CE26EBF"/>
    <w:rsid w:val="7CEE3130"/>
    <w:rsid w:val="7CFC08E8"/>
    <w:rsid w:val="7D025DD1"/>
    <w:rsid w:val="7D0E5A5A"/>
    <w:rsid w:val="7D1E1A15"/>
    <w:rsid w:val="7D1F6674"/>
    <w:rsid w:val="7D2232B3"/>
    <w:rsid w:val="7D2C64CA"/>
    <w:rsid w:val="7D366D5F"/>
    <w:rsid w:val="7D42533E"/>
    <w:rsid w:val="7D475E29"/>
    <w:rsid w:val="7D480B34"/>
    <w:rsid w:val="7D4F211A"/>
    <w:rsid w:val="7D741635"/>
    <w:rsid w:val="7D777A3E"/>
    <w:rsid w:val="7D883F06"/>
    <w:rsid w:val="7D8E6457"/>
    <w:rsid w:val="7D9005BC"/>
    <w:rsid w:val="7D983576"/>
    <w:rsid w:val="7D9F0AD0"/>
    <w:rsid w:val="7DB22BDF"/>
    <w:rsid w:val="7DB52379"/>
    <w:rsid w:val="7DBA173E"/>
    <w:rsid w:val="7DD12BB7"/>
    <w:rsid w:val="7DF223A2"/>
    <w:rsid w:val="7DFF0955"/>
    <w:rsid w:val="7E0B750E"/>
    <w:rsid w:val="7E1939E8"/>
    <w:rsid w:val="7E1D3A7B"/>
    <w:rsid w:val="7E2400E7"/>
    <w:rsid w:val="7E2822EA"/>
    <w:rsid w:val="7E2A20CE"/>
    <w:rsid w:val="7E350DC4"/>
    <w:rsid w:val="7E355A7B"/>
    <w:rsid w:val="7E455322"/>
    <w:rsid w:val="7E543940"/>
    <w:rsid w:val="7E682F48"/>
    <w:rsid w:val="7E6E3E85"/>
    <w:rsid w:val="7E7C7B82"/>
    <w:rsid w:val="7E8F4979"/>
    <w:rsid w:val="7E991353"/>
    <w:rsid w:val="7E9C184B"/>
    <w:rsid w:val="7EA72948"/>
    <w:rsid w:val="7EB31EDB"/>
    <w:rsid w:val="7EBE525E"/>
    <w:rsid w:val="7ED61132"/>
    <w:rsid w:val="7EE70CC0"/>
    <w:rsid w:val="7EEB48DB"/>
    <w:rsid w:val="7EF27444"/>
    <w:rsid w:val="7F185A04"/>
    <w:rsid w:val="7F201C82"/>
    <w:rsid w:val="7F265C58"/>
    <w:rsid w:val="7F3379FA"/>
    <w:rsid w:val="7F3B240A"/>
    <w:rsid w:val="7F4C4618"/>
    <w:rsid w:val="7F4D13A6"/>
    <w:rsid w:val="7F582CF2"/>
    <w:rsid w:val="7F951B40"/>
    <w:rsid w:val="7FA501CC"/>
    <w:rsid w:val="7FA820A8"/>
    <w:rsid w:val="7FAF2DF8"/>
    <w:rsid w:val="7FB90D50"/>
    <w:rsid w:val="7FBA3C77"/>
    <w:rsid w:val="7FBE053E"/>
    <w:rsid w:val="7FBF10B0"/>
    <w:rsid w:val="7FF302F4"/>
    <w:rsid w:val="7FFA44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autoRedefine/>
    <w:qFormat/>
    <w:uiPriority w:val="0"/>
    <w:pPr>
      <w:keepNext/>
      <w:keepLines/>
      <w:spacing w:before="340" w:after="330" w:line="576"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1"/>
    <w:autoRedefine/>
    <w:qFormat/>
    <w:uiPriority w:val="0"/>
    <w:pPr>
      <w:keepNext/>
      <w:keepLines/>
      <w:spacing w:line="360" w:lineRule="auto"/>
      <w:outlineLvl w:val="3"/>
    </w:pPr>
    <w:rPr>
      <w:rFonts w:ascii="Arial" w:hAnsi="Arial"/>
      <w:b/>
      <w:bCs/>
      <w:szCs w:val="28"/>
    </w:rPr>
  </w:style>
  <w:style w:type="paragraph" w:styleId="7">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80"/>
    <w:autoRedefine/>
    <w:qFormat/>
    <w:uiPriority w:val="0"/>
  </w:style>
  <w:style w:type="paragraph" w:styleId="8">
    <w:name w:val="List Number"/>
    <w:basedOn w:val="1"/>
    <w:autoRedefine/>
    <w:qFormat/>
    <w:uiPriority w:val="0"/>
    <w:pPr>
      <w:widowControl/>
      <w:spacing w:beforeAutospacing="1" w:afterAutospacing="1"/>
      <w:jc w:val="left"/>
    </w:pPr>
    <w:rPr>
      <w:rFonts w:ascii="宋体" w:hAnsi="宋体" w:cs="宋体"/>
      <w:kern w:val="0"/>
      <w:sz w:val="24"/>
    </w:rPr>
  </w:style>
  <w:style w:type="paragraph" w:styleId="9">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0">
    <w:name w:val="Document Map"/>
    <w:basedOn w:val="1"/>
    <w:link w:val="82"/>
    <w:autoRedefine/>
    <w:qFormat/>
    <w:uiPriority w:val="0"/>
    <w:rPr>
      <w:rFonts w:ascii="宋体" w:hAnsi="Calibri"/>
      <w:sz w:val="18"/>
      <w:szCs w:val="18"/>
    </w:rPr>
  </w:style>
  <w:style w:type="paragraph" w:styleId="11">
    <w:name w:val="annotation text"/>
    <w:basedOn w:val="1"/>
    <w:autoRedefine/>
    <w:qFormat/>
    <w:uiPriority w:val="0"/>
    <w:pPr>
      <w:jc w:val="left"/>
    </w:pPr>
  </w:style>
  <w:style w:type="paragraph" w:styleId="12">
    <w:name w:val="Body Text 3"/>
    <w:basedOn w:val="1"/>
    <w:autoRedefine/>
    <w:qFormat/>
    <w:uiPriority w:val="0"/>
    <w:rPr>
      <w:sz w:val="16"/>
      <w:szCs w:val="16"/>
    </w:rPr>
  </w:style>
  <w:style w:type="paragraph" w:styleId="13">
    <w:name w:val="Body Text Indent"/>
    <w:basedOn w:val="1"/>
    <w:next w:val="14"/>
    <w:autoRedefine/>
    <w:qFormat/>
    <w:uiPriority w:val="0"/>
    <w:pPr>
      <w:widowControl/>
      <w:spacing w:beforeAutospacing="1" w:afterAutospacing="1"/>
      <w:jc w:val="left"/>
    </w:pPr>
    <w:rPr>
      <w:rFonts w:ascii="宋体" w:hAnsi="宋体" w:cs="宋体"/>
      <w:kern w:val="0"/>
      <w:sz w:val="24"/>
    </w:rPr>
  </w:style>
  <w:style w:type="paragraph" w:styleId="14">
    <w:name w:val="envelope return"/>
    <w:basedOn w:val="1"/>
    <w:autoRedefine/>
    <w:unhideWhenUsed/>
    <w:qFormat/>
    <w:uiPriority w:val="99"/>
    <w:pPr>
      <w:snapToGrid w:val="0"/>
    </w:pPr>
    <w:rPr>
      <w:rFonts w:ascii="Arial" w:hAnsi="Arial"/>
    </w:rPr>
  </w:style>
  <w:style w:type="paragraph" w:styleId="15">
    <w:name w:val="List 2"/>
    <w:basedOn w:val="1"/>
    <w:autoRedefine/>
    <w:qFormat/>
    <w:uiPriority w:val="0"/>
    <w:pPr>
      <w:ind w:left="100" w:leftChars="200" w:hanging="200" w:hangingChars="200"/>
    </w:pPr>
  </w:style>
  <w:style w:type="paragraph" w:styleId="16">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7">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18">
    <w:name w:val="Plain Text"/>
    <w:basedOn w:val="1"/>
    <w:autoRedefine/>
    <w:qFormat/>
    <w:uiPriority w:val="0"/>
    <w:pPr>
      <w:widowControl/>
      <w:spacing w:beforeAutospacing="1" w:afterAutospacing="1"/>
      <w:jc w:val="left"/>
    </w:pPr>
    <w:rPr>
      <w:rFonts w:ascii="宋体" w:hAnsi="宋体" w:cs="宋体"/>
      <w:kern w:val="0"/>
      <w:sz w:val="24"/>
    </w:rPr>
  </w:style>
  <w:style w:type="paragraph" w:styleId="19">
    <w:name w:val="Date"/>
    <w:basedOn w:val="1"/>
    <w:next w:val="1"/>
    <w:autoRedefine/>
    <w:qFormat/>
    <w:uiPriority w:val="0"/>
    <w:pPr>
      <w:ind w:left="100" w:leftChars="2500"/>
    </w:pPr>
    <w:rPr>
      <w:rFonts w:ascii="宋体" w:hAnsi="宋体"/>
      <w:sz w:val="28"/>
    </w:rPr>
  </w:style>
  <w:style w:type="paragraph" w:styleId="20">
    <w:name w:val="Body Text Indent 2"/>
    <w:basedOn w:val="1"/>
    <w:autoRedefine/>
    <w:qFormat/>
    <w:uiPriority w:val="0"/>
    <w:pPr>
      <w:spacing w:line="480" w:lineRule="auto"/>
      <w:ind w:left="420" w:leftChars="200"/>
    </w:pPr>
  </w:style>
  <w:style w:type="paragraph" w:styleId="21">
    <w:name w:val="footer"/>
    <w:basedOn w:val="1"/>
    <w:autoRedefine/>
    <w:qFormat/>
    <w:uiPriority w:val="0"/>
    <w:pPr>
      <w:tabs>
        <w:tab w:val="center" w:pos="4153"/>
        <w:tab w:val="right" w:pos="8306"/>
      </w:tabs>
      <w:snapToGrid w:val="0"/>
      <w:jc w:val="left"/>
    </w:pPr>
    <w:rPr>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0"/>
  </w:style>
  <w:style w:type="paragraph" w:styleId="24">
    <w:name w:val="List"/>
    <w:basedOn w:val="1"/>
    <w:autoRedefine/>
    <w:qFormat/>
    <w:uiPriority w:val="0"/>
    <w:pPr>
      <w:ind w:left="200" w:hanging="200" w:hangingChars="200"/>
    </w:pPr>
  </w:style>
  <w:style w:type="paragraph" w:styleId="25">
    <w:name w:val="Body Text 2"/>
    <w:basedOn w:val="1"/>
    <w:next w:val="3"/>
    <w:autoRedefine/>
    <w:qFormat/>
    <w:uiPriority w:val="0"/>
    <w:pPr>
      <w:spacing w:line="480" w:lineRule="auto"/>
    </w:pPr>
  </w:style>
  <w:style w:type="paragraph" w:styleId="26">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27">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8">
    <w:name w:val="Normal (Web)"/>
    <w:basedOn w:val="1"/>
    <w:autoRedefine/>
    <w:qFormat/>
    <w:uiPriority w:val="99"/>
    <w:pPr>
      <w:spacing w:before="100" w:beforeAutospacing="1" w:after="100" w:afterAutospacing="1"/>
      <w:jc w:val="left"/>
    </w:pPr>
    <w:rPr>
      <w:kern w:val="0"/>
      <w:sz w:val="24"/>
    </w:rPr>
  </w:style>
  <w:style w:type="paragraph" w:styleId="29">
    <w:name w:val="Title"/>
    <w:basedOn w:val="1"/>
    <w:autoRedefine/>
    <w:qFormat/>
    <w:uiPriority w:val="0"/>
    <w:pPr>
      <w:jc w:val="center"/>
      <w:outlineLvl w:val="0"/>
    </w:pPr>
    <w:rPr>
      <w:rFonts w:ascii="Arial" w:hAnsi="Arial" w:cs="Arial"/>
      <w:b/>
      <w:bCs/>
      <w:sz w:val="32"/>
      <w:szCs w:val="32"/>
    </w:rPr>
  </w:style>
  <w:style w:type="paragraph" w:styleId="30">
    <w:name w:val="Body Text First Indent"/>
    <w:basedOn w:val="3"/>
    <w:next w:val="31"/>
    <w:autoRedefine/>
    <w:qFormat/>
    <w:uiPriority w:val="0"/>
    <w:pPr>
      <w:spacing w:line="360" w:lineRule="auto"/>
      <w:ind w:firstLine="420" w:firstLineChars="100"/>
    </w:pPr>
    <w:rPr>
      <w:szCs w:val="21"/>
    </w:rPr>
  </w:style>
  <w:style w:type="paragraph" w:styleId="31">
    <w:name w:val="Body Text First Indent 2"/>
    <w:basedOn w:val="13"/>
    <w:autoRedefine/>
    <w:qFormat/>
    <w:uiPriority w:val="0"/>
    <w:pPr>
      <w:ind w:firstLine="420" w:firstLineChars="200"/>
    </w:pPr>
  </w:style>
  <w:style w:type="table" w:styleId="33">
    <w:name w:val="Table Grid"/>
    <w:basedOn w:val="32"/>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autoRedefine/>
    <w:qFormat/>
    <w:uiPriority w:val="0"/>
    <w:rPr>
      <w:b/>
      <w:bCs/>
      <w:szCs w:val="24"/>
    </w:rPr>
  </w:style>
  <w:style w:type="character" w:styleId="36">
    <w:name w:val="page number"/>
    <w:basedOn w:val="34"/>
    <w:autoRedefine/>
    <w:qFormat/>
    <w:uiPriority w:val="0"/>
  </w:style>
  <w:style w:type="character" w:styleId="37">
    <w:name w:val="FollowedHyperlink"/>
    <w:autoRedefine/>
    <w:qFormat/>
    <w:uiPriority w:val="0"/>
    <w:rPr>
      <w:color w:val="333333"/>
      <w:szCs w:val="24"/>
      <w:u w:val="none"/>
    </w:rPr>
  </w:style>
  <w:style w:type="character" w:styleId="38">
    <w:name w:val="Emphasis"/>
    <w:basedOn w:val="34"/>
    <w:autoRedefine/>
    <w:qFormat/>
    <w:uiPriority w:val="0"/>
  </w:style>
  <w:style w:type="character" w:styleId="39">
    <w:name w:val="HTML Definition"/>
    <w:basedOn w:val="34"/>
    <w:autoRedefine/>
    <w:qFormat/>
    <w:uiPriority w:val="0"/>
  </w:style>
  <w:style w:type="character" w:styleId="40">
    <w:name w:val="HTML Typewriter"/>
    <w:basedOn w:val="34"/>
    <w:autoRedefine/>
    <w:qFormat/>
    <w:uiPriority w:val="0"/>
    <w:rPr>
      <w:rFonts w:hint="default" w:ascii="monospace" w:hAnsi="monospace" w:eastAsia="monospace" w:cs="monospace"/>
      <w:sz w:val="20"/>
    </w:rPr>
  </w:style>
  <w:style w:type="character" w:styleId="41">
    <w:name w:val="HTML Acronym"/>
    <w:basedOn w:val="34"/>
    <w:autoRedefine/>
    <w:qFormat/>
    <w:uiPriority w:val="0"/>
  </w:style>
  <w:style w:type="character" w:styleId="42">
    <w:name w:val="HTML Variable"/>
    <w:basedOn w:val="34"/>
    <w:autoRedefine/>
    <w:qFormat/>
    <w:uiPriority w:val="0"/>
  </w:style>
  <w:style w:type="character" w:styleId="43">
    <w:name w:val="Hyperlink"/>
    <w:basedOn w:val="34"/>
    <w:autoRedefine/>
    <w:qFormat/>
    <w:uiPriority w:val="0"/>
    <w:rPr>
      <w:color w:val="333333"/>
      <w:szCs w:val="24"/>
      <w:u w:val="none"/>
    </w:rPr>
  </w:style>
  <w:style w:type="character" w:styleId="44">
    <w:name w:val="HTML Code"/>
    <w:basedOn w:val="34"/>
    <w:autoRedefine/>
    <w:qFormat/>
    <w:uiPriority w:val="0"/>
    <w:rPr>
      <w:rFonts w:ascii="monospace" w:hAnsi="monospace" w:eastAsia="monospace" w:cs="monospace"/>
      <w:sz w:val="20"/>
    </w:rPr>
  </w:style>
  <w:style w:type="character" w:styleId="45">
    <w:name w:val="HTML Cite"/>
    <w:basedOn w:val="34"/>
    <w:autoRedefine/>
    <w:qFormat/>
    <w:uiPriority w:val="0"/>
  </w:style>
  <w:style w:type="character" w:styleId="46">
    <w:name w:val="HTML Keyboard"/>
    <w:basedOn w:val="34"/>
    <w:autoRedefine/>
    <w:qFormat/>
    <w:uiPriority w:val="0"/>
    <w:rPr>
      <w:rFonts w:hint="default" w:ascii="monospace" w:hAnsi="monospace" w:eastAsia="monospace" w:cs="monospace"/>
      <w:sz w:val="20"/>
    </w:rPr>
  </w:style>
  <w:style w:type="character" w:styleId="47">
    <w:name w:val="HTML Sample"/>
    <w:basedOn w:val="34"/>
    <w:autoRedefine/>
    <w:qFormat/>
    <w:uiPriority w:val="0"/>
    <w:rPr>
      <w:rFonts w:hint="default" w:ascii="monospace" w:hAnsi="monospace" w:eastAsia="monospace" w:cs="monospace"/>
    </w:rPr>
  </w:style>
  <w:style w:type="paragraph" w:customStyle="1" w:styleId="48">
    <w:name w:val="Default"/>
    <w:next w:val="22"/>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9">
    <w:name w:val="目录 21"/>
    <w:next w:val="1"/>
    <w:qFormat/>
    <w:uiPriority w:val="0"/>
    <w:pPr>
      <w:wordWrap w:val="0"/>
      <w:jc w:val="both"/>
    </w:pPr>
    <w:rPr>
      <w:rFonts w:ascii="Calibri" w:hAnsi="Calibri" w:eastAsia="宋体" w:cs="Times New Roman"/>
      <w:sz w:val="21"/>
      <w:lang w:val="en-US" w:eastAsia="zh-CN" w:bidi="ar-SA"/>
    </w:rPr>
  </w:style>
  <w:style w:type="paragraph" w:customStyle="1" w:styleId="50">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51">
    <w:name w:val="Char Char10 Char Char Char Char"/>
    <w:basedOn w:val="1"/>
    <w:next w:val="52"/>
    <w:qFormat/>
    <w:uiPriority w:val="0"/>
    <w:rPr>
      <w:rFonts w:ascii="Calibri" w:hAnsi="Calibri"/>
      <w:kern w:val="0"/>
    </w:rPr>
  </w:style>
  <w:style w:type="paragraph" w:customStyle="1" w:styleId="52">
    <w:name w:val="xl87"/>
    <w:basedOn w:val="1"/>
    <w:next w:val="53"/>
    <w:qFormat/>
    <w:uiPriority w:val="0"/>
    <w:pPr>
      <w:widowControl/>
      <w:spacing w:before="100" w:beforeAutospacing="1" w:after="100" w:afterAutospacing="1"/>
      <w:jc w:val="center"/>
    </w:pPr>
    <w:rPr>
      <w:rFonts w:ascii="宋体" w:hAnsi="宋体" w:cs="宋体"/>
      <w:b/>
      <w:bCs/>
      <w:kern w:val="0"/>
      <w:sz w:val="20"/>
    </w:rPr>
  </w:style>
  <w:style w:type="paragraph" w:customStyle="1" w:styleId="53">
    <w:name w:val="xl72"/>
    <w:basedOn w:val="1"/>
    <w:next w:val="19"/>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rPr>
  </w:style>
  <w:style w:type="paragraph" w:customStyle="1" w:styleId="54">
    <w:name w:val="大标题"/>
    <w:basedOn w:val="1"/>
    <w:next w:val="31"/>
    <w:autoRedefine/>
    <w:qFormat/>
    <w:uiPriority w:val="0"/>
    <w:pPr>
      <w:jc w:val="center"/>
    </w:pPr>
    <w:rPr>
      <w:rFonts w:ascii="Arial" w:hAnsi="Arial"/>
      <w:b/>
      <w:sz w:val="28"/>
    </w:rPr>
  </w:style>
  <w:style w:type="paragraph" w:customStyle="1" w:styleId="55">
    <w:name w:val="正文文本缩进 21"/>
    <w:basedOn w:val="1"/>
    <w:autoRedefine/>
    <w:qFormat/>
    <w:uiPriority w:val="0"/>
    <w:pPr>
      <w:ind w:firstLine="570"/>
    </w:pPr>
    <w:rPr>
      <w:sz w:val="32"/>
    </w:rPr>
  </w:style>
  <w:style w:type="paragraph" w:customStyle="1" w:styleId="56">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7">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8">
    <w:name w:val="No Spacing1"/>
    <w:basedOn w:val="1"/>
    <w:autoRedefine/>
    <w:qFormat/>
    <w:uiPriority w:val="0"/>
    <w:pPr>
      <w:spacing w:line="400" w:lineRule="exact"/>
    </w:pPr>
    <w:rPr>
      <w:sz w:val="24"/>
    </w:rPr>
  </w:style>
  <w:style w:type="paragraph" w:customStyle="1" w:styleId="59">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60">
    <w:name w:val="Char"/>
    <w:basedOn w:val="1"/>
    <w:autoRedefine/>
    <w:qFormat/>
    <w:uiPriority w:val="0"/>
  </w:style>
  <w:style w:type="paragraph" w:customStyle="1" w:styleId="61">
    <w:name w:val="正文缩进1"/>
    <w:basedOn w:val="1"/>
    <w:autoRedefine/>
    <w:qFormat/>
    <w:uiPriority w:val="0"/>
    <w:pPr>
      <w:widowControl/>
      <w:ind w:firstLine="420"/>
      <w:jc w:val="left"/>
    </w:pPr>
    <w:rPr>
      <w:kern w:val="0"/>
      <w:szCs w:val="20"/>
    </w:rPr>
  </w:style>
  <w:style w:type="paragraph" w:customStyle="1" w:styleId="62">
    <w:name w:val="列出段落2"/>
    <w:basedOn w:val="1"/>
    <w:autoRedefine/>
    <w:qFormat/>
    <w:uiPriority w:val="34"/>
    <w:pPr>
      <w:ind w:firstLine="420" w:firstLineChars="200"/>
    </w:pPr>
  </w:style>
  <w:style w:type="paragraph" w:customStyle="1" w:styleId="63">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64">
    <w:name w:val="1"/>
    <w:basedOn w:val="1"/>
    <w:autoRedefine/>
    <w:qFormat/>
    <w:uiPriority w:val="0"/>
    <w:pPr>
      <w:widowControl/>
      <w:spacing w:beforeAutospacing="1" w:afterAutospacing="1"/>
      <w:jc w:val="left"/>
    </w:pPr>
    <w:rPr>
      <w:rFonts w:ascii="宋体" w:hAnsi="宋体" w:cs="宋体"/>
      <w:kern w:val="0"/>
      <w:sz w:val="24"/>
    </w:rPr>
  </w:style>
  <w:style w:type="paragraph" w:styleId="65">
    <w:name w:val="No Spacing"/>
    <w:autoRedefine/>
    <w:qFormat/>
    <w:uiPriority w:val="1"/>
    <w:rPr>
      <w:rFonts w:ascii="Calibri" w:hAnsi="Calibri" w:eastAsia="宋体" w:cs="Times New Roman"/>
      <w:sz w:val="22"/>
      <w:szCs w:val="22"/>
      <w:lang w:val="en-US" w:eastAsia="zh-CN" w:bidi="ar-SA"/>
    </w:rPr>
  </w:style>
  <w:style w:type="paragraph" w:customStyle="1" w:styleId="66">
    <w:name w:val="_Style 2"/>
    <w:basedOn w:val="1"/>
    <w:autoRedefine/>
    <w:qFormat/>
    <w:uiPriority w:val="34"/>
    <w:pPr>
      <w:ind w:firstLine="420" w:firstLineChars="200"/>
    </w:pPr>
    <w:rPr>
      <w:rFonts w:ascii="Calibri" w:hAnsi="Calibri"/>
    </w:rPr>
  </w:style>
  <w:style w:type="paragraph" w:customStyle="1" w:styleId="67">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8">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9">
    <w:name w:val="Char1"/>
    <w:basedOn w:val="1"/>
    <w:autoRedefine/>
    <w:qFormat/>
    <w:uiPriority w:val="0"/>
  </w:style>
  <w:style w:type="paragraph" w:customStyle="1" w:styleId="70">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71">
    <w:name w:val="Table Paragraph"/>
    <w:basedOn w:val="1"/>
    <w:autoRedefine/>
    <w:qFormat/>
    <w:uiPriority w:val="1"/>
    <w:pPr>
      <w:jc w:val="left"/>
    </w:pPr>
    <w:rPr>
      <w:rFonts w:ascii="宋体" w:hAnsi="宋体" w:cs="宋体"/>
      <w:kern w:val="0"/>
      <w:sz w:val="22"/>
      <w:szCs w:val="22"/>
      <w:lang w:eastAsia="en-US"/>
    </w:rPr>
  </w:style>
  <w:style w:type="paragraph" w:customStyle="1" w:styleId="72">
    <w:name w:val="无间隔1"/>
    <w:basedOn w:val="1"/>
    <w:autoRedefine/>
    <w:qFormat/>
    <w:uiPriority w:val="1"/>
    <w:pPr>
      <w:spacing w:line="400" w:lineRule="exact"/>
    </w:pPr>
    <w:rPr>
      <w:sz w:val="24"/>
    </w:rPr>
  </w:style>
  <w:style w:type="paragraph" w:customStyle="1" w:styleId="73">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74">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5">
    <w:name w:val="列出段落1"/>
    <w:basedOn w:val="1"/>
    <w:autoRedefine/>
    <w:qFormat/>
    <w:uiPriority w:val="34"/>
    <w:pPr>
      <w:ind w:firstLine="420" w:firstLineChars="200"/>
    </w:pPr>
  </w:style>
  <w:style w:type="paragraph" w:customStyle="1" w:styleId="76">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7">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8">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9">
    <w:name w:val="列出段落11"/>
    <w:basedOn w:val="1"/>
    <w:autoRedefine/>
    <w:qFormat/>
    <w:uiPriority w:val="0"/>
    <w:pPr>
      <w:ind w:firstLine="420" w:firstLineChars="200"/>
    </w:pPr>
    <w:rPr>
      <w:rFonts w:ascii="Calibri" w:hAnsi="Calibri"/>
      <w:szCs w:val="22"/>
    </w:rPr>
  </w:style>
  <w:style w:type="character" w:customStyle="1" w:styleId="80">
    <w:name w:val="正文文本 Char"/>
    <w:basedOn w:val="34"/>
    <w:link w:val="3"/>
    <w:autoRedefine/>
    <w:qFormat/>
    <w:uiPriority w:val="0"/>
  </w:style>
  <w:style w:type="character" w:customStyle="1" w:styleId="81">
    <w:name w:val="apple-converted-space"/>
    <w:basedOn w:val="34"/>
    <w:autoRedefine/>
    <w:qFormat/>
    <w:uiPriority w:val="0"/>
  </w:style>
  <w:style w:type="character" w:customStyle="1" w:styleId="82">
    <w:name w:val="文档结构图 Char"/>
    <w:link w:val="10"/>
    <w:autoRedefine/>
    <w:qFormat/>
    <w:uiPriority w:val="0"/>
    <w:rPr>
      <w:rFonts w:ascii="宋体"/>
      <w:kern w:val="2"/>
      <w:sz w:val="18"/>
      <w:szCs w:val="18"/>
    </w:rPr>
  </w:style>
  <w:style w:type="character" w:customStyle="1" w:styleId="83">
    <w:name w:val="不明显强调1"/>
    <w:autoRedefine/>
    <w:qFormat/>
    <w:uiPriority w:val="19"/>
    <w:rPr>
      <w:i/>
      <w:iCs/>
      <w:color w:val="7F7F7F"/>
      <w:szCs w:val="24"/>
    </w:rPr>
  </w:style>
  <w:style w:type="character" w:customStyle="1" w:styleId="84">
    <w:name w:val="font71"/>
    <w:basedOn w:val="34"/>
    <w:autoRedefine/>
    <w:qFormat/>
    <w:uiPriority w:val="0"/>
    <w:rPr>
      <w:rFonts w:hint="eastAsia" w:ascii="宋体" w:hAnsi="宋体" w:eastAsia="宋体" w:cs="宋体"/>
      <w:color w:val="000000"/>
      <w:sz w:val="28"/>
      <w:szCs w:val="28"/>
      <w:u w:val="none"/>
    </w:rPr>
  </w:style>
  <w:style w:type="character" w:customStyle="1" w:styleId="85">
    <w:name w:val="font21"/>
    <w:basedOn w:val="34"/>
    <w:autoRedefine/>
    <w:qFormat/>
    <w:uiPriority w:val="0"/>
    <w:rPr>
      <w:rFonts w:hint="default" w:ascii="Calibri" w:hAnsi="Calibri" w:cs="Calibri"/>
      <w:color w:val="000000"/>
      <w:sz w:val="28"/>
      <w:szCs w:val="28"/>
      <w:u w:val="none"/>
    </w:rPr>
  </w:style>
  <w:style w:type="character" w:customStyle="1" w:styleId="86">
    <w:name w:val="17"/>
    <w:autoRedefine/>
    <w:qFormat/>
    <w:uiPriority w:val="0"/>
    <w:rPr>
      <w:rFonts w:hint="eastAsia" w:ascii="宋体" w:hAnsi="宋体" w:eastAsia="宋体"/>
      <w:color w:val="000000"/>
    </w:rPr>
  </w:style>
  <w:style w:type="character" w:customStyle="1" w:styleId="87">
    <w:name w:val="font91"/>
    <w:autoRedefine/>
    <w:qFormat/>
    <w:uiPriority w:val="0"/>
    <w:rPr>
      <w:rFonts w:hint="eastAsia" w:ascii="宋体" w:hAnsi="宋体" w:eastAsia="宋体" w:cs="宋体"/>
      <w:color w:val="FF0000"/>
      <w:sz w:val="28"/>
      <w:szCs w:val="28"/>
      <w:u w:val="none"/>
    </w:rPr>
  </w:style>
  <w:style w:type="paragraph" w:customStyle="1" w:styleId="88">
    <w:name w:val="p"/>
    <w:basedOn w:val="1"/>
    <w:autoRedefine/>
    <w:qFormat/>
    <w:uiPriority w:val="0"/>
    <w:pPr>
      <w:widowControl/>
      <w:spacing w:line="432" w:lineRule="auto"/>
      <w:jc w:val="left"/>
    </w:pPr>
    <w:rPr>
      <w:rFonts w:ascii="宋体" w:hAnsi="宋体" w:cs="宋体"/>
      <w:kern w:val="0"/>
      <w:sz w:val="24"/>
    </w:rPr>
  </w:style>
  <w:style w:type="paragraph" w:customStyle="1" w:styleId="89">
    <w:name w:val="WPSOffice手动目录 1"/>
    <w:autoRedefine/>
    <w:qFormat/>
    <w:uiPriority w:val="0"/>
    <w:rPr>
      <w:rFonts w:ascii="Times New Roman" w:hAnsi="Times New Roman" w:eastAsia="宋体" w:cs="Times New Roman"/>
      <w:lang w:val="en-US" w:eastAsia="zh-CN" w:bidi="ar-SA"/>
    </w:rPr>
  </w:style>
  <w:style w:type="paragraph" w:customStyle="1" w:styleId="90">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91">
    <w:name w:val="表格文字"/>
    <w:basedOn w:val="1"/>
    <w:next w:val="3"/>
    <w:autoRedefine/>
    <w:qFormat/>
    <w:uiPriority w:val="0"/>
    <w:pPr>
      <w:adjustRightInd w:val="0"/>
      <w:spacing w:line="420" w:lineRule="atLeast"/>
      <w:jc w:val="left"/>
      <w:textAlignment w:val="baseline"/>
    </w:pPr>
    <w:rPr>
      <w:kern w:val="0"/>
      <w:szCs w:val="20"/>
    </w:rPr>
  </w:style>
  <w:style w:type="character" w:customStyle="1" w:styleId="92">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93">
    <w:name w:val="列表段落1"/>
    <w:basedOn w:val="1"/>
    <w:autoRedefine/>
    <w:qFormat/>
    <w:uiPriority w:val="34"/>
    <w:pPr>
      <w:widowControl/>
      <w:ind w:firstLine="420"/>
      <w:jc w:val="left"/>
    </w:pPr>
    <w:rPr>
      <w:kern w:val="0"/>
    </w:rPr>
  </w:style>
  <w:style w:type="paragraph" w:styleId="94">
    <w:name w:val="List Paragraph"/>
    <w:basedOn w:val="1"/>
    <w:autoRedefine/>
    <w:qFormat/>
    <w:uiPriority w:val="34"/>
    <w:pPr>
      <w:ind w:firstLine="420" w:firstLineChars="200"/>
    </w:pPr>
  </w:style>
  <w:style w:type="character" w:customStyle="1" w:styleId="95">
    <w:name w:val="hover18"/>
    <w:basedOn w:val="34"/>
    <w:autoRedefine/>
    <w:qFormat/>
    <w:uiPriority w:val="0"/>
  </w:style>
  <w:style w:type="table" w:customStyle="1" w:styleId="96">
    <w:name w:val="Table Normal"/>
    <w:autoRedefine/>
    <w:qFormat/>
    <w:uiPriority w:val="0"/>
    <w:tblPr>
      <w:tblCellMar>
        <w:top w:w="0" w:type="dxa"/>
        <w:left w:w="0" w:type="dxa"/>
        <w:bottom w:w="0" w:type="dxa"/>
        <w:right w:w="0" w:type="dxa"/>
      </w:tblCellMar>
    </w:tblPr>
  </w:style>
  <w:style w:type="paragraph" w:customStyle="1" w:styleId="97">
    <w:name w:val="Table Text"/>
    <w:basedOn w:val="1"/>
    <w:autoRedefine/>
    <w:semiHidden/>
    <w:qFormat/>
    <w:uiPriority w:val="0"/>
    <w:rPr>
      <w:rFonts w:ascii="宋体" w:hAnsi="宋体" w:eastAsia="宋体" w:cs="宋体"/>
      <w:sz w:val="45"/>
      <w:szCs w:val="45"/>
      <w:lang w:val="en-US" w:eastAsia="en-US" w:bidi="ar-SA"/>
    </w:rPr>
  </w:style>
  <w:style w:type="character" w:customStyle="1" w:styleId="98">
    <w:name w:val="font11"/>
    <w:basedOn w:val="34"/>
    <w:autoRedefine/>
    <w:qFormat/>
    <w:uiPriority w:val="0"/>
    <w:rPr>
      <w:rFonts w:ascii="Calibri" w:hAnsi="Calibri" w:cs="Calibri"/>
      <w:color w:val="000000"/>
      <w:sz w:val="24"/>
      <w:szCs w:val="24"/>
      <w:u w:val="none"/>
    </w:rPr>
  </w:style>
  <w:style w:type="paragraph" w:customStyle="1" w:styleId="99">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100">
    <w:name w:val="font61"/>
    <w:basedOn w:val="34"/>
    <w:qFormat/>
    <w:uiPriority w:val="0"/>
    <w:rPr>
      <w:rFonts w:ascii="宋体" w:hAnsi="宋体" w:eastAsia="宋体" w:cs="宋体"/>
      <w:color w:val="000000"/>
      <w:sz w:val="24"/>
      <w:szCs w:val="24"/>
      <w:u w:val="none"/>
    </w:rPr>
  </w:style>
  <w:style w:type="character" w:customStyle="1" w:styleId="101">
    <w:name w:val="font81"/>
    <w:basedOn w:val="34"/>
    <w:qFormat/>
    <w:uiPriority w:val="0"/>
    <w:rPr>
      <w:rFonts w:hint="default" w:ascii="Times New Roman" w:hAnsi="Times New Roman" w:cs="Times New Roman"/>
      <w:color w:val="000000"/>
      <w:sz w:val="18"/>
      <w:szCs w:val="18"/>
      <w:u w:val="none"/>
    </w:rPr>
  </w:style>
  <w:style w:type="paragraph" w:customStyle="1" w:styleId="102">
    <w:name w:val="正文-标准"/>
    <w:basedOn w:val="1"/>
    <w:qFormat/>
    <w:uiPriority w:val="0"/>
    <w:pPr>
      <w:autoSpaceDE w:val="0"/>
      <w:autoSpaceDN w:val="0"/>
      <w:adjustRightInd w:val="0"/>
      <w:spacing w:line="360" w:lineRule="exact"/>
      <w:jc w:val="left"/>
    </w:pPr>
    <w:rPr>
      <w:kern w:val="21"/>
      <w:szCs w:val="20"/>
    </w:rPr>
  </w:style>
  <w:style w:type="character" w:customStyle="1" w:styleId="103">
    <w:name w:val="font51"/>
    <w:basedOn w:val="34"/>
    <w:qFormat/>
    <w:uiPriority w:val="0"/>
    <w:rPr>
      <w:rFonts w:hint="eastAsia" w:ascii="宋体" w:hAnsi="宋体" w:eastAsia="宋体" w:cs="宋体"/>
      <w:color w:val="000000"/>
      <w:sz w:val="20"/>
      <w:szCs w:val="20"/>
      <w:u w:val="none"/>
    </w:rPr>
  </w:style>
  <w:style w:type="paragraph" w:customStyle="1" w:styleId="104">
    <w:name w:val="tx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05">
    <w:name w:val="font41"/>
    <w:basedOn w:val="3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12911</Words>
  <Characters>13718</Characters>
  <Lines>50</Lines>
  <Paragraphs>68</Paragraphs>
  <TotalTime>13</TotalTime>
  <ScaleCrop>false</ScaleCrop>
  <LinksUpToDate>false</LinksUpToDate>
  <CharactersWithSpaces>14736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2026-09-23T02:16:00Z</cp:lastPrinted>
  <dcterms:modified xsi:type="dcterms:W3CDTF">2026-10-20T01:59:11Z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03813A80D4494CA2A2024F9DCAE0B8C4_13</vt:lpwstr>
  </property>
  <property fmtid="{D5CDD505-2E9C-101B-9397-08002B2CF9AE}" pid="4" name="KSOTemplateDocerSaveRecord">
    <vt:lpwstr>eyJoZGlkIjoiMzU0MTZjMjFkMjFjOGMwYTIzNWEzZDljNjYxZWI0MmYiLCJ1c2VySWQiOiIxNjg0NTc5MjM2In0=</vt:lpwstr>
  </property>
</Properties>
</file>