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611CEB">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52"/>
          <w:szCs w:val="52"/>
          <w:highlight w:val="none"/>
          <w:lang w:val="en-US" w:eastAsia="zh-CN"/>
        </w:rPr>
      </w:pPr>
      <w:bookmarkStart w:id="0" w:name="_Toc22804073"/>
      <w:bookmarkEnd w:id="0"/>
      <w:bookmarkStart w:id="1" w:name="_Toc22953395"/>
      <w:bookmarkEnd w:id="1"/>
    </w:p>
    <w:p w14:paraId="3E01ED4B">
      <w:pPr>
        <w:pStyle w:val="20"/>
        <w:keepNext w:val="0"/>
        <w:keepLines w:val="0"/>
        <w:pageBreakBefore w:val="0"/>
        <w:widowControl w:val="0"/>
        <w:kinsoku/>
        <w:wordWrap/>
        <w:overflowPunct/>
        <w:topLinePunct w:val="0"/>
        <w:autoSpaceDE/>
        <w:autoSpaceDN/>
        <w:bidi w:val="0"/>
        <w:adjustRightInd/>
        <w:snapToGrid/>
        <w:spacing w:beforeAutospacing="0" w:afterAutospacing="0" w:line="600" w:lineRule="auto"/>
        <w:jc w:val="center"/>
        <w:textAlignment w:val="auto"/>
        <w:rPr>
          <w:rFonts w:hint="eastAsia" w:ascii="宋体" w:hAnsi="宋体" w:eastAsia="宋体" w:cs="宋体"/>
          <w:b/>
          <w:bCs/>
          <w:color w:val="auto"/>
          <w:sz w:val="48"/>
          <w:szCs w:val="48"/>
          <w:highlight w:val="none"/>
          <w:lang w:val="en-US" w:eastAsia="zh-CN"/>
        </w:rPr>
      </w:pPr>
      <w:r>
        <w:rPr>
          <w:rFonts w:hint="eastAsia" w:cs="宋体"/>
          <w:b/>
          <w:bCs/>
          <w:color w:val="auto"/>
          <w:sz w:val="48"/>
          <w:szCs w:val="48"/>
          <w:highlight w:val="none"/>
          <w:lang w:val="en-US" w:eastAsia="zh-CN"/>
        </w:rPr>
        <w:t>驻马店市中心医院妇儿院区婴儿纸尿裤和护理垫采购项目</w:t>
      </w:r>
    </w:p>
    <w:p w14:paraId="43B7407E">
      <w:pPr>
        <w:pStyle w:val="20"/>
        <w:bidi w:val="0"/>
        <w:jc w:val="center"/>
        <w:rPr>
          <w:rStyle w:val="44"/>
          <w:rFonts w:hint="eastAsia" w:cs="宋体"/>
          <w:b/>
          <w:bCs/>
          <w:color w:val="auto"/>
          <w:sz w:val="44"/>
          <w:szCs w:val="44"/>
          <w:highlight w:val="none"/>
          <w:lang w:val="en-US" w:eastAsia="zh-CN"/>
        </w:rPr>
      </w:pPr>
    </w:p>
    <w:p w14:paraId="3041D311">
      <w:pPr>
        <w:pStyle w:val="20"/>
        <w:bidi w:val="0"/>
        <w:jc w:val="center"/>
        <w:rPr>
          <w:rStyle w:val="44"/>
          <w:rFonts w:hint="eastAsia" w:cs="宋体"/>
          <w:b/>
          <w:bCs/>
          <w:color w:val="auto"/>
          <w:sz w:val="44"/>
          <w:szCs w:val="44"/>
          <w:highlight w:val="none"/>
          <w:lang w:val="en-US" w:eastAsia="zh-CN"/>
        </w:rPr>
      </w:pPr>
    </w:p>
    <w:p w14:paraId="72164425">
      <w:pPr>
        <w:pStyle w:val="20"/>
        <w:bidi w:val="0"/>
        <w:jc w:val="center"/>
        <w:rPr>
          <w:rStyle w:val="44"/>
          <w:rFonts w:hint="eastAsia" w:ascii="方正公文小标宋" w:hAnsi="方正公文小标宋" w:eastAsia="方正公文小标宋" w:cs="方正公文小标宋"/>
          <w:b w:val="0"/>
          <w:bCs w:val="0"/>
          <w:color w:val="auto"/>
          <w:sz w:val="56"/>
          <w:szCs w:val="56"/>
          <w:highlight w:val="none"/>
        </w:rPr>
      </w:pPr>
      <w:r>
        <w:rPr>
          <w:rStyle w:val="44"/>
          <w:rFonts w:hint="eastAsia" w:ascii="方正公文小标宋" w:hAnsi="方正公文小标宋" w:eastAsia="方正公文小标宋" w:cs="方正公文小标宋"/>
          <w:b w:val="0"/>
          <w:bCs w:val="0"/>
          <w:color w:val="auto"/>
          <w:sz w:val="56"/>
          <w:szCs w:val="56"/>
          <w:highlight w:val="none"/>
          <w:lang w:val="en-US" w:eastAsia="zh-CN"/>
        </w:rPr>
        <w:t>竞争性磋商</w:t>
      </w:r>
      <w:r>
        <w:rPr>
          <w:rStyle w:val="44"/>
          <w:rFonts w:hint="eastAsia" w:ascii="方正公文小标宋" w:hAnsi="方正公文小标宋" w:eastAsia="方正公文小标宋" w:cs="方正公文小标宋"/>
          <w:b w:val="0"/>
          <w:bCs w:val="0"/>
          <w:color w:val="auto"/>
          <w:sz w:val="56"/>
          <w:szCs w:val="56"/>
          <w:highlight w:val="none"/>
        </w:rPr>
        <w:t>文件</w:t>
      </w:r>
    </w:p>
    <w:p w14:paraId="44E388B3">
      <w:pPr>
        <w:pStyle w:val="20"/>
        <w:bidi w:val="0"/>
        <w:jc w:val="center"/>
        <w:rPr>
          <w:rStyle w:val="44"/>
          <w:rFonts w:hint="eastAsia" w:ascii="宋体" w:hAnsi="宋体" w:eastAsia="宋体" w:cs="宋体"/>
          <w:b/>
          <w:bCs/>
          <w:color w:val="auto"/>
          <w:sz w:val="48"/>
          <w:szCs w:val="48"/>
          <w:highlight w:val="none"/>
        </w:rPr>
      </w:pPr>
    </w:p>
    <w:p w14:paraId="158E927F">
      <w:pPr>
        <w:pStyle w:val="20"/>
        <w:bidi w:val="0"/>
        <w:jc w:val="center"/>
        <w:rPr>
          <w:rStyle w:val="44"/>
          <w:rFonts w:hint="eastAsia" w:ascii="宋体" w:hAnsi="宋体" w:eastAsia="宋体" w:cs="宋体"/>
          <w:b/>
          <w:bCs/>
          <w:color w:val="auto"/>
          <w:sz w:val="48"/>
          <w:szCs w:val="48"/>
          <w:highlight w:val="none"/>
        </w:rPr>
      </w:pPr>
    </w:p>
    <w:p w14:paraId="5ABC8E99">
      <w:pPr>
        <w:pStyle w:val="20"/>
        <w:bidi w:val="0"/>
        <w:jc w:val="center"/>
        <w:rPr>
          <w:rStyle w:val="44"/>
          <w:rFonts w:hint="eastAsia" w:ascii="宋体" w:hAnsi="宋体" w:eastAsia="宋体" w:cs="宋体"/>
          <w:b/>
          <w:bCs/>
          <w:color w:val="auto"/>
          <w:sz w:val="48"/>
          <w:szCs w:val="48"/>
          <w:highlight w:val="none"/>
        </w:rPr>
      </w:pPr>
    </w:p>
    <w:p w14:paraId="7B1AF9DD">
      <w:pPr>
        <w:tabs>
          <w:tab w:val="left" w:pos="2700"/>
          <w:tab w:val="left" w:pos="2880"/>
          <w:tab w:val="left" w:pos="3060"/>
          <w:tab w:val="left" w:pos="7560"/>
        </w:tabs>
        <w:snapToGrid w:val="0"/>
        <w:spacing w:line="480" w:lineRule="auto"/>
        <w:rPr>
          <w:rFonts w:hint="eastAsia" w:ascii="宋体" w:hAnsi="宋体" w:eastAsia="宋体" w:cs="宋体"/>
          <w:b/>
          <w:bCs/>
          <w:color w:val="auto"/>
          <w:spacing w:val="-10"/>
          <w:sz w:val="34"/>
          <w:szCs w:val="34"/>
          <w:highlight w:val="none"/>
          <w:lang w:val="en-US" w:eastAsia="zh-CN"/>
        </w:rPr>
      </w:pPr>
    </w:p>
    <w:p w14:paraId="0728AD83">
      <w:pPr>
        <w:pStyle w:val="50"/>
        <w:rPr>
          <w:rFonts w:hint="eastAsia"/>
          <w:color w:val="auto"/>
          <w:lang w:val="en-US" w:eastAsia="zh-CN"/>
        </w:rPr>
      </w:pPr>
    </w:p>
    <w:p w14:paraId="3BF75C73">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采   购   人：驻马店市中心医院</w:t>
      </w:r>
    </w:p>
    <w:p w14:paraId="4E81949D">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采购代理机构：</w:t>
      </w:r>
      <w:r>
        <w:rPr>
          <w:rFonts w:hint="eastAsia" w:ascii="宋体" w:hAnsi="宋体" w:cs="宋体"/>
          <w:b/>
          <w:bCs/>
          <w:color w:val="auto"/>
          <w:spacing w:val="-10"/>
          <w:sz w:val="34"/>
          <w:szCs w:val="34"/>
          <w:highlight w:val="none"/>
          <w:lang w:val="en-US" w:eastAsia="zh-CN"/>
        </w:rPr>
        <w:t>驻马店市晨崴采购代理有限公司</w:t>
      </w:r>
    </w:p>
    <w:p w14:paraId="618A9BB5">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jc w:val="both"/>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日        期：2026年</w:t>
      </w:r>
      <w:r>
        <w:rPr>
          <w:rFonts w:hint="eastAsia" w:ascii="宋体" w:hAnsi="宋体" w:cs="宋体"/>
          <w:b/>
          <w:bCs/>
          <w:color w:val="auto"/>
          <w:spacing w:val="-10"/>
          <w:sz w:val="34"/>
          <w:szCs w:val="34"/>
          <w:highlight w:val="none"/>
          <w:lang w:val="en-US" w:eastAsia="zh-CN"/>
        </w:rPr>
        <w:t>10</w:t>
      </w:r>
      <w:r>
        <w:rPr>
          <w:rFonts w:hint="eastAsia" w:ascii="宋体" w:hAnsi="宋体" w:eastAsia="宋体" w:cs="宋体"/>
          <w:b/>
          <w:bCs/>
          <w:color w:val="auto"/>
          <w:spacing w:val="-10"/>
          <w:sz w:val="34"/>
          <w:szCs w:val="34"/>
          <w:highlight w:val="none"/>
          <w:lang w:val="en-US" w:eastAsia="zh-CN"/>
        </w:rPr>
        <w:t>月</w:t>
      </w:r>
    </w:p>
    <w:p w14:paraId="2A9EC84C">
      <w:pPr>
        <w:tabs>
          <w:tab w:val="left" w:pos="2505"/>
          <w:tab w:val="center" w:pos="4535"/>
        </w:tabs>
        <w:snapToGrid w:val="0"/>
        <w:spacing w:line="480" w:lineRule="auto"/>
        <w:jc w:val="center"/>
        <w:rPr>
          <w:rFonts w:hint="eastAsia" w:ascii="宋体" w:hAnsi="宋体" w:eastAsia="宋体" w:cs="宋体"/>
          <w:b/>
          <w:color w:val="auto"/>
          <w:sz w:val="36"/>
          <w:szCs w:val="36"/>
          <w:highlight w:val="none"/>
        </w:rPr>
        <w:sectPr>
          <w:pgSz w:w="11923" w:h="16838"/>
          <w:pgMar w:top="1304" w:right="1417" w:bottom="992" w:left="1417" w:header="720" w:footer="720" w:gutter="0"/>
          <w:pgNumType w:fmt="decimal" w:start="1"/>
          <w:cols w:space="720" w:num="1"/>
          <w:docGrid w:type="lines" w:linePitch="312" w:charSpace="0"/>
        </w:sectPr>
      </w:pPr>
    </w:p>
    <w:p w14:paraId="3709C4D4">
      <w:pPr>
        <w:rPr>
          <w:rFonts w:hint="eastAsia" w:ascii="宋体" w:hAnsi="宋体" w:eastAsia="宋体" w:cs="宋体"/>
          <w:bCs/>
          <w:color w:val="auto"/>
          <w:sz w:val="24"/>
          <w:highlight w:val="none"/>
        </w:rPr>
      </w:pPr>
    </w:p>
    <w:p w14:paraId="5FE7AB9D">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9"/>
        <w:rPr>
          <w:rFonts w:hint="eastAsia" w:ascii="宋体" w:hAnsi="宋体" w:eastAsia="宋体" w:cs="宋体"/>
          <w:color w:val="auto"/>
          <w:highlight w:val="none"/>
        </w:rPr>
      </w:pPr>
    </w:p>
    <w:p w14:paraId="5621469A">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TOC \o "1-1" \h \u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_Toc26528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第一章  </w:t>
      </w:r>
      <w:r>
        <w:rPr>
          <w:rFonts w:hint="eastAsia" w:ascii="宋体" w:hAnsi="宋体" w:eastAsia="宋体" w:cs="宋体"/>
          <w:color w:val="auto"/>
          <w:sz w:val="24"/>
          <w:szCs w:val="40"/>
          <w:highlight w:val="none"/>
          <w:lang w:val="en-US" w:eastAsia="zh-CN"/>
        </w:rPr>
        <w:t>竞争性磋商</w:t>
      </w:r>
      <w:r>
        <w:rPr>
          <w:rFonts w:hint="eastAsia" w:ascii="宋体" w:hAnsi="宋体" w:eastAsia="宋体" w:cs="宋体"/>
          <w:color w:val="auto"/>
          <w:sz w:val="24"/>
          <w:szCs w:val="40"/>
          <w:highlight w:val="none"/>
        </w:rPr>
        <w:t>公告</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_Toc26528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2</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78C5A8E5">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_Toc19124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第二章  </w:t>
      </w:r>
      <w:r>
        <w:rPr>
          <w:rFonts w:hint="eastAsia" w:ascii="宋体" w:hAnsi="宋体" w:eastAsia="宋体" w:cs="宋体"/>
          <w:color w:val="auto"/>
          <w:sz w:val="24"/>
          <w:szCs w:val="40"/>
          <w:highlight w:val="none"/>
          <w:lang w:eastAsia="zh-CN"/>
        </w:rPr>
        <w:t>采购</w:t>
      </w:r>
      <w:r>
        <w:rPr>
          <w:rFonts w:hint="eastAsia" w:ascii="宋体" w:hAnsi="宋体" w:eastAsia="宋体" w:cs="宋体"/>
          <w:color w:val="auto"/>
          <w:sz w:val="24"/>
          <w:szCs w:val="40"/>
          <w:highlight w:val="none"/>
        </w:rPr>
        <w:t>需求</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_Toc19124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4</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2B55758C">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_Toc8501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sz w:val="24"/>
          <w:szCs w:val="40"/>
          <w:highlight w:val="none"/>
        </w:rPr>
        <w:t xml:space="preserve">第三章  </w:t>
      </w:r>
      <w:r>
        <w:rPr>
          <w:rFonts w:hint="eastAsia" w:ascii="宋体" w:hAnsi="宋体" w:eastAsia="宋体" w:cs="宋体"/>
          <w:bCs/>
          <w:color w:val="auto"/>
          <w:sz w:val="24"/>
          <w:szCs w:val="40"/>
          <w:highlight w:val="none"/>
          <w:lang w:eastAsia="zh-CN"/>
        </w:rPr>
        <w:t>供应商</w:t>
      </w:r>
      <w:r>
        <w:rPr>
          <w:rFonts w:hint="eastAsia" w:ascii="宋体" w:hAnsi="宋体" w:eastAsia="宋体" w:cs="宋体"/>
          <w:bCs/>
          <w:color w:val="auto"/>
          <w:sz w:val="24"/>
          <w:szCs w:val="40"/>
          <w:highlight w:val="none"/>
        </w:rPr>
        <w:t>须知</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_Toc8501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7</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1D52CE9">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_Toc31399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kern w:val="0"/>
          <w:sz w:val="24"/>
          <w:szCs w:val="40"/>
          <w:highlight w:val="none"/>
        </w:rPr>
        <w:t>第四章  评标办法及评分标准</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_Toc31399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16</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C59EEF9">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_Toc11904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36"/>
          <w:highlight w:val="none"/>
        </w:rPr>
        <w:t>第五章  采购合同</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_Toc11904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19</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99D6560">
      <w:pPr>
        <w:pStyle w:val="24"/>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color w:val="auto"/>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_Toc18702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第六章  </w:t>
      </w:r>
      <w:r>
        <w:rPr>
          <w:rFonts w:hint="eastAsia" w:ascii="宋体" w:hAnsi="宋体" w:eastAsia="宋体" w:cs="宋体"/>
          <w:color w:val="auto"/>
          <w:sz w:val="24"/>
          <w:szCs w:val="40"/>
          <w:highlight w:val="none"/>
          <w:lang w:val="en-US" w:eastAsia="zh-CN"/>
        </w:rPr>
        <w:t>响应</w:t>
      </w:r>
      <w:r>
        <w:rPr>
          <w:rFonts w:hint="eastAsia" w:ascii="宋体" w:hAnsi="宋体" w:eastAsia="宋体" w:cs="宋体"/>
          <w:color w:val="auto"/>
          <w:sz w:val="24"/>
          <w:szCs w:val="40"/>
          <w:highlight w:val="none"/>
        </w:rPr>
        <w:t>文件格式</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_Toc18702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20</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83C03D8">
      <w:pPr>
        <w:pStyle w:val="89"/>
        <w:keepNext w:val="0"/>
        <w:keepLines w:val="0"/>
        <w:pageBreakBefore w:val="0"/>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32"/>
          <w:szCs w:val="32"/>
          <w:highlight w:val="none"/>
        </w:rPr>
      </w:pPr>
      <w:r>
        <w:rPr>
          <w:rFonts w:hint="eastAsia" w:ascii="宋体" w:hAnsi="宋体" w:eastAsia="宋体" w:cs="宋体"/>
          <w:bCs/>
          <w:color w:val="auto"/>
          <w:szCs w:val="32"/>
          <w:highlight w:val="none"/>
        </w:rPr>
        <w:fldChar w:fldCharType="end"/>
      </w:r>
    </w:p>
    <w:p w14:paraId="2DB3124A">
      <w:pPr>
        <w:spacing w:line="440" w:lineRule="exact"/>
        <w:rPr>
          <w:rFonts w:hint="eastAsia" w:ascii="宋体" w:hAnsi="宋体" w:eastAsia="宋体" w:cs="宋体"/>
          <w:b/>
          <w:color w:val="auto"/>
          <w:sz w:val="32"/>
          <w:szCs w:val="32"/>
          <w:highlight w:val="none"/>
        </w:rPr>
      </w:pPr>
    </w:p>
    <w:p w14:paraId="1EB37B1F">
      <w:pPr>
        <w:spacing w:line="360" w:lineRule="auto"/>
        <w:ind w:firstLine="2409" w:firstLineChars="600"/>
        <w:rPr>
          <w:rFonts w:hint="eastAsia" w:ascii="宋体" w:hAnsi="宋体" w:eastAsia="宋体" w:cs="宋体"/>
          <w:b/>
          <w:color w:val="auto"/>
          <w:sz w:val="40"/>
          <w:szCs w:val="40"/>
          <w:highlight w:val="none"/>
        </w:rPr>
        <w:sectPr>
          <w:headerReference r:id="rId3" w:type="default"/>
          <w:footerReference r:id="rId4" w:type="default"/>
          <w:pgSz w:w="11906" w:h="16838"/>
          <w:pgMar w:top="1417" w:right="1474" w:bottom="1417" w:left="1474" w:header="851" w:footer="624" w:gutter="0"/>
          <w:pgBorders>
            <w:top w:val="none" w:sz="0" w:space="0"/>
            <w:left w:val="none" w:sz="0" w:space="0"/>
            <w:bottom w:val="none" w:sz="0" w:space="0"/>
            <w:right w:val="none" w:sz="0" w:space="0"/>
          </w:pgBorders>
          <w:pgNumType w:fmt="decimal" w:start="1"/>
          <w:cols w:space="720" w:num="1"/>
          <w:docGrid w:type="lines" w:linePitch="319" w:charSpace="0"/>
        </w:sectPr>
      </w:pPr>
    </w:p>
    <w:p w14:paraId="507E5BEB">
      <w:pPr>
        <w:spacing w:line="360" w:lineRule="auto"/>
        <w:jc w:val="center"/>
        <w:outlineLvl w:val="0"/>
        <w:rPr>
          <w:rFonts w:hint="eastAsia" w:ascii="宋体" w:hAnsi="宋体" w:eastAsia="宋体" w:cs="宋体"/>
          <w:b/>
          <w:color w:val="auto"/>
          <w:sz w:val="32"/>
          <w:szCs w:val="32"/>
          <w:highlight w:val="none"/>
        </w:rPr>
      </w:pPr>
      <w:bookmarkStart w:id="2"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2"/>
    </w:p>
    <w:p w14:paraId="7C15E64E">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cs="宋体"/>
          <w:b/>
          <w:bCs w:val="0"/>
          <w:color w:val="auto"/>
          <w:kern w:val="0"/>
          <w:sz w:val="28"/>
          <w:szCs w:val="28"/>
          <w:highlight w:val="none"/>
          <w:u w:val="none"/>
          <w:lang w:val="en-US" w:eastAsia="zh-CN"/>
        </w:rPr>
      </w:pPr>
      <w:r>
        <w:rPr>
          <w:rFonts w:hint="eastAsia" w:ascii="宋体" w:hAnsi="宋体" w:cs="宋体"/>
          <w:b/>
          <w:bCs w:val="0"/>
          <w:color w:val="auto"/>
          <w:kern w:val="0"/>
          <w:sz w:val="28"/>
          <w:szCs w:val="28"/>
          <w:highlight w:val="none"/>
          <w:u w:val="none"/>
          <w:lang w:val="en-US" w:eastAsia="zh-CN"/>
        </w:rPr>
        <w:t>驻马店市中心医院妇儿院区婴儿纸尿裤和护理垫采购项目</w:t>
      </w:r>
    </w:p>
    <w:p w14:paraId="6C730A6D">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3A0989F1">
      <w:pPr>
        <w:keepNext w:val="0"/>
        <w:keepLines w:val="0"/>
        <w:pageBreakBefore w:val="0"/>
        <w:kinsoku/>
        <w:overflowPunct/>
        <w:topLinePunct w:val="0"/>
        <w:autoSpaceDE/>
        <w:autoSpaceDN/>
        <w:bidi w:val="0"/>
        <w:snapToGrid w:val="0"/>
        <w:spacing w:line="410" w:lineRule="exact"/>
        <w:ind w:firstLine="480" w:firstLineChars="200"/>
        <w:textAlignment w:val="auto"/>
        <w:rPr>
          <w:rFonts w:hint="eastAsia" w:ascii="宋体" w:hAnsi="宋体" w:eastAsia="宋体" w:cs="宋体"/>
          <w:color w:val="auto"/>
          <w:sz w:val="24"/>
          <w:highlight w:val="none"/>
        </w:rPr>
      </w:pPr>
      <w:bookmarkStart w:id="3" w:name="_Toc29890"/>
      <w:bookmarkStart w:id="4" w:name="_Toc23793"/>
      <w:r>
        <w:rPr>
          <w:rFonts w:hint="eastAsia" w:ascii="宋体" w:hAnsi="宋体" w:eastAsia="宋体" w:cs="宋体"/>
          <w:color w:val="auto"/>
          <w:sz w:val="24"/>
          <w:highlight w:val="none"/>
        </w:rPr>
        <w:t>驻马店市中心医院现对</w:t>
      </w:r>
      <w:r>
        <w:rPr>
          <w:rFonts w:hint="eastAsia" w:ascii="宋体" w:hAnsi="宋体" w:eastAsia="宋体" w:cs="宋体"/>
          <w:color w:val="auto"/>
          <w:sz w:val="24"/>
          <w:highlight w:val="none"/>
          <w:u w:val="single"/>
          <w:lang w:val="en-US" w:eastAsia="zh-CN"/>
        </w:rPr>
        <w:t>妇儿院区婴儿纸尿裤和护理垫采购项目</w:t>
      </w:r>
      <w:r>
        <w:rPr>
          <w:rFonts w:hint="eastAsia" w:ascii="宋体" w:hAnsi="宋体" w:eastAsia="宋体" w:cs="宋体"/>
          <w:color w:val="auto"/>
          <w:sz w:val="24"/>
          <w:highlight w:val="none"/>
        </w:rPr>
        <w:t>进行院内竞争性磋商采购，欢迎符合资格条件的供应商前来报名并获取采购文件。</w:t>
      </w:r>
    </w:p>
    <w:p w14:paraId="306B0538">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shd w:val="clear" w:color="auto" w:fill="FFFFFF"/>
        </w:rPr>
      </w:pPr>
      <w:r>
        <w:rPr>
          <w:rFonts w:hint="eastAsia" w:ascii="宋体" w:hAnsi="宋体" w:eastAsia="宋体" w:cs="宋体"/>
          <w:b/>
          <w:bCs/>
          <w:color w:val="auto"/>
          <w:sz w:val="24"/>
          <w:highlight w:val="none"/>
          <w:shd w:val="clear" w:color="auto" w:fill="FFFFFF"/>
        </w:rPr>
        <w:t>一、项目基本情况</w:t>
      </w:r>
    </w:p>
    <w:p w14:paraId="4948240E">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1、采购项目名称：</w:t>
      </w:r>
      <w:r>
        <w:rPr>
          <w:rFonts w:hint="eastAsia" w:ascii="宋体" w:hAnsi="宋体" w:cs="宋体"/>
          <w:color w:val="auto"/>
          <w:sz w:val="24"/>
          <w:highlight w:val="none"/>
          <w:shd w:val="clear" w:color="auto" w:fill="FFFFFF"/>
          <w:lang w:eastAsia="zh-CN"/>
        </w:rPr>
        <w:t>驻马店市中心医院妇儿院区婴儿纸尿裤和护理垫采购项目</w:t>
      </w:r>
      <w:r>
        <w:rPr>
          <w:rFonts w:hint="eastAsia" w:ascii="宋体" w:hAnsi="宋体" w:eastAsia="宋体" w:cs="宋体"/>
          <w:color w:val="auto"/>
          <w:sz w:val="24"/>
          <w:highlight w:val="none"/>
          <w:shd w:val="clear" w:color="auto" w:fill="FFFFFF"/>
        </w:rPr>
        <w:t>；</w:t>
      </w:r>
    </w:p>
    <w:p w14:paraId="21A8A0E5">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2、采购需求：详见采购文件第二章“采购需求”；</w:t>
      </w:r>
    </w:p>
    <w:p w14:paraId="30FDEB1C">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w:t>
      </w:r>
      <w:bookmarkStart w:id="5" w:name="_Toc26725"/>
      <w:r>
        <w:rPr>
          <w:rFonts w:hint="eastAsia" w:ascii="宋体" w:hAnsi="宋体" w:eastAsia="宋体" w:cs="宋体"/>
          <w:color w:val="auto"/>
          <w:sz w:val="24"/>
          <w:highlight w:val="none"/>
          <w:shd w:val="clear" w:color="auto" w:fill="FFFFFF"/>
        </w:rPr>
        <w:t>、预算金额：</w:t>
      </w:r>
      <w:r>
        <w:rPr>
          <w:rFonts w:hint="eastAsia" w:ascii="宋体" w:hAnsi="宋体" w:cs="宋体"/>
          <w:color w:val="auto"/>
          <w:sz w:val="24"/>
          <w:highlight w:val="none"/>
          <w:shd w:val="clear" w:color="auto" w:fill="FFFFFF"/>
          <w:lang w:val="en-US" w:eastAsia="zh-CN"/>
        </w:rPr>
        <w:t>44万元</w:t>
      </w:r>
      <w:r>
        <w:rPr>
          <w:rFonts w:hint="eastAsia" w:ascii="宋体" w:hAnsi="宋体" w:eastAsia="宋体" w:cs="宋体"/>
          <w:color w:val="auto"/>
          <w:sz w:val="24"/>
          <w:highlight w:val="none"/>
          <w:shd w:val="clear" w:color="auto" w:fill="FFFFFF"/>
        </w:rPr>
        <w:t>；</w:t>
      </w:r>
    </w:p>
    <w:p w14:paraId="13368F4F">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default" w:ascii="宋体" w:hAnsi="宋体" w:eastAsia="宋体" w:cs="宋体"/>
          <w:color w:val="auto"/>
          <w:sz w:val="24"/>
          <w:highlight w:val="none"/>
          <w:shd w:val="clear" w:color="auto" w:fill="FFFFFF"/>
          <w:lang w:val="en-US" w:eastAsia="zh-CN"/>
        </w:rPr>
      </w:pPr>
      <w:r>
        <w:rPr>
          <w:rFonts w:hint="eastAsia" w:ascii="宋体" w:hAnsi="宋体" w:eastAsia="宋体" w:cs="宋体"/>
          <w:color w:val="auto"/>
          <w:sz w:val="24"/>
          <w:highlight w:val="none"/>
          <w:shd w:val="clear" w:color="auto" w:fill="FFFFFF"/>
          <w:lang w:val="en-US" w:eastAsia="zh-CN"/>
        </w:rPr>
        <w:t>4、供货期限：一年</w:t>
      </w:r>
    </w:p>
    <w:p w14:paraId="334A53A7">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shd w:val="clear" w:color="auto" w:fill="FFFFFF"/>
        </w:rPr>
      </w:pPr>
      <w:bookmarkStart w:id="6" w:name="_Toc27704"/>
      <w:bookmarkStart w:id="7" w:name="_Toc18607"/>
      <w:bookmarkStart w:id="8" w:name="_Toc16639"/>
      <w:bookmarkStart w:id="9" w:name="_Toc23626"/>
      <w:r>
        <w:rPr>
          <w:rFonts w:hint="eastAsia" w:ascii="宋体" w:hAnsi="宋体" w:eastAsia="宋体" w:cs="宋体"/>
          <w:b/>
          <w:bCs/>
          <w:color w:val="auto"/>
          <w:sz w:val="24"/>
          <w:highlight w:val="none"/>
          <w:shd w:val="clear" w:color="auto" w:fill="FFFFFF"/>
        </w:rPr>
        <w:t>二、</w:t>
      </w:r>
      <w:bookmarkEnd w:id="5"/>
      <w:bookmarkEnd w:id="6"/>
      <w:bookmarkEnd w:id="7"/>
      <w:bookmarkEnd w:id="8"/>
      <w:bookmarkEnd w:id="9"/>
      <w:r>
        <w:rPr>
          <w:rFonts w:hint="eastAsia" w:ascii="宋体" w:hAnsi="宋体" w:eastAsia="宋体" w:cs="宋体"/>
          <w:b/>
          <w:bCs/>
          <w:color w:val="auto"/>
          <w:sz w:val="24"/>
          <w:highlight w:val="none"/>
          <w:shd w:val="clear" w:color="auto" w:fill="FFFFFF"/>
        </w:rPr>
        <w:t>供应商资格要求：</w:t>
      </w:r>
    </w:p>
    <w:p w14:paraId="18F59B14">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bookmarkStart w:id="10" w:name="_Toc7823"/>
      <w:bookmarkStart w:id="11" w:name="_Toc23395"/>
      <w:bookmarkStart w:id="12" w:name="_Toc9562"/>
      <w:bookmarkStart w:id="13" w:name="_Toc30643"/>
      <w:bookmarkStart w:id="14" w:name="_Toc30971"/>
      <w:r>
        <w:rPr>
          <w:rFonts w:hint="eastAsia" w:ascii="宋体" w:hAnsi="宋体" w:cs="宋体"/>
          <w:color w:val="auto"/>
          <w:sz w:val="24"/>
          <w:szCs w:val="24"/>
          <w:highlight w:val="none"/>
          <w:shd w:val="clear" w:color="auto" w:fill="FFFFFF"/>
          <w:lang w:val="en-US" w:eastAsia="zh-CN"/>
        </w:rPr>
        <w:t>1、具有独立承担民事责任的能力（提供营业执照或其他证明材料）；</w:t>
      </w:r>
    </w:p>
    <w:p w14:paraId="79851768">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2、具有良好的商业信誉和</w:t>
      </w:r>
      <w:bookmarkStart w:id="79" w:name="_GoBack"/>
      <w:bookmarkEnd w:id="79"/>
      <w:r>
        <w:rPr>
          <w:rFonts w:hint="eastAsia" w:ascii="宋体" w:hAnsi="宋体" w:cs="宋体"/>
          <w:color w:val="auto"/>
          <w:sz w:val="24"/>
          <w:szCs w:val="24"/>
          <w:highlight w:val="none"/>
          <w:shd w:val="clear" w:color="auto" w:fill="FFFFFF"/>
          <w:lang w:val="en-US" w:eastAsia="zh-CN"/>
        </w:rPr>
        <w:t>健全的财务会计制度（提供经审计的2025年度财务报告或者其基本开户银行出具的资信证明）；</w:t>
      </w:r>
    </w:p>
    <w:p w14:paraId="22AD6486">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3、具有履行合同所必需的设备和专业技术能力（提供书面承诺函）；</w:t>
      </w:r>
    </w:p>
    <w:p w14:paraId="750358E5">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4、具有依法缴纳税收和社会保障资金的良好记录（提供采购活动近六个月任意一个月的依法缴纳税收和缴纳社保的证明；依法免税或不需要缴纳社会保障资金的，应提供相应文件证明其依法免税或不需要缴纳社会保障资金）。</w:t>
      </w:r>
    </w:p>
    <w:p w14:paraId="6C531497">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5、参加本采购活动前三年内，在经营活动中没有重大违法记录（提供书面承诺函）；</w:t>
      </w:r>
    </w:p>
    <w:p w14:paraId="63E4047C">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6、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p>
    <w:p w14:paraId="1C79374B">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7、单位负责人为同一人或者存在直接控股、管理关系的不同供应商，不得参加同一合同项下的磋商（提供承诺函）。</w:t>
      </w:r>
    </w:p>
    <w:p w14:paraId="591C7CB9">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outlineLvl w:val="1"/>
        <w:rPr>
          <w:rFonts w:hint="eastAsia"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8</w:t>
      </w:r>
      <w:r>
        <w:rPr>
          <w:rFonts w:hint="eastAsia" w:ascii="宋体" w:hAnsi="宋体" w:eastAsia="宋体" w:cs="宋体"/>
          <w:b w:val="0"/>
          <w:bCs w:val="0"/>
          <w:color w:val="auto"/>
          <w:sz w:val="24"/>
          <w:highlight w:val="none"/>
          <w:lang w:val="en-US" w:eastAsia="zh-CN"/>
        </w:rPr>
        <w:t>、不接受联合体磋商。</w:t>
      </w:r>
    </w:p>
    <w:p w14:paraId="274BFCF1">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三、获取采购文件</w:t>
      </w:r>
      <w:bookmarkEnd w:id="10"/>
      <w:bookmarkEnd w:id="11"/>
      <w:bookmarkEnd w:id="12"/>
      <w:bookmarkEnd w:id="13"/>
      <w:bookmarkEnd w:id="14"/>
    </w:p>
    <w:p w14:paraId="5ABB2D99">
      <w:pPr>
        <w:keepNext w:val="0"/>
        <w:keepLines w:val="0"/>
        <w:pageBreakBefore w:val="0"/>
        <w:widowControl/>
        <w:kinsoku/>
        <w:overflowPunct/>
        <w:topLinePunct w:val="0"/>
        <w:autoSpaceDE/>
        <w:autoSpaceDN/>
        <w:bidi w:val="0"/>
        <w:adjustRightInd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1. 报名时间：</w:t>
      </w:r>
      <w:r>
        <w:rPr>
          <w:rFonts w:hint="eastAsia" w:ascii="宋体" w:hAnsi="宋体" w:eastAsia="宋体" w:cs="宋体"/>
          <w:color w:val="auto"/>
          <w:sz w:val="24"/>
          <w:highlight w:val="none"/>
          <w:shd w:val="clear" w:color="auto" w:fill="FFFFFF"/>
        </w:rPr>
        <w:t>202</w:t>
      </w:r>
      <w:r>
        <w:rPr>
          <w:rFonts w:hint="eastAsia" w:ascii="宋体" w:hAnsi="宋体" w:eastAsia="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21</w:t>
      </w:r>
      <w:r>
        <w:rPr>
          <w:rFonts w:hint="eastAsia" w:ascii="宋体" w:hAnsi="宋体" w:eastAsia="宋体" w:cs="宋体"/>
          <w:color w:val="auto"/>
          <w:sz w:val="24"/>
          <w:highlight w:val="none"/>
          <w:shd w:val="clear" w:color="auto" w:fill="FFFFFF"/>
        </w:rPr>
        <w:t>日-202</w:t>
      </w:r>
      <w:r>
        <w:rPr>
          <w:rFonts w:hint="eastAsia" w:ascii="宋体" w:hAnsi="宋体" w:eastAsia="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23</w:t>
      </w:r>
      <w:r>
        <w:rPr>
          <w:rFonts w:hint="eastAsia" w:ascii="宋体" w:hAnsi="宋体" w:eastAsia="宋体" w:cs="宋体"/>
          <w:color w:val="auto"/>
          <w:sz w:val="24"/>
          <w:highlight w:val="none"/>
          <w:shd w:val="clear" w:color="auto" w:fill="FFFFFF"/>
        </w:rPr>
        <w:t>日</w:t>
      </w:r>
      <w:r>
        <w:rPr>
          <w:rFonts w:hint="eastAsia" w:ascii="宋体" w:hAnsi="宋体" w:eastAsia="宋体" w:cs="宋体"/>
          <w:color w:val="auto"/>
          <w:sz w:val="24"/>
          <w:highlight w:val="none"/>
          <w:shd w:val="clear" w:color="auto" w:fill="FFFFFF"/>
        </w:rPr>
        <w:t>，上午08：00-下午17:30（北京时间，法定节假日除外）。</w:t>
      </w:r>
    </w:p>
    <w:p w14:paraId="42C2BE5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 xml:space="preserve">2. 凡报名成功的供应商无故不来参与投标的，列入我院黑名单，一年内不得参与我院任何采购活动。 </w:t>
      </w:r>
    </w:p>
    <w:p w14:paraId="3C9C6641">
      <w:pPr>
        <w:keepNext w:val="0"/>
        <w:keepLines w:val="0"/>
        <w:pageBreakBefore w:val="0"/>
        <w:widowControl/>
        <w:kinsoku/>
        <w:wordWrap w:val="0"/>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u w:val="single"/>
          <w:shd w:val="clear" w:color="auto" w:fill="FFFFFF"/>
        </w:rPr>
      </w:pPr>
      <w:r>
        <w:rPr>
          <w:rFonts w:hint="eastAsia" w:ascii="宋体" w:hAnsi="宋体" w:eastAsia="宋体" w:cs="宋体"/>
          <w:color w:val="auto"/>
          <w:kern w:val="0"/>
          <w:sz w:val="24"/>
          <w:highlight w:val="none"/>
          <w:shd w:val="clear" w:color="auto" w:fill="FFFFFF"/>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4"/>
          <w:highlight w:val="none"/>
          <w:shd w:val="clear" w:color="auto" w:fill="FFFFFF"/>
        </w:rPr>
        <w:fldChar w:fldCharType="begin"/>
      </w:r>
      <w:r>
        <w:rPr>
          <w:rFonts w:hint="eastAsia" w:ascii="宋体" w:hAnsi="宋体" w:eastAsia="宋体" w:cs="宋体"/>
          <w:color w:val="auto"/>
          <w:kern w:val="0"/>
          <w:sz w:val="24"/>
          <w:highlight w:val="none"/>
          <w:shd w:val="clear" w:color="auto" w:fill="FFFFFF"/>
        </w:rPr>
        <w:instrText xml:space="preserve"> HYPERLINK "mailto:hnwxzb2@163.com并标明XX" </w:instrText>
      </w:r>
      <w:r>
        <w:rPr>
          <w:rFonts w:hint="eastAsia" w:ascii="宋体" w:hAnsi="宋体" w:eastAsia="宋体" w:cs="宋体"/>
          <w:color w:val="auto"/>
          <w:kern w:val="0"/>
          <w:sz w:val="24"/>
          <w:highlight w:val="none"/>
          <w:shd w:val="clear" w:color="auto" w:fill="FFFFFF"/>
        </w:rPr>
        <w:fldChar w:fldCharType="separate"/>
      </w:r>
      <w:r>
        <w:rPr>
          <w:rFonts w:hint="eastAsia" w:ascii="宋体" w:hAnsi="宋体" w:eastAsia="宋体" w:cs="宋体"/>
          <w:color w:val="auto"/>
          <w:kern w:val="0"/>
          <w:sz w:val="24"/>
          <w:highlight w:val="none"/>
          <w:shd w:val="clear" w:color="auto" w:fill="FFFFFF"/>
          <w:lang w:val="en-US" w:eastAsia="zh-CN"/>
        </w:rPr>
        <w:t>296211948@qq.com</w:t>
      </w:r>
      <w:r>
        <w:rPr>
          <w:rFonts w:hint="eastAsia" w:ascii="宋体" w:hAnsi="宋体" w:eastAsia="宋体" w:cs="宋体"/>
          <w:color w:val="auto"/>
          <w:kern w:val="0"/>
          <w:sz w:val="24"/>
          <w:highlight w:val="none"/>
          <w:shd w:val="clear" w:color="auto" w:fill="FFFFFF"/>
        </w:rPr>
        <w:t>,并标明XX公司XX</w:t>
      </w:r>
      <w:r>
        <w:rPr>
          <w:rFonts w:hint="eastAsia" w:ascii="宋体" w:hAnsi="宋体" w:eastAsia="宋体" w:cs="宋体"/>
          <w:color w:val="auto"/>
          <w:kern w:val="0"/>
          <w:sz w:val="24"/>
          <w:highlight w:val="none"/>
          <w:shd w:val="clear" w:color="auto" w:fill="FFFFFF"/>
        </w:rPr>
        <w:fldChar w:fldCharType="end"/>
      </w:r>
      <w:r>
        <w:rPr>
          <w:rFonts w:hint="eastAsia" w:ascii="宋体" w:hAnsi="宋体" w:eastAsia="宋体" w:cs="宋体"/>
          <w:color w:val="auto"/>
          <w:kern w:val="0"/>
          <w:sz w:val="24"/>
          <w:highlight w:val="none"/>
          <w:shd w:val="clear" w:color="auto" w:fill="FFFFFF"/>
        </w:rPr>
        <w:t>项目报名资料。</w:t>
      </w:r>
    </w:p>
    <w:p w14:paraId="71FF4945">
      <w:pPr>
        <w:keepNext w:val="0"/>
        <w:keepLines w:val="0"/>
        <w:pageBreakBefore w:val="0"/>
        <w:widowControl/>
        <w:kinsoku/>
        <w:wordWrap w:val="0"/>
        <w:overflowPunct/>
        <w:topLinePunct w:val="0"/>
        <w:autoSpaceDE/>
        <w:autoSpaceDN/>
        <w:bidi w:val="0"/>
        <w:snapToGrid w:val="0"/>
        <w:spacing w:line="410" w:lineRule="exact"/>
        <w:ind w:left="420" w:left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4. 报名登记表：请从附件中下载。</w:t>
      </w:r>
    </w:p>
    <w:p w14:paraId="62E8E932">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15" w:name="_Toc10738"/>
      <w:bookmarkStart w:id="16" w:name="_Toc15135"/>
      <w:bookmarkStart w:id="17" w:name="_Toc15111"/>
      <w:bookmarkStart w:id="18" w:name="_Toc25869"/>
      <w:bookmarkStart w:id="19" w:name="_Toc27480"/>
      <w:r>
        <w:rPr>
          <w:rFonts w:hint="eastAsia" w:ascii="宋体" w:hAnsi="宋体" w:eastAsia="宋体" w:cs="宋体"/>
          <w:b/>
          <w:bCs/>
          <w:color w:val="auto"/>
          <w:sz w:val="24"/>
          <w:highlight w:val="none"/>
          <w:shd w:val="clear" w:color="auto" w:fill="FFFFFF"/>
        </w:rPr>
        <w:t>四、磋商截止时间及地点</w:t>
      </w:r>
      <w:bookmarkEnd w:id="15"/>
      <w:bookmarkEnd w:id="16"/>
      <w:bookmarkEnd w:id="17"/>
      <w:bookmarkEnd w:id="18"/>
      <w:bookmarkEnd w:id="19"/>
    </w:p>
    <w:p w14:paraId="649CF934">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1. 时间：</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331D7C44">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2. 地点：</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47DDEAD4">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shd w:val="clear" w:color="auto" w:fill="FFFFFF"/>
        </w:rPr>
        <w:t>五、磋商时间及地点</w:t>
      </w:r>
    </w:p>
    <w:p w14:paraId="4E9D3C0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1. 时间：</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14DE729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2. 地点：</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119A2593">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20" w:name="_Toc6523"/>
      <w:bookmarkStart w:id="21" w:name="_Toc29784"/>
      <w:bookmarkStart w:id="22" w:name="_Toc20287"/>
      <w:bookmarkStart w:id="23" w:name="_Toc30918"/>
      <w:r>
        <w:rPr>
          <w:rFonts w:hint="eastAsia" w:ascii="宋体" w:hAnsi="宋体" w:eastAsia="宋体" w:cs="宋体"/>
          <w:b/>
          <w:bCs/>
          <w:color w:val="auto"/>
          <w:sz w:val="24"/>
          <w:highlight w:val="none"/>
          <w:shd w:val="clear" w:color="auto" w:fill="FFFFFF"/>
        </w:rPr>
        <w:t>六、发布公告的媒介及</w:t>
      </w:r>
      <w:r>
        <w:rPr>
          <w:rFonts w:hint="eastAsia" w:ascii="宋体" w:hAnsi="宋体" w:eastAsia="宋体" w:cs="宋体"/>
          <w:b/>
          <w:bCs/>
          <w:color w:val="auto"/>
          <w:sz w:val="24"/>
          <w:highlight w:val="none"/>
        </w:rPr>
        <w:t>采购</w:t>
      </w:r>
      <w:r>
        <w:rPr>
          <w:rFonts w:hint="eastAsia" w:ascii="宋体" w:hAnsi="宋体" w:eastAsia="宋体" w:cs="宋体"/>
          <w:b/>
          <w:bCs/>
          <w:color w:val="auto"/>
          <w:sz w:val="24"/>
          <w:highlight w:val="none"/>
          <w:shd w:val="clear" w:color="auto" w:fill="FFFFFF"/>
        </w:rPr>
        <w:t>公告期限</w:t>
      </w:r>
      <w:bookmarkEnd w:id="20"/>
      <w:bookmarkEnd w:id="21"/>
      <w:bookmarkEnd w:id="22"/>
      <w:bookmarkEnd w:id="23"/>
    </w:p>
    <w:p w14:paraId="750C8782">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本次</w:t>
      </w:r>
      <w:r>
        <w:rPr>
          <w:rFonts w:hint="eastAsia" w:ascii="宋体" w:hAnsi="宋体" w:eastAsia="宋体" w:cs="宋体"/>
          <w:color w:val="auto"/>
          <w:sz w:val="24"/>
          <w:highlight w:val="none"/>
        </w:rPr>
        <w:t>采购</w:t>
      </w:r>
      <w:r>
        <w:rPr>
          <w:rFonts w:hint="eastAsia" w:ascii="宋体" w:hAnsi="宋体" w:eastAsia="宋体" w:cs="宋体"/>
          <w:color w:val="auto"/>
          <w:kern w:val="0"/>
          <w:sz w:val="24"/>
          <w:highlight w:val="none"/>
          <w:shd w:val="clear" w:color="auto" w:fill="FFFFFF"/>
        </w:rPr>
        <w:t>公告在《驻马店市中心医院》院内网</w:t>
      </w:r>
      <w:r>
        <w:rPr>
          <w:rFonts w:hint="eastAsia" w:ascii="宋体" w:hAnsi="宋体" w:eastAsia="宋体" w:cs="宋体"/>
          <w:color w:val="auto"/>
          <w:sz w:val="24"/>
          <w:highlight w:val="none"/>
        </w:rPr>
        <w:t>上发布，采购公告期限为三个工作日</w:t>
      </w:r>
      <w:r>
        <w:rPr>
          <w:rFonts w:hint="eastAsia" w:ascii="宋体" w:hAnsi="宋体" w:eastAsia="宋体" w:cs="宋体"/>
          <w:color w:val="auto"/>
          <w:kern w:val="0"/>
          <w:sz w:val="24"/>
          <w:highlight w:val="none"/>
          <w:shd w:val="clear" w:color="auto" w:fill="FFFFFF"/>
        </w:rPr>
        <w:t>。</w:t>
      </w:r>
      <w:bookmarkStart w:id="24" w:name="_Toc35393795"/>
      <w:bookmarkStart w:id="25" w:name="_Toc35393626"/>
    </w:p>
    <w:bookmarkEnd w:id="24"/>
    <w:bookmarkEnd w:id="25"/>
    <w:p w14:paraId="0AAE6ECE">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26" w:name="_Toc24274"/>
      <w:bookmarkStart w:id="27" w:name="_Toc27370"/>
      <w:bookmarkStart w:id="28" w:name="_Toc16291"/>
      <w:bookmarkStart w:id="29" w:name="_Toc3604"/>
      <w:bookmarkStart w:id="30" w:name="_Toc31928"/>
      <w:r>
        <w:rPr>
          <w:rFonts w:hint="eastAsia" w:ascii="宋体" w:hAnsi="宋体" w:eastAsia="宋体" w:cs="宋体"/>
          <w:b/>
          <w:bCs/>
          <w:color w:val="auto"/>
          <w:sz w:val="24"/>
          <w:highlight w:val="none"/>
          <w:shd w:val="clear" w:color="auto" w:fill="FFFFFF"/>
        </w:rPr>
        <w:t>七、</w:t>
      </w:r>
      <w:bookmarkEnd w:id="26"/>
      <w:bookmarkEnd w:id="27"/>
      <w:bookmarkEnd w:id="28"/>
      <w:bookmarkEnd w:id="29"/>
      <w:bookmarkEnd w:id="30"/>
      <w:r>
        <w:rPr>
          <w:rFonts w:hint="eastAsia" w:ascii="宋体" w:hAnsi="宋体" w:eastAsia="宋体" w:cs="宋体"/>
          <w:b/>
          <w:bCs/>
          <w:color w:val="auto"/>
          <w:sz w:val="24"/>
          <w:highlight w:val="none"/>
          <w:shd w:val="clear" w:color="auto" w:fill="FFFFFF"/>
        </w:rPr>
        <w:t>凡对本次招标提出询问，请按照以下方式联系</w:t>
      </w:r>
    </w:p>
    <w:p w14:paraId="15610431">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1.采购人：驻马店市中心医院</w:t>
      </w:r>
    </w:p>
    <w:p w14:paraId="7DC9EF6C">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地址：驻马店市中华大道747号</w:t>
      </w:r>
    </w:p>
    <w:p w14:paraId="6A80E6C3">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联系人：陈先生</w:t>
      </w:r>
    </w:p>
    <w:p w14:paraId="21941866">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电话：0396-2726379</w:t>
      </w:r>
    </w:p>
    <w:p w14:paraId="27A0CA91">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2.采购代理机构：驻马店市晨崴采购代理有限公司</w:t>
      </w:r>
    </w:p>
    <w:p w14:paraId="5BC5E6F3">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 xml:space="preserve">地址：驻马店市解放路西段天腾盛世20号楼1单元3层 </w:t>
      </w:r>
    </w:p>
    <w:p w14:paraId="7A045740">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 xml:space="preserve">联系人：胡女士 </w:t>
      </w:r>
    </w:p>
    <w:p w14:paraId="6A4C3070">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lang w:val="en-US" w:eastAsia="zh-CN"/>
        </w:rPr>
      </w:pPr>
      <w:r>
        <w:rPr>
          <w:rFonts w:hint="eastAsia" w:ascii="宋体" w:hAnsi="宋体" w:cs="宋体"/>
          <w:color w:val="auto"/>
          <w:kern w:val="0"/>
          <w:sz w:val="24"/>
          <w:szCs w:val="24"/>
          <w:highlight w:val="none"/>
          <w:shd w:val="clear" w:color="auto" w:fill="FFFFFF"/>
          <w:lang w:val="en-US" w:eastAsia="zh-CN" w:bidi="ar-SA"/>
        </w:rPr>
        <w:t>联系方式：0396-2288885</w:t>
      </w:r>
    </w:p>
    <w:p w14:paraId="308C106F">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3.监督部门：驻马店市中心医院纪检监察室</w:t>
      </w:r>
    </w:p>
    <w:p w14:paraId="6BCD45DF">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监督电话：0396-2726678</w:t>
      </w:r>
    </w:p>
    <w:p w14:paraId="61A05A72">
      <w:pPr>
        <w:widowControl/>
        <w:snapToGrid w:val="0"/>
        <w:spacing w:line="360" w:lineRule="auto"/>
        <w:ind w:firstLine="480" w:firstLineChars="200"/>
        <w:jc w:val="right"/>
        <w:rPr>
          <w:rFonts w:hint="eastAsia" w:ascii="宋体" w:hAnsi="宋体" w:eastAsia="宋体" w:cs="宋体"/>
          <w:color w:val="auto"/>
          <w:kern w:val="0"/>
          <w:sz w:val="24"/>
          <w:highlight w:val="none"/>
          <w:shd w:val="clear" w:color="auto" w:fill="FFFFFF"/>
        </w:rPr>
      </w:pPr>
    </w:p>
    <w:p w14:paraId="7CC15E9C">
      <w:pPr>
        <w:widowControl/>
        <w:snapToGrid w:val="0"/>
        <w:spacing w:line="360" w:lineRule="auto"/>
        <w:ind w:firstLine="480" w:firstLineChars="200"/>
        <w:jc w:val="right"/>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驻马店市中心医院采购科</w:t>
      </w:r>
    </w:p>
    <w:p w14:paraId="7AF953BD">
      <w:pPr>
        <w:pStyle w:val="29"/>
        <w:widowControl/>
        <w:snapToGrid w:val="0"/>
        <w:spacing w:before="0" w:beforeAutospacing="0" w:after="0" w:afterAutospacing="0" w:line="360" w:lineRule="auto"/>
        <w:ind w:firstLine="480" w:firstLineChars="200"/>
        <w:jc w:val="center"/>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 xml:space="preserve">                                                    </w:t>
      </w:r>
      <w:r>
        <w:rPr>
          <w:rFonts w:hint="eastAsia" w:ascii="宋体" w:hAnsi="宋体" w:eastAsia="宋体" w:cs="宋体"/>
          <w:color w:val="auto"/>
          <w:highlight w:val="none"/>
          <w:shd w:val="clear" w:color="auto" w:fill="FFFFFF"/>
        </w:rPr>
        <w:t xml:space="preserve">  20</w:t>
      </w:r>
      <w:r>
        <w:rPr>
          <w:rFonts w:hint="eastAsia" w:ascii="宋体" w:hAnsi="宋体" w:eastAsia="宋体" w:cs="宋体"/>
          <w:color w:val="auto"/>
          <w:highlight w:val="none"/>
          <w:shd w:val="clear" w:color="auto" w:fill="FFFFFF"/>
          <w:lang w:val="en-US" w:eastAsia="zh-CN"/>
        </w:rPr>
        <w:t>26</w:t>
      </w:r>
      <w:r>
        <w:rPr>
          <w:rFonts w:hint="eastAsia" w:ascii="宋体" w:hAnsi="宋体" w:eastAsia="宋体" w:cs="宋体"/>
          <w:color w:val="auto"/>
          <w:highlight w:val="none"/>
          <w:shd w:val="clear" w:color="auto" w:fill="FFFFFF"/>
        </w:rPr>
        <w:t>年</w:t>
      </w:r>
      <w:r>
        <w:rPr>
          <w:rFonts w:hint="eastAsia" w:ascii="宋体" w:hAnsi="宋体" w:cs="宋体"/>
          <w:color w:val="auto"/>
          <w:highlight w:val="none"/>
          <w:shd w:val="clear" w:color="auto" w:fill="FFFFFF"/>
          <w:lang w:val="en-US" w:eastAsia="zh-CN"/>
        </w:rPr>
        <w:t>10</w:t>
      </w:r>
      <w:r>
        <w:rPr>
          <w:rFonts w:hint="eastAsia" w:ascii="宋体" w:hAnsi="宋体" w:eastAsia="宋体" w:cs="宋体"/>
          <w:color w:val="auto"/>
          <w:highlight w:val="none"/>
          <w:shd w:val="clear" w:color="auto" w:fill="FFFFFF"/>
        </w:rPr>
        <w:t>月</w:t>
      </w:r>
      <w:r>
        <w:rPr>
          <w:rFonts w:hint="eastAsia" w:ascii="宋体" w:hAnsi="宋体" w:cs="宋体"/>
          <w:color w:val="auto"/>
          <w:highlight w:val="none"/>
          <w:shd w:val="clear" w:color="auto" w:fill="FFFFFF"/>
          <w:lang w:val="en-US" w:eastAsia="zh-CN"/>
        </w:rPr>
        <w:t>20</w:t>
      </w:r>
      <w:r>
        <w:rPr>
          <w:rFonts w:hint="eastAsia" w:ascii="宋体" w:hAnsi="宋体" w:eastAsia="宋体" w:cs="宋体"/>
          <w:color w:val="auto"/>
          <w:highlight w:val="none"/>
          <w:shd w:val="clear" w:color="auto" w:fill="FFFFFF"/>
        </w:rPr>
        <w:t>日</w:t>
      </w:r>
    </w:p>
    <w:p w14:paraId="32464726">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31"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31"/>
      <w:bookmarkStart w:id="32" w:name="_Toc9989"/>
      <w:bookmarkStart w:id="33" w:name="_Toc23610"/>
      <w:bookmarkStart w:id="34" w:name="_Toc31536"/>
    </w:p>
    <w:bookmarkEnd w:id="3"/>
    <w:bookmarkEnd w:id="4"/>
    <w:bookmarkEnd w:id="32"/>
    <w:bookmarkEnd w:id="33"/>
    <w:bookmarkEnd w:id="34"/>
    <w:p w14:paraId="3052BC6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b/>
          <w:bCs/>
          <w:i w:val="0"/>
          <w:iCs/>
          <w:color w:val="auto"/>
          <w:sz w:val="24"/>
          <w:szCs w:val="24"/>
          <w:highlight w:val="none"/>
          <w:u w:val="none"/>
          <w:lang w:val="en-US" w:eastAsia="zh-CN"/>
        </w:rPr>
      </w:pPr>
      <w:r>
        <w:rPr>
          <w:rFonts w:hint="eastAsia" w:ascii="宋体" w:hAnsi="宋体" w:cs="宋体"/>
          <w:b/>
          <w:bCs/>
          <w:i w:val="0"/>
          <w:iCs/>
          <w:color w:val="auto"/>
          <w:sz w:val="24"/>
          <w:szCs w:val="24"/>
          <w:highlight w:val="none"/>
          <w:u w:val="none"/>
          <w:lang w:val="en-US" w:eastAsia="zh-CN"/>
        </w:rPr>
        <w:t>一、</w:t>
      </w:r>
      <w:r>
        <w:rPr>
          <w:rFonts w:hint="eastAsia" w:ascii="宋体" w:hAnsi="宋体" w:eastAsia="宋体" w:cs="宋体"/>
          <w:b/>
          <w:bCs/>
          <w:i w:val="0"/>
          <w:iCs/>
          <w:color w:val="auto"/>
          <w:sz w:val="24"/>
          <w:szCs w:val="24"/>
          <w:highlight w:val="none"/>
          <w:u w:val="none"/>
          <w:lang w:val="en-US" w:eastAsia="zh-CN"/>
        </w:rPr>
        <w:t>项目名称：</w:t>
      </w:r>
      <w:r>
        <w:rPr>
          <w:rFonts w:hint="eastAsia" w:ascii="宋体" w:hAnsi="宋体" w:cs="宋体"/>
          <w:color w:val="auto"/>
          <w:sz w:val="24"/>
          <w:szCs w:val="24"/>
          <w:highlight w:val="none"/>
          <w:shd w:val="clear" w:color="auto" w:fill="FFFFFF"/>
          <w:lang w:val="en-US" w:eastAsia="zh-CN"/>
        </w:rPr>
        <w:t>驻马店市中心医院妇儿院区婴儿纸尿裤和护理垫采购项目</w:t>
      </w:r>
    </w:p>
    <w:p w14:paraId="6039869A">
      <w:pPr>
        <w:pStyle w:val="16"/>
        <w:jc w:val="both"/>
        <w:rPr>
          <w:rFonts w:hint="default" w:eastAsia="宋体" w:cs="宋体"/>
          <w:b/>
          <w:bCs/>
          <w:color w:val="auto"/>
          <w:kern w:val="2"/>
          <w:sz w:val="24"/>
          <w:szCs w:val="24"/>
          <w:highlight w:val="none"/>
          <w:lang w:val="en-US" w:eastAsia="zh-CN" w:bidi="ar-SA"/>
        </w:rPr>
      </w:pPr>
      <w:r>
        <w:rPr>
          <w:rFonts w:hint="eastAsia" w:cs="宋体"/>
          <w:b/>
          <w:bCs/>
          <w:color w:val="auto"/>
          <w:kern w:val="2"/>
          <w:sz w:val="24"/>
          <w:szCs w:val="24"/>
          <w:highlight w:val="none"/>
          <w:lang w:val="en-US" w:eastAsia="zh-CN" w:bidi="ar-SA"/>
        </w:rPr>
        <w:t>二、采购清单</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3044"/>
        <w:gridCol w:w="1577"/>
        <w:gridCol w:w="1198"/>
        <w:gridCol w:w="2098"/>
      </w:tblGrid>
      <w:tr w14:paraId="23C4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041" w:type="dxa"/>
          </w:tcPr>
          <w:p w14:paraId="4A9286A1">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3044" w:type="dxa"/>
          </w:tcPr>
          <w:p w14:paraId="7EEDF64C">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货物名称</w:t>
            </w:r>
          </w:p>
        </w:tc>
        <w:tc>
          <w:tcPr>
            <w:tcW w:w="1577" w:type="dxa"/>
          </w:tcPr>
          <w:p w14:paraId="226B324E">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规格</w:t>
            </w:r>
          </w:p>
        </w:tc>
        <w:tc>
          <w:tcPr>
            <w:tcW w:w="1198" w:type="dxa"/>
          </w:tcPr>
          <w:p w14:paraId="5ABE6310">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单位</w:t>
            </w:r>
          </w:p>
        </w:tc>
        <w:tc>
          <w:tcPr>
            <w:tcW w:w="2098" w:type="dxa"/>
          </w:tcPr>
          <w:p w14:paraId="75C45BF1">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控制单价（元）</w:t>
            </w:r>
          </w:p>
        </w:tc>
      </w:tr>
      <w:tr w14:paraId="3788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041" w:type="dxa"/>
          </w:tcPr>
          <w:p w14:paraId="2DD46739">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3044" w:type="dxa"/>
          </w:tcPr>
          <w:p w14:paraId="075C2E0C">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婴儿纸尿裤</w:t>
            </w:r>
          </w:p>
        </w:tc>
        <w:tc>
          <w:tcPr>
            <w:tcW w:w="1577" w:type="dxa"/>
          </w:tcPr>
          <w:p w14:paraId="281D4EB9">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S码</w:t>
            </w:r>
          </w:p>
        </w:tc>
        <w:tc>
          <w:tcPr>
            <w:tcW w:w="1198" w:type="dxa"/>
          </w:tcPr>
          <w:p w14:paraId="3D500A2A">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片</w:t>
            </w:r>
          </w:p>
        </w:tc>
        <w:tc>
          <w:tcPr>
            <w:tcW w:w="2098" w:type="dxa"/>
          </w:tcPr>
          <w:p w14:paraId="055A200D">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1.33</w:t>
            </w:r>
          </w:p>
        </w:tc>
      </w:tr>
      <w:tr w14:paraId="0A56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041" w:type="dxa"/>
          </w:tcPr>
          <w:p w14:paraId="305E0F4F">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w:t>
            </w:r>
          </w:p>
        </w:tc>
        <w:tc>
          <w:tcPr>
            <w:tcW w:w="3044" w:type="dxa"/>
          </w:tcPr>
          <w:p w14:paraId="767C66D4">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婴儿纸尿裤</w:t>
            </w:r>
          </w:p>
        </w:tc>
        <w:tc>
          <w:tcPr>
            <w:tcW w:w="1577" w:type="dxa"/>
          </w:tcPr>
          <w:p w14:paraId="6C16A9A5">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L码</w:t>
            </w:r>
          </w:p>
        </w:tc>
        <w:tc>
          <w:tcPr>
            <w:tcW w:w="1198" w:type="dxa"/>
          </w:tcPr>
          <w:p w14:paraId="52CCDA16">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片</w:t>
            </w:r>
          </w:p>
        </w:tc>
        <w:tc>
          <w:tcPr>
            <w:tcW w:w="2098" w:type="dxa"/>
          </w:tcPr>
          <w:p w14:paraId="521759E6">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1.61</w:t>
            </w:r>
          </w:p>
        </w:tc>
      </w:tr>
      <w:tr w14:paraId="5F03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041" w:type="dxa"/>
          </w:tcPr>
          <w:p w14:paraId="37BFF06A">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3</w:t>
            </w:r>
          </w:p>
        </w:tc>
        <w:tc>
          <w:tcPr>
            <w:tcW w:w="3044" w:type="dxa"/>
          </w:tcPr>
          <w:p w14:paraId="430585E2">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光疗纸尿裤</w:t>
            </w:r>
          </w:p>
        </w:tc>
        <w:tc>
          <w:tcPr>
            <w:tcW w:w="1577" w:type="dxa"/>
          </w:tcPr>
          <w:p w14:paraId="0DFCB62B">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S码</w:t>
            </w:r>
          </w:p>
        </w:tc>
        <w:tc>
          <w:tcPr>
            <w:tcW w:w="1198" w:type="dxa"/>
          </w:tcPr>
          <w:p w14:paraId="6C6B7B11">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片</w:t>
            </w:r>
          </w:p>
        </w:tc>
        <w:tc>
          <w:tcPr>
            <w:tcW w:w="2098" w:type="dxa"/>
          </w:tcPr>
          <w:p w14:paraId="4AD65406">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shd w:val="clear"/>
                <w:vertAlign w:val="baseline"/>
                <w:lang w:val="en-US" w:eastAsia="zh-CN"/>
              </w:rPr>
              <w:t>5.4</w:t>
            </w:r>
          </w:p>
        </w:tc>
      </w:tr>
      <w:tr w14:paraId="40AC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041" w:type="dxa"/>
          </w:tcPr>
          <w:p w14:paraId="65A850D9">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4</w:t>
            </w:r>
          </w:p>
        </w:tc>
        <w:tc>
          <w:tcPr>
            <w:tcW w:w="3044" w:type="dxa"/>
          </w:tcPr>
          <w:p w14:paraId="7F70C165">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护理垫</w:t>
            </w:r>
          </w:p>
        </w:tc>
        <w:tc>
          <w:tcPr>
            <w:tcW w:w="1577" w:type="dxa"/>
          </w:tcPr>
          <w:p w14:paraId="466FD423">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60x90cm</w:t>
            </w:r>
          </w:p>
        </w:tc>
        <w:tc>
          <w:tcPr>
            <w:tcW w:w="1198" w:type="dxa"/>
          </w:tcPr>
          <w:p w14:paraId="57D2249C">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片</w:t>
            </w:r>
          </w:p>
        </w:tc>
        <w:tc>
          <w:tcPr>
            <w:tcW w:w="2098" w:type="dxa"/>
          </w:tcPr>
          <w:p w14:paraId="0FC62693">
            <w:pPr>
              <w:pStyle w:val="1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460" w:lineRule="exact"/>
              <w:ind w:left="0" w:right="0"/>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1.68</w:t>
            </w:r>
          </w:p>
        </w:tc>
      </w:tr>
    </w:tbl>
    <w:p w14:paraId="4151B36B">
      <w:pPr>
        <w:pStyle w:val="16"/>
        <w:jc w:val="both"/>
        <w:rPr>
          <w:rFonts w:hint="eastAsia" w:eastAsia="宋体" w:cs="宋体"/>
          <w:b/>
          <w:bCs/>
          <w:color w:val="auto"/>
          <w:kern w:val="2"/>
          <w:sz w:val="24"/>
          <w:szCs w:val="24"/>
          <w:highlight w:val="none"/>
          <w:lang w:val="en-US" w:eastAsia="zh-CN" w:bidi="ar-SA"/>
        </w:rPr>
      </w:pPr>
    </w:p>
    <w:p w14:paraId="6EBF841B">
      <w:pPr>
        <w:pStyle w:val="16"/>
        <w:keepNext w:val="0"/>
        <w:keepLines w:val="0"/>
        <w:pageBreakBefore w:val="0"/>
        <w:kinsoku/>
        <w:wordWrap/>
        <w:overflowPunct/>
        <w:topLinePunct w:val="0"/>
        <w:autoSpaceDE/>
        <w:autoSpaceDN/>
        <w:bidi w:val="0"/>
        <w:adjustRightInd/>
        <w:spacing w:line="460" w:lineRule="exact"/>
        <w:jc w:val="both"/>
        <w:textAlignment w:val="auto"/>
        <w:rPr>
          <w:rFonts w:hint="eastAsia" w:eastAsia="宋体" w:cs="宋体"/>
          <w:b/>
          <w:bCs/>
          <w:color w:val="auto"/>
          <w:kern w:val="2"/>
          <w:sz w:val="24"/>
          <w:szCs w:val="24"/>
          <w:highlight w:val="none"/>
          <w:lang w:val="en-US" w:eastAsia="zh-CN" w:bidi="ar-SA"/>
        </w:rPr>
      </w:pPr>
      <w:r>
        <w:rPr>
          <w:rFonts w:hint="eastAsia" w:eastAsia="宋体" w:cs="宋体"/>
          <w:b/>
          <w:bCs/>
          <w:color w:val="auto"/>
          <w:kern w:val="2"/>
          <w:sz w:val="24"/>
          <w:szCs w:val="24"/>
          <w:highlight w:val="none"/>
          <w:lang w:val="en-US" w:eastAsia="zh-CN" w:bidi="ar-SA"/>
        </w:rPr>
        <w:t>三、技术要求</w:t>
      </w:r>
    </w:p>
    <w:p w14:paraId="62453298">
      <w:pPr>
        <w:pStyle w:val="16"/>
        <w:keepNext w:val="0"/>
        <w:keepLines w:val="0"/>
        <w:pageBreakBefore w:val="0"/>
        <w:widowControl w:val="0"/>
        <w:kinsoku/>
        <w:wordWrap/>
        <w:overflowPunct/>
        <w:topLinePunct w:val="0"/>
        <w:autoSpaceDE/>
        <w:autoSpaceDN/>
        <w:bidi w:val="0"/>
        <w:adjustRightInd/>
        <w:snapToGrid w:val="0"/>
        <w:spacing w:line="460" w:lineRule="exact"/>
        <w:ind w:firstLine="482" w:firstLineChars="200"/>
        <w:textAlignment w:val="auto"/>
        <w:rPr>
          <w:rFonts w:hint="default"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1.婴儿纸尿裤：S码、L码</w:t>
      </w:r>
    </w:p>
    <w:p w14:paraId="7BAFE8AE">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（1）渗透性能、pH值、防侧漏性能、条质量偏差、可迁移性荧光物质和交货水分符合国家GB/T 28004.1《婴儿纸尿裤》现行标准，卫生指标符合GB 15979《一次性使用卫生用品卫生要求》现行标准，</w:t>
      </w:r>
      <w:r>
        <w:rPr>
          <w:rFonts w:hint="eastAsia" w:ascii="宋体" w:hAnsi="宋体" w:eastAsia="宋体" w:cs="宋体"/>
          <w:b/>
          <w:bCs/>
          <w:color w:val="auto"/>
          <w:sz w:val="24"/>
          <w:szCs w:val="24"/>
          <w:vertAlign w:val="baseline"/>
          <w:lang w:val="en-US" w:eastAsia="zh-CN"/>
        </w:rPr>
        <w:t>须提供国家认可的第三方检测机构出具的检测报告。</w:t>
      </w:r>
    </w:p>
    <w:p w14:paraId="1690C3ED">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（2）主要原料：绒毛浆应符合GB/T 21331《绒毛浆》现行标准，高分子吸收树脂应符合GB/T 22875《</w:t>
      </w:r>
      <w:r>
        <w:rPr>
          <w:rFonts w:hint="default" w:ascii="宋体" w:hAnsi="宋体" w:eastAsia="宋体" w:cs="宋体"/>
          <w:color w:val="auto"/>
          <w:sz w:val="24"/>
          <w:szCs w:val="24"/>
          <w:vertAlign w:val="baseline"/>
          <w:lang w:val="en-US" w:eastAsia="zh-CN"/>
        </w:rPr>
        <w:t>纸尿裤和卫生巾用高吸收性树脂</w:t>
      </w:r>
      <w:r>
        <w:rPr>
          <w:rFonts w:hint="eastAsia" w:ascii="宋体" w:hAnsi="宋体" w:eastAsia="宋体" w:cs="宋体"/>
          <w:color w:val="auto"/>
          <w:sz w:val="24"/>
          <w:szCs w:val="24"/>
          <w:vertAlign w:val="baseline"/>
          <w:lang w:val="en-US" w:eastAsia="zh-CN"/>
        </w:rPr>
        <w:t>》现行标准，无纺布、PE透气膜应符合GB 15979《一次性使用卫生用品卫生要求》现行标准、GB/T 28004.1《婴儿纸尿裤》现行标准。</w:t>
      </w:r>
    </w:p>
    <w:p w14:paraId="5CC9E789">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（3）纸尿裤洁净，不掉色，防漏底膜完好，无硬质块，无破损，手感柔软，封口牢固，松紧带粘合均匀，固定位置牢靠，符合使用要求。</w:t>
      </w:r>
    </w:p>
    <w:p w14:paraId="408E45FB">
      <w:pPr>
        <w:pStyle w:val="16"/>
        <w:keepNext w:val="0"/>
        <w:keepLines w:val="0"/>
        <w:pageBreakBefore w:val="0"/>
        <w:widowControl w:val="0"/>
        <w:kinsoku/>
        <w:wordWrap/>
        <w:overflowPunct/>
        <w:topLinePunct w:val="0"/>
        <w:autoSpaceDE/>
        <w:autoSpaceDN/>
        <w:bidi w:val="0"/>
        <w:adjustRightInd/>
        <w:snapToGrid w:val="0"/>
        <w:spacing w:line="460" w:lineRule="exact"/>
        <w:ind w:firstLine="482"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2.光疗纸尿裤</w:t>
      </w:r>
    </w:p>
    <w:p w14:paraId="56BC4256">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（1）渗透性能、</w:t>
      </w:r>
      <w:r>
        <w:rPr>
          <w:rFonts w:ascii="宋体" w:hAnsi="宋体" w:eastAsia="宋体" w:cs="宋体"/>
          <w:color w:val="auto"/>
          <w:sz w:val="24"/>
          <w:szCs w:val="24"/>
        </w:rPr>
        <w:t>pH</w:t>
      </w:r>
      <w:r>
        <w:rPr>
          <w:rFonts w:hint="eastAsia" w:ascii="宋体" w:hAnsi="宋体" w:eastAsia="宋体" w:cs="宋体"/>
          <w:color w:val="auto"/>
          <w:sz w:val="24"/>
          <w:szCs w:val="24"/>
          <w:vertAlign w:val="baseline"/>
          <w:lang w:val="en-US" w:eastAsia="zh-CN"/>
        </w:rPr>
        <w:t>值、防侧漏性能、条质量偏差、可迁移性荧光物质和交货水分符合国家GB/T 28004.1《婴儿纸尿裤》现行标准，卫生指标符合GB 15979《一次性使用卫生用品卫生要求》现行标准，</w:t>
      </w:r>
      <w:r>
        <w:rPr>
          <w:rFonts w:hint="eastAsia" w:ascii="宋体" w:hAnsi="宋体" w:eastAsia="宋体" w:cs="宋体"/>
          <w:b/>
          <w:bCs/>
          <w:color w:val="auto"/>
          <w:sz w:val="24"/>
          <w:szCs w:val="24"/>
          <w:vertAlign w:val="baseline"/>
          <w:lang w:val="en-US" w:eastAsia="zh-CN"/>
        </w:rPr>
        <w:t>须提供国家认可的第三方检测机构出具的检测报告。</w:t>
      </w:r>
    </w:p>
    <w:p w14:paraId="261C159D">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w:t>
      </w:r>
      <w:r>
        <w:rPr>
          <w:rFonts w:hint="eastAsia" w:ascii="宋体" w:hAnsi="宋体" w:eastAsia="宋体" w:cs="宋体"/>
          <w:color w:val="auto"/>
          <w:sz w:val="24"/>
          <w:szCs w:val="24"/>
        </w:rPr>
        <w:t>主要原料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vertAlign w:val="baseline"/>
          <w:lang w:val="en-US" w:eastAsia="zh-CN"/>
        </w:rPr>
        <w:t>绒毛浆应符合GB/T 21331《绒毛浆》现行标准，高分子吸收树脂应符合GB/T22875《</w:t>
      </w:r>
      <w:r>
        <w:rPr>
          <w:rFonts w:hint="default" w:ascii="宋体" w:hAnsi="宋体" w:eastAsia="宋体" w:cs="宋体"/>
          <w:color w:val="auto"/>
          <w:sz w:val="24"/>
          <w:szCs w:val="24"/>
          <w:vertAlign w:val="baseline"/>
          <w:lang w:val="en-US" w:eastAsia="zh-CN"/>
        </w:rPr>
        <w:t>纸尿裤和卫生巾用高吸收性树脂</w:t>
      </w:r>
      <w:r>
        <w:rPr>
          <w:rFonts w:hint="eastAsia" w:ascii="宋体" w:hAnsi="宋体" w:eastAsia="宋体" w:cs="宋体"/>
          <w:color w:val="auto"/>
          <w:sz w:val="24"/>
          <w:szCs w:val="24"/>
          <w:vertAlign w:val="baseline"/>
          <w:lang w:val="en-US" w:eastAsia="zh-CN"/>
        </w:rPr>
        <w:t>》现行标准，无纺布、PE透气膜应符合GB 15979《一次性使用卫生用品卫生要求》现行标准、GB/T 28004.1《婴儿纸尿裤》现行标准。</w:t>
      </w:r>
    </w:p>
    <w:p w14:paraId="009995A1">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（3）</w:t>
      </w:r>
      <w:r>
        <w:rPr>
          <w:rFonts w:hint="default" w:ascii="宋体" w:hAnsi="宋体" w:eastAsia="宋体" w:cs="宋体"/>
          <w:color w:val="auto"/>
          <w:sz w:val="24"/>
          <w:szCs w:val="24"/>
          <w:lang w:val="en-US" w:eastAsia="zh-CN"/>
        </w:rPr>
        <w:t>黑色避光底膜设计，</w:t>
      </w:r>
      <w:r>
        <w:rPr>
          <w:rFonts w:hint="eastAsia" w:ascii="宋体" w:hAnsi="宋体" w:eastAsia="宋体" w:cs="宋体"/>
          <w:color w:val="auto"/>
          <w:sz w:val="24"/>
          <w:szCs w:val="24"/>
          <w:lang w:val="en-US" w:eastAsia="zh-CN"/>
        </w:rPr>
        <w:t>能</w:t>
      </w:r>
      <w:r>
        <w:rPr>
          <w:rFonts w:hint="default" w:ascii="宋体" w:hAnsi="宋体" w:eastAsia="宋体" w:cs="宋体"/>
          <w:color w:val="auto"/>
          <w:sz w:val="24"/>
          <w:szCs w:val="24"/>
          <w:lang w:val="en-US" w:eastAsia="zh-CN"/>
        </w:rPr>
        <w:t>有效阻挡</w:t>
      </w:r>
      <w:r>
        <w:rPr>
          <w:rFonts w:hint="eastAsia" w:ascii="宋体" w:hAnsi="宋体" w:eastAsia="宋体" w:cs="宋体"/>
          <w:color w:val="auto"/>
          <w:sz w:val="24"/>
          <w:szCs w:val="24"/>
          <w:lang w:val="en-US" w:eastAsia="zh-CN"/>
        </w:rPr>
        <w:t>425-475nm</w:t>
      </w:r>
      <w:r>
        <w:rPr>
          <w:rFonts w:hint="default" w:ascii="宋体" w:hAnsi="宋体" w:eastAsia="宋体" w:cs="宋体"/>
          <w:color w:val="auto"/>
          <w:sz w:val="24"/>
          <w:szCs w:val="24"/>
          <w:lang w:val="en-US" w:eastAsia="zh-CN"/>
        </w:rPr>
        <w:t>蓝光</w:t>
      </w:r>
      <w:r>
        <w:rPr>
          <w:rFonts w:hint="eastAsia" w:ascii="宋体" w:hAnsi="宋体" w:eastAsia="宋体" w:cs="宋体"/>
          <w:color w:val="auto"/>
          <w:sz w:val="24"/>
          <w:szCs w:val="24"/>
          <w:lang w:val="en-US" w:eastAsia="zh-CN"/>
        </w:rPr>
        <w:t>，透光率≤0.5%。</w:t>
      </w:r>
    </w:p>
    <w:p w14:paraId="013F58C4">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（4）</w:t>
      </w:r>
      <w:r>
        <w:rPr>
          <w:rFonts w:hint="default" w:ascii="宋体" w:hAnsi="宋体" w:eastAsia="宋体" w:cs="宋体"/>
          <w:color w:val="auto"/>
          <w:sz w:val="24"/>
          <w:szCs w:val="24"/>
          <w:lang w:val="en-US" w:eastAsia="zh-CN"/>
        </w:rPr>
        <w:t>材质经光老化测试后，无变色、开裂、异味释放，且有害物质迁移量仍符合安全标准。粘贴扣、弹性腰围等辅料需耐光耐热，在光疗箱内温度及持续光照下无粘性失效或弹性衰减。</w:t>
      </w:r>
    </w:p>
    <w:p w14:paraId="2CE527B5">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（5）</w:t>
      </w:r>
      <w:r>
        <w:rPr>
          <w:rFonts w:hint="eastAsia" w:ascii="宋体" w:hAnsi="宋体" w:eastAsia="宋体" w:cs="宋体"/>
          <w:color w:val="auto"/>
          <w:sz w:val="24"/>
          <w:szCs w:val="24"/>
        </w:rPr>
        <w:t>纸尿</w:t>
      </w:r>
      <w:r>
        <w:rPr>
          <w:rFonts w:hint="eastAsia" w:ascii="宋体" w:hAnsi="宋体" w:eastAsia="宋体" w:cs="宋体"/>
          <w:color w:val="auto"/>
          <w:sz w:val="24"/>
          <w:szCs w:val="24"/>
          <w:lang w:val="en-US" w:eastAsia="zh-CN"/>
        </w:rPr>
        <w:t>裤</w:t>
      </w:r>
      <w:r>
        <w:rPr>
          <w:rFonts w:hint="eastAsia" w:ascii="宋体" w:hAnsi="宋体" w:eastAsia="宋体" w:cs="宋体"/>
          <w:color w:val="auto"/>
          <w:sz w:val="24"/>
          <w:szCs w:val="24"/>
        </w:rPr>
        <w:t>洁净，不掉色，防漏</w:t>
      </w:r>
      <w:r>
        <w:rPr>
          <w:rFonts w:hint="eastAsia" w:ascii="宋体" w:hAnsi="宋体" w:eastAsia="宋体" w:cs="宋体"/>
          <w:color w:val="auto"/>
          <w:sz w:val="24"/>
          <w:szCs w:val="24"/>
          <w:lang w:val="en-US" w:eastAsia="zh-CN"/>
        </w:rPr>
        <w:t>底膜</w:t>
      </w:r>
      <w:r>
        <w:rPr>
          <w:rFonts w:hint="eastAsia" w:ascii="宋体" w:hAnsi="宋体" w:eastAsia="宋体" w:cs="宋体"/>
          <w:color w:val="auto"/>
          <w:sz w:val="24"/>
          <w:szCs w:val="24"/>
        </w:rPr>
        <w:t>完好，无硬质块，无破损，手感柔软，封口牢固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松紧带粘合均匀，固定位置牢靠，符合使用要求。</w:t>
      </w:r>
    </w:p>
    <w:p w14:paraId="7E93C6DC">
      <w:pPr>
        <w:pStyle w:val="16"/>
        <w:keepNext w:val="0"/>
        <w:keepLines w:val="0"/>
        <w:pageBreakBefore w:val="0"/>
        <w:widowControl w:val="0"/>
        <w:kinsoku/>
        <w:wordWrap/>
        <w:overflowPunct/>
        <w:topLinePunct w:val="0"/>
        <w:autoSpaceDE/>
        <w:autoSpaceDN/>
        <w:bidi w:val="0"/>
        <w:adjustRightInd/>
        <w:snapToGrid w:val="0"/>
        <w:spacing w:line="460" w:lineRule="exact"/>
        <w:ind w:firstLine="482"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3.护理垫</w:t>
      </w:r>
    </w:p>
    <w:p w14:paraId="312CEDCA">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color w:val="auto"/>
          <w:sz w:val="24"/>
          <w:szCs w:val="24"/>
        </w:rPr>
      </w:pPr>
      <w:r>
        <w:rPr>
          <w:rFonts w:hint="eastAsia" w:ascii="宋体" w:hAnsi="宋体" w:eastAsia="宋体" w:cs="宋体"/>
          <w:color w:val="auto"/>
          <w:sz w:val="24"/>
          <w:szCs w:val="24"/>
          <w:vertAlign w:val="baseline"/>
          <w:lang w:val="en-US" w:eastAsia="zh-CN"/>
        </w:rPr>
        <w:t>（1）</w:t>
      </w:r>
      <w:r>
        <w:rPr>
          <w:rFonts w:hint="eastAsia" w:ascii="宋体" w:hAnsi="宋体" w:eastAsia="宋体" w:cs="宋体"/>
          <w:color w:val="auto"/>
          <w:kern w:val="0"/>
          <w:sz w:val="24"/>
          <w:szCs w:val="24"/>
          <w:lang w:val="en-US" w:eastAsia="zh-CN" w:bidi="ar"/>
        </w:rPr>
        <w:t>护理垫</w:t>
      </w:r>
      <w:r>
        <w:rPr>
          <w:rFonts w:ascii="宋体" w:hAnsi="宋体" w:eastAsia="宋体" w:cs="宋体"/>
          <w:color w:val="auto"/>
          <w:kern w:val="0"/>
          <w:sz w:val="24"/>
          <w:szCs w:val="24"/>
          <w:lang w:val="en-US" w:eastAsia="zh-CN" w:bidi="ar"/>
        </w:rPr>
        <w:t>洁净无污渍、无破损孔洞、无硬质杂质、无掉毛掉絮；边缘热压封边整齐牢固、不开裂、无毛刺</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无异味、不褪色。</w:t>
      </w:r>
    </w:p>
    <w:p w14:paraId="6CBF6D1F">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b/>
          <w:bCs/>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w:t>
      </w:r>
      <w:r>
        <w:rPr>
          <w:rFonts w:ascii="宋体" w:hAnsi="宋体" w:eastAsia="宋体" w:cs="宋体"/>
          <w:color w:val="auto"/>
          <w:kern w:val="0"/>
          <w:sz w:val="24"/>
          <w:szCs w:val="24"/>
          <w:lang w:val="en-US" w:eastAsia="zh-CN" w:bidi="ar"/>
        </w:rPr>
        <w:t>pH值</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甲醛</w:t>
      </w:r>
      <w:r>
        <w:rPr>
          <w:rFonts w:hint="eastAsia" w:ascii="宋体" w:hAnsi="宋体" w:eastAsia="宋体" w:cs="宋体"/>
          <w:color w:val="auto"/>
          <w:kern w:val="0"/>
          <w:sz w:val="24"/>
          <w:szCs w:val="24"/>
          <w:lang w:val="en-US" w:eastAsia="zh-CN" w:bidi="ar"/>
        </w:rPr>
        <w:t>、</w:t>
      </w:r>
      <w:r>
        <w:rPr>
          <w:rStyle w:val="36"/>
          <w:rFonts w:ascii="宋体" w:hAnsi="宋体" w:eastAsia="宋体" w:cs="宋体"/>
          <w:b w:val="0"/>
          <w:bCs/>
          <w:color w:val="auto"/>
          <w:kern w:val="0"/>
          <w:sz w:val="24"/>
          <w:szCs w:val="24"/>
          <w:lang w:val="en-US" w:eastAsia="zh-CN" w:bidi="ar"/>
        </w:rPr>
        <w:t>可迁移性荧光物质、</w:t>
      </w:r>
      <w:r>
        <w:rPr>
          <w:rFonts w:ascii="宋体" w:hAnsi="宋体" w:eastAsia="宋体" w:cs="宋体"/>
          <w:b w:val="0"/>
          <w:bCs/>
          <w:color w:val="auto"/>
          <w:kern w:val="0"/>
          <w:sz w:val="24"/>
          <w:szCs w:val="24"/>
          <w:lang w:val="en-US" w:eastAsia="zh-CN" w:bidi="ar"/>
        </w:rPr>
        <w:t>重金属</w:t>
      </w:r>
      <w:r>
        <w:rPr>
          <w:rFonts w:hint="eastAsia" w:ascii="宋体" w:hAnsi="宋体" w:eastAsia="宋体" w:cs="宋体"/>
          <w:b w:val="0"/>
          <w:bCs/>
          <w:color w:val="auto"/>
          <w:kern w:val="0"/>
          <w:sz w:val="24"/>
          <w:szCs w:val="24"/>
          <w:lang w:val="en-US" w:eastAsia="zh-CN" w:bidi="ar"/>
        </w:rPr>
        <w:t>、渗透性能及</w:t>
      </w:r>
      <w:r>
        <w:rPr>
          <w:rFonts w:ascii="宋体" w:hAnsi="宋体" w:eastAsia="宋体" w:cs="宋体"/>
          <w:color w:val="auto"/>
          <w:kern w:val="0"/>
          <w:sz w:val="24"/>
          <w:szCs w:val="24"/>
          <w:lang w:val="en-US" w:eastAsia="zh-CN" w:bidi="ar"/>
        </w:rPr>
        <w:t>卫生指标符合GB</w:t>
      </w:r>
      <w:r>
        <w:rPr>
          <w:rFonts w:hint="eastAsia" w:ascii="宋体" w:hAnsi="宋体" w:eastAsia="宋体" w:cs="宋体"/>
          <w:color w:val="auto"/>
          <w:kern w:val="0"/>
          <w:sz w:val="24"/>
          <w:szCs w:val="24"/>
          <w:lang w:val="en-US" w:eastAsia="zh-CN" w:bidi="ar"/>
        </w:rPr>
        <w:t xml:space="preserve"> </w:t>
      </w:r>
      <w:r>
        <w:rPr>
          <w:rFonts w:ascii="宋体" w:hAnsi="宋体" w:eastAsia="宋体" w:cs="宋体"/>
          <w:color w:val="auto"/>
          <w:kern w:val="0"/>
          <w:sz w:val="24"/>
          <w:szCs w:val="24"/>
          <w:lang w:val="en-US" w:eastAsia="zh-CN" w:bidi="ar"/>
        </w:rPr>
        <w:t>15979《一次性使用卫生用品卫生要求》</w:t>
      </w:r>
      <w:r>
        <w:rPr>
          <w:rFonts w:hint="eastAsia" w:ascii="宋体" w:hAnsi="宋体" w:eastAsia="宋体" w:cs="宋体"/>
          <w:color w:val="auto"/>
          <w:kern w:val="0"/>
          <w:sz w:val="24"/>
          <w:szCs w:val="24"/>
          <w:lang w:val="en-US" w:eastAsia="zh-CN" w:bidi="ar"/>
        </w:rPr>
        <w:t>与</w:t>
      </w:r>
      <w:r>
        <w:rPr>
          <w:rFonts w:ascii="宋体" w:hAnsi="宋体" w:eastAsia="宋体" w:cs="宋体"/>
          <w:color w:val="auto"/>
          <w:kern w:val="0"/>
          <w:sz w:val="24"/>
          <w:szCs w:val="24"/>
          <w:lang w:val="en-US" w:eastAsia="zh-CN" w:bidi="ar"/>
        </w:rPr>
        <w:t>GB/T 28004.2《纸尿裤（片、垫）第2部分：护垫》</w:t>
      </w:r>
      <w:r>
        <w:rPr>
          <w:rFonts w:hint="eastAsia" w:ascii="宋体" w:hAnsi="宋体" w:eastAsia="宋体" w:cs="宋体"/>
          <w:color w:val="auto"/>
          <w:kern w:val="0"/>
          <w:sz w:val="24"/>
          <w:szCs w:val="24"/>
          <w:lang w:val="en-US" w:eastAsia="zh-CN" w:bidi="ar"/>
        </w:rPr>
        <w:t>现行标准</w:t>
      </w:r>
      <w:r>
        <w:rPr>
          <w:rFonts w:ascii="宋体" w:hAnsi="宋体" w:eastAsia="宋体" w:cs="宋体"/>
          <w:color w:val="auto"/>
          <w:kern w:val="0"/>
          <w:sz w:val="24"/>
          <w:szCs w:val="24"/>
          <w:lang w:val="en-US" w:eastAsia="zh-CN" w:bidi="ar"/>
        </w:rPr>
        <w:t>，</w:t>
      </w:r>
      <w:r>
        <w:rPr>
          <w:rFonts w:hint="eastAsia" w:ascii="宋体" w:hAnsi="宋体" w:eastAsia="宋体" w:cs="宋体"/>
          <w:b/>
          <w:bCs/>
          <w:color w:val="auto"/>
          <w:sz w:val="24"/>
          <w:szCs w:val="24"/>
          <w:vertAlign w:val="baseline"/>
          <w:lang w:val="en-US" w:eastAsia="zh-CN"/>
        </w:rPr>
        <w:t>须提供国家认可的第三方检测机构出具的检测报告。</w:t>
      </w:r>
    </w:p>
    <w:p w14:paraId="11557FCE">
      <w:pPr>
        <w:pStyle w:val="16"/>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b/>
          <w:bCs/>
          <w:i w:val="0"/>
          <w:iCs/>
          <w:color w:val="auto"/>
          <w:sz w:val="24"/>
          <w:szCs w:val="24"/>
          <w:highlight w:val="none"/>
          <w:u w:val="none"/>
          <w:lang w:val="en-US" w:eastAsia="zh-CN"/>
        </w:rPr>
        <w:sectPr>
          <w:footerReference r:id="rId5" w:type="default"/>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r>
        <w:rPr>
          <w:rFonts w:hint="eastAsia" w:ascii="宋体" w:hAnsi="宋体" w:eastAsia="宋体" w:cs="宋体"/>
          <w:color w:val="auto"/>
          <w:sz w:val="24"/>
          <w:szCs w:val="24"/>
          <w:vertAlign w:val="baseline"/>
          <w:lang w:val="en-US" w:eastAsia="zh-CN"/>
        </w:rPr>
        <w:t>★</w:t>
      </w:r>
      <w:r>
        <w:rPr>
          <w:rFonts w:hint="eastAsia" w:ascii="宋体" w:hAnsi="宋体" w:cs="宋体"/>
          <w:b/>
          <w:bCs/>
          <w:color w:val="auto"/>
          <w:sz w:val="24"/>
          <w:szCs w:val="24"/>
          <w:vertAlign w:val="baseline"/>
          <w:lang w:val="en-US" w:eastAsia="zh-CN"/>
        </w:rPr>
        <w:t>4.</w:t>
      </w:r>
      <w:r>
        <w:rPr>
          <w:rFonts w:hint="eastAsia" w:ascii="宋体" w:hAnsi="宋体" w:eastAsia="宋体" w:cs="宋体"/>
          <w:b/>
          <w:bCs/>
          <w:color w:val="auto"/>
          <w:sz w:val="24"/>
          <w:szCs w:val="24"/>
          <w:vertAlign w:val="baseline"/>
          <w:lang w:val="en-US" w:eastAsia="zh-CN"/>
        </w:rPr>
        <w:t>需提供样品。</w:t>
      </w:r>
    </w:p>
    <w:p w14:paraId="1CAF92F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b/>
          <w:bCs/>
          <w:i w:val="0"/>
          <w:iCs/>
          <w:color w:val="auto"/>
          <w:sz w:val="24"/>
          <w:szCs w:val="24"/>
          <w:highlight w:val="none"/>
          <w:u w:val="none"/>
          <w:lang w:val="en-US" w:eastAsia="zh-CN"/>
        </w:rPr>
      </w:pPr>
      <w:r>
        <w:rPr>
          <w:rFonts w:hint="eastAsia" w:ascii="宋体" w:hAnsi="宋体" w:cs="宋体"/>
          <w:b/>
          <w:bCs/>
          <w:i w:val="0"/>
          <w:iCs/>
          <w:color w:val="auto"/>
          <w:sz w:val="24"/>
          <w:szCs w:val="24"/>
          <w:highlight w:val="none"/>
          <w:u w:val="none"/>
          <w:lang w:val="en-US" w:eastAsia="zh-CN"/>
        </w:rPr>
        <w:t>四、</w:t>
      </w:r>
      <w:r>
        <w:rPr>
          <w:rFonts w:hint="eastAsia" w:ascii="宋体" w:hAnsi="宋体" w:eastAsia="宋体" w:cs="宋体"/>
          <w:b/>
          <w:bCs/>
          <w:i w:val="0"/>
          <w:iCs/>
          <w:color w:val="auto"/>
          <w:sz w:val="24"/>
          <w:szCs w:val="24"/>
          <w:highlight w:val="none"/>
          <w:u w:val="none"/>
          <w:lang w:val="en-US" w:eastAsia="zh-CN"/>
        </w:rPr>
        <w:t>商务要求</w:t>
      </w:r>
    </w:p>
    <w:tbl>
      <w:tblPr>
        <w:tblStyle w:val="3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6"/>
        <w:gridCol w:w="7411"/>
      </w:tblGrid>
      <w:tr w14:paraId="7784A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38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交货地点</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68A8">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医院指定的各个科室。</w:t>
            </w:r>
          </w:p>
        </w:tc>
      </w:tr>
      <w:tr w14:paraId="38308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77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交货方法</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AF87">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送货上门，运费由供应商承担。</w:t>
            </w:r>
          </w:p>
        </w:tc>
      </w:tr>
      <w:tr w14:paraId="45ED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2DBD">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包装要求</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D86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highlight w:val="none"/>
                <w:u w:val="none"/>
              </w:rPr>
            </w:pPr>
            <w:r>
              <w:rPr>
                <w:rFonts w:ascii="宋体" w:hAnsi="宋体" w:eastAsia="宋体" w:cs="宋体"/>
                <w:color w:val="auto"/>
                <w:kern w:val="0"/>
                <w:sz w:val="24"/>
                <w:szCs w:val="24"/>
                <w:highlight w:val="none"/>
                <w:lang w:val="en-US" w:eastAsia="zh-CN" w:bidi="ar"/>
              </w:rPr>
              <w:t>独立/整包规范包装，外包装标识完整，清晰标注产品名称、规格、生产厂家、生产日期、批号、有效期、执行标准等信息，可全程溯源。</w:t>
            </w:r>
          </w:p>
        </w:tc>
      </w:tr>
      <w:tr w14:paraId="4E1B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15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交货期</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268E">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 xml:space="preserve">在供货周期内按采购需求分批交货，每批次交货时间为48小时内，急需品种4小时内交货（不能因采购数量少而拒绝送货）。 </w:t>
            </w:r>
          </w:p>
        </w:tc>
      </w:tr>
      <w:tr w14:paraId="406E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35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支付方式</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964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根据医院实际使用情况每月据实结算。</w:t>
            </w:r>
          </w:p>
        </w:tc>
      </w:tr>
      <w:tr w14:paraId="5A6E9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89ED">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rPr>
            </w:pPr>
            <w:r>
              <w:rPr>
                <w:rFonts w:hint="eastAsia" w:ascii="宋体" w:hAnsi="宋体" w:cs="宋体"/>
                <w:i w:val="0"/>
                <w:iCs w:val="0"/>
                <w:color w:val="auto"/>
                <w:sz w:val="24"/>
                <w:szCs w:val="24"/>
                <w:highlight w:val="none"/>
                <w:u w:val="none"/>
                <w:lang w:val="en-US" w:eastAsia="zh-CN"/>
              </w:rPr>
              <w:t>其他要求</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1082">
            <w:pPr>
              <w:pStyle w:val="16"/>
              <w:keepNext w:val="0"/>
              <w:keepLines w:val="0"/>
              <w:pageBreakBefore w:val="0"/>
              <w:widowControl w:val="0"/>
              <w:numPr>
                <w:ilvl w:val="0"/>
                <w:numId w:val="1"/>
              </w:numPr>
              <w:kinsoku/>
              <w:wordWrap/>
              <w:overflowPunct/>
              <w:topLinePunct w:val="0"/>
              <w:autoSpaceDE/>
              <w:autoSpaceDN/>
              <w:bidi w:val="0"/>
              <w:adjustRightInd/>
              <w:snapToGrid w:val="0"/>
              <w:spacing w:line="46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产品保质期</w:t>
            </w:r>
            <w:r>
              <w:rPr>
                <w:rFonts w:hint="default" w:ascii="Arial" w:hAnsi="Arial" w:eastAsia="宋体" w:cs="Arial"/>
                <w:color w:val="auto"/>
                <w:sz w:val="24"/>
                <w:szCs w:val="24"/>
                <w:highlight w:val="none"/>
                <w:vertAlign w:val="baseline"/>
                <w:lang w:val="en-US" w:eastAsia="zh-CN"/>
              </w:rPr>
              <w:t>≥</w:t>
            </w:r>
            <w:r>
              <w:rPr>
                <w:rFonts w:hint="eastAsia" w:ascii="宋体" w:hAnsi="宋体" w:eastAsia="宋体" w:cs="宋体"/>
                <w:color w:val="auto"/>
                <w:sz w:val="24"/>
                <w:szCs w:val="24"/>
                <w:highlight w:val="none"/>
                <w:vertAlign w:val="baseline"/>
                <w:lang w:val="en-US" w:eastAsia="zh-CN"/>
              </w:rPr>
              <w:t>2年</w:t>
            </w:r>
            <w:r>
              <w:rPr>
                <w:rFonts w:hint="eastAsia" w:ascii="宋体" w:hAnsi="宋体" w:cs="宋体"/>
                <w:color w:val="auto"/>
                <w:sz w:val="24"/>
                <w:szCs w:val="24"/>
                <w:highlight w:val="none"/>
                <w:vertAlign w:val="baseline"/>
                <w:lang w:val="en-US" w:eastAsia="zh-CN"/>
              </w:rPr>
              <w:t>，</w:t>
            </w:r>
            <w:r>
              <w:rPr>
                <w:rFonts w:hint="eastAsia" w:ascii="宋体" w:hAnsi="宋体" w:eastAsia="宋体" w:cs="宋体"/>
                <w:color w:val="auto"/>
                <w:sz w:val="24"/>
                <w:szCs w:val="24"/>
                <w:highlight w:val="none"/>
                <w:vertAlign w:val="baseline"/>
                <w:lang w:val="en-US" w:eastAsia="zh-CN"/>
              </w:rPr>
              <w:t>实际供货产品的生产日期不得超过12个月。</w:t>
            </w:r>
          </w:p>
          <w:p w14:paraId="21BDFAAF">
            <w:pPr>
              <w:pStyle w:val="16"/>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2.</w:t>
            </w:r>
            <w:r>
              <w:rPr>
                <w:rFonts w:hint="eastAsia" w:ascii="宋体" w:hAnsi="宋体" w:eastAsia="宋体" w:cs="宋体"/>
                <w:color w:val="auto"/>
                <w:sz w:val="24"/>
                <w:szCs w:val="24"/>
                <w:highlight w:val="none"/>
                <w:vertAlign w:val="baseline"/>
                <w:lang w:val="en-US" w:eastAsia="zh-CN"/>
              </w:rPr>
              <w:t>凡出现问题应12小时内到场，24小时内解决问题。</w:t>
            </w:r>
            <w:r>
              <w:rPr>
                <w:rFonts w:ascii="宋体" w:hAnsi="宋体" w:eastAsia="宋体" w:cs="宋体"/>
                <w:color w:val="auto"/>
                <w:kern w:val="0"/>
                <w:sz w:val="24"/>
                <w:szCs w:val="24"/>
                <w:highlight w:val="none"/>
                <w:lang w:val="en-US" w:eastAsia="zh-CN" w:bidi="ar"/>
              </w:rPr>
              <w:t>到货抽检不合格无条件退换货。</w:t>
            </w:r>
          </w:p>
        </w:tc>
      </w:tr>
    </w:tbl>
    <w:p w14:paraId="606E7B06">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850CAA7">
      <w:pPr>
        <w:jc w:val="center"/>
        <w:outlineLvl w:val="0"/>
        <w:rPr>
          <w:rFonts w:hint="eastAsia" w:ascii="宋体" w:hAnsi="宋体" w:eastAsia="宋体" w:cs="宋体"/>
          <w:b/>
          <w:bCs/>
          <w:color w:val="auto"/>
          <w:sz w:val="32"/>
          <w:szCs w:val="32"/>
          <w:highlight w:val="none"/>
        </w:rPr>
      </w:pPr>
      <w:bookmarkStart w:id="35" w:name="_Toc8501"/>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5"/>
    </w:p>
    <w:p w14:paraId="6CB10D3F">
      <w:pP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3"/>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 w:val="24"/>
                <w:szCs w:val="24"/>
                <w:highlight w:val="none"/>
              </w:rPr>
              <w:t>内容、要求</w:t>
            </w:r>
          </w:p>
        </w:tc>
      </w:tr>
      <w:tr w14:paraId="165CED55">
        <w:tblPrEx>
          <w:tblCellMar>
            <w:top w:w="0" w:type="dxa"/>
            <w:left w:w="0" w:type="dxa"/>
            <w:bottom w:w="0" w:type="dxa"/>
            <w:right w:w="0" w:type="dxa"/>
          </w:tblCellMar>
        </w:tblPrEx>
        <w:trPr>
          <w:trHeight w:val="434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napToGrid w:val="0"/>
              <w:spacing w:line="440" w:lineRule="exact"/>
              <w:jc w:val="left"/>
              <w:rPr>
                <w:rFonts w:hint="eastAsia" w:ascii="宋体" w:hAnsi="宋体" w:cs="宋体"/>
                <w:color w:val="auto"/>
                <w:sz w:val="24"/>
                <w:szCs w:val="32"/>
                <w:highlight w:val="none"/>
                <w:lang w:val="en-US" w:eastAsia="zh-CN"/>
              </w:rPr>
            </w:pPr>
            <w:r>
              <w:rPr>
                <w:rFonts w:hint="eastAsia" w:ascii="宋体" w:hAnsi="宋体" w:eastAsia="宋体" w:cs="宋体"/>
                <w:color w:val="auto"/>
                <w:kern w:val="0"/>
                <w:sz w:val="24"/>
                <w:szCs w:val="24"/>
                <w:highlight w:val="none"/>
              </w:rPr>
              <w:t>采购预算：</w:t>
            </w:r>
            <w:r>
              <w:rPr>
                <w:rFonts w:hint="eastAsia" w:ascii="宋体" w:hAnsi="宋体" w:cs="宋体"/>
                <w:color w:val="auto"/>
                <w:kern w:val="0"/>
                <w:sz w:val="24"/>
                <w:szCs w:val="24"/>
                <w:highlight w:val="none"/>
                <w:lang w:val="en-US" w:eastAsia="zh-CN"/>
              </w:rPr>
              <w:t>44万元</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最高投标限价</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44万元</w:t>
            </w:r>
            <w:r>
              <w:rPr>
                <w:rFonts w:hint="eastAsia" w:ascii="宋体" w:hAnsi="宋体" w:cs="宋体"/>
                <w:color w:val="auto"/>
                <w:sz w:val="24"/>
                <w:szCs w:val="32"/>
                <w:highlight w:val="none"/>
                <w:lang w:val="en-US" w:eastAsia="zh-CN"/>
              </w:rPr>
              <w:t>。</w:t>
            </w:r>
          </w:p>
          <w:p w14:paraId="20139F3F">
            <w:pPr>
              <w:widowControl/>
              <w:snapToGrid w:val="0"/>
              <w:spacing w:line="440" w:lineRule="exact"/>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1.1本项目磋商以综合折扣率（%）报价。</w:t>
            </w:r>
          </w:p>
          <w:p w14:paraId="3C273D67">
            <w:pPr>
              <w:widowControl/>
              <w:snapToGrid w:val="0"/>
              <w:spacing w:line="440" w:lineRule="exact"/>
              <w:jc w:val="left"/>
              <w:rPr>
                <w:rFonts w:hint="eastAsia" w:ascii="宋体" w:hAnsi="宋体" w:cs="宋体"/>
                <w:color w:val="auto"/>
                <w:sz w:val="24"/>
                <w:szCs w:val="32"/>
                <w:highlight w:val="none"/>
                <w:lang w:val="en-US" w:eastAsia="zh-CN"/>
              </w:rPr>
            </w:pPr>
            <w:r>
              <w:rPr>
                <w:rFonts w:hint="eastAsia" w:ascii="宋体" w:hAnsi="宋体" w:cs="宋体"/>
                <w:color w:val="auto"/>
                <w:kern w:val="0"/>
                <w:sz w:val="24"/>
                <w:szCs w:val="24"/>
                <w:highlight w:val="none"/>
                <w:lang w:val="en-US" w:eastAsia="zh-CN"/>
              </w:rPr>
              <w:t>供应商磋商报价以清单单价控制价为基准价格，</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S码、</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L码及护理垫</w:t>
            </w:r>
            <w:r>
              <w:rPr>
                <w:rFonts w:hint="eastAsia" w:ascii="宋体" w:hAnsi="宋体" w:cs="宋体"/>
                <w:color w:val="auto"/>
                <w:kern w:val="0"/>
                <w:sz w:val="24"/>
                <w:szCs w:val="24"/>
                <w:highlight w:val="none"/>
                <w:lang w:val="en-US" w:eastAsia="zh-CN"/>
              </w:rPr>
              <w:t>整体报出综合折扣率；</w:t>
            </w:r>
            <w:r>
              <w:rPr>
                <w:rFonts w:hint="eastAsia" w:ascii="宋体" w:hAnsi="宋体" w:eastAsia="宋体" w:cs="宋体"/>
                <w:b w:val="0"/>
                <w:bCs w:val="0"/>
                <w:color w:val="auto"/>
                <w:sz w:val="24"/>
                <w:szCs w:val="24"/>
                <w:highlight w:val="none"/>
              </w:rPr>
              <w:t>光疗纸尿裤</w:t>
            </w:r>
            <w:r>
              <w:rPr>
                <w:rFonts w:hint="eastAsia" w:ascii="宋体" w:hAnsi="宋体" w:cs="宋体"/>
                <w:color w:val="auto"/>
                <w:kern w:val="0"/>
                <w:sz w:val="24"/>
                <w:szCs w:val="24"/>
                <w:highlight w:val="none"/>
                <w:lang w:val="en-US" w:eastAsia="zh-CN"/>
              </w:rPr>
              <w:t>报出综合折扣率。供应商所报综合折扣率不得大于100%，否则将被作为无效响应；报价包括各种税金、运输费等所有费用，供货期限内医院不再承担任何其他费用。</w:t>
            </w:r>
          </w:p>
          <w:p w14:paraId="25F0BC31">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供应商的报价超过采购预算，采购人不能支付的，按废标处理。</w:t>
            </w:r>
          </w:p>
          <w:p w14:paraId="2834DD74">
            <w:pPr>
              <w:widowControl/>
              <w:snapToGrid w:val="0"/>
              <w:spacing w:line="440" w:lineRule="exact"/>
              <w:jc w:val="left"/>
              <w:rPr>
                <w:rFonts w:hint="eastAsia" w:ascii="宋体" w:hAnsi="宋体" w:cs="宋体"/>
                <w:color w:val="auto"/>
                <w:kern w:val="0"/>
                <w:szCs w:val="21"/>
                <w:highlight w:val="none"/>
                <w:lang w:val="en-US" w:eastAsia="zh-CN"/>
              </w:rPr>
            </w:pP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由成交供应商缴纳</w:t>
            </w:r>
            <w:r>
              <w:rPr>
                <w:rFonts w:hint="eastAsia" w:ascii="宋体" w:hAnsi="宋体" w:eastAsia="宋体" w:cs="宋体"/>
                <w:color w:val="auto"/>
                <w:kern w:val="0"/>
                <w:sz w:val="24"/>
                <w:szCs w:val="24"/>
                <w:highlight w:val="none"/>
              </w:rPr>
              <w:t>招标代理服务费。</w:t>
            </w:r>
            <w:r>
              <w:rPr>
                <w:rFonts w:hint="eastAsia" w:ascii="宋体" w:hAnsi="宋体" w:cs="宋体"/>
                <w:color w:val="auto"/>
                <w:kern w:val="0"/>
                <w:sz w:val="24"/>
                <w:szCs w:val="24"/>
                <w:highlight w:val="none"/>
                <w:lang w:val="en-US" w:eastAsia="zh-CN"/>
              </w:rPr>
              <w:t>代理服务费不得高于《招代理机构服务管理暂行办法》（计价格[2002]1980号）相应标准：</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color w:val="auto"/>
                      <w:sz w:val="21"/>
                      <w:highlight w:val="none"/>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381635</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成交金额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pt;margin-top:30.05pt;height:22.5pt;width:66.65pt;z-index:251660288;mso-width-relative:page;mso-height-relative:page;" fillcolor="#FFFFFF [3201]" filled="t" stroked="f" coordsize="21600,21600" o:gfxdata="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Yp5Wq1AAA&#10;AAkBAAAPAAAAAAAAAAEAIAAAACIAAABkcnMvZG93bnJldi54bWxQSwECFAAUAAAACACHTuJA3iYh&#10;e1sCAACaBAAADgAAAAAAAAABACAAAAAjAQAAZHJzL2Uyb0RvYy54bWxQSwUGAAAAAAYABgBZAQAA&#10;8AU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成交金额</w:t>
                                  </w:r>
                                </w:p>
                              </w:txbxContent>
                            </v:textbox>
                          </v:shape>
                        </w:pict>
                      </mc:Fallback>
                    </mc:AlternateContent>
                  </w:r>
                </w:p>
                <w:p w14:paraId="6CE85D4B">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b/>
                      <w:bCs/>
                      <w:color w:val="auto"/>
                      <w:sz w:val="21"/>
                      <w:highlight w:val="none"/>
                    </w:rPr>
                    <mc:AlternateContent>
                      <mc:Choice Requires="wps">
                        <w:drawing>
                          <wp:anchor distT="0" distB="0" distL="114300" distR="114300" simplePos="0" relativeHeight="251659264" behindDoc="0" locked="0" layoutInCell="1" allowOverlap="1">
                            <wp:simplePos x="0" y="0"/>
                            <wp:positionH relativeFrom="column">
                              <wp:posOffset>343535</wp:posOffset>
                            </wp:positionH>
                            <wp:positionV relativeFrom="paragraph">
                              <wp:posOffset>59690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4.7pt;height:24.05pt;width:76.4pt;z-index:251659264;mso-width-relative:page;mso-height-relative:page;" fillcolor="#FFFFFF [3201]" filled="t" stroked="f" coordsize="21600,21600" o:gfxdata="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NantXdIAAAAH&#10;AQAADwAAAAAAAAABACAAAAAiAAAAZHJzL2Rvd25yZXYueG1sUEsBAhQAFAAAAAgAh07iQF8vVZxb&#10;AgAAmgQAAA4AAAAAAAAAAQAgAAAAIQEAAGRycy9lMm9Eb2MueG1sUEsFBgAAAAAGAAYAWQEAAO4F&#10;A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p>
              </w:tc>
              <w:tc>
                <w:tcPr>
                  <w:tcW w:w="1605" w:type="dxa"/>
                  <w:vAlign w:val="center"/>
                </w:tcPr>
                <w:p w14:paraId="1BA1962A">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100万元以下</w:t>
                  </w:r>
                </w:p>
              </w:tc>
              <w:tc>
                <w:tcPr>
                  <w:tcW w:w="1605" w:type="dxa"/>
                  <w:vAlign w:val="center"/>
                </w:tcPr>
                <w:p w14:paraId="0F8F8092">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560" w:type="dxa"/>
                  <w:vAlign w:val="center"/>
                </w:tcPr>
                <w:p w14:paraId="64DFB595">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380" w:type="dxa"/>
                  <w:vAlign w:val="center"/>
                </w:tcPr>
                <w:p w14:paraId="6E9F31B9">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w:t>
                  </w:r>
                </w:p>
              </w:tc>
            </w:tr>
          </w:tbl>
          <w:p w14:paraId="1B44AAE4">
            <w:pPr>
              <w:widowControl/>
              <w:snapToGrid w:val="0"/>
              <w:spacing w:line="440" w:lineRule="exact"/>
              <w:jc w:val="left"/>
              <w:rPr>
                <w:rFonts w:hint="default" w:ascii="宋体" w:hAnsi="宋体" w:cs="宋体"/>
                <w:color w:val="auto"/>
                <w:kern w:val="0"/>
                <w:szCs w:val="21"/>
                <w:highlight w:val="none"/>
                <w:lang w:val="en-US" w:eastAsia="zh-CN"/>
              </w:rPr>
            </w:pPr>
          </w:p>
        </w:tc>
      </w:tr>
      <w:tr w14:paraId="7A2AFB19">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52A4231">
            <w:pPr>
              <w:widowControl/>
              <w:snapToGri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848C77D">
            <w:pPr>
              <w:widowControl/>
              <w:snapToGrid w:val="0"/>
              <w:spacing w:line="440" w:lineRule="exact"/>
              <w:jc w:val="left"/>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在原公告发布媒体上发布澄清或修改公告，供应商在提交响应文件截止时间前须自行查看在原公告发布媒体上发布的澄清或修改公告，因供应商未及时查看而造成的后果自负</w:t>
            </w:r>
            <w:r>
              <w:rPr>
                <w:rFonts w:hint="eastAsia" w:ascii="宋体" w:hAnsi="宋体" w:eastAsia="宋体" w:cs="宋体"/>
                <w:color w:val="auto"/>
                <w:sz w:val="24"/>
                <w:szCs w:val="32"/>
                <w:highlight w:val="none"/>
                <w:lang w:eastAsia="zh-CN"/>
              </w:rPr>
              <w:t>。</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widowControl/>
              <w:snapToGrid w:val="0"/>
              <w:spacing w:line="440" w:lineRule="exact"/>
              <w:jc w:val="left"/>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文件组成：纸质</w:t>
            </w: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文件正本1份</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lang w:val="en-US" w:eastAsia="zh-CN"/>
              </w:rPr>
              <w:t>副本2份</w:t>
            </w:r>
            <w:r>
              <w:rPr>
                <w:rFonts w:hint="eastAsia" w:ascii="宋体" w:hAnsi="宋体" w:eastAsia="宋体" w:cs="宋体"/>
                <w:color w:val="auto"/>
                <w:sz w:val="24"/>
                <w:szCs w:val="32"/>
                <w:highlight w:val="none"/>
              </w:rPr>
              <w:t>。胶装方式装订，不得采用活页装订</w:t>
            </w:r>
            <w:r>
              <w:rPr>
                <w:rFonts w:hint="eastAsia" w:ascii="宋体" w:hAnsi="宋体" w:cs="宋体"/>
                <w:color w:val="auto"/>
                <w:sz w:val="24"/>
                <w:szCs w:val="32"/>
                <w:highlight w:val="none"/>
                <w:lang w:eastAsia="zh-CN"/>
              </w:rPr>
              <w:t>。</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w:t>
            </w:r>
            <w:r>
              <w:rPr>
                <w:rFonts w:hint="eastAsia" w:ascii="宋体" w:hAnsi="宋体" w:eastAsia="宋体" w:cs="宋体"/>
                <w:color w:val="auto"/>
                <w:kern w:val="0"/>
                <w:sz w:val="24"/>
                <w:szCs w:val="24"/>
                <w:highlight w:val="none"/>
              </w:rPr>
              <w:t>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32"/>
                <w:highlight w:val="none"/>
              </w:rPr>
              <w:t>人</w:t>
            </w:r>
            <w:r>
              <w:rPr>
                <w:rFonts w:hint="eastAsia" w:ascii="宋体" w:hAnsi="宋体" w:eastAsia="宋体" w:cs="宋体"/>
                <w:color w:val="auto"/>
                <w:sz w:val="24"/>
                <w:szCs w:val="32"/>
                <w:highlight w:val="none"/>
                <w:lang w:val="en-US" w:eastAsia="zh-CN"/>
              </w:rPr>
              <w:t>及以上单数</w:t>
            </w:r>
            <w:r>
              <w:rPr>
                <w:rFonts w:hint="eastAsia" w:ascii="宋体" w:hAnsi="宋体" w:eastAsia="宋体" w:cs="宋体"/>
                <w:color w:val="auto"/>
                <w:kern w:val="0"/>
                <w:sz w:val="24"/>
                <w:szCs w:val="24"/>
                <w:highlight w:val="none"/>
              </w:rPr>
              <w:t>。</w:t>
            </w:r>
          </w:p>
          <w:p w14:paraId="05D582FC">
            <w:pPr>
              <w:widowControl/>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专家确定方式：</w:t>
            </w:r>
            <w:r>
              <w:rPr>
                <w:rFonts w:hint="eastAsia" w:ascii="宋体" w:hAnsi="宋体" w:eastAsia="宋体" w:cs="宋体"/>
                <w:color w:val="auto"/>
                <w:kern w:val="0"/>
                <w:sz w:val="24"/>
                <w:szCs w:val="24"/>
                <w:highlight w:val="none"/>
              </w:rPr>
              <w:t>由评审专家、采购人代表</w:t>
            </w:r>
            <w:r>
              <w:rPr>
                <w:rFonts w:hint="eastAsia" w:ascii="宋体" w:hAnsi="宋体" w:eastAsia="宋体" w:cs="宋体"/>
                <w:color w:val="auto"/>
                <w:kern w:val="0"/>
                <w:sz w:val="24"/>
                <w:szCs w:val="24"/>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pacing w:line="24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评标办法：</w:t>
            </w:r>
            <w:r>
              <w:rPr>
                <w:rFonts w:hint="eastAsia" w:ascii="宋体" w:hAnsi="宋体" w:eastAsia="宋体" w:cs="宋体"/>
                <w:color w:val="auto"/>
                <w:kern w:val="0"/>
                <w:sz w:val="24"/>
                <w:szCs w:val="24"/>
                <w:highlight w:val="none"/>
              </w:rPr>
              <w:t>本项目采用</w:t>
            </w:r>
            <w:r>
              <w:rPr>
                <w:rFonts w:hint="eastAsia" w:ascii="宋体" w:hAnsi="宋体" w:eastAsia="宋体" w:cs="宋体"/>
                <w:color w:val="auto"/>
                <w:sz w:val="24"/>
                <w:szCs w:val="24"/>
                <w:highlight w:val="none"/>
              </w:rPr>
              <w:t>综合评分法</w:t>
            </w:r>
            <w:r>
              <w:rPr>
                <w:rFonts w:hint="eastAsia" w:ascii="宋体" w:hAnsi="宋体" w:eastAsia="宋体" w:cs="宋体"/>
                <w:color w:val="auto"/>
                <w:kern w:val="0"/>
                <w:sz w:val="24"/>
                <w:szCs w:val="24"/>
                <w:highlight w:val="none"/>
              </w:rPr>
              <w:t>。</w:t>
            </w:r>
          </w:p>
        </w:tc>
      </w:tr>
      <w:tr w14:paraId="12DC500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公告及</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通知书：由采购人授权磋商小组确定一名</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并推荐</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名</w:t>
            </w:r>
            <w:r>
              <w:rPr>
                <w:rFonts w:hint="eastAsia" w:ascii="宋体" w:hAnsi="宋体" w:eastAsia="宋体" w:cs="宋体"/>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。评审结束后在《驻马店市中心医院》官网上发布成交公告，公示期结束后向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发出成交通知书。</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采购资金来源：自筹资金。</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有效期：</w:t>
            </w:r>
            <w:r>
              <w:rPr>
                <w:rFonts w:hint="eastAsia" w:ascii="宋体" w:hAnsi="宋体" w:eastAsia="宋体" w:cs="宋体"/>
                <w:color w:val="auto"/>
                <w:kern w:val="0"/>
                <w:sz w:val="24"/>
                <w:szCs w:val="24"/>
                <w:highlight w:val="none"/>
                <w:lang w:val="en-US" w:eastAsia="zh-CN"/>
              </w:rPr>
              <w:t>响应文件递交</w:t>
            </w:r>
            <w:r>
              <w:rPr>
                <w:rFonts w:hint="eastAsia" w:ascii="宋体" w:hAnsi="宋体" w:eastAsia="宋体" w:cs="宋体"/>
                <w:color w:val="auto"/>
                <w:kern w:val="0"/>
                <w:sz w:val="24"/>
                <w:szCs w:val="24"/>
                <w:highlight w:val="none"/>
              </w:rPr>
              <w:t>截止期结束后</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文件是合同的组成部分,有效期至合同完全履行止。</w:t>
            </w:r>
          </w:p>
        </w:tc>
      </w:tr>
    </w:tbl>
    <w:p w14:paraId="004A8D42">
      <w:pPr>
        <w:rPr>
          <w:rFonts w:hint="eastAsia" w:ascii="宋体" w:hAnsi="宋体" w:eastAsia="宋体" w:cs="宋体"/>
          <w:color w:val="auto"/>
          <w:highlight w:val="none"/>
        </w:rPr>
      </w:pPr>
    </w:p>
    <w:p w14:paraId="1DF831AE">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szCs w:val="24"/>
          <w:highlight w:val="none"/>
        </w:rPr>
      </w:pPr>
      <w:bookmarkStart w:id="36" w:name="_Toc4700"/>
      <w:bookmarkStart w:id="37" w:name="_Toc16669"/>
      <w:r>
        <w:rPr>
          <w:rFonts w:hint="eastAsia" w:ascii="宋体" w:hAnsi="宋体" w:eastAsia="宋体" w:cs="宋体"/>
          <w:b/>
          <w:bCs/>
          <w:color w:val="auto"/>
          <w:kern w:val="0"/>
          <w:sz w:val="24"/>
          <w:szCs w:val="24"/>
          <w:highlight w:val="none"/>
        </w:rPr>
        <w:t>一 、说 明</w:t>
      </w:r>
    </w:p>
    <w:p w14:paraId="63351082">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1.适用范围</w:t>
      </w:r>
    </w:p>
    <w:p w14:paraId="6ADA73B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文件仅适用于</w:t>
      </w:r>
      <w:r>
        <w:rPr>
          <w:rFonts w:hint="eastAsia" w:ascii="宋体" w:hAnsi="宋体" w:cs="宋体"/>
          <w:color w:val="auto"/>
          <w:kern w:val="0"/>
          <w:sz w:val="24"/>
          <w:szCs w:val="24"/>
          <w:highlight w:val="none"/>
          <w:lang w:val="en-US" w:eastAsia="zh-CN"/>
        </w:rPr>
        <w:t>驻马店市中心医院采购的</w:t>
      </w:r>
      <w:r>
        <w:rPr>
          <w:rFonts w:hint="eastAsia" w:ascii="宋体" w:hAnsi="宋体" w:eastAsia="宋体" w:cs="宋体"/>
          <w:color w:val="auto"/>
          <w:kern w:val="0"/>
          <w:sz w:val="24"/>
          <w:szCs w:val="24"/>
          <w:highlight w:val="none"/>
          <w:lang w:eastAsia="zh-CN"/>
        </w:rPr>
        <w:t>货物</w:t>
      </w:r>
      <w:r>
        <w:rPr>
          <w:rFonts w:hint="eastAsia" w:ascii="宋体" w:hAnsi="宋体" w:cs="宋体"/>
          <w:color w:val="auto"/>
          <w:kern w:val="0"/>
          <w:sz w:val="24"/>
          <w:szCs w:val="24"/>
          <w:highlight w:val="none"/>
          <w:lang w:val="en-US" w:eastAsia="zh-CN"/>
        </w:rPr>
        <w:t>项目</w:t>
      </w:r>
      <w:r>
        <w:rPr>
          <w:rFonts w:hint="eastAsia" w:ascii="宋体" w:hAnsi="宋体" w:eastAsia="宋体" w:cs="宋体"/>
          <w:color w:val="auto"/>
          <w:kern w:val="0"/>
          <w:sz w:val="24"/>
          <w:szCs w:val="24"/>
          <w:highlight w:val="none"/>
        </w:rPr>
        <w:t>。</w:t>
      </w:r>
    </w:p>
    <w:p w14:paraId="0D6E4701">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2.定义</w:t>
      </w:r>
    </w:p>
    <w:p w14:paraId="5DD407F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领取</w:t>
      </w:r>
      <w:r>
        <w:rPr>
          <w:rFonts w:hint="eastAsia" w:ascii="宋体" w:hAnsi="宋体" w:eastAsia="宋体" w:cs="宋体"/>
          <w:color w:val="auto"/>
          <w:kern w:val="0"/>
          <w:sz w:val="24"/>
          <w:szCs w:val="24"/>
          <w:highlight w:val="none"/>
        </w:rPr>
        <w:t>了本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文件，且已经提交本次</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p>
    <w:p w14:paraId="6D26E9C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代表</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参加本次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活动的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的法定代表人或其委托代理人。</w:t>
      </w:r>
    </w:p>
    <w:p w14:paraId="46D2C12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 xml:space="preserve"> 货物</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供应商按采购文件规定向采购人提供的一切设备、机械、仪器仪表、备品备件、工具、手册及其它有关技术资料和材料。</w:t>
      </w:r>
    </w:p>
    <w:p w14:paraId="1BC87C67">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sz w:val="24"/>
          <w:szCs w:val="24"/>
          <w:highlight w:val="none"/>
        </w:rPr>
      </w:pP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应提交的证明文件</w:t>
      </w:r>
    </w:p>
    <w:p w14:paraId="235BB7A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3.1、具有独立承担民事责任的能力（提供营业执照或其他证明材料）；</w:t>
      </w:r>
    </w:p>
    <w:p w14:paraId="6A1858F0">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3.2、具有良好的商业信誉和健全的财务会计制度（提供经审计的2025年度财务报告或者其基本开户银行出具的资信证明）；</w:t>
      </w:r>
    </w:p>
    <w:p w14:paraId="6088FF1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3.3、具有履行合同所必需的设备和专业技术能力（提供书面承诺函）；</w:t>
      </w:r>
    </w:p>
    <w:p w14:paraId="5A0B8F6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3.4、具有依法缴纳税收和社会保障资金的良好记录（提供采购活动近六个月任意一个月的依法缴纳税收和缴纳社保的证明；依法免税或不需要缴纳社会保障资金的，应提供相应文件证明其依法免税或不需要缴纳社会保障资金）。</w:t>
      </w:r>
    </w:p>
    <w:p w14:paraId="7D73DF55">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3.5、参加本采购活动前三年内，在经营活动中没有重大违法记录（提供书面承诺函）；</w:t>
      </w:r>
    </w:p>
    <w:p w14:paraId="66A8A88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3.6、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p>
    <w:p w14:paraId="67EE2758">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3.7、单位负责人为同一人或者存在直接控股、管理关系的不同供应商，不得参加同一合同项下的磋商（提供承诺函）。</w:t>
      </w:r>
    </w:p>
    <w:p w14:paraId="13292A9E">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.投标费用</w:t>
      </w:r>
    </w:p>
    <w:p w14:paraId="209E8546">
      <w:pPr>
        <w:keepNext w:val="0"/>
        <w:keepLines w:val="0"/>
        <w:pageBreakBefore w:val="0"/>
        <w:widowControl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不论投标结果如何，</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均应自行承担所有与投标有关的全部费用。</w:t>
      </w:r>
    </w:p>
    <w:p w14:paraId="4B7BBEAF">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关联企业投标</w:t>
      </w:r>
    </w:p>
    <w:p w14:paraId="511BE38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5.1</w:t>
      </w:r>
      <w:r>
        <w:rPr>
          <w:rFonts w:hint="eastAsia" w:ascii="宋体" w:hAnsi="宋体" w:eastAsia="宋体" w:cs="宋体"/>
          <w:color w:val="auto"/>
          <w:kern w:val="0"/>
          <w:sz w:val="24"/>
          <w:szCs w:val="24"/>
          <w:highlight w:val="none"/>
        </w:rPr>
        <w:t xml:space="preserve"> 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文件所称关联企业,是指存在关联关系的企业。“关联关系”的界定适用《中华人民共和国公司法》第二百</w:t>
      </w:r>
      <w:r>
        <w:rPr>
          <w:rFonts w:hint="eastAsia" w:ascii="宋体" w:hAnsi="宋体" w:cs="宋体"/>
          <w:color w:val="auto"/>
          <w:kern w:val="0"/>
          <w:sz w:val="24"/>
          <w:szCs w:val="24"/>
          <w:highlight w:val="none"/>
          <w:lang w:val="en-US" w:eastAsia="zh-CN"/>
        </w:rPr>
        <w:t>六十五</w:t>
      </w:r>
      <w:r>
        <w:rPr>
          <w:rFonts w:hint="eastAsia" w:ascii="宋体" w:hAnsi="宋体" w:eastAsia="宋体" w:cs="宋体"/>
          <w:color w:val="auto"/>
          <w:kern w:val="0"/>
          <w:sz w:val="24"/>
          <w:szCs w:val="24"/>
          <w:highlight w:val="none"/>
        </w:rPr>
        <w:t>条、《中华人民共和国政府采购法实施条例》第十八条之规定。</w:t>
      </w:r>
    </w:p>
    <w:p w14:paraId="43287587">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5.2</w:t>
      </w:r>
      <w:r>
        <w:rPr>
          <w:rFonts w:hint="eastAsia" w:ascii="宋体" w:hAnsi="宋体" w:eastAsia="宋体" w:cs="宋体"/>
          <w:color w:val="auto"/>
          <w:kern w:val="0"/>
          <w:sz w:val="24"/>
          <w:szCs w:val="24"/>
          <w:highlight w:val="none"/>
        </w:rPr>
        <w:t xml:space="preserve">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 w:val="24"/>
          <w:szCs w:val="24"/>
          <w:highlight w:val="none"/>
          <w:lang w:eastAsia="zh-CN"/>
        </w:rPr>
        <w:t>。</w:t>
      </w:r>
    </w:p>
    <w:p w14:paraId="2CC2F98E">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转包与分包</w:t>
      </w:r>
    </w:p>
    <w:p w14:paraId="1B379BF6">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本项目不允许采取转包方式履行合同。</w:t>
      </w:r>
    </w:p>
    <w:p w14:paraId="2FB26A5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6.2</w:t>
      </w:r>
      <w:r>
        <w:rPr>
          <w:rFonts w:hint="eastAsia" w:ascii="宋体" w:hAnsi="宋体" w:eastAsia="宋体" w:cs="宋体"/>
          <w:color w:val="auto"/>
          <w:kern w:val="0"/>
          <w:sz w:val="24"/>
          <w:szCs w:val="24"/>
          <w:highlight w:val="none"/>
        </w:rPr>
        <w:t>本项目不允许采取分包方式履行合同。</w:t>
      </w:r>
    </w:p>
    <w:p w14:paraId="136411C3">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7.</w:t>
      </w:r>
      <w:r>
        <w:rPr>
          <w:rFonts w:hint="eastAsia" w:ascii="宋体" w:hAnsi="宋体" w:eastAsia="宋体" w:cs="宋体"/>
          <w:b/>
          <w:bCs/>
          <w:color w:val="auto"/>
          <w:kern w:val="0"/>
          <w:sz w:val="24"/>
          <w:szCs w:val="24"/>
          <w:highlight w:val="none"/>
        </w:rPr>
        <w:t>特别说明：</w:t>
      </w:r>
    </w:p>
    <w:p w14:paraId="55FFFC2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7.1</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代表只能接受一个</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的委托参加投标。</w:t>
      </w:r>
    </w:p>
    <w:p w14:paraId="4AA06270">
      <w:pPr>
        <w:snapToGrid w:val="0"/>
        <w:spacing w:line="360" w:lineRule="auto"/>
        <w:ind w:firstLine="48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7.2</w:t>
      </w:r>
      <w:r>
        <w:rPr>
          <w:rFonts w:hint="eastAsia" w:ascii="宋体" w:hAnsi="宋体" w:cs="宋体"/>
          <w:color w:val="auto"/>
          <w:kern w:val="0"/>
          <w:sz w:val="24"/>
          <w:szCs w:val="24"/>
          <w:highlight w:val="none"/>
        </w:rPr>
        <w:t xml:space="preserve">《政府采购法》第二十二条第五款“参加政府采购活动前三年内，在经营活动中没有重大违法记录”，《政府采购法》实施条例第十九条 </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重大违法记录是指供应商因违法经营受到刑事处罚或者责令停产停业、吊销许可证或者执照、较大数额罚款等行政处罚。</w:t>
      </w:r>
      <w:r>
        <w:rPr>
          <w:rFonts w:hint="eastAsia" w:ascii="宋体" w:hAnsi="宋体" w:cs="宋体"/>
          <w:color w:val="auto"/>
          <w:kern w:val="0"/>
          <w:sz w:val="24"/>
          <w:szCs w:val="24"/>
          <w:highlight w:val="none"/>
          <w:lang w:eastAsia="zh-CN"/>
        </w:rPr>
        <w:t>”财政部发布的《关于&lt;中华人民共和国政府采购法实施条例&gt;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color w:val="auto"/>
          <w:kern w:val="0"/>
          <w:sz w:val="24"/>
          <w:szCs w:val="24"/>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7.3</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在投标活动中提供虚假材料或从事其他违法活动的,其投标无效，由相关部门查处。</w:t>
      </w:r>
    </w:p>
    <w:p w14:paraId="48BACE8D">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质疑和投诉</w:t>
      </w:r>
    </w:p>
    <w:p w14:paraId="0C544B71">
      <w:pPr>
        <w:keepNext w:val="0"/>
        <w:keepLines w:val="0"/>
        <w:pageBreakBefore w:val="0"/>
        <w:widowControl w:val="0"/>
        <w:kinsoku/>
        <w:wordWrap/>
        <w:overflowPunct/>
        <w:topLinePunct w:val="0"/>
        <w:bidi w:val="0"/>
        <w:snapToGrid w:val="0"/>
        <w:spacing w:line="360" w:lineRule="auto"/>
        <w:ind w:firstLine="470" w:firstLineChars="196"/>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供应商认为</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文件使自己的合法权益受到损害的，</w:t>
      </w:r>
      <w:r>
        <w:rPr>
          <w:rFonts w:hint="eastAsia" w:ascii="宋体" w:hAnsi="宋体" w:eastAsia="宋体" w:cs="宋体"/>
          <w:color w:val="auto"/>
          <w:kern w:val="0"/>
          <w:sz w:val="24"/>
          <w:szCs w:val="24"/>
          <w:highlight w:val="none"/>
        </w:rPr>
        <w:t>应当在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公告期限届满之日(或收到</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文件之日)起</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个工作日之内向</w:t>
      </w:r>
      <w:r>
        <w:rPr>
          <w:rFonts w:hint="eastAsia" w:ascii="宋体" w:hAnsi="宋体" w:eastAsia="宋体" w:cs="宋体"/>
          <w:bCs/>
          <w:color w:val="auto"/>
          <w:kern w:val="0"/>
          <w:sz w:val="24"/>
          <w:szCs w:val="24"/>
          <w:highlight w:val="none"/>
        </w:rPr>
        <w:t>采购人提出质疑；供应商认为</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结果使自己的合法权益受到损害的，应当在知道或者应知其权益受到损害之日起</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个工作日内提出质疑。</w:t>
      </w:r>
      <w:r>
        <w:rPr>
          <w:rFonts w:hint="eastAsia" w:ascii="宋体" w:hAnsi="宋体" w:eastAsia="宋体" w:cs="宋体"/>
          <w:color w:val="auto"/>
          <w:kern w:val="0"/>
          <w:sz w:val="24"/>
          <w:szCs w:val="24"/>
          <w:highlight w:val="none"/>
        </w:rPr>
        <w:t>逾期不再受理,</w:t>
      </w:r>
      <w:r>
        <w:rPr>
          <w:rFonts w:hint="eastAsia" w:ascii="宋体" w:hAnsi="宋体" w:eastAsia="宋体" w:cs="宋体"/>
          <w:bCs/>
          <w:color w:val="auto"/>
          <w:kern w:val="0"/>
          <w:sz w:val="24"/>
          <w:szCs w:val="24"/>
          <w:highlight w:val="none"/>
        </w:rPr>
        <w:t>供应商在法定质疑期内应一次性提出针对同一采购环节的质疑。</w:t>
      </w:r>
      <w:r>
        <w:rPr>
          <w:rFonts w:hint="eastAsia" w:ascii="宋体" w:hAnsi="宋体" w:eastAsia="宋体" w:cs="宋体"/>
          <w:color w:val="auto"/>
          <w:kern w:val="0"/>
          <w:sz w:val="24"/>
          <w:szCs w:val="24"/>
          <w:highlight w:val="none"/>
        </w:rPr>
        <w:t>供应商对</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的质疑答复不满意,或</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未在规定时间内作出答复的，可以在答复期满后15个工作日内向</w:t>
      </w:r>
      <w:r>
        <w:rPr>
          <w:rFonts w:hint="eastAsia" w:ascii="宋体" w:hAnsi="宋体" w:eastAsia="宋体" w:cs="宋体"/>
          <w:color w:val="auto"/>
          <w:kern w:val="0"/>
          <w:sz w:val="24"/>
          <w:szCs w:val="24"/>
          <w:highlight w:val="none"/>
          <w:lang w:val="en-US" w:eastAsia="zh-CN"/>
        </w:rPr>
        <w:t>医院纪检</w:t>
      </w:r>
      <w:r>
        <w:rPr>
          <w:rFonts w:hint="eastAsia" w:ascii="宋体" w:hAnsi="宋体" w:eastAsia="宋体" w:cs="宋体"/>
          <w:color w:val="auto"/>
          <w:kern w:val="0"/>
          <w:sz w:val="24"/>
          <w:szCs w:val="24"/>
          <w:highlight w:val="none"/>
        </w:rPr>
        <w:t>部门投诉。</w:t>
      </w:r>
    </w:p>
    <w:p w14:paraId="3B893C68">
      <w:pPr>
        <w:keepNext w:val="0"/>
        <w:keepLines w:val="0"/>
        <w:pageBreakBefore w:val="0"/>
        <w:widowControl w:val="0"/>
        <w:shd w:val="clear" w:color="auto" w:fill="FFFFFF"/>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质疑、投诉应当采用书面形式，质疑书、投诉书均应明确阐述</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结果中使自己合法权益受到损害的实质性内容，提供相关事实、依据和证据及其来源或线索，便于有关单位调查、答复和处理。</w:t>
      </w:r>
    </w:p>
    <w:p w14:paraId="6670C581">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w:t>
      </w:r>
    </w:p>
    <w:p w14:paraId="1B68A14C">
      <w:pPr>
        <w:tabs>
          <w:tab w:val="left" w:pos="720"/>
        </w:tabs>
        <w:spacing w:line="360" w:lineRule="auto"/>
        <w:ind w:firstLine="482" w:firstLineChars="200"/>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9.采购文件构成</w:t>
      </w:r>
    </w:p>
    <w:p w14:paraId="00C9D0C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文件中供应商须知、条款、格式等所有事项，按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文件的要求制作并提交响应文件，并保证所提供的全部资料的真实性，以使其投标对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文件做出实质性响应，否则，将承担其投标被拒绝的风险。</w:t>
      </w:r>
    </w:p>
    <w:p w14:paraId="073B3FE2">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文件的澄清与修改</w:t>
      </w:r>
    </w:p>
    <w:p w14:paraId="7443463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对已发出的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文件进行必要澄清、修改或补充的，应当在</w:t>
      </w:r>
      <w:r>
        <w:rPr>
          <w:rFonts w:hint="eastAsia" w:ascii="宋体" w:hAnsi="宋体" w:eastAsia="宋体" w:cs="宋体"/>
          <w:color w:val="auto"/>
          <w:kern w:val="0"/>
          <w:sz w:val="24"/>
          <w:szCs w:val="24"/>
          <w:highlight w:val="none"/>
          <w:lang w:val="en-US" w:eastAsia="zh-CN"/>
        </w:rPr>
        <w:t>原采购公告发布</w:t>
      </w:r>
      <w:r>
        <w:rPr>
          <w:rFonts w:hint="eastAsia" w:ascii="宋体" w:hAnsi="宋体" w:eastAsia="宋体" w:cs="宋体"/>
          <w:color w:val="auto"/>
          <w:kern w:val="0"/>
          <w:sz w:val="24"/>
          <w:szCs w:val="24"/>
          <w:highlight w:val="none"/>
        </w:rPr>
        <w:t>媒体上发布更正公告或变更公告。</w:t>
      </w:r>
    </w:p>
    <w:p w14:paraId="672DF5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文件澄清、修改或补充的内容为</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文件的组成部分。</w:t>
      </w:r>
    </w:p>
    <w:p w14:paraId="28FD75DD">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文件的编制</w:t>
      </w:r>
    </w:p>
    <w:p w14:paraId="4E193EDA">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.要求</w:t>
      </w:r>
    </w:p>
    <w:p w14:paraId="7F4EF235">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文件的所有内容，按照</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文件提供的格式编写</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文件，不得缺少或留空任何</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文件要求填写的表格或提交的资料。</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文件提供格式的按格式填列，未提供格式的可自行拟定。</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文件的要求作出实质性响应（包括</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资格要求、技术要求、商务要求和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文件格式中对</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的要求），</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对所提供的全部资料的合法性、真实性负责。</w:t>
      </w:r>
    </w:p>
    <w:p w14:paraId="417073B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文件的语言和计量单位</w:t>
      </w:r>
    </w:p>
    <w:p w14:paraId="609BDD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响应</w:t>
      </w:r>
      <w:r>
        <w:rPr>
          <w:rFonts w:hint="eastAsia" w:ascii="宋体" w:hAnsi="宋体" w:eastAsia="宋体" w:cs="宋体"/>
          <w:color w:val="auto"/>
          <w:kern w:val="0"/>
          <w:sz w:val="24"/>
          <w:szCs w:val="24"/>
          <w:highlight w:val="none"/>
        </w:rPr>
        <w:t>文件以及</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与采购人就有关</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事宜的所有来往函电均应使用简体中文书写。供应商提供的外文资料应附有相应的中文译本，并以中文译本为准。</w:t>
      </w:r>
    </w:p>
    <w:p w14:paraId="1A6D70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文件已有明确规定的，使用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文件没有规定的，应采用中华人民共和国法定计量单位。</w:t>
      </w:r>
    </w:p>
    <w:p w14:paraId="27843369">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文件的组成</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文件应包括下列部分：</w:t>
      </w:r>
    </w:p>
    <w:p w14:paraId="170FE95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竞争性磋商响应书</w:t>
      </w:r>
    </w:p>
    <w:p w14:paraId="400CB9C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13.2初次报价</w:t>
      </w:r>
      <w:r>
        <w:rPr>
          <w:rFonts w:hint="eastAsia" w:ascii="宋体" w:hAnsi="宋体" w:eastAsia="宋体" w:cs="宋体"/>
          <w:color w:val="auto"/>
          <w:kern w:val="0"/>
          <w:sz w:val="24"/>
          <w:szCs w:val="24"/>
          <w:highlight w:val="none"/>
        </w:rPr>
        <w:t>一览表</w:t>
      </w:r>
    </w:p>
    <w:p w14:paraId="47976D3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报价明细表</w:t>
      </w:r>
    </w:p>
    <w:p w14:paraId="2FB816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技术响应表</w:t>
      </w:r>
    </w:p>
    <w:p w14:paraId="0E744A4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商务响应表</w:t>
      </w:r>
    </w:p>
    <w:p w14:paraId="6C92A00D">
      <w:pPr>
        <w:keepNext w:val="0"/>
        <w:keepLines w:val="0"/>
        <w:pageBreakBefore w:val="0"/>
        <w:widowControl w:val="0"/>
        <w:kinsoku/>
        <w:wordWrap/>
        <w:overflowPunct/>
        <w:topLinePunct w:val="0"/>
        <w:bidi w:val="0"/>
        <w:snapToGrid w:val="0"/>
        <w:spacing w:line="360" w:lineRule="auto"/>
        <w:ind w:left="208" w:leftChars="99"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法定代表人身份证明</w:t>
      </w:r>
    </w:p>
    <w:p w14:paraId="2979C96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法定代表人授权书</w:t>
      </w:r>
    </w:p>
    <w:p w14:paraId="6E7D683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证明文件</w:t>
      </w:r>
    </w:p>
    <w:p w14:paraId="3B3C118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响应文件</w:t>
      </w:r>
      <w:r>
        <w:rPr>
          <w:rFonts w:hint="eastAsia" w:ascii="宋体" w:hAnsi="宋体" w:eastAsia="宋体" w:cs="宋体"/>
          <w:b/>
          <w:color w:val="auto"/>
          <w:kern w:val="0"/>
          <w:sz w:val="24"/>
          <w:szCs w:val="24"/>
          <w:highlight w:val="none"/>
        </w:rPr>
        <w:t>有效期</w:t>
      </w:r>
    </w:p>
    <w:p w14:paraId="0BE5B1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响应文件应自规定的磋商之日起，在“供应商须知”规定的时间内保持有效。磋商有效期不足的投标将被视为非实质性响应，并予以拒绝。</w:t>
      </w:r>
    </w:p>
    <w:p w14:paraId="4F8F7CF9">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.投标报价</w:t>
      </w:r>
    </w:p>
    <w:p w14:paraId="446754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所有</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报价均以</w:t>
      </w:r>
      <w:r>
        <w:rPr>
          <w:rFonts w:hint="eastAsia" w:ascii="宋体" w:hAnsi="宋体" w:cs="宋体"/>
          <w:color w:val="auto"/>
          <w:kern w:val="0"/>
          <w:sz w:val="24"/>
          <w:szCs w:val="24"/>
          <w:highlight w:val="none"/>
          <w:lang w:val="en-US" w:eastAsia="zh-CN"/>
        </w:rPr>
        <w:t>综合折扣率（%）</w:t>
      </w:r>
      <w:r>
        <w:rPr>
          <w:rFonts w:hint="eastAsia" w:ascii="宋体" w:hAnsi="宋体" w:eastAsia="宋体" w:cs="宋体"/>
          <w:color w:val="auto"/>
          <w:kern w:val="0"/>
          <w:sz w:val="24"/>
          <w:szCs w:val="24"/>
          <w:highlight w:val="none"/>
        </w:rPr>
        <w:t>为计算单位。</w:t>
      </w:r>
    </w:p>
    <w:p w14:paraId="680CBC8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要按</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一览表的内容填写。</w:t>
      </w:r>
    </w:p>
    <w:p w14:paraId="49B4686B">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pacing w:val="10"/>
          <w:kern w:val="0"/>
          <w:sz w:val="24"/>
          <w:szCs w:val="24"/>
          <w:highlight w:val="none"/>
          <w:lang w:eastAsia="zh-CN"/>
        </w:rPr>
        <w:t>供应商</w:t>
      </w:r>
      <w:r>
        <w:rPr>
          <w:rFonts w:hint="eastAsia" w:ascii="宋体" w:hAnsi="宋体" w:eastAsia="宋体" w:cs="宋体"/>
          <w:color w:val="auto"/>
          <w:spacing w:val="10"/>
          <w:kern w:val="0"/>
          <w:sz w:val="24"/>
          <w:szCs w:val="24"/>
          <w:highlight w:val="none"/>
        </w:rPr>
        <w:t>投报多标包的，应对每标包分别报价并分别填报</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w:t>
      </w:r>
      <w:r>
        <w:rPr>
          <w:rFonts w:hint="eastAsia" w:ascii="宋体" w:hAnsi="宋体" w:eastAsia="宋体" w:cs="宋体"/>
          <w:color w:val="auto"/>
          <w:spacing w:val="10"/>
          <w:kern w:val="0"/>
          <w:sz w:val="24"/>
          <w:szCs w:val="24"/>
          <w:highlight w:val="none"/>
        </w:rPr>
        <w:t>。</w:t>
      </w:r>
    </w:p>
    <w:p w14:paraId="4CE9644D">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.4 </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中标明的价格在政府采购合同执行过程中是固定不变的，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不得以任何理由予以变更。以可调整的价格提交的投标将被作为无效投标处理。</w:t>
      </w:r>
    </w:p>
    <w:p w14:paraId="7D9F74C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不接受可选择的投标报价。</w:t>
      </w:r>
    </w:p>
    <w:p w14:paraId="05427D8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.6 对于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文件中列出的赠送条款，在评审时不得作为价格评分因素或者调整评标价格的依据。</w:t>
      </w:r>
    </w:p>
    <w:p w14:paraId="5BDEFEBB">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16</w:t>
      </w:r>
      <w:r>
        <w:rPr>
          <w:rFonts w:hint="eastAsia" w:ascii="宋体" w:hAnsi="宋体" w:eastAsia="宋体" w:cs="宋体"/>
          <w:b/>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文件的签署</w:t>
      </w:r>
      <w:r>
        <w:rPr>
          <w:rFonts w:hint="eastAsia" w:ascii="宋体" w:hAnsi="宋体" w:eastAsia="宋体" w:cs="宋体"/>
          <w:b/>
          <w:color w:val="auto"/>
          <w:kern w:val="0"/>
          <w:sz w:val="24"/>
          <w:szCs w:val="24"/>
          <w:highlight w:val="none"/>
          <w:lang w:val="en-US" w:eastAsia="zh-CN"/>
        </w:rPr>
        <w:t>及其他规定</w:t>
      </w:r>
    </w:p>
    <w:p w14:paraId="14F451FB">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文件应按第六章“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文件格式”进行编写，如有必要，可以增加附页，作为</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的组成部分。其中，</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报价一览表在满足</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文件实质性要求的基础上，可以提出比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文件要求更有利于采购人的承诺。</w:t>
      </w:r>
    </w:p>
    <w:p w14:paraId="214B55FE">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文件应用不褪色的材料书写或打印，并由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的法定代表人盖章或盖单位公章；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文件应尽量避免涂改、行间插字或删除，如果出现上述情况，改动之处应加盖单位公章或由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的法定代表人盖章确认。</w:t>
      </w:r>
    </w:p>
    <w:p w14:paraId="48E409E1">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文件份数见</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文件正本和副本的封面上应清楚地标记“正本”或“副本”的字样。</w:t>
      </w:r>
    </w:p>
    <w:p w14:paraId="2473E976">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文件的递交</w:t>
      </w:r>
    </w:p>
    <w:p w14:paraId="06D1078F">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17.</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文件的密封、标记</w:t>
      </w:r>
    </w:p>
    <w:p w14:paraId="073ADB34">
      <w:pPr>
        <w:keepNext w:val="0"/>
        <w:keepLines w:val="0"/>
        <w:pageBreakBefore w:val="0"/>
        <w:widowControl w:val="0"/>
        <w:kinsoku/>
        <w:wordWrap/>
        <w:overflowPunct/>
        <w:topLinePunct w:val="0"/>
        <w:autoSpaceDE/>
        <w:autoSpaceDN/>
        <w:bidi w:val="0"/>
        <w:adjustRightInd/>
        <w:spacing w:line="360" w:lineRule="auto"/>
        <w:ind w:firstLine="484" w:firstLineChars="202"/>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未按本章第</w:t>
      </w:r>
      <w:r>
        <w:rPr>
          <w:rFonts w:hint="eastAsia" w:ascii="宋体" w:hAnsi="宋体" w:cs="宋体"/>
          <w:color w:val="auto"/>
          <w:sz w:val="24"/>
          <w:szCs w:val="24"/>
          <w:highlight w:val="none"/>
          <w:lang w:val="en-US" w:eastAsia="zh-CN"/>
        </w:rPr>
        <w:t>17.1</w:t>
      </w:r>
      <w:r>
        <w:rPr>
          <w:rFonts w:hint="eastAsia" w:ascii="宋体" w:hAnsi="宋体" w:eastAsia="宋体" w:cs="宋体"/>
          <w:color w:val="auto"/>
          <w:sz w:val="24"/>
          <w:szCs w:val="24"/>
          <w:highlight w:val="none"/>
          <w:lang w:eastAsia="zh-CN"/>
        </w:rPr>
        <w:t>项要求密封的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sz w:val="24"/>
          <w:szCs w:val="24"/>
          <w:highlight w:val="none"/>
          <w:lang w:eastAsia="zh-CN"/>
        </w:rPr>
        <w:t>文件，采购人不予受理。</w:t>
      </w:r>
    </w:p>
    <w:p w14:paraId="56E32590">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val="0"/>
          <w:color w:val="auto"/>
          <w:kern w:val="0"/>
          <w:sz w:val="24"/>
          <w:szCs w:val="24"/>
          <w:highlight w:val="none"/>
        </w:rPr>
      </w:pPr>
      <w:r>
        <w:rPr>
          <w:rFonts w:hint="eastAsia" w:ascii="宋体" w:hAnsi="宋体" w:cs="宋体"/>
          <w:b/>
          <w:bCs w:val="0"/>
          <w:color w:val="auto"/>
          <w:kern w:val="0"/>
          <w:sz w:val="24"/>
          <w:szCs w:val="24"/>
          <w:highlight w:val="none"/>
          <w:lang w:val="en-US" w:eastAsia="zh-CN"/>
        </w:rPr>
        <w:t>18</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rPr>
        <w:t>文件的递交</w:t>
      </w:r>
    </w:p>
    <w:p w14:paraId="315D50D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应在规定的</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lang w:eastAsia="zh-CN"/>
        </w:rPr>
        <w:t>递交</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p>
    <w:p w14:paraId="333575B4">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18.2</w:t>
      </w:r>
      <w:r>
        <w:rPr>
          <w:rFonts w:hint="eastAsia" w:ascii="宋体" w:hAnsi="宋体" w:eastAsia="宋体" w:cs="宋体"/>
          <w:color w:val="auto"/>
          <w:kern w:val="0"/>
          <w:sz w:val="24"/>
          <w:szCs w:val="24"/>
          <w:highlight w:val="none"/>
        </w:rPr>
        <w:t xml:space="preserve"> 逾期送达的或者未送达指定地点的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文件，采购人不予受理。</w:t>
      </w:r>
    </w:p>
    <w:p w14:paraId="089256E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19</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文件的修改和撤回</w:t>
      </w:r>
    </w:p>
    <w:p w14:paraId="719856B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在投标截止时间前，可以对所提交的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文件进行补充、修改或者撤回，并书面通知</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。补充、修改的内容和撤回通知应当按本须知要求签署、盖章、密封，并作为</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文件的组成部分。</w:t>
      </w:r>
    </w:p>
    <w:p w14:paraId="4FECB1E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截止期后不得修改、撤回</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在投标截止期后修改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文件的，其投标将被拒绝。</w:t>
      </w:r>
    </w:p>
    <w:p w14:paraId="4B6E8295">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、评标</w:t>
      </w:r>
    </w:p>
    <w:p w14:paraId="520C506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 组建</w:t>
      </w:r>
      <w:r>
        <w:rPr>
          <w:rFonts w:hint="eastAsia" w:ascii="宋体" w:hAnsi="宋体" w:eastAsia="宋体" w:cs="宋体"/>
          <w:b/>
          <w:bCs/>
          <w:color w:val="auto"/>
          <w:kern w:val="0"/>
          <w:sz w:val="24"/>
          <w:szCs w:val="24"/>
          <w:highlight w:val="none"/>
          <w:lang w:eastAsia="zh-CN"/>
        </w:rPr>
        <w:t>磋商小组</w:t>
      </w:r>
    </w:p>
    <w:p w14:paraId="78EE007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磋商由评审小组负责。评审小组由采购人的代表和有关技术、经济等方面的专家组成，成员人数应当为3人及以上单数。其中，技术、经济等方面的专家不得少于成员总数的三分之二。评审小组应当推选组长，但采购人代表不得担任组长。</w:t>
      </w:r>
    </w:p>
    <w:p w14:paraId="784A123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成员要依法独立评审，并对评审意见承担个人责任。</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成员对需要共同认定的事项存在争议的，按照少数服从多数的原则</w:t>
      </w:r>
      <w:r>
        <w:rPr>
          <w:rFonts w:hint="eastAsia" w:ascii="宋体" w:hAnsi="宋体" w:eastAsia="宋体" w:cs="宋体"/>
          <w:color w:val="auto"/>
          <w:kern w:val="0"/>
          <w:sz w:val="24"/>
          <w:szCs w:val="24"/>
          <w:highlight w:val="none"/>
        </w:rPr>
        <w:t>做</w:t>
      </w:r>
      <w:r>
        <w:rPr>
          <w:rFonts w:hint="eastAsia" w:ascii="宋体" w:hAnsi="宋体" w:eastAsia="宋体" w:cs="宋体"/>
          <w:color w:val="auto"/>
          <w:sz w:val="24"/>
          <w:szCs w:val="24"/>
          <w:highlight w:val="none"/>
        </w:rPr>
        <w:t>出结论。持不同意见的</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成员应当在评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报告上签署不同意见</w:t>
      </w:r>
      <w:r>
        <w:rPr>
          <w:rFonts w:hint="eastAsia" w:ascii="宋体" w:hAnsi="宋体" w:eastAsia="宋体" w:cs="宋体"/>
          <w:color w:val="auto"/>
          <w:kern w:val="0"/>
          <w:sz w:val="24"/>
          <w:szCs w:val="24"/>
          <w:highlight w:val="none"/>
        </w:rPr>
        <w:t>并说明</w:t>
      </w:r>
      <w:r>
        <w:rPr>
          <w:rFonts w:hint="eastAsia" w:ascii="宋体" w:hAnsi="宋体" w:eastAsia="宋体" w:cs="宋体"/>
          <w:color w:val="auto"/>
          <w:sz w:val="24"/>
          <w:szCs w:val="24"/>
          <w:highlight w:val="none"/>
        </w:rPr>
        <w:t>理由，否则视为同意。</w:t>
      </w:r>
    </w:p>
    <w:p w14:paraId="69F5B638">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sz w:val="24"/>
          <w:szCs w:val="24"/>
          <w:highlight w:val="none"/>
        </w:rPr>
        <w:t>文件的初审</w:t>
      </w:r>
    </w:p>
    <w:p w14:paraId="0EA49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报价出现前后不一致的，除</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文件另有规定外，修正错误的原则如下：</w:t>
      </w:r>
    </w:p>
    <w:p w14:paraId="4DF8A71E">
      <w:pPr>
        <w:pStyle w:val="29"/>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21.1.1</w:t>
      </w:r>
      <w:r>
        <w:rPr>
          <w:rFonts w:hint="eastAsia" w:ascii="宋体" w:hAnsi="宋体" w:eastAsia="宋体" w:cs="宋体"/>
          <w:color w:val="auto"/>
          <w:sz w:val="24"/>
          <w:szCs w:val="24"/>
          <w:highlight w:val="none"/>
          <w:lang w:val="en-US" w:eastAsia="zh-CN"/>
        </w:rPr>
        <w:t>响应文件</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（报价表）内容与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shd w:val="clear" w:color="auto" w:fill="FFFFFF"/>
        </w:rPr>
        <w:t>中相应内容不一致的，以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（报价表）为准；</w:t>
      </w:r>
    </w:p>
    <w:p w14:paraId="0AF4EB71">
      <w:pPr>
        <w:pStyle w:val="29"/>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大写金额</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shd w:val="clear" w:color="auto" w:fill="FFFFFF"/>
        </w:rPr>
        <w:t>小写金额不一致的，以大写金额为准；</w:t>
      </w:r>
    </w:p>
    <w:p w14:paraId="7AFACED1">
      <w:pPr>
        <w:pStyle w:val="29"/>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shd w:val="clear" w:color="auto" w:fill="FFFFFF"/>
        </w:rPr>
        <w:t>单价金额小数点或者百分比有明显错位的，以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的总价为准，并修改单价；</w:t>
      </w:r>
    </w:p>
    <w:p w14:paraId="4657271C">
      <w:pPr>
        <w:pStyle w:val="29"/>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shd w:val="clear" w:color="auto" w:fill="FFFFFF"/>
        </w:rPr>
        <w:t>总价金额与按单价汇总金额不一致的，以单价金额计算结果为准。</w:t>
      </w:r>
    </w:p>
    <w:p w14:paraId="279D2BF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.5对不同文字文本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文件的解释发生异议的，以中文文本为准。</w:t>
      </w:r>
    </w:p>
    <w:p w14:paraId="4C5E5A1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.6同时出现两种以上不一致的，按照前款规定的顺序修正。修正后的报价按照财政部87号令第五十一条第二款的规定经</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确认后产生约束力，</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不确认的，其投标无效。</w:t>
      </w:r>
    </w:p>
    <w:p w14:paraId="74D8E00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资格性检查和符合性检查。</w:t>
      </w:r>
    </w:p>
    <w:p w14:paraId="62B67604">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资格性检查。</w:t>
      </w:r>
    </w:p>
    <w:p w14:paraId="512679B8">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委托代购代理机构</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公告第二项和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文件第三章</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应提交的证明文件所述的资格标准对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进行资格审查,以确定其是否具备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资格。如果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资格、不满足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文件所规定的资格标准或提供资格证明文件不全,其投标将被作为无效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w:t>
      </w:r>
    </w:p>
    <w:p w14:paraId="6A6B5FC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 资格审查后合格的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不足3家的，不得评标。</w:t>
      </w:r>
    </w:p>
    <w:p w14:paraId="49F8D8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 符合性检查。依据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将从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的有效性、完整性和对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文件的响应程度进行审查，以确定是否符合对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文件的实质性要求作出响应。对没有实质性响应的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文件将不进行评估，其投标被作为无效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。凡有下列情况之一者，</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文件也将被视为未实质性响应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w:t>
      </w:r>
    </w:p>
    <w:p w14:paraId="1C23A94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响应文件</w:t>
      </w:r>
      <w:r>
        <w:rPr>
          <w:rFonts w:hint="eastAsia" w:ascii="宋体" w:hAnsi="宋体" w:eastAsia="宋体" w:cs="宋体"/>
          <w:b/>
          <w:bCs/>
          <w:color w:val="auto"/>
          <w:kern w:val="0"/>
          <w:sz w:val="24"/>
          <w:szCs w:val="24"/>
          <w:highlight w:val="none"/>
        </w:rPr>
        <w:t>未按规定签字、盖章的。</w:t>
      </w:r>
    </w:p>
    <w:p w14:paraId="05C53A1D">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未按</w:t>
      </w:r>
      <w:r>
        <w:rPr>
          <w:rFonts w:hint="eastAsia" w:ascii="宋体" w:hAnsi="宋体" w:eastAsia="宋体" w:cs="宋体"/>
          <w:b/>
          <w:bCs/>
          <w:color w:val="auto"/>
          <w:kern w:val="0"/>
          <w:sz w:val="24"/>
          <w:szCs w:val="24"/>
          <w:highlight w:val="none"/>
          <w:lang w:val="en-US" w:eastAsia="zh-CN"/>
        </w:rPr>
        <w:t>磋商</w:t>
      </w:r>
      <w:r>
        <w:rPr>
          <w:rFonts w:hint="eastAsia" w:ascii="宋体" w:hAnsi="宋体" w:eastAsia="宋体" w:cs="宋体"/>
          <w:b/>
          <w:bCs/>
          <w:color w:val="auto"/>
          <w:kern w:val="0"/>
          <w:sz w:val="24"/>
          <w:szCs w:val="24"/>
          <w:highlight w:val="none"/>
        </w:rPr>
        <w:t>文件规定报价，报价均超过采购预算或最高限价的。</w:t>
      </w:r>
    </w:p>
    <w:p w14:paraId="01BAF513">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）不符合</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文件中规定的其它实质性条款。</w:t>
      </w:r>
    </w:p>
    <w:p w14:paraId="679F4DE5">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决定投标的响应性只根据</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文件本身的内容，而不寻求其他的外部证据。</w:t>
      </w:r>
    </w:p>
    <w:p w14:paraId="1A62603E">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 对资格性检查和符合性检查不合格的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应当面</w:t>
      </w:r>
      <w:r>
        <w:rPr>
          <w:rFonts w:hint="eastAsia" w:ascii="宋体" w:hAnsi="宋体" w:eastAsia="宋体" w:cs="宋体"/>
          <w:color w:val="auto"/>
          <w:kern w:val="0"/>
          <w:sz w:val="24"/>
          <w:szCs w:val="24"/>
          <w:highlight w:val="none"/>
        </w:rPr>
        <w:t>告知其理由。</w:t>
      </w:r>
    </w:p>
    <w:p w14:paraId="74B995EB">
      <w:pPr>
        <w:pStyle w:val="29"/>
        <w:keepNext w:val="0"/>
        <w:keepLines w:val="0"/>
        <w:pageBreakBefore w:val="0"/>
        <w:widowControl w:val="0"/>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在评审过程中，</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串通投标，其</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无效：</w:t>
      </w:r>
    </w:p>
    <w:p w14:paraId="1ED89A2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异常一致。</w:t>
      </w:r>
    </w:p>
    <w:p w14:paraId="274BE1E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.2不同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由同一单位或者个人编制；</w:t>
      </w:r>
    </w:p>
    <w:p w14:paraId="12AF613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.3不同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委托同一单位或者个人办理投标事宜；</w:t>
      </w:r>
    </w:p>
    <w:p w14:paraId="6BA5E29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.4不同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载明的项目管理成员或者联系人员为同一人；　　</w:t>
      </w:r>
    </w:p>
    <w:p w14:paraId="4F4717B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.5不同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相互混装；</w:t>
      </w:r>
    </w:p>
    <w:p w14:paraId="5987C29A">
      <w:pPr>
        <w:keepNext w:val="0"/>
        <w:keepLines w:val="0"/>
        <w:pageBreakBefore w:val="0"/>
        <w:widowControl w:val="0"/>
        <w:kinsoku/>
        <w:wordWrap/>
        <w:overflowPunct/>
        <w:topLinePunct w:val="0"/>
        <w:bidi w:val="0"/>
        <w:adjustRightInd w:val="0"/>
        <w:snapToGrid w:val="0"/>
        <w:spacing w:line="360" w:lineRule="auto"/>
        <w:ind w:left="19" w:leftChars="9" w:firstLine="456" w:firstLineChars="19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 xml:space="preserve"> 有证据证明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串通投标的其他情形的；</w:t>
      </w:r>
    </w:p>
    <w:p w14:paraId="265D305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认定的其他串通投标情形。</w:t>
      </w:r>
    </w:p>
    <w:p w14:paraId="42C3E08A">
      <w:pPr>
        <w:keepNext w:val="0"/>
        <w:keepLines w:val="0"/>
        <w:pageBreakBefore w:val="0"/>
        <w:widowControl w:val="0"/>
        <w:tabs>
          <w:tab w:val="left" w:pos="0"/>
        </w:tabs>
        <w:kinsoku/>
        <w:wordWrap/>
        <w:overflowPunct/>
        <w:topLinePunct w:val="0"/>
        <w:bidi w:val="0"/>
        <w:snapToGrid w:val="0"/>
        <w:spacing w:line="360" w:lineRule="auto"/>
        <w:ind w:left="105" w:leftChars="50" w:firstLine="361" w:firstLineChars="150"/>
        <w:contextualSpacing/>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lang w:val="en-US" w:eastAsia="zh-CN"/>
        </w:rPr>
        <w:t>磋商</w:t>
      </w:r>
    </w:p>
    <w:p w14:paraId="64E8A3A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对资格性检查和符合性检查合格的供应商，进入本次磋商程序。</w:t>
      </w:r>
    </w:p>
    <w:p w14:paraId="23E8D31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 xml:space="preserve">.1 </w:t>
      </w:r>
      <w:r>
        <w:rPr>
          <w:rFonts w:hint="eastAsia" w:ascii="宋体" w:hAnsi="宋体" w:eastAsia="宋体" w:cs="宋体"/>
          <w:b w:val="0"/>
          <w:bCs w:val="0"/>
          <w:color w:val="auto"/>
          <w:sz w:val="24"/>
          <w:szCs w:val="24"/>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.2 本次竞争性磋商进行</w:t>
      </w:r>
      <w:r>
        <w:rPr>
          <w:rFonts w:hint="eastAsia" w:ascii="宋体" w:hAnsi="宋体" w:eastAsia="宋体" w:cs="宋体"/>
          <w:b w:val="0"/>
          <w:bCs w:val="0"/>
          <w:color w:val="auto"/>
          <w:sz w:val="24"/>
          <w:szCs w:val="24"/>
          <w:highlight w:val="none"/>
          <w:u w:val="single"/>
          <w:lang w:val="en-US" w:eastAsia="zh-CN"/>
        </w:rPr>
        <w:t xml:space="preserve"> 多 </w:t>
      </w:r>
      <w:r>
        <w:rPr>
          <w:rFonts w:hint="eastAsia" w:ascii="宋体" w:hAnsi="宋体" w:eastAsia="宋体" w:cs="宋体"/>
          <w:b w:val="0"/>
          <w:bCs w:val="0"/>
          <w:color w:val="auto"/>
          <w:sz w:val="24"/>
          <w:szCs w:val="24"/>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文件的澄清</w:t>
      </w:r>
    </w:p>
    <w:p w14:paraId="29924CB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1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3C27E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.2评审小组要求供应商澄清、说明或者更正响应文件应当以书面形式作出。供应商的澄清、说明或者更正应当由法定代表人或其授权代表签字或者加盖公章。</w:t>
      </w:r>
    </w:p>
    <w:p w14:paraId="3A86F42C">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 xml:space="preserve"> 评标过程及保密原则</w:t>
      </w:r>
    </w:p>
    <w:p w14:paraId="26B5CC7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 凡与本次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有关人员对属于审查、澄清、评价和比较</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的有关资料以及定标意向等，均不得向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或其他人员透露。否则,将按有关规定追究相关人员的责任。</w:t>
      </w:r>
    </w:p>
    <w:p w14:paraId="098EE9D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.2 在评标期间，</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试图影响或干预评审的任何行为，将导致其</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，并承担相应的法律责任。</w:t>
      </w:r>
    </w:p>
    <w:p w14:paraId="49E8DB03">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成交结果</w:t>
      </w:r>
    </w:p>
    <w:p w14:paraId="470BA4A0">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24</w:t>
      </w:r>
      <w:r>
        <w:rPr>
          <w:rFonts w:hint="eastAsia" w:ascii="宋体" w:hAnsi="宋体" w:eastAsia="宋体" w:cs="宋体"/>
          <w:b/>
          <w:bCs/>
          <w:color w:val="auto"/>
          <w:kern w:val="0"/>
          <w:sz w:val="24"/>
          <w:szCs w:val="24"/>
          <w:highlight w:val="none"/>
        </w:rPr>
        <w:t xml:space="preserve">. </w:t>
      </w:r>
      <w:r>
        <w:rPr>
          <w:rFonts w:hint="eastAsia" w:ascii="宋体" w:hAnsi="宋体" w:cs="宋体"/>
          <w:b/>
          <w:bCs/>
          <w:color w:val="auto"/>
          <w:kern w:val="0"/>
          <w:sz w:val="24"/>
          <w:szCs w:val="24"/>
          <w:highlight w:val="none"/>
          <w:lang w:val="en-US" w:eastAsia="zh-CN"/>
        </w:rPr>
        <w:t>成交</w:t>
      </w:r>
      <w:r>
        <w:rPr>
          <w:rFonts w:hint="eastAsia" w:ascii="宋体" w:hAnsi="宋体" w:eastAsia="宋体" w:cs="宋体"/>
          <w:b/>
          <w:bCs/>
          <w:color w:val="auto"/>
          <w:kern w:val="0"/>
          <w:sz w:val="24"/>
          <w:szCs w:val="24"/>
          <w:highlight w:val="none"/>
        </w:rPr>
        <w:t>原则</w:t>
      </w:r>
    </w:p>
    <w:p w14:paraId="7B136907">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采用综合评分法的，评标结果按评审后得分由高到低顺序排列。</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文件全部实质性要求，且按照评审因素的量化指标评审得分最高的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，以此类推。得分相同的，按</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报价由低到高顺序排列。得分且</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报价相同的，按技术部分得分顺序排列。得分与技术指标优劣均相同的，通过随机抽取产生。</w:t>
      </w:r>
    </w:p>
    <w:p w14:paraId="1362F231">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25</w:t>
      </w:r>
      <w:r>
        <w:rPr>
          <w:rFonts w:hint="eastAsia" w:ascii="宋体" w:hAnsi="宋体" w:eastAsia="宋体" w:cs="宋体"/>
          <w:b/>
          <w:bCs/>
          <w:color w:val="auto"/>
          <w:kern w:val="0"/>
          <w:sz w:val="24"/>
          <w:szCs w:val="24"/>
          <w:highlight w:val="none"/>
        </w:rPr>
        <w:t>. 确定</w:t>
      </w:r>
      <w:r>
        <w:rPr>
          <w:rFonts w:hint="eastAsia" w:ascii="宋体" w:hAnsi="宋体" w:eastAsia="宋体" w:cs="宋体"/>
          <w:b/>
          <w:bCs/>
          <w:color w:val="auto"/>
          <w:kern w:val="0"/>
          <w:sz w:val="24"/>
          <w:szCs w:val="24"/>
          <w:highlight w:val="none"/>
          <w:lang w:eastAsia="zh-CN"/>
        </w:rPr>
        <w:t>成交供应商</w:t>
      </w:r>
      <w:r>
        <w:rPr>
          <w:rFonts w:hint="eastAsia" w:ascii="宋体" w:hAnsi="宋体" w:eastAsia="宋体" w:cs="宋体"/>
          <w:b/>
          <w:bCs/>
          <w:color w:val="auto"/>
          <w:kern w:val="0"/>
          <w:sz w:val="24"/>
          <w:szCs w:val="24"/>
          <w:highlight w:val="none"/>
        </w:rPr>
        <w:t>和</w:t>
      </w:r>
      <w:r>
        <w:rPr>
          <w:rFonts w:hint="eastAsia" w:ascii="宋体" w:hAnsi="宋体" w:eastAsia="宋体" w:cs="宋体"/>
          <w:b/>
          <w:bCs/>
          <w:color w:val="auto"/>
          <w:kern w:val="0"/>
          <w:sz w:val="24"/>
          <w:szCs w:val="24"/>
          <w:highlight w:val="none"/>
          <w:lang w:eastAsia="zh-CN"/>
        </w:rPr>
        <w:t>成交候选供应商</w:t>
      </w:r>
    </w:p>
    <w:p w14:paraId="1A4C6E5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本项目由采购人授权</w:t>
      </w:r>
      <w:r>
        <w:rPr>
          <w:rFonts w:hint="eastAsia" w:ascii="宋体" w:hAnsi="宋体" w:eastAsia="宋体" w:cs="宋体"/>
          <w:bCs/>
          <w:color w:val="auto"/>
          <w:kern w:val="0"/>
          <w:sz w:val="24"/>
          <w:szCs w:val="24"/>
          <w:highlight w:val="none"/>
          <w:lang w:eastAsia="zh-CN"/>
        </w:rPr>
        <w:t>磋商小组</w:t>
      </w:r>
      <w:r>
        <w:rPr>
          <w:rFonts w:hint="eastAsia" w:ascii="宋体" w:hAnsi="宋体" w:eastAsia="宋体" w:cs="宋体"/>
          <w:bCs/>
          <w:color w:val="auto"/>
          <w:kern w:val="0"/>
          <w:sz w:val="24"/>
          <w:szCs w:val="24"/>
          <w:highlight w:val="none"/>
        </w:rPr>
        <w:t>确定一名</w:t>
      </w:r>
      <w:r>
        <w:rPr>
          <w:rFonts w:hint="eastAsia" w:ascii="宋体" w:hAnsi="宋体" w:eastAsia="宋体" w:cs="宋体"/>
          <w:bCs/>
          <w:color w:val="auto"/>
          <w:kern w:val="0"/>
          <w:sz w:val="24"/>
          <w:szCs w:val="24"/>
          <w:highlight w:val="none"/>
          <w:lang w:eastAsia="zh-CN"/>
        </w:rPr>
        <w:t>成交供应商</w:t>
      </w:r>
      <w:r>
        <w:rPr>
          <w:rFonts w:hint="eastAsia" w:ascii="宋体" w:hAnsi="宋体" w:eastAsia="宋体" w:cs="宋体"/>
          <w:bCs/>
          <w:color w:val="auto"/>
          <w:kern w:val="0"/>
          <w:sz w:val="24"/>
          <w:szCs w:val="24"/>
          <w:highlight w:val="none"/>
        </w:rPr>
        <w:t>并推荐</w:t>
      </w:r>
      <w:r>
        <w:rPr>
          <w:rFonts w:hint="eastAsia" w:ascii="宋体" w:hAnsi="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rPr>
        <w:t>名</w:t>
      </w:r>
      <w:r>
        <w:rPr>
          <w:rFonts w:hint="eastAsia" w:ascii="宋体" w:hAnsi="宋体" w:eastAsia="宋体" w:cs="宋体"/>
          <w:bCs/>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w:t>
      </w:r>
    </w:p>
    <w:p w14:paraId="68B24569">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26</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eastAsia="zh-CN"/>
        </w:rPr>
        <w:t>成交通知书</w:t>
      </w:r>
      <w:r>
        <w:rPr>
          <w:rFonts w:hint="eastAsia" w:ascii="宋体" w:hAnsi="宋体" w:eastAsia="宋体" w:cs="宋体"/>
          <w:b/>
          <w:bCs/>
          <w:color w:val="auto"/>
          <w:kern w:val="0"/>
          <w:sz w:val="24"/>
          <w:szCs w:val="24"/>
          <w:highlight w:val="none"/>
        </w:rPr>
        <w:t>及</w:t>
      </w:r>
      <w:r>
        <w:rPr>
          <w:rFonts w:hint="eastAsia" w:ascii="宋体" w:hAnsi="宋体" w:cs="宋体"/>
          <w:b/>
          <w:bCs/>
          <w:color w:val="auto"/>
          <w:kern w:val="0"/>
          <w:sz w:val="24"/>
          <w:szCs w:val="24"/>
          <w:highlight w:val="none"/>
          <w:lang w:eastAsia="zh-CN"/>
        </w:rPr>
        <w:t>成交</w:t>
      </w:r>
      <w:r>
        <w:rPr>
          <w:rFonts w:hint="eastAsia" w:ascii="宋体" w:hAnsi="宋体" w:cs="宋体"/>
          <w:b/>
          <w:bCs/>
          <w:color w:val="auto"/>
          <w:kern w:val="0"/>
          <w:sz w:val="24"/>
          <w:szCs w:val="24"/>
          <w:highlight w:val="none"/>
          <w:lang w:val="en-US" w:eastAsia="zh-CN"/>
        </w:rPr>
        <w:t>结果</w:t>
      </w:r>
      <w:r>
        <w:rPr>
          <w:rFonts w:hint="eastAsia" w:ascii="宋体" w:hAnsi="宋体" w:eastAsia="宋体" w:cs="宋体"/>
          <w:b/>
          <w:bCs/>
          <w:color w:val="auto"/>
          <w:kern w:val="0"/>
          <w:sz w:val="24"/>
          <w:szCs w:val="24"/>
          <w:highlight w:val="none"/>
        </w:rPr>
        <w:t>公告</w:t>
      </w:r>
    </w:p>
    <w:p w14:paraId="74627CA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.1评审结束后，</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人将</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的情况在本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项目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公告发布的同一媒介予以公示，公示</w:t>
      </w:r>
      <w:r>
        <w:rPr>
          <w:rFonts w:hint="eastAsia" w:ascii="宋体" w:hAnsi="宋体" w:eastAsia="宋体" w:cs="宋体"/>
          <w:color w:val="auto"/>
          <w:kern w:val="0"/>
          <w:sz w:val="24"/>
          <w:szCs w:val="24"/>
          <w:highlight w:val="none"/>
          <w:lang w:eastAsia="zh-CN"/>
        </w:rPr>
        <w:t>期限</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个工作日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公示期结束后</w:t>
      </w:r>
      <w:r>
        <w:rPr>
          <w:rFonts w:hint="eastAsia" w:ascii="宋体" w:hAnsi="宋体" w:eastAsia="宋体" w:cs="宋体"/>
          <w:color w:val="auto"/>
          <w:kern w:val="0"/>
          <w:sz w:val="24"/>
          <w:szCs w:val="24"/>
          <w:highlight w:val="none"/>
        </w:rPr>
        <w:t>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w:t>
      </w:r>
    </w:p>
    <w:p w14:paraId="7AE15A0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lang w:eastAsia="zh-CN"/>
        </w:rPr>
        <w:t>.2采购人与成交供应商应当在成交通知书发出之日起 30 日内，按照磋商文件确定的合同文本以及磋商标的、规格型号、磋商金额、磋商数量、技术和服务要求等事项签订采购合同。</w:t>
      </w:r>
    </w:p>
    <w:p w14:paraId="247B0E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对采购人和</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具有同等法律效力。</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发出后，采购人改变</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结果，或者</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放弃</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，应按相关法律、规章、规范性文件的要求承担相应的法律责任。</w:t>
      </w:r>
    </w:p>
    <w:p w14:paraId="744B013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bCs/>
          <w:color w:val="auto"/>
          <w:kern w:val="0"/>
          <w:sz w:val="24"/>
          <w:szCs w:val="24"/>
          <w:highlight w:val="none"/>
        </w:rPr>
        <w:t>.4</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将作为签订合同的依据。合同签订后，</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成为合同的一部分。</w:t>
      </w:r>
    </w:p>
    <w:p w14:paraId="61008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color w:val="auto"/>
          <w:sz w:val="24"/>
          <w:szCs w:val="24"/>
          <w:highlight w:val="none"/>
        </w:rPr>
      </w:pPr>
      <w:r>
        <w:rPr>
          <w:rFonts w:hint="eastAsia" w:ascii="宋体" w:hAnsi="宋体" w:cs="宋体"/>
          <w:color w:val="auto"/>
          <w:kern w:val="0"/>
          <w:sz w:val="24"/>
          <w:szCs w:val="24"/>
          <w:highlight w:val="none"/>
          <w:lang w:val="en-US" w:eastAsia="zh-CN"/>
        </w:rPr>
        <w:t>26.5</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文件的修改文件、</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、补充或修改的文件及澄清或承诺文件等，均为双方签订合同的组成部分，并与合同一并作为本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文件所列采购项目的互补性法律文件，与合同具有同等法律效力。</w:t>
      </w:r>
    </w:p>
    <w:p w14:paraId="3650A538">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27</w:t>
      </w:r>
      <w:r>
        <w:rPr>
          <w:rFonts w:hint="eastAsia" w:ascii="宋体" w:hAnsi="宋体" w:eastAsia="宋体" w:cs="宋体"/>
          <w:b/>
          <w:bCs/>
          <w:color w:val="auto"/>
          <w:kern w:val="0"/>
          <w:sz w:val="24"/>
          <w:szCs w:val="24"/>
          <w:highlight w:val="none"/>
        </w:rPr>
        <w:t>. 采购人宣布废标的权利</w:t>
      </w:r>
    </w:p>
    <w:p w14:paraId="12308D91">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出现下列情况之一时，采购人有权宣布废标，并将理由通知所有</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w:t>
      </w:r>
    </w:p>
    <w:p w14:paraId="60B7851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出现影响采购公正的违法、违规行为的。</w:t>
      </w:r>
    </w:p>
    <w:p w14:paraId="47356DB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的报价均超过了</w:t>
      </w:r>
      <w:r>
        <w:rPr>
          <w:rFonts w:hint="eastAsia" w:ascii="宋体" w:hAnsi="宋体" w:eastAsia="宋体" w:cs="宋体"/>
          <w:bCs/>
          <w:color w:val="auto"/>
          <w:kern w:val="0"/>
          <w:sz w:val="24"/>
          <w:szCs w:val="24"/>
          <w:highlight w:val="none"/>
          <w:lang w:val="en-US" w:eastAsia="zh-CN"/>
        </w:rPr>
        <w:t>采购预算金额</w:t>
      </w:r>
      <w:r>
        <w:rPr>
          <w:rFonts w:hint="eastAsia" w:ascii="宋体" w:hAnsi="宋体" w:eastAsia="宋体" w:cs="宋体"/>
          <w:bCs/>
          <w:color w:val="auto"/>
          <w:kern w:val="0"/>
          <w:sz w:val="24"/>
          <w:szCs w:val="24"/>
          <w:highlight w:val="none"/>
        </w:rPr>
        <w:t>，采购人不能支付的。</w:t>
      </w:r>
    </w:p>
    <w:p w14:paraId="4938A69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因重大变故，采购任务取消的。</w:t>
      </w:r>
    </w:p>
    <w:p w14:paraId="569FAD42">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b/>
          <w:color w:val="auto"/>
          <w:kern w:val="0"/>
          <w:sz w:val="24"/>
          <w:szCs w:val="24"/>
          <w:highlight w:val="none"/>
          <w:lang w:eastAsia="zh-CN"/>
        </w:rPr>
      </w:pPr>
      <w:r>
        <w:rPr>
          <w:rFonts w:hint="eastAsia" w:ascii="宋体" w:hAnsi="宋体" w:cs="宋体"/>
          <w:bCs/>
          <w:color w:val="auto"/>
          <w:kern w:val="0"/>
          <w:sz w:val="24"/>
          <w:szCs w:val="24"/>
          <w:highlight w:val="none"/>
          <w:lang w:val="en-US" w:eastAsia="zh-CN"/>
        </w:rPr>
        <w:t>（4）</w:t>
      </w:r>
      <w:r>
        <w:rPr>
          <w:rFonts w:hint="eastAsia" w:ascii="宋体" w:hAnsi="宋体" w:eastAsia="宋体" w:cs="宋体"/>
          <w:color w:val="auto"/>
          <w:sz w:val="24"/>
          <w:szCs w:val="24"/>
          <w:highlight w:val="none"/>
        </w:rPr>
        <w:t>投标截止后</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不足3家或通过资格性检查或符合性检查的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r>
        <w:rPr>
          <w:rFonts w:hint="eastAsia" w:ascii="宋体" w:hAnsi="宋体" w:cs="宋体"/>
          <w:color w:val="auto"/>
          <w:sz w:val="24"/>
          <w:szCs w:val="24"/>
          <w:highlight w:val="none"/>
          <w:lang w:eastAsia="zh-CN"/>
        </w:rPr>
        <w:t>。</w:t>
      </w:r>
    </w:p>
    <w:p w14:paraId="5EC13C8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05D3E70">
      <w:pPr>
        <w:keepNext w:val="0"/>
        <w:keepLines w:val="0"/>
        <w:pageBreakBefore w:val="0"/>
        <w:widowControl/>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38" w:name="_Toc31399"/>
      <w:r>
        <w:rPr>
          <w:rFonts w:hint="eastAsia" w:ascii="宋体" w:hAnsi="宋体" w:eastAsia="宋体" w:cs="宋体"/>
          <w:b/>
          <w:bCs/>
          <w:color w:val="auto"/>
          <w:kern w:val="0"/>
          <w:sz w:val="32"/>
          <w:szCs w:val="32"/>
          <w:highlight w:val="none"/>
        </w:rPr>
        <w:t>第四章  评标办法及评分标准</w:t>
      </w:r>
      <w:bookmarkEnd w:id="36"/>
      <w:bookmarkEnd w:id="38"/>
    </w:p>
    <w:p w14:paraId="5FA8D29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（一）评标原则</w:t>
      </w:r>
    </w:p>
    <w:p w14:paraId="5A6B0AB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按照“公平、公正”的原则对待所有</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文件的相关规定进行评标、定标。</w:t>
      </w:r>
    </w:p>
    <w:p w14:paraId="2CA30BD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）评标办法</w:t>
      </w:r>
    </w:p>
    <w:p w14:paraId="5807D4BC">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1．本项目采用综合评分法，总分为100分。</w:t>
      </w:r>
    </w:p>
    <w:p w14:paraId="3CDF010F">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文件中规定的评标方法和标准，对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文件进行综合比较与评价。</w:t>
      </w:r>
    </w:p>
    <w:p w14:paraId="4CECA87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文件全部实质性要求，且评审得分最高的</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为</w:t>
      </w:r>
      <w:r>
        <w:rPr>
          <w:rFonts w:hint="eastAsia" w:ascii="宋体" w:hAnsi="宋体" w:eastAsia="宋体" w:cs="宋体"/>
          <w:b w:val="0"/>
          <w:bCs w:val="0"/>
          <w:color w:val="auto"/>
          <w:sz w:val="24"/>
          <w:szCs w:val="24"/>
          <w:highlight w:val="none"/>
          <w:lang w:eastAsia="zh-CN"/>
        </w:rPr>
        <w:t>成交供应商</w:t>
      </w:r>
      <w:r>
        <w:rPr>
          <w:rFonts w:hint="eastAsia" w:ascii="宋体" w:hAnsi="宋体" w:eastAsia="宋体" w:cs="宋体"/>
          <w:b w:val="0"/>
          <w:bCs w:val="0"/>
          <w:color w:val="auto"/>
          <w:sz w:val="24"/>
          <w:szCs w:val="24"/>
          <w:highlight w:val="none"/>
        </w:rPr>
        <w:t>。</w:t>
      </w:r>
    </w:p>
    <w:p w14:paraId="328CEB9D">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三</w:t>
      </w:r>
      <w:r>
        <w:rPr>
          <w:rFonts w:hint="eastAsia" w:ascii="宋体" w:hAnsi="宋体" w:eastAsia="宋体" w:cs="宋体"/>
          <w:b w:val="0"/>
          <w:bCs w:val="0"/>
          <w:color w:val="auto"/>
          <w:sz w:val="24"/>
          <w:szCs w:val="24"/>
          <w:highlight w:val="none"/>
        </w:rPr>
        <w:t>）评标程序</w:t>
      </w:r>
    </w:p>
    <w:tbl>
      <w:tblPr>
        <w:tblStyle w:val="33"/>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473"/>
        <w:gridCol w:w="6936"/>
      </w:tblGrid>
      <w:tr w14:paraId="1D5C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648" w:type="dxa"/>
            <w:gridSpan w:val="3"/>
            <w:noWrap w:val="0"/>
            <w:vAlign w:val="center"/>
          </w:tcPr>
          <w:p w14:paraId="469082FD">
            <w:pPr>
              <w:keepNext w:val="0"/>
              <w:keepLines w:val="0"/>
              <w:pageBreakBefore w:val="0"/>
              <w:widowControl w:val="0"/>
              <w:tabs>
                <w:tab w:val="left" w:pos="3000"/>
              </w:tabs>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评审内容</w:t>
            </w:r>
          </w:p>
        </w:tc>
      </w:tr>
      <w:tr w14:paraId="6A83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239" w:type="dxa"/>
            <w:vMerge w:val="restart"/>
            <w:noWrap w:val="0"/>
            <w:vAlign w:val="center"/>
          </w:tcPr>
          <w:p w14:paraId="41F0AFE2">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价格标部分</w:t>
            </w:r>
          </w:p>
          <w:p w14:paraId="30F21E9D">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0</w:t>
            </w:r>
            <w:r>
              <w:rPr>
                <w:rFonts w:hint="eastAsia" w:ascii="宋体" w:hAnsi="宋体" w:eastAsia="宋体" w:cs="宋体"/>
                <w:b w:val="0"/>
                <w:bCs w:val="0"/>
                <w:color w:val="auto"/>
                <w:sz w:val="24"/>
                <w:szCs w:val="24"/>
                <w:highlight w:val="none"/>
              </w:rPr>
              <w:t>分)</w:t>
            </w:r>
          </w:p>
        </w:tc>
        <w:tc>
          <w:tcPr>
            <w:tcW w:w="8409" w:type="dxa"/>
            <w:gridSpan w:val="2"/>
            <w:noWrap w:val="0"/>
            <w:vAlign w:val="center"/>
          </w:tcPr>
          <w:p w14:paraId="56A5BCC6">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说明：当</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发现</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的</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报价明显低于其他</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报价，使其</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报价可能低于其个别成本的，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可对其质询，并要求该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做出书面说明和提供相关的证明材料；该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不能合理说明或提供证明材料的，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应按无效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处理。</w:t>
            </w:r>
          </w:p>
          <w:p w14:paraId="1C7B52DB">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不高于</w:t>
            </w:r>
            <w:r>
              <w:rPr>
                <w:rFonts w:hint="eastAsia" w:ascii="宋体" w:hAnsi="宋体" w:eastAsia="宋体" w:cs="宋体"/>
                <w:b w:val="0"/>
                <w:bCs w:val="0"/>
                <w:color w:val="auto"/>
                <w:sz w:val="24"/>
                <w:szCs w:val="24"/>
                <w:highlight w:val="none"/>
              </w:rPr>
              <w:t>采购预算价的为有效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p>
          <w:p w14:paraId="227E9141">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基准值的确定：满足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文件要求且</w:t>
            </w:r>
            <w:r>
              <w:rPr>
                <w:rFonts w:hint="eastAsia" w:ascii="宋体" w:hAnsi="宋体" w:eastAsia="宋体" w:cs="宋体"/>
                <w:b w:val="0"/>
                <w:bCs w:val="0"/>
                <w:color w:val="auto"/>
                <w:sz w:val="24"/>
                <w:szCs w:val="24"/>
                <w:highlight w:val="none"/>
                <w:lang w:val="en-US" w:eastAsia="zh-CN"/>
              </w:rPr>
              <w:t>该小项磋商</w:t>
            </w:r>
            <w:r>
              <w:rPr>
                <w:rFonts w:hint="eastAsia" w:ascii="宋体" w:hAnsi="宋体" w:eastAsia="宋体" w:cs="宋体"/>
                <w:b w:val="0"/>
                <w:bCs w:val="0"/>
                <w:color w:val="auto"/>
                <w:sz w:val="24"/>
                <w:szCs w:val="24"/>
                <w:highlight w:val="none"/>
              </w:rPr>
              <w:t>价格最低的有效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报价为</w:t>
            </w: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基准价。</w:t>
            </w:r>
          </w:p>
        </w:tc>
      </w:tr>
      <w:tr w14:paraId="43D2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239" w:type="dxa"/>
            <w:vMerge w:val="continue"/>
            <w:noWrap w:val="0"/>
            <w:vAlign w:val="center"/>
          </w:tcPr>
          <w:p w14:paraId="5610AC47">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rPr>
            </w:pPr>
          </w:p>
        </w:tc>
        <w:tc>
          <w:tcPr>
            <w:tcW w:w="8409" w:type="dxa"/>
            <w:gridSpan w:val="2"/>
            <w:noWrap w:val="0"/>
            <w:vAlign w:val="center"/>
          </w:tcPr>
          <w:p w14:paraId="2EE0AACB">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S码</w:t>
            </w:r>
            <w:r>
              <w:rPr>
                <w:rFonts w:hint="eastAsia" w:ascii="宋体" w:hAnsi="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L码及护理垫：</w:t>
            </w:r>
          </w:p>
          <w:p w14:paraId="3A75A122">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报价得分=（</w:t>
            </w: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基准价/有效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rPr>
              <w:t>分</w:t>
            </w:r>
          </w:p>
          <w:p w14:paraId="05C0EA6C">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光疗纸尿裤</w:t>
            </w:r>
            <w:r>
              <w:rPr>
                <w:rFonts w:hint="eastAsia" w:ascii="宋体" w:hAnsi="宋体" w:eastAsia="宋体" w:cs="宋体"/>
                <w:b w:val="0"/>
                <w:bCs w:val="0"/>
                <w:color w:val="auto"/>
                <w:sz w:val="24"/>
                <w:szCs w:val="24"/>
                <w:highlight w:val="none"/>
                <w:lang w:val="en-US" w:eastAsia="zh-CN"/>
              </w:rPr>
              <w:t>：</w:t>
            </w:r>
          </w:p>
          <w:p w14:paraId="579FCA7A">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报价得分=（</w:t>
            </w: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基准价/有效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分</w:t>
            </w:r>
          </w:p>
          <w:p w14:paraId="3D8EE567">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总</w:t>
            </w:r>
            <w:r>
              <w:rPr>
                <w:rFonts w:hint="eastAsia" w:ascii="宋体" w:hAnsi="宋体" w:eastAsia="宋体" w:cs="宋体"/>
                <w:b w:val="0"/>
                <w:bCs w:val="0"/>
                <w:color w:val="auto"/>
                <w:sz w:val="24"/>
                <w:szCs w:val="24"/>
                <w:highlight w:val="none"/>
              </w:rPr>
              <w:t>得分</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S码</w:t>
            </w:r>
            <w:r>
              <w:rPr>
                <w:rFonts w:hint="eastAsia" w:ascii="宋体" w:hAnsi="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L码</w:t>
            </w:r>
            <w:r>
              <w:rPr>
                <w:rFonts w:hint="eastAsia" w:ascii="宋体" w:hAnsi="宋体" w:cs="宋体"/>
                <w:b w:val="0"/>
                <w:bCs w:val="0"/>
                <w:color w:val="auto"/>
                <w:sz w:val="24"/>
                <w:szCs w:val="24"/>
                <w:highlight w:val="none"/>
                <w:lang w:val="en-US" w:eastAsia="zh-CN"/>
              </w:rPr>
              <w:t>及</w:t>
            </w:r>
            <w:r>
              <w:rPr>
                <w:rFonts w:hint="eastAsia" w:ascii="宋体" w:hAnsi="宋体" w:eastAsia="宋体" w:cs="宋体"/>
                <w:b w:val="0"/>
                <w:bCs w:val="0"/>
                <w:color w:val="auto"/>
                <w:sz w:val="24"/>
                <w:szCs w:val="24"/>
                <w:highlight w:val="none"/>
                <w:lang w:val="en-US" w:eastAsia="zh-CN"/>
              </w:rPr>
              <w:t>护理垫</w:t>
            </w:r>
            <w:r>
              <w:rPr>
                <w:rFonts w:hint="eastAsia" w:ascii="宋体" w:hAnsi="宋体" w:eastAsia="宋体" w:cs="宋体"/>
                <w:b w:val="0"/>
                <w:bCs w:val="0"/>
                <w:color w:val="auto"/>
                <w:sz w:val="24"/>
                <w:szCs w:val="24"/>
                <w:highlight w:val="none"/>
              </w:rPr>
              <w:t>得分</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光疗纸尿裤得分</w:t>
            </w:r>
          </w:p>
        </w:tc>
      </w:tr>
      <w:tr w14:paraId="2636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9" w:type="dxa"/>
            <w:vMerge w:val="restart"/>
            <w:noWrap w:val="0"/>
            <w:vAlign w:val="center"/>
          </w:tcPr>
          <w:p w14:paraId="7D578B06">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技术部分</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5</w:t>
            </w:r>
            <w:r>
              <w:rPr>
                <w:rFonts w:hint="eastAsia" w:ascii="宋体"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lang w:eastAsia="zh-CN"/>
              </w:rPr>
              <w:t>分）</w:t>
            </w:r>
          </w:p>
        </w:tc>
        <w:tc>
          <w:tcPr>
            <w:tcW w:w="1473" w:type="dxa"/>
            <w:noWrap w:val="0"/>
            <w:vAlign w:val="center"/>
          </w:tcPr>
          <w:p w14:paraId="4D145501">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1.产品技术参数（</w:t>
            </w:r>
            <w:r>
              <w:rPr>
                <w:rFonts w:hint="eastAsia" w:ascii="宋体" w:hAnsi="宋体"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lang w:val="en-US" w:eastAsia="zh-CN"/>
              </w:rPr>
              <w:t>分）</w:t>
            </w:r>
          </w:p>
        </w:tc>
        <w:tc>
          <w:tcPr>
            <w:tcW w:w="6936" w:type="dxa"/>
            <w:noWrap w:val="0"/>
            <w:vAlign w:val="center"/>
          </w:tcPr>
          <w:p w14:paraId="693768C3">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供应商对“第二章 采购需求 三</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技术要求”技术参数进行响应，</w:t>
            </w:r>
            <w:r>
              <w:rPr>
                <w:rFonts w:hint="eastAsia" w:ascii="宋体" w:hAnsi="宋体" w:cs="宋体"/>
                <w:color w:val="auto"/>
                <w:sz w:val="24"/>
                <w:szCs w:val="24"/>
                <w:highlight w:val="none"/>
                <w:lang w:val="en-US" w:eastAsia="zh-CN"/>
              </w:rPr>
              <w:t>加</w:t>
            </w:r>
            <w:r>
              <w:rPr>
                <w:rFonts w:hint="eastAsia" w:ascii="宋体" w:hAnsi="宋体" w:eastAsia="宋体" w:cs="宋体"/>
                <w:color w:val="auto"/>
                <w:sz w:val="24"/>
                <w:szCs w:val="24"/>
                <w:vertAlign w:val="baseline"/>
                <w:lang w:val="en-US" w:eastAsia="zh-CN"/>
              </w:rPr>
              <w:t>★</w:t>
            </w:r>
            <w:r>
              <w:rPr>
                <w:rFonts w:hint="eastAsia" w:ascii="宋体" w:hAnsi="宋体" w:cs="宋体"/>
                <w:color w:val="auto"/>
                <w:sz w:val="24"/>
                <w:szCs w:val="24"/>
                <w:vertAlign w:val="baseline"/>
                <w:lang w:val="en-US" w:eastAsia="zh-CN"/>
              </w:rPr>
              <w:t>为实质性技术要求，不满足要求为无效投标。其余参数为一般性技术要求，</w:t>
            </w:r>
            <w:r>
              <w:rPr>
                <w:rFonts w:hint="eastAsia" w:ascii="宋体" w:hAnsi="宋体" w:eastAsia="宋体" w:cs="宋体"/>
                <w:color w:val="auto"/>
                <w:sz w:val="24"/>
                <w:szCs w:val="24"/>
                <w:highlight w:val="none"/>
                <w:lang w:val="en-US" w:eastAsia="zh-CN"/>
              </w:rPr>
              <w:t>所投产品全部满足磋商文件要求得</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分，有一项不满足的扣</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分，扣完为止；如得分为0，则磋商无效。 </w:t>
            </w:r>
          </w:p>
          <w:p w14:paraId="1051411B">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注：1.供应商需如实填写技术响应表，并标注偏离情况。</w:t>
            </w:r>
          </w:p>
          <w:p w14:paraId="1BACA3E1">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default"/>
                <w:color w:val="auto"/>
                <w:highlight w:val="none"/>
                <w:lang w:val="en-US"/>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提供相应证明材料。</w:t>
            </w:r>
          </w:p>
        </w:tc>
      </w:tr>
      <w:tr w14:paraId="0478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1239" w:type="dxa"/>
            <w:vMerge w:val="continue"/>
            <w:noWrap w:val="0"/>
            <w:vAlign w:val="center"/>
          </w:tcPr>
          <w:p w14:paraId="03BE1C62">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04C2BD8A">
            <w:pPr>
              <w:keepNext w:val="0"/>
              <w:keepLines w:val="0"/>
              <w:pageBreakBefore w:val="0"/>
              <w:widowControl/>
              <w:numPr>
                <w:ilvl w:val="0"/>
                <w:numId w:val="0"/>
              </w:numPr>
              <w:kinsoku/>
              <w:wordWrap/>
              <w:overflowPunct/>
              <w:topLinePunct w:val="0"/>
              <w:autoSpaceDE/>
              <w:autoSpaceDN/>
              <w:bidi w:val="0"/>
              <w:adjustRightInd/>
              <w:snapToGrid w:val="0"/>
              <w:spacing w:line="360" w:lineRule="exact"/>
              <w:ind w:firstLine="240" w:firstLineChars="100"/>
              <w:jc w:val="both"/>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2.样品</w:t>
            </w:r>
          </w:p>
          <w:p w14:paraId="6547966A">
            <w:pPr>
              <w:keepNext w:val="0"/>
              <w:keepLines w:val="0"/>
              <w:pageBreakBefore w:val="0"/>
              <w:widowControl/>
              <w:numPr>
                <w:ilvl w:val="0"/>
                <w:numId w:val="0"/>
              </w:numP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分）</w:t>
            </w:r>
          </w:p>
        </w:tc>
        <w:tc>
          <w:tcPr>
            <w:tcW w:w="6936" w:type="dxa"/>
            <w:noWrap w:val="0"/>
            <w:vAlign w:val="center"/>
          </w:tcPr>
          <w:p w14:paraId="44CACD43">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磋商小组对样品进行现场湿水测试，根据样品吸水量多少、吸水速度、柔软度、反渗透性、是否起坨/断层、防漏性、干爽性、透气性、有无伸缩弹性腰围等功能进行打分，质量优得</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分，中等得</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分，一般得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分，差的得1分。</w:t>
            </w:r>
          </w:p>
          <w:p w14:paraId="70A4DBC4">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注：1.</w:t>
            </w:r>
            <w:r>
              <w:rPr>
                <w:rFonts w:hint="eastAsia" w:ascii="宋体" w:hAnsi="宋体" w:eastAsia="宋体" w:cs="宋体"/>
                <w:b/>
                <w:bCs/>
                <w:color w:val="auto"/>
                <w:sz w:val="24"/>
                <w:szCs w:val="24"/>
                <w:highlight w:val="none"/>
                <w:lang w:val="en-US" w:eastAsia="zh-CN"/>
              </w:rPr>
              <w:t>未提供样品</w:t>
            </w:r>
            <w:r>
              <w:rPr>
                <w:rFonts w:hint="eastAsia" w:ascii="宋体" w:hAnsi="宋体" w:cs="宋体"/>
                <w:b/>
                <w:bCs/>
                <w:color w:val="auto"/>
                <w:sz w:val="24"/>
                <w:szCs w:val="24"/>
                <w:highlight w:val="none"/>
                <w:lang w:val="en-US" w:eastAsia="zh-CN"/>
              </w:rPr>
              <w:t>或样品提供不齐全</w:t>
            </w:r>
            <w:r>
              <w:rPr>
                <w:rFonts w:hint="eastAsia" w:ascii="宋体" w:hAnsi="宋体" w:eastAsia="宋体" w:cs="宋体"/>
                <w:b/>
                <w:bCs/>
                <w:color w:val="auto"/>
                <w:sz w:val="24"/>
                <w:szCs w:val="24"/>
                <w:highlight w:val="none"/>
                <w:lang w:val="en-US" w:eastAsia="zh-CN"/>
              </w:rPr>
              <w:t>的不得分。</w:t>
            </w:r>
          </w:p>
          <w:p w14:paraId="1E660249">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pacing w:val="30"/>
                <w:sz w:val="24"/>
                <w:szCs w:val="24"/>
                <w:lang w:val="en-US" w:eastAsia="zh-CN"/>
              </w:rPr>
            </w:pPr>
            <w:r>
              <w:rPr>
                <w:rFonts w:hint="eastAsia" w:ascii="宋体" w:hAnsi="宋体" w:cs="宋体"/>
                <w:b/>
                <w:bCs/>
                <w:color w:val="auto"/>
                <w:sz w:val="24"/>
                <w:szCs w:val="24"/>
                <w:highlight w:val="none"/>
                <w:lang w:val="en-US" w:eastAsia="zh-CN"/>
              </w:rPr>
              <w:t>2.成交人</w:t>
            </w:r>
            <w:r>
              <w:rPr>
                <w:rFonts w:hint="eastAsia" w:ascii="宋体" w:hAnsi="宋体" w:eastAsia="宋体" w:cs="宋体"/>
                <w:b/>
                <w:bCs/>
                <w:color w:val="auto"/>
                <w:sz w:val="24"/>
                <w:szCs w:val="24"/>
                <w:highlight w:val="none"/>
                <w:lang w:val="en-US" w:eastAsia="zh-CN"/>
              </w:rPr>
              <w:t>样品将统一保管、封存</w:t>
            </w:r>
            <w:r>
              <w:rPr>
                <w:rFonts w:hint="eastAsia" w:ascii="宋体" w:hAnsi="宋体" w:cs="宋体"/>
                <w:b/>
                <w:bCs/>
                <w:color w:val="auto"/>
                <w:sz w:val="24"/>
                <w:szCs w:val="24"/>
                <w:highlight w:val="none"/>
                <w:lang w:val="en-US" w:eastAsia="zh-CN"/>
              </w:rPr>
              <w:t>，</w:t>
            </w:r>
            <w:r>
              <w:rPr>
                <w:rFonts w:ascii="宋体" w:hAnsi="宋体" w:eastAsia="宋体" w:cs="宋体"/>
                <w:b/>
                <w:bCs/>
                <w:color w:val="auto"/>
                <w:kern w:val="0"/>
                <w:sz w:val="24"/>
                <w:szCs w:val="24"/>
                <w:highlight w:val="none"/>
                <w:lang w:val="en-US" w:eastAsia="zh-CN" w:bidi="ar"/>
              </w:rPr>
              <w:t>所供产品须与投标样品一致</w:t>
            </w:r>
            <w:r>
              <w:rPr>
                <w:rFonts w:hint="eastAsia" w:ascii="宋体" w:hAnsi="宋体" w:cs="宋体"/>
                <w:b/>
                <w:bCs/>
                <w:color w:val="auto"/>
                <w:kern w:val="0"/>
                <w:sz w:val="24"/>
                <w:szCs w:val="24"/>
                <w:highlight w:val="none"/>
                <w:lang w:val="en-US" w:eastAsia="zh-CN" w:bidi="ar"/>
              </w:rPr>
              <w:t>。</w:t>
            </w:r>
          </w:p>
        </w:tc>
      </w:tr>
      <w:tr w14:paraId="0C75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1239" w:type="dxa"/>
            <w:vMerge w:val="continue"/>
            <w:noWrap w:val="0"/>
            <w:vAlign w:val="center"/>
          </w:tcPr>
          <w:p w14:paraId="4E9F3738">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restart"/>
            <w:noWrap w:val="0"/>
            <w:vAlign w:val="center"/>
          </w:tcPr>
          <w:p w14:paraId="3F8255E9">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3.仓储面积及仓储环境</w:t>
            </w:r>
          </w:p>
          <w:p w14:paraId="1965B530">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（10分）</w:t>
            </w:r>
          </w:p>
        </w:tc>
        <w:tc>
          <w:tcPr>
            <w:tcW w:w="6936" w:type="dxa"/>
            <w:noWrap w:val="0"/>
            <w:vAlign w:val="center"/>
          </w:tcPr>
          <w:p w14:paraId="098AB7E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为保证采购人正常需求或如遇突发情况时具有足够的库存产品，供应商需具有一定的仓储能力</w:t>
            </w:r>
            <w:r>
              <w:rPr>
                <w:rFonts w:hint="eastAsia" w:ascii="宋体" w:hAnsi="宋体" w:cs="宋体"/>
                <w:color w:val="auto"/>
                <w:sz w:val="24"/>
                <w:szCs w:val="24"/>
                <w:highlight w:val="none"/>
                <w:lang w:val="en-US" w:eastAsia="zh-CN"/>
              </w:rPr>
              <w:t>。</w:t>
            </w:r>
          </w:p>
          <w:p w14:paraId="29417216">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仓储面积在1</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US" w:eastAsia="zh-CN"/>
              </w:rPr>
              <w:t>㎡（含）以上的得5分；1</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US" w:eastAsia="zh-CN"/>
              </w:rPr>
              <w:t>㎡（不含）-</w:t>
            </w:r>
            <w:r>
              <w:rPr>
                <w:rFonts w:hint="eastAsia" w:ascii="宋体" w:hAnsi="宋体" w:cs="宋体"/>
                <w:color w:val="auto"/>
                <w:sz w:val="24"/>
                <w:szCs w:val="24"/>
                <w:highlight w:val="none"/>
                <w:lang w:val="en-US" w:eastAsia="zh-CN"/>
              </w:rPr>
              <w:t>50</w:t>
            </w:r>
            <w:r>
              <w:rPr>
                <w:rFonts w:hint="eastAsia" w:ascii="宋体" w:hAnsi="宋体" w:eastAsia="宋体" w:cs="宋体"/>
                <w:color w:val="auto"/>
                <w:sz w:val="24"/>
                <w:szCs w:val="24"/>
                <w:highlight w:val="none"/>
                <w:lang w:val="en-US" w:eastAsia="zh-CN"/>
              </w:rPr>
              <w:t>㎡（含）的得3分；</w:t>
            </w:r>
            <w:r>
              <w:rPr>
                <w:rFonts w:hint="eastAsia" w:ascii="宋体" w:hAnsi="宋体" w:cs="宋体"/>
                <w:color w:val="auto"/>
                <w:sz w:val="24"/>
                <w:szCs w:val="24"/>
                <w:highlight w:val="none"/>
                <w:lang w:val="en-US" w:eastAsia="zh-CN"/>
              </w:rPr>
              <w:t>50</w:t>
            </w:r>
            <w:r>
              <w:rPr>
                <w:rFonts w:hint="eastAsia" w:ascii="宋体" w:hAnsi="宋体" w:eastAsia="宋体" w:cs="宋体"/>
                <w:color w:val="auto"/>
                <w:sz w:val="24"/>
                <w:szCs w:val="24"/>
                <w:highlight w:val="none"/>
                <w:lang w:val="en-US" w:eastAsia="zh-CN"/>
              </w:rPr>
              <w:t>㎡（不含）以下的得1分。</w:t>
            </w:r>
          </w:p>
          <w:p w14:paraId="07DCB2C8">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注：自有房屋</w:t>
            </w:r>
            <w:r>
              <w:rPr>
                <w:rFonts w:hint="eastAsia" w:ascii="宋体" w:hAnsi="宋体" w:cs="宋体"/>
                <w:b/>
                <w:bCs/>
                <w:color w:val="auto"/>
                <w:sz w:val="24"/>
                <w:szCs w:val="24"/>
                <w:highlight w:val="none"/>
                <w:lang w:val="en-US" w:eastAsia="zh-CN"/>
              </w:rPr>
              <w:t>以</w:t>
            </w:r>
            <w:r>
              <w:rPr>
                <w:rFonts w:hint="eastAsia" w:ascii="宋体" w:hAnsi="宋体" w:eastAsia="宋体" w:cs="宋体"/>
                <w:b/>
                <w:bCs/>
                <w:color w:val="auto"/>
                <w:sz w:val="24"/>
                <w:szCs w:val="24"/>
                <w:highlight w:val="none"/>
                <w:lang w:val="en-US" w:eastAsia="zh-CN"/>
              </w:rPr>
              <w:t>房产证</w:t>
            </w:r>
            <w:r>
              <w:rPr>
                <w:rFonts w:hint="eastAsia" w:ascii="宋体" w:hAnsi="宋体" w:cs="宋体"/>
                <w:b/>
                <w:bCs/>
                <w:color w:val="auto"/>
                <w:sz w:val="24"/>
                <w:szCs w:val="24"/>
                <w:highlight w:val="none"/>
                <w:lang w:val="en-US" w:eastAsia="zh-CN"/>
              </w:rPr>
              <w:t>为准</w:t>
            </w:r>
            <w:r>
              <w:rPr>
                <w:rFonts w:hint="eastAsia" w:ascii="宋体" w:hAnsi="宋体" w:eastAsia="宋体" w:cs="宋体"/>
                <w:b/>
                <w:bCs/>
                <w:color w:val="auto"/>
                <w:sz w:val="24"/>
                <w:szCs w:val="24"/>
                <w:highlight w:val="none"/>
                <w:lang w:val="en-US" w:eastAsia="zh-CN"/>
              </w:rPr>
              <w:t>，租赁房屋</w:t>
            </w:r>
            <w:r>
              <w:rPr>
                <w:rFonts w:hint="eastAsia" w:ascii="宋体" w:hAnsi="宋体" w:cs="宋体"/>
                <w:b/>
                <w:bCs/>
                <w:color w:val="auto"/>
                <w:sz w:val="24"/>
                <w:szCs w:val="24"/>
                <w:highlight w:val="none"/>
                <w:lang w:val="en-US" w:eastAsia="zh-CN"/>
              </w:rPr>
              <w:t>以</w:t>
            </w:r>
            <w:r>
              <w:rPr>
                <w:rFonts w:hint="eastAsia" w:ascii="宋体" w:hAnsi="宋体" w:eastAsia="宋体" w:cs="宋体"/>
                <w:b/>
                <w:bCs/>
                <w:color w:val="auto"/>
                <w:sz w:val="24"/>
                <w:szCs w:val="24"/>
                <w:highlight w:val="none"/>
                <w:lang w:val="en-US" w:eastAsia="zh-CN"/>
              </w:rPr>
              <w:t>租赁协议</w:t>
            </w:r>
            <w:r>
              <w:rPr>
                <w:rFonts w:hint="eastAsia" w:ascii="宋体" w:hAnsi="宋体" w:cs="宋体"/>
                <w:b/>
                <w:bCs/>
                <w:color w:val="auto"/>
                <w:sz w:val="24"/>
                <w:szCs w:val="24"/>
                <w:highlight w:val="none"/>
                <w:lang w:val="en-US" w:eastAsia="zh-CN"/>
              </w:rPr>
              <w:t>为准</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未提供不得分。</w:t>
            </w:r>
          </w:p>
        </w:tc>
      </w:tr>
      <w:tr w14:paraId="4DA7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239" w:type="dxa"/>
            <w:vMerge w:val="continue"/>
            <w:noWrap w:val="0"/>
            <w:vAlign w:val="center"/>
          </w:tcPr>
          <w:p w14:paraId="270B52E1">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continue"/>
            <w:noWrap w:val="0"/>
            <w:vAlign w:val="center"/>
          </w:tcPr>
          <w:p w14:paraId="645F64BD">
            <w:pPr>
              <w:pStyle w:val="55"/>
              <w:keepNext w:val="0"/>
              <w:keepLines w:val="0"/>
              <w:pageBreakBefore w:val="0"/>
              <w:kinsoku/>
              <w:wordWrap/>
              <w:overflowPunct/>
              <w:topLinePunct w:val="0"/>
              <w:bidi w:val="0"/>
              <w:spacing w:line="360" w:lineRule="exact"/>
              <w:ind w:left="0" w:leftChars="0" w:firstLine="0" w:firstLineChars="0"/>
              <w:textAlignment w:val="auto"/>
              <w:rPr>
                <w:rFonts w:hint="eastAsia" w:ascii="宋体" w:hAnsi="宋体" w:eastAsia="宋体" w:cs="宋体"/>
                <w:b w:val="0"/>
                <w:bCs w:val="0"/>
                <w:color w:val="auto"/>
                <w:kern w:val="0"/>
                <w:sz w:val="24"/>
                <w:szCs w:val="24"/>
                <w:highlight w:val="none"/>
                <w:lang w:val="en-US" w:eastAsia="zh-CN"/>
              </w:rPr>
            </w:pPr>
          </w:p>
        </w:tc>
        <w:tc>
          <w:tcPr>
            <w:tcW w:w="6936" w:type="dxa"/>
            <w:noWrap w:val="0"/>
            <w:vAlign w:val="center"/>
          </w:tcPr>
          <w:p w14:paraId="48343860">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供应商的仓储能力还应具备以下条件，包含（但不限于）以下内容：</w:t>
            </w:r>
          </w:p>
          <w:p w14:paraId="5C93A92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①库存环境真实地址、照片（需体现出库存环境的清洁与卫生；防鼠防虫；库存是否做防潮、防霉变及分类储存情况等）；②详细数量清单（库存量、进货单或发票）等。</w:t>
            </w:r>
          </w:p>
          <w:p w14:paraId="3F6C210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仓储能力完全满足本项目采购需求的得5分；基本满足采购需求得3分，仓储环境有待改善的得1分。未提供证明材料不得分。</w:t>
            </w:r>
          </w:p>
        </w:tc>
      </w:tr>
      <w:tr w14:paraId="6A64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7" w:hRule="atLeast"/>
          <w:jc w:val="center"/>
        </w:trPr>
        <w:tc>
          <w:tcPr>
            <w:tcW w:w="1239" w:type="dxa"/>
            <w:vMerge w:val="continue"/>
            <w:noWrap w:val="0"/>
            <w:vAlign w:val="center"/>
          </w:tcPr>
          <w:p w14:paraId="65ABA83F">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37A15399">
            <w:pPr>
              <w:keepNext w:val="0"/>
              <w:keepLines w:val="0"/>
              <w:pageBreakBefore w:val="0"/>
              <w:widowControl/>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4.</w:t>
            </w:r>
            <w:r>
              <w:rPr>
                <w:rFonts w:hint="eastAsia" w:ascii="宋体" w:hAnsi="宋体" w:cs="宋体"/>
                <w:b w:val="0"/>
                <w:bCs w:val="0"/>
                <w:color w:val="auto"/>
                <w:kern w:val="0"/>
                <w:sz w:val="24"/>
                <w:szCs w:val="24"/>
                <w:highlight w:val="none"/>
                <w:lang w:val="en-US" w:eastAsia="zh-CN"/>
              </w:rPr>
              <w:t>质量保障措施</w:t>
            </w:r>
            <w:r>
              <w:rPr>
                <w:rFonts w:hint="eastAsia" w:ascii="宋体" w:hAnsi="宋体" w:eastAsia="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8</w:t>
            </w:r>
            <w:r>
              <w:rPr>
                <w:rFonts w:hint="eastAsia" w:ascii="宋体" w:hAnsi="宋体" w:eastAsia="宋体" w:cs="宋体"/>
                <w:b w:val="0"/>
                <w:bCs w:val="0"/>
                <w:color w:val="auto"/>
                <w:kern w:val="0"/>
                <w:sz w:val="24"/>
                <w:szCs w:val="24"/>
                <w:highlight w:val="none"/>
                <w:lang w:val="en-US" w:eastAsia="zh-CN"/>
              </w:rPr>
              <w:t>分）</w:t>
            </w:r>
          </w:p>
        </w:tc>
        <w:tc>
          <w:tcPr>
            <w:tcW w:w="6936" w:type="dxa"/>
            <w:noWrap w:val="0"/>
            <w:vAlign w:val="center"/>
          </w:tcPr>
          <w:p w14:paraId="7BF61DF5">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根据供应商提供的质量保障措施进行评审，包括</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=1\*GB3\*MERGEFORMAT</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fldChar w:fldCharType="end"/>
            </w:r>
            <w:r>
              <w:rPr>
                <w:rFonts w:hint="eastAsia" w:ascii="宋体" w:hAnsi="宋体" w:eastAsia="宋体" w:cs="宋体"/>
                <w:color w:val="auto"/>
                <w:sz w:val="24"/>
                <w:szCs w:val="24"/>
                <w:highlight w:val="none"/>
                <w:lang w:val="en-US" w:eastAsia="zh-CN"/>
              </w:rPr>
              <w:t>货源渠道；②防伪追溯</w:t>
            </w:r>
            <w:r>
              <w:rPr>
                <w:rFonts w:hint="eastAsia" w:ascii="宋体" w:hAnsi="宋体" w:cs="宋体"/>
                <w:color w:val="auto"/>
                <w:sz w:val="24"/>
                <w:szCs w:val="24"/>
                <w:highlight w:val="none"/>
                <w:lang w:val="en-US" w:eastAsia="zh-CN"/>
              </w:rPr>
              <w:t>。</w:t>
            </w:r>
          </w:p>
          <w:p w14:paraId="43C12EAC">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方案措施具体详实，货源渠道正规稳定、可溯源性强，防伪追溯体系健全完善、管控严密、可落地性高，整体方案可行性、针对性强，内容完整规范，完全满足本次采购需求的得8分；</w:t>
            </w:r>
          </w:p>
          <w:p w14:paraId="7A03611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方案有较为具体的实施保障措施，货源渠道、防伪追溯两项内容齐全、表述清晰、基本合理，整体方案具备可实施性，能够基本满足本次采购需求的得5分；</w:t>
            </w:r>
          </w:p>
          <w:p w14:paraId="06112FE1">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方案内容简略笼统，货源渠道、防伪追溯相关内容完整性不足，措施模糊、缺乏细节支撑，方案合理性、可行性较差，无法有效保障采购质量的得3分；</w:t>
            </w:r>
          </w:p>
          <w:p w14:paraId="4D7517DE">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方案简单、缺项，缺乏核心内容的得1分。</w:t>
            </w:r>
          </w:p>
          <w:p w14:paraId="1C38C5D8">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color w:val="auto"/>
                <w:highlight w:val="none"/>
                <w:lang w:val="en-US" w:eastAsia="zh-CN"/>
              </w:rPr>
            </w:pPr>
            <w:r>
              <w:rPr>
                <w:rFonts w:hint="eastAsia" w:ascii="宋体" w:hAnsi="宋体" w:cs="宋体"/>
                <w:color w:val="auto"/>
                <w:sz w:val="24"/>
                <w:szCs w:val="24"/>
                <w:highlight w:val="none"/>
                <w:lang w:val="en-US" w:eastAsia="zh-CN"/>
              </w:rPr>
              <w:t>未提供方案的得0分。</w:t>
            </w:r>
          </w:p>
        </w:tc>
      </w:tr>
      <w:tr w14:paraId="253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239" w:type="dxa"/>
            <w:vMerge w:val="restart"/>
            <w:noWrap w:val="0"/>
            <w:vAlign w:val="center"/>
          </w:tcPr>
          <w:p w14:paraId="6CD3009F">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商务评价</w:t>
            </w:r>
          </w:p>
          <w:p w14:paraId="78A2E464">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12</w:t>
            </w:r>
            <w:r>
              <w:rPr>
                <w:rFonts w:hint="eastAsia" w:ascii="宋体" w:hAnsi="宋体" w:eastAsia="宋体" w:cs="宋体"/>
                <w:b w:val="0"/>
                <w:bCs w:val="0"/>
                <w:color w:val="auto"/>
                <w:sz w:val="24"/>
                <w:szCs w:val="24"/>
                <w:highlight w:val="none"/>
                <w:lang w:eastAsia="zh-CN"/>
              </w:rPr>
              <w:t>分)</w:t>
            </w:r>
          </w:p>
        </w:tc>
        <w:tc>
          <w:tcPr>
            <w:tcW w:w="1473" w:type="dxa"/>
            <w:tcBorders>
              <w:top w:val="single" w:color="auto" w:sz="4" w:space="0"/>
            </w:tcBorders>
            <w:noWrap w:val="0"/>
            <w:vAlign w:val="center"/>
          </w:tcPr>
          <w:p w14:paraId="076DD506">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类似业绩（6分）</w:t>
            </w:r>
          </w:p>
        </w:tc>
        <w:tc>
          <w:tcPr>
            <w:tcW w:w="6936" w:type="dxa"/>
            <w:noWrap w:val="0"/>
            <w:vAlign w:val="center"/>
          </w:tcPr>
          <w:p w14:paraId="0619FD29">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自2023年01月01日以来(以合同文件为准）具有的类似项目，每提供一份得2分，最多得6分。</w:t>
            </w:r>
          </w:p>
          <w:p w14:paraId="51F59F78">
            <w:pPr>
              <w:pStyle w:val="6"/>
              <w:pageBreakBefore w:val="0"/>
              <w:kinsoku/>
              <w:wordWrap/>
              <w:overflowPunct/>
              <w:topLinePunct w:val="0"/>
              <w:autoSpaceDE/>
              <w:autoSpaceDN/>
              <w:bidi w:val="0"/>
              <w:adjustRightInd/>
              <w:spacing w:before="0" w:after="0"/>
              <w:textAlignment w:val="auto"/>
              <w:rPr>
                <w:rFonts w:hint="default"/>
                <w:color w:val="auto"/>
                <w:lang w:val="en-US" w:eastAsia="zh-CN"/>
              </w:rPr>
            </w:pPr>
            <w:r>
              <w:rPr>
                <w:rFonts w:hint="eastAsia" w:ascii="宋体" w:hAnsi="宋体" w:eastAsia="宋体" w:cs="宋体"/>
                <w:b/>
                <w:bCs/>
                <w:color w:val="auto"/>
                <w:kern w:val="2"/>
                <w:sz w:val="24"/>
                <w:szCs w:val="24"/>
                <w:highlight w:val="none"/>
                <w:lang w:val="en-US" w:eastAsia="zh-CN" w:bidi="ar-SA"/>
              </w:rPr>
              <w:t>注：类似业绩指纸尿裤类。</w:t>
            </w:r>
          </w:p>
        </w:tc>
      </w:tr>
      <w:tr w14:paraId="5F29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9" w:type="dxa"/>
            <w:vMerge w:val="continue"/>
            <w:noWrap w:val="0"/>
            <w:vAlign w:val="center"/>
          </w:tcPr>
          <w:p w14:paraId="4C7124A4">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p>
        </w:tc>
        <w:tc>
          <w:tcPr>
            <w:tcW w:w="1473" w:type="dxa"/>
            <w:noWrap w:val="0"/>
            <w:vAlign w:val="center"/>
          </w:tcPr>
          <w:p w14:paraId="298E2EE0">
            <w:pPr>
              <w:keepNext w:val="0"/>
              <w:keepLines w:val="0"/>
              <w:pageBreakBefore w:val="0"/>
              <w:kinsoku/>
              <w:wordWrap/>
              <w:overflowPunct/>
              <w:topLinePunct w:val="0"/>
              <w:bidi w:val="0"/>
              <w:snapToGrid w:val="0"/>
              <w:spacing w:line="360" w:lineRule="exact"/>
              <w:jc w:val="center"/>
              <w:textAlignment w:val="auto"/>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2.</w:t>
            </w:r>
            <w:r>
              <w:rPr>
                <w:rFonts w:hint="eastAsia" w:ascii="宋体" w:hAnsi="宋体" w:eastAsia="宋体" w:cs="宋体"/>
                <w:b w:val="0"/>
                <w:bCs w:val="0"/>
                <w:color w:val="auto"/>
                <w:kern w:val="2"/>
                <w:sz w:val="24"/>
                <w:szCs w:val="24"/>
                <w:highlight w:val="none"/>
                <w:lang w:val="en-US" w:eastAsia="zh-CN"/>
              </w:rPr>
              <w:t>售后服务</w:t>
            </w:r>
            <w:r>
              <w:rPr>
                <w:rFonts w:hint="eastAsia" w:ascii="宋体" w:hAnsi="宋体" w:cs="宋体"/>
                <w:b w:val="0"/>
                <w:bCs w:val="0"/>
                <w:color w:val="auto"/>
                <w:kern w:val="2"/>
                <w:sz w:val="24"/>
                <w:szCs w:val="24"/>
                <w:highlight w:val="none"/>
                <w:lang w:val="en-US" w:eastAsia="zh-CN"/>
              </w:rPr>
              <w:t>方案</w:t>
            </w:r>
          </w:p>
          <w:p w14:paraId="68067DC2">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w:t>
            </w:r>
            <w:r>
              <w:rPr>
                <w:rFonts w:hint="eastAsia" w:ascii="宋体" w:hAnsi="宋体" w:cs="宋体"/>
                <w:b w:val="0"/>
                <w:bCs w:val="0"/>
                <w:color w:val="auto"/>
                <w:kern w:val="2"/>
                <w:sz w:val="24"/>
                <w:szCs w:val="24"/>
                <w:highlight w:val="none"/>
                <w:lang w:val="en-US" w:eastAsia="zh-CN"/>
              </w:rPr>
              <w:t>6</w:t>
            </w:r>
            <w:r>
              <w:rPr>
                <w:rFonts w:hint="eastAsia" w:ascii="宋体" w:hAnsi="宋体" w:eastAsia="宋体" w:cs="宋体"/>
                <w:b w:val="0"/>
                <w:bCs w:val="0"/>
                <w:color w:val="auto"/>
                <w:kern w:val="2"/>
                <w:sz w:val="24"/>
                <w:szCs w:val="24"/>
                <w:highlight w:val="none"/>
                <w:lang w:val="en-US" w:eastAsia="zh-CN"/>
              </w:rPr>
              <w:t>分）</w:t>
            </w:r>
          </w:p>
        </w:tc>
        <w:tc>
          <w:tcPr>
            <w:tcW w:w="6936" w:type="dxa"/>
            <w:noWrap w:val="0"/>
            <w:vAlign w:val="center"/>
          </w:tcPr>
          <w:p w14:paraId="4D965EFB">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根据供应商售后服务方案情况进行打分：</w:t>
            </w:r>
          </w:p>
          <w:p w14:paraId="76E294F3">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①售后服务流程；②售后服务人员；③响应时效性及承诺；④退换货条件及相应流程、处理时效性。</w:t>
            </w:r>
          </w:p>
          <w:p w14:paraId="7021B8FA">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售后服务</w:t>
            </w:r>
            <w:r>
              <w:rPr>
                <w:rFonts w:hint="eastAsia" w:ascii="宋体" w:hAnsi="宋体" w:cs="宋体"/>
                <w:b w:val="0"/>
                <w:bCs w:val="0"/>
                <w:color w:val="auto"/>
                <w:kern w:val="2"/>
                <w:sz w:val="24"/>
                <w:szCs w:val="24"/>
                <w:highlight w:val="none"/>
                <w:lang w:val="en-US" w:eastAsia="zh-CN"/>
              </w:rPr>
              <w:t>方案</w:t>
            </w:r>
            <w:r>
              <w:rPr>
                <w:rFonts w:hint="eastAsia" w:ascii="宋体" w:hAnsi="宋体" w:eastAsia="宋体" w:cs="宋体"/>
                <w:b w:val="0"/>
                <w:bCs w:val="0"/>
                <w:color w:val="auto"/>
                <w:sz w:val="24"/>
                <w:szCs w:val="24"/>
                <w:highlight w:val="none"/>
                <w:lang w:val="en-US" w:eastAsia="zh-CN"/>
              </w:rPr>
              <w:t>符合本项目特点，</w:t>
            </w:r>
            <w:r>
              <w:rPr>
                <w:rFonts w:hint="eastAsia" w:ascii="宋体" w:hAnsi="宋体" w:eastAsia="宋体" w:cs="宋体"/>
                <w:color w:val="auto"/>
                <w:sz w:val="24"/>
                <w:szCs w:val="24"/>
                <w:highlight w:val="none"/>
                <w:lang w:val="en-US" w:eastAsia="zh-CN"/>
              </w:rPr>
              <w:t>方案具体详实</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服务计划</w:t>
            </w:r>
            <w:r>
              <w:rPr>
                <w:rFonts w:hint="eastAsia" w:ascii="宋体" w:hAnsi="宋体" w:eastAsia="宋体" w:cs="宋体"/>
                <w:b w:val="0"/>
                <w:bCs w:val="0"/>
                <w:color w:val="auto"/>
                <w:sz w:val="24"/>
                <w:szCs w:val="24"/>
                <w:highlight w:val="none"/>
                <w:lang w:val="en-US" w:eastAsia="zh-CN"/>
              </w:rPr>
              <w:t>完善可行性强得</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分。</w:t>
            </w:r>
          </w:p>
          <w:p w14:paraId="71C16E46">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售后服务</w:t>
            </w:r>
            <w:r>
              <w:rPr>
                <w:rFonts w:hint="eastAsia" w:ascii="宋体" w:hAnsi="宋体" w:cs="宋体"/>
                <w:b w:val="0"/>
                <w:bCs w:val="0"/>
                <w:color w:val="auto"/>
                <w:kern w:val="2"/>
                <w:sz w:val="24"/>
                <w:szCs w:val="24"/>
                <w:highlight w:val="none"/>
                <w:lang w:val="en-US" w:eastAsia="zh-CN"/>
              </w:rPr>
              <w:t>方案</w:t>
            </w:r>
            <w:r>
              <w:rPr>
                <w:rFonts w:hint="eastAsia" w:ascii="宋体" w:hAnsi="宋体" w:eastAsia="宋体" w:cs="宋体"/>
                <w:b w:val="0"/>
                <w:bCs w:val="0"/>
                <w:color w:val="auto"/>
                <w:sz w:val="24"/>
                <w:szCs w:val="24"/>
                <w:highlight w:val="none"/>
                <w:lang w:val="en-US" w:eastAsia="zh-CN"/>
              </w:rPr>
              <w:t>基本符合本项目特点，有具体的</w:t>
            </w:r>
            <w:r>
              <w:rPr>
                <w:rFonts w:hint="eastAsia" w:ascii="宋体" w:hAnsi="宋体" w:eastAsia="宋体" w:cs="宋体"/>
                <w:color w:val="auto"/>
                <w:sz w:val="24"/>
                <w:szCs w:val="24"/>
                <w:highlight w:val="none"/>
                <w:lang w:val="en-US" w:eastAsia="zh-CN"/>
              </w:rPr>
              <w:t>方案</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服务计划</w:t>
            </w:r>
            <w:r>
              <w:rPr>
                <w:rFonts w:hint="eastAsia" w:ascii="宋体" w:hAnsi="宋体" w:eastAsia="宋体" w:cs="宋体"/>
                <w:b w:val="0"/>
                <w:bCs w:val="0"/>
                <w:color w:val="auto"/>
                <w:sz w:val="24"/>
                <w:szCs w:val="24"/>
                <w:highlight w:val="none"/>
                <w:lang w:val="en-US" w:eastAsia="zh-CN"/>
              </w:rPr>
              <w:t>可行性一般得</w:t>
            </w: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分；</w:t>
            </w:r>
          </w:p>
          <w:p w14:paraId="396DD183">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售后服务</w:t>
            </w:r>
            <w:r>
              <w:rPr>
                <w:rFonts w:hint="eastAsia" w:ascii="宋体" w:hAnsi="宋体" w:cs="宋体"/>
                <w:b w:val="0"/>
                <w:bCs w:val="0"/>
                <w:color w:val="auto"/>
                <w:kern w:val="2"/>
                <w:sz w:val="24"/>
                <w:szCs w:val="24"/>
                <w:highlight w:val="none"/>
                <w:lang w:val="en-US" w:eastAsia="zh-CN"/>
              </w:rPr>
              <w:t>方案</w:t>
            </w:r>
            <w:r>
              <w:rPr>
                <w:rFonts w:hint="eastAsia" w:ascii="宋体" w:hAnsi="宋体" w:eastAsia="宋体" w:cs="宋体"/>
                <w:b w:val="0"/>
                <w:bCs w:val="0"/>
                <w:color w:val="auto"/>
                <w:sz w:val="24"/>
                <w:szCs w:val="24"/>
                <w:highlight w:val="none"/>
                <w:lang w:val="en-US" w:eastAsia="zh-CN"/>
              </w:rPr>
              <w:t>不能完全符合满足本项目特点，方案偏离项目需求、</w:t>
            </w:r>
            <w:r>
              <w:rPr>
                <w:rFonts w:hint="eastAsia" w:ascii="宋体" w:hAnsi="宋体" w:eastAsia="宋体" w:cs="宋体"/>
                <w:b w:val="0"/>
                <w:bCs w:val="0"/>
                <w:color w:val="auto"/>
                <w:kern w:val="2"/>
                <w:sz w:val="24"/>
                <w:szCs w:val="24"/>
                <w:highlight w:val="none"/>
                <w:lang w:val="en-US" w:eastAsia="zh-CN"/>
              </w:rPr>
              <w:t>服务计划</w:t>
            </w:r>
            <w:r>
              <w:rPr>
                <w:rFonts w:hint="eastAsia" w:ascii="宋体" w:hAnsi="宋体" w:eastAsia="宋体" w:cs="宋体"/>
                <w:b w:val="0"/>
                <w:bCs w:val="0"/>
                <w:color w:val="auto"/>
                <w:sz w:val="24"/>
                <w:szCs w:val="24"/>
                <w:highlight w:val="none"/>
                <w:lang w:val="en-US" w:eastAsia="zh-CN"/>
              </w:rPr>
              <w:t>可行性差得1分；</w:t>
            </w:r>
          </w:p>
          <w:p w14:paraId="7C694A37">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缺项得0分</w:t>
            </w:r>
            <w:r>
              <w:rPr>
                <w:rFonts w:hint="eastAsia" w:ascii="宋体" w:hAnsi="宋体" w:eastAsia="宋体" w:cs="宋体"/>
                <w:b w:val="0"/>
                <w:bCs w:val="0"/>
                <w:color w:val="auto"/>
                <w:sz w:val="24"/>
                <w:szCs w:val="24"/>
                <w:highlight w:val="none"/>
                <w:lang w:val="en-US" w:eastAsia="zh-CN"/>
              </w:rPr>
              <w:t>。</w:t>
            </w:r>
          </w:p>
        </w:tc>
      </w:tr>
      <w:tr w14:paraId="3BEB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239" w:type="dxa"/>
            <w:noWrap w:val="0"/>
            <w:vAlign w:val="top"/>
          </w:tcPr>
          <w:p w14:paraId="72BBE8EE">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得分的计算</w:t>
            </w:r>
          </w:p>
        </w:tc>
        <w:tc>
          <w:tcPr>
            <w:tcW w:w="8409" w:type="dxa"/>
            <w:gridSpan w:val="2"/>
            <w:noWrap w:val="0"/>
            <w:vAlign w:val="center"/>
          </w:tcPr>
          <w:p w14:paraId="38A897CC">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成员评分=各项评分因素的汇总得分。</w:t>
            </w:r>
          </w:p>
          <w:p w14:paraId="1982F070">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总得分=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所有成员合计评分/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组成人员数。</w:t>
            </w:r>
          </w:p>
        </w:tc>
      </w:tr>
    </w:tbl>
    <w:p w14:paraId="4E420F4F">
      <w:pPr>
        <w:rPr>
          <w:rFonts w:hint="eastAsia" w:ascii="宋体" w:hAnsi="宋体" w:eastAsia="宋体" w:cs="宋体"/>
          <w:b/>
          <w:color w:val="auto"/>
          <w:highlight w:val="none"/>
        </w:rPr>
      </w:pPr>
    </w:p>
    <w:p w14:paraId="6FAD3FD6">
      <w:pPr>
        <w:outlineLvl w:val="9"/>
        <w:rPr>
          <w:rFonts w:hint="eastAsia" w:ascii="宋体" w:hAnsi="宋体" w:eastAsia="宋体" w:cs="宋体"/>
          <w:b/>
          <w:color w:val="auto"/>
          <w:highlight w:val="none"/>
        </w:rPr>
      </w:pPr>
    </w:p>
    <w:p w14:paraId="3FEC0717">
      <w:pPr>
        <w:outlineLvl w:val="9"/>
        <w:rPr>
          <w:rFonts w:hint="eastAsia"/>
          <w:color w:val="auto"/>
        </w:rPr>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p>
    <w:bookmarkEnd w:id="37"/>
    <w:p w14:paraId="2CCD7513">
      <w:pPr>
        <w:rPr>
          <w:rFonts w:hint="eastAsia" w:ascii="宋体" w:hAnsi="宋体" w:eastAsia="宋体" w:cs="宋体"/>
          <w:color w:val="auto"/>
          <w:highlight w:val="none"/>
        </w:rPr>
      </w:pPr>
      <w:bookmarkStart w:id="39" w:name="_Toc1482"/>
      <w:bookmarkStart w:id="40" w:name="_Toc1947"/>
      <w:bookmarkStart w:id="41" w:name="_Toc326786897"/>
      <w:bookmarkStart w:id="42" w:name="_Toc256519703"/>
    </w:p>
    <w:p w14:paraId="5A0BE0D1">
      <w:pPr>
        <w:pStyle w:val="2"/>
        <w:snapToGrid w:val="0"/>
        <w:spacing w:before="0" w:after="0" w:line="480" w:lineRule="auto"/>
        <w:jc w:val="center"/>
        <w:rPr>
          <w:rFonts w:hint="eastAsia" w:ascii="宋体" w:hAnsi="宋体" w:eastAsia="宋体" w:cs="宋体"/>
          <w:color w:val="auto"/>
          <w:sz w:val="28"/>
          <w:szCs w:val="28"/>
          <w:highlight w:val="none"/>
        </w:rPr>
      </w:pPr>
      <w:bookmarkStart w:id="43" w:name="_Toc11904"/>
      <w:r>
        <w:rPr>
          <w:rFonts w:hint="eastAsia" w:ascii="宋体" w:hAnsi="宋体" w:eastAsia="宋体" w:cs="宋体"/>
          <w:color w:val="auto"/>
          <w:sz w:val="28"/>
          <w:szCs w:val="28"/>
          <w:highlight w:val="none"/>
        </w:rPr>
        <w:t>第五章  采购合同</w:t>
      </w:r>
      <w:bookmarkEnd w:id="43"/>
    </w:p>
    <w:p w14:paraId="7203F7C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rPr>
          <w:rFonts w:hint="eastAsia" w:ascii="宋体" w:hAnsi="宋体" w:eastAsia="宋体" w:cs="宋体"/>
          <w:color w:val="auto"/>
          <w:sz w:val="32"/>
          <w:szCs w:val="32"/>
          <w:highlight w:val="none"/>
        </w:rPr>
      </w:pPr>
    </w:p>
    <w:p w14:paraId="4150DA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4F83DAA">
      <w:pPr>
        <w:pStyle w:val="31"/>
        <w:rPr>
          <w:rFonts w:hint="eastAsia" w:ascii="宋体" w:hAnsi="宋体" w:eastAsia="宋体" w:cs="宋体"/>
          <w:color w:val="auto"/>
          <w:highlight w:val="none"/>
        </w:rPr>
      </w:pPr>
    </w:p>
    <w:p w14:paraId="30EBB8A6">
      <w:pPr>
        <w:pStyle w:val="2"/>
        <w:jc w:val="center"/>
        <w:rPr>
          <w:rFonts w:hint="eastAsia" w:ascii="宋体" w:hAnsi="宋体" w:eastAsia="宋体" w:cs="宋体"/>
          <w:color w:val="auto"/>
          <w:kern w:val="0"/>
          <w:highlight w:val="none"/>
        </w:rPr>
      </w:pPr>
      <w:bookmarkStart w:id="44" w:name="_Toc18702"/>
      <w:r>
        <w:rPr>
          <w:rFonts w:hint="eastAsia" w:ascii="宋体" w:hAnsi="宋体" w:eastAsia="宋体" w:cs="宋体"/>
          <w:color w:val="auto"/>
          <w:sz w:val="32"/>
          <w:szCs w:val="32"/>
          <w:highlight w:val="none"/>
        </w:rPr>
        <w:t xml:space="preserve">第六章  </w:t>
      </w:r>
      <w:r>
        <w:rPr>
          <w:rFonts w:hint="eastAsia" w:ascii="宋体" w:hAnsi="宋体" w:eastAsia="宋体" w:cs="宋体"/>
          <w:color w:val="auto"/>
          <w:sz w:val="32"/>
          <w:szCs w:val="32"/>
          <w:highlight w:val="none"/>
          <w:lang w:val="en-US" w:eastAsia="zh-CN"/>
        </w:rPr>
        <w:t>响应</w:t>
      </w:r>
      <w:r>
        <w:rPr>
          <w:rFonts w:hint="eastAsia" w:ascii="宋体" w:hAnsi="宋体" w:eastAsia="宋体" w:cs="宋体"/>
          <w:color w:val="auto"/>
          <w:sz w:val="32"/>
          <w:szCs w:val="32"/>
          <w:highlight w:val="none"/>
        </w:rPr>
        <w:t>文件格式</w:t>
      </w:r>
      <w:bookmarkEnd w:id="39"/>
      <w:bookmarkEnd w:id="40"/>
      <w:bookmarkEnd w:id="44"/>
    </w:p>
    <w:p w14:paraId="5164A6B6">
      <w:pPr>
        <w:spacing w:line="440" w:lineRule="exact"/>
        <w:rPr>
          <w:rFonts w:hint="eastAsia" w:ascii="宋体" w:hAnsi="宋体" w:eastAsia="宋体" w:cs="宋体"/>
          <w:color w:val="auto"/>
          <w:sz w:val="24"/>
          <w:highlight w:val="none"/>
        </w:rPr>
      </w:pPr>
    </w:p>
    <w:p w14:paraId="1238A038">
      <w:pPr>
        <w:jc w:val="center"/>
        <w:rPr>
          <w:rFonts w:hint="eastAsia" w:ascii="宋体" w:hAnsi="宋体" w:eastAsia="宋体" w:cs="宋体"/>
          <w:b/>
          <w:bCs/>
          <w:color w:val="auto"/>
          <w:sz w:val="32"/>
          <w:szCs w:val="32"/>
          <w:highlight w:val="none"/>
        </w:rPr>
      </w:pPr>
      <w:bookmarkStart w:id="45" w:name="_Toc13604"/>
      <w:r>
        <w:rPr>
          <w:rFonts w:hint="eastAsia" w:ascii="宋体" w:hAnsi="宋体" w:eastAsia="宋体" w:cs="宋体"/>
          <w:b/>
          <w:bCs/>
          <w:color w:val="auto"/>
          <w:sz w:val="32"/>
          <w:szCs w:val="32"/>
          <w:highlight w:val="none"/>
        </w:rPr>
        <w:t>目    录</w:t>
      </w:r>
      <w:bookmarkEnd w:id="45"/>
    </w:p>
    <w:p w14:paraId="3DEA2778">
      <w:pPr>
        <w:widowControl/>
        <w:wordWrap w:val="0"/>
        <w:spacing w:line="460" w:lineRule="exact"/>
        <w:ind w:firstLine="480" w:firstLineChars="200"/>
        <w:jc w:val="left"/>
        <w:rPr>
          <w:rFonts w:hint="eastAsia" w:ascii="宋体" w:hAnsi="宋体" w:eastAsia="宋体" w:cs="宋体"/>
          <w:color w:val="auto"/>
          <w:kern w:val="0"/>
          <w:sz w:val="24"/>
          <w:highlight w:val="none"/>
        </w:rPr>
      </w:pPr>
    </w:p>
    <w:p w14:paraId="535B7753">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6"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46"/>
    </w:p>
    <w:p w14:paraId="191106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7" w:name="_Toc25345"/>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47"/>
    </w:p>
    <w:p w14:paraId="6ABD8428">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8"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48"/>
    </w:p>
    <w:p w14:paraId="734C82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49" w:name="_Toc9579"/>
      <w:r>
        <w:rPr>
          <w:rFonts w:hint="eastAsia" w:ascii="宋体" w:hAnsi="宋体" w:eastAsia="宋体" w:cs="宋体"/>
          <w:color w:val="auto"/>
          <w:sz w:val="24"/>
          <w:highlight w:val="none"/>
        </w:rPr>
        <w:t xml:space="preserve">附件4 </w:t>
      </w:r>
      <w:bookmarkEnd w:id="49"/>
      <w:r>
        <w:rPr>
          <w:rFonts w:hint="eastAsia" w:ascii="宋体" w:hAnsi="宋体" w:eastAsia="宋体" w:cs="宋体"/>
          <w:color w:val="auto"/>
          <w:sz w:val="24"/>
          <w:highlight w:val="none"/>
          <w:lang w:val="en-US" w:eastAsia="zh-CN"/>
        </w:rPr>
        <w:t>报价明细表（格式）</w:t>
      </w:r>
    </w:p>
    <w:p w14:paraId="03576EA7">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50"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bookmarkEnd w:id="50"/>
      <w:r>
        <w:rPr>
          <w:rFonts w:hint="eastAsia" w:ascii="宋体" w:hAnsi="宋体" w:eastAsia="宋体" w:cs="宋体"/>
          <w:color w:val="auto"/>
          <w:sz w:val="24"/>
          <w:highlight w:val="none"/>
          <w:lang w:val="en-US" w:eastAsia="zh-CN"/>
        </w:rPr>
        <w:t>表（格式）</w:t>
      </w:r>
    </w:p>
    <w:p w14:paraId="200B8AF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eastAsia="zh-CN"/>
        </w:rPr>
      </w:pPr>
      <w:bookmarkStart w:id="51" w:name="_Toc6234"/>
      <w:r>
        <w:rPr>
          <w:rFonts w:hint="eastAsia" w:ascii="宋体" w:hAnsi="宋体" w:eastAsia="宋体" w:cs="宋体"/>
          <w:color w:val="auto"/>
          <w:sz w:val="24"/>
          <w:highlight w:val="none"/>
        </w:rPr>
        <w:t>附件6 商务</w:t>
      </w:r>
      <w:bookmarkEnd w:id="51"/>
      <w:r>
        <w:rPr>
          <w:rFonts w:hint="eastAsia" w:ascii="宋体" w:hAnsi="宋体" w:eastAsia="宋体" w:cs="宋体"/>
          <w:color w:val="auto"/>
          <w:sz w:val="24"/>
          <w:highlight w:val="none"/>
          <w:lang w:val="en-US" w:eastAsia="zh-CN"/>
        </w:rPr>
        <w:t>响应表（格式）</w:t>
      </w:r>
    </w:p>
    <w:p w14:paraId="35F21B36">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2" w:name="_Toc26231"/>
      <w:r>
        <w:rPr>
          <w:rFonts w:hint="eastAsia" w:ascii="宋体" w:hAnsi="宋体" w:eastAsia="宋体" w:cs="宋体"/>
          <w:color w:val="auto"/>
          <w:sz w:val="24"/>
          <w:highlight w:val="none"/>
        </w:rPr>
        <w:t>附件7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52"/>
    </w:p>
    <w:p w14:paraId="0CD3112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3" w:name="_Toc18484"/>
      <w:r>
        <w:rPr>
          <w:rFonts w:hint="eastAsia" w:ascii="宋体" w:hAnsi="宋体" w:eastAsia="宋体" w:cs="宋体"/>
          <w:color w:val="auto"/>
          <w:sz w:val="24"/>
          <w:highlight w:val="none"/>
        </w:rPr>
        <w:t>附件8</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53"/>
    </w:p>
    <w:p w14:paraId="4FFFD47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4" w:name="_Toc31857"/>
      <w:r>
        <w:rPr>
          <w:rFonts w:hint="eastAsia" w:ascii="宋体" w:hAnsi="宋体" w:eastAsia="宋体" w:cs="宋体"/>
          <w:color w:val="auto"/>
          <w:sz w:val="24"/>
          <w:highlight w:val="none"/>
        </w:rPr>
        <w:t>附件9 证明文件</w:t>
      </w:r>
      <w:bookmarkEnd w:id="54"/>
    </w:p>
    <w:p w14:paraId="1E9F0E79">
      <w:pPr>
        <w:snapToGrid w:val="0"/>
        <w:spacing w:line="360" w:lineRule="auto"/>
        <w:ind w:firstLine="480" w:firstLineChars="200"/>
        <w:rPr>
          <w:rFonts w:hint="eastAsia" w:ascii="宋体" w:hAnsi="宋体" w:eastAsia="宋体" w:cs="宋体"/>
          <w:color w:val="auto"/>
          <w:sz w:val="24"/>
          <w:highlight w:val="none"/>
          <w:lang w:val="en-US" w:eastAsia="zh-CN"/>
        </w:rPr>
      </w:pPr>
    </w:p>
    <w:p w14:paraId="63BA1F9E">
      <w:pPr>
        <w:pStyle w:val="31"/>
        <w:rPr>
          <w:rFonts w:hint="eastAsia" w:ascii="宋体" w:hAnsi="宋体" w:eastAsia="宋体" w:cs="宋体"/>
          <w:color w:val="auto"/>
          <w:highlight w:val="none"/>
        </w:rPr>
      </w:pPr>
    </w:p>
    <w:p w14:paraId="174F59C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3"/>
        <w:rPr>
          <w:rFonts w:hint="eastAsia" w:ascii="宋体" w:hAnsi="宋体" w:eastAsia="宋体" w:cs="宋体"/>
          <w:b/>
          <w:bCs/>
          <w:color w:val="auto"/>
          <w:kern w:val="0"/>
          <w:sz w:val="24"/>
          <w:highlight w:val="none"/>
        </w:rPr>
      </w:pPr>
    </w:p>
    <w:p w14:paraId="736844FA">
      <w:pPr>
        <w:pStyle w:val="4"/>
        <w:rPr>
          <w:rFonts w:hint="eastAsia" w:ascii="宋体" w:hAnsi="宋体" w:eastAsia="宋体" w:cs="宋体"/>
          <w:b/>
          <w:bCs/>
          <w:color w:val="auto"/>
          <w:highlight w:val="none"/>
        </w:rPr>
      </w:pPr>
    </w:p>
    <w:p w14:paraId="7C048156">
      <w:pPr>
        <w:pStyle w:val="4"/>
        <w:rPr>
          <w:rFonts w:hint="eastAsia" w:ascii="宋体" w:hAnsi="宋体" w:eastAsia="宋体" w:cs="宋体"/>
          <w:b/>
          <w:bCs/>
          <w:color w:val="auto"/>
          <w:highlight w:val="none"/>
        </w:rPr>
      </w:pPr>
    </w:p>
    <w:p w14:paraId="6EFF072B">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6"/>
        <w:rPr>
          <w:rFonts w:hint="eastAsia" w:ascii="宋体" w:hAnsi="宋体" w:eastAsia="宋体" w:cs="宋体"/>
          <w:color w:val="auto"/>
          <w:highlight w:val="none"/>
        </w:rPr>
      </w:pPr>
    </w:p>
    <w:p w14:paraId="67FE75CD">
      <w:pPr>
        <w:pStyle w:val="6"/>
        <w:keepNext/>
        <w:keepLines/>
        <w:pageBreakBefore w:val="0"/>
        <w:widowControl w:val="0"/>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55" w:name="_Toc24743"/>
      <w:bookmarkStart w:id="56" w:name="_Toc31798"/>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55"/>
      <w:bookmarkEnd w:id="56"/>
    </w:p>
    <w:p w14:paraId="3A0AC99C">
      <w:pPr>
        <w:widowControl/>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p>
    <w:p w14:paraId="37E7F995">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pacing w:line="360" w:lineRule="auto"/>
        <w:rPr>
          <w:rFonts w:hint="eastAsia" w:ascii="宋体" w:hAnsi="宋体" w:eastAsia="宋体" w:cs="宋体"/>
          <w:color w:val="auto"/>
          <w:sz w:val="28"/>
          <w:highlight w:val="none"/>
        </w:rPr>
      </w:pPr>
    </w:p>
    <w:p w14:paraId="596DC1AB">
      <w:pPr>
        <w:pStyle w:val="4"/>
        <w:spacing w:line="360" w:lineRule="auto"/>
        <w:rPr>
          <w:rFonts w:hint="eastAsia" w:ascii="宋体" w:hAnsi="宋体" w:eastAsia="宋体" w:cs="宋体"/>
          <w:color w:val="auto"/>
          <w:highlight w:val="none"/>
        </w:rPr>
      </w:pPr>
    </w:p>
    <w:p w14:paraId="51E48B65">
      <w:pPr>
        <w:pStyle w:val="4"/>
        <w:spacing w:line="360" w:lineRule="auto"/>
        <w:rPr>
          <w:rFonts w:hint="eastAsia" w:ascii="宋体" w:hAnsi="宋体" w:eastAsia="宋体" w:cs="宋体"/>
          <w:color w:val="auto"/>
          <w:highlight w:val="none"/>
        </w:rPr>
      </w:pPr>
    </w:p>
    <w:p w14:paraId="0AF50E0B">
      <w:pPr>
        <w:spacing w:line="360" w:lineRule="auto"/>
        <w:rPr>
          <w:rFonts w:hint="eastAsia" w:ascii="宋体" w:hAnsi="宋体" w:eastAsia="宋体" w:cs="宋体"/>
          <w:color w:val="auto"/>
          <w:sz w:val="28"/>
          <w:highlight w:val="none"/>
        </w:rPr>
      </w:pPr>
    </w:p>
    <w:p w14:paraId="5DD912A3">
      <w:pPr>
        <w:spacing w:line="360" w:lineRule="auto"/>
        <w:rPr>
          <w:rFonts w:hint="eastAsia" w:ascii="宋体" w:hAnsi="宋体" w:eastAsia="宋体" w:cs="宋体"/>
          <w:color w:val="auto"/>
          <w:sz w:val="28"/>
          <w:highlight w:val="none"/>
        </w:rPr>
      </w:pPr>
    </w:p>
    <w:p w14:paraId="5C511D16">
      <w:pPr>
        <w:spacing w:line="360" w:lineRule="auto"/>
        <w:rPr>
          <w:rFonts w:hint="eastAsia" w:ascii="宋体" w:hAnsi="宋体" w:eastAsia="宋体" w:cs="宋体"/>
          <w:color w:val="auto"/>
          <w:sz w:val="28"/>
          <w:highlight w:val="none"/>
        </w:rPr>
      </w:pPr>
    </w:p>
    <w:p w14:paraId="5F7D4E3C">
      <w:pPr>
        <w:spacing w:line="360" w:lineRule="auto"/>
        <w:rPr>
          <w:rFonts w:hint="eastAsia" w:ascii="宋体" w:hAnsi="宋体" w:eastAsia="宋体" w:cs="宋体"/>
          <w:color w:val="auto"/>
          <w:sz w:val="28"/>
          <w:highlight w:val="none"/>
        </w:rPr>
      </w:pPr>
    </w:p>
    <w:p w14:paraId="4A8855A5">
      <w:pPr>
        <w:spacing w:line="360" w:lineRule="auto"/>
        <w:rPr>
          <w:rFonts w:hint="eastAsia" w:ascii="宋体" w:hAnsi="宋体" w:eastAsia="宋体" w:cs="宋体"/>
          <w:color w:val="auto"/>
          <w:sz w:val="28"/>
          <w:highlight w:val="none"/>
        </w:rPr>
      </w:pPr>
    </w:p>
    <w:p w14:paraId="6544AFF1">
      <w:pPr>
        <w:spacing w:line="360" w:lineRule="auto"/>
        <w:rPr>
          <w:rFonts w:hint="eastAsia" w:ascii="宋体" w:hAnsi="宋体" w:eastAsia="宋体" w:cs="宋体"/>
          <w:color w:val="auto"/>
          <w:sz w:val="28"/>
          <w:highlight w:val="none"/>
        </w:rPr>
      </w:pPr>
    </w:p>
    <w:p w14:paraId="26F246B9">
      <w:pP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wordWrap w:val="0"/>
        <w:spacing w:line="460" w:lineRule="exact"/>
        <w:ind w:firstLine="482" w:firstLineChars="200"/>
        <w:jc w:val="left"/>
        <w:rPr>
          <w:rFonts w:hint="eastAsia" w:ascii="宋体" w:hAnsi="宋体" w:eastAsia="宋体" w:cs="宋体"/>
          <w:b/>
          <w:color w:val="auto"/>
          <w:kern w:val="0"/>
          <w:sz w:val="24"/>
          <w:highlight w:val="none"/>
        </w:rPr>
      </w:pPr>
    </w:p>
    <w:p w14:paraId="608C8D96">
      <w:pPr>
        <w:pStyle w:val="3"/>
        <w:rPr>
          <w:rFonts w:hint="eastAsia" w:ascii="宋体" w:hAnsi="宋体" w:eastAsia="宋体" w:cs="宋体"/>
          <w:b/>
          <w:color w:val="auto"/>
          <w:kern w:val="0"/>
          <w:sz w:val="24"/>
          <w:highlight w:val="none"/>
        </w:rPr>
      </w:pPr>
    </w:p>
    <w:p w14:paraId="7B4C1E5E">
      <w:pP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bookmarkEnd w:id="41"/>
    <w:bookmarkEnd w:id="42"/>
    <w:p w14:paraId="7A2FC0EC">
      <w:pPr>
        <w:pStyle w:val="6"/>
        <w:keepNext w:val="0"/>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7" w:name="_Toc8818"/>
      <w:bookmarkStart w:id="58" w:name="_Toc14560"/>
      <w:r>
        <w:rPr>
          <w:rFonts w:hint="eastAsia" w:ascii="宋体" w:hAnsi="宋体" w:eastAsia="宋体" w:cs="宋体"/>
          <w:color w:val="auto"/>
          <w:sz w:val="28"/>
          <w:szCs w:val="28"/>
          <w:highlight w:val="none"/>
          <w:lang w:val="en-US" w:eastAsia="zh-CN"/>
        </w:rPr>
        <w:t>附件2      竞争性磋商响应书（格式）</w:t>
      </w:r>
      <w:bookmarkEnd w:id="57"/>
      <w:bookmarkEnd w:id="58"/>
    </w:p>
    <w:p w14:paraId="3947AC28">
      <w:pPr>
        <w:keepNext w:val="0"/>
        <w:pageBreakBefore w:val="0"/>
        <w:widowControl w:val="0"/>
        <w:wordWrap w:val="0"/>
        <w:overflowPunct/>
        <w:topLinePunct w:val="0"/>
        <w:bidi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cs="宋体"/>
          <w:color w:val="auto"/>
          <w:kern w:val="0"/>
          <w:sz w:val="24"/>
          <w:szCs w:val="24"/>
          <w:highlight w:val="none"/>
          <w:u w:val="single"/>
          <w:lang w:val="en-US" w:eastAsia="zh-CN"/>
        </w:rPr>
        <w:t>驻马店市中心医院</w:t>
      </w:r>
    </w:p>
    <w:p w14:paraId="4525975B">
      <w:pPr>
        <w:pStyle w:val="102"/>
        <w:spacing w:line="360" w:lineRule="auto"/>
        <w:ind w:firstLine="480" w:firstLineChars="200"/>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我方仔细研究</w:t>
      </w:r>
      <w:r>
        <w:rPr>
          <w:rFonts w:hint="eastAsia" w:asciiTheme="minorEastAsia" w:hAnsiTheme="minorEastAsia"/>
          <w:color w:val="auto"/>
          <w:sz w:val="24"/>
          <w:szCs w:val="24"/>
          <w:highlight w:val="none"/>
        </w:rPr>
        <w:t>了</w:t>
      </w:r>
      <w:r>
        <w:rPr>
          <w:rFonts w:hint="eastAsia" w:asciiTheme="minorEastAsia" w:hAnsiTheme="minorEastAsia"/>
          <w:bCs/>
          <w:color w:val="auto"/>
          <w:sz w:val="24"/>
          <w:szCs w:val="24"/>
          <w:highlight w:val="none"/>
          <w:u w:val="single"/>
        </w:rPr>
        <w:t>（项目名称：</w:t>
      </w:r>
      <w:r>
        <w:rPr>
          <w:rFonts w:hint="eastAsia" w:asciiTheme="minorEastAsia" w:hAnsiTheme="minorEastAsia"/>
          <w:bCs/>
          <w:color w:val="auto"/>
          <w:sz w:val="24"/>
          <w:szCs w:val="24"/>
          <w:highlight w:val="none"/>
          <w:u w:val="single"/>
          <w:lang w:val="en-US" w:eastAsia="zh-CN"/>
        </w:rPr>
        <w:t xml:space="preserve">              </w:t>
      </w:r>
      <w:r>
        <w:rPr>
          <w:rFonts w:hint="eastAsia" w:asciiTheme="minorEastAsia" w:hAnsiTheme="minorEastAsia"/>
          <w:bCs/>
          <w:color w:val="auto"/>
          <w:sz w:val="24"/>
          <w:szCs w:val="24"/>
          <w:highlight w:val="none"/>
          <w:u w:val="single"/>
        </w:rPr>
        <w:t>）</w:t>
      </w:r>
      <w:r>
        <w:rPr>
          <w:rFonts w:hint="eastAsia" w:asciiTheme="minorEastAsia" w:hAnsiTheme="minorEastAsia"/>
          <w:color w:val="auto"/>
          <w:sz w:val="24"/>
          <w:szCs w:val="24"/>
          <w:highlight w:val="none"/>
          <w:lang w:val="en-US" w:eastAsia="zh-CN"/>
        </w:rPr>
        <w:t>采</w:t>
      </w:r>
      <w:r>
        <w:rPr>
          <w:rFonts w:hint="eastAsia" w:asciiTheme="minorEastAsia" w:hAnsiTheme="minorEastAsia"/>
          <w:color w:val="auto"/>
          <w:sz w:val="24"/>
          <w:szCs w:val="24"/>
          <w:highlight w:val="none"/>
          <w:lang w:val="en-US" w:eastAsia="zh-CN"/>
        </w:rPr>
        <w:t>购</w:t>
      </w:r>
      <w:r>
        <w:rPr>
          <w:rFonts w:hint="eastAsia" w:asciiTheme="minorEastAsia" w:hAnsiTheme="minorEastAsia"/>
          <w:color w:val="auto"/>
          <w:sz w:val="24"/>
          <w:szCs w:val="24"/>
          <w:highlight w:val="none"/>
        </w:rPr>
        <w:t>文件的全部内容，决定参加该项目的磋商活动并按要求提交响应文件。我们郑重声明以下诸点并负法律责任</w:t>
      </w:r>
      <w:r>
        <w:rPr>
          <w:rFonts w:asciiTheme="minorEastAsia" w:hAnsiTheme="minorEastAsia"/>
          <w:color w:val="auto"/>
          <w:sz w:val="24"/>
          <w:szCs w:val="24"/>
          <w:highlight w:val="none"/>
        </w:rPr>
        <w:t>:</w:t>
      </w:r>
    </w:p>
    <w:p w14:paraId="249BC012">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1、我方愿意向贵方提供任何与本竞争性磋商项目有关的数据、情况和技术资料，并保证其真实、合法、有效</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完整</w:t>
      </w:r>
      <w:r>
        <w:rPr>
          <w:rFonts w:hint="eastAsia" w:ascii="宋体" w:hAnsi="宋体" w:eastAsia="宋体" w:cs="宋体"/>
          <w:color w:val="auto"/>
          <w:kern w:val="0"/>
          <w:sz w:val="24"/>
          <w:szCs w:val="24"/>
          <w:highlight w:val="none"/>
        </w:rPr>
        <w:t>。</w:t>
      </w:r>
    </w:p>
    <w:p w14:paraId="1100F9E0">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、我方</w:t>
      </w:r>
      <w:r>
        <w:rPr>
          <w:rFonts w:hint="eastAsia" w:asciiTheme="minorEastAsia" w:hAnsiTheme="minorEastAsia"/>
          <w:color w:val="auto"/>
          <w:sz w:val="24"/>
          <w:szCs w:val="24"/>
          <w:highlight w:val="none"/>
        </w:rPr>
        <w:t>我方响应文件有效期为自磋商之日</w:t>
      </w:r>
      <w:r>
        <w:rPr>
          <w:rFonts w:hint="eastAsia" w:asciiTheme="minorEastAsia" w:hAnsiTheme="minorEastAsia"/>
          <w:color w:val="auto"/>
          <w:sz w:val="24"/>
          <w:szCs w:val="24"/>
          <w:highlight w:val="none"/>
          <w:u w:val="none"/>
        </w:rPr>
        <w:t>起</w:t>
      </w:r>
      <w:r>
        <w:rPr>
          <w:rFonts w:asciiTheme="minorEastAsia" w:hAnsiTheme="minorEastAsia"/>
          <w:color w:val="auto"/>
          <w:sz w:val="24"/>
          <w:szCs w:val="24"/>
          <w:highlight w:val="none"/>
          <w:u w:val="none"/>
        </w:rPr>
        <w:t>90</w:t>
      </w:r>
      <w:r>
        <w:rPr>
          <w:rFonts w:hint="eastAsia" w:asciiTheme="minorEastAsia" w:hAnsiTheme="minorEastAsia"/>
          <w:color w:val="auto"/>
          <w:sz w:val="24"/>
          <w:szCs w:val="24"/>
          <w:highlight w:val="none"/>
          <w:u w:val="none"/>
        </w:rPr>
        <w:t>天</w:t>
      </w:r>
      <w:r>
        <w:rPr>
          <w:rFonts w:hint="eastAsia" w:asciiTheme="minorEastAsia" w:hAnsiTheme="minorEastAsia"/>
          <w:color w:val="auto"/>
          <w:sz w:val="24"/>
          <w:szCs w:val="24"/>
          <w:highlight w:val="none"/>
          <w:u w:val="none"/>
          <w:lang w:eastAsia="zh-CN"/>
        </w:rPr>
        <w:t>，</w:t>
      </w:r>
      <w:r>
        <w:rPr>
          <w:rFonts w:hint="eastAsia" w:ascii="宋体" w:hAnsi="宋体" w:eastAsia="宋体" w:cs="宋体"/>
          <w:color w:val="auto"/>
          <w:kern w:val="0"/>
          <w:sz w:val="24"/>
          <w:szCs w:val="24"/>
          <w:highlight w:val="none"/>
        </w:rPr>
        <w:t>同意在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文件有效期内遵守本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文件中的承诺且在此期限期满之前均具有约束力。如果我方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文件有效期与合同履行期相同。</w:t>
      </w:r>
    </w:p>
    <w:p w14:paraId="7592BA80">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、我方已详细审查全部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文件，包括修改文件（如有的话）和有关附件，将自行承担因对全部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文件理解不正确或误解而产生的相应后果。</w:t>
      </w:r>
    </w:p>
    <w:p w14:paraId="6042D978">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、我方尊重</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的评</w:t>
      </w:r>
      <w:r>
        <w:rPr>
          <w:rFonts w:hint="eastAsia" w:ascii="宋体" w:hAnsi="宋体" w:eastAsia="宋体" w:cs="宋体"/>
          <w:color w:val="auto"/>
          <w:kern w:val="0"/>
          <w:sz w:val="24"/>
          <w:szCs w:val="24"/>
          <w:highlight w:val="none"/>
          <w:lang w:val="en-US" w:eastAsia="zh-CN"/>
        </w:rPr>
        <w:t>审</w:t>
      </w:r>
      <w:r>
        <w:rPr>
          <w:rFonts w:hint="eastAsia" w:ascii="宋体" w:hAnsi="宋体" w:eastAsia="宋体" w:cs="宋体"/>
          <w:color w:val="auto"/>
          <w:kern w:val="0"/>
          <w:sz w:val="24"/>
          <w:szCs w:val="24"/>
          <w:highlight w:val="none"/>
        </w:rPr>
        <w:t>结果，完全理解本</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项目最低投标价不作为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的保证。</w:t>
      </w:r>
    </w:p>
    <w:p w14:paraId="17751A93">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并缴纳服务费。否则，视为我方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后自动放弃</w:t>
      </w:r>
      <w:r>
        <w:rPr>
          <w:rFonts w:hint="eastAsia" w:ascii="宋体" w:hAnsi="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资格，承担由此引起的一切后果。</w:t>
      </w:r>
    </w:p>
    <w:p w14:paraId="10FBCF4C">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供应商，我方同意在领取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日内</w:t>
      </w:r>
      <w:r>
        <w:rPr>
          <w:rFonts w:hint="eastAsia" w:ascii="宋体" w:hAnsi="宋体" w:eastAsia="宋体" w:cs="宋体"/>
          <w:color w:val="auto"/>
          <w:kern w:val="0"/>
          <w:sz w:val="24"/>
          <w:szCs w:val="24"/>
          <w:highlight w:val="none"/>
        </w:rPr>
        <w:t>与采购人签订采购合同。否则，视为我方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后无正当理由不与采购人签订合同并承担相应法律责任。</w:t>
      </w:r>
    </w:p>
    <w:p w14:paraId="7DC3EF06">
      <w:pPr>
        <w:keepNext w:val="0"/>
        <w:pageBreakBefore w:val="0"/>
        <w:widowControl w:val="0"/>
        <w:tabs>
          <w:tab w:val="left" w:pos="939"/>
        </w:tabs>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、以上事项如有虚假或隐瞒，我方愿意承担一切后果和责任。</w:t>
      </w:r>
    </w:p>
    <w:p w14:paraId="74C78AF5">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有关的一切正式往来通讯请寄（地址电话必须为最新并可以联系到）：</w:t>
      </w:r>
    </w:p>
    <w:p w14:paraId="101569E0">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地址：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w:t>
      </w:r>
    </w:p>
    <w:p w14:paraId="2B4BB444">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传真： </w:t>
      </w:r>
    </w:p>
    <w:p w14:paraId="52768E29">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p>
    <w:p w14:paraId="6EF9AC46">
      <w:pPr>
        <w:keepNext w:val="0"/>
        <w:pageBreakBefore w:val="0"/>
        <w:widowControl w:val="0"/>
        <w:wordWrap w:val="0"/>
        <w:overflowPunct/>
        <w:topLinePunct w:val="0"/>
        <w:bidi w:val="0"/>
        <w:spacing w:line="460" w:lineRule="exact"/>
        <w:ind w:firstLine="840" w:firstLineChars="35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法定代表人或委托代理人（签字</w:t>
      </w:r>
      <w:r>
        <w:rPr>
          <w:rFonts w:hint="eastAsia" w:ascii="宋体" w:hAnsi="宋体" w:eastAsia="宋体" w:cs="宋体"/>
          <w:color w:val="auto"/>
          <w:kern w:val="0"/>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 xml:space="preserve">： </w:t>
      </w:r>
    </w:p>
    <w:p w14:paraId="461F568A">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全称并</w:t>
      </w:r>
      <w:r>
        <w:rPr>
          <w:rFonts w:hint="eastAsia" w:ascii="宋体" w:hAnsi="宋体" w:eastAsia="宋体" w:cs="宋体"/>
          <w:color w:val="auto"/>
          <w:kern w:val="0"/>
          <w:sz w:val="24"/>
          <w:szCs w:val="24"/>
          <w:highlight w:val="none"/>
          <w:lang w:val="en-US" w:eastAsia="zh-CN"/>
        </w:rPr>
        <w:t>加</w:t>
      </w:r>
      <w:r>
        <w:rPr>
          <w:rFonts w:hint="eastAsia" w:ascii="宋体" w:hAnsi="宋体" w:eastAsia="宋体" w:cs="宋体"/>
          <w:color w:val="auto"/>
          <w:kern w:val="0"/>
          <w:sz w:val="24"/>
          <w:szCs w:val="24"/>
          <w:highlight w:val="none"/>
          <w:lang w:eastAsia="zh-CN"/>
        </w:rPr>
        <w:t>盖</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eastAsia="宋体" w:cs="宋体"/>
          <w:color w:val="auto"/>
          <w:kern w:val="0"/>
          <w:sz w:val="24"/>
          <w:szCs w:val="24"/>
          <w:highlight w:val="none"/>
        </w:rPr>
        <w:t>）</w:t>
      </w:r>
    </w:p>
    <w:p w14:paraId="6050E5DF">
      <w:pPr>
        <w:keepNext w:val="0"/>
        <w:pageBreakBefore w:val="0"/>
        <w:widowControl w:val="0"/>
        <w:wordWrap w:val="0"/>
        <w:overflowPunct/>
        <w:topLinePunct w:val="0"/>
        <w:bidi w:val="0"/>
        <w:spacing w:line="460" w:lineRule="exact"/>
        <w:ind w:firstLine="960" w:firstLineChars="4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 xml:space="preserve">日期：    </w:t>
      </w:r>
      <w:r>
        <w:rPr>
          <w:rFonts w:hint="eastAsia" w:ascii="宋体" w:hAnsi="宋体" w:eastAsia="宋体" w:cs="宋体"/>
          <w:color w:val="auto"/>
          <w:kern w:val="0"/>
          <w:sz w:val="24"/>
          <w:szCs w:val="24"/>
          <w:highlight w:val="none"/>
        </w:rPr>
        <w:t xml:space="preserve">年    月   日 </w:t>
      </w:r>
    </w:p>
    <w:p w14:paraId="5756D53A">
      <w:pPr>
        <w:widowControl/>
        <w:wordWrap w:val="0"/>
        <w:snapToGrid w:val="0"/>
        <w:spacing w:before="50" w:after="50" w:line="480" w:lineRule="auto"/>
        <w:jc w:val="left"/>
        <w:rPr>
          <w:rFonts w:hint="eastAsia" w:ascii="宋体" w:hAnsi="宋体" w:eastAsia="宋体" w:cs="宋体"/>
          <w:b/>
          <w:color w:val="auto"/>
          <w:kern w:val="0"/>
          <w:sz w:val="24"/>
          <w:szCs w:val="24"/>
          <w:highlight w:val="none"/>
        </w:rPr>
      </w:pPr>
    </w:p>
    <w:p w14:paraId="114ABE1E">
      <w:pPr>
        <w:spacing w:line="500" w:lineRule="exact"/>
        <w:jc w:val="center"/>
        <w:rPr>
          <w:rFonts w:hint="eastAsia" w:ascii="宋体" w:hAnsi="宋体" w:eastAsia="宋体" w:cs="宋体"/>
          <w:b/>
          <w:bCs/>
          <w:color w:val="auto"/>
          <w:sz w:val="24"/>
          <w:highlight w:val="none"/>
        </w:rPr>
      </w:pPr>
    </w:p>
    <w:p w14:paraId="3B1CEE48">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25C15F95">
      <w:pPr>
        <w:rPr>
          <w:rFonts w:hint="eastAsia" w:ascii="宋体" w:hAnsi="宋体" w:eastAsia="宋体" w:cs="宋体"/>
          <w:color w:val="auto"/>
          <w:highlight w:val="none"/>
        </w:rPr>
      </w:pPr>
    </w:p>
    <w:p w14:paraId="1AD340C5">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9" w:name="_Toc7838"/>
      <w:r>
        <w:rPr>
          <w:rFonts w:hint="eastAsia" w:ascii="宋体" w:hAnsi="宋体" w:eastAsia="宋体" w:cs="宋体"/>
          <w:color w:val="auto"/>
          <w:sz w:val="28"/>
          <w:szCs w:val="28"/>
          <w:highlight w:val="none"/>
          <w:lang w:val="en-US" w:eastAsia="zh-CN"/>
        </w:rPr>
        <w:t>附件3            初次报价一览表</w:t>
      </w:r>
      <w:bookmarkEnd w:id="59"/>
      <w:r>
        <w:rPr>
          <w:rFonts w:hint="eastAsia" w:ascii="宋体" w:hAnsi="宋体" w:eastAsia="宋体" w:cs="宋体"/>
          <w:color w:val="auto"/>
          <w:sz w:val="28"/>
          <w:szCs w:val="28"/>
          <w:highlight w:val="none"/>
          <w:lang w:val="en-US" w:eastAsia="zh-CN"/>
        </w:rPr>
        <w:t>（格式）</w:t>
      </w:r>
    </w:p>
    <w:p w14:paraId="523ED133">
      <w:pPr>
        <w:spacing w:line="239" w:lineRule="auto"/>
        <w:jc w:val="right"/>
        <w:rPr>
          <w:rFonts w:hint="eastAsia"/>
          <w:color w:val="auto"/>
          <w:highlight w:val="none"/>
          <w:lang w:val="en-US" w:eastAsia="zh-CN"/>
        </w:rPr>
      </w:pPr>
      <w:r>
        <w:rPr>
          <w:rFonts w:hint="eastAsia" w:ascii="宋体" w:hAnsi="宋体" w:eastAsia="宋体" w:cs="宋体"/>
          <w:color w:val="auto"/>
          <w:sz w:val="24"/>
          <w:highlight w:val="none"/>
        </w:rPr>
        <w:t>单位：%</w:t>
      </w:r>
    </w:p>
    <w:tbl>
      <w:tblPr>
        <w:tblStyle w:val="33"/>
        <w:tblpPr w:leftFromText="180" w:rightFromText="180" w:vertAnchor="text" w:horzAnchor="page" w:tblpX="1124" w:tblpY="285"/>
        <w:tblOverlap w:val="never"/>
        <w:tblW w:w="9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3"/>
        <w:gridCol w:w="7846"/>
      </w:tblGrid>
      <w:tr w14:paraId="18E8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013" w:type="dxa"/>
            <w:noWrap/>
            <w:vAlign w:val="center"/>
          </w:tcPr>
          <w:p w14:paraId="674D05D6">
            <w:pPr>
              <w:jc w:val="center"/>
              <w:rPr>
                <w:rFonts w:hint="eastAsia" w:ascii="宋体" w:hAnsi="宋体" w:eastAsia="宋体" w:cs="宋体"/>
                <w:b/>
                <w:bCs/>
                <w:color w:val="auto"/>
                <w:sz w:val="24"/>
                <w:szCs w:val="24"/>
                <w:highlight w:val="none"/>
              </w:rPr>
            </w:pPr>
            <w:bookmarkStart w:id="60" w:name="_Toc20877"/>
            <w:bookmarkStart w:id="61" w:name="_Toc11620"/>
            <w:r>
              <w:rPr>
                <w:rFonts w:hint="eastAsia" w:ascii="宋体" w:hAnsi="宋体" w:eastAsia="宋体" w:cs="宋体"/>
                <w:b/>
                <w:bCs/>
                <w:color w:val="auto"/>
                <w:sz w:val="24"/>
                <w:szCs w:val="24"/>
                <w:highlight w:val="none"/>
              </w:rPr>
              <w:t>项目名称</w:t>
            </w:r>
          </w:p>
        </w:tc>
        <w:tc>
          <w:tcPr>
            <w:tcW w:w="7846" w:type="dxa"/>
            <w:noWrap/>
            <w:vAlign w:val="center"/>
          </w:tcPr>
          <w:p w14:paraId="657583B1">
            <w:pPr>
              <w:rPr>
                <w:rFonts w:hint="eastAsia" w:ascii="宋体" w:hAnsi="宋体" w:eastAsia="宋体" w:cs="宋体"/>
                <w:bCs/>
                <w:color w:val="auto"/>
                <w:szCs w:val="21"/>
                <w:highlight w:val="none"/>
              </w:rPr>
            </w:pPr>
          </w:p>
        </w:tc>
      </w:tr>
      <w:tr w14:paraId="0E2B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013" w:type="dxa"/>
            <w:noWrap/>
            <w:vAlign w:val="center"/>
          </w:tcPr>
          <w:p w14:paraId="2CCBDE3D">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名称</w:t>
            </w:r>
          </w:p>
        </w:tc>
        <w:tc>
          <w:tcPr>
            <w:tcW w:w="7846" w:type="dxa"/>
            <w:noWrap/>
            <w:vAlign w:val="center"/>
          </w:tcPr>
          <w:p w14:paraId="5D8DF48C">
            <w:pPr>
              <w:rPr>
                <w:rFonts w:hint="eastAsia" w:ascii="宋体" w:hAnsi="宋体" w:eastAsia="宋体" w:cs="宋体"/>
                <w:color w:val="auto"/>
                <w:szCs w:val="21"/>
                <w:highlight w:val="none"/>
              </w:rPr>
            </w:pPr>
          </w:p>
        </w:tc>
      </w:tr>
      <w:tr w14:paraId="53EA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2013" w:type="dxa"/>
            <w:vMerge w:val="restart"/>
            <w:noWrap/>
            <w:vAlign w:val="center"/>
          </w:tcPr>
          <w:p w14:paraId="456CA27D">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报价</w:t>
            </w:r>
          </w:p>
          <w:p w14:paraId="6C89E21F">
            <w:pPr>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kern w:val="0"/>
                <w:sz w:val="24"/>
                <w:szCs w:val="24"/>
                <w:highlight w:val="none"/>
                <w:lang w:eastAsia="zh-CN"/>
              </w:rPr>
              <w:t>（综合折扣率）</w:t>
            </w:r>
          </w:p>
        </w:tc>
        <w:tc>
          <w:tcPr>
            <w:tcW w:w="7846" w:type="dxa"/>
            <w:noWrap/>
            <w:vAlign w:val="center"/>
          </w:tcPr>
          <w:p w14:paraId="55B74F5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S码、</w:t>
            </w:r>
            <w:r>
              <w:rPr>
                <w:rFonts w:hint="eastAsia" w:ascii="宋体" w:hAnsi="宋体" w:eastAsia="宋体" w:cs="宋体"/>
                <w:color w:val="auto"/>
                <w:sz w:val="24"/>
                <w:szCs w:val="24"/>
                <w:highlight w:val="none"/>
                <w:vertAlign w:val="baseline"/>
                <w:lang w:val="en-US" w:eastAsia="zh-CN"/>
              </w:rPr>
              <w:t>婴儿纸尿裤</w:t>
            </w:r>
            <w:r>
              <w:rPr>
                <w:rFonts w:hint="eastAsia" w:ascii="宋体" w:hAnsi="宋体" w:eastAsia="宋体" w:cs="宋体"/>
                <w:b w:val="0"/>
                <w:bCs w:val="0"/>
                <w:color w:val="auto"/>
                <w:sz w:val="24"/>
                <w:szCs w:val="24"/>
                <w:highlight w:val="none"/>
                <w:lang w:val="en-US" w:eastAsia="zh-CN"/>
              </w:rPr>
              <w:t>L码及护理垫：</w:t>
            </w:r>
          </w:p>
          <w:p w14:paraId="377719FF">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cs="宋体"/>
                <w:color w:val="auto"/>
                <w:sz w:val="24"/>
                <w:szCs w:val="24"/>
                <w:highlight w:val="none"/>
              </w:rPr>
            </w:pPr>
            <w:r>
              <w:rPr>
                <w:rFonts w:hint="eastAsia" w:ascii="宋体" w:hAnsi="宋体" w:cs="宋体"/>
                <w:color w:val="auto"/>
                <w:sz w:val="24"/>
                <w:szCs w:val="24"/>
                <w:highlight w:val="none"/>
              </w:rPr>
              <w:t>大写：百分之</w:t>
            </w:r>
            <w:r>
              <w:rPr>
                <w:color w:val="auto"/>
                <w:sz w:val="24"/>
                <w:szCs w:val="32"/>
                <w:highlight w:val="none"/>
                <w:u w:val="single"/>
              </w:rPr>
              <w:t xml:space="preserve">    </w:t>
            </w:r>
            <w:r>
              <w:rPr>
                <w:rFonts w:hint="eastAsia"/>
                <w:color w:val="auto"/>
                <w:sz w:val="24"/>
                <w:szCs w:val="32"/>
                <w:highlight w:val="none"/>
                <w:u w:val="single"/>
                <w:lang w:val="en-US" w:eastAsia="zh-CN"/>
              </w:rPr>
              <w:t xml:space="preserve">  </w:t>
            </w:r>
            <w:r>
              <w:rPr>
                <w:color w:val="auto"/>
                <w:sz w:val="24"/>
                <w:szCs w:val="32"/>
                <w:highlight w:val="none"/>
                <w:u w:val="single"/>
              </w:rPr>
              <w:t xml:space="preserve">      </w:t>
            </w:r>
            <w:r>
              <w:rPr>
                <w:rFonts w:ascii="宋体" w:hAnsi="宋体" w:cs="宋体"/>
                <w:color w:val="auto"/>
                <w:sz w:val="24"/>
                <w:szCs w:val="24"/>
                <w:highlight w:val="none"/>
              </w:rPr>
              <w:t xml:space="preserve">        </w:t>
            </w:r>
          </w:p>
          <w:p w14:paraId="69CABF0B">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cs="宋体"/>
                <w:color w:val="auto"/>
                <w:szCs w:val="21"/>
                <w:highlight w:val="none"/>
                <w:lang w:val="en-US" w:eastAsia="zh-CN"/>
              </w:rPr>
            </w:pPr>
            <w:r>
              <w:rPr>
                <w:rFonts w:hint="eastAsia" w:ascii="宋体" w:hAnsi="宋体" w:cs="宋体"/>
                <w:color w:val="auto"/>
                <w:sz w:val="24"/>
                <w:szCs w:val="24"/>
                <w:highlight w:val="none"/>
              </w:rPr>
              <w:t>小写：</w:t>
            </w:r>
            <w:r>
              <w:rPr>
                <w:color w:val="auto"/>
                <w:sz w:val="24"/>
                <w:szCs w:val="32"/>
                <w:highlight w:val="none"/>
                <w:u w:val="single"/>
              </w:rPr>
              <w:t xml:space="preserve">   </w:t>
            </w:r>
            <w:r>
              <w:rPr>
                <w:rFonts w:hint="eastAsia"/>
                <w:color w:val="auto"/>
                <w:sz w:val="24"/>
                <w:szCs w:val="32"/>
                <w:highlight w:val="none"/>
                <w:u w:val="single"/>
                <w:lang w:val="en-US" w:eastAsia="zh-CN"/>
              </w:rPr>
              <w:t xml:space="preserve"> </w:t>
            </w:r>
            <w:r>
              <w:rPr>
                <w:color w:val="auto"/>
                <w:sz w:val="24"/>
                <w:szCs w:val="32"/>
                <w:highlight w:val="none"/>
                <w:u w:val="single"/>
              </w:rPr>
              <w:t xml:space="preserve">    </w:t>
            </w:r>
            <w:r>
              <w:rPr>
                <w:rFonts w:ascii="宋体" w:hAnsi="宋体" w:cs="宋体"/>
                <w:color w:val="auto"/>
                <w:sz w:val="24"/>
                <w:szCs w:val="24"/>
                <w:highlight w:val="none"/>
              </w:rPr>
              <w:t>%</w:t>
            </w:r>
            <w:r>
              <w:rPr>
                <w:rFonts w:hint="eastAsia" w:ascii="宋体" w:hAnsi="宋体" w:cs="宋体"/>
                <w:color w:val="auto"/>
                <w:sz w:val="24"/>
                <w:szCs w:val="24"/>
                <w:highlight w:val="none"/>
              </w:rPr>
              <w:t>（详见报价明细表）</w:t>
            </w:r>
          </w:p>
        </w:tc>
      </w:tr>
      <w:tr w14:paraId="6324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trPr>
        <w:tc>
          <w:tcPr>
            <w:tcW w:w="2013" w:type="dxa"/>
            <w:vMerge w:val="continue"/>
            <w:noWrap/>
            <w:vAlign w:val="center"/>
          </w:tcPr>
          <w:p w14:paraId="7ED5B858">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highlight w:val="none"/>
              </w:rPr>
            </w:pPr>
          </w:p>
        </w:tc>
        <w:tc>
          <w:tcPr>
            <w:tcW w:w="7846" w:type="dxa"/>
            <w:noWrap/>
            <w:vAlign w:val="center"/>
          </w:tcPr>
          <w:p w14:paraId="283D209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cs="宋体"/>
                <w:color w:val="auto"/>
                <w:sz w:val="24"/>
                <w:szCs w:val="24"/>
                <w:highlight w:val="none"/>
              </w:rPr>
            </w:pPr>
            <w:r>
              <w:rPr>
                <w:rFonts w:hint="eastAsia" w:ascii="宋体" w:hAnsi="宋体" w:eastAsia="宋体" w:cs="宋体"/>
                <w:b w:val="0"/>
                <w:bCs w:val="0"/>
                <w:color w:val="auto"/>
                <w:sz w:val="24"/>
                <w:szCs w:val="24"/>
                <w:highlight w:val="none"/>
              </w:rPr>
              <w:t>光疗纸尿裤</w:t>
            </w:r>
            <w:r>
              <w:rPr>
                <w:rFonts w:hint="eastAsia" w:ascii="宋体" w:hAnsi="宋体" w:cs="宋体"/>
                <w:color w:val="auto"/>
                <w:kern w:val="0"/>
                <w:sz w:val="24"/>
                <w:szCs w:val="24"/>
                <w:highlight w:val="none"/>
                <w:lang w:val="en-US" w:eastAsia="zh-CN"/>
              </w:rPr>
              <w:t>：</w:t>
            </w:r>
          </w:p>
          <w:p w14:paraId="0E847C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宋体" w:cs="宋体"/>
                <w:color w:val="auto"/>
                <w:sz w:val="24"/>
                <w:szCs w:val="24"/>
                <w:highlight w:val="none"/>
              </w:rPr>
            </w:pPr>
            <w:r>
              <w:rPr>
                <w:rFonts w:hint="eastAsia" w:ascii="宋体" w:hAnsi="宋体" w:cs="宋体"/>
                <w:color w:val="auto"/>
                <w:sz w:val="24"/>
                <w:szCs w:val="24"/>
                <w:highlight w:val="none"/>
              </w:rPr>
              <w:t>大写：百分之</w:t>
            </w:r>
            <w:r>
              <w:rPr>
                <w:color w:val="auto"/>
                <w:sz w:val="24"/>
                <w:szCs w:val="32"/>
                <w:highlight w:val="none"/>
                <w:u w:val="single"/>
              </w:rPr>
              <w:t xml:space="preserve">    </w:t>
            </w:r>
            <w:r>
              <w:rPr>
                <w:rFonts w:hint="eastAsia"/>
                <w:color w:val="auto"/>
                <w:sz w:val="24"/>
                <w:szCs w:val="32"/>
                <w:highlight w:val="none"/>
                <w:u w:val="single"/>
                <w:lang w:val="en-US" w:eastAsia="zh-CN"/>
              </w:rPr>
              <w:t xml:space="preserve">  </w:t>
            </w:r>
            <w:r>
              <w:rPr>
                <w:color w:val="auto"/>
                <w:sz w:val="24"/>
                <w:szCs w:val="32"/>
                <w:highlight w:val="none"/>
                <w:u w:val="single"/>
              </w:rPr>
              <w:t xml:space="preserve">      </w:t>
            </w:r>
            <w:r>
              <w:rPr>
                <w:rFonts w:ascii="宋体" w:hAnsi="宋体" w:cs="宋体"/>
                <w:color w:val="auto"/>
                <w:sz w:val="24"/>
                <w:szCs w:val="24"/>
                <w:highlight w:val="none"/>
              </w:rPr>
              <w:t xml:space="preserve">        </w:t>
            </w:r>
          </w:p>
          <w:p w14:paraId="4DF677F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pacing w:val="1440"/>
                <w:kern w:val="0"/>
                <w:sz w:val="24"/>
                <w:szCs w:val="24"/>
                <w:highlight w:val="none"/>
                <w:fitText w:val="1680" w:id="991700259"/>
                <w:lang w:val="en-US" w:eastAsia="zh-CN"/>
              </w:rPr>
            </w:pPr>
            <w:r>
              <w:rPr>
                <w:rFonts w:hint="eastAsia" w:ascii="宋体" w:hAnsi="宋体" w:cs="宋体"/>
                <w:color w:val="auto"/>
                <w:sz w:val="24"/>
                <w:szCs w:val="24"/>
                <w:highlight w:val="none"/>
              </w:rPr>
              <w:t>小写：</w:t>
            </w:r>
            <w:r>
              <w:rPr>
                <w:color w:val="auto"/>
                <w:sz w:val="24"/>
                <w:szCs w:val="32"/>
                <w:highlight w:val="none"/>
                <w:u w:val="single"/>
              </w:rPr>
              <w:t xml:space="preserve">       </w:t>
            </w:r>
            <w:r>
              <w:rPr>
                <w:rFonts w:ascii="宋体" w:hAnsi="宋体" w:cs="宋体"/>
                <w:color w:val="auto"/>
                <w:sz w:val="24"/>
                <w:szCs w:val="24"/>
                <w:highlight w:val="none"/>
              </w:rPr>
              <w:t>%</w:t>
            </w:r>
            <w:r>
              <w:rPr>
                <w:rFonts w:hint="eastAsia" w:ascii="宋体" w:hAnsi="宋体" w:cs="宋体"/>
                <w:color w:val="auto"/>
                <w:sz w:val="24"/>
                <w:szCs w:val="24"/>
                <w:highlight w:val="none"/>
              </w:rPr>
              <w:t>（详见报价明细表）</w:t>
            </w:r>
          </w:p>
        </w:tc>
      </w:tr>
      <w:tr w14:paraId="0215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013" w:type="dxa"/>
            <w:noWrap/>
            <w:vAlign w:val="center"/>
          </w:tcPr>
          <w:p w14:paraId="6AC2AAE8">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  注</w:t>
            </w:r>
          </w:p>
        </w:tc>
        <w:tc>
          <w:tcPr>
            <w:tcW w:w="7846" w:type="dxa"/>
            <w:noWrap/>
            <w:vAlign w:val="center"/>
          </w:tcPr>
          <w:p w14:paraId="5D531880">
            <w:pPr>
              <w:pStyle w:val="21"/>
              <w:ind w:left="0" w:leftChars="0"/>
              <w:rPr>
                <w:rFonts w:hint="eastAsia" w:ascii="宋体" w:hAnsi="宋体" w:eastAsia="宋体" w:cs="宋体"/>
                <w:color w:val="auto"/>
                <w:sz w:val="21"/>
                <w:szCs w:val="21"/>
                <w:highlight w:val="none"/>
              </w:rPr>
            </w:pPr>
          </w:p>
        </w:tc>
      </w:tr>
    </w:tbl>
    <w:p w14:paraId="12F4924E">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p>
    <w:p w14:paraId="41A82839">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color w:val="auto"/>
          <w:highlight w:val="none"/>
        </w:rPr>
      </w:pPr>
      <w:r>
        <w:rPr>
          <w:rFonts w:hint="eastAsia" w:ascii="宋体" w:hAnsi="宋体" w:eastAsia="宋体" w:cs="宋体"/>
          <w:color w:val="auto"/>
          <w:kern w:val="0"/>
          <w:sz w:val="24"/>
          <w:szCs w:val="24"/>
          <w:highlight w:val="none"/>
          <w:lang w:val="en-US" w:eastAsia="zh-CN" w:bidi="ar"/>
        </w:rPr>
        <w:t>注：磋商报价填写产品综合折扣率：即该项目各类产品最终实际供货折扣。</w:t>
      </w:r>
    </w:p>
    <w:p w14:paraId="4B5300CE">
      <w:pPr>
        <w:spacing w:line="360" w:lineRule="auto"/>
        <w:ind w:firstLine="420" w:firstLineChars="200"/>
        <w:jc w:val="center"/>
        <w:rPr>
          <w:rFonts w:hint="eastAsia" w:ascii="宋体" w:hAnsi="宋体" w:eastAsia="宋体" w:cs="宋体"/>
          <w:color w:val="auto"/>
          <w:szCs w:val="21"/>
          <w:highlight w:val="none"/>
          <w:lang w:eastAsia="zh-CN"/>
        </w:rPr>
      </w:pPr>
    </w:p>
    <w:p w14:paraId="5B5D2365">
      <w:pPr>
        <w:spacing w:line="360" w:lineRule="auto"/>
        <w:ind w:firstLine="420" w:firstLineChars="200"/>
        <w:jc w:val="center"/>
        <w:rPr>
          <w:rFonts w:hint="eastAsia" w:ascii="宋体" w:hAnsi="宋体" w:eastAsia="宋体" w:cs="宋体"/>
          <w:color w:val="auto"/>
          <w:szCs w:val="21"/>
          <w:highlight w:val="none"/>
          <w:lang w:eastAsia="zh-CN"/>
        </w:rPr>
      </w:pPr>
    </w:p>
    <w:p w14:paraId="61C10808">
      <w:pPr>
        <w:spacing w:line="360" w:lineRule="auto"/>
        <w:jc w:val="both"/>
        <w:rPr>
          <w:rFonts w:hint="eastAsia" w:ascii="宋体" w:hAnsi="宋体" w:eastAsia="宋体" w:cs="宋体"/>
          <w:color w:val="auto"/>
          <w:szCs w:val="21"/>
          <w:highlight w:val="none"/>
          <w:lang w:eastAsia="zh-CN"/>
        </w:rPr>
      </w:pPr>
    </w:p>
    <w:bookmarkEnd w:id="60"/>
    <w:bookmarkEnd w:id="61"/>
    <w:p w14:paraId="052D9E4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3D149974">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27F4E33">
      <w:pP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p w14:paraId="1D94AE4F">
      <w:pPr>
        <w:spacing w:before="20" w:after="20"/>
        <w:outlineLvl w:val="9"/>
        <w:rPr>
          <w:rFonts w:hint="eastAsia" w:ascii="宋体" w:hAnsi="宋体" w:eastAsia="宋体" w:cs="宋体"/>
          <w:color w:val="auto"/>
          <w:highlight w:val="none"/>
          <w:lang w:eastAsia="zh-CN"/>
        </w:rPr>
      </w:pPr>
      <w:bookmarkStart w:id="62" w:name="_Toc24984"/>
      <w:bookmarkStart w:id="63" w:name="_Toc22004"/>
    </w:p>
    <w:p w14:paraId="4EFFFED2">
      <w:pPr>
        <w:outlineLvl w:val="9"/>
        <w:rPr>
          <w:rFonts w:hint="eastAsia" w:ascii="宋体" w:hAnsi="宋体" w:eastAsia="宋体" w:cs="宋体"/>
          <w:color w:val="auto"/>
          <w:highlight w:val="none"/>
          <w:lang w:eastAsia="zh-CN"/>
        </w:rPr>
      </w:pPr>
    </w:p>
    <w:p w14:paraId="638ED0B5">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A621A8C">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附件4        </w:t>
      </w:r>
      <w:bookmarkEnd w:id="62"/>
      <w:bookmarkEnd w:id="63"/>
      <w:r>
        <w:rPr>
          <w:rFonts w:hint="eastAsia" w:ascii="宋体" w:hAnsi="宋体" w:eastAsia="宋体" w:cs="宋体"/>
          <w:color w:val="auto"/>
          <w:sz w:val="28"/>
          <w:szCs w:val="28"/>
          <w:highlight w:val="none"/>
          <w:lang w:val="en-US" w:eastAsia="zh-CN"/>
        </w:rPr>
        <w:t>报价明细表（格式）</w:t>
      </w:r>
    </w:p>
    <w:tbl>
      <w:tblPr>
        <w:tblStyle w:val="33"/>
        <w:tblpPr w:leftFromText="180" w:rightFromText="180" w:vertAnchor="text" w:horzAnchor="page" w:tblpX="1095" w:tblpY="449"/>
        <w:tblOverlap w:val="never"/>
        <w:tblW w:w="1014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4"/>
        <w:gridCol w:w="2197"/>
        <w:gridCol w:w="1875"/>
        <w:gridCol w:w="1788"/>
        <w:gridCol w:w="1675"/>
        <w:gridCol w:w="1800"/>
      </w:tblGrid>
      <w:tr w14:paraId="18A87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814" w:type="dxa"/>
            <w:tcBorders>
              <w:top w:val="single" w:color="auto" w:sz="4" w:space="0"/>
              <w:left w:val="single" w:color="auto" w:sz="4" w:space="0"/>
              <w:bottom w:val="nil"/>
              <w:right w:val="single" w:color="auto" w:sz="4" w:space="0"/>
            </w:tcBorders>
            <w:vAlign w:val="center"/>
          </w:tcPr>
          <w:p w14:paraId="047219B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r>
              <w:rPr>
                <w:rFonts w:hint="eastAsia" w:ascii="宋体" w:hAnsi="宋体" w:cs="宋体"/>
                <w:color w:val="auto"/>
                <w:kern w:val="0"/>
                <w:sz w:val="24"/>
                <w:highlight w:val="none"/>
              </w:rPr>
              <w:t>序号</w:t>
            </w:r>
          </w:p>
        </w:tc>
        <w:tc>
          <w:tcPr>
            <w:tcW w:w="2197" w:type="dxa"/>
            <w:tcBorders>
              <w:top w:val="single" w:color="auto" w:sz="4" w:space="0"/>
              <w:left w:val="single" w:color="auto" w:sz="4" w:space="0"/>
              <w:bottom w:val="nil"/>
              <w:right w:val="single" w:color="auto" w:sz="4" w:space="0"/>
            </w:tcBorders>
            <w:vAlign w:val="center"/>
          </w:tcPr>
          <w:p w14:paraId="52EE992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货物</w:t>
            </w:r>
            <w:r>
              <w:rPr>
                <w:rFonts w:hint="eastAsia" w:ascii="宋体" w:hAnsi="宋体" w:eastAsia="宋体" w:cs="宋体"/>
                <w:color w:val="auto"/>
                <w:spacing w:val="20"/>
                <w:kern w:val="0"/>
                <w:sz w:val="24"/>
                <w:szCs w:val="24"/>
                <w:highlight w:val="none"/>
                <w:lang w:val="en-US" w:eastAsia="zh-CN" w:bidi="ar-SA"/>
              </w:rPr>
              <w:t>名称</w:t>
            </w:r>
          </w:p>
        </w:tc>
        <w:tc>
          <w:tcPr>
            <w:tcW w:w="1875" w:type="dxa"/>
            <w:tcBorders>
              <w:top w:val="single" w:color="auto" w:sz="4" w:space="0"/>
              <w:left w:val="single" w:color="auto" w:sz="4" w:space="0"/>
              <w:bottom w:val="nil"/>
              <w:right w:val="single" w:color="auto" w:sz="4" w:space="0"/>
            </w:tcBorders>
            <w:vAlign w:val="center"/>
          </w:tcPr>
          <w:p w14:paraId="7211CCE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品牌</w:t>
            </w:r>
          </w:p>
        </w:tc>
        <w:tc>
          <w:tcPr>
            <w:tcW w:w="1788" w:type="dxa"/>
            <w:tcBorders>
              <w:top w:val="single" w:color="auto" w:sz="4" w:space="0"/>
              <w:left w:val="single" w:color="auto" w:sz="4" w:space="0"/>
              <w:bottom w:val="nil"/>
              <w:right w:val="single" w:color="auto" w:sz="4" w:space="0"/>
            </w:tcBorders>
            <w:vAlign w:val="center"/>
          </w:tcPr>
          <w:p w14:paraId="5F76D8B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规格型号</w:t>
            </w:r>
          </w:p>
        </w:tc>
        <w:tc>
          <w:tcPr>
            <w:tcW w:w="1675" w:type="dxa"/>
            <w:tcBorders>
              <w:top w:val="single" w:color="auto" w:sz="4" w:space="0"/>
              <w:left w:val="single" w:color="auto" w:sz="4" w:space="0"/>
              <w:bottom w:val="nil"/>
              <w:right w:val="single" w:color="auto" w:sz="4" w:space="0"/>
            </w:tcBorders>
            <w:vAlign w:val="center"/>
          </w:tcPr>
          <w:p w14:paraId="766FCCF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系列</w:t>
            </w:r>
          </w:p>
        </w:tc>
        <w:tc>
          <w:tcPr>
            <w:tcW w:w="1800" w:type="dxa"/>
            <w:tcBorders>
              <w:top w:val="single" w:color="auto" w:sz="4" w:space="0"/>
              <w:left w:val="single" w:color="auto" w:sz="4" w:space="0"/>
              <w:bottom w:val="nil"/>
              <w:right w:val="single" w:color="auto" w:sz="4" w:space="0"/>
            </w:tcBorders>
            <w:vAlign w:val="center"/>
          </w:tcPr>
          <w:p w14:paraId="54E22F0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供货单价</w:t>
            </w:r>
          </w:p>
          <w:p w14:paraId="2AD269A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szCs w:val="24"/>
                <w:highlight w:val="none"/>
                <w:lang w:val="en-US" w:eastAsia="zh-CN" w:bidi="ar-SA"/>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元/片</w:t>
            </w:r>
            <w:r>
              <w:rPr>
                <w:rFonts w:hint="eastAsia" w:ascii="宋体" w:hAnsi="宋体" w:cs="宋体"/>
                <w:color w:val="auto"/>
                <w:kern w:val="0"/>
                <w:sz w:val="24"/>
                <w:highlight w:val="none"/>
                <w:lang w:eastAsia="zh-CN"/>
              </w:rPr>
              <w:t>）</w:t>
            </w:r>
          </w:p>
        </w:tc>
      </w:tr>
      <w:tr w14:paraId="596E0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814" w:type="dxa"/>
            <w:tcBorders>
              <w:top w:val="single" w:color="auto" w:sz="4" w:space="0"/>
              <w:left w:val="single" w:color="auto" w:sz="4" w:space="0"/>
              <w:bottom w:val="single" w:color="auto" w:sz="4" w:space="0"/>
              <w:right w:val="single" w:color="auto" w:sz="4" w:space="0"/>
            </w:tcBorders>
            <w:vAlign w:val="center"/>
          </w:tcPr>
          <w:p w14:paraId="7C82BA8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1</w:t>
            </w:r>
          </w:p>
        </w:tc>
        <w:tc>
          <w:tcPr>
            <w:tcW w:w="2197" w:type="dxa"/>
            <w:tcBorders>
              <w:top w:val="single" w:color="auto" w:sz="4" w:space="0"/>
              <w:left w:val="single" w:color="auto" w:sz="4" w:space="0"/>
              <w:bottom w:val="single" w:color="auto" w:sz="4" w:space="0"/>
              <w:right w:val="single" w:color="auto" w:sz="4" w:space="0"/>
            </w:tcBorders>
          </w:tcPr>
          <w:p w14:paraId="0C1B6C0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75" w:type="dxa"/>
            <w:tcBorders>
              <w:top w:val="single" w:color="auto" w:sz="4" w:space="0"/>
              <w:left w:val="single" w:color="auto" w:sz="4" w:space="0"/>
              <w:bottom w:val="single" w:color="auto" w:sz="4" w:space="0"/>
              <w:right w:val="single" w:color="auto" w:sz="4" w:space="0"/>
            </w:tcBorders>
          </w:tcPr>
          <w:p w14:paraId="1B9A248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88" w:type="dxa"/>
            <w:tcBorders>
              <w:top w:val="single" w:color="auto" w:sz="4" w:space="0"/>
              <w:left w:val="single" w:color="auto" w:sz="4" w:space="0"/>
              <w:bottom w:val="single" w:color="auto" w:sz="4" w:space="0"/>
              <w:right w:val="single" w:color="auto" w:sz="4" w:space="0"/>
            </w:tcBorders>
          </w:tcPr>
          <w:p w14:paraId="3410B68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675" w:type="dxa"/>
            <w:tcBorders>
              <w:top w:val="single" w:color="auto" w:sz="4" w:space="0"/>
              <w:left w:val="single" w:color="auto" w:sz="4" w:space="0"/>
              <w:bottom w:val="single" w:color="auto" w:sz="4" w:space="0"/>
              <w:right w:val="single" w:color="auto" w:sz="4" w:space="0"/>
            </w:tcBorders>
          </w:tcPr>
          <w:p w14:paraId="0D882A2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6DF4FBC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07DFC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814" w:type="dxa"/>
            <w:tcBorders>
              <w:top w:val="single" w:color="auto" w:sz="4" w:space="0"/>
              <w:left w:val="single" w:color="auto" w:sz="4" w:space="0"/>
              <w:bottom w:val="single" w:color="auto" w:sz="4" w:space="0"/>
              <w:right w:val="single" w:color="auto" w:sz="4" w:space="0"/>
            </w:tcBorders>
            <w:vAlign w:val="center"/>
          </w:tcPr>
          <w:p w14:paraId="25211ED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2</w:t>
            </w:r>
          </w:p>
        </w:tc>
        <w:tc>
          <w:tcPr>
            <w:tcW w:w="2197" w:type="dxa"/>
            <w:tcBorders>
              <w:top w:val="single" w:color="auto" w:sz="4" w:space="0"/>
              <w:left w:val="single" w:color="auto" w:sz="4" w:space="0"/>
              <w:bottom w:val="single" w:color="auto" w:sz="4" w:space="0"/>
              <w:right w:val="single" w:color="auto" w:sz="4" w:space="0"/>
            </w:tcBorders>
          </w:tcPr>
          <w:p w14:paraId="5151D98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75" w:type="dxa"/>
            <w:tcBorders>
              <w:top w:val="single" w:color="auto" w:sz="4" w:space="0"/>
              <w:left w:val="single" w:color="auto" w:sz="4" w:space="0"/>
              <w:bottom w:val="single" w:color="auto" w:sz="4" w:space="0"/>
              <w:right w:val="single" w:color="auto" w:sz="4" w:space="0"/>
            </w:tcBorders>
          </w:tcPr>
          <w:p w14:paraId="34EB7F9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88" w:type="dxa"/>
            <w:tcBorders>
              <w:top w:val="single" w:color="auto" w:sz="4" w:space="0"/>
              <w:left w:val="single" w:color="auto" w:sz="4" w:space="0"/>
              <w:bottom w:val="single" w:color="auto" w:sz="4" w:space="0"/>
              <w:right w:val="single" w:color="auto" w:sz="4" w:space="0"/>
            </w:tcBorders>
          </w:tcPr>
          <w:p w14:paraId="4DA944F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675" w:type="dxa"/>
            <w:tcBorders>
              <w:top w:val="single" w:color="auto" w:sz="4" w:space="0"/>
              <w:left w:val="single" w:color="auto" w:sz="4" w:space="0"/>
              <w:bottom w:val="single" w:color="auto" w:sz="4" w:space="0"/>
              <w:right w:val="single" w:color="auto" w:sz="4" w:space="0"/>
            </w:tcBorders>
          </w:tcPr>
          <w:p w14:paraId="1E2433C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133C2D6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72F924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814" w:type="dxa"/>
            <w:tcBorders>
              <w:top w:val="single" w:color="auto" w:sz="4" w:space="0"/>
              <w:left w:val="single" w:color="auto" w:sz="4" w:space="0"/>
              <w:bottom w:val="single" w:color="auto" w:sz="4" w:space="0"/>
              <w:right w:val="single" w:color="auto" w:sz="4" w:space="0"/>
            </w:tcBorders>
            <w:vAlign w:val="center"/>
          </w:tcPr>
          <w:p w14:paraId="29ACFE3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3</w:t>
            </w:r>
          </w:p>
        </w:tc>
        <w:tc>
          <w:tcPr>
            <w:tcW w:w="2197" w:type="dxa"/>
            <w:tcBorders>
              <w:top w:val="single" w:color="auto" w:sz="4" w:space="0"/>
              <w:left w:val="single" w:color="auto" w:sz="4" w:space="0"/>
              <w:bottom w:val="single" w:color="auto" w:sz="4" w:space="0"/>
              <w:right w:val="single" w:color="auto" w:sz="4" w:space="0"/>
            </w:tcBorders>
          </w:tcPr>
          <w:p w14:paraId="772F43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75" w:type="dxa"/>
            <w:tcBorders>
              <w:top w:val="single" w:color="auto" w:sz="4" w:space="0"/>
              <w:left w:val="single" w:color="auto" w:sz="4" w:space="0"/>
              <w:bottom w:val="single" w:color="auto" w:sz="4" w:space="0"/>
              <w:right w:val="single" w:color="auto" w:sz="4" w:space="0"/>
            </w:tcBorders>
          </w:tcPr>
          <w:p w14:paraId="7DBC61D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88" w:type="dxa"/>
            <w:tcBorders>
              <w:top w:val="single" w:color="auto" w:sz="4" w:space="0"/>
              <w:left w:val="single" w:color="auto" w:sz="4" w:space="0"/>
              <w:bottom w:val="single" w:color="auto" w:sz="4" w:space="0"/>
              <w:right w:val="single" w:color="auto" w:sz="4" w:space="0"/>
            </w:tcBorders>
          </w:tcPr>
          <w:p w14:paraId="6B223C6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675" w:type="dxa"/>
            <w:tcBorders>
              <w:top w:val="single" w:color="auto" w:sz="4" w:space="0"/>
              <w:left w:val="single" w:color="auto" w:sz="4" w:space="0"/>
              <w:bottom w:val="single" w:color="auto" w:sz="4" w:space="0"/>
              <w:right w:val="single" w:color="auto" w:sz="4" w:space="0"/>
            </w:tcBorders>
          </w:tcPr>
          <w:p w14:paraId="2B8D90C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31397A7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5F7A5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814" w:type="dxa"/>
            <w:tcBorders>
              <w:top w:val="single" w:color="auto" w:sz="4" w:space="0"/>
              <w:left w:val="single" w:color="auto" w:sz="4" w:space="0"/>
              <w:bottom w:val="single" w:color="auto" w:sz="4" w:space="0"/>
              <w:right w:val="single" w:color="auto" w:sz="4" w:space="0"/>
            </w:tcBorders>
            <w:vAlign w:val="center"/>
          </w:tcPr>
          <w:p w14:paraId="675BED1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4</w:t>
            </w:r>
          </w:p>
        </w:tc>
        <w:tc>
          <w:tcPr>
            <w:tcW w:w="2197" w:type="dxa"/>
            <w:tcBorders>
              <w:top w:val="single" w:color="auto" w:sz="4" w:space="0"/>
              <w:left w:val="single" w:color="auto" w:sz="4" w:space="0"/>
              <w:bottom w:val="single" w:color="auto" w:sz="4" w:space="0"/>
              <w:right w:val="single" w:color="auto" w:sz="4" w:space="0"/>
            </w:tcBorders>
          </w:tcPr>
          <w:p w14:paraId="5CD4112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75" w:type="dxa"/>
            <w:tcBorders>
              <w:top w:val="single" w:color="auto" w:sz="4" w:space="0"/>
              <w:left w:val="single" w:color="auto" w:sz="4" w:space="0"/>
              <w:bottom w:val="single" w:color="auto" w:sz="4" w:space="0"/>
              <w:right w:val="single" w:color="auto" w:sz="4" w:space="0"/>
            </w:tcBorders>
          </w:tcPr>
          <w:p w14:paraId="5B6DD9F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88" w:type="dxa"/>
            <w:tcBorders>
              <w:top w:val="single" w:color="auto" w:sz="4" w:space="0"/>
              <w:left w:val="single" w:color="auto" w:sz="4" w:space="0"/>
              <w:bottom w:val="single" w:color="auto" w:sz="4" w:space="0"/>
              <w:right w:val="single" w:color="auto" w:sz="4" w:space="0"/>
            </w:tcBorders>
          </w:tcPr>
          <w:p w14:paraId="3F7FFA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675" w:type="dxa"/>
            <w:tcBorders>
              <w:top w:val="single" w:color="auto" w:sz="4" w:space="0"/>
              <w:left w:val="single" w:color="auto" w:sz="4" w:space="0"/>
              <w:bottom w:val="single" w:color="auto" w:sz="4" w:space="0"/>
              <w:right w:val="single" w:color="auto" w:sz="4" w:space="0"/>
            </w:tcBorders>
          </w:tcPr>
          <w:p w14:paraId="2DAC0D1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6167176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bl>
    <w:p w14:paraId="6AEF86A9">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lang w:val="en-US" w:eastAsia="zh-CN" w:bidi="ar"/>
        </w:rPr>
      </w:pPr>
    </w:p>
    <w:p w14:paraId="7336C43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lang w:val="en-US" w:eastAsia="zh-CN" w:bidi="ar"/>
        </w:rPr>
      </w:pPr>
    </w:p>
    <w:p w14:paraId="584F5980">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color w:val="auto"/>
          <w:highlight w:val="none"/>
        </w:rPr>
      </w:pPr>
      <w:r>
        <w:rPr>
          <w:rFonts w:hint="eastAsia" w:ascii="宋体" w:hAnsi="宋体" w:eastAsia="宋体" w:cs="宋体"/>
          <w:color w:val="auto"/>
          <w:kern w:val="0"/>
          <w:sz w:val="24"/>
          <w:szCs w:val="24"/>
          <w:highlight w:val="none"/>
          <w:lang w:val="en-US" w:eastAsia="zh-CN" w:bidi="ar"/>
        </w:rPr>
        <w:t>注：</w:t>
      </w:r>
    </w:p>
    <w:p w14:paraId="73A7316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、供货单价</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元/片</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szCs w:val="24"/>
          <w:highlight w:val="none"/>
          <w:lang w:val="en-US" w:eastAsia="zh-CN" w:bidi="ar"/>
        </w:rPr>
        <w:t>=控制单价</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元/片</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szCs w:val="24"/>
          <w:highlight w:val="none"/>
          <w:lang w:val="en-US" w:eastAsia="zh-CN" w:bidi="ar"/>
        </w:rPr>
        <w:t>×综合折扣率</w:t>
      </w:r>
    </w:p>
    <w:p w14:paraId="1DD4186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2、综合折扣率（%）应当与“初次报价一览表”中磋商报价（%）相同，否则按无效投标处理。 </w:t>
      </w:r>
    </w:p>
    <w:p w14:paraId="16DB897B">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3、本项目各类产品最终以“实际供货数量×供货单价”进行结算。</w:t>
      </w:r>
    </w:p>
    <w:p w14:paraId="1E22C81F">
      <w:pPr>
        <w:pStyle w:val="31"/>
        <w:ind w:firstLine="3990" w:firstLineChars="1900"/>
        <w:rPr>
          <w:rFonts w:hint="eastAsia" w:ascii="宋体" w:hAnsi="宋体" w:eastAsia="宋体" w:cs="宋体"/>
          <w:color w:val="auto"/>
          <w:sz w:val="21"/>
          <w:szCs w:val="21"/>
          <w:highlight w:val="none"/>
          <w:lang w:eastAsia="zh-CN"/>
        </w:rPr>
      </w:pPr>
    </w:p>
    <w:p w14:paraId="6111CC48">
      <w:pPr>
        <w:pStyle w:val="32"/>
        <w:rPr>
          <w:rFonts w:hint="eastAsia"/>
          <w:color w:val="auto"/>
          <w:highlight w:val="none"/>
          <w:lang w:eastAsia="zh-CN"/>
        </w:rPr>
      </w:pPr>
    </w:p>
    <w:p w14:paraId="6614E09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7AB74C8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6DE66000">
      <w:pPr>
        <w:spacing w:line="360" w:lineRule="auto"/>
        <w:ind w:firstLine="1680" w:firstLineChars="800"/>
        <w:jc w:val="both"/>
        <w:rPr>
          <w:rFonts w:hint="eastAsia" w:ascii="宋体" w:hAnsi="宋体" w:eastAsia="宋体" w:cs="宋体"/>
          <w:color w:val="auto"/>
          <w:szCs w:val="21"/>
          <w:highlight w:val="none"/>
          <w:u w:val="single"/>
        </w:rPr>
      </w:pPr>
    </w:p>
    <w:p w14:paraId="054C4BE9">
      <w:pPr>
        <w:widowControl/>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6633B4E9">
      <w:pPr>
        <w:pStyle w:val="16"/>
        <w:rPr>
          <w:rFonts w:hint="eastAsia" w:ascii="宋体" w:hAnsi="宋体" w:eastAsia="宋体" w:cs="宋体"/>
          <w:color w:val="auto"/>
          <w:kern w:val="0"/>
          <w:sz w:val="24"/>
          <w:highlight w:val="none"/>
        </w:rPr>
        <w:sectPr>
          <w:pgSz w:w="11906" w:h="16838"/>
          <w:pgMar w:top="1417" w:right="1474" w:bottom="1417" w:left="1474" w:header="851" w:footer="624" w:gutter="0"/>
          <w:pgNumType w:fmt="decimal"/>
          <w:cols w:space="720" w:num="1"/>
          <w:docGrid w:type="lines" w:linePitch="319" w:charSpace="0"/>
        </w:sectPr>
      </w:pPr>
    </w:p>
    <w:p w14:paraId="680BBFF6">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4" w:name="_Toc15804"/>
      <w:bookmarkStart w:id="65" w:name="_Toc226"/>
      <w:r>
        <w:rPr>
          <w:rFonts w:hint="eastAsia" w:ascii="宋体" w:hAnsi="宋体" w:eastAsia="宋体" w:cs="宋体"/>
          <w:color w:val="auto"/>
          <w:sz w:val="28"/>
          <w:szCs w:val="28"/>
          <w:highlight w:val="none"/>
          <w:lang w:val="en-US" w:eastAsia="zh-CN"/>
        </w:rPr>
        <w:t xml:space="preserve">附件5         </w:t>
      </w:r>
      <w:bookmarkEnd w:id="64"/>
      <w:bookmarkEnd w:id="65"/>
      <w:r>
        <w:rPr>
          <w:rFonts w:hint="eastAsia" w:ascii="宋体" w:hAnsi="宋体" w:eastAsia="宋体" w:cs="宋体"/>
          <w:color w:val="auto"/>
          <w:sz w:val="28"/>
          <w:szCs w:val="28"/>
          <w:highlight w:val="none"/>
          <w:lang w:val="en-US" w:eastAsia="zh-CN"/>
        </w:rPr>
        <w:t xml:space="preserve">  技术响应表（格式）</w:t>
      </w:r>
    </w:p>
    <w:tbl>
      <w:tblPr>
        <w:tblStyle w:val="96"/>
        <w:tblW w:w="93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837"/>
        <w:gridCol w:w="2160"/>
        <w:gridCol w:w="2205"/>
        <w:gridCol w:w="1425"/>
        <w:gridCol w:w="930"/>
      </w:tblGrid>
      <w:tr w14:paraId="64CEF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 w:hRule="atLeast"/>
        </w:trPr>
        <w:tc>
          <w:tcPr>
            <w:tcW w:w="772" w:type="dxa"/>
            <w:noWrap w:val="0"/>
            <w:vAlign w:val="center"/>
          </w:tcPr>
          <w:p w14:paraId="36ABE01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序号</w:t>
            </w:r>
          </w:p>
        </w:tc>
        <w:tc>
          <w:tcPr>
            <w:tcW w:w="1837" w:type="dxa"/>
            <w:noWrap w:val="0"/>
            <w:vAlign w:val="center"/>
          </w:tcPr>
          <w:p w14:paraId="1AA33AD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货物名称</w:t>
            </w:r>
          </w:p>
        </w:tc>
        <w:tc>
          <w:tcPr>
            <w:tcW w:w="2160" w:type="dxa"/>
            <w:noWrap w:val="0"/>
            <w:vAlign w:val="center"/>
          </w:tcPr>
          <w:p w14:paraId="326CF64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磋商文件要求</w:t>
            </w:r>
          </w:p>
        </w:tc>
        <w:tc>
          <w:tcPr>
            <w:tcW w:w="2205" w:type="dxa"/>
            <w:noWrap w:val="0"/>
            <w:vAlign w:val="center"/>
          </w:tcPr>
          <w:p w14:paraId="62646E8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响应文件响应</w:t>
            </w:r>
          </w:p>
        </w:tc>
        <w:tc>
          <w:tcPr>
            <w:tcW w:w="1425" w:type="dxa"/>
            <w:noWrap w:val="0"/>
            <w:vAlign w:val="center"/>
          </w:tcPr>
          <w:p w14:paraId="034408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偏离情况</w:t>
            </w:r>
          </w:p>
        </w:tc>
        <w:tc>
          <w:tcPr>
            <w:tcW w:w="930" w:type="dxa"/>
            <w:noWrap w:val="0"/>
            <w:vAlign w:val="center"/>
          </w:tcPr>
          <w:p w14:paraId="68D1964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备注</w:t>
            </w:r>
          </w:p>
        </w:tc>
      </w:tr>
      <w:tr w14:paraId="564B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772" w:type="dxa"/>
            <w:noWrap w:val="0"/>
            <w:vAlign w:val="center"/>
          </w:tcPr>
          <w:p w14:paraId="6097716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37" w:type="dxa"/>
            <w:noWrap w:val="0"/>
            <w:vAlign w:val="center"/>
          </w:tcPr>
          <w:p w14:paraId="07AE80D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4FEA0A0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2B4E1F5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144334B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3BB1054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72F5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trPr>
        <w:tc>
          <w:tcPr>
            <w:tcW w:w="772" w:type="dxa"/>
            <w:noWrap w:val="0"/>
            <w:vAlign w:val="center"/>
          </w:tcPr>
          <w:p w14:paraId="39EB156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37" w:type="dxa"/>
            <w:noWrap w:val="0"/>
            <w:vAlign w:val="center"/>
          </w:tcPr>
          <w:p w14:paraId="04A1B96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3503725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52107F0B">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0007972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083F1D1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6A69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5" w:hRule="atLeast"/>
        </w:trPr>
        <w:tc>
          <w:tcPr>
            <w:tcW w:w="772" w:type="dxa"/>
            <w:noWrap w:val="0"/>
            <w:vAlign w:val="center"/>
          </w:tcPr>
          <w:p w14:paraId="25D36DF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37" w:type="dxa"/>
            <w:noWrap w:val="0"/>
            <w:vAlign w:val="center"/>
          </w:tcPr>
          <w:p w14:paraId="7CCF6FD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35CC84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06EADA1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5B2832E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33B1FC9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4AFFF5E2">
      <w:pPr>
        <w:widowControl/>
        <w:wordWrap w:val="0"/>
        <w:spacing w:line="460" w:lineRule="exact"/>
        <w:ind w:firstLine="422" w:firstLineChars="200"/>
        <w:jc w:val="left"/>
        <w:rPr>
          <w:rFonts w:hint="eastAsia" w:ascii="宋体" w:hAnsi="宋体" w:eastAsia="宋体" w:cs="宋体"/>
          <w:b/>
          <w:color w:val="auto"/>
          <w:kern w:val="0"/>
          <w:sz w:val="21"/>
          <w:szCs w:val="21"/>
          <w:highlight w:val="none"/>
          <w:lang w:val="en-US" w:eastAsia="zh-CN"/>
        </w:rPr>
      </w:pPr>
    </w:p>
    <w:p w14:paraId="181746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b/>
          <w:bCs/>
          <w:color w:val="auto"/>
          <w:sz w:val="24"/>
          <w:szCs w:val="32"/>
          <w:highlight w:val="none"/>
        </w:rPr>
      </w:pPr>
      <w:r>
        <w:rPr>
          <w:rFonts w:hint="eastAsia" w:asciiTheme="minorEastAsia" w:hAnsiTheme="minorEastAsia"/>
          <w:b/>
          <w:bCs/>
          <w:color w:val="auto"/>
          <w:sz w:val="24"/>
          <w:szCs w:val="32"/>
          <w:highlight w:val="none"/>
          <w:lang w:val="en-US" w:eastAsia="zh-CN"/>
        </w:rPr>
        <w:t>注：</w:t>
      </w:r>
      <w:r>
        <w:rPr>
          <w:rFonts w:hint="eastAsia" w:asciiTheme="minorEastAsia" w:hAnsiTheme="minorEastAsia"/>
          <w:b/>
          <w:bCs/>
          <w:color w:val="auto"/>
          <w:sz w:val="24"/>
          <w:szCs w:val="32"/>
          <w:highlight w:val="none"/>
        </w:rPr>
        <w:t>本表中“偏离</w:t>
      </w:r>
      <w:r>
        <w:rPr>
          <w:rFonts w:hint="eastAsia" w:asciiTheme="minorEastAsia" w:hAnsiTheme="minorEastAsia"/>
          <w:b/>
          <w:bCs/>
          <w:color w:val="auto"/>
          <w:sz w:val="24"/>
          <w:szCs w:val="32"/>
          <w:highlight w:val="none"/>
          <w:lang w:val="en-US" w:eastAsia="zh-CN"/>
        </w:rPr>
        <w:t>情况</w:t>
      </w:r>
      <w:r>
        <w:rPr>
          <w:rFonts w:hint="eastAsia" w:asciiTheme="minorEastAsia" w:hAnsiTheme="minorEastAsia"/>
          <w:b/>
          <w:bCs/>
          <w:color w:val="auto"/>
          <w:sz w:val="24"/>
          <w:szCs w:val="32"/>
          <w:highlight w:val="none"/>
        </w:rPr>
        <w:t>”只有三种状态（正偏离、无偏离、负偏离）</w:t>
      </w:r>
    </w:p>
    <w:p w14:paraId="0F255258">
      <w:pPr>
        <w:pageBreakBefore w:val="0"/>
        <w:widowControl/>
        <w:wordWrap/>
        <w:overflowPunct/>
        <w:topLinePunct w:val="0"/>
        <w:bidi w:val="0"/>
        <w:spacing w:line="360" w:lineRule="auto"/>
        <w:textAlignment w:val="baseline"/>
        <w:rPr>
          <w:rFonts w:hint="eastAsia" w:ascii="宋体" w:hAnsi="宋体" w:eastAsia="宋体" w:cs="宋体"/>
          <w:b/>
          <w:bCs/>
          <w:color w:val="auto"/>
          <w:sz w:val="21"/>
          <w:szCs w:val="21"/>
          <w:highlight w:val="none"/>
        </w:rPr>
      </w:pPr>
    </w:p>
    <w:p w14:paraId="1D18D835">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p>
    <w:p w14:paraId="64DC9DF3">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9CC9133">
      <w:pPr>
        <w:pageBreakBefore w:val="0"/>
        <w:widowControl/>
        <w:wordWrap/>
        <w:overflowPunct/>
        <w:topLinePunct w:val="0"/>
        <w:bidi w:val="0"/>
        <w:spacing w:line="360" w:lineRule="auto"/>
        <w:ind w:firstLine="2100" w:firstLineChars="10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2478C7F9">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143873FF">
      <w:pPr>
        <w:rPr>
          <w:rFonts w:hint="default" w:ascii="宋体" w:hAnsi="宋体" w:eastAsia="宋体" w:cs="宋体"/>
          <w:color w:val="auto"/>
          <w:kern w:val="0"/>
          <w:sz w:val="24"/>
          <w:highlight w:val="none"/>
          <w:lang w:val="en-US"/>
        </w:rPr>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r>
        <w:rPr>
          <w:rFonts w:hint="eastAsia" w:asciiTheme="minorEastAsia" w:hAnsiTheme="minorEastAsia"/>
          <w:b/>
          <w:bCs/>
          <w:color w:val="auto"/>
          <w:sz w:val="24"/>
          <w:szCs w:val="32"/>
          <w:highlight w:val="none"/>
          <w:lang w:val="en-US" w:eastAsia="zh-CN"/>
        </w:rPr>
        <w:t>5.1 “第二章  采购需求 三、技术要求”中需提供的证明材料</w:t>
      </w:r>
    </w:p>
    <w:p w14:paraId="76916F76">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6" w:name="_Toc24168"/>
      <w:bookmarkStart w:id="67" w:name="_Toc20420"/>
      <w:bookmarkStart w:id="68" w:name="_Toc29960"/>
      <w:r>
        <w:rPr>
          <w:rFonts w:hint="eastAsia" w:ascii="宋体" w:hAnsi="宋体" w:eastAsia="宋体" w:cs="宋体"/>
          <w:color w:val="auto"/>
          <w:sz w:val="28"/>
          <w:szCs w:val="28"/>
          <w:highlight w:val="none"/>
          <w:lang w:val="en-US" w:eastAsia="zh-CN"/>
        </w:rPr>
        <w:t>附件6            商务响应</w:t>
      </w:r>
      <w:bookmarkEnd w:id="66"/>
      <w:bookmarkEnd w:id="67"/>
      <w:bookmarkEnd w:id="68"/>
      <w:r>
        <w:rPr>
          <w:rFonts w:hint="eastAsia" w:ascii="宋体" w:hAnsi="宋体" w:eastAsia="宋体" w:cs="宋体"/>
          <w:color w:val="auto"/>
          <w:sz w:val="28"/>
          <w:szCs w:val="28"/>
          <w:highlight w:val="none"/>
          <w:lang w:val="en-US" w:eastAsia="zh-CN"/>
        </w:rPr>
        <w:t>表（格式）</w:t>
      </w:r>
    </w:p>
    <w:p w14:paraId="6BAFA9AB">
      <w:pPr>
        <w:widowControl/>
        <w:wordWrap w:val="0"/>
        <w:spacing w:line="460" w:lineRule="exact"/>
        <w:jc w:val="left"/>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 xml:space="preserve">  </w:t>
      </w:r>
    </w:p>
    <w:tbl>
      <w:tblPr>
        <w:tblStyle w:val="96"/>
        <w:tblW w:w="102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11"/>
        <w:gridCol w:w="1832"/>
        <w:gridCol w:w="2667"/>
        <w:gridCol w:w="2038"/>
        <w:gridCol w:w="1349"/>
        <w:gridCol w:w="1349"/>
      </w:tblGrid>
      <w:tr w14:paraId="69DB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011" w:type="dxa"/>
            <w:noWrap w:val="0"/>
            <w:vAlign w:val="center"/>
          </w:tcPr>
          <w:p w14:paraId="4BA83DF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序号</w:t>
            </w:r>
          </w:p>
        </w:tc>
        <w:tc>
          <w:tcPr>
            <w:tcW w:w="1832" w:type="dxa"/>
            <w:noWrap w:val="0"/>
            <w:vAlign w:val="center"/>
          </w:tcPr>
          <w:p w14:paraId="116B7DD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项目</w:t>
            </w:r>
          </w:p>
        </w:tc>
        <w:tc>
          <w:tcPr>
            <w:tcW w:w="2667" w:type="dxa"/>
            <w:noWrap w:val="0"/>
            <w:vAlign w:val="center"/>
          </w:tcPr>
          <w:p w14:paraId="03976BA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磋商文件要求</w:t>
            </w:r>
          </w:p>
        </w:tc>
        <w:tc>
          <w:tcPr>
            <w:tcW w:w="2038" w:type="dxa"/>
            <w:noWrap w:val="0"/>
            <w:vAlign w:val="center"/>
          </w:tcPr>
          <w:p w14:paraId="01FCE42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响应文件响应</w:t>
            </w:r>
          </w:p>
        </w:tc>
        <w:tc>
          <w:tcPr>
            <w:tcW w:w="1349" w:type="dxa"/>
            <w:noWrap w:val="0"/>
            <w:vAlign w:val="center"/>
          </w:tcPr>
          <w:p w14:paraId="659D63C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偏离情况</w:t>
            </w:r>
          </w:p>
        </w:tc>
        <w:tc>
          <w:tcPr>
            <w:tcW w:w="1349" w:type="dxa"/>
            <w:noWrap w:val="0"/>
            <w:vAlign w:val="center"/>
          </w:tcPr>
          <w:p w14:paraId="217809A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备注</w:t>
            </w:r>
          </w:p>
        </w:tc>
      </w:tr>
      <w:tr w14:paraId="03EA7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26C8ED0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832" w:type="dxa"/>
            <w:noWrap w:val="0"/>
            <w:vAlign w:val="center"/>
          </w:tcPr>
          <w:p w14:paraId="3293AE42">
            <w:pPr>
              <w:pStyle w:val="15"/>
              <w:ind w:left="0" w:leftChars="0"/>
              <w:jc w:val="center"/>
              <w:rPr>
                <w:rFonts w:hint="eastAsia" w:ascii="宋体" w:hAnsi="宋体" w:eastAsia="宋体" w:cs="宋体"/>
                <w:color w:val="auto"/>
                <w:sz w:val="21"/>
                <w:szCs w:val="21"/>
                <w:highlight w:val="none"/>
              </w:rPr>
            </w:pPr>
          </w:p>
        </w:tc>
        <w:tc>
          <w:tcPr>
            <w:tcW w:w="2667" w:type="dxa"/>
            <w:noWrap w:val="0"/>
            <w:vAlign w:val="center"/>
          </w:tcPr>
          <w:p w14:paraId="428E1CA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19696E5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5F3761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5B8E5F2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190B4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55F100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1832" w:type="dxa"/>
            <w:noWrap w:val="0"/>
            <w:vAlign w:val="center"/>
          </w:tcPr>
          <w:p w14:paraId="77DB1EDF">
            <w:pPr>
              <w:pStyle w:val="15"/>
              <w:ind w:left="0" w:leftChars="0"/>
              <w:jc w:val="center"/>
              <w:rPr>
                <w:rFonts w:hint="eastAsia" w:ascii="宋体" w:hAnsi="宋体" w:eastAsia="宋体" w:cs="宋体"/>
                <w:color w:val="auto"/>
                <w:sz w:val="21"/>
                <w:szCs w:val="21"/>
                <w:highlight w:val="none"/>
                <w:lang w:val="en-US" w:eastAsia="zh-CN"/>
              </w:rPr>
            </w:pPr>
          </w:p>
        </w:tc>
        <w:tc>
          <w:tcPr>
            <w:tcW w:w="2667" w:type="dxa"/>
            <w:noWrap w:val="0"/>
            <w:vAlign w:val="center"/>
          </w:tcPr>
          <w:p w14:paraId="4A7939A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02FA647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43687C0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52AB6B3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240A1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9E4F4C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eastAsia="zh-CN"/>
              </w:rPr>
            </w:pPr>
          </w:p>
        </w:tc>
        <w:tc>
          <w:tcPr>
            <w:tcW w:w="1832" w:type="dxa"/>
            <w:noWrap w:val="0"/>
            <w:vAlign w:val="center"/>
          </w:tcPr>
          <w:p w14:paraId="3BE4DBE8">
            <w:pPr>
              <w:pStyle w:val="15"/>
              <w:ind w:left="0" w:leftChars="0"/>
              <w:jc w:val="center"/>
              <w:rPr>
                <w:rFonts w:hint="eastAsia" w:ascii="宋体" w:hAnsi="宋体" w:eastAsia="宋体" w:cs="宋体"/>
                <w:color w:val="auto"/>
                <w:sz w:val="21"/>
                <w:szCs w:val="21"/>
                <w:highlight w:val="none"/>
              </w:rPr>
            </w:pPr>
          </w:p>
        </w:tc>
        <w:tc>
          <w:tcPr>
            <w:tcW w:w="2667" w:type="dxa"/>
            <w:noWrap w:val="0"/>
            <w:vAlign w:val="center"/>
          </w:tcPr>
          <w:p w14:paraId="16CCDC2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39712AD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2078B30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3277D7B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00FC7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67B5752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1832" w:type="dxa"/>
            <w:noWrap w:val="0"/>
            <w:vAlign w:val="center"/>
          </w:tcPr>
          <w:p w14:paraId="65772E98">
            <w:pPr>
              <w:pStyle w:val="15"/>
              <w:ind w:left="0" w:leftChars="0"/>
              <w:jc w:val="center"/>
              <w:rPr>
                <w:rFonts w:hint="eastAsia" w:ascii="宋体" w:hAnsi="宋体" w:eastAsia="宋体" w:cs="宋体"/>
                <w:color w:val="auto"/>
                <w:sz w:val="21"/>
                <w:szCs w:val="21"/>
                <w:highlight w:val="none"/>
              </w:rPr>
            </w:pPr>
          </w:p>
        </w:tc>
        <w:tc>
          <w:tcPr>
            <w:tcW w:w="2667" w:type="dxa"/>
            <w:noWrap w:val="0"/>
            <w:vAlign w:val="center"/>
          </w:tcPr>
          <w:p w14:paraId="14678F0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554ED0B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1559E2D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4301EE5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7B9E0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5FCF660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1832" w:type="dxa"/>
            <w:noWrap w:val="0"/>
            <w:vAlign w:val="center"/>
          </w:tcPr>
          <w:p w14:paraId="14EF3971">
            <w:pPr>
              <w:pStyle w:val="15"/>
              <w:ind w:left="0" w:leftChars="0"/>
              <w:jc w:val="center"/>
              <w:rPr>
                <w:rFonts w:hint="eastAsia" w:ascii="宋体" w:hAnsi="宋体" w:eastAsia="宋体" w:cs="宋体"/>
                <w:color w:val="auto"/>
                <w:sz w:val="21"/>
                <w:szCs w:val="21"/>
                <w:highlight w:val="none"/>
              </w:rPr>
            </w:pPr>
          </w:p>
        </w:tc>
        <w:tc>
          <w:tcPr>
            <w:tcW w:w="2667" w:type="dxa"/>
            <w:noWrap w:val="0"/>
            <w:vAlign w:val="center"/>
          </w:tcPr>
          <w:p w14:paraId="07C8FC1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1553AA8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F15F8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64239D2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602D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jc w:val="center"/>
        </w:trPr>
        <w:tc>
          <w:tcPr>
            <w:tcW w:w="1011" w:type="dxa"/>
            <w:noWrap w:val="0"/>
            <w:vAlign w:val="center"/>
          </w:tcPr>
          <w:p w14:paraId="21DC04B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1832" w:type="dxa"/>
            <w:noWrap w:val="0"/>
            <w:vAlign w:val="center"/>
          </w:tcPr>
          <w:p w14:paraId="396498BD">
            <w:pPr>
              <w:pStyle w:val="15"/>
              <w:ind w:left="0" w:leftChars="0"/>
              <w:jc w:val="center"/>
              <w:rPr>
                <w:rFonts w:hint="eastAsia" w:ascii="宋体" w:hAnsi="宋体" w:eastAsia="宋体" w:cs="宋体"/>
                <w:color w:val="auto"/>
                <w:sz w:val="21"/>
                <w:szCs w:val="21"/>
                <w:highlight w:val="none"/>
              </w:rPr>
            </w:pPr>
          </w:p>
        </w:tc>
        <w:tc>
          <w:tcPr>
            <w:tcW w:w="2667" w:type="dxa"/>
            <w:noWrap w:val="0"/>
            <w:vAlign w:val="center"/>
          </w:tcPr>
          <w:p w14:paraId="0DEF108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7605C91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212457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68DEFB2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2A1A9B6B">
      <w:pPr>
        <w:rPr>
          <w:rFonts w:hint="eastAsia" w:ascii="宋体" w:hAnsi="宋体" w:eastAsia="宋体" w:cs="宋体"/>
          <w:b/>
          <w:color w:val="auto"/>
          <w:kern w:val="0"/>
          <w:sz w:val="21"/>
          <w:szCs w:val="21"/>
          <w:highlight w:val="none"/>
        </w:rPr>
      </w:pPr>
    </w:p>
    <w:p w14:paraId="35E8E964">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color w:val="auto"/>
          <w:sz w:val="24"/>
          <w:szCs w:val="32"/>
          <w:highlight w:val="none"/>
        </w:rPr>
      </w:pPr>
      <w:r>
        <w:rPr>
          <w:rFonts w:hint="eastAsia" w:asciiTheme="minorEastAsia" w:hAnsiTheme="minorEastAsia"/>
          <w:b/>
          <w:bCs/>
          <w:color w:val="auto"/>
          <w:sz w:val="24"/>
          <w:szCs w:val="32"/>
          <w:highlight w:val="none"/>
          <w:lang w:val="en-US" w:eastAsia="zh-CN"/>
        </w:rPr>
        <w:t>注：</w:t>
      </w:r>
      <w:r>
        <w:rPr>
          <w:rFonts w:hint="eastAsia" w:asciiTheme="minorEastAsia" w:hAnsiTheme="minorEastAsia"/>
          <w:b/>
          <w:bCs/>
          <w:color w:val="auto"/>
          <w:sz w:val="24"/>
          <w:szCs w:val="32"/>
          <w:highlight w:val="none"/>
        </w:rPr>
        <w:t>本表中“偏离</w:t>
      </w:r>
      <w:r>
        <w:rPr>
          <w:rFonts w:hint="eastAsia" w:asciiTheme="minorEastAsia" w:hAnsiTheme="minorEastAsia"/>
          <w:b/>
          <w:bCs/>
          <w:color w:val="auto"/>
          <w:sz w:val="24"/>
          <w:szCs w:val="32"/>
          <w:highlight w:val="none"/>
          <w:lang w:val="en-US" w:eastAsia="zh-CN"/>
        </w:rPr>
        <w:t>情况</w:t>
      </w:r>
      <w:r>
        <w:rPr>
          <w:rFonts w:hint="eastAsia" w:asciiTheme="minorEastAsia" w:hAnsiTheme="minorEastAsia"/>
          <w:b/>
          <w:bCs/>
          <w:color w:val="auto"/>
          <w:sz w:val="24"/>
          <w:szCs w:val="32"/>
          <w:highlight w:val="none"/>
        </w:rPr>
        <w:t>”只有三种状态（正偏离、无偏离、负偏离）</w:t>
      </w:r>
    </w:p>
    <w:p w14:paraId="3A6DD457">
      <w:pPr>
        <w:pStyle w:val="31"/>
        <w:rPr>
          <w:rFonts w:hint="eastAsia" w:ascii="宋体" w:hAnsi="宋体" w:eastAsia="宋体" w:cs="宋体"/>
          <w:color w:val="auto"/>
          <w:sz w:val="21"/>
          <w:szCs w:val="21"/>
          <w:highlight w:val="none"/>
        </w:rPr>
      </w:pPr>
    </w:p>
    <w:p w14:paraId="6837A39B">
      <w:pPr>
        <w:pageBreakBefore w:val="0"/>
        <w:widowControl/>
        <w:wordWrap/>
        <w:overflowPunct/>
        <w:topLinePunct w:val="0"/>
        <w:bidi w:val="0"/>
        <w:spacing w:line="360" w:lineRule="auto"/>
        <w:ind w:firstLine="3360" w:firstLineChars="1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33824051">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3360" w:firstLineChars="14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7588281B">
      <w:pPr>
        <w:outlineLvl w:val="9"/>
        <w:rPr>
          <w:rFonts w:hint="eastAsia" w:ascii="宋体" w:hAnsi="宋体" w:eastAsia="宋体" w:cs="宋体"/>
          <w:color w:val="auto"/>
          <w:highlight w:val="none"/>
        </w:rPr>
      </w:pPr>
    </w:p>
    <w:p w14:paraId="53FD0412">
      <w:pPr>
        <w:outlineLvl w:val="9"/>
        <w:rPr>
          <w:rFonts w:hint="eastAsia" w:ascii="宋体" w:hAnsi="宋体" w:eastAsia="宋体" w:cs="宋体"/>
          <w:color w:val="auto"/>
          <w:highlight w:val="none"/>
        </w:rPr>
      </w:pPr>
    </w:p>
    <w:p w14:paraId="3AEB9F14">
      <w:pPr>
        <w:outlineLvl w:val="9"/>
        <w:rPr>
          <w:rFonts w:hint="eastAsia" w:ascii="宋体" w:hAnsi="宋体" w:eastAsia="宋体" w:cs="宋体"/>
          <w:color w:val="auto"/>
          <w:highlight w:val="none"/>
        </w:rPr>
      </w:pPr>
    </w:p>
    <w:p w14:paraId="5AED0F2A">
      <w:pPr>
        <w:outlineLvl w:val="9"/>
        <w:rPr>
          <w:rFonts w:hint="eastAsia" w:ascii="宋体" w:hAnsi="宋体" w:eastAsia="宋体" w:cs="宋体"/>
          <w:color w:val="auto"/>
          <w:highlight w:val="none"/>
        </w:rPr>
      </w:pPr>
    </w:p>
    <w:p w14:paraId="5EA0D74E">
      <w:pPr>
        <w:outlineLvl w:val="9"/>
        <w:rPr>
          <w:rFonts w:hint="eastAsia" w:ascii="宋体" w:hAnsi="宋体" w:eastAsia="宋体" w:cs="宋体"/>
          <w:color w:val="auto"/>
          <w:highlight w:val="none"/>
        </w:rPr>
      </w:pPr>
    </w:p>
    <w:p w14:paraId="3570C238">
      <w:pPr>
        <w:outlineLvl w:val="9"/>
        <w:rPr>
          <w:rFonts w:hint="eastAsia" w:ascii="宋体" w:hAnsi="宋体" w:eastAsia="宋体" w:cs="宋体"/>
          <w:color w:val="auto"/>
          <w:highlight w:val="none"/>
        </w:rPr>
      </w:pPr>
    </w:p>
    <w:p w14:paraId="3A08270B">
      <w:pPr>
        <w:outlineLvl w:val="9"/>
        <w:rPr>
          <w:rFonts w:hint="eastAsia" w:ascii="宋体" w:hAnsi="宋体" w:eastAsia="宋体" w:cs="宋体"/>
          <w:color w:val="auto"/>
          <w:highlight w:val="none"/>
        </w:rPr>
      </w:pPr>
    </w:p>
    <w:p w14:paraId="12F493B2">
      <w:pPr>
        <w:outlineLvl w:val="9"/>
        <w:rPr>
          <w:rFonts w:hint="eastAsia" w:ascii="宋体" w:hAnsi="宋体" w:eastAsia="宋体" w:cs="宋体"/>
          <w:color w:val="auto"/>
          <w:highlight w:val="none"/>
        </w:rPr>
      </w:pPr>
    </w:p>
    <w:p w14:paraId="379B96AA">
      <w:pPr>
        <w:outlineLvl w:val="9"/>
        <w:rPr>
          <w:rFonts w:hint="eastAsia" w:ascii="宋体" w:hAnsi="宋体" w:eastAsia="宋体" w:cs="宋体"/>
          <w:color w:val="auto"/>
          <w:highlight w:val="none"/>
        </w:rPr>
      </w:pPr>
    </w:p>
    <w:p w14:paraId="5F90B2F8">
      <w:pPr>
        <w:outlineLvl w:val="9"/>
        <w:rPr>
          <w:rFonts w:hint="eastAsia" w:ascii="宋体" w:hAnsi="宋体" w:eastAsia="宋体" w:cs="宋体"/>
          <w:color w:val="auto"/>
          <w:highlight w:val="none"/>
        </w:rPr>
      </w:pPr>
    </w:p>
    <w:p w14:paraId="78328238">
      <w:pPr>
        <w:outlineLvl w:val="9"/>
        <w:rPr>
          <w:rFonts w:hint="eastAsia" w:ascii="宋体" w:hAnsi="宋体" w:eastAsia="宋体" w:cs="宋体"/>
          <w:color w:val="auto"/>
          <w:highlight w:val="none"/>
        </w:rPr>
      </w:pPr>
    </w:p>
    <w:p w14:paraId="69EB5529">
      <w:pPr>
        <w:outlineLvl w:val="9"/>
        <w:rPr>
          <w:rFonts w:hint="eastAsia" w:ascii="宋体" w:hAnsi="宋体" w:eastAsia="宋体" w:cs="宋体"/>
          <w:color w:val="auto"/>
          <w:highlight w:val="none"/>
        </w:rPr>
      </w:pPr>
    </w:p>
    <w:p w14:paraId="55661C75">
      <w:pPr>
        <w:outlineLvl w:val="9"/>
        <w:rPr>
          <w:rFonts w:hint="eastAsia" w:ascii="宋体" w:hAnsi="宋体" w:eastAsia="宋体" w:cs="宋体"/>
          <w:color w:val="auto"/>
          <w:highlight w:val="none"/>
        </w:rPr>
      </w:pPr>
    </w:p>
    <w:p w14:paraId="3EE75555">
      <w:pPr>
        <w:outlineLvl w:val="9"/>
        <w:rPr>
          <w:rFonts w:hint="eastAsia" w:ascii="宋体" w:hAnsi="宋体" w:eastAsia="宋体" w:cs="宋体"/>
          <w:color w:val="auto"/>
          <w:highlight w:val="none"/>
        </w:rPr>
      </w:pPr>
    </w:p>
    <w:p w14:paraId="7B5DFD3A">
      <w:pPr>
        <w:outlineLvl w:val="9"/>
        <w:rPr>
          <w:rFonts w:hint="eastAsia" w:ascii="宋体" w:hAnsi="宋体" w:eastAsia="宋体" w:cs="宋体"/>
          <w:color w:val="auto"/>
          <w:highlight w:val="none"/>
        </w:rPr>
      </w:pPr>
    </w:p>
    <w:p w14:paraId="301B401F">
      <w:pPr>
        <w:rPr>
          <w:rFonts w:hint="eastAsia" w:ascii="宋体" w:hAnsi="宋体" w:eastAsia="宋体" w:cs="宋体"/>
          <w:b/>
          <w:color w:val="auto"/>
          <w:sz w:val="28"/>
          <w:highlight w:val="none"/>
        </w:rPr>
      </w:pPr>
      <w:bookmarkStart w:id="69" w:name="_Toc31526"/>
      <w:bookmarkStart w:id="70" w:name="_Toc28621"/>
      <w:r>
        <w:rPr>
          <w:rFonts w:hint="eastAsia" w:ascii="宋体" w:hAnsi="宋体" w:eastAsia="宋体" w:cs="宋体"/>
          <w:b/>
          <w:color w:val="auto"/>
          <w:sz w:val="28"/>
          <w:highlight w:val="none"/>
        </w:rPr>
        <w:br w:type="page"/>
      </w:r>
    </w:p>
    <w:p w14:paraId="1F11031E">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1" w:name="_Toc29406"/>
      <w:r>
        <w:rPr>
          <w:rFonts w:hint="eastAsia" w:ascii="宋体" w:hAnsi="宋体" w:eastAsia="宋体" w:cs="宋体"/>
          <w:color w:val="auto"/>
          <w:sz w:val="28"/>
          <w:szCs w:val="28"/>
          <w:highlight w:val="none"/>
          <w:lang w:val="en-US" w:eastAsia="zh-CN"/>
        </w:rPr>
        <w:t>附件7         法定代表人身份证明（格式）</w:t>
      </w:r>
      <w:bookmarkEnd w:id="69"/>
      <w:bookmarkEnd w:id="70"/>
      <w:bookmarkEnd w:id="71"/>
    </w:p>
    <w:p w14:paraId="4E6952A4">
      <w:pPr>
        <w:widowControl/>
        <w:wordWrap w:val="0"/>
        <w:spacing w:line="460" w:lineRule="exact"/>
        <w:jc w:val="left"/>
        <w:rPr>
          <w:rFonts w:hint="eastAsia" w:ascii="宋体" w:hAnsi="宋体" w:eastAsia="宋体" w:cs="宋体"/>
          <w:color w:val="auto"/>
          <w:kern w:val="0"/>
          <w:sz w:val="24"/>
          <w:highlight w:val="none"/>
        </w:rPr>
      </w:pPr>
    </w:p>
    <w:p w14:paraId="2B8F8B92">
      <w:pPr>
        <w:widowControl/>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名称：</w:t>
      </w:r>
      <w:r>
        <w:rPr>
          <w:rFonts w:hint="eastAsia" w:ascii="宋体" w:hAnsi="宋体" w:eastAsia="宋体" w:cs="宋体"/>
          <w:color w:val="auto"/>
          <w:kern w:val="0"/>
          <w:szCs w:val="21"/>
          <w:highlight w:val="none"/>
          <w:u w:val="single"/>
          <w:lang w:val="en-US" w:eastAsia="zh-CN"/>
        </w:rPr>
        <w:t xml:space="preserve">                                </w:t>
      </w:r>
    </w:p>
    <w:p w14:paraId="7F360F26">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Cs w:val="21"/>
          <w:highlight w:val="none"/>
          <w:u w:val="single"/>
          <w:lang w:val="en-US" w:eastAsia="zh-CN"/>
        </w:rPr>
        <w:t xml:space="preserve">                                        </w:t>
      </w:r>
    </w:p>
    <w:p w14:paraId="75574A66">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年</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月</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日</w:t>
      </w:r>
    </w:p>
    <w:p w14:paraId="5BE70587">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szCs w:val="20"/>
          <w:highlight w:val="none"/>
        </w:rPr>
        <w:t>经营期限：</w:t>
      </w:r>
      <w:r>
        <w:rPr>
          <w:rFonts w:hint="eastAsia" w:ascii="宋体" w:hAnsi="宋体" w:eastAsia="宋体" w:cs="宋体"/>
          <w:color w:val="auto"/>
          <w:kern w:val="0"/>
          <w:szCs w:val="21"/>
          <w:highlight w:val="none"/>
          <w:u w:val="single"/>
          <w:lang w:val="en-US" w:eastAsia="zh-CN"/>
        </w:rPr>
        <w:t xml:space="preserve">                        </w:t>
      </w:r>
    </w:p>
    <w:p w14:paraId="72BF871B">
      <w:pPr>
        <w:widowControl/>
        <w:wordWrap w:val="0"/>
        <w:spacing w:line="460" w:lineRule="exact"/>
        <w:ind w:firstLine="48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，性别：</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，职务：</w:t>
      </w:r>
      <w:r>
        <w:rPr>
          <w:rFonts w:hint="eastAsia" w:ascii="宋体" w:hAnsi="宋体" w:eastAsia="宋体" w:cs="宋体"/>
          <w:color w:val="auto"/>
          <w:kern w:val="0"/>
          <w:szCs w:val="21"/>
          <w:highlight w:val="none"/>
          <w:u w:val="single"/>
          <w:lang w:val="en-US" w:eastAsia="zh-CN"/>
        </w:rPr>
        <w:t xml:space="preserve">        </w:t>
      </w:r>
    </w:p>
    <w:p w14:paraId="2A93B028">
      <w:pPr>
        <w:widowControl/>
        <w:wordWrap w:val="0"/>
        <w:spacing w:line="460" w:lineRule="exact"/>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w:t>
      </w:r>
      <w:r>
        <w:rPr>
          <w:rFonts w:hint="eastAsia" w:ascii="宋体" w:hAnsi="宋体" w:eastAsia="宋体" w:cs="宋体"/>
          <w:color w:val="auto"/>
          <w:kern w:val="0"/>
          <w:sz w:val="24"/>
          <w:szCs w:val="20"/>
          <w:highlight w:val="none"/>
          <w:lang w:eastAsia="zh-CN"/>
        </w:rPr>
        <w:t>供应商</w:t>
      </w:r>
      <w:r>
        <w:rPr>
          <w:rFonts w:hint="eastAsia" w:ascii="宋体" w:hAnsi="宋体" w:eastAsia="宋体" w:cs="宋体"/>
          <w:color w:val="auto"/>
          <w:kern w:val="0"/>
          <w:sz w:val="24"/>
          <w:szCs w:val="20"/>
          <w:highlight w:val="none"/>
        </w:rPr>
        <w:t>名称）的法定代表人。</w:t>
      </w:r>
    </w:p>
    <w:p w14:paraId="734506D8">
      <w:pPr>
        <w:widowControl/>
        <w:wordWrap w:val="0"/>
        <w:spacing w:line="460" w:lineRule="exact"/>
        <w:jc w:val="left"/>
        <w:rPr>
          <w:rFonts w:hint="eastAsia" w:ascii="宋体" w:hAnsi="宋体" w:eastAsia="宋体" w:cs="宋体"/>
          <w:color w:val="auto"/>
          <w:kern w:val="0"/>
          <w:sz w:val="24"/>
          <w:szCs w:val="20"/>
          <w:highlight w:val="none"/>
        </w:rPr>
      </w:pPr>
    </w:p>
    <w:p w14:paraId="63F2B553">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特此证明。</w:t>
      </w:r>
    </w:p>
    <w:p w14:paraId="1AEAD95F">
      <w:pPr>
        <w:widowControl/>
        <w:wordWrap w:val="0"/>
        <w:spacing w:line="460" w:lineRule="exact"/>
        <w:jc w:val="left"/>
        <w:rPr>
          <w:rFonts w:hint="eastAsia" w:ascii="宋体" w:hAnsi="宋体" w:eastAsia="宋体" w:cs="宋体"/>
          <w:color w:val="auto"/>
          <w:kern w:val="0"/>
          <w:sz w:val="24"/>
          <w:szCs w:val="20"/>
          <w:highlight w:val="none"/>
        </w:rPr>
      </w:pPr>
    </w:p>
    <w:p w14:paraId="5332D657">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tbl>
      <w:tblPr>
        <w:tblStyle w:val="33"/>
        <w:tblpPr w:leftFromText="180" w:rightFromText="180" w:topFromText="100" w:bottomFromText="100" w:vertAnchor="text" w:horzAnchor="page" w:tblpX="2106"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7"/>
      </w:tblGrid>
      <w:tr w14:paraId="5CAD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7527" w:type="dxa"/>
            <w:tcBorders>
              <w:top w:val="single" w:color="auto" w:sz="4" w:space="0"/>
              <w:left w:val="single" w:color="auto" w:sz="4" w:space="0"/>
              <w:bottom w:val="single" w:color="auto" w:sz="4" w:space="0"/>
              <w:right w:val="single" w:color="auto" w:sz="4" w:space="0"/>
            </w:tcBorders>
          </w:tcPr>
          <w:p w14:paraId="4F3A0D42">
            <w:pPr>
              <w:widowControl/>
              <w:spacing w:line="480" w:lineRule="exact"/>
              <w:jc w:val="center"/>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rPr>
              <w:t>此处请粘贴法定代表人身份</w:t>
            </w:r>
            <w:r>
              <w:rPr>
                <w:rFonts w:hint="eastAsia" w:ascii="宋体" w:hAnsi="宋体" w:cs="宋体"/>
                <w:bCs/>
                <w:color w:val="auto"/>
                <w:kern w:val="0"/>
                <w:sz w:val="24"/>
                <w:highlight w:val="none"/>
                <w:lang w:val="en-US" w:eastAsia="zh-CN"/>
              </w:rPr>
              <w:t>证明</w:t>
            </w:r>
          </w:p>
          <w:p w14:paraId="6540D297">
            <w:pPr>
              <w:widowControl/>
              <w:spacing w:line="480" w:lineRule="exact"/>
              <w:jc w:val="left"/>
              <w:rPr>
                <w:rFonts w:hint="eastAsia" w:ascii="宋体" w:hAnsi="宋体" w:eastAsia="宋体" w:cs="宋体"/>
                <w:color w:val="auto"/>
                <w:kern w:val="0"/>
                <w:sz w:val="24"/>
                <w:highlight w:val="none"/>
              </w:rPr>
            </w:pPr>
          </w:p>
          <w:p w14:paraId="5DADE8D1">
            <w:pPr>
              <w:widowControl/>
              <w:spacing w:line="480" w:lineRule="exact"/>
              <w:jc w:val="left"/>
              <w:rPr>
                <w:rFonts w:hint="eastAsia" w:ascii="宋体" w:hAnsi="宋体" w:eastAsia="宋体" w:cs="宋体"/>
                <w:color w:val="auto"/>
                <w:kern w:val="0"/>
                <w:sz w:val="24"/>
                <w:highlight w:val="none"/>
              </w:rPr>
            </w:pPr>
          </w:p>
        </w:tc>
      </w:tr>
    </w:tbl>
    <w:p w14:paraId="67115485">
      <w:pPr>
        <w:widowControl/>
        <w:wordWrap w:val="0"/>
        <w:spacing w:beforeLines="100" w:afterLines="100" w:line="480" w:lineRule="exact"/>
        <w:jc w:val="center"/>
        <w:rPr>
          <w:rFonts w:hint="eastAsia" w:ascii="宋体" w:hAnsi="宋体" w:eastAsia="宋体" w:cs="宋体"/>
          <w:b/>
          <w:color w:val="auto"/>
          <w:kern w:val="0"/>
          <w:sz w:val="24"/>
          <w:highlight w:val="none"/>
        </w:rPr>
      </w:pPr>
    </w:p>
    <w:p w14:paraId="7D154877">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751B2E01">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47A7ED37">
      <w:pPr>
        <w:widowControl/>
        <w:wordWrap w:val="0"/>
        <w:spacing w:line="480" w:lineRule="exact"/>
        <w:jc w:val="right"/>
        <w:rPr>
          <w:rFonts w:hint="eastAsia" w:ascii="宋体" w:hAnsi="宋体" w:eastAsia="宋体" w:cs="宋体"/>
          <w:color w:val="auto"/>
          <w:kern w:val="0"/>
          <w:sz w:val="24"/>
          <w:highlight w:val="none"/>
        </w:rPr>
      </w:pPr>
    </w:p>
    <w:p w14:paraId="0D99BF1A">
      <w:pPr>
        <w:widowControl/>
        <w:wordWrap w:val="0"/>
        <w:spacing w:line="480" w:lineRule="exact"/>
        <w:jc w:val="right"/>
        <w:rPr>
          <w:rFonts w:hint="eastAsia" w:ascii="宋体" w:hAnsi="宋体" w:eastAsia="宋体" w:cs="宋体"/>
          <w:color w:val="auto"/>
          <w:kern w:val="0"/>
          <w:sz w:val="24"/>
          <w:highlight w:val="none"/>
        </w:rPr>
      </w:pPr>
    </w:p>
    <w:p w14:paraId="71E14AB3">
      <w:pPr>
        <w:widowControl/>
        <w:wordWrap w:val="0"/>
        <w:snapToGrid w:val="0"/>
        <w:spacing w:line="460" w:lineRule="exact"/>
        <w:ind w:firstLine="2760" w:firstLineChars="115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1BF19C93">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88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DC83681">
      <w:pPr>
        <w:rPr>
          <w:rFonts w:hint="eastAsia" w:ascii="宋体" w:hAnsi="宋体" w:eastAsia="宋体" w:cs="宋体"/>
          <w:color w:val="auto"/>
          <w:highlight w:val="none"/>
        </w:rPr>
      </w:pPr>
    </w:p>
    <w:p w14:paraId="5EF34DBC">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AD1E097">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2" w:name="_Toc30519"/>
      <w:bookmarkStart w:id="73" w:name="_Toc13976"/>
      <w:bookmarkStart w:id="74" w:name="_Toc12939"/>
      <w:r>
        <w:rPr>
          <w:rFonts w:hint="eastAsia" w:ascii="宋体" w:hAnsi="宋体" w:eastAsia="宋体" w:cs="宋体"/>
          <w:color w:val="auto"/>
          <w:sz w:val="28"/>
          <w:szCs w:val="28"/>
          <w:highlight w:val="none"/>
          <w:lang w:val="en-US" w:eastAsia="zh-CN"/>
        </w:rPr>
        <w:t>附件8         法定代表人授权书（格式）</w:t>
      </w:r>
      <w:bookmarkEnd w:id="72"/>
      <w:bookmarkEnd w:id="73"/>
      <w:bookmarkEnd w:id="74"/>
    </w:p>
    <w:p w14:paraId="1FB7171E">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5D9084CA">
      <w:pPr>
        <w:widowControl/>
        <w:wordWrap w:val="0"/>
        <w:snapToGrid w:val="0"/>
        <w:spacing w:line="46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驻马店市中心医院</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0497B3EE">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 xml:space="preserve">名称）的法定代表人，现委托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项目的投标活动，并代表我方全权办理针对上述项目的</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、开标、评</w:t>
      </w:r>
      <w:r>
        <w:rPr>
          <w:rFonts w:hint="eastAsia" w:ascii="宋体" w:hAnsi="宋体" w:eastAsia="宋体" w:cs="宋体"/>
          <w:color w:val="auto"/>
          <w:kern w:val="0"/>
          <w:sz w:val="24"/>
          <w:highlight w:val="none"/>
          <w:lang w:val="en-US" w:eastAsia="zh-CN"/>
        </w:rPr>
        <w:t>审</w:t>
      </w:r>
      <w:r>
        <w:rPr>
          <w:rFonts w:hint="eastAsia" w:ascii="宋体" w:hAnsi="宋体" w:eastAsia="宋体" w:cs="宋体"/>
          <w:color w:val="auto"/>
          <w:kern w:val="0"/>
          <w:sz w:val="24"/>
          <w:highlight w:val="none"/>
        </w:rPr>
        <w:t>、签约等具体事务和签署相关文件。</w:t>
      </w:r>
    </w:p>
    <w:p w14:paraId="54A44FB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3D4F1BE6">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如果本次采购活动现场变更采购方式，本授权书有效。</w:t>
      </w:r>
    </w:p>
    <w:p w14:paraId="71CD0778">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代理人无转委托权。</w:t>
      </w:r>
    </w:p>
    <w:p w14:paraId="1EA1FE12">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p>
    <w:p w14:paraId="180CC313">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p>
    <w:p w14:paraId="387F8D49">
      <w:pPr>
        <w:widowControl/>
        <w:wordWrap w:val="0"/>
        <w:snapToGrid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             法定代表人签名</w:t>
      </w:r>
      <w:r>
        <w:rPr>
          <w:rFonts w:hint="eastAsia" w:ascii="宋体" w:hAnsi="宋体" w:eastAsia="宋体" w:cs="宋体"/>
          <w:color w:val="auto"/>
          <w:kern w:val="0"/>
          <w:sz w:val="24"/>
          <w:highlight w:val="none"/>
          <w:lang w:val="en-US" w:eastAsia="zh-CN"/>
        </w:rPr>
        <w:t>或盖章</w:t>
      </w:r>
      <w:r>
        <w:rPr>
          <w:rFonts w:hint="eastAsia" w:ascii="宋体" w:hAnsi="宋体" w:eastAsia="宋体" w:cs="宋体"/>
          <w:color w:val="auto"/>
          <w:kern w:val="0"/>
          <w:sz w:val="24"/>
          <w:highlight w:val="none"/>
        </w:rPr>
        <w:t>：</w:t>
      </w:r>
    </w:p>
    <w:p w14:paraId="7663553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职务：                      职务：</w:t>
      </w:r>
    </w:p>
    <w:tbl>
      <w:tblPr>
        <w:tblStyle w:val="33"/>
        <w:tblpPr w:leftFromText="180" w:rightFromText="180" w:topFromText="100" w:bottomFromText="100" w:vertAnchor="text" w:horzAnchor="page" w:tblpX="208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0"/>
      </w:tblGrid>
      <w:tr w14:paraId="49DA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7250" w:type="dxa"/>
            <w:tcBorders>
              <w:top w:val="single" w:color="auto" w:sz="4" w:space="0"/>
              <w:left w:val="single" w:color="auto" w:sz="4" w:space="0"/>
              <w:bottom w:val="single" w:color="auto" w:sz="4" w:space="0"/>
              <w:right w:val="single" w:color="auto" w:sz="4" w:space="0"/>
            </w:tcBorders>
          </w:tcPr>
          <w:p w14:paraId="303B381D">
            <w:pPr>
              <w:widowControl/>
              <w:spacing w:line="480" w:lineRule="exact"/>
              <w:jc w:val="center"/>
              <w:rPr>
                <w:rFonts w:hint="eastAsia" w:ascii="宋体" w:hAnsi="宋体" w:eastAsia="宋体" w:cs="宋体"/>
                <w:color w:val="auto"/>
                <w:kern w:val="0"/>
                <w:sz w:val="24"/>
                <w:highlight w:val="none"/>
                <w:lang w:eastAsia="zh-CN"/>
              </w:rPr>
            </w:pPr>
            <w:r>
              <w:rPr>
                <w:rFonts w:hint="eastAsia" w:ascii="宋体" w:hAnsi="宋体" w:eastAsia="宋体" w:cs="宋体"/>
                <w:bCs/>
                <w:color w:val="auto"/>
                <w:kern w:val="0"/>
                <w:sz w:val="24"/>
                <w:highlight w:val="none"/>
              </w:rPr>
              <w:t>此处请粘贴</w:t>
            </w:r>
            <w:r>
              <w:rPr>
                <w:rFonts w:hint="eastAsia" w:ascii="宋体" w:hAnsi="宋体" w:eastAsia="宋体" w:cs="宋体"/>
                <w:color w:val="auto"/>
                <w:kern w:val="0"/>
                <w:sz w:val="24"/>
                <w:highlight w:val="none"/>
              </w:rPr>
              <w:t>委托代理人</w:t>
            </w:r>
            <w:r>
              <w:rPr>
                <w:rFonts w:hint="eastAsia" w:ascii="宋体" w:hAnsi="宋体" w:eastAsia="宋体" w:cs="宋体"/>
                <w:bCs/>
                <w:color w:val="auto"/>
                <w:kern w:val="0"/>
                <w:sz w:val="24"/>
                <w:highlight w:val="none"/>
              </w:rPr>
              <w:t>身份</w:t>
            </w:r>
            <w:r>
              <w:rPr>
                <w:rFonts w:hint="eastAsia" w:ascii="宋体" w:hAnsi="宋体" w:cs="宋体"/>
                <w:bCs/>
                <w:color w:val="auto"/>
                <w:kern w:val="0"/>
                <w:sz w:val="24"/>
                <w:highlight w:val="none"/>
                <w:lang w:val="en-US" w:eastAsia="zh-CN"/>
              </w:rPr>
              <w:t>证明</w:t>
            </w:r>
          </w:p>
        </w:tc>
      </w:tr>
    </w:tbl>
    <w:p w14:paraId="7A304355">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委托代理人身份证号码：</w:t>
      </w:r>
    </w:p>
    <w:p w14:paraId="06F8F4D1">
      <w:pPr>
        <w:widowControl/>
        <w:wordWrap w:val="0"/>
        <w:spacing w:line="460" w:lineRule="exact"/>
        <w:ind w:firstLine="4800" w:firstLineChars="2000"/>
        <w:jc w:val="left"/>
        <w:rPr>
          <w:rFonts w:hint="eastAsia" w:ascii="宋体" w:hAnsi="宋体" w:eastAsia="宋体" w:cs="宋体"/>
          <w:color w:val="auto"/>
          <w:kern w:val="0"/>
          <w:sz w:val="24"/>
          <w:highlight w:val="none"/>
        </w:rPr>
      </w:pPr>
    </w:p>
    <w:p w14:paraId="6E3DB2F7">
      <w:pPr>
        <w:widowControl/>
        <w:wordWrap w:val="0"/>
        <w:spacing w:line="360" w:lineRule="auto"/>
        <w:jc w:val="center"/>
        <w:rPr>
          <w:rFonts w:hint="eastAsia" w:ascii="宋体" w:hAnsi="宋体" w:eastAsia="宋体" w:cs="宋体"/>
          <w:color w:val="auto"/>
          <w:kern w:val="0"/>
          <w:sz w:val="24"/>
          <w:highlight w:val="none"/>
        </w:rPr>
      </w:pPr>
    </w:p>
    <w:p w14:paraId="7E2A20D2">
      <w:pPr>
        <w:widowControl/>
        <w:wordWrap w:val="0"/>
        <w:spacing w:line="360" w:lineRule="auto"/>
        <w:jc w:val="right"/>
        <w:rPr>
          <w:rFonts w:hint="eastAsia" w:ascii="宋体" w:hAnsi="宋体" w:eastAsia="宋体" w:cs="宋体"/>
          <w:color w:val="auto"/>
          <w:kern w:val="0"/>
          <w:sz w:val="24"/>
          <w:highlight w:val="none"/>
        </w:rPr>
      </w:pPr>
    </w:p>
    <w:p w14:paraId="0041CCE6">
      <w:pPr>
        <w:widowControl/>
        <w:wordWrap w:val="0"/>
        <w:spacing w:line="360" w:lineRule="auto"/>
        <w:jc w:val="right"/>
        <w:rPr>
          <w:rFonts w:hint="eastAsia" w:ascii="宋体" w:hAnsi="宋体" w:eastAsia="宋体" w:cs="宋体"/>
          <w:color w:val="auto"/>
          <w:kern w:val="0"/>
          <w:sz w:val="24"/>
          <w:highlight w:val="none"/>
        </w:rPr>
      </w:pPr>
    </w:p>
    <w:p w14:paraId="046AAC91">
      <w:pPr>
        <w:widowControl/>
        <w:wordWrap w:val="0"/>
        <w:spacing w:line="360" w:lineRule="auto"/>
        <w:jc w:val="right"/>
        <w:rPr>
          <w:rFonts w:hint="eastAsia" w:ascii="宋体" w:hAnsi="宋体" w:eastAsia="宋体" w:cs="宋体"/>
          <w:color w:val="auto"/>
          <w:kern w:val="0"/>
          <w:sz w:val="24"/>
          <w:highlight w:val="none"/>
        </w:rPr>
      </w:pPr>
    </w:p>
    <w:p w14:paraId="10AE64D3">
      <w:pPr>
        <w:widowControl/>
        <w:wordWrap w:val="0"/>
        <w:spacing w:line="360" w:lineRule="auto"/>
        <w:jc w:val="right"/>
        <w:rPr>
          <w:rFonts w:hint="eastAsia" w:ascii="宋体" w:hAnsi="宋体" w:eastAsia="宋体" w:cs="宋体"/>
          <w:color w:val="auto"/>
          <w:kern w:val="0"/>
          <w:sz w:val="24"/>
          <w:highlight w:val="none"/>
        </w:rPr>
      </w:pPr>
    </w:p>
    <w:p w14:paraId="3F7B9410">
      <w:pPr>
        <w:widowControl/>
        <w:wordWrap w:val="0"/>
        <w:spacing w:line="360" w:lineRule="auto"/>
        <w:jc w:val="right"/>
        <w:rPr>
          <w:rFonts w:hint="eastAsia" w:ascii="宋体" w:hAnsi="宋体" w:eastAsia="宋体" w:cs="宋体"/>
          <w:color w:val="auto"/>
          <w:kern w:val="0"/>
          <w:sz w:val="24"/>
          <w:highlight w:val="none"/>
        </w:rPr>
      </w:pPr>
    </w:p>
    <w:p w14:paraId="2780542A">
      <w:pPr>
        <w:widowControl/>
        <w:wordWrap/>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114B5FF3">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5CD4EA78">
      <w:pPr>
        <w:widowControl/>
        <w:spacing w:line="360" w:lineRule="auto"/>
        <w:ind w:firstLine="7228" w:firstLineChars="2250"/>
        <w:jc w:val="left"/>
        <w:rPr>
          <w:rFonts w:hint="eastAsia" w:ascii="宋体" w:hAnsi="宋体" w:eastAsia="宋体" w:cs="宋体"/>
          <w:b/>
          <w:color w:val="auto"/>
          <w:kern w:val="0"/>
          <w:sz w:val="32"/>
          <w:szCs w:val="32"/>
          <w:highlight w:val="none"/>
        </w:rPr>
      </w:pPr>
    </w:p>
    <w:p w14:paraId="730E0196">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7FE32602">
      <w:pPr>
        <w:pStyle w:val="6"/>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bCs/>
          <w:color w:val="auto"/>
          <w:sz w:val="21"/>
          <w:szCs w:val="21"/>
          <w:highlight w:val="none"/>
        </w:rPr>
      </w:pPr>
      <w:bookmarkStart w:id="75" w:name="_Toc18105"/>
      <w:bookmarkStart w:id="76" w:name="_Toc3342"/>
      <w:bookmarkStart w:id="77" w:name="_Toc24693"/>
      <w:r>
        <w:rPr>
          <w:rFonts w:hint="eastAsia" w:ascii="宋体" w:hAnsi="宋体" w:eastAsia="宋体" w:cs="宋体"/>
          <w:color w:val="auto"/>
          <w:sz w:val="28"/>
          <w:szCs w:val="28"/>
          <w:highlight w:val="none"/>
          <w:lang w:val="en-US" w:eastAsia="zh-CN"/>
        </w:rPr>
        <w:t>附件9          证明文件</w:t>
      </w:r>
      <w:bookmarkEnd w:id="75"/>
      <w:bookmarkEnd w:id="76"/>
      <w:bookmarkEnd w:id="77"/>
    </w:p>
    <w:p w14:paraId="3017862A">
      <w:pPr>
        <w:pStyle w:val="11"/>
        <w:spacing w:beforeAutospacing="0" w:afterAutospacing="0" w:line="480" w:lineRule="auto"/>
        <w:ind w:firstLine="540" w:firstLineChars="224"/>
        <w:jc w:val="both"/>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9.1</w:t>
      </w:r>
      <w:r>
        <w:rPr>
          <w:rFonts w:hint="eastAsia" w:ascii="宋体" w:hAnsi="宋体" w:eastAsia="宋体" w:cs="宋体"/>
          <w:b/>
          <w:bCs w:val="0"/>
          <w:color w:val="auto"/>
          <w:sz w:val="24"/>
          <w:szCs w:val="24"/>
          <w:highlight w:val="none"/>
          <w:lang w:val="en-US" w:eastAsia="zh-CN"/>
        </w:rPr>
        <w:t xml:space="preserve"> </w:t>
      </w:r>
      <w:r>
        <w:rPr>
          <w:rFonts w:hint="eastAsia" w:cs="宋体"/>
          <w:b/>
          <w:bCs w:val="0"/>
          <w:color w:val="auto"/>
          <w:sz w:val="24"/>
          <w:szCs w:val="24"/>
          <w:highlight w:val="none"/>
          <w:lang w:val="en-US" w:eastAsia="zh-CN"/>
        </w:rPr>
        <w:t>供应商资格审查证明材料</w:t>
      </w:r>
    </w:p>
    <w:p w14:paraId="5110E480">
      <w:pPr>
        <w:pStyle w:val="11"/>
        <w:spacing w:beforeAutospacing="0" w:afterAutospacing="0" w:line="480" w:lineRule="auto"/>
        <w:jc w:val="both"/>
        <w:rPr>
          <w:rFonts w:hint="eastAsia" w:ascii="宋体" w:hAnsi="宋体" w:eastAsia="宋体" w:cs="宋体"/>
          <w:bCs/>
          <w:color w:val="auto"/>
          <w:sz w:val="24"/>
          <w:szCs w:val="24"/>
          <w:highlight w:val="none"/>
        </w:rPr>
      </w:pPr>
    </w:p>
    <w:p w14:paraId="331AA9DC">
      <w:pPr>
        <w:pStyle w:val="11"/>
        <w:spacing w:beforeAutospacing="0" w:afterAutospacing="0" w:line="480" w:lineRule="auto"/>
        <w:jc w:val="both"/>
        <w:rPr>
          <w:rFonts w:hint="eastAsia" w:ascii="宋体" w:hAnsi="宋体" w:eastAsia="宋体" w:cs="宋体"/>
          <w:bCs/>
          <w:color w:val="auto"/>
          <w:sz w:val="24"/>
          <w:szCs w:val="24"/>
          <w:highlight w:val="none"/>
        </w:rPr>
      </w:pPr>
    </w:p>
    <w:p w14:paraId="02581DAF">
      <w:pPr>
        <w:pStyle w:val="11"/>
        <w:spacing w:beforeAutospacing="0" w:afterAutospacing="0" w:line="480" w:lineRule="auto"/>
        <w:jc w:val="both"/>
        <w:rPr>
          <w:rFonts w:hint="eastAsia" w:ascii="宋体" w:hAnsi="宋体" w:eastAsia="宋体" w:cs="宋体"/>
          <w:bCs/>
          <w:color w:val="auto"/>
          <w:sz w:val="24"/>
          <w:szCs w:val="24"/>
          <w:highlight w:val="none"/>
        </w:rPr>
      </w:pPr>
    </w:p>
    <w:p w14:paraId="7A9F6387">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default" w:ascii="宋体" w:hAnsi="宋体" w:cs="宋体"/>
          <w:b/>
          <w:bCs w:val="0"/>
          <w:color w:val="auto"/>
          <w:sz w:val="24"/>
          <w:szCs w:val="24"/>
          <w:highlight w:val="none"/>
          <w:lang w:val="en-US"/>
        </w:rPr>
      </w:pPr>
      <w:r>
        <w:rPr>
          <w:rFonts w:hint="eastAsia" w:cs="宋体"/>
          <w:b/>
          <w:bCs w:val="0"/>
          <w:color w:val="auto"/>
          <w:sz w:val="24"/>
          <w:szCs w:val="24"/>
          <w:highlight w:val="none"/>
          <w:lang w:val="en-US" w:eastAsia="zh-CN"/>
        </w:rPr>
        <w:t>9.2</w:t>
      </w:r>
      <w:bookmarkStart w:id="78" w:name="_Toc17966"/>
      <w:r>
        <w:rPr>
          <w:rFonts w:hint="eastAsia" w:cs="宋体"/>
          <w:b/>
          <w:bCs w:val="0"/>
          <w:color w:val="auto"/>
          <w:sz w:val="24"/>
          <w:szCs w:val="24"/>
          <w:highlight w:val="none"/>
          <w:lang w:val="en-US" w:eastAsia="zh-CN"/>
        </w:rPr>
        <w:t xml:space="preserve"> 评分标准中需提供的证明材料</w:t>
      </w:r>
    </w:p>
    <w:p w14:paraId="598EB0CE">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5B06BA81">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7977B72A">
      <w:pPr>
        <w:pStyle w:val="11"/>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190399CF">
      <w:pPr>
        <w:pStyle w:val="11"/>
        <w:spacing w:beforeAutospacing="0" w:afterAutospacing="0" w:line="480" w:lineRule="auto"/>
        <w:ind w:firstLine="540" w:firstLineChars="224"/>
        <w:jc w:val="both"/>
        <w:rPr>
          <w:rFonts w:cs="Arial" w:asciiTheme="minorEastAsia" w:hAnsiTheme="minorEastAsia"/>
          <w:color w:val="auto"/>
          <w:sz w:val="24"/>
          <w:szCs w:val="24"/>
          <w:highlight w:val="none"/>
        </w:rPr>
      </w:pPr>
      <w:r>
        <w:rPr>
          <w:rFonts w:hint="eastAsia" w:ascii="宋体" w:hAnsi="宋体" w:eastAsia="宋体" w:cs="宋体"/>
          <w:b/>
          <w:bCs w:val="0"/>
          <w:color w:val="auto"/>
          <w:sz w:val="24"/>
          <w:szCs w:val="24"/>
          <w:highlight w:val="none"/>
          <w:lang w:val="en-US" w:eastAsia="zh-CN"/>
        </w:rPr>
        <w:t>9.</w:t>
      </w:r>
      <w:r>
        <w:rPr>
          <w:rFonts w:hint="eastAsia" w:cs="宋体"/>
          <w:b/>
          <w:bCs w:val="0"/>
          <w:color w:val="auto"/>
          <w:sz w:val="24"/>
          <w:szCs w:val="24"/>
          <w:highlight w:val="none"/>
          <w:lang w:val="en-US" w:eastAsia="zh-CN"/>
        </w:rPr>
        <w:t>3</w:t>
      </w:r>
      <w:r>
        <w:rPr>
          <w:rFonts w:cs="Arial" w:asciiTheme="minorEastAsia" w:hAnsiTheme="minorEastAsia"/>
          <w:b/>
          <w:color w:val="auto"/>
          <w:sz w:val="24"/>
          <w:szCs w:val="24"/>
          <w:highlight w:val="none"/>
        </w:rPr>
        <w:t>销售业绩</w:t>
      </w:r>
    </w:p>
    <w:tbl>
      <w:tblPr>
        <w:tblStyle w:val="33"/>
        <w:tblW w:w="75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950"/>
        <w:gridCol w:w="2028"/>
        <w:gridCol w:w="2187"/>
      </w:tblGrid>
      <w:tr w14:paraId="319B3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379AC8E2">
            <w:pPr>
              <w:spacing w:before="120"/>
              <w:jc w:val="center"/>
              <w:rPr>
                <w:rFonts w:hint="eastAsia" w:eastAsia="宋体" w:cs="Arial" w:asciiTheme="minorEastAsia" w:hAnsiTheme="minorEastAsia"/>
                <w:color w:val="auto"/>
                <w:sz w:val="24"/>
                <w:highlight w:val="none"/>
                <w:lang w:val="en-US" w:eastAsia="zh-CN"/>
              </w:rPr>
            </w:pPr>
            <w:r>
              <w:rPr>
                <w:rFonts w:hint="eastAsia" w:cs="Arial" w:asciiTheme="minorEastAsia" w:hAnsiTheme="minorEastAsia"/>
                <w:color w:val="auto"/>
                <w:sz w:val="24"/>
                <w:highlight w:val="none"/>
                <w:lang w:val="en-US" w:eastAsia="zh-CN"/>
              </w:rPr>
              <w:t>序号</w:t>
            </w:r>
          </w:p>
        </w:tc>
        <w:tc>
          <w:tcPr>
            <w:tcW w:w="1950" w:type="dxa"/>
            <w:vAlign w:val="center"/>
          </w:tcPr>
          <w:p w14:paraId="15155689">
            <w:pPr>
              <w:spacing w:before="120"/>
              <w:jc w:val="center"/>
              <w:rPr>
                <w:rFonts w:cs="Arial" w:asciiTheme="minorEastAsia" w:hAnsiTheme="minorEastAsia"/>
                <w:color w:val="auto"/>
                <w:sz w:val="24"/>
                <w:highlight w:val="none"/>
              </w:rPr>
            </w:pPr>
            <w:r>
              <w:rPr>
                <w:rFonts w:cs="Arial" w:asciiTheme="minorEastAsia" w:hAnsiTheme="minorEastAsia"/>
                <w:color w:val="auto"/>
                <w:sz w:val="24"/>
                <w:highlight w:val="none"/>
              </w:rPr>
              <w:t>销售用户</w:t>
            </w:r>
          </w:p>
        </w:tc>
        <w:tc>
          <w:tcPr>
            <w:tcW w:w="2028" w:type="dxa"/>
            <w:vAlign w:val="center"/>
          </w:tcPr>
          <w:p w14:paraId="49850E68">
            <w:pPr>
              <w:spacing w:before="12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lang w:val="en-US" w:eastAsia="zh-CN"/>
              </w:rPr>
              <w:t>联系人及</w:t>
            </w:r>
            <w:r>
              <w:rPr>
                <w:rFonts w:cs="Arial" w:asciiTheme="minorEastAsia" w:hAnsiTheme="minorEastAsia"/>
                <w:color w:val="auto"/>
                <w:sz w:val="24"/>
                <w:highlight w:val="none"/>
              </w:rPr>
              <w:t>联系</w:t>
            </w:r>
            <w:r>
              <w:rPr>
                <w:rFonts w:hint="eastAsia" w:cs="Arial" w:asciiTheme="minorEastAsia" w:hAnsiTheme="minorEastAsia"/>
                <w:color w:val="auto"/>
                <w:sz w:val="24"/>
                <w:highlight w:val="none"/>
              </w:rPr>
              <w:t>电话</w:t>
            </w:r>
          </w:p>
        </w:tc>
        <w:tc>
          <w:tcPr>
            <w:tcW w:w="2187" w:type="dxa"/>
            <w:vAlign w:val="center"/>
          </w:tcPr>
          <w:p w14:paraId="030F8CA9">
            <w:pPr>
              <w:spacing w:before="12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rPr>
              <w:t>销售年份</w:t>
            </w:r>
          </w:p>
        </w:tc>
      </w:tr>
      <w:tr w14:paraId="0C4C1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DE849B0">
            <w:pPr>
              <w:spacing w:before="120"/>
              <w:jc w:val="center"/>
              <w:rPr>
                <w:rFonts w:cs="Arial" w:asciiTheme="minorEastAsia" w:hAnsiTheme="minorEastAsia"/>
                <w:color w:val="auto"/>
                <w:highlight w:val="none"/>
              </w:rPr>
            </w:pPr>
          </w:p>
        </w:tc>
        <w:tc>
          <w:tcPr>
            <w:tcW w:w="1950" w:type="dxa"/>
            <w:vAlign w:val="center"/>
          </w:tcPr>
          <w:p w14:paraId="2C1DB417">
            <w:pPr>
              <w:spacing w:before="120"/>
              <w:jc w:val="center"/>
              <w:rPr>
                <w:rFonts w:cs="Arial" w:asciiTheme="minorEastAsia" w:hAnsiTheme="minorEastAsia"/>
                <w:color w:val="auto"/>
                <w:highlight w:val="none"/>
              </w:rPr>
            </w:pPr>
          </w:p>
        </w:tc>
        <w:tc>
          <w:tcPr>
            <w:tcW w:w="2028" w:type="dxa"/>
            <w:vAlign w:val="center"/>
          </w:tcPr>
          <w:p w14:paraId="18F7DFC2">
            <w:pPr>
              <w:spacing w:before="120"/>
              <w:jc w:val="center"/>
              <w:rPr>
                <w:rFonts w:cs="Arial" w:asciiTheme="minorEastAsia" w:hAnsiTheme="minorEastAsia"/>
                <w:color w:val="auto"/>
                <w:highlight w:val="none"/>
              </w:rPr>
            </w:pPr>
          </w:p>
        </w:tc>
        <w:tc>
          <w:tcPr>
            <w:tcW w:w="2187" w:type="dxa"/>
            <w:vAlign w:val="center"/>
          </w:tcPr>
          <w:p w14:paraId="664CCE90">
            <w:pPr>
              <w:spacing w:before="120"/>
              <w:jc w:val="center"/>
              <w:rPr>
                <w:rFonts w:cs="Arial" w:asciiTheme="minorEastAsia" w:hAnsiTheme="minorEastAsia"/>
                <w:color w:val="auto"/>
                <w:highlight w:val="none"/>
              </w:rPr>
            </w:pPr>
          </w:p>
        </w:tc>
      </w:tr>
      <w:tr w14:paraId="157991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35AE38F1">
            <w:pPr>
              <w:spacing w:before="120"/>
              <w:jc w:val="center"/>
              <w:rPr>
                <w:rFonts w:cs="Arial" w:asciiTheme="minorEastAsia" w:hAnsiTheme="minorEastAsia"/>
                <w:color w:val="auto"/>
                <w:highlight w:val="none"/>
              </w:rPr>
            </w:pPr>
          </w:p>
        </w:tc>
        <w:tc>
          <w:tcPr>
            <w:tcW w:w="1950" w:type="dxa"/>
            <w:vAlign w:val="center"/>
          </w:tcPr>
          <w:p w14:paraId="4F3FAA40">
            <w:pPr>
              <w:spacing w:before="120"/>
              <w:jc w:val="center"/>
              <w:rPr>
                <w:rFonts w:cs="Arial" w:asciiTheme="minorEastAsia" w:hAnsiTheme="minorEastAsia"/>
                <w:color w:val="auto"/>
                <w:highlight w:val="none"/>
              </w:rPr>
            </w:pPr>
          </w:p>
        </w:tc>
        <w:tc>
          <w:tcPr>
            <w:tcW w:w="2028" w:type="dxa"/>
            <w:vAlign w:val="center"/>
          </w:tcPr>
          <w:p w14:paraId="2B078D28">
            <w:pPr>
              <w:spacing w:before="120"/>
              <w:jc w:val="center"/>
              <w:rPr>
                <w:rFonts w:cs="Arial" w:asciiTheme="minorEastAsia" w:hAnsiTheme="minorEastAsia"/>
                <w:color w:val="auto"/>
                <w:highlight w:val="none"/>
              </w:rPr>
            </w:pPr>
          </w:p>
        </w:tc>
        <w:tc>
          <w:tcPr>
            <w:tcW w:w="2187" w:type="dxa"/>
            <w:vAlign w:val="center"/>
          </w:tcPr>
          <w:p w14:paraId="0F96DA0A">
            <w:pPr>
              <w:spacing w:before="120"/>
              <w:jc w:val="center"/>
              <w:rPr>
                <w:rFonts w:cs="Arial" w:asciiTheme="minorEastAsia" w:hAnsiTheme="minorEastAsia"/>
                <w:color w:val="auto"/>
                <w:highlight w:val="none"/>
              </w:rPr>
            </w:pPr>
          </w:p>
        </w:tc>
      </w:tr>
      <w:tr w14:paraId="542E4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6174B15D">
            <w:pPr>
              <w:spacing w:before="120"/>
              <w:jc w:val="center"/>
              <w:rPr>
                <w:rFonts w:cs="Arial" w:asciiTheme="minorEastAsia" w:hAnsiTheme="minorEastAsia"/>
                <w:color w:val="auto"/>
                <w:highlight w:val="none"/>
              </w:rPr>
            </w:pPr>
          </w:p>
        </w:tc>
        <w:tc>
          <w:tcPr>
            <w:tcW w:w="1950" w:type="dxa"/>
            <w:vAlign w:val="center"/>
          </w:tcPr>
          <w:p w14:paraId="04C4BACC">
            <w:pPr>
              <w:spacing w:before="120"/>
              <w:jc w:val="center"/>
              <w:rPr>
                <w:rFonts w:cs="Arial" w:asciiTheme="minorEastAsia" w:hAnsiTheme="minorEastAsia"/>
                <w:color w:val="auto"/>
                <w:highlight w:val="none"/>
              </w:rPr>
            </w:pPr>
          </w:p>
        </w:tc>
        <w:tc>
          <w:tcPr>
            <w:tcW w:w="2028" w:type="dxa"/>
            <w:vAlign w:val="center"/>
          </w:tcPr>
          <w:p w14:paraId="2BFD981D">
            <w:pPr>
              <w:spacing w:before="120"/>
              <w:jc w:val="center"/>
              <w:rPr>
                <w:rFonts w:cs="Arial" w:asciiTheme="minorEastAsia" w:hAnsiTheme="minorEastAsia"/>
                <w:color w:val="auto"/>
                <w:highlight w:val="none"/>
              </w:rPr>
            </w:pPr>
          </w:p>
        </w:tc>
        <w:tc>
          <w:tcPr>
            <w:tcW w:w="2187" w:type="dxa"/>
            <w:vAlign w:val="center"/>
          </w:tcPr>
          <w:p w14:paraId="6ABAF854">
            <w:pPr>
              <w:spacing w:before="120"/>
              <w:jc w:val="center"/>
              <w:rPr>
                <w:rFonts w:cs="Arial" w:asciiTheme="minorEastAsia" w:hAnsiTheme="minorEastAsia"/>
                <w:color w:val="auto"/>
                <w:highlight w:val="none"/>
              </w:rPr>
            </w:pPr>
          </w:p>
        </w:tc>
      </w:tr>
      <w:tr w14:paraId="6D1317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199D74B5">
            <w:pPr>
              <w:spacing w:before="120"/>
              <w:jc w:val="center"/>
              <w:rPr>
                <w:rFonts w:cs="Arial" w:asciiTheme="minorEastAsia" w:hAnsiTheme="minorEastAsia"/>
                <w:color w:val="auto"/>
                <w:highlight w:val="none"/>
              </w:rPr>
            </w:pPr>
          </w:p>
        </w:tc>
        <w:tc>
          <w:tcPr>
            <w:tcW w:w="1950" w:type="dxa"/>
            <w:vAlign w:val="center"/>
          </w:tcPr>
          <w:p w14:paraId="6018911E">
            <w:pPr>
              <w:spacing w:before="120"/>
              <w:jc w:val="center"/>
              <w:rPr>
                <w:rFonts w:cs="Arial" w:asciiTheme="minorEastAsia" w:hAnsiTheme="minorEastAsia"/>
                <w:color w:val="auto"/>
                <w:highlight w:val="none"/>
              </w:rPr>
            </w:pPr>
          </w:p>
        </w:tc>
        <w:tc>
          <w:tcPr>
            <w:tcW w:w="2028" w:type="dxa"/>
            <w:vAlign w:val="center"/>
          </w:tcPr>
          <w:p w14:paraId="03A8E64B">
            <w:pPr>
              <w:spacing w:before="120"/>
              <w:jc w:val="center"/>
              <w:rPr>
                <w:rFonts w:cs="Arial" w:asciiTheme="minorEastAsia" w:hAnsiTheme="minorEastAsia"/>
                <w:color w:val="auto"/>
                <w:highlight w:val="none"/>
              </w:rPr>
            </w:pPr>
          </w:p>
        </w:tc>
        <w:tc>
          <w:tcPr>
            <w:tcW w:w="2187" w:type="dxa"/>
            <w:vAlign w:val="center"/>
          </w:tcPr>
          <w:p w14:paraId="2B491C74">
            <w:pPr>
              <w:spacing w:before="120"/>
              <w:jc w:val="center"/>
              <w:rPr>
                <w:rFonts w:cs="Arial" w:asciiTheme="minorEastAsia" w:hAnsiTheme="minorEastAsia"/>
                <w:color w:val="auto"/>
                <w:highlight w:val="none"/>
              </w:rPr>
            </w:pPr>
          </w:p>
        </w:tc>
      </w:tr>
      <w:tr w14:paraId="6D99A6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56660B22">
            <w:pPr>
              <w:spacing w:before="120"/>
              <w:jc w:val="center"/>
              <w:rPr>
                <w:rFonts w:cs="Arial" w:asciiTheme="minorEastAsia" w:hAnsiTheme="minorEastAsia"/>
                <w:color w:val="auto"/>
                <w:highlight w:val="none"/>
              </w:rPr>
            </w:pPr>
          </w:p>
        </w:tc>
        <w:tc>
          <w:tcPr>
            <w:tcW w:w="1950" w:type="dxa"/>
            <w:vAlign w:val="center"/>
          </w:tcPr>
          <w:p w14:paraId="0819E614">
            <w:pPr>
              <w:spacing w:before="120"/>
              <w:jc w:val="center"/>
              <w:rPr>
                <w:rFonts w:cs="Arial" w:asciiTheme="minorEastAsia" w:hAnsiTheme="minorEastAsia"/>
                <w:color w:val="auto"/>
                <w:highlight w:val="none"/>
              </w:rPr>
            </w:pPr>
          </w:p>
        </w:tc>
        <w:tc>
          <w:tcPr>
            <w:tcW w:w="2028" w:type="dxa"/>
            <w:vAlign w:val="center"/>
          </w:tcPr>
          <w:p w14:paraId="05E59BFD">
            <w:pPr>
              <w:spacing w:before="120"/>
              <w:jc w:val="center"/>
              <w:rPr>
                <w:rFonts w:cs="Arial" w:asciiTheme="minorEastAsia" w:hAnsiTheme="minorEastAsia"/>
                <w:color w:val="auto"/>
                <w:highlight w:val="none"/>
              </w:rPr>
            </w:pPr>
          </w:p>
        </w:tc>
        <w:tc>
          <w:tcPr>
            <w:tcW w:w="2187" w:type="dxa"/>
            <w:vAlign w:val="center"/>
          </w:tcPr>
          <w:p w14:paraId="18FE4E16">
            <w:pPr>
              <w:spacing w:before="120"/>
              <w:jc w:val="center"/>
              <w:rPr>
                <w:rFonts w:cs="Arial" w:asciiTheme="minorEastAsia" w:hAnsiTheme="minorEastAsia"/>
                <w:color w:val="auto"/>
                <w:highlight w:val="none"/>
              </w:rPr>
            </w:pPr>
          </w:p>
        </w:tc>
      </w:tr>
      <w:tr w14:paraId="3965A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713CBF6">
            <w:pPr>
              <w:spacing w:before="120"/>
              <w:jc w:val="center"/>
              <w:rPr>
                <w:rFonts w:cs="Arial" w:asciiTheme="minorEastAsia" w:hAnsiTheme="minorEastAsia"/>
                <w:color w:val="auto"/>
                <w:highlight w:val="none"/>
              </w:rPr>
            </w:pPr>
          </w:p>
        </w:tc>
        <w:tc>
          <w:tcPr>
            <w:tcW w:w="1950" w:type="dxa"/>
            <w:vAlign w:val="center"/>
          </w:tcPr>
          <w:p w14:paraId="07F54CE7">
            <w:pPr>
              <w:spacing w:before="120"/>
              <w:jc w:val="center"/>
              <w:rPr>
                <w:rFonts w:cs="Arial" w:asciiTheme="minorEastAsia" w:hAnsiTheme="minorEastAsia"/>
                <w:color w:val="auto"/>
                <w:highlight w:val="none"/>
              </w:rPr>
            </w:pPr>
          </w:p>
        </w:tc>
        <w:tc>
          <w:tcPr>
            <w:tcW w:w="2028" w:type="dxa"/>
            <w:vAlign w:val="center"/>
          </w:tcPr>
          <w:p w14:paraId="34BC542B">
            <w:pPr>
              <w:spacing w:before="120"/>
              <w:jc w:val="center"/>
              <w:rPr>
                <w:rFonts w:cs="Arial" w:asciiTheme="minorEastAsia" w:hAnsiTheme="minorEastAsia"/>
                <w:color w:val="auto"/>
                <w:highlight w:val="none"/>
              </w:rPr>
            </w:pPr>
          </w:p>
        </w:tc>
        <w:tc>
          <w:tcPr>
            <w:tcW w:w="2187" w:type="dxa"/>
            <w:vAlign w:val="center"/>
          </w:tcPr>
          <w:p w14:paraId="02DA0B90">
            <w:pPr>
              <w:spacing w:before="120"/>
              <w:jc w:val="center"/>
              <w:rPr>
                <w:rFonts w:cs="Arial" w:asciiTheme="minorEastAsia" w:hAnsiTheme="minorEastAsia"/>
                <w:color w:val="auto"/>
                <w:highlight w:val="none"/>
              </w:rPr>
            </w:pPr>
          </w:p>
        </w:tc>
      </w:tr>
      <w:tr w14:paraId="5A4C9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9044923">
            <w:pPr>
              <w:spacing w:before="120"/>
              <w:jc w:val="center"/>
              <w:rPr>
                <w:rFonts w:cs="Arial" w:asciiTheme="minorEastAsia" w:hAnsiTheme="minorEastAsia"/>
                <w:color w:val="auto"/>
                <w:highlight w:val="none"/>
              </w:rPr>
            </w:pPr>
          </w:p>
        </w:tc>
        <w:tc>
          <w:tcPr>
            <w:tcW w:w="1950" w:type="dxa"/>
            <w:vAlign w:val="center"/>
          </w:tcPr>
          <w:p w14:paraId="67A60464">
            <w:pPr>
              <w:spacing w:before="120"/>
              <w:jc w:val="center"/>
              <w:rPr>
                <w:rFonts w:cs="Arial" w:asciiTheme="minorEastAsia" w:hAnsiTheme="minorEastAsia"/>
                <w:color w:val="auto"/>
                <w:highlight w:val="none"/>
              </w:rPr>
            </w:pPr>
          </w:p>
        </w:tc>
        <w:tc>
          <w:tcPr>
            <w:tcW w:w="2028" w:type="dxa"/>
            <w:vAlign w:val="center"/>
          </w:tcPr>
          <w:p w14:paraId="292D55FE">
            <w:pPr>
              <w:spacing w:before="120"/>
              <w:jc w:val="center"/>
              <w:rPr>
                <w:rFonts w:cs="Arial" w:asciiTheme="minorEastAsia" w:hAnsiTheme="minorEastAsia"/>
                <w:color w:val="auto"/>
                <w:highlight w:val="none"/>
              </w:rPr>
            </w:pPr>
          </w:p>
        </w:tc>
        <w:tc>
          <w:tcPr>
            <w:tcW w:w="2187" w:type="dxa"/>
            <w:vAlign w:val="center"/>
          </w:tcPr>
          <w:p w14:paraId="45607252">
            <w:pPr>
              <w:spacing w:before="120"/>
              <w:jc w:val="center"/>
              <w:rPr>
                <w:rFonts w:cs="Arial" w:asciiTheme="minorEastAsia" w:hAnsiTheme="minorEastAsia"/>
                <w:color w:val="auto"/>
                <w:highlight w:val="none"/>
              </w:rPr>
            </w:pPr>
          </w:p>
        </w:tc>
      </w:tr>
      <w:tr w14:paraId="6BB6E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C8AC544">
            <w:pPr>
              <w:spacing w:before="120"/>
              <w:jc w:val="center"/>
              <w:rPr>
                <w:rFonts w:cs="Arial" w:asciiTheme="minorEastAsia" w:hAnsiTheme="minorEastAsia"/>
                <w:color w:val="auto"/>
                <w:highlight w:val="none"/>
              </w:rPr>
            </w:pPr>
          </w:p>
        </w:tc>
        <w:tc>
          <w:tcPr>
            <w:tcW w:w="1950" w:type="dxa"/>
            <w:vAlign w:val="center"/>
          </w:tcPr>
          <w:p w14:paraId="56454432">
            <w:pPr>
              <w:spacing w:before="120"/>
              <w:jc w:val="center"/>
              <w:rPr>
                <w:rFonts w:cs="Arial" w:asciiTheme="minorEastAsia" w:hAnsiTheme="minorEastAsia"/>
                <w:color w:val="auto"/>
                <w:highlight w:val="none"/>
              </w:rPr>
            </w:pPr>
          </w:p>
        </w:tc>
        <w:tc>
          <w:tcPr>
            <w:tcW w:w="2028" w:type="dxa"/>
            <w:vAlign w:val="center"/>
          </w:tcPr>
          <w:p w14:paraId="6DF2BC41">
            <w:pPr>
              <w:spacing w:before="120"/>
              <w:jc w:val="center"/>
              <w:rPr>
                <w:rFonts w:cs="Arial" w:asciiTheme="minorEastAsia" w:hAnsiTheme="minorEastAsia"/>
                <w:color w:val="auto"/>
                <w:highlight w:val="none"/>
              </w:rPr>
            </w:pPr>
          </w:p>
        </w:tc>
        <w:tc>
          <w:tcPr>
            <w:tcW w:w="2187" w:type="dxa"/>
            <w:vAlign w:val="center"/>
          </w:tcPr>
          <w:p w14:paraId="475B0D71">
            <w:pPr>
              <w:spacing w:before="120"/>
              <w:jc w:val="center"/>
              <w:rPr>
                <w:rFonts w:cs="Arial" w:asciiTheme="minorEastAsia" w:hAnsiTheme="minorEastAsia"/>
                <w:color w:val="auto"/>
                <w:highlight w:val="none"/>
              </w:rPr>
            </w:pPr>
          </w:p>
        </w:tc>
      </w:tr>
    </w:tbl>
    <w:p w14:paraId="5501DBA1">
      <w:pPr>
        <w:spacing w:line="380" w:lineRule="exact"/>
        <w:rPr>
          <w:rFonts w:hint="default" w:eastAsia="宋体" w:asciiTheme="minorEastAsia" w:hAnsiTheme="minorEastAsia"/>
          <w:b/>
          <w:color w:val="auto"/>
          <w:szCs w:val="21"/>
          <w:highlight w:val="none"/>
          <w:lang w:val="en-US" w:eastAsia="zh-CN"/>
        </w:rPr>
      </w:pPr>
      <w:r>
        <w:rPr>
          <w:rFonts w:hint="eastAsia" w:asciiTheme="minorEastAsia" w:hAnsiTheme="minorEastAsia"/>
          <w:b/>
          <w:color w:val="auto"/>
          <w:szCs w:val="21"/>
          <w:highlight w:val="none"/>
        </w:rPr>
        <w:t>注：供应商需在本表后附</w:t>
      </w:r>
      <w:r>
        <w:rPr>
          <w:rFonts w:hint="eastAsia" w:asciiTheme="minorEastAsia" w:hAnsiTheme="minorEastAsia"/>
          <w:b/>
          <w:color w:val="auto"/>
          <w:szCs w:val="21"/>
          <w:highlight w:val="none"/>
          <w:lang w:val="en-US" w:eastAsia="zh-CN"/>
        </w:rPr>
        <w:t>销售业绩</w:t>
      </w:r>
      <w:r>
        <w:rPr>
          <w:rFonts w:hint="eastAsia" w:asciiTheme="minorEastAsia" w:hAnsiTheme="minorEastAsia"/>
          <w:b/>
          <w:color w:val="auto"/>
          <w:szCs w:val="21"/>
          <w:highlight w:val="none"/>
        </w:rPr>
        <w:t>合同</w:t>
      </w:r>
      <w:r>
        <w:rPr>
          <w:rFonts w:hint="eastAsia" w:asciiTheme="minorEastAsia" w:hAnsiTheme="minorEastAsia"/>
          <w:b/>
          <w:color w:val="auto"/>
          <w:szCs w:val="21"/>
          <w:highlight w:val="none"/>
          <w:lang w:val="en-US" w:eastAsia="zh-CN"/>
        </w:rPr>
        <w:t>。</w:t>
      </w:r>
    </w:p>
    <w:p w14:paraId="3330C6C8">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0BF1BA20">
      <w:pPr>
        <w:pStyle w:val="11"/>
        <w:spacing w:beforeAutospacing="0" w:afterAutospacing="0" w:line="480" w:lineRule="auto"/>
        <w:ind w:firstLine="472" w:firstLineChars="224"/>
        <w:jc w:val="both"/>
        <w:rPr>
          <w:rFonts w:hint="eastAsia" w:ascii="宋体" w:hAnsi="宋体" w:eastAsia="宋体" w:cs="宋体"/>
          <w:b/>
          <w:bCs w:val="0"/>
          <w:color w:val="auto"/>
          <w:sz w:val="21"/>
          <w:szCs w:val="21"/>
          <w:highlight w:val="none"/>
          <w:lang w:val="en-US" w:eastAsia="zh-CN"/>
        </w:rPr>
      </w:pPr>
    </w:p>
    <w:p w14:paraId="2836A963">
      <w:pPr>
        <w:pStyle w:val="11"/>
        <w:spacing w:beforeAutospacing="0" w:afterAutospacing="0" w:line="480" w:lineRule="auto"/>
        <w:ind w:firstLine="472" w:firstLineChars="224"/>
        <w:jc w:val="both"/>
        <w:rPr>
          <w:rFonts w:hint="eastAsia" w:ascii="宋体" w:hAnsi="宋体" w:eastAsia="宋体" w:cs="宋体"/>
          <w:b/>
          <w:bCs w:val="0"/>
          <w:color w:val="auto"/>
          <w:sz w:val="21"/>
          <w:szCs w:val="21"/>
          <w:highlight w:val="none"/>
          <w:lang w:val="en-US" w:eastAsia="zh-CN"/>
        </w:rPr>
      </w:pPr>
    </w:p>
    <w:p w14:paraId="335E608E">
      <w:pPr>
        <w:pStyle w:val="11"/>
        <w:spacing w:beforeAutospacing="0" w:afterAutospacing="0" w:line="480" w:lineRule="auto"/>
        <w:jc w:val="both"/>
        <w:rPr>
          <w:rFonts w:hint="eastAsia" w:ascii="宋体" w:hAnsi="宋体" w:eastAsia="宋体" w:cs="宋体"/>
          <w:b/>
          <w:bCs/>
          <w:color w:val="auto"/>
          <w:sz w:val="28"/>
          <w:szCs w:val="28"/>
          <w:highlight w:val="none"/>
        </w:rPr>
      </w:pPr>
      <w:r>
        <w:rPr>
          <w:rFonts w:hint="eastAsia" w:ascii="宋体" w:hAnsi="宋体" w:eastAsia="宋体" w:cs="宋体"/>
          <w:b/>
          <w:bCs w:val="0"/>
          <w:color w:val="auto"/>
          <w:sz w:val="24"/>
          <w:szCs w:val="24"/>
          <w:highlight w:val="none"/>
        </w:rPr>
        <w:t>9.</w:t>
      </w:r>
      <w:r>
        <w:rPr>
          <w:rFonts w:hint="eastAsia" w:cs="宋体"/>
          <w:b/>
          <w:bCs w:val="0"/>
          <w:color w:val="auto"/>
          <w:sz w:val="24"/>
          <w:szCs w:val="24"/>
          <w:highlight w:val="none"/>
          <w:lang w:val="en-US" w:eastAsia="zh-CN"/>
        </w:rPr>
        <w:t>4</w:t>
      </w:r>
      <w:r>
        <w:rPr>
          <w:rFonts w:hint="eastAsia" w:ascii="宋体" w:hAnsi="宋体" w:eastAsia="宋体" w:cs="宋体"/>
          <w:b/>
          <w:bCs w:val="0"/>
          <w:color w:val="auto"/>
          <w:sz w:val="24"/>
          <w:szCs w:val="24"/>
          <w:highlight w:val="none"/>
          <w:lang w:val="en-US" w:eastAsia="zh-CN"/>
        </w:rPr>
        <w:t xml:space="preserve"> 供应商认为其他应提供的证明材料</w:t>
      </w:r>
      <w:bookmarkEnd w:id="78"/>
    </w:p>
    <w:p w14:paraId="65739BF4">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91FE54-B005-46DD-974C-166F90FE34E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15443971-5B35-437C-83CC-0E0D3F6729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3"/>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3"/>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1D8B">
    <w:pPr>
      <w:pStyle w:val="5"/>
      <w:jc w:val="right"/>
      <w:rPr>
        <w:rFonts w:hint="eastAsia"/>
      </w:rPr>
    </w:pPr>
    <w:r>
      <w:rPr>
        <w:rFonts w:hint="eastAsia" w:ascii="宋体" w:hAnsi="宋体" w:cs="宋体"/>
        <w:color w:val="auto"/>
        <w:szCs w:val="21"/>
        <w:highlight w:val="none"/>
        <w:u w:val="none"/>
        <w:shd w:val="clear" w:color="auto" w:fill="FFFFFF"/>
        <w:lang w:val="en-US" w:eastAsia="zh-CN"/>
      </w:rPr>
      <w:t>驻马店市中心医院妇儿院区婴儿纸尿裤和护理垫采购项目采购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B6AFD"/>
    <w:multiLevelType w:val="singleLevel"/>
    <w:tmpl w:val="60CB6AF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024B"/>
    <w:rsid w:val="000C1FF9"/>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5B84"/>
    <w:rsid w:val="00162EA5"/>
    <w:rsid w:val="001630D8"/>
    <w:rsid w:val="001641C5"/>
    <w:rsid w:val="001656CE"/>
    <w:rsid w:val="001669D4"/>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357D8"/>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4A62"/>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47DE1"/>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024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2E6D"/>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812"/>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B3707"/>
    <w:rsid w:val="00CC673F"/>
    <w:rsid w:val="00CD000D"/>
    <w:rsid w:val="00CD0D03"/>
    <w:rsid w:val="00CD0D99"/>
    <w:rsid w:val="00CD25AE"/>
    <w:rsid w:val="00CD2661"/>
    <w:rsid w:val="00CD2AD8"/>
    <w:rsid w:val="00CD341A"/>
    <w:rsid w:val="00CD3D11"/>
    <w:rsid w:val="00CD3DE4"/>
    <w:rsid w:val="00CD4F14"/>
    <w:rsid w:val="00CD5D67"/>
    <w:rsid w:val="00CD684B"/>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2F76"/>
    <w:rsid w:val="00E537C1"/>
    <w:rsid w:val="00E53F4F"/>
    <w:rsid w:val="00E552BC"/>
    <w:rsid w:val="00E60EF2"/>
    <w:rsid w:val="00E61CC7"/>
    <w:rsid w:val="00E653A3"/>
    <w:rsid w:val="00E661C5"/>
    <w:rsid w:val="00E66369"/>
    <w:rsid w:val="00E6759D"/>
    <w:rsid w:val="00E82A03"/>
    <w:rsid w:val="00E847C5"/>
    <w:rsid w:val="00E91DA8"/>
    <w:rsid w:val="00E92683"/>
    <w:rsid w:val="00E94B0A"/>
    <w:rsid w:val="00E95A32"/>
    <w:rsid w:val="00EA0507"/>
    <w:rsid w:val="00EA0EC3"/>
    <w:rsid w:val="00EA233A"/>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6BA"/>
    <w:rsid w:val="00FF5B28"/>
    <w:rsid w:val="00FF7C18"/>
    <w:rsid w:val="01001B5E"/>
    <w:rsid w:val="01076050"/>
    <w:rsid w:val="010C3DC8"/>
    <w:rsid w:val="011E110B"/>
    <w:rsid w:val="01525212"/>
    <w:rsid w:val="01564054"/>
    <w:rsid w:val="015C0A67"/>
    <w:rsid w:val="01626374"/>
    <w:rsid w:val="01745FBF"/>
    <w:rsid w:val="017E6D95"/>
    <w:rsid w:val="01822573"/>
    <w:rsid w:val="018D0058"/>
    <w:rsid w:val="018D1D97"/>
    <w:rsid w:val="019376D8"/>
    <w:rsid w:val="01976717"/>
    <w:rsid w:val="019F1377"/>
    <w:rsid w:val="01D60B10"/>
    <w:rsid w:val="01D715BE"/>
    <w:rsid w:val="01EB45BC"/>
    <w:rsid w:val="01EC1D06"/>
    <w:rsid w:val="01F04981"/>
    <w:rsid w:val="01F3069B"/>
    <w:rsid w:val="01F9035B"/>
    <w:rsid w:val="01FA63A5"/>
    <w:rsid w:val="02011C7D"/>
    <w:rsid w:val="02035523"/>
    <w:rsid w:val="02160F0D"/>
    <w:rsid w:val="021653B1"/>
    <w:rsid w:val="02184C85"/>
    <w:rsid w:val="021C6E40"/>
    <w:rsid w:val="02222FF2"/>
    <w:rsid w:val="023615AF"/>
    <w:rsid w:val="02384FF4"/>
    <w:rsid w:val="023C4E17"/>
    <w:rsid w:val="023D0B8F"/>
    <w:rsid w:val="023F67A9"/>
    <w:rsid w:val="0247575A"/>
    <w:rsid w:val="025235B1"/>
    <w:rsid w:val="0261030A"/>
    <w:rsid w:val="0262674D"/>
    <w:rsid w:val="026B74AB"/>
    <w:rsid w:val="02747B01"/>
    <w:rsid w:val="027619AC"/>
    <w:rsid w:val="02890D36"/>
    <w:rsid w:val="02B97DFD"/>
    <w:rsid w:val="02C40969"/>
    <w:rsid w:val="02C866AB"/>
    <w:rsid w:val="02CB7F49"/>
    <w:rsid w:val="02D92EF7"/>
    <w:rsid w:val="02DA4665"/>
    <w:rsid w:val="02E408BB"/>
    <w:rsid w:val="02ED6112"/>
    <w:rsid w:val="02F40325"/>
    <w:rsid w:val="02F4726F"/>
    <w:rsid w:val="02F56D74"/>
    <w:rsid w:val="02FA082F"/>
    <w:rsid w:val="031126C4"/>
    <w:rsid w:val="031C0676"/>
    <w:rsid w:val="0323019C"/>
    <w:rsid w:val="034733B8"/>
    <w:rsid w:val="03475E56"/>
    <w:rsid w:val="034C04C5"/>
    <w:rsid w:val="0353518A"/>
    <w:rsid w:val="035937A7"/>
    <w:rsid w:val="035E4919"/>
    <w:rsid w:val="036056EE"/>
    <w:rsid w:val="03675F31"/>
    <w:rsid w:val="036A009A"/>
    <w:rsid w:val="037A734D"/>
    <w:rsid w:val="03844805"/>
    <w:rsid w:val="03845791"/>
    <w:rsid w:val="039667A9"/>
    <w:rsid w:val="03A011E9"/>
    <w:rsid w:val="03AE7F27"/>
    <w:rsid w:val="03BC3316"/>
    <w:rsid w:val="03BD2BCD"/>
    <w:rsid w:val="03CC058D"/>
    <w:rsid w:val="03D34DCC"/>
    <w:rsid w:val="03E017D2"/>
    <w:rsid w:val="03F447E2"/>
    <w:rsid w:val="03F77068"/>
    <w:rsid w:val="03FB660C"/>
    <w:rsid w:val="04066FA8"/>
    <w:rsid w:val="042A6EF2"/>
    <w:rsid w:val="042E37DB"/>
    <w:rsid w:val="04416C20"/>
    <w:rsid w:val="044A0592"/>
    <w:rsid w:val="04575AAE"/>
    <w:rsid w:val="046928C3"/>
    <w:rsid w:val="046C0BD4"/>
    <w:rsid w:val="04732647"/>
    <w:rsid w:val="047968B1"/>
    <w:rsid w:val="04870542"/>
    <w:rsid w:val="04983E5B"/>
    <w:rsid w:val="049D6C81"/>
    <w:rsid w:val="04B30F7A"/>
    <w:rsid w:val="04C5285F"/>
    <w:rsid w:val="050E236F"/>
    <w:rsid w:val="0512137B"/>
    <w:rsid w:val="05121E5F"/>
    <w:rsid w:val="0523406D"/>
    <w:rsid w:val="05453E88"/>
    <w:rsid w:val="054C0111"/>
    <w:rsid w:val="055041C7"/>
    <w:rsid w:val="05545DD3"/>
    <w:rsid w:val="05656433"/>
    <w:rsid w:val="056A52BC"/>
    <w:rsid w:val="056E2AD6"/>
    <w:rsid w:val="05720B50"/>
    <w:rsid w:val="05760640"/>
    <w:rsid w:val="05806815"/>
    <w:rsid w:val="058251D3"/>
    <w:rsid w:val="058B6B66"/>
    <w:rsid w:val="058C28F1"/>
    <w:rsid w:val="05945CCE"/>
    <w:rsid w:val="059652F0"/>
    <w:rsid w:val="059D05A4"/>
    <w:rsid w:val="059D5E17"/>
    <w:rsid w:val="059E1E1A"/>
    <w:rsid w:val="05A21435"/>
    <w:rsid w:val="05AB0A28"/>
    <w:rsid w:val="05AB0F81"/>
    <w:rsid w:val="05B93D6B"/>
    <w:rsid w:val="05C23EEE"/>
    <w:rsid w:val="05C313AC"/>
    <w:rsid w:val="05CA4074"/>
    <w:rsid w:val="05D53002"/>
    <w:rsid w:val="05D75738"/>
    <w:rsid w:val="05EB110D"/>
    <w:rsid w:val="05EB4481"/>
    <w:rsid w:val="05EB48F5"/>
    <w:rsid w:val="05EC26B0"/>
    <w:rsid w:val="05F17CC7"/>
    <w:rsid w:val="05F23A3F"/>
    <w:rsid w:val="05FC520E"/>
    <w:rsid w:val="06020D60"/>
    <w:rsid w:val="060E737E"/>
    <w:rsid w:val="061E7D14"/>
    <w:rsid w:val="0627193B"/>
    <w:rsid w:val="06304C93"/>
    <w:rsid w:val="063A056B"/>
    <w:rsid w:val="06446B44"/>
    <w:rsid w:val="06560AED"/>
    <w:rsid w:val="066469C9"/>
    <w:rsid w:val="066646A1"/>
    <w:rsid w:val="06695AAF"/>
    <w:rsid w:val="066E164D"/>
    <w:rsid w:val="068428E9"/>
    <w:rsid w:val="06896151"/>
    <w:rsid w:val="068D56CD"/>
    <w:rsid w:val="068E7B23"/>
    <w:rsid w:val="06983B20"/>
    <w:rsid w:val="069A3B66"/>
    <w:rsid w:val="06A869D6"/>
    <w:rsid w:val="06A9264E"/>
    <w:rsid w:val="06B07B82"/>
    <w:rsid w:val="06B31420"/>
    <w:rsid w:val="06B91765"/>
    <w:rsid w:val="06BF7DC5"/>
    <w:rsid w:val="06CA2AD2"/>
    <w:rsid w:val="06CB0518"/>
    <w:rsid w:val="06CB0D68"/>
    <w:rsid w:val="06CE3071"/>
    <w:rsid w:val="06D33DBA"/>
    <w:rsid w:val="06D73361"/>
    <w:rsid w:val="06E13F9F"/>
    <w:rsid w:val="06FB0AC5"/>
    <w:rsid w:val="06FE7278"/>
    <w:rsid w:val="070D2D5D"/>
    <w:rsid w:val="07104A12"/>
    <w:rsid w:val="07111B8D"/>
    <w:rsid w:val="07260519"/>
    <w:rsid w:val="072916E2"/>
    <w:rsid w:val="072C5514"/>
    <w:rsid w:val="0737768A"/>
    <w:rsid w:val="074A5B92"/>
    <w:rsid w:val="075D0147"/>
    <w:rsid w:val="075E3193"/>
    <w:rsid w:val="078E18EB"/>
    <w:rsid w:val="07AA2823"/>
    <w:rsid w:val="07AC3BD8"/>
    <w:rsid w:val="07B02D9F"/>
    <w:rsid w:val="07B10EA5"/>
    <w:rsid w:val="07C510CB"/>
    <w:rsid w:val="07CD6512"/>
    <w:rsid w:val="07CE3FA1"/>
    <w:rsid w:val="07EC2ECB"/>
    <w:rsid w:val="07FE66CB"/>
    <w:rsid w:val="08057A5A"/>
    <w:rsid w:val="08071A24"/>
    <w:rsid w:val="080B4D47"/>
    <w:rsid w:val="08144141"/>
    <w:rsid w:val="081B727D"/>
    <w:rsid w:val="081D2FF5"/>
    <w:rsid w:val="08321601"/>
    <w:rsid w:val="08326375"/>
    <w:rsid w:val="08390122"/>
    <w:rsid w:val="083D5C91"/>
    <w:rsid w:val="0847191F"/>
    <w:rsid w:val="084D41A2"/>
    <w:rsid w:val="084F5828"/>
    <w:rsid w:val="08591DC3"/>
    <w:rsid w:val="085B58CB"/>
    <w:rsid w:val="085E7023"/>
    <w:rsid w:val="08672793"/>
    <w:rsid w:val="08695E80"/>
    <w:rsid w:val="08716E9D"/>
    <w:rsid w:val="087C4541"/>
    <w:rsid w:val="087E5595"/>
    <w:rsid w:val="08955281"/>
    <w:rsid w:val="08A92ADB"/>
    <w:rsid w:val="08BC0A60"/>
    <w:rsid w:val="08C52D6F"/>
    <w:rsid w:val="08CB0CA3"/>
    <w:rsid w:val="08E42BE4"/>
    <w:rsid w:val="08EB30F3"/>
    <w:rsid w:val="08EF0201"/>
    <w:rsid w:val="08F41DE8"/>
    <w:rsid w:val="090221EB"/>
    <w:rsid w:val="093D1475"/>
    <w:rsid w:val="094840A2"/>
    <w:rsid w:val="09491BC8"/>
    <w:rsid w:val="0952109C"/>
    <w:rsid w:val="09644C54"/>
    <w:rsid w:val="09737462"/>
    <w:rsid w:val="09766415"/>
    <w:rsid w:val="098B21E0"/>
    <w:rsid w:val="099156C3"/>
    <w:rsid w:val="099A0675"/>
    <w:rsid w:val="09A33F5B"/>
    <w:rsid w:val="09A53F39"/>
    <w:rsid w:val="09A60E13"/>
    <w:rsid w:val="09A82D92"/>
    <w:rsid w:val="09AB2883"/>
    <w:rsid w:val="09AF4FD9"/>
    <w:rsid w:val="09C35E1E"/>
    <w:rsid w:val="09CD0A4B"/>
    <w:rsid w:val="09D206F0"/>
    <w:rsid w:val="09D27E0F"/>
    <w:rsid w:val="09E45D6B"/>
    <w:rsid w:val="0A0D0E47"/>
    <w:rsid w:val="0A287A2F"/>
    <w:rsid w:val="0A321AC2"/>
    <w:rsid w:val="0A343D4E"/>
    <w:rsid w:val="0A344626"/>
    <w:rsid w:val="0A36552F"/>
    <w:rsid w:val="0A3E25DB"/>
    <w:rsid w:val="0A3E6D2E"/>
    <w:rsid w:val="0A4232E4"/>
    <w:rsid w:val="0A4C7BC2"/>
    <w:rsid w:val="0A4F145F"/>
    <w:rsid w:val="0A7964DD"/>
    <w:rsid w:val="0A8455AD"/>
    <w:rsid w:val="0A8729A8"/>
    <w:rsid w:val="0A9450C5"/>
    <w:rsid w:val="0ABA2D7D"/>
    <w:rsid w:val="0AD13A85"/>
    <w:rsid w:val="0AE0655C"/>
    <w:rsid w:val="0B091954"/>
    <w:rsid w:val="0B195776"/>
    <w:rsid w:val="0B1A7CC0"/>
    <w:rsid w:val="0B224DC6"/>
    <w:rsid w:val="0B34773E"/>
    <w:rsid w:val="0B3B7D65"/>
    <w:rsid w:val="0B434C20"/>
    <w:rsid w:val="0B534F80"/>
    <w:rsid w:val="0B5F0822"/>
    <w:rsid w:val="0B637D77"/>
    <w:rsid w:val="0B6B6A4F"/>
    <w:rsid w:val="0B7006C4"/>
    <w:rsid w:val="0B726646"/>
    <w:rsid w:val="0B734BF0"/>
    <w:rsid w:val="0B7606E8"/>
    <w:rsid w:val="0B837613"/>
    <w:rsid w:val="0B8B471A"/>
    <w:rsid w:val="0B8E420A"/>
    <w:rsid w:val="0B924545"/>
    <w:rsid w:val="0BAC324F"/>
    <w:rsid w:val="0BB40DF1"/>
    <w:rsid w:val="0BC11EE9"/>
    <w:rsid w:val="0BCC62FA"/>
    <w:rsid w:val="0BF16C73"/>
    <w:rsid w:val="0BF72F1E"/>
    <w:rsid w:val="0C0A7D34"/>
    <w:rsid w:val="0C1069CD"/>
    <w:rsid w:val="0C230DF6"/>
    <w:rsid w:val="0C3152C1"/>
    <w:rsid w:val="0C336D77"/>
    <w:rsid w:val="0C3957A5"/>
    <w:rsid w:val="0C4E6409"/>
    <w:rsid w:val="0C507E2F"/>
    <w:rsid w:val="0C5A7F58"/>
    <w:rsid w:val="0C600D66"/>
    <w:rsid w:val="0C626DA7"/>
    <w:rsid w:val="0C6876AE"/>
    <w:rsid w:val="0C71390F"/>
    <w:rsid w:val="0C720EC8"/>
    <w:rsid w:val="0C820A5E"/>
    <w:rsid w:val="0C87121B"/>
    <w:rsid w:val="0C880C59"/>
    <w:rsid w:val="0C942042"/>
    <w:rsid w:val="0C9C5EA0"/>
    <w:rsid w:val="0C9D50DC"/>
    <w:rsid w:val="0CA5271D"/>
    <w:rsid w:val="0CAC4D10"/>
    <w:rsid w:val="0CC53C5B"/>
    <w:rsid w:val="0CC72121"/>
    <w:rsid w:val="0CC9374C"/>
    <w:rsid w:val="0CDF2F6F"/>
    <w:rsid w:val="0CEE5A21"/>
    <w:rsid w:val="0CEF1BE9"/>
    <w:rsid w:val="0CF0217F"/>
    <w:rsid w:val="0D05268E"/>
    <w:rsid w:val="0D0646E7"/>
    <w:rsid w:val="0D0C38CA"/>
    <w:rsid w:val="0D206810"/>
    <w:rsid w:val="0D474670"/>
    <w:rsid w:val="0D4861FD"/>
    <w:rsid w:val="0D645222"/>
    <w:rsid w:val="0D660F9A"/>
    <w:rsid w:val="0D735465"/>
    <w:rsid w:val="0D9D0734"/>
    <w:rsid w:val="0DC577E0"/>
    <w:rsid w:val="0DDC6319"/>
    <w:rsid w:val="0DE1181F"/>
    <w:rsid w:val="0DF447F8"/>
    <w:rsid w:val="0DFA5B87"/>
    <w:rsid w:val="0DFE4F67"/>
    <w:rsid w:val="0E06277D"/>
    <w:rsid w:val="0E0C0D4C"/>
    <w:rsid w:val="0E0F1632"/>
    <w:rsid w:val="0E115DA1"/>
    <w:rsid w:val="0E1409F6"/>
    <w:rsid w:val="0E147118"/>
    <w:rsid w:val="0E162D6D"/>
    <w:rsid w:val="0E2949C6"/>
    <w:rsid w:val="0E460DCC"/>
    <w:rsid w:val="0E484B44"/>
    <w:rsid w:val="0E5055E0"/>
    <w:rsid w:val="0E541CA2"/>
    <w:rsid w:val="0E576B35"/>
    <w:rsid w:val="0E594756"/>
    <w:rsid w:val="0E6A3AEA"/>
    <w:rsid w:val="0E8F2773"/>
    <w:rsid w:val="0E921DE2"/>
    <w:rsid w:val="0E95596D"/>
    <w:rsid w:val="0EA0188B"/>
    <w:rsid w:val="0EAE6205"/>
    <w:rsid w:val="0EAE6579"/>
    <w:rsid w:val="0EAF4BC3"/>
    <w:rsid w:val="0EAF71BF"/>
    <w:rsid w:val="0EBE2C52"/>
    <w:rsid w:val="0ECE6257"/>
    <w:rsid w:val="0EE24651"/>
    <w:rsid w:val="0EE4129D"/>
    <w:rsid w:val="0EF34AB0"/>
    <w:rsid w:val="0F001FF3"/>
    <w:rsid w:val="0F0B7106"/>
    <w:rsid w:val="0F0E3698"/>
    <w:rsid w:val="0F16376C"/>
    <w:rsid w:val="0F171032"/>
    <w:rsid w:val="0F335E69"/>
    <w:rsid w:val="0F372614"/>
    <w:rsid w:val="0F3D59C9"/>
    <w:rsid w:val="0F515A6B"/>
    <w:rsid w:val="0F516D5A"/>
    <w:rsid w:val="0F565B36"/>
    <w:rsid w:val="0F684933"/>
    <w:rsid w:val="0F6E2388"/>
    <w:rsid w:val="0F7A0D2D"/>
    <w:rsid w:val="0F821E7D"/>
    <w:rsid w:val="0FB3423F"/>
    <w:rsid w:val="0FC91CB4"/>
    <w:rsid w:val="0FCA42ED"/>
    <w:rsid w:val="0FDB5F4F"/>
    <w:rsid w:val="0FE7592C"/>
    <w:rsid w:val="0FFC17A5"/>
    <w:rsid w:val="0FFD20F0"/>
    <w:rsid w:val="10142F30"/>
    <w:rsid w:val="10194D1A"/>
    <w:rsid w:val="10352857"/>
    <w:rsid w:val="103E6E57"/>
    <w:rsid w:val="1041497B"/>
    <w:rsid w:val="10425FF6"/>
    <w:rsid w:val="106612B1"/>
    <w:rsid w:val="107F508E"/>
    <w:rsid w:val="109010E6"/>
    <w:rsid w:val="10B271F4"/>
    <w:rsid w:val="10B537CC"/>
    <w:rsid w:val="10B97633"/>
    <w:rsid w:val="10BC7123"/>
    <w:rsid w:val="10C61D50"/>
    <w:rsid w:val="10C8275C"/>
    <w:rsid w:val="10C86D3B"/>
    <w:rsid w:val="10D97CD5"/>
    <w:rsid w:val="10E03539"/>
    <w:rsid w:val="10E36DA6"/>
    <w:rsid w:val="10E82D1F"/>
    <w:rsid w:val="10EE5C94"/>
    <w:rsid w:val="10F5757C"/>
    <w:rsid w:val="10F93ED3"/>
    <w:rsid w:val="11131439"/>
    <w:rsid w:val="111D7BC2"/>
    <w:rsid w:val="11250F40"/>
    <w:rsid w:val="113329E7"/>
    <w:rsid w:val="113F294C"/>
    <w:rsid w:val="11437C85"/>
    <w:rsid w:val="11575085"/>
    <w:rsid w:val="116021A5"/>
    <w:rsid w:val="1166372C"/>
    <w:rsid w:val="11700D10"/>
    <w:rsid w:val="1178125A"/>
    <w:rsid w:val="118441E0"/>
    <w:rsid w:val="1196056D"/>
    <w:rsid w:val="119C228C"/>
    <w:rsid w:val="11B85B3D"/>
    <w:rsid w:val="11BA18B5"/>
    <w:rsid w:val="11CD20A0"/>
    <w:rsid w:val="11D34654"/>
    <w:rsid w:val="11E61731"/>
    <w:rsid w:val="11FC3C7B"/>
    <w:rsid w:val="12010480"/>
    <w:rsid w:val="12062D4C"/>
    <w:rsid w:val="120E707F"/>
    <w:rsid w:val="121D0051"/>
    <w:rsid w:val="12413D84"/>
    <w:rsid w:val="126A50AF"/>
    <w:rsid w:val="127A7D1C"/>
    <w:rsid w:val="12836D8B"/>
    <w:rsid w:val="12902616"/>
    <w:rsid w:val="12993BC0"/>
    <w:rsid w:val="12AB0349"/>
    <w:rsid w:val="12B66520"/>
    <w:rsid w:val="12C176D6"/>
    <w:rsid w:val="12CD57F1"/>
    <w:rsid w:val="12CE5941"/>
    <w:rsid w:val="12CE7AFA"/>
    <w:rsid w:val="12D469A6"/>
    <w:rsid w:val="12D67466"/>
    <w:rsid w:val="12FC6184"/>
    <w:rsid w:val="13036052"/>
    <w:rsid w:val="130A61F8"/>
    <w:rsid w:val="13272A5D"/>
    <w:rsid w:val="132A2A6A"/>
    <w:rsid w:val="133032AB"/>
    <w:rsid w:val="13367661"/>
    <w:rsid w:val="133B6A25"/>
    <w:rsid w:val="133C40E3"/>
    <w:rsid w:val="133F4BFF"/>
    <w:rsid w:val="13410069"/>
    <w:rsid w:val="13477178"/>
    <w:rsid w:val="13493108"/>
    <w:rsid w:val="134A4EBA"/>
    <w:rsid w:val="13713CFE"/>
    <w:rsid w:val="13733928"/>
    <w:rsid w:val="13741F37"/>
    <w:rsid w:val="13833F28"/>
    <w:rsid w:val="13857CA0"/>
    <w:rsid w:val="138F10FE"/>
    <w:rsid w:val="13920D68"/>
    <w:rsid w:val="139C16C9"/>
    <w:rsid w:val="13A5238E"/>
    <w:rsid w:val="13B63CE1"/>
    <w:rsid w:val="13BC6684"/>
    <w:rsid w:val="13C62793"/>
    <w:rsid w:val="13C72B3A"/>
    <w:rsid w:val="13D12EE6"/>
    <w:rsid w:val="13DA623E"/>
    <w:rsid w:val="13DF575E"/>
    <w:rsid w:val="13E470BD"/>
    <w:rsid w:val="13EB21F9"/>
    <w:rsid w:val="13EE3A98"/>
    <w:rsid w:val="13F3280A"/>
    <w:rsid w:val="13FB7F63"/>
    <w:rsid w:val="140125B1"/>
    <w:rsid w:val="140D6614"/>
    <w:rsid w:val="14164D9C"/>
    <w:rsid w:val="142123F7"/>
    <w:rsid w:val="142A11D8"/>
    <w:rsid w:val="142E34B0"/>
    <w:rsid w:val="144B544C"/>
    <w:rsid w:val="145B7B45"/>
    <w:rsid w:val="14627FE2"/>
    <w:rsid w:val="14717443"/>
    <w:rsid w:val="14795A57"/>
    <w:rsid w:val="14825F8A"/>
    <w:rsid w:val="14887A48"/>
    <w:rsid w:val="148C70AD"/>
    <w:rsid w:val="148D52E3"/>
    <w:rsid w:val="14992B90"/>
    <w:rsid w:val="149F10C7"/>
    <w:rsid w:val="14AF1856"/>
    <w:rsid w:val="14AF19A3"/>
    <w:rsid w:val="14B22D17"/>
    <w:rsid w:val="14B53957"/>
    <w:rsid w:val="14BF5DB6"/>
    <w:rsid w:val="14C53ECE"/>
    <w:rsid w:val="14CF6CB0"/>
    <w:rsid w:val="14D10E8D"/>
    <w:rsid w:val="14D72A6E"/>
    <w:rsid w:val="14DB04C0"/>
    <w:rsid w:val="14DC5FE6"/>
    <w:rsid w:val="14DE1D5E"/>
    <w:rsid w:val="14E002E6"/>
    <w:rsid w:val="14FC36BD"/>
    <w:rsid w:val="14FF5EA7"/>
    <w:rsid w:val="15054F9B"/>
    <w:rsid w:val="15127C5A"/>
    <w:rsid w:val="15192D96"/>
    <w:rsid w:val="151E03AD"/>
    <w:rsid w:val="151E3A0F"/>
    <w:rsid w:val="152534E9"/>
    <w:rsid w:val="152A4FA3"/>
    <w:rsid w:val="1534197E"/>
    <w:rsid w:val="153A36AA"/>
    <w:rsid w:val="15477903"/>
    <w:rsid w:val="1557566D"/>
    <w:rsid w:val="1565422D"/>
    <w:rsid w:val="156E0971"/>
    <w:rsid w:val="15785B3E"/>
    <w:rsid w:val="15811F1B"/>
    <w:rsid w:val="15910B7E"/>
    <w:rsid w:val="15A30135"/>
    <w:rsid w:val="15A34015"/>
    <w:rsid w:val="15A703A2"/>
    <w:rsid w:val="15BB487B"/>
    <w:rsid w:val="15C251DC"/>
    <w:rsid w:val="15CE086D"/>
    <w:rsid w:val="15D26F32"/>
    <w:rsid w:val="15E2236F"/>
    <w:rsid w:val="15E74C42"/>
    <w:rsid w:val="16005D04"/>
    <w:rsid w:val="161517B0"/>
    <w:rsid w:val="161D09ED"/>
    <w:rsid w:val="162323A3"/>
    <w:rsid w:val="162F30B1"/>
    <w:rsid w:val="1650762F"/>
    <w:rsid w:val="16510F12"/>
    <w:rsid w:val="166448F9"/>
    <w:rsid w:val="1677211D"/>
    <w:rsid w:val="16774218"/>
    <w:rsid w:val="167954F9"/>
    <w:rsid w:val="169311EC"/>
    <w:rsid w:val="169C5A2D"/>
    <w:rsid w:val="169F7296"/>
    <w:rsid w:val="16A060BA"/>
    <w:rsid w:val="16A57EAF"/>
    <w:rsid w:val="16A918E4"/>
    <w:rsid w:val="16AC6E3F"/>
    <w:rsid w:val="16AE652A"/>
    <w:rsid w:val="16B56AEF"/>
    <w:rsid w:val="16B74615"/>
    <w:rsid w:val="16C872D5"/>
    <w:rsid w:val="16D54FA3"/>
    <w:rsid w:val="16D84D9F"/>
    <w:rsid w:val="16E94D3E"/>
    <w:rsid w:val="170D06E0"/>
    <w:rsid w:val="17233E03"/>
    <w:rsid w:val="17263548"/>
    <w:rsid w:val="17332185"/>
    <w:rsid w:val="17475951"/>
    <w:rsid w:val="175B7696"/>
    <w:rsid w:val="175C542D"/>
    <w:rsid w:val="175D0ED4"/>
    <w:rsid w:val="1767428D"/>
    <w:rsid w:val="17681DB3"/>
    <w:rsid w:val="176F6C9D"/>
    <w:rsid w:val="17793FC0"/>
    <w:rsid w:val="179D33A9"/>
    <w:rsid w:val="179F2E61"/>
    <w:rsid w:val="17A06264"/>
    <w:rsid w:val="17BE19D3"/>
    <w:rsid w:val="17C227C0"/>
    <w:rsid w:val="17D567AE"/>
    <w:rsid w:val="17D66D7C"/>
    <w:rsid w:val="17DE0EDF"/>
    <w:rsid w:val="17EE5BFF"/>
    <w:rsid w:val="17FA6EAF"/>
    <w:rsid w:val="18027B12"/>
    <w:rsid w:val="18095344"/>
    <w:rsid w:val="18097740"/>
    <w:rsid w:val="18136133"/>
    <w:rsid w:val="181B6E25"/>
    <w:rsid w:val="184055B9"/>
    <w:rsid w:val="184A2082"/>
    <w:rsid w:val="185A16FC"/>
    <w:rsid w:val="185D3C42"/>
    <w:rsid w:val="185F38AF"/>
    <w:rsid w:val="18694035"/>
    <w:rsid w:val="18864631"/>
    <w:rsid w:val="188F0211"/>
    <w:rsid w:val="18AD1BEB"/>
    <w:rsid w:val="18B3004A"/>
    <w:rsid w:val="18B31B6D"/>
    <w:rsid w:val="18B54B84"/>
    <w:rsid w:val="18B83CF9"/>
    <w:rsid w:val="18B96080"/>
    <w:rsid w:val="18CB43A7"/>
    <w:rsid w:val="18CE20EA"/>
    <w:rsid w:val="18DB2CD8"/>
    <w:rsid w:val="18ED431E"/>
    <w:rsid w:val="18F67868"/>
    <w:rsid w:val="19031DEA"/>
    <w:rsid w:val="190B2D88"/>
    <w:rsid w:val="190E6B63"/>
    <w:rsid w:val="19123928"/>
    <w:rsid w:val="19153926"/>
    <w:rsid w:val="19194264"/>
    <w:rsid w:val="191D00C0"/>
    <w:rsid w:val="191F7A42"/>
    <w:rsid w:val="19283048"/>
    <w:rsid w:val="192B3098"/>
    <w:rsid w:val="19377C8F"/>
    <w:rsid w:val="19420786"/>
    <w:rsid w:val="19427EC0"/>
    <w:rsid w:val="195711D7"/>
    <w:rsid w:val="195D2A3F"/>
    <w:rsid w:val="19600F94"/>
    <w:rsid w:val="19602A23"/>
    <w:rsid w:val="198310E9"/>
    <w:rsid w:val="198D747A"/>
    <w:rsid w:val="19A15638"/>
    <w:rsid w:val="19A74DFE"/>
    <w:rsid w:val="19A753EF"/>
    <w:rsid w:val="19B117EF"/>
    <w:rsid w:val="19B843A9"/>
    <w:rsid w:val="1A125525"/>
    <w:rsid w:val="1A5F4342"/>
    <w:rsid w:val="1A616E2C"/>
    <w:rsid w:val="1A715D02"/>
    <w:rsid w:val="1A7D0B0E"/>
    <w:rsid w:val="1A7F369B"/>
    <w:rsid w:val="1A862C7C"/>
    <w:rsid w:val="1A8C5D82"/>
    <w:rsid w:val="1A907657"/>
    <w:rsid w:val="1A994988"/>
    <w:rsid w:val="1A9B546C"/>
    <w:rsid w:val="1A9E141F"/>
    <w:rsid w:val="1AA3511F"/>
    <w:rsid w:val="1AAE3B54"/>
    <w:rsid w:val="1AC10987"/>
    <w:rsid w:val="1AC92B69"/>
    <w:rsid w:val="1ACD08AB"/>
    <w:rsid w:val="1AD81468"/>
    <w:rsid w:val="1AEB6F83"/>
    <w:rsid w:val="1AF20F2C"/>
    <w:rsid w:val="1AF423FA"/>
    <w:rsid w:val="1AFF658A"/>
    <w:rsid w:val="1B0C5B32"/>
    <w:rsid w:val="1B0D3E82"/>
    <w:rsid w:val="1B1464DA"/>
    <w:rsid w:val="1B157B5C"/>
    <w:rsid w:val="1B1652AB"/>
    <w:rsid w:val="1B181CD5"/>
    <w:rsid w:val="1B1E1106"/>
    <w:rsid w:val="1B265306"/>
    <w:rsid w:val="1B283D33"/>
    <w:rsid w:val="1B2F579C"/>
    <w:rsid w:val="1B4346C9"/>
    <w:rsid w:val="1B486183"/>
    <w:rsid w:val="1B4F2450"/>
    <w:rsid w:val="1B50619C"/>
    <w:rsid w:val="1B530868"/>
    <w:rsid w:val="1B6034CD"/>
    <w:rsid w:val="1B6573E8"/>
    <w:rsid w:val="1B6922A5"/>
    <w:rsid w:val="1B721452"/>
    <w:rsid w:val="1B724FAE"/>
    <w:rsid w:val="1B8C18B7"/>
    <w:rsid w:val="1BB73AE1"/>
    <w:rsid w:val="1BD619E1"/>
    <w:rsid w:val="1BDA6D68"/>
    <w:rsid w:val="1BF14125"/>
    <w:rsid w:val="1C002CEE"/>
    <w:rsid w:val="1C1222ED"/>
    <w:rsid w:val="1C180F75"/>
    <w:rsid w:val="1C24274C"/>
    <w:rsid w:val="1C27223D"/>
    <w:rsid w:val="1C273FEB"/>
    <w:rsid w:val="1C2E35CB"/>
    <w:rsid w:val="1C3861F8"/>
    <w:rsid w:val="1C4032FE"/>
    <w:rsid w:val="1C424981"/>
    <w:rsid w:val="1C4E77C9"/>
    <w:rsid w:val="1C555978"/>
    <w:rsid w:val="1C6554A1"/>
    <w:rsid w:val="1C705992"/>
    <w:rsid w:val="1C7971B7"/>
    <w:rsid w:val="1C8036FB"/>
    <w:rsid w:val="1C872CDB"/>
    <w:rsid w:val="1C917D91"/>
    <w:rsid w:val="1CA473E9"/>
    <w:rsid w:val="1CAB1D11"/>
    <w:rsid w:val="1CAB2820"/>
    <w:rsid w:val="1CB57848"/>
    <w:rsid w:val="1CD402EC"/>
    <w:rsid w:val="1CD76EF2"/>
    <w:rsid w:val="1CDF6F49"/>
    <w:rsid w:val="1CE7377A"/>
    <w:rsid w:val="1CED16EF"/>
    <w:rsid w:val="1CF02333"/>
    <w:rsid w:val="1D036806"/>
    <w:rsid w:val="1D047E88"/>
    <w:rsid w:val="1D0C33A2"/>
    <w:rsid w:val="1D0C4F8F"/>
    <w:rsid w:val="1D113E6E"/>
    <w:rsid w:val="1D114E5E"/>
    <w:rsid w:val="1D1F0050"/>
    <w:rsid w:val="1D214EDE"/>
    <w:rsid w:val="1D2222DC"/>
    <w:rsid w:val="1D320E99"/>
    <w:rsid w:val="1D3544E5"/>
    <w:rsid w:val="1D5144F7"/>
    <w:rsid w:val="1D5B3CDE"/>
    <w:rsid w:val="1D5D0701"/>
    <w:rsid w:val="1D6E2950"/>
    <w:rsid w:val="1D79298C"/>
    <w:rsid w:val="1D864D41"/>
    <w:rsid w:val="1D98209B"/>
    <w:rsid w:val="1DA23746"/>
    <w:rsid w:val="1DAA14B9"/>
    <w:rsid w:val="1DD04513"/>
    <w:rsid w:val="1DD41F50"/>
    <w:rsid w:val="1DD8524D"/>
    <w:rsid w:val="1DDD2BCB"/>
    <w:rsid w:val="1DF47D8C"/>
    <w:rsid w:val="1E002D45"/>
    <w:rsid w:val="1E0345E3"/>
    <w:rsid w:val="1E1B7B7F"/>
    <w:rsid w:val="1E443370"/>
    <w:rsid w:val="1E4766DC"/>
    <w:rsid w:val="1E4C3240"/>
    <w:rsid w:val="1E656063"/>
    <w:rsid w:val="1E6B06A5"/>
    <w:rsid w:val="1E6E02FD"/>
    <w:rsid w:val="1E7554E1"/>
    <w:rsid w:val="1E7F7D9E"/>
    <w:rsid w:val="1E840DA4"/>
    <w:rsid w:val="1EA00084"/>
    <w:rsid w:val="1EA5444C"/>
    <w:rsid w:val="1EA5569B"/>
    <w:rsid w:val="1EB350EF"/>
    <w:rsid w:val="1EC21749"/>
    <w:rsid w:val="1EEB7C4E"/>
    <w:rsid w:val="1EFD1033"/>
    <w:rsid w:val="1EFE0DA3"/>
    <w:rsid w:val="1F072441"/>
    <w:rsid w:val="1F171B83"/>
    <w:rsid w:val="1F2D4691"/>
    <w:rsid w:val="1F2D491A"/>
    <w:rsid w:val="1F3F789D"/>
    <w:rsid w:val="1F4E5D32"/>
    <w:rsid w:val="1F503858"/>
    <w:rsid w:val="1F572E39"/>
    <w:rsid w:val="1F66355F"/>
    <w:rsid w:val="1F674479"/>
    <w:rsid w:val="1F6A2B6C"/>
    <w:rsid w:val="1F6B41EE"/>
    <w:rsid w:val="1F7369C7"/>
    <w:rsid w:val="1F895015"/>
    <w:rsid w:val="1F9113A9"/>
    <w:rsid w:val="1F94547B"/>
    <w:rsid w:val="1F9574BD"/>
    <w:rsid w:val="1F996766"/>
    <w:rsid w:val="1FA47700"/>
    <w:rsid w:val="1FAF308C"/>
    <w:rsid w:val="1FB64FF9"/>
    <w:rsid w:val="1FC11109"/>
    <w:rsid w:val="1FDA3223"/>
    <w:rsid w:val="1FDE2C12"/>
    <w:rsid w:val="1FE312CB"/>
    <w:rsid w:val="1FEF08C8"/>
    <w:rsid w:val="1FF72E6A"/>
    <w:rsid w:val="1FFB6F12"/>
    <w:rsid w:val="200A3A07"/>
    <w:rsid w:val="2011123A"/>
    <w:rsid w:val="201B3ED4"/>
    <w:rsid w:val="201C373B"/>
    <w:rsid w:val="20230F6D"/>
    <w:rsid w:val="202D1472"/>
    <w:rsid w:val="20310B02"/>
    <w:rsid w:val="20344F28"/>
    <w:rsid w:val="20495DA5"/>
    <w:rsid w:val="206F0406"/>
    <w:rsid w:val="207417C9"/>
    <w:rsid w:val="20784063"/>
    <w:rsid w:val="207E346A"/>
    <w:rsid w:val="20847C5E"/>
    <w:rsid w:val="20895274"/>
    <w:rsid w:val="208E12C3"/>
    <w:rsid w:val="209502A3"/>
    <w:rsid w:val="20CC4560"/>
    <w:rsid w:val="20CF36F6"/>
    <w:rsid w:val="20EA3839"/>
    <w:rsid w:val="20EE3329"/>
    <w:rsid w:val="2100305C"/>
    <w:rsid w:val="210C1A01"/>
    <w:rsid w:val="210F579E"/>
    <w:rsid w:val="21162880"/>
    <w:rsid w:val="21163FF0"/>
    <w:rsid w:val="211B39F2"/>
    <w:rsid w:val="21224762"/>
    <w:rsid w:val="212550B5"/>
    <w:rsid w:val="213827F6"/>
    <w:rsid w:val="21592B62"/>
    <w:rsid w:val="215B0293"/>
    <w:rsid w:val="21696E53"/>
    <w:rsid w:val="2172049B"/>
    <w:rsid w:val="21747CD2"/>
    <w:rsid w:val="218E68BA"/>
    <w:rsid w:val="219263AA"/>
    <w:rsid w:val="219E5782"/>
    <w:rsid w:val="21AE2AB8"/>
    <w:rsid w:val="21D10545"/>
    <w:rsid w:val="21DC7625"/>
    <w:rsid w:val="21E72B0B"/>
    <w:rsid w:val="21E76A4A"/>
    <w:rsid w:val="21EE607E"/>
    <w:rsid w:val="21F229A5"/>
    <w:rsid w:val="21F66F4C"/>
    <w:rsid w:val="2210107D"/>
    <w:rsid w:val="221F2D96"/>
    <w:rsid w:val="22246DB1"/>
    <w:rsid w:val="22440067"/>
    <w:rsid w:val="225A6017"/>
    <w:rsid w:val="22631AF5"/>
    <w:rsid w:val="22655D1C"/>
    <w:rsid w:val="22745AB0"/>
    <w:rsid w:val="22761B2F"/>
    <w:rsid w:val="22765C1A"/>
    <w:rsid w:val="227A5532"/>
    <w:rsid w:val="22837AA1"/>
    <w:rsid w:val="22843A03"/>
    <w:rsid w:val="228E2802"/>
    <w:rsid w:val="228E5C2C"/>
    <w:rsid w:val="229C0B63"/>
    <w:rsid w:val="22A338AB"/>
    <w:rsid w:val="22AA7723"/>
    <w:rsid w:val="22AD37A2"/>
    <w:rsid w:val="22AE0FC2"/>
    <w:rsid w:val="22B31E8A"/>
    <w:rsid w:val="22B45EAC"/>
    <w:rsid w:val="22C05285"/>
    <w:rsid w:val="22C5630B"/>
    <w:rsid w:val="22C72083"/>
    <w:rsid w:val="22C735BD"/>
    <w:rsid w:val="22CF0F38"/>
    <w:rsid w:val="22D36C7A"/>
    <w:rsid w:val="22D729A8"/>
    <w:rsid w:val="22D97444"/>
    <w:rsid w:val="22F06957"/>
    <w:rsid w:val="22F83FEB"/>
    <w:rsid w:val="23057681"/>
    <w:rsid w:val="230F0AA7"/>
    <w:rsid w:val="23122833"/>
    <w:rsid w:val="23137077"/>
    <w:rsid w:val="231D4917"/>
    <w:rsid w:val="23223458"/>
    <w:rsid w:val="23225D32"/>
    <w:rsid w:val="23357BE6"/>
    <w:rsid w:val="2342574E"/>
    <w:rsid w:val="2355143D"/>
    <w:rsid w:val="236D1BFA"/>
    <w:rsid w:val="236D331D"/>
    <w:rsid w:val="2377331D"/>
    <w:rsid w:val="237D43DE"/>
    <w:rsid w:val="23940114"/>
    <w:rsid w:val="239A1546"/>
    <w:rsid w:val="23A203FB"/>
    <w:rsid w:val="23A45F21"/>
    <w:rsid w:val="23AE4FF1"/>
    <w:rsid w:val="23B57016"/>
    <w:rsid w:val="23C16AD3"/>
    <w:rsid w:val="23C4797E"/>
    <w:rsid w:val="23CD5478"/>
    <w:rsid w:val="23D4764B"/>
    <w:rsid w:val="23EC3718"/>
    <w:rsid w:val="23EE304F"/>
    <w:rsid w:val="23F8626D"/>
    <w:rsid w:val="23F9517F"/>
    <w:rsid w:val="23FD7010"/>
    <w:rsid w:val="240243FC"/>
    <w:rsid w:val="24044EF2"/>
    <w:rsid w:val="2407139D"/>
    <w:rsid w:val="240B04F4"/>
    <w:rsid w:val="240B7534"/>
    <w:rsid w:val="240E369A"/>
    <w:rsid w:val="240E783E"/>
    <w:rsid w:val="241C1F5B"/>
    <w:rsid w:val="241E2177"/>
    <w:rsid w:val="242A0646"/>
    <w:rsid w:val="242B219E"/>
    <w:rsid w:val="242B2542"/>
    <w:rsid w:val="242D4168"/>
    <w:rsid w:val="2435301D"/>
    <w:rsid w:val="24383F19"/>
    <w:rsid w:val="243A0633"/>
    <w:rsid w:val="243D6E1A"/>
    <w:rsid w:val="24453D05"/>
    <w:rsid w:val="244A2F6C"/>
    <w:rsid w:val="244A6AC8"/>
    <w:rsid w:val="24607F91"/>
    <w:rsid w:val="246C581B"/>
    <w:rsid w:val="247973AD"/>
    <w:rsid w:val="247C52A2"/>
    <w:rsid w:val="248A3369"/>
    <w:rsid w:val="24942917"/>
    <w:rsid w:val="24AA3A0B"/>
    <w:rsid w:val="24AE34FB"/>
    <w:rsid w:val="24CC106B"/>
    <w:rsid w:val="24D00598"/>
    <w:rsid w:val="24D377A4"/>
    <w:rsid w:val="24D725E9"/>
    <w:rsid w:val="24E72569"/>
    <w:rsid w:val="24EA2059"/>
    <w:rsid w:val="24EC31CF"/>
    <w:rsid w:val="25045F70"/>
    <w:rsid w:val="250474F1"/>
    <w:rsid w:val="25056E93"/>
    <w:rsid w:val="25092EBA"/>
    <w:rsid w:val="250E4F12"/>
    <w:rsid w:val="250E5D48"/>
    <w:rsid w:val="2523453A"/>
    <w:rsid w:val="25241020"/>
    <w:rsid w:val="25302410"/>
    <w:rsid w:val="25317C88"/>
    <w:rsid w:val="2542719A"/>
    <w:rsid w:val="255B6AB3"/>
    <w:rsid w:val="25647C5C"/>
    <w:rsid w:val="257572C3"/>
    <w:rsid w:val="25790E85"/>
    <w:rsid w:val="25823C3E"/>
    <w:rsid w:val="25856F37"/>
    <w:rsid w:val="25965D3D"/>
    <w:rsid w:val="25972C60"/>
    <w:rsid w:val="25974C6F"/>
    <w:rsid w:val="259A75DB"/>
    <w:rsid w:val="259D1676"/>
    <w:rsid w:val="25A353EB"/>
    <w:rsid w:val="25A93CC2"/>
    <w:rsid w:val="25AD2640"/>
    <w:rsid w:val="25B111B0"/>
    <w:rsid w:val="25B413A1"/>
    <w:rsid w:val="25B87B65"/>
    <w:rsid w:val="25CB78C3"/>
    <w:rsid w:val="25D30D3F"/>
    <w:rsid w:val="25D54390"/>
    <w:rsid w:val="25D6438C"/>
    <w:rsid w:val="25E60A73"/>
    <w:rsid w:val="25FD5DBC"/>
    <w:rsid w:val="261879A7"/>
    <w:rsid w:val="261A071C"/>
    <w:rsid w:val="2628108B"/>
    <w:rsid w:val="262F42F9"/>
    <w:rsid w:val="26395046"/>
    <w:rsid w:val="264834DB"/>
    <w:rsid w:val="264B0BA4"/>
    <w:rsid w:val="264F4111"/>
    <w:rsid w:val="265E0AEC"/>
    <w:rsid w:val="2661459D"/>
    <w:rsid w:val="266D6A9E"/>
    <w:rsid w:val="26865DB2"/>
    <w:rsid w:val="268C5256"/>
    <w:rsid w:val="268E455B"/>
    <w:rsid w:val="26912B30"/>
    <w:rsid w:val="269772F0"/>
    <w:rsid w:val="26997893"/>
    <w:rsid w:val="269C55D5"/>
    <w:rsid w:val="26A30712"/>
    <w:rsid w:val="26AC0C27"/>
    <w:rsid w:val="26B97F35"/>
    <w:rsid w:val="26BE72FA"/>
    <w:rsid w:val="26C807A6"/>
    <w:rsid w:val="26D1527F"/>
    <w:rsid w:val="26D23F28"/>
    <w:rsid w:val="26DB67BA"/>
    <w:rsid w:val="26DE3298"/>
    <w:rsid w:val="26E311CD"/>
    <w:rsid w:val="26E56F7C"/>
    <w:rsid w:val="26EF24ED"/>
    <w:rsid w:val="26F1408A"/>
    <w:rsid w:val="26F86CAF"/>
    <w:rsid w:val="26F96584"/>
    <w:rsid w:val="26FC4FA5"/>
    <w:rsid w:val="27015370"/>
    <w:rsid w:val="270B421F"/>
    <w:rsid w:val="271E248E"/>
    <w:rsid w:val="271F6B87"/>
    <w:rsid w:val="27232743"/>
    <w:rsid w:val="274E2228"/>
    <w:rsid w:val="274F0899"/>
    <w:rsid w:val="27517A93"/>
    <w:rsid w:val="27565784"/>
    <w:rsid w:val="275E53AF"/>
    <w:rsid w:val="27606603"/>
    <w:rsid w:val="276658E8"/>
    <w:rsid w:val="276F6846"/>
    <w:rsid w:val="277E30D2"/>
    <w:rsid w:val="27803F2A"/>
    <w:rsid w:val="278A18D2"/>
    <w:rsid w:val="27983FEE"/>
    <w:rsid w:val="279B2689"/>
    <w:rsid w:val="27A34941"/>
    <w:rsid w:val="27A97FAA"/>
    <w:rsid w:val="27EE3A7B"/>
    <w:rsid w:val="27FA25B3"/>
    <w:rsid w:val="28033B5E"/>
    <w:rsid w:val="28100029"/>
    <w:rsid w:val="2826784C"/>
    <w:rsid w:val="282B09BF"/>
    <w:rsid w:val="282E4F00"/>
    <w:rsid w:val="283C23DF"/>
    <w:rsid w:val="283D69F1"/>
    <w:rsid w:val="283F090E"/>
    <w:rsid w:val="284C16F5"/>
    <w:rsid w:val="28570AB5"/>
    <w:rsid w:val="285F2CDC"/>
    <w:rsid w:val="28622C36"/>
    <w:rsid w:val="2869172C"/>
    <w:rsid w:val="288C2D07"/>
    <w:rsid w:val="289E7E22"/>
    <w:rsid w:val="28C2534B"/>
    <w:rsid w:val="28C5525A"/>
    <w:rsid w:val="28D14B96"/>
    <w:rsid w:val="28DC7F0B"/>
    <w:rsid w:val="28E60D8A"/>
    <w:rsid w:val="29020C46"/>
    <w:rsid w:val="290240C7"/>
    <w:rsid w:val="29114058"/>
    <w:rsid w:val="291713AF"/>
    <w:rsid w:val="291A2B97"/>
    <w:rsid w:val="29274EE0"/>
    <w:rsid w:val="29477A7A"/>
    <w:rsid w:val="294F692F"/>
    <w:rsid w:val="295029E3"/>
    <w:rsid w:val="295201CD"/>
    <w:rsid w:val="29543A59"/>
    <w:rsid w:val="295D104C"/>
    <w:rsid w:val="29670ED3"/>
    <w:rsid w:val="2969197F"/>
    <w:rsid w:val="29695C42"/>
    <w:rsid w:val="29746E87"/>
    <w:rsid w:val="297939AC"/>
    <w:rsid w:val="297C03C2"/>
    <w:rsid w:val="29951314"/>
    <w:rsid w:val="299573AB"/>
    <w:rsid w:val="29B05804"/>
    <w:rsid w:val="29BD1AEA"/>
    <w:rsid w:val="29BE5BD0"/>
    <w:rsid w:val="29C01572"/>
    <w:rsid w:val="29C25353"/>
    <w:rsid w:val="29C966E1"/>
    <w:rsid w:val="29CA4207"/>
    <w:rsid w:val="29D124F9"/>
    <w:rsid w:val="29D82DC8"/>
    <w:rsid w:val="29DA08EE"/>
    <w:rsid w:val="29DB6414"/>
    <w:rsid w:val="29E74CE2"/>
    <w:rsid w:val="29E75C1B"/>
    <w:rsid w:val="2A133E00"/>
    <w:rsid w:val="2A241B69"/>
    <w:rsid w:val="2A2B114A"/>
    <w:rsid w:val="2A306A36"/>
    <w:rsid w:val="2A457300"/>
    <w:rsid w:val="2A5372C6"/>
    <w:rsid w:val="2A5A558B"/>
    <w:rsid w:val="2A5B03D8"/>
    <w:rsid w:val="2A6F6D07"/>
    <w:rsid w:val="2A7A3E7F"/>
    <w:rsid w:val="2A852253"/>
    <w:rsid w:val="2A882500"/>
    <w:rsid w:val="2AA35184"/>
    <w:rsid w:val="2AAB228B"/>
    <w:rsid w:val="2AAB4E76"/>
    <w:rsid w:val="2AB63ABC"/>
    <w:rsid w:val="2AB63D0A"/>
    <w:rsid w:val="2AC31382"/>
    <w:rsid w:val="2AD0584D"/>
    <w:rsid w:val="2AD549F8"/>
    <w:rsid w:val="2AEA74E5"/>
    <w:rsid w:val="2AF91248"/>
    <w:rsid w:val="2AFB4FC0"/>
    <w:rsid w:val="2B003D00"/>
    <w:rsid w:val="2B032E13"/>
    <w:rsid w:val="2B074D5E"/>
    <w:rsid w:val="2B0A6991"/>
    <w:rsid w:val="2B100BA9"/>
    <w:rsid w:val="2B1B508E"/>
    <w:rsid w:val="2B1B5825"/>
    <w:rsid w:val="2B1E3AFC"/>
    <w:rsid w:val="2B303E8B"/>
    <w:rsid w:val="2B400742"/>
    <w:rsid w:val="2B430715"/>
    <w:rsid w:val="2B4A5600"/>
    <w:rsid w:val="2B574FD9"/>
    <w:rsid w:val="2B642979"/>
    <w:rsid w:val="2B681F2A"/>
    <w:rsid w:val="2B6F5066"/>
    <w:rsid w:val="2B7408CF"/>
    <w:rsid w:val="2B797C93"/>
    <w:rsid w:val="2B807273"/>
    <w:rsid w:val="2B88534B"/>
    <w:rsid w:val="2B886128"/>
    <w:rsid w:val="2B8D373E"/>
    <w:rsid w:val="2B9E4F56"/>
    <w:rsid w:val="2BAB4256"/>
    <w:rsid w:val="2BD96984"/>
    <w:rsid w:val="2BDB5A88"/>
    <w:rsid w:val="2BDB6BA0"/>
    <w:rsid w:val="2BE91C37"/>
    <w:rsid w:val="2BEC3F72"/>
    <w:rsid w:val="2C083572"/>
    <w:rsid w:val="2C0E487F"/>
    <w:rsid w:val="2C100BCC"/>
    <w:rsid w:val="2C185F94"/>
    <w:rsid w:val="2C1F1AC4"/>
    <w:rsid w:val="2C2945BA"/>
    <w:rsid w:val="2C2E71FC"/>
    <w:rsid w:val="2C3167C0"/>
    <w:rsid w:val="2C3F3A41"/>
    <w:rsid w:val="2C4431C4"/>
    <w:rsid w:val="2C471F66"/>
    <w:rsid w:val="2C55747C"/>
    <w:rsid w:val="2C567FD4"/>
    <w:rsid w:val="2C62059F"/>
    <w:rsid w:val="2C6634FA"/>
    <w:rsid w:val="2C7566AC"/>
    <w:rsid w:val="2C7843EE"/>
    <w:rsid w:val="2C9C00DD"/>
    <w:rsid w:val="2CA25191"/>
    <w:rsid w:val="2CAC022C"/>
    <w:rsid w:val="2CC11807"/>
    <w:rsid w:val="2CC66CD6"/>
    <w:rsid w:val="2CDA6E57"/>
    <w:rsid w:val="2CE327BC"/>
    <w:rsid w:val="2CF16074"/>
    <w:rsid w:val="2CF81D1B"/>
    <w:rsid w:val="2D200D0E"/>
    <w:rsid w:val="2D3F2453"/>
    <w:rsid w:val="2D426ED6"/>
    <w:rsid w:val="2D4743E0"/>
    <w:rsid w:val="2D4E3657"/>
    <w:rsid w:val="2D536CB5"/>
    <w:rsid w:val="2D574004"/>
    <w:rsid w:val="2D6F134E"/>
    <w:rsid w:val="2D835174"/>
    <w:rsid w:val="2D9331F9"/>
    <w:rsid w:val="2D956230"/>
    <w:rsid w:val="2D960FD0"/>
    <w:rsid w:val="2D990AC0"/>
    <w:rsid w:val="2D99461C"/>
    <w:rsid w:val="2DA541FC"/>
    <w:rsid w:val="2DD90B7B"/>
    <w:rsid w:val="2DD92C6B"/>
    <w:rsid w:val="2DDD3FC1"/>
    <w:rsid w:val="2DE531B8"/>
    <w:rsid w:val="2DEA131C"/>
    <w:rsid w:val="2DEB702A"/>
    <w:rsid w:val="2DF45CF7"/>
    <w:rsid w:val="2DF701D8"/>
    <w:rsid w:val="2DF970A1"/>
    <w:rsid w:val="2E0665A9"/>
    <w:rsid w:val="2E085834"/>
    <w:rsid w:val="2E1034F8"/>
    <w:rsid w:val="2E112405"/>
    <w:rsid w:val="2E120D8E"/>
    <w:rsid w:val="2E1F2D74"/>
    <w:rsid w:val="2E310CF9"/>
    <w:rsid w:val="2E443652"/>
    <w:rsid w:val="2E505773"/>
    <w:rsid w:val="2E586286"/>
    <w:rsid w:val="2E5C0A3D"/>
    <w:rsid w:val="2E6611AB"/>
    <w:rsid w:val="2E742F70"/>
    <w:rsid w:val="2E9077CD"/>
    <w:rsid w:val="2E9574DA"/>
    <w:rsid w:val="2E9A689E"/>
    <w:rsid w:val="2EA94D33"/>
    <w:rsid w:val="2EAB0AAB"/>
    <w:rsid w:val="2ED61D9E"/>
    <w:rsid w:val="2EDC2A13"/>
    <w:rsid w:val="2EFD7DB9"/>
    <w:rsid w:val="2F1A081D"/>
    <w:rsid w:val="2F1C72B3"/>
    <w:rsid w:val="2F1E1306"/>
    <w:rsid w:val="2F1E3DC0"/>
    <w:rsid w:val="2F2D326E"/>
    <w:rsid w:val="2F3112DE"/>
    <w:rsid w:val="2F37233F"/>
    <w:rsid w:val="2F3960B7"/>
    <w:rsid w:val="2F3B6922"/>
    <w:rsid w:val="2F3D7B25"/>
    <w:rsid w:val="2F480119"/>
    <w:rsid w:val="2F506C6D"/>
    <w:rsid w:val="2F512253"/>
    <w:rsid w:val="2F51291F"/>
    <w:rsid w:val="2F55758A"/>
    <w:rsid w:val="2F68074A"/>
    <w:rsid w:val="2F7F15AE"/>
    <w:rsid w:val="2F912594"/>
    <w:rsid w:val="2F970416"/>
    <w:rsid w:val="2F9B467C"/>
    <w:rsid w:val="2FA54796"/>
    <w:rsid w:val="2FA674E2"/>
    <w:rsid w:val="2FD271D9"/>
    <w:rsid w:val="2FE853E7"/>
    <w:rsid w:val="2FEE6EA1"/>
    <w:rsid w:val="2FFE7D49"/>
    <w:rsid w:val="3002294D"/>
    <w:rsid w:val="3011153D"/>
    <w:rsid w:val="30134B5A"/>
    <w:rsid w:val="30142680"/>
    <w:rsid w:val="30183F1E"/>
    <w:rsid w:val="302567CF"/>
    <w:rsid w:val="302A11B1"/>
    <w:rsid w:val="302A5C42"/>
    <w:rsid w:val="30340091"/>
    <w:rsid w:val="30534F57"/>
    <w:rsid w:val="305D4027"/>
    <w:rsid w:val="30662043"/>
    <w:rsid w:val="306D3B35"/>
    <w:rsid w:val="307153DD"/>
    <w:rsid w:val="3083092C"/>
    <w:rsid w:val="30930D2E"/>
    <w:rsid w:val="30B8125D"/>
    <w:rsid w:val="30B87D63"/>
    <w:rsid w:val="30BF439A"/>
    <w:rsid w:val="30CF6A37"/>
    <w:rsid w:val="30D250CF"/>
    <w:rsid w:val="30D3355A"/>
    <w:rsid w:val="30E7260A"/>
    <w:rsid w:val="30ED7159"/>
    <w:rsid w:val="31002970"/>
    <w:rsid w:val="311016AD"/>
    <w:rsid w:val="31220DA0"/>
    <w:rsid w:val="31253A1B"/>
    <w:rsid w:val="312D39F9"/>
    <w:rsid w:val="313034EA"/>
    <w:rsid w:val="3136622A"/>
    <w:rsid w:val="31393501"/>
    <w:rsid w:val="3139422E"/>
    <w:rsid w:val="31496359"/>
    <w:rsid w:val="314D19A6"/>
    <w:rsid w:val="31570A76"/>
    <w:rsid w:val="31580A38"/>
    <w:rsid w:val="316177A4"/>
    <w:rsid w:val="316D3DF6"/>
    <w:rsid w:val="31700E4B"/>
    <w:rsid w:val="3172683C"/>
    <w:rsid w:val="318F773E"/>
    <w:rsid w:val="31A359FC"/>
    <w:rsid w:val="31A67308"/>
    <w:rsid w:val="31AD0D61"/>
    <w:rsid w:val="31AF440F"/>
    <w:rsid w:val="31C3435E"/>
    <w:rsid w:val="31C42968"/>
    <w:rsid w:val="31CD297B"/>
    <w:rsid w:val="31CD73BD"/>
    <w:rsid w:val="31D245A1"/>
    <w:rsid w:val="31D66571"/>
    <w:rsid w:val="31DB4220"/>
    <w:rsid w:val="31DC56CD"/>
    <w:rsid w:val="31E57E30"/>
    <w:rsid w:val="31E63B94"/>
    <w:rsid w:val="31EF6F01"/>
    <w:rsid w:val="31F27AF7"/>
    <w:rsid w:val="31F532C8"/>
    <w:rsid w:val="31FA74CA"/>
    <w:rsid w:val="32176602"/>
    <w:rsid w:val="322A7699"/>
    <w:rsid w:val="322B25C6"/>
    <w:rsid w:val="322D09E9"/>
    <w:rsid w:val="32384404"/>
    <w:rsid w:val="32422E70"/>
    <w:rsid w:val="325E56C6"/>
    <w:rsid w:val="3275698A"/>
    <w:rsid w:val="327C0679"/>
    <w:rsid w:val="32870EE7"/>
    <w:rsid w:val="32943B86"/>
    <w:rsid w:val="32A93829"/>
    <w:rsid w:val="32AE0B6A"/>
    <w:rsid w:val="32B943EC"/>
    <w:rsid w:val="32B9519B"/>
    <w:rsid w:val="32C338D5"/>
    <w:rsid w:val="32C9710C"/>
    <w:rsid w:val="32CA4799"/>
    <w:rsid w:val="32D22AAA"/>
    <w:rsid w:val="32DC63A0"/>
    <w:rsid w:val="32E12CEE"/>
    <w:rsid w:val="32E429C1"/>
    <w:rsid w:val="32F30EB5"/>
    <w:rsid w:val="32F32A21"/>
    <w:rsid w:val="330503EE"/>
    <w:rsid w:val="33274478"/>
    <w:rsid w:val="3337290D"/>
    <w:rsid w:val="333948D8"/>
    <w:rsid w:val="333B1446"/>
    <w:rsid w:val="333E1EEE"/>
    <w:rsid w:val="334045BE"/>
    <w:rsid w:val="3341378C"/>
    <w:rsid w:val="334A3B2A"/>
    <w:rsid w:val="334E5EA9"/>
    <w:rsid w:val="335133F7"/>
    <w:rsid w:val="3365592E"/>
    <w:rsid w:val="336A31F3"/>
    <w:rsid w:val="336D632F"/>
    <w:rsid w:val="336F5D12"/>
    <w:rsid w:val="336F6533"/>
    <w:rsid w:val="3376367E"/>
    <w:rsid w:val="337E5E2F"/>
    <w:rsid w:val="3384610D"/>
    <w:rsid w:val="33886F33"/>
    <w:rsid w:val="33AA5979"/>
    <w:rsid w:val="33C03E90"/>
    <w:rsid w:val="33C96649"/>
    <w:rsid w:val="33CC3D88"/>
    <w:rsid w:val="33D939C5"/>
    <w:rsid w:val="33DD0306"/>
    <w:rsid w:val="33E222C5"/>
    <w:rsid w:val="33F56325"/>
    <w:rsid w:val="33FD3B57"/>
    <w:rsid w:val="33FD722F"/>
    <w:rsid w:val="3400362D"/>
    <w:rsid w:val="340B09C5"/>
    <w:rsid w:val="340B78F6"/>
    <w:rsid w:val="341E4CAB"/>
    <w:rsid w:val="34205B4A"/>
    <w:rsid w:val="342235BE"/>
    <w:rsid w:val="34346E4D"/>
    <w:rsid w:val="34584EE2"/>
    <w:rsid w:val="34656107"/>
    <w:rsid w:val="3474193F"/>
    <w:rsid w:val="347A1C51"/>
    <w:rsid w:val="347D373F"/>
    <w:rsid w:val="348E0C53"/>
    <w:rsid w:val="34922A93"/>
    <w:rsid w:val="34956481"/>
    <w:rsid w:val="34A35871"/>
    <w:rsid w:val="34C06C9D"/>
    <w:rsid w:val="34C71A6F"/>
    <w:rsid w:val="34C93A39"/>
    <w:rsid w:val="34DB551B"/>
    <w:rsid w:val="34DF24AE"/>
    <w:rsid w:val="34FA4C30"/>
    <w:rsid w:val="351C4931"/>
    <w:rsid w:val="351C4EAC"/>
    <w:rsid w:val="351D4C26"/>
    <w:rsid w:val="351F3659"/>
    <w:rsid w:val="352275ED"/>
    <w:rsid w:val="352B46F4"/>
    <w:rsid w:val="352E7D40"/>
    <w:rsid w:val="35361A77"/>
    <w:rsid w:val="354237EC"/>
    <w:rsid w:val="35461A22"/>
    <w:rsid w:val="35483CC9"/>
    <w:rsid w:val="35492DCC"/>
    <w:rsid w:val="354B08F2"/>
    <w:rsid w:val="35571045"/>
    <w:rsid w:val="356E46AA"/>
    <w:rsid w:val="357235B0"/>
    <w:rsid w:val="35776FED"/>
    <w:rsid w:val="3578502D"/>
    <w:rsid w:val="357F059C"/>
    <w:rsid w:val="3586192A"/>
    <w:rsid w:val="358625C7"/>
    <w:rsid w:val="35A815CB"/>
    <w:rsid w:val="35A85BD0"/>
    <w:rsid w:val="35AA1B9C"/>
    <w:rsid w:val="35BC70FA"/>
    <w:rsid w:val="35D501BC"/>
    <w:rsid w:val="35D94150"/>
    <w:rsid w:val="35DB09A6"/>
    <w:rsid w:val="35DE52C2"/>
    <w:rsid w:val="36080591"/>
    <w:rsid w:val="3609472F"/>
    <w:rsid w:val="3619454C"/>
    <w:rsid w:val="36203B2D"/>
    <w:rsid w:val="362F1FC2"/>
    <w:rsid w:val="363E0457"/>
    <w:rsid w:val="36401760"/>
    <w:rsid w:val="365B4B65"/>
    <w:rsid w:val="366559E4"/>
    <w:rsid w:val="36687282"/>
    <w:rsid w:val="368F480F"/>
    <w:rsid w:val="369B4CF0"/>
    <w:rsid w:val="36A42101"/>
    <w:rsid w:val="36A93B22"/>
    <w:rsid w:val="36D62629"/>
    <w:rsid w:val="36D76172"/>
    <w:rsid w:val="36D84407"/>
    <w:rsid w:val="36E833BB"/>
    <w:rsid w:val="36EB1E1B"/>
    <w:rsid w:val="36F17F0D"/>
    <w:rsid w:val="36F45348"/>
    <w:rsid w:val="36FB00F6"/>
    <w:rsid w:val="37103BA1"/>
    <w:rsid w:val="37224581"/>
    <w:rsid w:val="3735197D"/>
    <w:rsid w:val="373756A2"/>
    <w:rsid w:val="373B04F2"/>
    <w:rsid w:val="374A416C"/>
    <w:rsid w:val="374D7614"/>
    <w:rsid w:val="375E0DA6"/>
    <w:rsid w:val="37704640"/>
    <w:rsid w:val="377639AE"/>
    <w:rsid w:val="377E111B"/>
    <w:rsid w:val="378142CB"/>
    <w:rsid w:val="378B61A6"/>
    <w:rsid w:val="378E5D13"/>
    <w:rsid w:val="37920A5A"/>
    <w:rsid w:val="379E11AD"/>
    <w:rsid w:val="37B90F0B"/>
    <w:rsid w:val="37BA1D5F"/>
    <w:rsid w:val="37CD3F98"/>
    <w:rsid w:val="37CD55EE"/>
    <w:rsid w:val="37DF75BA"/>
    <w:rsid w:val="37E148E2"/>
    <w:rsid w:val="37F848EE"/>
    <w:rsid w:val="37F912FC"/>
    <w:rsid w:val="37FB65FF"/>
    <w:rsid w:val="380D59EE"/>
    <w:rsid w:val="38123949"/>
    <w:rsid w:val="382471D8"/>
    <w:rsid w:val="38304889"/>
    <w:rsid w:val="3836588A"/>
    <w:rsid w:val="38382675"/>
    <w:rsid w:val="383B7B0D"/>
    <w:rsid w:val="3848553B"/>
    <w:rsid w:val="3851700B"/>
    <w:rsid w:val="385246B6"/>
    <w:rsid w:val="385775AE"/>
    <w:rsid w:val="385E6B8E"/>
    <w:rsid w:val="387602DD"/>
    <w:rsid w:val="3876113B"/>
    <w:rsid w:val="38A53DB7"/>
    <w:rsid w:val="38BF3388"/>
    <w:rsid w:val="38CA5FD2"/>
    <w:rsid w:val="38CC268D"/>
    <w:rsid w:val="38D429AD"/>
    <w:rsid w:val="38DF1FDA"/>
    <w:rsid w:val="38EC2960"/>
    <w:rsid w:val="38F2046B"/>
    <w:rsid w:val="390069DD"/>
    <w:rsid w:val="3902603A"/>
    <w:rsid w:val="39030CF9"/>
    <w:rsid w:val="39074B30"/>
    <w:rsid w:val="39091F35"/>
    <w:rsid w:val="392536E2"/>
    <w:rsid w:val="392751D2"/>
    <w:rsid w:val="392E030F"/>
    <w:rsid w:val="39465F15"/>
    <w:rsid w:val="39505209"/>
    <w:rsid w:val="396453C5"/>
    <w:rsid w:val="396B4DB7"/>
    <w:rsid w:val="397462A5"/>
    <w:rsid w:val="39922CCF"/>
    <w:rsid w:val="39A24859"/>
    <w:rsid w:val="39A65327"/>
    <w:rsid w:val="39A65C9B"/>
    <w:rsid w:val="39BC5ED6"/>
    <w:rsid w:val="39BD78E5"/>
    <w:rsid w:val="39D013C6"/>
    <w:rsid w:val="39D02B66"/>
    <w:rsid w:val="39D0586A"/>
    <w:rsid w:val="39D27231"/>
    <w:rsid w:val="39E82BB3"/>
    <w:rsid w:val="39EB39E0"/>
    <w:rsid w:val="39EE7A9E"/>
    <w:rsid w:val="39EF02D4"/>
    <w:rsid w:val="3A08699C"/>
    <w:rsid w:val="3A11342A"/>
    <w:rsid w:val="3A153110"/>
    <w:rsid w:val="3A18450B"/>
    <w:rsid w:val="3A1A4D37"/>
    <w:rsid w:val="3A2149EA"/>
    <w:rsid w:val="3A2507C0"/>
    <w:rsid w:val="3A285AD8"/>
    <w:rsid w:val="3A393FA7"/>
    <w:rsid w:val="3A3A5A22"/>
    <w:rsid w:val="3A524858"/>
    <w:rsid w:val="3A64203E"/>
    <w:rsid w:val="3A663D00"/>
    <w:rsid w:val="3A7428D0"/>
    <w:rsid w:val="3A747EDD"/>
    <w:rsid w:val="3A8F302F"/>
    <w:rsid w:val="3A923AE4"/>
    <w:rsid w:val="3A9A304E"/>
    <w:rsid w:val="3AA50E25"/>
    <w:rsid w:val="3AAC1E33"/>
    <w:rsid w:val="3AC566E3"/>
    <w:rsid w:val="3AD6747A"/>
    <w:rsid w:val="3AD95C48"/>
    <w:rsid w:val="3ADF5D0A"/>
    <w:rsid w:val="3B025EF1"/>
    <w:rsid w:val="3B082DE1"/>
    <w:rsid w:val="3B0D21A6"/>
    <w:rsid w:val="3B0F23C2"/>
    <w:rsid w:val="3B1D4ADF"/>
    <w:rsid w:val="3B312338"/>
    <w:rsid w:val="3B3C5B77"/>
    <w:rsid w:val="3B3D0FF2"/>
    <w:rsid w:val="3B44206B"/>
    <w:rsid w:val="3B501351"/>
    <w:rsid w:val="3B516536"/>
    <w:rsid w:val="3B521A18"/>
    <w:rsid w:val="3B741699"/>
    <w:rsid w:val="3B8D2B96"/>
    <w:rsid w:val="3B90705F"/>
    <w:rsid w:val="3B923660"/>
    <w:rsid w:val="3BB16FD5"/>
    <w:rsid w:val="3BCA44BE"/>
    <w:rsid w:val="3BD66A3C"/>
    <w:rsid w:val="3C017F5D"/>
    <w:rsid w:val="3C061F3A"/>
    <w:rsid w:val="3C0A04F9"/>
    <w:rsid w:val="3C1C6B44"/>
    <w:rsid w:val="3C2854E9"/>
    <w:rsid w:val="3C3B1EF8"/>
    <w:rsid w:val="3C491519"/>
    <w:rsid w:val="3C495480"/>
    <w:rsid w:val="3C4C3A42"/>
    <w:rsid w:val="3C557EA4"/>
    <w:rsid w:val="3C664263"/>
    <w:rsid w:val="3C6F0167"/>
    <w:rsid w:val="3C71667B"/>
    <w:rsid w:val="3C7C75E3"/>
    <w:rsid w:val="3C8B7826"/>
    <w:rsid w:val="3C914F3B"/>
    <w:rsid w:val="3CA37266"/>
    <w:rsid w:val="3CA803D8"/>
    <w:rsid w:val="3CC17F13"/>
    <w:rsid w:val="3CD15B81"/>
    <w:rsid w:val="3CD50B40"/>
    <w:rsid w:val="3CE320A3"/>
    <w:rsid w:val="3CE9196C"/>
    <w:rsid w:val="3CF15105"/>
    <w:rsid w:val="3CF70A12"/>
    <w:rsid w:val="3D0C04B9"/>
    <w:rsid w:val="3D1414C5"/>
    <w:rsid w:val="3D1C763E"/>
    <w:rsid w:val="3D201AA5"/>
    <w:rsid w:val="3D2B37EA"/>
    <w:rsid w:val="3D2F7FF3"/>
    <w:rsid w:val="3D3B56F0"/>
    <w:rsid w:val="3D3C45F6"/>
    <w:rsid w:val="3D3D1507"/>
    <w:rsid w:val="3D62085B"/>
    <w:rsid w:val="3D6B12FD"/>
    <w:rsid w:val="3D7B4622"/>
    <w:rsid w:val="3D8E5820"/>
    <w:rsid w:val="3D931088"/>
    <w:rsid w:val="3D942E29"/>
    <w:rsid w:val="3D9646D4"/>
    <w:rsid w:val="3DA53531"/>
    <w:rsid w:val="3DA70690"/>
    <w:rsid w:val="3DAC3EF8"/>
    <w:rsid w:val="3DB039E8"/>
    <w:rsid w:val="3DB54E0C"/>
    <w:rsid w:val="3DB900C1"/>
    <w:rsid w:val="3DE03BA2"/>
    <w:rsid w:val="3DE51866"/>
    <w:rsid w:val="3DE91725"/>
    <w:rsid w:val="3DF159B1"/>
    <w:rsid w:val="3E135D25"/>
    <w:rsid w:val="3E1A106E"/>
    <w:rsid w:val="3E36303B"/>
    <w:rsid w:val="3E526044"/>
    <w:rsid w:val="3E5C591E"/>
    <w:rsid w:val="3E6C2B3A"/>
    <w:rsid w:val="3E793C4B"/>
    <w:rsid w:val="3E832EAB"/>
    <w:rsid w:val="3E8C5311"/>
    <w:rsid w:val="3E8E7E55"/>
    <w:rsid w:val="3E98013E"/>
    <w:rsid w:val="3EB61473"/>
    <w:rsid w:val="3EC07D3E"/>
    <w:rsid w:val="3EC66011"/>
    <w:rsid w:val="3ED25BE0"/>
    <w:rsid w:val="3ED75B7F"/>
    <w:rsid w:val="3EE8744A"/>
    <w:rsid w:val="3EF9316D"/>
    <w:rsid w:val="3EFB5137"/>
    <w:rsid w:val="3F073ADC"/>
    <w:rsid w:val="3F1104B7"/>
    <w:rsid w:val="3F222DB1"/>
    <w:rsid w:val="3F315E6B"/>
    <w:rsid w:val="3F5175E2"/>
    <w:rsid w:val="3F56276A"/>
    <w:rsid w:val="3F5813F0"/>
    <w:rsid w:val="3F5C5D42"/>
    <w:rsid w:val="3F6C10E0"/>
    <w:rsid w:val="3F963015"/>
    <w:rsid w:val="3F964D35"/>
    <w:rsid w:val="3FA327ED"/>
    <w:rsid w:val="3FB11738"/>
    <w:rsid w:val="3FB5581B"/>
    <w:rsid w:val="3FC33D05"/>
    <w:rsid w:val="3FD339BE"/>
    <w:rsid w:val="3FF46B18"/>
    <w:rsid w:val="3FF74A2E"/>
    <w:rsid w:val="3FFC36E2"/>
    <w:rsid w:val="4005572D"/>
    <w:rsid w:val="40104C12"/>
    <w:rsid w:val="401A339B"/>
    <w:rsid w:val="402833BA"/>
    <w:rsid w:val="40283C2B"/>
    <w:rsid w:val="402B55A8"/>
    <w:rsid w:val="402E32EA"/>
    <w:rsid w:val="40394FD1"/>
    <w:rsid w:val="403A3A3D"/>
    <w:rsid w:val="40425879"/>
    <w:rsid w:val="405C1C05"/>
    <w:rsid w:val="405E3BCF"/>
    <w:rsid w:val="406B3DDC"/>
    <w:rsid w:val="40765D15"/>
    <w:rsid w:val="407B4FC1"/>
    <w:rsid w:val="407F2DE9"/>
    <w:rsid w:val="40866C82"/>
    <w:rsid w:val="40910B24"/>
    <w:rsid w:val="40920B61"/>
    <w:rsid w:val="40953369"/>
    <w:rsid w:val="40991379"/>
    <w:rsid w:val="409B3C3D"/>
    <w:rsid w:val="409F1D81"/>
    <w:rsid w:val="40A35A86"/>
    <w:rsid w:val="40AE7F87"/>
    <w:rsid w:val="40C81049"/>
    <w:rsid w:val="40D66D2B"/>
    <w:rsid w:val="40DA7CD6"/>
    <w:rsid w:val="40E66965"/>
    <w:rsid w:val="40F279CF"/>
    <w:rsid w:val="40F701DF"/>
    <w:rsid w:val="40FD480A"/>
    <w:rsid w:val="411B59C4"/>
    <w:rsid w:val="41265D6F"/>
    <w:rsid w:val="412A32F8"/>
    <w:rsid w:val="41452699"/>
    <w:rsid w:val="417D433E"/>
    <w:rsid w:val="417F433E"/>
    <w:rsid w:val="41860B91"/>
    <w:rsid w:val="418A1D66"/>
    <w:rsid w:val="418A4550"/>
    <w:rsid w:val="41923405"/>
    <w:rsid w:val="419C4043"/>
    <w:rsid w:val="41B7239D"/>
    <w:rsid w:val="41C95079"/>
    <w:rsid w:val="41D852BC"/>
    <w:rsid w:val="41DF2AEE"/>
    <w:rsid w:val="41E33C60"/>
    <w:rsid w:val="41E40104"/>
    <w:rsid w:val="41F63994"/>
    <w:rsid w:val="41FF3845"/>
    <w:rsid w:val="420A743F"/>
    <w:rsid w:val="420E33D3"/>
    <w:rsid w:val="42101488"/>
    <w:rsid w:val="421104A9"/>
    <w:rsid w:val="42110508"/>
    <w:rsid w:val="42143B88"/>
    <w:rsid w:val="42164586"/>
    <w:rsid w:val="422936B2"/>
    <w:rsid w:val="422E75D1"/>
    <w:rsid w:val="424566C9"/>
    <w:rsid w:val="42475850"/>
    <w:rsid w:val="424C7A58"/>
    <w:rsid w:val="424E1A22"/>
    <w:rsid w:val="425B5DD1"/>
    <w:rsid w:val="4260300C"/>
    <w:rsid w:val="42621029"/>
    <w:rsid w:val="42635180"/>
    <w:rsid w:val="42755200"/>
    <w:rsid w:val="42772802"/>
    <w:rsid w:val="427C799E"/>
    <w:rsid w:val="427F607F"/>
    <w:rsid w:val="42800B9B"/>
    <w:rsid w:val="4281223D"/>
    <w:rsid w:val="428E1E1E"/>
    <w:rsid w:val="428E62C2"/>
    <w:rsid w:val="42A06B6C"/>
    <w:rsid w:val="42A27996"/>
    <w:rsid w:val="42A45E72"/>
    <w:rsid w:val="42AA04E2"/>
    <w:rsid w:val="42C615B8"/>
    <w:rsid w:val="42C972FA"/>
    <w:rsid w:val="42D737C5"/>
    <w:rsid w:val="42EA5650"/>
    <w:rsid w:val="431408DA"/>
    <w:rsid w:val="431B7C78"/>
    <w:rsid w:val="431F7A6A"/>
    <w:rsid w:val="432D7889"/>
    <w:rsid w:val="4331401E"/>
    <w:rsid w:val="433805EC"/>
    <w:rsid w:val="433A2751"/>
    <w:rsid w:val="433A3D54"/>
    <w:rsid w:val="43486FC5"/>
    <w:rsid w:val="43526885"/>
    <w:rsid w:val="43591DDA"/>
    <w:rsid w:val="435A0DF2"/>
    <w:rsid w:val="436C42E1"/>
    <w:rsid w:val="437102E7"/>
    <w:rsid w:val="437C210F"/>
    <w:rsid w:val="43847F02"/>
    <w:rsid w:val="438F113C"/>
    <w:rsid w:val="439E7EFB"/>
    <w:rsid w:val="43B1568A"/>
    <w:rsid w:val="43B64E08"/>
    <w:rsid w:val="43B90147"/>
    <w:rsid w:val="43BD7F58"/>
    <w:rsid w:val="43BE6733"/>
    <w:rsid w:val="43D43ECA"/>
    <w:rsid w:val="43D60064"/>
    <w:rsid w:val="43DD452F"/>
    <w:rsid w:val="43DE6CD4"/>
    <w:rsid w:val="43DF63AB"/>
    <w:rsid w:val="43E51150"/>
    <w:rsid w:val="43EF28BB"/>
    <w:rsid w:val="43EF56D3"/>
    <w:rsid w:val="43F47D80"/>
    <w:rsid w:val="43F565F9"/>
    <w:rsid w:val="43F839F3"/>
    <w:rsid w:val="44095C00"/>
    <w:rsid w:val="440A6FD2"/>
    <w:rsid w:val="440E1469"/>
    <w:rsid w:val="4416656F"/>
    <w:rsid w:val="442347E8"/>
    <w:rsid w:val="442A1797"/>
    <w:rsid w:val="44366C11"/>
    <w:rsid w:val="444946CA"/>
    <w:rsid w:val="444B3F54"/>
    <w:rsid w:val="445A46AE"/>
    <w:rsid w:val="445B0426"/>
    <w:rsid w:val="44611430"/>
    <w:rsid w:val="4476661F"/>
    <w:rsid w:val="447B4624"/>
    <w:rsid w:val="447E3AC5"/>
    <w:rsid w:val="44805ED4"/>
    <w:rsid w:val="448E5DEE"/>
    <w:rsid w:val="448E6105"/>
    <w:rsid w:val="44957494"/>
    <w:rsid w:val="449C4CC6"/>
    <w:rsid w:val="449E4142"/>
    <w:rsid w:val="44A90BAA"/>
    <w:rsid w:val="44B042CE"/>
    <w:rsid w:val="44B24A20"/>
    <w:rsid w:val="44BC0BEE"/>
    <w:rsid w:val="44BF6C07"/>
    <w:rsid w:val="44C24001"/>
    <w:rsid w:val="44C55A88"/>
    <w:rsid w:val="44FB1C9C"/>
    <w:rsid w:val="45014B29"/>
    <w:rsid w:val="450C05A0"/>
    <w:rsid w:val="4517259F"/>
    <w:rsid w:val="45392A13"/>
    <w:rsid w:val="453E3FCF"/>
    <w:rsid w:val="454F1836"/>
    <w:rsid w:val="455A248C"/>
    <w:rsid w:val="45637592"/>
    <w:rsid w:val="45887B45"/>
    <w:rsid w:val="458B66DF"/>
    <w:rsid w:val="45940F0E"/>
    <w:rsid w:val="45AC5DBA"/>
    <w:rsid w:val="45BE2A1A"/>
    <w:rsid w:val="45C647AF"/>
    <w:rsid w:val="45CF3374"/>
    <w:rsid w:val="45DD529D"/>
    <w:rsid w:val="45E57886"/>
    <w:rsid w:val="45E945CC"/>
    <w:rsid w:val="46003076"/>
    <w:rsid w:val="46021398"/>
    <w:rsid w:val="46026F63"/>
    <w:rsid w:val="46113492"/>
    <w:rsid w:val="46164604"/>
    <w:rsid w:val="46177E29"/>
    <w:rsid w:val="4618414C"/>
    <w:rsid w:val="46205B7F"/>
    <w:rsid w:val="462A00B0"/>
    <w:rsid w:val="462A4554"/>
    <w:rsid w:val="462A6010"/>
    <w:rsid w:val="462F1B6A"/>
    <w:rsid w:val="465D501C"/>
    <w:rsid w:val="465F41FD"/>
    <w:rsid w:val="466367DB"/>
    <w:rsid w:val="46686D18"/>
    <w:rsid w:val="466D15DA"/>
    <w:rsid w:val="46767799"/>
    <w:rsid w:val="4691012F"/>
    <w:rsid w:val="46AE0CE1"/>
    <w:rsid w:val="46BF7E28"/>
    <w:rsid w:val="46C3037C"/>
    <w:rsid w:val="46CB1893"/>
    <w:rsid w:val="46EF26BD"/>
    <w:rsid w:val="46FF15E0"/>
    <w:rsid w:val="4700581C"/>
    <w:rsid w:val="4702516A"/>
    <w:rsid w:val="470628CB"/>
    <w:rsid w:val="471548BC"/>
    <w:rsid w:val="4724600B"/>
    <w:rsid w:val="472E597E"/>
    <w:rsid w:val="474A4B33"/>
    <w:rsid w:val="47543636"/>
    <w:rsid w:val="475A6773"/>
    <w:rsid w:val="47665A15"/>
    <w:rsid w:val="47677941"/>
    <w:rsid w:val="477F1660"/>
    <w:rsid w:val="4788232A"/>
    <w:rsid w:val="478B0398"/>
    <w:rsid w:val="478F5D0B"/>
    <w:rsid w:val="47926E00"/>
    <w:rsid w:val="479D5A47"/>
    <w:rsid w:val="47A11E6C"/>
    <w:rsid w:val="47A31F5F"/>
    <w:rsid w:val="47A345BE"/>
    <w:rsid w:val="47A84BA6"/>
    <w:rsid w:val="47AA2CB1"/>
    <w:rsid w:val="47B52444"/>
    <w:rsid w:val="47B8724E"/>
    <w:rsid w:val="47C167F2"/>
    <w:rsid w:val="47ED7BCA"/>
    <w:rsid w:val="47F24BFD"/>
    <w:rsid w:val="47F46BC7"/>
    <w:rsid w:val="48016F34"/>
    <w:rsid w:val="480556DB"/>
    <w:rsid w:val="48185C56"/>
    <w:rsid w:val="48254C34"/>
    <w:rsid w:val="48450F81"/>
    <w:rsid w:val="48455675"/>
    <w:rsid w:val="484E729D"/>
    <w:rsid w:val="48566773"/>
    <w:rsid w:val="485A23C2"/>
    <w:rsid w:val="48623B31"/>
    <w:rsid w:val="48691107"/>
    <w:rsid w:val="48895289"/>
    <w:rsid w:val="48A16B62"/>
    <w:rsid w:val="48AE0D54"/>
    <w:rsid w:val="48BC6222"/>
    <w:rsid w:val="48BD16AF"/>
    <w:rsid w:val="48BF2D31"/>
    <w:rsid w:val="48C245E9"/>
    <w:rsid w:val="48CF1BDE"/>
    <w:rsid w:val="48DB312A"/>
    <w:rsid w:val="48DF49D9"/>
    <w:rsid w:val="48E76711"/>
    <w:rsid w:val="48F14EB5"/>
    <w:rsid w:val="490B5F77"/>
    <w:rsid w:val="491D3EFC"/>
    <w:rsid w:val="492108CC"/>
    <w:rsid w:val="492928A1"/>
    <w:rsid w:val="49413F52"/>
    <w:rsid w:val="494F6304"/>
    <w:rsid w:val="4968786D"/>
    <w:rsid w:val="496A2251"/>
    <w:rsid w:val="49792B95"/>
    <w:rsid w:val="498477B9"/>
    <w:rsid w:val="498521CD"/>
    <w:rsid w:val="49A34401"/>
    <w:rsid w:val="49AB1508"/>
    <w:rsid w:val="49EF5898"/>
    <w:rsid w:val="49F11610"/>
    <w:rsid w:val="4A01681E"/>
    <w:rsid w:val="4A05334F"/>
    <w:rsid w:val="4A060864"/>
    <w:rsid w:val="4A244932"/>
    <w:rsid w:val="4A2922C8"/>
    <w:rsid w:val="4A344C24"/>
    <w:rsid w:val="4A4117B2"/>
    <w:rsid w:val="4A4A6F73"/>
    <w:rsid w:val="4A712751"/>
    <w:rsid w:val="4A7A4350"/>
    <w:rsid w:val="4A7B1703"/>
    <w:rsid w:val="4A7D4C52"/>
    <w:rsid w:val="4A7E2497"/>
    <w:rsid w:val="4A896826"/>
    <w:rsid w:val="4A8E50B1"/>
    <w:rsid w:val="4A993A56"/>
    <w:rsid w:val="4AA77F21"/>
    <w:rsid w:val="4AB74A04"/>
    <w:rsid w:val="4ABF5E17"/>
    <w:rsid w:val="4ACB00B3"/>
    <w:rsid w:val="4ACF7478"/>
    <w:rsid w:val="4AD52CE0"/>
    <w:rsid w:val="4AD5594C"/>
    <w:rsid w:val="4AE01A66"/>
    <w:rsid w:val="4AE03433"/>
    <w:rsid w:val="4AE104D6"/>
    <w:rsid w:val="4AE724D1"/>
    <w:rsid w:val="4AE77140"/>
    <w:rsid w:val="4AEA4061"/>
    <w:rsid w:val="4AEB3612"/>
    <w:rsid w:val="4AED707B"/>
    <w:rsid w:val="4AFA2F07"/>
    <w:rsid w:val="4B013AD5"/>
    <w:rsid w:val="4B015D61"/>
    <w:rsid w:val="4B0B7979"/>
    <w:rsid w:val="4B1530DD"/>
    <w:rsid w:val="4B3E3B79"/>
    <w:rsid w:val="4B4A760A"/>
    <w:rsid w:val="4B520DF4"/>
    <w:rsid w:val="4B55797D"/>
    <w:rsid w:val="4B603107"/>
    <w:rsid w:val="4B753078"/>
    <w:rsid w:val="4B773D97"/>
    <w:rsid w:val="4B7A5635"/>
    <w:rsid w:val="4B7C315C"/>
    <w:rsid w:val="4B8509FE"/>
    <w:rsid w:val="4B8E10E1"/>
    <w:rsid w:val="4B971D44"/>
    <w:rsid w:val="4B9802B0"/>
    <w:rsid w:val="4B9E65BE"/>
    <w:rsid w:val="4B9F33A8"/>
    <w:rsid w:val="4BA80AFD"/>
    <w:rsid w:val="4BB033BA"/>
    <w:rsid w:val="4BB41A6E"/>
    <w:rsid w:val="4BB469AD"/>
    <w:rsid w:val="4BC06040"/>
    <w:rsid w:val="4BC66ACD"/>
    <w:rsid w:val="4BCF5981"/>
    <w:rsid w:val="4BD846DB"/>
    <w:rsid w:val="4BF441D2"/>
    <w:rsid w:val="4BFE6267"/>
    <w:rsid w:val="4C1C2A09"/>
    <w:rsid w:val="4C284AD9"/>
    <w:rsid w:val="4C423098"/>
    <w:rsid w:val="4C694192"/>
    <w:rsid w:val="4C7964D9"/>
    <w:rsid w:val="4C7C718B"/>
    <w:rsid w:val="4C8229F4"/>
    <w:rsid w:val="4C891FD4"/>
    <w:rsid w:val="4C8C5620"/>
    <w:rsid w:val="4C8D4534"/>
    <w:rsid w:val="4C905CCA"/>
    <w:rsid w:val="4C9269F6"/>
    <w:rsid w:val="4C973D5A"/>
    <w:rsid w:val="4CB75F07"/>
    <w:rsid w:val="4CC4300C"/>
    <w:rsid w:val="4CC4733F"/>
    <w:rsid w:val="4CC84335"/>
    <w:rsid w:val="4CD22B0F"/>
    <w:rsid w:val="4CDA3E72"/>
    <w:rsid w:val="4CE4545C"/>
    <w:rsid w:val="4CE9350A"/>
    <w:rsid w:val="4CE94821"/>
    <w:rsid w:val="4D014937"/>
    <w:rsid w:val="4D072EF9"/>
    <w:rsid w:val="4D175F8A"/>
    <w:rsid w:val="4D1E2466"/>
    <w:rsid w:val="4D2256CD"/>
    <w:rsid w:val="4D225F85"/>
    <w:rsid w:val="4D27359B"/>
    <w:rsid w:val="4D297BF3"/>
    <w:rsid w:val="4D2D0EAF"/>
    <w:rsid w:val="4D534390"/>
    <w:rsid w:val="4D795A49"/>
    <w:rsid w:val="4D7F0082"/>
    <w:rsid w:val="4D910B7E"/>
    <w:rsid w:val="4D952FD9"/>
    <w:rsid w:val="4D970662"/>
    <w:rsid w:val="4D9A1FBF"/>
    <w:rsid w:val="4D9F40B3"/>
    <w:rsid w:val="4DB33393"/>
    <w:rsid w:val="4DB90B8C"/>
    <w:rsid w:val="4DBC3CE3"/>
    <w:rsid w:val="4DCB51C5"/>
    <w:rsid w:val="4DCF1E0D"/>
    <w:rsid w:val="4DD23507"/>
    <w:rsid w:val="4DD632D9"/>
    <w:rsid w:val="4DD94895"/>
    <w:rsid w:val="4DE05D9E"/>
    <w:rsid w:val="4DE05DF9"/>
    <w:rsid w:val="4DE44800"/>
    <w:rsid w:val="4DE90850"/>
    <w:rsid w:val="4DEE0709"/>
    <w:rsid w:val="4DF26A56"/>
    <w:rsid w:val="4DF47921"/>
    <w:rsid w:val="4DF558BF"/>
    <w:rsid w:val="4DFC14EA"/>
    <w:rsid w:val="4DFF6815"/>
    <w:rsid w:val="4E0A3427"/>
    <w:rsid w:val="4E2423AC"/>
    <w:rsid w:val="4E261AA5"/>
    <w:rsid w:val="4E287F63"/>
    <w:rsid w:val="4E304B5D"/>
    <w:rsid w:val="4E345F70"/>
    <w:rsid w:val="4E353A96"/>
    <w:rsid w:val="4E377F77"/>
    <w:rsid w:val="4E3F66C2"/>
    <w:rsid w:val="4E406B13"/>
    <w:rsid w:val="4E611B8B"/>
    <w:rsid w:val="4E6279D7"/>
    <w:rsid w:val="4E682F8C"/>
    <w:rsid w:val="4E683E6B"/>
    <w:rsid w:val="4E6A7BB7"/>
    <w:rsid w:val="4E6C5D89"/>
    <w:rsid w:val="4E704ACE"/>
    <w:rsid w:val="4E9133C2"/>
    <w:rsid w:val="4EB23220"/>
    <w:rsid w:val="4EC70B92"/>
    <w:rsid w:val="4EC866B8"/>
    <w:rsid w:val="4ED46303"/>
    <w:rsid w:val="4EE661F8"/>
    <w:rsid w:val="4EF27A04"/>
    <w:rsid w:val="4F0773B4"/>
    <w:rsid w:val="4F0C69BB"/>
    <w:rsid w:val="4F241019"/>
    <w:rsid w:val="4F307BB1"/>
    <w:rsid w:val="4F336227"/>
    <w:rsid w:val="4F3B50DC"/>
    <w:rsid w:val="4F3C3EF2"/>
    <w:rsid w:val="4F3D562D"/>
    <w:rsid w:val="4F5C4EE0"/>
    <w:rsid w:val="4F681AF1"/>
    <w:rsid w:val="4F6E1972"/>
    <w:rsid w:val="4F943166"/>
    <w:rsid w:val="4F9C19A5"/>
    <w:rsid w:val="4FBA02A1"/>
    <w:rsid w:val="4FBA24A4"/>
    <w:rsid w:val="4FC275AB"/>
    <w:rsid w:val="4FD24AEE"/>
    <w:rsid w:val="4FD86DCF"/>
    <w:rsid w:val="4FE319FB"/>
    <w:rsid w:val="4FE7106E"/>
    <w:rsid w:val="4FF82FCD"/>
    <w:rsid w:val="4FFC288D"/>
    <w:rsid w:val="50053943"/>
    <w:rsid w:val="50260569"/>
    <w:rsid w:val="50374A3C"/>
    <w:rsid w:val="5039786D"/>
    <w:rsid w:val="50487AB0"/>
    <w:rsid w:val="50550E55"/>
    <w:rsid w:val="50666188"/>
    <w:rsid w:val="506F7733"/>
    <w:rsid w:val="50901457"/>
    <w:rsid w:val="509F43E4"/>
    <w:rsid w:val="50A54D3E"/>
    <w:rsid w:val="50B82E88"/>
    <w:rsid w:val="50BB32A7"/>
    <w:rsid w:val="50CC5CB2"/>
    <w:rsid w:val="50ED1473"/>
    <w:rsid w:val="50F1402B"/>
    <w:rsid w:val="50FD2AD9"/>
    <w:rsid w:val="51064A9D"/>
    <w:rsid w:val="51081E85"/>
    <w:rsid w:val="51097D9A"/>
    <w:rsid w:val="511A650F"/>
    <w:rsid w:val="51237D2E"/>
    <w:rsid w:val="51295DBA"/>
    <w:rsid w:val="514229EF"/>
    <w:rsid w:val="5147193B"/>
    <w:rsid w:val="515B06D0"/>
    <w:rsid w:val="51764AF1"/>
    <w:rsid w:val="51907961"/>
    <w:rsid w:val="51996737"/>
    <w:rsid w:val="51B408B8"/>
    <w:rsid w:val="51B80848"/>
    <w:rsid w:val="51CC0868"/>
    <w:rsid w:val="51D5340F"/>
    <w:rsid w:val="51DA5080"/>
    <w:rsid w:val="51DE608F"/>
    <w:rsid w:val="51DF2696"/>
    <w:rsid w:val="521A6BBB"/>
    <w:rsid w:val="521C24C4"/>
    <w:rsid w:val="52287B99"/>
    <w:rsid w:val="52382F2A"/>
    <w:rsid w:val="52386E3D"/>
    <w:rsid w:val="523A7DD1"/>
    <w:rsid w:val="523B7711"/>
    <w:rsid w:val="524C0327"/>
    <w:rsid w:val="524D7600"/>
    <w:rsid w:val="526C337C"/>
    <w:rsid w:val="5271774C"/>
    <w:rsid w:val="527A416D"/>
    <w:rsid w:val="528D5323"/>
    <w:rsid w:val="528D7B65"/>
    <w:rsid w:val="52976ACD"/>
    <w:rsid w:val="5299416C"/>
    <w:rsid w:val="52AA11D3"/>
    <w:rsid w:val="52DE008D"/>
    <w:rsid w:val="52EE341E"/>
    <w:rsid w:val="52F37FE6"/>
    <w:rsid w:val="52FC1CAF"/>
    <w:rsid w:val="52FE08FA"/>
    <w:rsid w:val="52FF22FE"/>
    <w:rsid w:val="53004672"/>
    <w:rsid w:val="530B071F"/>
    <w:rsid w:val="531A330F"/>
    <w:rsid w:val="532B6CAF"/>
    <w:rsid w:val="53350D91"/>
    <w:rsid w:val="53412644"/>
    <w:rsid w:val="53433903"/>
    <w:rsid w:val="534E7AD3"/>
    <w:rsid w:val="53517A72"/>
    <w:rsid w:val="535D4B57"/>
    <w:rsid w:val="5361549D"/>
    <w:rsid w:val="536220DA"/>
    <w:rsid w:val="53650637"/>
    <w:rsid w:val="5367649F"/>
    <w:rsid w:val="536A5F90"/>
    <w:rsid w:val="537155BE"/>
    <w:rsid w:val="53757C6B"/>
    <w:rsid w:val="537E1075"/>
    <w:rsid w:val="538452A3"/>
    <w:rsid w:val="539A4AC7"/>
    <w:rsid w:val="53A44D07"/>
    <w:rsid w:val="53A46AC8"/>
    <w:rsid w:val="53AB7F1F"/>
    <w:rsid w:val="53AC6F7B"/>
    <w:rsid w:val="53C01F4F"/>
    <w:rsid w:val="53C421A6"/>
    <w:rsid w:val="53C75DFB"/>
    <w:rsid w:val="53D8739D"/>
    <w:rsid w:val="53DD3E25"/>
    <w:rsid w:val="53E15798"/>
    <w:rsid w:val="53EB297B"/>
    <w:rsid w:val="53EC4BF7"/>
    <w:rsid w:val="53F671DE"/>
    <w:rsid w:val="53F758A1"/>
    <w:rsid w:val="53FC2BBB"/>
    <w:rsid w:val="540D5A7F"/>
    <w:rsid w:val="542C1497"/>
    <w:rsid w:val="542E2BC2"/>
    <w:rsid w:val="54352A96"/>
    <w:rsid w:val="54406946"/>
    <w:rsid w:val="54447390"/>
    <w:rsid w:val="544B514D"/>
    <w:rsid w:val="545E1D01"/>
    <w:rsid w:val="54674051"/>
    <w:rsid w:val="54705828"/>
    <w:rsid w:val="5472334E"/>
    <w:rsid w:val="548A4B3B"/>
    <w:rsid w:val="54935B8F"/>
    <w:rsid w:val="54996B2C"/>
    <w:rsid w:val="549D3677"/>
    <w:rsid w:val="54AA6F8B"/>
    <w:rsid w:val="54AC76D1"/>
    <w:rsid w:val="54B03E76"/>
    <w:rsid w:val="54BB2F47"/>
    <w:rsid w:val="54BF230B"/>
    <w:rsid w:val="54CC6227"/>
    <w:rsid w:val="54D10F9B"/>
    <w:rsid w:val="54D97871"/>
    <w:rsid w:val="54DB4AA8"/>
    <w:rsid w:val="54DC4C6B"/>
    <w:rsid w:val="550B5550"/>
    <w:rsid w:val="551D586C"/>
    <w:rsid w:val="55200298"/>
    <w:rsid w:val="55225AFC"/>
    <w:rsid w:val="55335E1B"/>
    <w:rsid w:val="5536079B"/>
    <w:rsid w:val="554B7EF0"/>
    <w:rsid w:val="554C1DF1"/>
    <w:rsid w:val="556F3D99"/>
    <w:rsid w:val="556F788D"/>
    <w:rsid w:val="55720837"/>
    <w:rsid w:val="55860894"/>
    <w:rsid w:val="558F6181"/>
    <w:rsid w:val="55B02DF1"/>
    <w:rsid w:val="55C4407D"/>
    <w:rsid w:val="55CC69FA"/>
    <w:rsid w:val="55CD0FB3"/>
    <w:rsid w:val="55D47A00"/>
    <w:rsid w:val="55D5456D"/>
    <w:rsid w:val="55DC290C"/>
    <w:rsid w:val="55E71B19"/>
    <w:rsid w:val="55EA5D64"/>
    <w:rsid w:val="55F01FA1"/>
    <w:rsid w:val="55F12998"/>
    <w:rsid w:val="55FC19B9"/>
    <w:rsid w:val="56130B60"/>
    <w:rsid w:val="56234F28"/>
    <w:rsid w:val="562C1C22"/>
    <w:rsid w:val="56586573"/>
    <w:rsid w:val="56666B5B"/>
    <w:rsid w:val="56717635"/>
    <w:rsid w:val="567333AD"/>
    <w:rsid w:val="56764C4B"/>
    <w:rsid w:val="568E01E7"/>
    <w:rsid w:val="569240FE"/>
    <w:rsid w:val="56990B7C"/>
    <w:rsid w:val="569972B8"/>
    <w:rsid w:val="569E1126"/>
    <w:rsid w:val="56A8690E"/>
    <w:rsid w:val="56B51C18"/>
    <w:rsid w:val="56B679AB"/>
    <w:rsid w:val="56B72852"/>
    <w:rsid w:val="56B80DEB"/>
    <w:rsid w:val="56D976B4"/>
    <w:rsid w:val="56E0560F"/>
    <w:rsid w:val="56E06E61"/>
    <w:rsid w:val="56E9366F"/>
    <w:rsid w:val="56EF3C74"/>
    <w:rsid w:val="56F653FE"/>
    <w:rsid w:val="57007337"/>
    <w:rsid w:val="571526B6"/>
    <w:rsid w:val="57272B15"/>
    <w:rsid w:val="572B1EDA"/>
    <w:rsid w:val="57315742"/>
    <w:rsid w:val="573D6AD0"/>
    <w:rsid w:val="574448FC"/>
    <w:rsid w:val="574A3870"/>
    <w:rsid w:val="57561D39"/>
    <w:rsid w:val="575B7AFD"/>
    <w:rsid w:val="576176AA"/>
    <w:rsid w:val="57650F48"/>
    <w:rsid w:val="57660D3F"/>
    <w:rsid w:val="5774562F"/>
    <w:rsid w:val="5785783C"/>
    <w:rsid w:val="578F06BB"/>
    <w:rsid w:val="57A23AD5"/>
    <w:rsid w:val="57A469A0"/>
    <w:rsid w:val="57C02811"/>
    <w:rsid w:val="57CC4BC2"/>
    <w:rsid w:val="57D10760"/>
    <w:rsid w:val="57D1153D"/>
    <w:rsid w:val="57D77297"/>
    <w:rsid w:val="57EF4CB5"/>
    <w:rsid w:val="57FA3774"/>
    <w:rsid w:val="58020B21"/>
    <w:rsid w:val="58084A3C"/>
    <w:rsid w:val="582772A7"/>
    <w:rsid w:val="583059FA"/>
    <w:rsid w:val="583354EA"/>
    <w:rsid w:val="583F79EB"/>
    <w:rsid w:val="5847689F"/>
    <w:rsid w:val="58531B77"/>
    <w:rsid w:val="58564D34"/>
    <w:rsid w:val="585D2975"/>
    <w:rsid w:val="585D4315"/>
    <w:rsid w:val="585E3492"/>
    <w:rsid w:val="585F64F9"/>
    <w:rsid w:val="587A6C4B"/>
    <w:rsid w:val="587E3341"/>
    <w:rsid w:val="587F428B"/>
    <w:rsid w:val="58843A9C"/>
    <w:rsid w:val="58935F89"/>
    <w:rsid w:val="5895585D"/>
    <w:rsid w:val="58B31855"/>
    <w:rsid w:val="58C6004A"/>
    <w:rsid w:val="58CF56D8"/>
    <w:rsid w:val="58D31010"/>
    <w:rsid w:val="58D6741E"/>
    <w:rsid w:val="58DB0535"/>
    <w:rsid w:val="58E467E4"/>
    <w:rsid w:val="58E62E0E"/>
    <w:rsid w:val="58EA3D0E"/>
    <w:rsid w:val="58F24A5D"/>
    <w:rsid w:val="58F71269"/>
    <w:rsid w:val="58FE045E"/>
    <w:rsid w:val="58FE78A6"/>
    <w:rsid w:val="59014CEF"/>
    <w:rsid w:val="59017396"/>
    <w:rsid w:val="590B5B1F"/>
    <w:rsid w:val="591946E0"/>
    <w:rsid w:val="59442D7E"/>
    <w:rsid w:val="59561946"/>
    <w:rsid w:val="5961765F"/>
    <w:rsid w:val="59670F51"/>
    <w:rsid w:val="596A44F9"/>
    <w:rsid w:val="596C19BB"/>
    <w:rsid w:val="59790BDB"/>
    <w:rsid w:val="597E3F42"/>
    <w:rsid w:val="598653AC"/>
    <w:rsid w:val="598F04FE"/>
    <w:rsid w:val="59AC10B0"/>
    <w:rsid w:val="59AC3C86"/>
    <w:rsid w:val="59B461B6"/>
    <w:rsid w:val="59B817D3"/>
    <w:rsid w:val="59C11856"/>
    <w:rsid w:val="59C153AB"/>
    <w:rsid w:val="59CC1752"/>
    <w:rsid w:val="59D42FDA"/>
    <w:rsid w:val="59D70DF6"/>
    <w:rsid w:val="59DA4E01"/>
    <w:rsid w:val="59F64E82"/>
    <w:rsid w:val="5A04713E"/>
    <w:rsid w:val="5A062F3F"/>
    <w:rsid w:val="5A0A5DD6"/>
    <w:rsid w:val="5A10435C"/>
    <w:rsid w:val="5A111C53"/>
    <w:rsid w:val="5A1621EF"/>
    <w:rsid w:val="5A2654CC"/>
    <w:rsid w:val="5A292701"/>
    <w:rsid w:val="5A2A0227"/>
    <w:rsid w:val="5A323A44"/>
    <w:rsid w:val="5A395E66"/>
    <w:rsid w:val="5A476FBE"/>
    <w:rsid w:val="5A484352"/>
    <w:rsid w:val="5A5321A5"/>
    <w:rsid w:val="5A783688"/>
    <w:rsid w:val="5A845B89"/>
    <w:rsid w:val="5A8734AF"/>
    <w:rsid w:val="5A955FE8"/>
    <w:rsid w:val="5A9D3E45"/>
    <w:rsid w:val="5AA1673B"/>
    <w:rsid w:val="5AA4101D"/>
    <w:rsid w:val="5AA93841"/>
    <w:rsid w:val="5AB17576"/>
    <w:rsid w:val="5ABA59C8"/>
    <w:rsid w:val="5ABD68E6"/>
    <w:rsid w:val="5ABF73D2"/>
    <w:rsid w:val="5ACB3D8A"/>
    <w:rsid w:val="5ACE32A8"/>
    <w:rsid w:val="5AD52888"/>
    <w:rsid w:val="5ADE798F"/>
    <w:rsid w:val="5AE12FDB"/>
    <w:rsid w:val="5AE1508F"/>
    <w:rsid w:val="5AF80256"/>
    <w:rsid w:val="5B110CC9"/>
    <w:rsid w:val="5B136165"/>
    <w:rsid w:val="5B172EA1"/>
    <w:rsid w:val="5B1851F5"/>
    <w:rsid w:val="5B1F7B5D"/>
    <w:rsid w:val="5B24736C"/>
    <w:rsid w:val="5B29420B"/>
    <w:rsid w:val="5B585171"/>
    <w:rsid w:val="5B585B78"/>
    <w:rsid w:val="5B5E0F00"/>
    <w:rsid w:val="5B6D62B9"/>
    <w:rsid w:val="5B746CFA"/>
    <w:rsid w:val="5B7A4125"/>
    <w:rsid w:val="5B9A2B59"/>
    <w:rsid w:val="5B9C5AAD"/>
    <w:rsid w:val="5BA652E6"/>
    <w:rsid w:val="5BBB7CD0"/>
    <w:rsid w:val="5BC0085A"/>
    <w:rsid w:val="5BC326E1"/>
    <w:rsid w:val="5BE03293"/>
    <w:rsid w:val="5BF03D58"/>
    <w:rsid w:val="5BF20AFB"/>
    <w:rsid w:val="5C0E5921"/>
    <w:rsid w:val="5C1823FA"/>
    <w:rsid w:val="5C1A6BB2"/>
    <w:rsid w:val="5C284A34"/>
    <w:rsid w:val="5C306D31"/>
    <w:rsid w:val="5C3435DF"/>
    <w:rsid w:val="5C37233A"/>
    <w:rsid w:val="5C4557EC"/>
    <w:rsid w:val="5C5355FE"/>
    <w:rsid w:val="5C551CAC"/>
    <w:rsid w:val="5C5A49A5"/>
    <w:rsid w:val="5C642116"/>
    <w:rsid w:val="5C6519EA"/>
    <w:rsid w:val="5C6715FE"/>
    <w:rsid w:val="5C6F4105"/>
    <w:rsid w:val="5C7542D1"/>
    <w:rsid w:val="5C7A36E7"/>
    <w:rsid w:val="5C902F0B"/>
    <w:rsid w:val="5CBB7F6F"/>
    <w:rsid w:val="5CC248CE"/>
    <w:rsid w:val="5CC826A5"/>
    <w:rsid w:val="5CD31049"/>
    <w:rsid w:val="5CF1327E"/>
    <w:rsid w:val="5D042FB1"/>
    <w:rsid w:val="5D3A2E77"/>
    <w:rsid w:val="5D442CB4"/>
    <w:rsid w:val="5D4C6846"/>
    <w:rsid w:val="5D5757D7"/>
    <w:rsid w:val="5D773808"/>
    <w:rsid w:val="5D7C3F11"/>
    <w:rsid w:val="5D9702C9"/>
    <w:rsid w:val="5D971C5A"/>
    <w:rsid w:val="5D9D49E0"/>
    <w:rsid w:val="5DA01E9E"/>
    <w:rsid w:val="5DAD3649"/>
    <w:rsid w:val="5DAD55EA"/>
    <w:rsid w:val="5DC310BE"/>
    <w:rsid w:val="5DC32E6C"/>
    <w:rsid w:val="5DD929E8"/>
    <w:rsid w:val="5DDF1821"/>
    <w:rsid w:val="5DE2656A"/>
    <w:rsid w:val="5DEA2F91"/>
    <w:rsid w:val="5DF94AE0"/>
    <w:rsid w:val="5DFA5883"/>
    <w:rsid w:val="5E1C432A"/>
    <w:rsid w:val="5E224037"/>
    <w:rsid w:val="5E3146A3"/>
    <w:rsid w:val="5E336236"/>
    <w:rsid w:val="5E442F62"/>
    <w:rsid w:val="5E6C2C5B"/>
    <w:rsid w:val="5E6E2DD8"/>
    <w:rsid w:val="5E7251A2"/>
    <w:rsid w:val="5E7C3591"/>
    <w:rsid w:val="5E9842F9"/>
    <w:rsid w:val="5E9D0E18"/>
    <w:rsid w:val="5EA26F25"/>
    <w:rsid w:val="5EA341D7"/>
    <w:rsid w:val="5EA755DE"/>
    <w:rsid w:val="5EAE7678"/>
    <w:rsid w:val="5ED35F0E"/>
    <w:rsid w:val="5EDF7832"/>
    <w:rsid w:val="5EFC1390"/>
    <w:rsid w:val="5EFC3EB6"/>
    <w:rsid w:val="5F00622C"/>
    <w:rsid w:val="5F03335D"/>
    <w:rsid w:val="5F0368C7"/>
    <w:rsid w:val="5F096FA4"/>
    <w:rsid w:val="5F1544E7"/>
    <w:rsid w:val="5F197EE8"/>
    <w:rsid w:val="5F312D8D"/>
    <w:rsid w:val="5F3C4923"/>
    <w:rsid w:val="5F4160B0"/>
    <w:rsid w:val="5F426012"/>
    <w:rsid w:val="5F473629"/>
    <w:rsid w:val="5F5A7800"/>
    <w:rsid w:val="5F6368E9"/>
    <w:rsid w:val="5F7811D3"/>
    <w:rsid w:val="5F9A65E6"/>
    <w:rsid w:val="5F9B2627"/>
    <w:rsid w:val="5FA03FC2"/>
    <w:rsid w:val="5FA66B60"/>
    <w:rsid w:val="5FAA0B34"/>
    <w:rsid w:val="5FAC7B1F"/>
    <w:rsid w:val="5FB5266F"/>
    <w:rsid w:val="5FB80E3D"/>
    <w:rsid w:val="5FB831B4"/>
    <w:rsid w:val="5FBC7B73"/>
    <w:rsid w:val="5FBF1411"/>
    <w:rsid w:val="5FD40999"/>
    <w:rsid w:val="5FE5522B"/>
    <w:rsid w:val="5FEB14C7"/>
    <w:rsid w:val="5FF03F08"/>
    <w:rsid w:val="5FF2548E"/>
    <w:rsid w:val="5FF313D3"/>
    <w:rsid w:val="6005776C"/>
    <w:rsid w:val="602610FD"/>
    <w:rsid w:val="602808B2"/>
    <w:rsid w:val="602C2F4B"/>
    <w:rsid w:val="602D0A71"/>
    <w:rsid w:val="60307A2A"/>
    <w:rsid w:val="603814FF"/>
    <w:rsid w:val="604109A8"/>
    <w:rsid w:val="60522285"/>
    <w:rsid w:val="605D2617"/>
    <w:rsid w:val="60616CDC"/>
    <w:rsid w:val="60624E53"/>
    <w:rsid w:val="606319E5"/>
    <w:rsid w:val="607A77D8"/>
    <w:rsid w:val="607B3C50"/>
    <w:rsid w:val="608B6567"/>
    <w:rsid w:val="60902A4E"/>
    <w:rsid w:val="60917251"/>
    <w:rsid w:val="60AA3E6F"/>
    <w:rsid w:val="60BB607C"/>
    <w:rsid w:val="60E02B13"/>
    <w:rsid w:val="60FF21D9"/>
    <w:rsid w:val="610C0686"/>
    <w:rsid w:val="611063C8"/>
    <w:rsid w:val="611E37D0"/>
    <w:rsid w:val="613021B3"/>
    <w:rsid w:val="61306A6A"/>
    <w:rsid w:val="613253FD"/>
    <w:rsid w:val="61421F29"/>
    <w:rsid w:val="614E0C9F"/>
    <w:rsid w:val="61521F2D"/>
    <w:rsid w:val="615F221E"/>
    <w:rsid w:val="61637D56"/>
    <w:rsid w:val="61712185"/>
    <w:rsid w:val="618B5A4F"/>
    <w:rsid w:val="618B7207"/>
    <w:rsid w:val="61907E69"/>
    <w:rsid w:val="61A86601"/>
    <w:rsid w:val="61A90D68"/>
    <w:rsid w:val="61B22578"/>
    <w:rsid w:val="61B43A15"/>
    <w:rsid w:val="61D54F1C"/>
    <w:rsid w:val="61DA0425"/>
    <w:rsid w:val="62015D11"/>
    <w:rsid w:val="62065A1D"/>
    <w:rsid w:val="6213792C"/>
    <w:rsid w:val="621775E2"/>
    <w:rsid w:val="621C0D9D"/>
    <w:rsid w:val="622F7552"/>
    <w:rsid w:val="6250406E"/>
    <w:rsid w:val="626369CC"/>
    <w:rsid w:val="6267666C"/>
    <w:rsid w:val="627D6831"/>
    <w:rsid w:val="627E3805"/>
    <w:rsid w:val="62811B1C"/>
    <w:rsid w:val="62A20409"/>
    <w:rsid w:val="62AC0373"/>
    <w:rsid w:val="62B54B44"/>
    <w:rsid w:val="62CE02E9"/>
    <w:rsid w:val="62E045DA"/>
    <w:rsid w:val="62E23D94"/>
    <w:rsid w:val="62E454A1"/>
    <w:rsid w:val="62E95123"/>
    <w:rsid w:val="62EF025F"/>
    <w:rsid w:val="62F36E4C"/>
    <w:rsid w:val="62F47F8F"/>
    <w:rsid w:val="62F7233F"/>
    <w:rsid w:val="630737FB"/>
    <w:rsid w:val="631B2E02"/>
    <w:rsid w:val="631F3FB4"/>
    <w:rsid w:val="63273E9D"/>
    <w:rsid w:val="63364F75"/>
    <w:rsid w:val="6340438B"/>
    <w:rsid w:val="6353238E"/>
    <w:rsid w:val="635B58F5"/>
    <w:rsid w:val="63612AB8"/>
    <w:rsid w:val="6379289B"/>
    <w:rsid w:val="63794D6B"/>
    <w:rsid w:val="637B1AF3"/>
    <w:rsid w:val="637D0978"/>
    <w:rsid w:val="637D18D6"/>
    <w:rsid w:val="63861A11"/>
    <w:rsid w:val="638906B4"/>
    <w:rsid w:val="638968B0"/>
    <w:rsid w:val="638A282C"/>
    <w:rsid w:val="6393508F"/>
    <w:rsid w:val="639A3568"/>
    <w:rsid w:val="63A75341"/>
    <w:rsid w:val="63A85E90"/>
    <w:rsid w:val="63A962DB"/>
    <w:rsid w:val="63AB1A91"/>
    <w:rsid w:val="63B3128D"/>
    <w:rsid w:val="63B75221"/>
    <w:rsid w:val="63B82D47"/>
    <w:rsid w:val="63C416EC"/>
    <w:rsid w:val="63C74D38"/>
    <w:rsid w:val="63D556A7"/>
    <w:rsid w:val="63E17D6C"/>
    <w:rsid w:val="63EA73A4"/>
    <w:rsid w:val="63EE4692"/>
    <w:rsid w:val="63FD622D"/>
    <w:rsid w:val="63FE4BFE"/>
    <w:rsid w:val="64177A6E"/>
    <w:rsid w:val="641F42FB"/>
    <w:rsid w:val="6428796E"/>
    <w:rsid w:val="642F4DB7"/>
    <w:rsid w:val="643F32F9"/>
    <w:rsid w:val="644F7208"/>
    <w:rsid w:val="64582686"/>
    <w:rsid w:val="64673C87"/>
    <w:rsid w:val="647A1DAB"/>
    <w:rsid w:val="64877733"/>
    <w:rsid w:val="64925346"/>
    <w:rsid w:val="64A170D2"/>
    <w:rsid w:val="64A251DD"/>
    <w:rsid w:val="64A532CB"/>
    <w:rsid w:val="64A62BA0"/>
    <w:rsid w:val="64BC182A"/>
    <w:rsid w:val="64F46001"/>
    <w:rsid w:val="650242F0"/>
    <w:rsid w:val="65365B2B"/>
    <w:rsid w:val="653F447E"/>
    <w:rsid w:val="65542778"/>
    <w:rsid w:val="655829AF"/>
    <w:rsid w:val="655C6080"/>
    <w:rsid w:val="656B70C3"/>
    <w:rsid w:val="657038D9"/>
    <w:rsid w:val="65711400"/>
    <w:rsid w:val="657D1B52"/>
    <w:rsid w:val="657D7DA4"/>
    <w:rsid w:val="657F1D6E"/>
    <w:rsid w:val="65864EAB"/>
    <w:rsid w:val="658F4798"/>
    <w:rsid w:val="659B1EBA"/>
    <w:rsid w:val="659C3AAC"/>
    <w:rsid w:val="65A11CE5"/>
    <w:rsid w:val="65A83379"/>
    <w:rsid w:val="65B461E9"/>
    <w:rsid w:val="65B73498"/>
    <w:rsid w:val="65BE39A8"/>
    <w:rsid w:val="65C23A09"/>
    <w:rsid w:val="65E46075"/>
    <w:rsid w:val="65FB3FBE"/>
    <w:rsid w:val="660109D5"/>
    <w:rsid w:val="66101A71"/>
    <w:rsid w:val="66171FA7"/>
    <w:rsid w:val="6623094C"/>
    <w:rsid w:val="66247D11"/>
    <w:rsid w:val="66326DE1"/>
    <w:rsid w:val="663A5C95"/>
    <w:rsid w:val="663B3EC9"/>
    <w:rsid w:val="663F505A"/>
    <w:rsid w:val="665A1E94"/>
    <w:rsid w:val="66736112"/>
    <w:rsid w:val="667F5B5B"/>
    <w:rsid w:val="6694262A"/>
    <w:rsid w:val="66990381"/>
    <w:rsid w:val="66996E60"/>
    <w:rsid w:val="66A3383B"/>
    <w:rsid w:val="66A870A3"/>
    <w:rsid w:val="66B31B01"/>
    <w:rsid w:val="66B45A48"/>
    <w:rsid w:val="66B6356E"/>
    <w:rsid w:val="66CE1E80"/>
    <w:rsid w:val="66E362F9"/>
    <w:rsid w:val="66E47FD9"/>
    <w:rsid w:val="66E520A5"/>
    <w:rsid w:val="66E8749F"/>
    <w:rsid w:val="66F04175"/>
    <w:rsid w:val="66F127F8"/>
    <w:rsid w:val="66F2031E"/>
    <w:rsid w:val="67071922"/>
    <w:rsid w:val="673B73C0"/>
    <w:rsid w:val="674548F2"/>
    <w:rsid w:val="674743C8"/>
    <w:rsid w:val="674A1F08"/>
    <w:rsid w:val="674E19F8"/>
    <w:rsid w:val="675608B6"/>
    <w:rsid w:val="6760172C"/>
    <w:rsid w:val="67754402"/>
    <w:rsid w:val="677D54ED"/>
    <w:rsid w:val="678B726C"/>
    <w:rsid w:val="67925D9A"/>
    <w:rsid w:val="67A00F19"/>
    <w:rsid w:val="67B25E27"/>
    <w:rsid w:val="67B4646D"/>
    <w:rsid w:val="67B464CA"/>
    <w:rsid w:val="67C4383B"/>
    <w:rsid w:val="67D0240D"/>
    <w:rsid w:val="67D35E1A"/>
    <w:rsid w:val="67D839B8"/>
    <w:rsid w:val="67DB0DB2"/>
    <w:rsid w:val="67F35317"/>
    <w:rsid w:val="67F73E3E"/>
    <w:rsid w:val="68016A6B"/>
    <w:rsid w:val="680201B7"/>
    <w:rsid w:val="68040309"/>
    <w:rsid w:val="68060525"/>
    <w:rsid w:val="68103152"/>
    <w:rsid w:val="681A5D7E"/>
    <w:rsid w:val="68362BFB"/>
    <w:rsid w:val="683D085A"/>
    <w:rsid w:val="683F1130"/>
    <w:rsid w:val="684456A1"/>
    <w:rsid w:val="684C2838"/>
    <w:rsid w:val="685E1363"/>
    <w:rsid w:val="687731D1"/>
    <w:rsid w:val="6878475E"/>
    <w:rsid w:val="6888718C"/>
    <w:rsid w:val="688B4E68"/>
    <w:rsid w:val="688E1089"/>
    <w:rsid w:val="68993219"/>
    <w:rsid w:val="689A674E"/>
    <w:rsid w:val="689E250C"/>
    <w:rsid w:val="689E42BA"/>
    <w:rsid w:val="68A026F3"/>
    <w:rsid w:val="68AD09A1"/>
    <w:rsid w:val="68AF6C13"/>
    <w:rsid w:val="68C77CB4"/>
    <w:rsid w:val="68D221B5"/>
    <w:rsid w:val="68F25680"/>
    <w:rsid w:val="68FB170C"/>
    <w:rsid w:val="68FB795E"/>
    <w:rsid w:val="68FF6F67"/>
    <w:rsid w:val="69074555"/>
    <w:rsid w:val="690E07C7"/>
    <w:rsid w:val="69140A20"/>
    <w:rsid w:val="69236A65"/>
    <w:rsid w:val="692E469B"/>
    <w:rsid w:val="69315C48"/>
    <w:rsid w:val="694019EC"/>
    <w:rsid w:val="694841AF"/>
    <w:rsid w:val="69584DB4"/>
    <w:rsid w:val="695B5B89"/>
    <w:rsid w:val="69623E4E"/>
    <w:rsid w:val="696C3D80"/>
    <w:rsid w:val="696D7E94"/>
    <w:rsid w:val="697D0373"/>
    <w:rsid w:val="69821E2D"/>
    <w:rsid w:val="69863787"/>
    <w:rsid w:val="698A5EE4"/>
    <w:rsid w:val="69935DE8"/>
    <w:rsid w:val="69A27DD9"/>
    <w:rsid w:val="69B30239"/>
    <w:rsid w:val="69C67F6C"/>
    <w:rsid w:val="69C811ED"/>
    <w:rsid w:val="69D33070"/>
    <w:rsid w:val="69E06B54"/>
    <w:rsid w:val="69E97E75"/>
    <w:rsid w:val="69EF33C0"/>
    <w:rsid w:val="69F23275"/>
    <w:rsid w:val="69FB5D9E"/>
    <w:rsid w:val="69FF6FDA"/>
    <w:rsid w:val="6A09542B"/>
    <w:rsid w:val="6A0D5B9B"/>
    <w:rsid w:val="6A143C4B"/>
    <w:rsid w:val="6A1A3007"/>
    <w:rsid w:val="6A1E645E"/>
    <w:rsid w:val="6A3C6480"/>
    <w:rsid w:val="6A3E5F7A"/>
    <w:rsid w:val="6A417049"/>
    <w:rsid w:val="6A576E16"/>
    <w:rsid w:val="6A7903E5"/>
    <w:rsid w:val="6A8219B9"/>
    <w:rsid w:val="6A822A1B"/>
    <w:rsid w:val="6A8641F2"/>
    <w:rsid w:val="6A8B6AC0"/>
    <w:rsid w:val="6A9701A5"/>
    <w:rsid w:val="6AA03032"/>
    <w:rsid w:val="6AA86FEC"/>
    <w:rsid w:val="6AA87672"/>
    <w:rsid w:val="6AB06526"/>
    <w:rsid w:val="6AB204F0"/>
    <w:rsid w:val="6AC50223"/>
    <w:rsid w:val="6ACB20F7"/>
    <w:rsid w:val="6AD54E94"/>
    <w:rsid w:val="6ADA35A3"/>
    <w:rsid w:val="6ADA6AC4"/>
    <w:rsid w:val="6ADB11D6"/>
    <w:rsid w:val="6AF208ED"/>
    <w:rsid w:val="6B1A2C3C"/>
    <w:rsid w:val="6B221F4E"/>
    <w:rsid w:val="6B2C2051"/>
    <w:rsid w:val="6B31644D"/>
    <w:rsid w:val="6B486C86"/>
    <w:rsid w:val="6B546244"/>
    <w:rsid w:val="6B554C72"/>
    <w:rsid w:val="6B680BAF"/>
    <w:rsid w:val="6B774DF2"/>
    <w:rsid w:val="6B7834E8"/>
    <w:rsid w:val="6B847AD7"/>
    <w:rsid w:val="6B961F07"/>
    <w:rsid w:val="6B9A2DF9"/>
    <w:rsid w:val="6BA56BC7"/>
    <w:rsid w:val="6BAA11C7"/>
    <w:rsid w:val="6BAA566B"/>
    <w:rsid w:val="6BAC4619"/>
    <w:rsid w:val="6BB118FD"/>
    <w:rsid w:val="6BC60150"/>
    <w:rsid w:val="6BCD2823"/>
    <w:rsid w:val="6BDD15DD"/>
    <w:rsid w:val="6BDF2966"/>
    <w:rsid w:val="6BE86A5F"/>
    <w:rsid w:val="6C053C7D"/>
    <w:rsid w:val="6C0D357A"/>
    <w:rsid w:val="6C134FBF"/>
    <w:rsid w:val="6C186A79"/>
    <w:rsid w:val="6C1B1812"/>
    <w:rsid w:val="6C2076DB"/>
    <w:rsid w:val="6C234DED"/>
    <w:rsid w:val="6C29198B"/>
    <w:rsid w:val="6C3A079D"/>
    <w:rsid w:val="6C3A67D1"/>
    <w:rsid w:val="6C3D2157"/>
    <w:rsid w:val="6C3D2D5C"/>
    <w:rsid w:val="6C4800AA"/>
    <w:rsid w:val="6C4D28F8"/>
    <w:rsid w:val="6C573E9C"/>
    <w:rsid w:val="6C5C23DC"/>
    <w:rsid w:val="6C637F41"/>
    <w:rsid w:val="6C6D1126"/>
    <w:rsid w:val="6C742B50"/>
    <w:rsid w:val="6C7672FB"/>
    <w:rsid w:val="6C986334"/>
    <w:rsid w:val="6C9C4FB4"/>
    <w:rsid w:val="6CA35B3A"/>
    <w:rsid w:val="6CA41A5D"/>
    <w:rsid w:val="6CA479DF"/>
    <w:rsid w:val="6CAF588C"/>
    <w:rsid w:val="6CB4638E"/>
    <w:rsid w:val="6CBF3C6A"/>
    <w:rsid w:val="6CBF5306"/>
    <w:rsid w:val="6CC14A1B"/>
    <w:rsid w:val="6CCE7137"/>
    <w:rsid w:val="6CD7423E"/>
    <w:rsid w:val="6CD930DF"/>
    <w:rsid w:val="6CDC1854"/>
    <w:rsid w:val="6CE70FA1"/>
    <w:rsid w:val="6CF05300"/>
    <w:rsid w:val="6CFA6351"/>
    <w:rsid w:val="6CFC3C40"/>
    <w:rsid w:val="6D231231"/>
    <w:rsid w:val="6D266F73"/>
    <w:rsid w:val="6D2F6F7D"/>
    <w:rsid w:val="6D341690"/>
    <w:rsid w:val="6D480984"/>
    <w:rsid w:val="6D521B17"/>
    <w:rsid w:val="6D714693"/>
    <w:rsid w:val="6D8079F9"/>
    <w:rsid w:val="6D8C5028"/>
    <w:rsid w:val="6D9B526C"/>
    <w:rsid w:val="6DA67040"/>
    <w:rsid w:val="6DB13E57"/>
    <w:rsid w:val="6DC20A4A"/>
    <w:rsid w:val="6DC245A2"/>
    <w:rsid w:val="6DC5678C"/>
    <w:rsid w:val="6DC71662"/>
    <w:rsid w:val="6DCD5126"/>
    <w:rsid w:val="6DDB6CB0"/>
    <w:rsid w:val="6DE21877"/>
    <w:rsid w:val="6DE52ACD"/>
    <w:rsid w:val="6DE6443E"/>
    <w:rsid w:val="6DF36E56"/>
    <w:rsid w:val="6DFC0B44"/>
    <w:rsid w:val="6E0458E7"/>
    <w:rsid w:val="6E212037"/>
    <w:rsid w:val="6E25722B"/>
    <w:rsid w:val="6E263D90"/>
    <w:rsid w:val="6E3B221B"/>
    <w:rsid w:val="6E475779"/>
    <w:rsid w:val="6E51424D"/>
    <w:rsid w:val="6E57750F"/>
    <w:rsid w:val="6E663C68"/>
    <w:rsid w:val="6E7764EF"/>
    <w:rsid w:val="6E8403F6"/>
    <w:rsid w:val="6E952B9A"/>
    <w:rsid w:val="6EA75E92"/>
    <w:rsid w:val="6EA86C1C"/>
    <w:rsid w:val="6EAD447C"/>
    <w:rsid w:val="6EAE5472"/>
    <w:rsid w:val="6EB32A89"/>
    <w:rsid w:val="6EBC069A"/>
    <w:rsid w:val="6ECD7F59"/>
    <w:rsid w:val="6ECF449B"/>
    <w:rsid w:val="6ED975CA"/>
    <w:rsid w:val="6EED7C80"/>
    <w:rsid w:val="6EF03395"/>
    <w:rsid w:val="6EF72976"/>
    <w:rsid w:val="6EF773A4"/>
    <w:rsid w:val="6F174DC6"/>
    <w:rsid w:val="6F1E2E65"/>
    <w:rsid w:val="6F26325B"/>
    <w:rsid w:val="6F286FD3"/>
    <w:rsid w:val="6F2F2D9E"/>
    <w:rsid w:val="6F3A05FC"/>
    <w:rsid w:val="6F40431D"/>
    <w:rsid w:val="6F4147D9"/>
    <w:rsid w:val="6F455D89"/>
    <w:rsid w:val="6F5002D8"/>
    <w:rsid w:val="6F581F47"/>
    <w:rsid w:val="6F5B0D5A"/>
    <w:rsid w:val="6F5C35EA"/>
    <w:rsid w:val="6F63625D"/>
    <w:rsid w:val="6F6B6A15"/>
    <w:rsid w:val="6F834209"/>
    <w:rsid w:val="6F947E4B"/>
    <w:rsid w:val="6F9957DB"/>
    <w:rsid w:val="6FA30BDA"/>
    <w:rsid w:val="6FB21D4C"/>
    <w:rsid w:val="6FB80698"/>
    <w:rsid w:val="6FFD5E0F"/>
    <w:rsid w:val="70076BE8"/>
    <w:rsid w:val="701021F4"/>
    <w:rsid w:val="701B08E6"/>
    <w:rsid w:val="701C29A6"/>
    <w:rsid w:val="7024611F"/>
    <w:rsid w:val="702F7EED"/>
    <w:rsid w:val="70357BF9"/>
    <w:rsid w:val="7038498C"/>
    <w:rsid w:val="703F45D4"/>
    <w:rsid w:val="70637B96"/>
    <w:rsid w:val="70797317"/>
    <w:rsid w:val="707A560C"/>
    <w:rsid w:val="707E201F"/>
    <w:rsid w:val="70871AD7"/>
    <w:rsid w:val="7099044B"/>
    <w:rsid w:val="709A06E1"/>
    <w:rsid w:val="709A7D17"/>
    <w:rsid w:val="709D518F"/>
    <w:rsid w:val="709E387E"/>
    <w:rsid w:val="70B76860"/>
    <w:rsid w:val="70C268FE"/>
    <w:rsid w:val="70C759D3"/>
    <w:rsid w:val="70CC0A10"/>
    <w:rsid w:val="70CD7E32"/>
    <w:rsid w:val="70CF2B23"/>
    <w:rsid w:val="70CF74E9"/>
    <w:rsid w:val="70D70CB1"/>
    <w:rsid w:val="70D80585"/>
    <w:rsid w:val="70DF36C1"/>
    <w:rsid w:val="70FA674D"/>
    <w:rsid w:val="710952C1"/>
    <w:rsid w:val="713420C5"/>
    <w:rsid w:val="71347EB1"/>
    <w:rsid w:val="713954C7"/>
    <w:rsid w:val="713F70AB"/>
    <w:rsid w:val="71452CD8"/>
    <w:rsid w:val="71453E6C"/>
    <w:rsid w:val="71583F2D"/>
    <w:rsid w:val="7158683A"/>
    <w:rsid w:val="715B2F52"/>
    <w:rsid w:val="7167680B"/>
    <w:rsid w:val="71764F23"/>
    <w:rsid w:val="71881188"/>
    <w:rsid w:val="71946576"/>
    <w:rsid w:val="71967E84"/>
    <w:rsid w:val="7197629F"/>
    <w:rsid w:val="71A61873"/>
    <w:rsid w:val="71AF4936"/>
    <w:rsid w:val="71B12351"/>
    <w:rsid w:val="71BB4E1E"/>
    <w:rsid w:val="71CA0C1B"/>
    <w:rsid w:val="71CD79BE"/>
    <w:rsid w:val="71D07496"/>
    <w:rsid w:val="71D75D0F"/>
    <w:rsid w:val="71E2790D"/>
    <w:rsid w:val="71F437A4"/>
    <w:rsid w:val="720676AD"/>
    <w:rsid w:val="720930EC"/>
    <w:rsid w:val="720C2BDC"/>
    <w:rsid w:val="721867DE"/>
    <w:rsid w:val="721919B3"/>
    <w:rsid w:val="721A6098"/>
    <w:rsid w:val="721D18D3"/>
    <w:rsid w:val="72310D1A"/>
    <w:rsid w:val="724539F8"/>
    <w:rsid w:val="7252306F"/>
    <w:rsid w:val="725D6B54"/>
    <w:rsid w:val="7294672D"/>
    <w:rsid w:val="72952BD1"/>
    <w:rsid w:val="7295497F"/>
    <w:rsid w:val="72986FA0"/>
    <w:rsid w:val="72A07EF3"/>
    <w:rsid w:val="72A17C99"/>
    <w:rsid w:val="72A2709C"/>
    <w:rsid w:val="72A5093A"/>
    <w:rsid w:val="72AD4703"/>
    <w:rsid w:val="72AD7197"/>
    <w:rsid w:val="72AF6F7E"/>
    <w:rsid w:val="72B15531"/>
    <w:rsid w:val="72BD2C86"/>
    <w:rsid w:val="72CD226C"/>
    <w:rsid w:val="72D27981"/>
    <w:rsid w:val="73047407"/>
    <w:rsid w:val="73047904"/>
    <w:rsid w:val="731A4E85"/>
    <w:rsid w:val="731D3DCF"/>
    <w:rsid w:val="73253EFA"/>
    <w:rsid w:val="732857F3"/>
    <w:rsid w:val="73353A6C"/>
    <w:rsid w:val="734C1A6A"/>
    <w:rsid w:val="73555EBD"/>
    <w:rsid w:val="735663B7"/>
    <w:rsid w:val="735C5949"/>
    <w:rsid w:val="73614861"/>
    <w:rsid w:val="73671287"/>
    <w:rsid w:val="73737DA5"/>
    <w:rsid w:val="73740A39"/>
    <w:rsid w:val="73783823"/>
    <w:rsid w:val="73887B3E"/>
    <w:rsid w:val="73892412"/>
    <w:rsid w:val="73AF2114"/>
    <w:rsid w:val="73AF381F"/>
    <w:rsid w:val="73D47729"/>
    <w:rsid w:val="73E96BCA"/>
    <w:rsid w:val="73EE4A6E"/>
    <w:rsid w:val="741048BC"/>
    <w:rsid w:val="7419513C"/>
    <w:rsid w:val="74275AAB"/>
    <w:rsid w:val="742E78D4"/>
    <w:rsid w:val="74317498"/>
    <w:rsid w:val="74335A84"/>
    <w:rsid w:val="74367A9C"/>
    <w:rsid w:val="743A6A13"/>
    <w:rsid w:val="74604CCB"/>
    <w:rsid w:val="74676A28"/>
    <w:rsid w:val="747131CA"/>
    <w:rsid w:val="74714F78"/>
    <w:rsid w:val="747B1953"/>
    <w:rsid w:val="747E40B6"/>
    <w:rsid w:val="74863713"/>
    <w:rsid w:val="74AA2238"/>
    <w:rsid w:val="74AC3224"/>
    <w:rsid w:val="74B21065"/>
    <w:rsid w:val="74BB2C83"/>
    <w:rsid w:val="74C01A5C"/>
    <w:rsid w:val="74C0380A"/>
    <w:rsid w:val="74C33758"/>
    <w:rsid w:val="74D476FB"/>
    <w:rsid w:val="74D72451"/>
    <w:rsid w:val="74DE4E5F"/>
    <w:rsid w:val="74EB54AB"/>
    <w:rsid w:val="74F0689A"/>
    <w:rsid w:val="74F33BDF"/>
    <w:rsid w:val="74FF6D43"/>
    <w:rsid w:val="750201A2"/>
    <w:rsid w:val="750E70AC"/>
    <w:rsid w:val="75137DDD"/>
    <w:rsid w:val="751A76AF"/>
    <w:rsid w:val="751C37AC"/>
    <w:rsid w:val="75241FEA"/>
    <w:rsid w:val="75250574"/>
    <w:rsid w:val="75306BE1"/>
    <w:rsid w:val="753649D0"/>
    <w:rsid w:val="754459E0"/>
    <w:rsid w:val="7550443E"/>
    <w:rsid w:val="755F0BCC"/>
    <w:rsid w:val="75611D9B"/>
    <w:rsid w:val="7561323F"/>
    <w:rsid w:val="756F17F9"/>
    <w:rsid w:val="756F3599"/>
    <w:rsid w:val="757E5B9F"/>
    <w:rsid w:val="75825461"/>
    <w:rsid w:val="758807CB"/>
    <w:rsid w:val="75907680"/>
    <w:rsid w:val="75916599"/>
    <w:rsid w:val="759926FC"/>
    <w:rsid w:val="759A6034"/>
    <w:rsid w:val="75A24276"/>
    <w:rsid w:val="75AA231D"/>
    <w:rsid w:val="75AD6340"/>
    <w:rsid w:val="75B90985"/>
    <w:rsid w:val="75DF5F11"/>
    <w:rsid w:val="75E8633A"/>
    <w:rsid w:val="75ED062E"/>
    <w:rsid w:val="75F91FDD"/>
    <w:rsid w:val="763224E5"/>
    <w:rsid w:val="76360227"/>
    <w:rsid w:val="76366479"/>
    <w:rsid w:val="76393874"/>
    <w:rsid w:val="763F09AA"/>
    <w:rsid w:val="764F12E9"/>
    <w:rsid w:val="764F3FCC"/>
    <w:rsid w:val="7650339F"/>
    <w:rsid w:val="76595CC4"/>
    <w:rsid w:val="76603C9A"/>
    <w:rsid w:val="766B00E5"/>
    <w:rsid w:val="7680773A"/>
    <w:rsid w:val="76832D41"/>
    <w:rsid w:val="768B2C28"/>
    <w:rsid w:val="76A967C4"/>
    <w:rsid w:val="76BB1CAB"/>
    <w:rsid w:val="76C04050"/>
    <w:rsid w:val="76D67314"/>
    <w:rsid w:val="76E00193"/>
    <w:rsid w:val="76E65049"/>
    <w:rsid w:val="76FA74A7"/>
    <w:rsid w:val="76FB26C3"/>
    <w:rsid w:val="77076007"/>
    <w:rsid w:val="770E18F5"/>
    <w:rsid w:val="770F77AA"/>
    <w:rsid w:val="77183DD1"/>
    <w:rsid w:val="771A36A5"/>
    <w:rsid w:val="77225A26"/>
    <w:rsid w:val="772C33D8"/>
    <w:rsid w:val="77413F7E"/>
    <w:rsid w:val="77464076"/>
    <w:rsid w:val="7758241F"/>
    <w:rsid w:val="777A7D22"/>
    <w:rsid w:val="777E28EC"/>
    <w:rsid w:val="77835654"/>
    <w:rsid w:val="7797109C"/>
    <w:rsid w:val="779A2A38"/>
    <w:rsid w:val="779F437F"/>
    <w:rsid w:val="77B4450A"/>
    <w:rsid w:val="77B46E73"/>
    <w:rsid w:val="77B977E2"/>
    <w:rsid w:val="77DC6BAC"/>
    <w:rsid w:val="77E37A12"/>
    <w:rsid w:val="77F42148"/>
    <w:rsid w:val="77FE3468"/>
    <w:rsid w:val="78023DEF"/>
    <w:rsid w:val="780B1240"/>
    <w:rsid w:val="78120820"/>
    <w:rsid w:val="7819395D"/>
    <w:rsid w:val="782347DB"/>
    <w:rsid w:val="78250553"/>
    <w:rsid w:val="783B17B1"/>
    <w:rsid w:val="783B7D77"/>
    <w:rsid w:val="784E2046"/>
    <w:rsid w:val="78546F0C"/>
    <w:rsid w:val="786778FE"/>
    <w:rsid w:val="786C195E"/>
    <w:rsid w:val="78727511"/>
    <w:rsid w:val="788C0D6B"/>
    <w:rsid w:val="789D588A"/>
    <w:rsid w:val="78B65E3A"/>
    <w:rsid w:val="78C95383"/>
    <w:rsid w:val="78D87374"/>
    <w:rsid w:val="78E0091E"/>
    <w:rsid w:val="78EB11BD"/>
    <w:rsid w:val="78EE1C79"/>
    <w:rsid w:val="78EF290F"/>
    <w:rsid w:val="78F85605"/>
    <w:rsid w:val="78FA66FA"/>
    <w:rsid w:val="79345B6A"/>
    <w:rsid w:val="79380036"/>
    <w:rsid w:val="79424F6E"/>
    <w:rsid w:val="794F33AE"/>
    <w:rsid w:val="795310F0"/>
    <w:rsid w:val="795F3706"/>
    <w:rsid w:val="797239CC"/>
    <w:rsid w:val="797F54AB"/>
    <w:rsid w:val="79817A0B"/>
    <w:rsid w:val="79831473"/>
    <w:rsid w:val="79983E9C"/>
    <w:rsid w:val="7999527A"/>
    <w:rsid w:val="79AF76C5"/>
    <w:rsid w:val="79C25EE1"/>
    <w:rsid w:val="79CE2967"/>
    <w:rsid w:val="79D36716"/>
    <w:rsid w:val="79E30EE8"/>
    <w:rsid w:val="79E34934"/>
    <w:rsid w:val="79EA664C"/>
    <w:rsid w:val="79F9627A"/>
    <w:rsid w:val="79FC3536"/>
    <w:rsid w:val="79FF6948"/>
    <w:rsid w:val="7A044199"/>
    <w:rsid w:val="7A0657CF"/>
    <w:rsid w:val="7A240F4C"/>
    <w:rsid w:val="7A2F3BBF"/>
    <w:rsid w:val="7A2F459A"/>
    <w:rsid w:val="7A322A39"/>
    <w:rsid w:val="7A517022"/>
    <w:rsid w:val="7A6510DB"/>
    <w:rsid w:val="7A6F5001"/>
    <w:rsid w:val="7A7720A0"/>
    <w:rsid w:val="7A772BBC"/>
    <w:rsid w:val="7A846E66"/>
    <w:rsid w:val="7A8F398F"/>
    <w:rsid w:val="7A8F7F06"/>
    <w:rsid w:val="7A904DD0"/>
    <w:rsid w:val="7A9635B3"/>
    <w:rsid w:val="7AA2343E"/>
    <w:rsid w:val="7AC53928"/>
    <w:rsid w:val="7AD60EB8"/>
    <w:rsid w:val="7ADA73A4"/>
    <w:rsid w:val="7AE55396"/>
    <w:rsid w:val="7AE66B99"/>
    <w:rsid w:val="7AF34646"/>
    <w:rsid w:val="7AFE508C"/>
    <w:rsid w:val="7B017E0B"/>
    <w:rsid w:val="7B0A3BCA"/>
    <w:rsid w:val="7B1C0EF4"/>
    <w:rsid w:val="7B1E510C"/>
    <w:rsid w:val="7B212805"/>
    <w:rsid w:val="7B234AF2"/>
    <w:rsid w:val="7B31720F"/>
    <w:rsid w:val="7B332F87"/>
    <w:rsid w:val="7B345AA9"/>
    <w:rsid w:val="7B4048C1"/>
    <w:rsid w:val="7B4C4049"/>
    <w:rsid w:val="7B4C5DF7"/>
    <w:rsid w:val="7B73082F"/>
    <w:rsid w:val="7B7B492E"/>
    <w:rsid w:val="7B971768"/>
    <w:rsid w:val="7B98728E"/>
    <w:rsid w:val="7B9A3D1D"/>
    <w:rsid w:val="7BB46FBD"/>
    <w:rsid w:val="7BC62E00"/>
    <w:rsid w:val="7BC73B55"/>
    <w:rsid w:val="7BCD518A"/>
    <w:rsid w:val="7BD04C7A"/>
    <w:rsid w:val="7BD5403F"/>
    <w:rsid w:val="7BDE7397"/>
    <w:rsid w:val="7BE35E2A"/>
    <w:rsid w:val="7BEE6EAE"/>
    <w:rsid w:val="7BF538C2"/>
    <w:rsid w:val="7BF66C24"/>
    <w:rsid w:val="7BFA1CC7"/>
    <w:rsid w:val="7BFB70B3"/>
    <w:rsid w:val="7C0251DA"/>
    <w:rsid w:val="7C0C0E4A"/>
    <w:rsid w:val="7C0E41D1"/>
    <w:rsid w:val="7C1052F2"/>
    <w:rsid w:val="7C21292C"/>
    <w:rsid w:val="7C2154D6"/>
    <w:rsid w:val="7C2668D9"/>
    <w:rsid w:val="7C32497F"/>
    <w:rsid w:val="7C3C69AE"/>
    <w:rsid w:val="7C631577"/>
    <w:rsid w:val="7C691974"/>
    <w:rsid w:val="7C8A6570"/>
    <w:rsid w:val="7C8B7390"/>
    <w:rsid w:val="7C975798"/>
    <w:rsid w:val="7C9B0D0E"/>
    <w:rsid w:val="7CA42B03"/>
    <w:rsid w:val="7CBB76D8"/>
    <w:rsid w:val="7CC55E61"/>
    <w:rsid w:val="7CCC5441"/>
    <w:rsid w:val="7CD07583"/>
    <w:rsid w:val="7CD2318A"/>
    <w:rsid w:val="7CD2702A"/>
    <w:rsid w:val="7CD34C42"/>
    <w:rsid w:val="7CD46B29"/>
    <w:rsid w:val="7CDE3FF9"/>
    <w:rsid w:val="7CE26EBF"/>
    <w:rsid w:val="7CEE3130"/>
    <w:rsid w:val="7CFC08E8"/>
    <w:rsid w:val="7D025DD1"/>
    <w:rsid w:val="7D0E5A5A"/>
    <w:rsid w:val="7D1E1A15"/>
    <w:rsid w:val="7D1F6674"/>
    <w:rsid w:val="7D2232B3"/>
    <w:rsid w:val="7D2C4132"/>
    <w:rsid w:val="7D2C64CA"/>
    <w:rsid w:val="7D366D5F"/>
    <w:rsid w:val="7D42533E"/>
    <w:rsid w:val="7D475E29"/>
    <w:rsid w:val="7D480B34"/>
    <w:rsid w:val="7D4F211A"/>
    <w:rsid w:val="7D741635"/>
    <w:rsid w:val="7D777A3E"/>
    <w:rsid w:val="7D883F06"/>
    <w:rsid w:val="7D8E6457"/>
    <w:rsid w:val="7D9005BC"/>
    <w:rsid w:val="7D983576"/>
    <w:rsid w:val="7D9F0AD0"/>
    <w:rsid w:val="7DB22BDF"/>
    <w:rsid w:val="7DB52379"/>
    <w:rsid w:val="7DBA173E"/>
    <w:rsid w:val="7DD12BB7"/>
    <w:rsid w:val="7DF223A2"/>
    <w:rsid w:val="7DFF0955"/>
    <w:rsid w:val="7E0B750E"/>
    <w:rsid w:val="7E1939E8"/>
    <w:rsid w:val="7E1D3A7B"/>
    <w:rsid w:val="7E2400E7"/>
    <w:rsid w:val="7E2822EA"/>
    <w:rsid w:val="7E2A20CE"/>
    <w:rsid w:val="7E350DC4"/>
    <w:rsid w:val="7E355A7B"/>
    <w:rsid w:val="7E455322"/>
    <w:rsid w:val="7E543940"/>
    <w:rsid w:val="7E682F48"/>
    <w:rsid w:val="7E6E3E85"/>
    <w:rsid w:val="7E7C7B82"/>
    <w:rsid w:val="7E89487A"/>
    <w:rsid w:val="7E8F4979"/>
    <w:rsid w:val="7E991353"/>
    <w:rsid w:val="7E9C184B"/>
    <w:rsid w:val="7EA72948"/>
    <w:rsid w:val="7EB31EDB"/>
    <w:rsid w:val="7EBE525E"/>
    <w:rsid w:val="7ED61132"/>
    <w:rsid w:val="7EE70CC0"/>
    <w:rsid w:val="7EEB48DB"/>
    <w:rsid w:val="7EF27444"/>
    <w:rsid w:val="7F185A04"/>
    <w:rsid w:val="7F201C82"/>
    <w:rsid w:val="7F265C58"/>
    <w:rsid w:val="7F3379FA"/>
    <w:rsid w:val="7F3B240A"/>
    <w:rsid w:val="7F4C4618"/>
    <w:rsid w:val="7F4D13A6"/>
    <w:rsid w:val="7F582CF2"/>
    <w:rsid w:val="7F951B40"/>
    <w:rsid w:val="7FA501CC"/>
    <w:rsid w:val="7FA820A8"/>
    <w:rsid w:val="7FAF2DF8"/>
    <w:rsid w:val="7FB90D50"/>
    <w:rsid w:val="7FBA3C77"/>
    <w:rsid w:val="7FBE053E"/>
    <w:rsid w:val="7FBF10B0"/>
    <w:rsid w:val="7FDD34C2"/>
    <w:rsid w:val="7FF302F4"/>
    <w:rsid w:val="7FFA44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autoRedefine/>
    <w:qFormat/>
    <w:uiPriority w:val="0"/>
    <w:pPr>
      <w:keepNext/>
      <w:keepLines/>
      <w:spacing w:before="340" w:after="330" w:line="576" w:lineRule="auto"/>
      <w:outlineLvl w:val="0"/>
    </w:pPr>
    <w:rPr>
      <w:b/>
      <w:bCs/>
      <w:kern w:val="44"/>
      <w:sz w:val="44"/>
      <w:szCs w:val="44"/>
    </w:rPr>
  </w:style>
  <w:style w:type="paragraph" w:styleId="6">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autoRedefine/>
    <w:qFormat/>
    <w:uiPriority w:val="0"/>
    <w:pPr>
      <w:keepNext/>
      <w:keepLines/>
      <w:spacing w:before="260" w:after="260" w:line="416" w:lineRule="auto"/>
      <w:outlineLvl w:val="2"/>
    </w:pPr>
    <w:rPr>
      <w:b/>
      <w:bCs/>
      <w:sz w:val="32"/>
      <w:szCs w:val="32"/>
    </w:rPr>
  </w:style>
  <w:style w:type="paragraph" w:styleId="8">
    <w:name w:val="heading 4"/>
    <w:basedOn w:val="1"/>
    <w:next w:val="1"/>
    <w:autoRedefine/>
    <w:qFormat/>
    <w:uiPriority w:val="0"/>
    <w:pPr>
      <w:keepNext/>
      <w:keepLines/>
      <w:spacing w:line="360" w:lineRule="auto"/>
      <w:outlineLvl w:val="3"/>
    </w:pPr>
    <w:rPr>
      <w:rFonts w:ascii="Arial" w:hAnsi="Arial"/>
      <w:b/>
      <w:bCs/>
      <w:szCs w:val="28"/>
    </w:rPr>
  </w:style>
  <w:style w:type="paragraph" w:styleId="9">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next w:val="4"/>
    <w:link w:val="80"/>
    <w:autoRedefine/>
    <w:qFormat/>
    <w:uiPriority w:val="0"/>
  </w:style>
  <w:style w:type="paragraph" w:customStyle="1" w:styleId="4">
    <w:name w:val="Default"/>
    <w:next w:val="5"/>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List Number"/>
    <w:basedOn w:val="1"/>
    <w:autoRedefine/>
    <w:qFormat/>
    <w:uiPriority w:val="0"/>
    <w:pPr>
      <w:widowControl/>
      <w:spacing w:beforeAutospacing="1" w:afterAutospacing="1"/>
      <w:jc w:val="left"/>
    </w:pPr>
    <w:rPr>
      <w:rFonts w:ascii="宋体" w:hAnsi="宋体" w:cs="宋体"/>
      <w:kern w:val="0"/>
      <w:sz w:val="24"/>
    </w:rPr>
  </w:style>
  <w:style w:type="paragraph" w:styleId="11">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2">
    <w:name w:val="Document Map"/>
    <w:basedOn w:val="1"/>
    <w:link w:val="82"/>
    <w:autoRedefine/>
    <w:qFormat/>
    <w:uiPriority w:val="0"/>
    <w:rPr>
      <w:rFonts w:ascii="宋体" w:hAnsi="Calibri"/>
      <w:sz w:val="18"/>
      <w:szCs w:val="18"/>
    </w:rPr>
  </w:style>
  <w:style w:type="paragraph" w:styleId="13">
    <w:name w:val="annotation text"/>
    <w:basedOn w:val="1"/>
    <w:autoRedefine/>
    <w:qFormat/>
    <w:uiPriority w:val="0"/>
    <w:pPr>
      <w:jc w:val="left"/>
    </w:pPr>
  </w:style>
  <w:style w:type="paragraph" w:styleId="14">
    <w:name w:val="Body Text 3"/>
    <w:basedOn w:val="1"/>
    <w:autoRedefine/>
    <w:qFormat/>
    <w:uiPriority w:val="0"/>
    <w:rPr>
      <w:sz w:val="16"/>
      <w:szCs w:val="16"/>
    </w:rPr>
  </w:style>
  <w:style w:type="paragraph" w:styleId="15">
    <w:name w:val="Body Text Indent"/>
    <w:basedOn w:val="1"/>
    <w:next w:val="16"/>
    <w:autoRedefine/>
    <w:qFormat/>
    <w:uiPriority w:val="0"/>
    <w:pPr>
      <w:widowControl/>
      <w:spacing w:beforeAutospacing="1" w:afterAutospacing="1"/>
      <w:jc w:val="left"/>
    </w:pPr>
    <w:rPr>
      <w:rFonts w:ascii="宋体" w:hAnsi="宋体" w:cs="宋体"/>
      <w:kern w:val="0"/>
      <w:sz w:val="24"/>
    </w:rPr>
  </w:style>
  <w:style w:type="paragraph" w:styleId="16">
    <w:name w:val="envelope return"/>
    <w:basedOn w:val="1"/>
    <w:autoRedefine/>
    <w:unhideWhenUsed/>
    <w:qFormat/>
    <w:uiPriority w:val="99"/>
    <w:pPr>
      <w:snapToGrid w:val="0"/>
    </w:pPr>
    <w:rPr>
      <w:rFonts w:ascii="Arial" w:hAnsi="Arial"/>
    </w:rPr>
  </w:style>
  <w:style w:type="paragraph" w:styleId="17">
    <w:name w:val="List 2"/>
    <w:basedOn w:val="1"/>
    <w:autoRedefine/>
    <w:qFormat/>
    <w:uiPriority w:val="0"/>
    <w:pPr>
      <w:ind w:left="100" w:leftChars="200" w:hanging="200" w:hangingChars="200"/>
    </w:pPr>
  </w:style>
  <w:style w:type="paragraph" w:styleId="18">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9">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20">
    <w:name w:val="Plain Text"/>
    <w:basedOn w:val="1"/>
    <w:autoRedefine/>
    <w:qFormat/>
    <w:uiPriority w:val="0"/>
    <w:pPr>
      <w:widowControl/>
      <w:spacing w:beforeAutospacing="1" w:afterAutospacing="1"/>
      <w:jc w:val="left"/>
    </w:pPr>
    <w:rPr>
      <w:rFonts w:ascii="宋体" w:hAnsi="宋体" w:cs="宋体"/>
      <w:kern w:val="0"/>
      <w:sz w:val="24"/>
    </w:rPr>
  </w:style>
  <w:style w:type="paragraph" w:styleId="21">
    <w:name w:val="Date"/>
    <w:basedOn w:val="1"/>
    <w:next w:val="1"/>
    <w:autoRedefine/>
    <w:qFormat/>
    <w:uiPriority w:val="0"/>
    <w:pPr>
      <w:ind w:left="100" w:leftChars="2500"/>
    </w:pPr>
    <w:rPr>
      <w:rFonts w:ascii="宋体" w:hAnsi="宋体"/>
      <w:sz w:val="28"/>
    </w:rPr>
  </w:style>
  <w:style w:type="paragraph" w:styleId="22">
    <w:name w:val="Body Text Indent 2"/>
    <w:basedOn w:val="1"/>
    <w:autoRedefine/>
    <w:qFormat/>
    <w:uiPriority w:val="0"/>
    <w:pPr>
      <w:spacing w:line="480" w:lineRule="auto"/>
      <w:ind w:left="420" w:leftChars="200"/>
    </w:p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toc 1"/>
    <w:basedOn w:val="1"/>
    <w:next w:val="1"/>
    <w:autoRedefine/>
    <w:qFormat/>
    <w:uiPriority w:val="0"/>
  </w:style>
  <w:style w:type="paragraph" w:styleId="25">
    <w:name w:val="List"/>
    <w:basedOn w:val="1"/>
    <w:autoRedefine/>
    <w:qFormat/>
    <w:uiPriority w:val="0"/>
    <w:pPr>
      <w:ind w:left="200" w:hanging="200" w:hangingChars="200"/>
    </w:pPr>
  </w:style>
  <w:style w:type="paragraph" w:styleId="26">
    <w:name w:val="Body Text 2"/>
    <w:basedOn w:val="1"/>
    <w:next w:val="3"/>
    <w:autoRedefine/>
    <w:qFormat/>
    <w:uiPriority w:val="0"/>
    <w:pPr>
      <w:spacing w:line="480" w:lineRule="auto"/>
    </w:pPr>
  </w:style>
  <w:style w:type="paragraph" w:styleId="27">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28">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9">
    <w:name w:val="Normal (Web)"/>
    <w:basedOn w:val="1"/>
    <w:autoRedefine/>
    <w:qFormat/>
    <w:uiPriority w:val="99"/>
    <w:pPr>
      <w:spacing w:before="100" w:beforeAutospacing="1" w:after="100" w:afterAutospacing="1"/>
      <w:jc w:val="left"/>
    </w:pPr>
    <w:rPr>
      <w:kern w:val="0"/>
      <w:sz w:val="24"/>
    </w:rPr>
  </w:style>
  <w:style w:type="paragraph" w:styleId="30">
    <w:name w:val="Title"/>
    <w:basedOn w:val="1"/>
    <w:autoRedefine/>
    <w:qFormat/>
    <w:uiPriority w:val="0"/>
    <w:pPr>
      <w:jc w:val="center"/>
      <w:outlineLvl w:val="0"/>
    </w:pPr>
    <w:rPr>
      <w:rFonts w:ascii="Arial" w:hAnsi="Arial" w:cs="Arial"/>
      <w:b/>
      <w:bCs/>
      <w:sz w:val="32"/>
      <w:szCs w:val="32"/>
    </w:rPr>
  </w:style>
  <w:style w:type="paragraph" w:styleId="31">
    <w:name w:val="Body Text First Indent"/>
    <w:basedOn w:val="3"/>
    <w:next w:val="32"/>
    <w:autoRedefine/>
    <w:qFormat/>
    <w:uiPriority w:val="0"/>
    <w:pPr>
      <w:spacing w:line="360" w:lineRule="auto"/>
      <w:ind w:firstLine="420" w:firstLineChars="100"/>
    </w:pPr>
    <w:rPr>
      <w:szCs w:val="21"/>
    </w:rPr>
  </w:style>
  <w:style w:type="paragraph" w:styleId="32">
    <w:name w:val="Body Text First Indent 2"/>
    <w:basedOn w:val="15"/>
    <w:autoRedefine/>
    <w:qFormat/>
    <w:uiPriority w:val="0"/>
    <w:pPr>
      <w:ind w:firstLine="420" w:firstLineChars="200"/>
    </w:pPr>
  </w:style>
  <w:style w:type="table" w:styleId="34">
    <w:name w:val="Table Grid"/>
    <w:basedOn w:val="33"/>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basedOn w:val="35"/>
    <w:autoRedefine/>
    <w:qFormat/>
    <w:uiPriority w:val="0"/>
    <w:rPr>
      <w:b/>
      <w:bCs/>
      <w:szCs w:val="24"/>
    </w:rPr>
  </w:style>
  <w:style w:type="character" w:styleId="37">
    <w:name w:val="page number"/>
    <w:basedOn w:val="35"/>
    <w:autoRedefine/>
    <w:qFormat/>
    <w:uiPriority w:val="0"/>
  </w:style>
  <w:style w:type="character" w:styleId="38">
    <w:name w:val="FollowedHyperlink"/>
    <w:autoRedefine/>
    <w:qFormat/>
    <w:uiPriority w:val="0"/>
    <w:rPr>
      <w:color w:val="333333"/>
      <w:szCs w:val="24"/>
      <w:u w:val="none"/>
    </w:rPr>
  </w:style>
  <w:style w:type="character" w:styleId="39">
    <w:name w:val="Emphasis"/>
    <w:basedOn w:val="35"/>
    <w:autoRedefine/>
    <w:qFormat/>
    <w:uiPriority w:val="0"/>
  </w:style>
  <w:style w:type="character" w:styleId="40">
    <w:name w:val="HTML Definition"/>
    <w:basedOn w:val="35"/>
    <w:autoRedefine/>
    <w:qFormat/>
    <w:uiPriority w:val="0"/>
  </w:style>
  <w:style w:type="character" w:styleId="41">
    <w:name w:val="HTML Typewriter"/>
    <w:basedOn w:val="35"/>
    <w:autoRedefine/>
    <w:qFormat/>
    <w:uiPriority w:val="0"/>
    <w:rPr>
      <w:rFonts w:hint="default" w:ascii="monospace" w:hAnsi="monospace" w:eastAsia="monospace" w:cs="monospace"/>
      <w:sz w:val="20"/>
    </w:rPr>
  </w:style>
  <w:style w:type="character" w:styleId="42">
    <w:name w:val="HTML Acronym"/>
    <w:basedOn w:val="35"/>
    <w:autoRedefine/>
    <w:qFormat/>
    <w:uiPriority w:val="0"/>
  </w:style>
  <w:style w:type="character" w:styleId="43">
    <w:name w:val="HTML Variable"/>
    <w:basedOn w:val="35"/>
    <w:autoRedefine/>
    <w:qFormat/>
    <w:uiPriority w:val="0"/>
  </w:style>
  <w:style w:type="character" w:styleId="44">
    <w:name w:val="Hyperlink"/>
    <w:basedOn w:val="35"/>
    <w:autoRedefine/>
    <w:qFormat/>
    <w:uiPriority w:val="0"/>
    <w:rPr>
      <w:color w:val="333333"/>
      <w:szCs w:val="24"/>
      <w:u w:val="none"/>
    </w:rPr>
  </w:style>
  <w:style w:type="character" w:styleId="45">
    <w:name w:val="HTML Code"/>
    <w:basedOn w:val="35"/>
    <w:autoRedefine/>
    <w:qFormat/>
    <w:uiPriority w:val="0"/>
    <w:rPr>
      <w:rFonts w:ascii="monospace" w:hAnsi="monospace" w:eastAsia="monospace" w:cs="monospace"/>
      <w:sz w:val="20"/>
    </w:rPr>
  </w:style>
  <w:style w:type="character" w:styleId="46">
    <w:name w:val="HTML Cite"/>
    <w:basedOn w:val="35"/>
    <w:autoRedefine/>
    <w:qFormat/>
    <w:uiPriority w:val="0"/>
  </w:style>
  <w:style w:type="character" w:styleId="47">
    <w:name w:val="HTML Keyboard"/>
    <w:basedOn w:val="35"/>
    <w:autoRedefine/>
    <w:qFormat/>
    <w:uiPriority w:val="0"/>
    <w:rPr>
      <w:rFonts w:hint="default" w:ascii="monospace" w:hAnsi="monospace" w:eastAsia="monospace" w:cs="monospace"/>
      <w:sz w:val="20"/>
    </w:rPr>
  </w:style>
  <w:style w:type="character" w:styleId="48">
    <w:name w:val="HTML Sample"/>
    <w:basedOn w:val="35"/>
    <w:autoRedefine/>
    <w:qFormat/>
    <w:uiPriority w:val="0"/>
    <w:rPr>
      <w:rFonts w:hint="default" w:ascii="monospace" w:hAnsi="monospace" w:eastAsia="monospace" w:cs="monospace"/>
    </w:rPr>
  </w:style>
  <w:style w:type="paragraph" w:customStyle="1" w:styleId="49">
    <w:name w:val="目录 21"/>
    <w:next w:val="1"/>
    <w:qFormat/>
    <w:uiPriority w:val="0"/>
    <w:pPr>
      <w:wordWrap w:val="0"/>
      <w:jc w:val="both"/>
    </w:pPr>
    <w:rPr>
      <w:rFonts w:ascii="Calibri" w:hAnsi="Calibri" w:eastAsia="宋体" w:cs="Times New Roman"/>
      <w:sz w:val="21"/>
      <w:lang w:val="en-US" w:eastAsia="zh-CN" w:bidi="ar-SA"/>
    </w:rPr>
  </w:style>
  <w:style w:type="paragraph" w:customStyle="1" w:styleId="50">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51">
    <w:name w:val="Char Char10 Char Char Char Char"/>
    <w:basedOn w:val="1"/>
    <w:next w:val="52"/>
    <w:qFormat/>
    <w:uiPriority w:val="0"/>
    <w:rPr>
      <w:rFonts w:ascii="Calibri" w:hAnsi="Calibri"/>
      <w:kern w:val="0"/>
    </w:rPr>
  </w:style>
  <w:style w:type="paragraph" w:customStyle="1" w:styleId="52">
    <w:name w:val="xl87"/>
    <w:basedOn w:val="1"/>
    <w:next w:val="53"/>
    <w:qFormat/>
    <w:uiPriority w:val="0"/>
    <w:pPr>
      <w:widowControl/>
      <w:spacing w:before="100" w:beforeAutospacing="1" w:after="100" w:afterAutospacing="1"/>
      <w:jc w:val="center"/>
    </w:pPr>
    <w:rPr>
      <w:rFonts w:ascii="宋体" w:hAnsi="宋体" w:cs="宋体"/>
      <w:b/>
      <w:bCs/>
      <w:kern w:val="0"/>
      <w:sz w:val="20"/>
    </w:rPr>
  </w:style>
  <w:style w:type="paragraph" w:customStyle="1" w:styleId="53">
    <w:name w:val="xl72"/>
    <w:basedOn w:val="1"/>
    <w:next w:val="2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54">
    <w:name w:val="大标题"/>
    <w:basedOn w:val="1"/>
    <w:next w:val="32"/>
    <w:autoRedefine/>
    <w:qFormat/>
    <w:uiPriority w:val="0"/>
    <w:pPr>
      <w:jc w:val="center"/>
    </w:pPr>
    <w:rPr>
      <w:rFonts w:ascii="Arial" w:hAnsi="Arial"/>
      <w:b/>
      <w:sz w:val="28"/>
    </w:rPr>
  </w:style>
  <w:style w:type="paragraph" w:customStyle="1" w:styleId="55">
    <w:name w:val="正文文本缩进 21"/>
    <w:basedOn w:val="1"/>
    <w:autoRedefine/>
    <w:qFormat/>
    <w:uiPriority w:val="0"/>
    <w:pPr>
      <w:ind w:firstLine="570"/>
    </w:pPr>
    <w:rPr>
      <w:sz w:val="32"/>
    </w:rPr>
  </w:style>
  <w:style w:type="paragraph" w:customStyle="1" w:styleId="56">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7">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8">
    <w:name w:val="No Spacing1"/>
    <w:basedOn w:val="1"/>
    <w:autoRedefine/>
    <w:qFormat/>
    <w:uiPriority w:val="0"/>
    <w:pPr>
      <w:spacing w:line="400" w:lineRule="exact"/>
    </w:pPr>
    <w:rPr>
      <w:sz w:val="24"/>
    </w:rPr>
  </w:style>
  <w:style w:type="paragraph" w:customStyle="1" w:styleId="59">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60">
    <w:name w:val="Char"/>
    <w:basedOn w:val="1"/>
    <w:autoRedefine/>
    <w:qFormat/>
    <w:uiPriority w:val="0"/>
  </w:style>
  <w:style w:type="paragraph" w:customStyle="1" w:styleId="61">
    <w:name w:val="正文缩进1"/>
    <w:basedOn w:val="1"/>
    <w:autoRedefine/>
    <w:qFormat/>
    <w:uiPriority w:val="0"/>
    <w:pPr>
      <w:widowControl/>
      <w:ind w:firstLine="420"/>
      <w:jc w:val="left"/>
    </w:pPr>
    <w:rPr>
      <w:kern w:val="0"/>
      <w:szCs w:val="20"/>
    </w:rPr>
  </w:style>
  <w:style w:type="paragraph" w:customStyle="1" w:styleId="62">
    <w:name w:val="列出段落2"/>
    <w:basedOn w:val="1"/>
    <w:autoRedefine/>
    <w:qFormat/>
    <w:uiPriority w:val="34"/>
    <w:pPr>
      <w:ind w:firstLine="420" w:firstLineChars="200"/>
    </w:pPr>
  </w:style>
  <w:style w:type="paragraph" w:customStyle="1" w:styleId="63">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64">
    <w:name w:val="1"/>
    <w:basedOn w:val="1"/>
    <w:autoRedefine/>
    <w:qFormat/>
    <w:uiPriority w:val="0"/>
    <w:pPr>
      <w:widowControl/>
      <w:spacing w:beforeAutospacing="1" w:afterAutospacing="1"/>
      <w:jc w:val="left"/>
    </w:pPr>
    <w:rPr>
      <w:rFonts w:ascii="宋体" w:hAnsi="宋体" w:cs="宋体"/>
      <w:kern w:val="0"/>
      <w:sz w:val="24"/>
    </w:rPr>
  </w:style>
  <w:style w:type="paragraph" w:styleId="65">
    <w:name w:val="No Spacing"/>
    <w:autoRedefine/>
    <w:qFormat/>
    <w:uiPriority w:val="1"/>
    <w:rPr>
      <w:rFonts w:ascii="Calibri" w:hAnsi="Calibri" w:eastAsia="宋体" w:cs="Times New Roman"/>
      <w:sz w:val="22"/>
      <w:szCs w:val="22"/>
      <w:lang w:val="en-US" w:eastAsia="zh-CN" w:bidi="ar-SA"/>
    </w:rPr>
  </w:style>
  <w:style w:type="paragraph" w:customStyle="1" w:styleId="66">
    <w:name w:val="_Style 2"/>
    <w:basedOn w:val="1"/>
    <w:autoRedefine/>
    <w:qFormat/>
    <w:uiPriority w:val="34"/>
    <w:pPr>
      <w:ind w:firstLine="420" w:firstLineChars="200"/>
    </w:pPr>
    <w:rPr>
      <w:rFonts w:ascii="Calibri" w:hAnsi="Calibri"/>
    </w:rPr>
  </w:style>
  <w:style w:type="paragraph" w:customStyle="1" w:styleId="67">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8">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9">
    <w:name w:val="Char1"/>
    <w:basedOn w:val="1"/>
    <w:autoRedefine/>
    <w:qFormat/>
    <w:uiPriority w:val="0"/>
  </w:style>
  <w:style w:type="paragraph" w:customStyle="1" w:styleId="70">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71">
    <w:name w:val="Table Paragraph"/>
    <w:basedOn w:val="1"/>
    <w:autoRedefine/>
    <w:qFormat/>
    <w:uiPriority w:val="1"/>
    <w:pPr>
      <w:jc w:val="left"/>
    </w:pPr>
    <w:rPr>
      <w:rFonts w:ascii="宋体" w:hAnsi="宋体" w:cs="宋体"/>
      <w:kern w:val="0"/>
      <w:sz w:val="22"/>
      <w:szCs w:val="22"/>
      <w:lang w:eastAsia="en-US"/>
    </w:rPr>
  </w:style>
  <w:style w:type="paragraph" w:customStyle="1" w:styleId="72">
    <w:name w:val="无间隔1"/>
    <w:basedOn w:val="1"/>
    <w:autoRedefine/>
    <w:qFormat/>
    <w:uiPriority w:val="1"/>
    <w:pPr>
      <w:spacing w:line="400" w:lineRule="exact"/>
    </w:pPr>
    <w:rPr>
      <w:sz w:val="24"/>
    </w:rPr>
  </w:style>
  <w:style w:type="paragraph" w:customStyle="1" w:styleId="73">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74">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5">
    <w:name w:val="列出段落1"/>
    <w:basedOn w:val="1"/>
    <w:autoRedefine/>
    <w:qFormat/>
    <w:uiPriority w:val="34"/>
    <w:pPr>
      <w:ind w:firstLine="420" w:firstLineChars="200"/>
    </w:pPr>
  </w:style>
  <w:style w:type="paragraph" w:customStyle="1" w:styleId="76">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7">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8">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9">
    <w:name w:val="列出段落11"/>
    <w:basedOn w:val="1"/>
    <w:autoRedefine/>
    <w:qFormat/>
    <w:uiPriority w:val="0"/>
    <w:pPr>
      <w:ind w:firstLine="420" w:firstLineChars="200"/>
    </w:pPr>
    <w:rPr>
      <w:rFonts w:ascii="Calibri" w:hAnsi="Calibri"/>
      <w:szCs w:val="22"/>
    </w:rPr>
  </w:style>
  <w:style w:type="character" w:customStyle="1" w:styleId="80">
    <w:name w:val="正文文本 Char"/>
    <w:basedOn w:val="35"/>
    <w:link w:val="3"/>
    <w:autoRedefine/>
    <w:qFormat/>
    <w:uiPriority w:val="0"/>
  </w:style>
  <w:style w:type="character" w:customStyle="1" w:styleId="81">
    <w:name w:val="apple-converted-space"/>
    <w:basedOn w:val="35"/>
    <w:autoRedefine/>
    <w:qFormat/>
    <w:uiPriority w:val="0"/>
  </w:style>
  <w:style w:type="character" w:customStyle="1" w:styleId="82">
    <w:name w:val="文档结构图 Char"/>
    <w:link w:val="12"/>
    <w:autoRedefine/>
    <w:qFormat/>
    <w:uiPriority w:val="0"/>
    <w:rPr>
      <w:rFonts w:ascii="宋体"/>
      <w:kern w:val="2"/>
      <w:sz w:val="18"/>
      <w:szCs w:val="18"/>
    </w:rPr>
  </w:style>
  <w:style w:type="character" w:customStyle="1" w:styleId="83">
    <w:name w:val="不明显强调1"/>
    <w:autoRedefine/>
    <w:qFormat/>
    <w:uiPriority w:val="19"/>
    <w:rPr>
      <w:i/>
      <w:iCs/>
      <w:color w:val="7F7F7F"/>
      <w:szCs w:val="24"/>
    </w:rPr>
  </w:style>
  <w:style w:type="character" w:customStyle="1" w:styleId="84">
    <w:name w:val="font71"/>
    <w:basedOn w:val="35"/>
    <w:autoRedefine/>
    <w:qFormat/>
    <w:uiPriority w:val="0"/>
    <w:rPr>
      <w:rFonts w:hint="eastAsia" w:ascii="宋体" w:hAnsi="宋体" w:eastAsia="宋体" w:cs="宋体"/>
      <w:color w:val="000000"/>
      <w:sz w:val="28"/>
      <w:szCs w:val="28"/>
      <w:u w:val="none"/>
    </w:rPr>
  </w:style>
  <w:style w:type="character" w:customStyle="1" w:styleId="85">
    <w:name w:val="font21"/>
    <w:basedOn w:val="35"/>
    <w:autoRedefine/>
    <w:qFormat/>
    <w:uiPriority w:val="0"/>
    <w:rPr>
      <w:rFonts w:hint="default" w:ascii="Calibri" w:hAnsi="Calibri" w:cs="Calibri"/>
      <w:color w:val="000000"/>
      <w:sz w:val="28"/>
      <w:szCs w:val="28"/>
      <w:u w:val="none"/>
    </w:rPr>
  </w:style>
  <w:style w:type="character" w:customStyle="1" w:styleId="86">
    <w:name w:val="17"/>
    <w:autoRedefine/>
    <w:qFormat/>
    <w:uiPriority w:val="0"/>
    <w:rPr>
      <w:rFonts w:hint="eastAsia" w:ascii="宋体" w:hAnsi="宋体" w:eastAsia="宋体"/>
      <w:color w:val="000000"/>
    </w:rPr>
  </w:style>
  <w:style w:type="character" w:customStyle="1" w:styleId="87">
    <w:name w:val="font91"/>
    <w:autoRedefine/>
    <w:qFormat/>
    <w:uiPriority w:val="0"/>
    <w:rPr>
      <w:rFonts w:hint="eastAsia" w:ascii="宋体" w:hAnsi="宋体" w:eastAsia="宋体" w:cs="宋体"/>
      <w:color w:val="FF0000"/>
      <w:sz w:val="28"/>
      <w:szCs w:val="28"/>
      <w:u w:val="none"/>
    </w:rPr>
  </w:style>
  <w:style w:type="paragraph" w:customStyle="1" w:styleId="88">
    <w:name w:val="p"/>
    <w:basedOn w:val="1"/>
    <w:autoRedefine/>
    <w:qFormat/>
    <w:uiPriority w:val="0"/>
    <w:pPr>
      <w:widowControl/>
      <w:spacing w:line="432" w:lineRule="auto"/>
      <w:jc w:val="left"/>
    </w:pPr>
    <w:rPr>
      <w:rFonts w:ascii="宋体" w:hAnsi="宋体" w:cs="宋体"/>
      <w:kern w:val="0"/>
      <w:sz w:val="24"/>
    </w:rPr>
  </w:style>
  <w:style w:type="paragraph" w:customStyle="1" w:styleId="89">
    <w:name w:val="WPSOffice手动目录 1"/>
    <w:autoRedefine/>
    <w:qFormat/>
    <w:uiPriority w:val="0"/>
    <w:rPr>
      <w:rFonts w:ascii="Times New Roman" w:hAnsi="Times New Roman" w:eastAsia="宋体" w:cs="Times New Roman"/>
      <w:lang w:val="en-US" w:eastAsia="zh-CN" w:bidi="ar-SA"/>
    </w:rPr>
  </w:style>
  <w:style w:type="paragraph" w:customStyle="1" w:styleId="90">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91">
    <w:name w:val="表格文字"/>
    <w:basedOn w:val="1"/>
    <w:next w:val="3"/>
    <w:autoRedefine/>
    <w:qFormat/>
    <w:uiPriority w:val="0"/>
    <w:pPr>
      <w:adjustRightInd w:val="0"/>
      <w:spacing w:line="420" w:lineRule="atLeast"/>
      <w:jc w:val="left"/>
      <w:textAlignment w:val="baseline"/>
    </w:pPr>
    <w:rPr>
      <w:kern w:val="0"/>
      <w:szCs w:val="20"/>
    </w:rPr>
  </w:style>
  <w:style w:type="character" w:customStyle="1" w:styleId="92">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93">
    <w:name w:val="列表段落1"/>
    <w:basedOn w:val="1"/>
    <w:autoRedefine/>
    <w:qFormat/>
    <w:uiPriority w:val="34"/>
    <w:pPr>
      <w:widowControl/>
      <w:ind w:firstLine="420"/>
      <w:jc w:val="left"/>
    </w:pPr>
    <w:rPr>
      <w:kern w:val="0"/>
    </w:rPr>
  </w:style>
  <w:style w:type="paragraph" w:styleId="94">
    <w:name w:val="List Paragraph"/>
    <w:basedOn w:val="1"/>
    <w:autoRedefine/>
    <w:qFormat/>
    <w:uiPriority w:val="34"/>
    <w:pPr>
      <w:ind w:firstLine="420" w:firstLineChars="200"/>
    </w:pPr>
  </w:style>
  <w:style w:type="character" w:customStyle="1" w:styleId="95">
    <w:name w:val="hover18"/>
    <w:basedOn w:val="35"/>
    <w:autoRedefine/>
    <w:qFormat/>
    <w:uiPriority w:val="0"/>
  </w:style>
  <w:style w:type="table" w:customStyle="1" w:styleId="96">
    <w:name w:val="Table Normal"/>
    <w:autoRedefine/>
    <w:qFormat/>
    <w:uiPriority w:val="0"/>
    <w:tblPr>
      <w:tblCellMar>
        <w:top w:w="0" w:type="dxa"/>
        <w:left w:w="0" w:type="dxa"/>
        <w:bottom w:w="0" w:type="dxa"/>
        <w:right w:w="0" w:type="dxa"/>
      </w:tblCellMar>
    </w:tblPr>
  </w:style>
  <w:style w:type="paragraph" w:customStyle="1" w:styleId="97">
    <w:name w:val="Table Text"/>
    <w:basedOn w:val="1"/>
    <w:autoRedefine/>
    <w:semiHidden/>
    <w:qFormat/>
    <w:uiPriority w:val="0"/>
    <w:rPr>
      <w:rFonts w:ascii="宋体" w:hAnsi="宋体" w:eastAsia="宋体" w:cs="宋体"/>
      <w:sz w:val="45"/>
      <w:szCs w:val="45"/>
      <w:lang w:val="en-US" w:eastAsia="en-US" w:bidi="ar-SA"/>
    </w:rPr>
  </w:style>
  <w:style w:type="character" w:customStyle="1" w:styleId="98">
    <w:name w:val="font11"/>
    <w:basedOn w:val="35"/>
    <w:autoRedefine/>
    <w:qFormat/>
    <w:uiPriority w:val="0"/>
    <w:rPr>
      <w:rFonts w:ascii="Calibri" w:hAnsi="Calibri" w:cs="Calibri"/>
      <w:color w:val="000000"/>
      <w:sz w:val="24"/>
      <w:szCs w:val="24"/>
      <w:u w:val="none"/>
    </w:rPr>
  </w:style>
  <w:style w:type="paragraph" w:customStyle="1" w:styleId="99">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100">
    <w:name w:val="font61"/>
    <w:basedOn w:val="35"/>
    <w:qFormat/>
    <w:uiPriority w:val="0"/>
    <w:rPr>
      <w:rFonts w:ascii="宋体" w:hAnsi="宋体" w:eastAsia="宋体" w:cs="宋体"/>
      <w:color w:val="000000"/>
      <w:sz w:val="24"/>
      <w:szCs w:val="24"/>
      <w:u w:val="none"/>
    </w:rPr>
  </w:style>
  <w:style w:type="character" w:customStyle="1" w:styleId="101">
    <w:name w:val="font81"/>
    <w:basedOn w:val="35"/>
    <w:qFormat/>
    <w:uiPriority w:val="0"/>
    <w:rPr>
      <w:rFonts w:hint="default" w:ascii="Times New Roman" w:hAnsi="Times New Roman" w:cs="Times New Roman"/>
      <w:color w:val="000000"/>
      <w:sz w:val="18"/>
      <w:szCs w:val="18"/>
      <w:u w:val="none"/>
    </w:rPr>
  </w:style>
  <w:style w:type="paragraph" w:customStyle="1" w:styleId="102">
    <w:name w:val="正文-标准"/>
    <w:basedOn w:val="1"/>
    <w:qFormat/>
    <w:uiPriority w:val="0"/>
    <w:pPr>
      <w:autoSpaceDE w:val="0"/>
      <w:autoSpaceDN w:val="0"/>
      <w:adjustRightInd w:val="0"/>
      <w:spacing w:line="360" w:lineRule="exact"/>
      <w:jc w:val="left"/>
    </w:pPr>
    <w:rPr>
      <w:kern w:val="21"/>
      <w:szCs w:val="20"/>
    </w:rPr>
  </w:style>
  <w:style w:type="character" w:customStyle="1" w:styleId="103">
    <w:name w:val="font51"/>
    <w:basedOn w:val="35"/>
    <w:qFormat/>
    <w:uiPriority w:val="0"/>
    <w:rPr>
      <w:rFonts w:hint="eastAsia" w:ascii="宋体" w:hAnsi="宋体" w:eastAsia="宋体" w:cs="宋体"/>
      <w:color w:val="000000"/>
      <w:sz w:val="20"/>
      <w:szCs w:val="20"/>
      <w:u w:val="none"/>
    </w:rPr>
  </w:style>
  <w:style w:type="paragraph" w:customStyle="1" w:styleId="104">
    <w:name w:val="t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5">
    <w:name w:val="font41"/>
    <w:basedOn w:val="3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31</Pages>
  <Words>12559</Words>
  <Characters>13208</Characters>
  <Lines>50</Lines>
  <Paragraphs>68</Paragraphs>
  <TotalTime>1</TotalTime>
  <ScaleCrop>false</ScaleCrop>
  <LinksUpToDate>false</LinksUpToDate>
  <CharactersWithSpaces>14191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2026-09-24T02:24:00Z</cp:lastPrinted>
  <dcterms:modified xsi:type="dcterms:W3CDTF">2026-10-20T01:55:46Z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03813A80D4494CA2A2024F9DCAE0B8C4_13</vt:lpwstr>
  </property>
  <property fmtid="{D5CDD505-2E9C-101B-9397-08002B2CF9AE}" pid="4" name="KSOTemplateDocerSaveRecord">
    <vt:lpwstr>eyJoZGlkIjoiMzU0MTZjMjFkMjFjOGMwYTIzNWEzZDljNjYxZWI0MmYiLCJ1c2VySWQiOiIxNjg0NTc5MjM2In0=</vt:lpwstr>
  </property>
</Properties>
</file>