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53F09">
      <w:pPr>
        <w:spacing w:line="360" w:lineRule="auto"/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  <w:lang w:val="en-US" w:eastAsia="zh-CN"/>
        </w:rPr>
        <w:t>附件2：</w:t>
      </w:r>
      <w:r>
        <w:rPr>
          <w:rFonts w:hint="eastAsia"/>
          <w:b/>
          <w:color w:val="auto"/>
          <w:sz w:val="24"/>
        </w:rPr>
        <w:t>严重不良事件/可疑且非预期严重不良反应报告表（IEC-C-01</w:t>
      </w:r>
      <w:r>
        <w:rPr>
          <w:rFonts w:hint="eastAsia"/>
          <w:b/>
          <w:color w:val="auto"/>
          <w:sz w:val="24"/>
          <w:lang w:val="en-US" w:eastAsia="zh-CN"/>
        </w:rPr>
        <w:t>2</w:t>
      </w:r>
      <w:r>
        <w:rPr>
          <w:rFonts w:hint="eastAsia"/>
          <w:b/>
          <w:color w:val="auto"/>
          <w:sz w:val="24"/>
        </w:rPr>
        <w:t>-A0</w:t>
      </w:r>
      <w:r>
        <w:rPr>
          <w:rFonts w:hint="eastAsia"/>
          <w:b/>
          <w:color w:val="auto"/>
          <w:sz w:val="24"/>
          <w:lang w:val="en-US" w:eastAsia="zh-CN"/>
        </w:rPr>
        <w:t>2</w:t>
      </w:r>
      <w:r>
        <w:rPr>
          <w:rFonts w:hint="eastAsia"/>
          <w:b/>
          <w:color w:val="auto"/>
          <w:sz w:val="24"/>
        </w:rPr>
        <w:t>-V</w:t>
      </w:r>
      <w:r>
        <w:rPr>
          <w:rFonts w:hint="eastAsia"/>
          <w:b/>
          <w:color w:val="auto"/>
          <w:sz w:val="24"/>
          <w:lang w:val="en-US" w:eastAsia="zh-CN"/>
        </w:rPr>
        <w:t>5.0</w:t>
      </w:r>
      <w:r>
        <w:rPr>
          <w:rFonts w:hint="eastAsia"/>
          <w:b/>
          <w:color w:val="auto"/>
          <w:sz w:val="24"/>
        </w:rPr>
        <w:t>）</w:t>
      </w:r>
    </w:p>
    <w:p w14:paraId="66D7FB61">
      <w:pPr>
        <w:jc w:val="center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/>
          <w:b/>
          <w:color w:val="auto"/>
          <w:sz w:val="28"/>
        </w:rPr>
        <w:t>严重不良事件/可疑且非预期严重不良反应报告表</w:t>
      </w:r>
      <w:bookmarkStart w:id="0" w:name="_GoBack"/>
      <w:bookmarkEnd w:id="0"/>
    </w:p>
    <w:tbl>
      <w:tblPr>
        <w:tblStyle w:val="2"/>
        <w:tblW w:w="921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3485"/>
        <w:gridCol w:w="1091"/>
        <w:gridCol w:w="2345"/>
      </w:tblGrid>
      <w:tr w14:paraId="21A4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C39FB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lang w:val="en-US" w:eastAsia="zh-CN"/>
              </w:rPr>
              <w:t>试验相关资料</w:t>
            </w:r>
          </w:p>
        </w:tc>
      </w:tr>
      <w:tr w14:paraId="3BDAB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38D8D">
            <w:pPr>
              <w:spacing w:beforeLines="0" w:afterLines="0" w:line="348" w:lineRule="auto"/>
              <w:rPr>
                <w:rFonts w:ascii="宋体" w:hAnsi="宋体"/>
                <w:b w:val="0"/>
                <w:bCs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</w:rPr>
              <w:t>项目名称（编号）</w:t>
            </w:r>
          </w:p>
        </w:tc>
        <w:tc>
          <w:tcPr>
            <w:tcW w:w="6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4CE4C">
            <w:pPr>
              <w:spacing w:beforeLines="0" w:afterLines="0" w:line="348" w:lineRule="auto"/>
              <w:rPr>
                <w:rFonts w:hint="eastAsia" w:ascii="宋体" w:hAnsi="宋体" w:eastAsia="宋体"/>
                <w:bCs/>
                <w:color w:val="auto"/>
                <w:sz w:val="24"/>
                <w:lang w:eastAsia="zh-CN"/>
              </w:rPr>
            </w:pPr>
          </w:p>
        </w:tc>
      </w:tr>
      <w:tr w14:paraId="32D3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E63F5">
            <w:pPr>
              <w:spacing w:beforeLines="0" w:afterLines="0" w:line="240" w:lineRule="auto"/>
              <w:rPr>
                <w:rFonts w:hint="eastAsia"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  <w:lang w:val="en-US" w:eastAsia="zh-CN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发生SAE</w:t>
            </w:r>
            <w:r>
              <w:rPr>
                <w:rFonts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 w:fill="auto"/>
              </w:rPr>
              <w:t>/SUSAR</w:t>
            </w:r>
            <w:r>
              <w:rPr>
                <w:rFonts w:hint="eastAsia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  <w:lang w:val="en-US" w:eastAsia="zh-CN"/>
              </w:rPr>
              <w:t>的</w:t>
            </w:r>
          </w:p>
          <w:p w14:paraId="70E2C853">
            <w:pPr>
              <w:spacing w:beforeLines="0" w:afterLines="0" w:line="240" w:lineRule="auto"/>
              <w:rPr>
                <w:rFonts w:hint="default" w:ascii="宋体" w:hAnsi="宋体" w:eastAsia="宋体"/>
                <w:b w:val="0"/>
                <w:bCs/>
                <w:color w:val="auto"/>
                <w:sz w:val="24"/>
                <w:lang w:val="en-US" w:eastAsia="zh-CN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研究机构</w:t>
            </w:r>
          </w:p>
        </w:tc>
        <w:tc>
          <w:tcPr>
            <w:tcW w:w="6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DC9CF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6747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6DF11">
            <w:pPr>
              <w:spacing w:beforeLines="0" w:afterLines="0" w:line="348" w:lineRule="auto"/>
              <w:rPr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申办方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>名称</w:t>
            </w:r>
          </w:p>
        </w:tc>
        <w:tc>
          <w:tcPr>
            <w:tcW w:w="6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07081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19CFF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7F9D">
            <w:pPr>
              <w:spacing w:beforeLines="0" w:afterLines="0" w:line="348" w:lineRule="auto"/>
              <w:rPr>
                <w:bCs/>
                <w:color w:val="auto"/>
                <w:spacing w:val="1"/>
                <w:sz w:val="24"/>
                <w:szCs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主要研究者姓名</w:t>
            </w:r>
          </w:p>
        </w:tc>
        <w:tc>
          <w:tcPr>
            <w:tcW w:w="3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CF090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59E9C">
            <w:pPr>
              <w:spacing w:beforeLines="0" w:afterLines="0" w:line="348" w:lineRule="auto"/>
              <w:jc w:val="center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电话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84595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0DCE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0836">
            <w:pPr>
              <w:spacing w:beforeLines="0" w:afterLines="0" w:line="348" w:lineRule="auto"/>
              <w:rPr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bCs/>
                <w:color w:val="auto"/>
                <w:spacing w:val="3"/>
                <w:sz w:val="24"/>
                <w:szCs w:val="24"/>
              </w:rPr>
              <w:t>监查员姓名</w:t>
            </w:r>
          </w:p>
        </w:tc>
        <w:tc>
          <w:tcPr>
            <w:tcW w:w="3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585D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8256D">
            <w:pPr>
              <w:spacing w:beforeLines="0" w:afterLines="0" w:line="348" w:lineRule="auto"/>
              <w:jc w:val="center"/>
              <w:rPr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电话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5E7BA">
            <w:pPr>
              <w:spacing w:beforeLines="0" w:afterLines="0" w:line="348" w:lineRule="auto"/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68BB5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9FAB2">
            <w:pPr>
              <w:tabs>
                <w:tab w:val="left" w:pos="406"/>
              </w:tabs>
              <w:spacing w:beforeLines="0" w:afterLines="0" w:line="348" w:lineRule="auto"/>
              <w:rPr>
                <w:rFonts w:hint="eastAsia" w:ascii="宋体" w:hAnsi="宋体" w:eastAsia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pacing w:val="-2"/>
                <w:sz w:val="24"/>
                <w:szCs w:val="24"/>
                <w:lang w:eastAsia="zh-CN"/>
              </w:rPr>
              <w:t>试验参与者</w:t>
            </w:r>
            <w:r>
              <w:rPr>
                <w:bCs/>
                <w:color w:val="auto"/>
                <w:spacing w:val="-2"/>
                <w:sz w:val="24"/>
                <w:szCs w:val="24"/>
              </w:rPr>
              <w:t>信息</w:t>
            </w:r>
            <w:r>
              <w:rPr>
                <w:rFonts w:hint="eastAsia"/>
                <w:bCs/>
                <w:color w:val="auto"/>
                <w:spacing w:val="-2"/>
                <w:sz w:val="24"/>
                <w:szCs w:val="24"/>
                <w:lang w:eastAsia="zh-CN"/>
              </w:rPr>
              <w:t>：</w:t>
            </w:r>
          </w:p>
        </w:tc>
      </w:tr>
      <w:tr w14:paraId="7586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84888">
            <w:pPr>
              <w:spacing w:beforeLines="0" w:afterLines="0" w:line="348" w:lineRule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lang w:eastAsia="zh-CN"/>
              </w:rPr>
              <w:t>试验参与者</w:t>
            </w:r>
            <w:r>
              <w:rPr>
                <w:bCs/>
                <w:color w:val="auto"/>
                <w:sz w:val="24"/>
                <w:szCs w:val="24"/>
              </w:rPr>
              <w:t xml:space="preserve">姓名首字母或编码       </w:t>
            </w:r>
          </w:p>
          <w:p w14:paraId="6372B895">
            <w:pPr>
              <w:spacing w:beforeLines="0" w:afterLines="0" w:line="348" w:lineRule="auto"/>
              <w:ind w:firstLine="1666" w:firstLineChars="700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-1"/>
                <w:sz w:val="24"/>
              </w:rPr>
              <w:t>性别：□男 □女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 xml:space="preserve"> 出生日期</w:t>
            </w:r>
            <w:r>
              <w:rPr>
                <w:bCs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1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 xml:space="preserve"> 月   日</w:t>
            </w:r>
          </w:p>
        </w:tc>
      </w:tr>
      <w:tr w14:paraId="2FA6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06DD4E">
            <w:pPr>
              <w:spacing w:beforeLines="0" w:afterLines="0" w:line="348" w:lineRule="auto"/>
              <w:rPr>
                <w:rFonts w:hint="default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  <w:t>报告类型</w:t>
            </w:r>
          </w:p>
        </w:tc>
        <w:tc>
          <w:tcPr>
            <w:tcW w:w="6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26AB4">
            <w:pPr>
              <w:spacing w:beforeLines="0" w:afterLines="0" w:line="348" w:lineRule="auto"/>
              <w:jc w:val="left"/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首次报告   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随访报告  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>总结报告</w:t>
            </w:r>
          </w:p>
        </w:tc>
      </w:tr>
      <w:tr w14:paraId="6D00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5A1E8C">
            <w:pPr>
              <w:spacing w:beforeLines="0" w:afterLines="0" w:line="348" w:lineRule="auto"/>
              <w:rPr>
                <w:rFonts w:hint="default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  <w:t>报告类别</w:t>
            </w:r>
          </w:p>
        </w:tc>
        <w:tc>
          <w:tcPr>
            <w:tcW w:w="6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25F02">
            <w:pPr>
              <w:spacing w:beforeLines="0" w:afterLines="0" w:line="348" w:lineRule="auto"/>
              <w:ind w:firstLine="0" w:firstLineChars="0"/>
              <w:jc w:val="left"/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auto"/>
                <w:spacing w:val="2"/>
                <w:sz w:val="24"/>
                <w:szCs w:val="24"/>
                <w:shd w:val="clear" w:fill="auto"/>
              </w:rPr>
              <w:t>□ SAE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aps w:val="0"/>
                <w:color w:val="auto"/>
                <w:spacing w:val="2"/>
                <w:sz w:val="24"/>
                <w:szCs w:val="24"/>
                <w:shd w:val="clear" w:fill="auto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auto"/>
                <w:spacing w:val="2"/>
                <w:sz w:val="24"/>
                <w:szCs w:val="24"/>
                <w:shd w:val="clear" w:fill="auto"/>
              </w:rPr>
              <w:t xml:space="preserve"> □ SUSAR</w:t>
            </w:r>
          </w:p>
        </w:tc>
      </w:tr>
      <w:tr w14:paraId="7D63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1A1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40" w:lineRule="exact"/>
              <w:ind w:left="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  <w:t>SAE</w:t>
            </w:r>
            <w:r>
              <w:rPr>
                <w:rFonts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</w:rPr>
              <w:t>/SUSAR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发生时间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bCs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color w:val="auto"/>
                <w:spacing w:val="1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pacing w:val="-9"/>
                <w:sz w:val="24"/>
                <w:szCs w:val="24"/>
              </w:rPr>
              <w:t>日     时</w:t>
            </w:r>
            <w:r>
              <w:rPr>
                <w:bCs/>
                <w:color w:val="auto"/>
                <w:spacing w:val="10"/>
                <w:sz w:val="24"/>
                <w:szCs w:val="24"/>
              </w:rPr>
              <w:t xml:space="preserve">    </w:t>
            </w:r>
            <w:r>
              <w:rPr>
                <w:bCs/>
                <w:color w:val="auto"/>
                <w:spacing w:val="-9"/>
                <w:sz w:val="24"/>
                <w:szCs w:val="24"/>
              </w:rPr>
              <w:t>分</w:t>
            </w:r>
          </w:p>
          <w:p w14:paraId="5CF7B8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40" w:lineRule="exact"/>
              <w:ind w:left="0"/>
              <w:textAlignment w:val="auto"/>
              <w:rPr>
                <w:bCs/>
                <w:color w:val="auto"/>
                <w:spacing w:val="-13"/>
                <w:sz w:val="24"/>
                <w:szCs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研究者获知时间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24"/>
                <w:w w:val="101"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color w:val="auto"/>
                <w:spacing w:val="24"/>
                <w:w w:val="10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9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日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时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 xml:space="preserve"> 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分</w:t>
            </w:r>
          </w:p>
          <w:p w14:paraId="12A9EF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40" w:lineRule="exact"/>
              <w:ind w:left="0"/>
              <w:textAlignment w:val="auto"/>
              <w:rPr>
                <w:rFonts w:hint="default"/>
                <w:bCs/>
                <w:color w:val="auto"/>
                <w:spacing w:val="-1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>申办方首次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获知时间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24"/>
                <w:w w:val="101"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color w:val="auto"/>
                <w:spacing w:val="24"/>
                <w:w w:val="10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9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日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时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 xml:space="preserve">    </w:t>
            </w:r>
            <w:r>
              <w:rPr>
                <w:bCs/>
                <w:color w:val="auto"/>
                <w:spacing w:val="-13"/>
                <w:sz w:val="24"/>
                <w:szCs w:val="24"/>
              </w:rPr>
              <w:t>分</w:t>
            </w:r>
          </w:p>
        </w:tc>
      </w:tr>
      <w:tr w14:paraId="6682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8A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textAlignment w:val="auto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  <w:t>SAE</w:t>
            </w:r>
            <w:r>
              <w:rPr>
                <w:rFonts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</w:rPr>
              <w:t>/SUSAR</w:t>
            </w:r>
            <w:r>
              <w:rPr>
                <w:bCs/>
                <w:color w:val="auto"/>
                <w:spacing w:val="3"/>
                <w:sz w:val="24"/>
                <w:szCs w:val="24"/>
              </w:rPr>
              <w:t>的医学术语(诊断)</w:t>
            </w:r>
          </w:p>
        </w:tc>
      </w:tr>
      <w:tr w14:paraId="3AD89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C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40" w:lineRule="exact"/>
              <w:textAlignment w:val="auto"/>
              <w:rPr>
                <w:bCs/>
                <w:color w:val="auto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  <w:t>SAE</w:t>
            </w:r>
            <w:r>
              <w:rPr>
                <w:rFonts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</w:rPr>
              <w:t>/SUSAR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>描述(包括发生情况，处理及其原因分析)</w:t>
            </w:r>
          </w:p>
        </w:tc>
      </w:tr>
      <w:tr w14:paraId="5C44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B59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试验药物信息</w:t>
            </w:r>
          </w:p>
          <w:p w14:paraId="13A32B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leftChars="0" w:right="3731" w:firstLine="244" w:firstLineChars="100"/>
              <w:textAlignment w:val="auto"/>
              <w:rPr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试验药物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>名称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>(中文)</w:t>
            </w:r>
          </w:p>
          <w:p w14:paraId="5F137C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leftChars="0" w:right="3731" w:firstLine="244" w:firstLineChars="1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试验药物名称(英文)</w:t>
            </w:r>
          </w:p>
          <w:p w14:paraId="2EA5CE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236" w:firstLineChars="1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-2"/>
                <w:sz w:val="24"/>
                <w:szCs w:val="24"/>
              </w:rPr>
              <w:t>每日用药总量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                    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 xml:space="preserve">      </w:t>
            </w:r>
            <w:r>
              <w:rPr>
                <w:bCs/>
                <w:color w:val="auto"/>
                <w:spacing w:val="-2"/>
                <w:sz w:val="24"/>
                <w:szCs w:val="24"/>
              </w:rPr>
              <w:t>给药途径</w:t>
            </w:r>
          </w:p>
          <w:p w14:paraId="24E20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238" w:firstLineChars="100"/>
              <w:textAlignment w:val="auto"/>
              <w:rPr>
                <w:rFonts w:hint="default" w:ascii="宋体" w:hAnsi="宋体" w:eastAsia="宋体"/>
                <w:bCs/>
                <w:color w:val="auto"/>
                <w:sz w:val="24"/>
                <w:lang w:val="en-US" w:eastAsia="zh-CN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用药起止日期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default" w:ascii="宋体" w:hAnsi="宋体" w:cs="宋体"/>
                <w:bCs/>
                <w:color w:val="auto"/>
                <w:spacing w:val="-13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>年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  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 xml:space="preserve"> 月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  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 xml:space="preserve"> 日 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>至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   </w:t>
            </w:r>
            <w:r>
              <w:rPr>
                <w:rFonts w:hint="eastAsia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 xml:space="preserve"> 年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  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 xml:space="preserve"> 月</w:t>
            </w:r>
            <w:r>
              <w:rPr>
                <w:rFonts w:hint="default" w:ascii="宋体" w:hAnsi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val="en-US" w:eastAsia="en-US"/>
              </w:rPr>
              <w:t xml:space="preserve">     </w:t>
            </w:r>
            <w:r>
              <w:rPr>
                <w:rFonts w:ascii="宋体" w:hAnsi="宋体" w:eastAsia="宋体" w:cs="宋体"/>
                <w:bCs/>
                <w:i w:val="0"/>
                <w:iCs w:val="0"/>
                <w:caps w:val="0"/>
                <w:color w:val="auto"/>
                <w:spacing w:val="-13"/>
                <w:sz w:val="24"/>
                <w:szCs w:val="24"/>
                <w:shd w:val="clear" w:fill="auto"/>
                <w:lang w:eastAsia="en-US"/>
              </w:rPr>
              <w:t xml:space="preserve"> 日</w:t>
            </w:r>
          </w:p>
        </w:tc>
      </w:tr>
      <w:tr w14:paraId="092B5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75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0" w:firstLineChars="0"/>
              <w:textAlignment w:val="auto"/>
              <w:rPr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  <w:t>SAE</w:t>
            </w:r>
            <w:r>
              <w:rPr>
                <w:rFonts w:ascii="Times New Roman" w:hAnsi="Times New Roman" w:eastAsia="宋体" w:cs="Times New Roman"/>
                <w:bCs/>
                <w:i w:val="0"/>
                <w:iCs w:val="0"/>
                <w:caps w:val="0"/>
                <w:color w:val="auto"/>
                <w:spacing w:val="-1"/>
                <w:sz w:val="24"/>
                <w:szCs w:val="24"/>
                <w:shd w:val="clear"/>
              </w:rPr>
              <w:t>/SUSAR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分类及相关性分析</w:t>
            </w:r>
          </w:p>
          <w:p w14:paraId="7E721C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）</w:t>
            </w:r>
            <w:r>
              <w:rPr>
                <w:bCs/>
                <w:color w:val="auto"/>
                <w:sz w:val="24"/>
                <w:szCs w:val="24"/>
              </w:rPr>
              <w:t>SAE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>分类</w:t>
            </w:r>
            <w:r>
              <w:rPr>
                <w:rFonts w:hint="eastAsia"/>
                <w:bCs/>
                <w:color w:val="auto"/>
                <w:spacing w:val="1"/>
                <w:sz w:val="24"/>
              </w:rPr>
              <w:t>（可多选）</w:t>
            </w:r>
          </w:p>
          <w:p w14:paraId="6E3F1F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4" w:firstLineChars="200"/>
              <w:textAlignment w:val="auto"/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 xml:space="preserve">导致住院       </w:t>
            </w:r>
            <w:r>
              <w:rPr>
                <w:rFonts w:hint="eastAsia"/>
                <w:bCs/>
                <w:color w:val="auto"/>
                <w:spacing w:val="1"/>
                <w:positio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position w:val="0"/>
                <w:sz w:val="24"/>
                <w:szCs w:val="24"/>
              </w:rPr>
              <w:t>延长住院时间</w:t>
            </w:r>
            <w:r>
              <w:rPr>
                <w:rFonts w:hint="eastAsia"/>
                <w:bCs/>
                <w:color w:val="auto"/>
                <w:spacing w:val="1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1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bCs/>
                <w:color w:val="auto"/>
                <w:spacing w:val="1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>伤残</w:t>
            </w:r>
          </w:p>
          <w:p w14:paraId="2AA31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4" w:firstLineChars="2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 xml:space="preserve">导致先天畸形  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val="en-US" w:eastAsia="zh-CN"/>
              </w:rPr>
              <w:t>危及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 xml:space="preserve">生命 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</w:rPr>
              <w:t>死亡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bCs/>
                <w:color w:val="auto"/>
                <w:spacing w:val="4"/>
                <w:sz w:val="24"/>
                <w:szCs w:val="24"/>
              </w:rPr>
              <w:t>其他(请说明)</w:t>
            </w:r>
          </w:p>
          <w:p w14:paraId="59EEE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textAlignment w:val="auto"/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  <w:t>预期性判断</w:t>
            </w:r>
          </w:p>
          <w:p w14:paraId="6BE31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</w:t>
            </w:r>
            <w:r>
              <w:rPr>
                <w:rFonts w:hint="default"/>
                <w:bCs/>
                <w:color w:val="auto"/>
                <w:sz w:val="24"/>
              </w:rPr>
              <w:t>该事件为预期不良事件，已在获得批准的研究方案/研究者手册/知情同意书中说明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；</w:t>
            </w:r>
          </w:p>
          <w:p w14:paraId="24493E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</w:t>
            </w:r>
            <w:r>
              <w:rPr>
                <w:rFonts w:hint="default"/>
                <w:bCs/>
                <w:color w:val="auto"/>
                <w:sz w:val="24"/>
              </w:rPr>
              <w:t>该事件为非预期不良事件，未在获得批准的研究方案/研究者手册/知情同意书中说明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；</w:t>
            </w:r>
          </w:p>
          <w:p w14:paraId="2BAADA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bCs/>
                <w:color w:val="auto"/>
                <w:sz w:val="24"/>
                <w:szCs w:val="24"/>
              </w:rPr>
              <w:t>与试验药物的关系</w:t>
            </w:r>
          </w:p>
          <w:p w14:paraId="6A2845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□肯定有关  □可能有关  □可能无关  □无关  □无法判定</w:t>
            </w:r>
          </w:p>
          <w:p w14:paraId="400D42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default"/>
                <w:color w:val="auto"/>
                <w:kern w:val="0"/>
                <w:sz w:val="24"/>
              </w:rPr>
              <w:t>（4）SAE/SUSAR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与其他合并用药/治疗的关系</w:t>
            </w:r>
          </w:p>
          <w:p w14:paraId="160237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□肯定有关  □可能有关  □可能无关  □无关  □无法判定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不适用</w:t>
            </w:r>
          </w:p>
          <w:p w14:paraId="0AA78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textAlignment w:val="auto"/>
              <w:rPr>
                <w:rFonts w:hint="eastAsia"/>
                <w:bCs/>
                <w:color w:val="FF0000"/>
                <w:sz w:val="24"/>
              </w:rPr>
            </w:pPr>
            <w:r>
              <w:rPr>
                <w:rFonts w:hint="eastAsia"/>
                <w:b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Cs/>
                <w:color w:val="FF0000"/>
                <w:sz w:val="24"/>
                <w:lang w:val="en-US" w:eastAsia="zh-CN"/>
              </w:rPr>
              <w:t>5</w:t>
            </w:r>
            <w:r>
              <w:rPr>
                <w:rFonts w:hint="eastAsia"/>
                <w:bCs/>
                <w:color w:val="FF0000"/>
                <w:sz w:val="24"/>
                <w:lang w:eastAsia="zh-CN"/>
              </w:rPr>
              <w:t>）</w:t>
            </w:r>
            <w:r>
              <w:rPr>
                <w:rFonts w:hint="eastAsia"/>
                <w:bCs/>
                <w:color w:val="FF0000"/>
                <w:sz w:val="24"/>
              </w:rPr>
              <w:t>是否为SUSAR（由</w:t>
            </w:r>
            <w:r>
              <w:rPr>
                <w:rFonts w:hint="eastAsia"/>
                <w:bCs/>
                <w:color w:val="FF0000"/>
                <w:sz w:val="24"/>
                <w:lang w:eastAsia="zh-CN"/>
              </w:rPr>
              <w:t>申办方</w:t>
            </w:r>
            <w:r>
              <w:rPr>
                <w:rFonts w:hint="eastAsia"/>
                <w:bCs/>
                <w:color w:val="FF0000"/>
                <w:sz w:val="24"/>
              </w:rPr>
              <w:t>评估填写）</w:t>
            </w:r>
          </w:p>
          <w:p w14:paraId="3C0BD3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是，为非预期且与试验药物相关或可疑的严重不良反应</w:t>
            </w:r>
          </w:p>
          <w:p w14:paraId="01AA2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 否</w:t>
            </w:r>
          </w:p>
          <w:p w14:paraId="493C6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□ 不适用（本报告为SAE首次报告，申办方尚未完成SUSAR评估）</w:t>
            </w:r>
          </w:p>
          <w:p w14:paraId="25E83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如为SUSAR，报告类型：□致死/危及生命 □非致死/非危及生命</w:t>
            </w:r>
          </w:p>
          <w:p w14:paraId="582934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238" w:firstLineChars="1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bCs/>
                <w:color w:val="auto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对试验药物采取的措施</w:t>
            </w:r>
          </w:p>
          <w:p w14:paraId="35DE29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0" w:firstLineChars="200"/>
              <w:textAlignment w:val="auto"/>
              <w:rPr>
                <w:rFonts w:hint="default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 xml:space="preserve">□继续用药   □减小剂量 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□药物暂停后又恢复  □停用药物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□其他________</w:t>
            </w:r>
          </w:p>
        </w:tc>
      </w:tr>
      <w:tr w14:paraId="2845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B10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SAE/SUSAR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的转归</w:t>
            </w:r>
          </w:p>
          <w:p w14:paraId="71C3B2A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8" w:firstLineChars="200"/>
              <w:textAlignment w:val="auto"/>
              <w:rPr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症状消失，无后遗症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</w:t>
            </w:r>
          </w:p>
          <w:p w14:paraId="1D1767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8" w:firstLineChars="2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2"/>
                <w:sz w:val="24"/>
                <w:szCs w:val="24"/>
              </w:rPr>
              <w:t>□症状消失，有后遗症(请说明):</w:t>
            </w:r>
          </w:p>
          <w:p w14:paraId="0D9772D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4" w:firstLineChars="2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1"/>
                <w:sz w:val="24"/>
                <w:szCs w:val="24"/>
              </w:rPr>
              <w:t xml:space="preserve">□症状持续，时至      </w:t>
            </w:r>
            <w:r>
              <w:rPr>
                <w:rFonts w:hint="eastAsia"/>
                <w:bCs/>
                <w:color w:val="auto"/>
                <w:spacing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8"/>
                <w:sz w:val="24"/>
                <w:szCs w:val="24"/>
              </w:rPr>
              <w:t xml:space="preserve">    </w:t>
            </w:r>
            <w:r>
              <w:rPr>
                <w:bCs/>
                <w:color w:val="auto"/>
                <w:spacing w:val="-4"/>
                <w:position w:val="-1"/>
                <w:sz w:val="24"/>
                <w:szCs w:val="24"/>
              </w:rPr>
              <w:t>日</w:t>
            </w:r>
            <w:r>
              <w:rPr>
                <w:rFonts w:hint="eastAsia"/>
                <w:bCs/>
                <w:color w:val="auto"/>
                <w:spacing w:val="-4"/>
                <w:position w:val="-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>还在接受治疗</w:t>
            </w:r>
          </w:p>
          <w:p w14:paraId="491E4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488" w:firstLineChars="200"/>
              <w:textAlignment w:val="auto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>死亡，死亡日期：</w:t>
            </w:r>
            <w:r>
              <w:rPr>
                <w:bCs/>
                <w:color w:val="auto"/>
                <w:spacing w:val="79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auto"/>
                <w:spacing w:val="79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8"/>
                <w:sz w:val="24"/>
                <w:szCs w:val="24"/>
              </w:rPr>
              <w:t xml:space="preserve">    </w:t>
            </w:r>
            <w:r>
              <w:rPr>
                <w:bCs/>
                <w:color w:val="auto"/>
                <w:spacing w:val="-4"/>
                <w:position w:val="-1"/>
                <w:sz w:val="24"/>
                <w:szCs w:val="24"/>
              </w:rPr>
              <w:t>日</w:t>
            </w:r>
            <w:r>
              <w:rPr>
                <w:bCs/>
                <w:color w:val="auto"/>
                <w:spacing w:val="15"/>
                <w:position w:val="-1"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color w:val="auto"/>
                <w:spacing w:val="15"/>
                <w:position w:val="-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 xml:space="preserve">时  </w:t>
            </w:r>
            <w:r>
              <w:rPr>
                <w:rFonts w:hint="eastAsia"/>
                <w:bCs/>
                <w:color w:val="auto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-4"/>
                <w:sz w:val="24"/>
                <w:szCs w:val="24"/>
              </w:rPr>
              <w:t xml:space="preserve"> 分</w:t>
            </w:r>
          </w:p>
        </w:tc>
      </w:tr>
      <w:tr w14:paraId="6025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C3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0" w:firstLineChars="0"/>
              <w:textAlignment w:val="auto"/>
              <w:rPr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合并用药和基础疾病(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</w:rPr>
              <w:t>列举SAE/SUSAR发生时的合并用药和基础疾病，包括用药剂量、给药途径和持续时间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>)</w:t>
            </w:r>
          </w:p>
          <w:p w14:paraId="72E89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firstLine="238" w:firstLineChars="100"/>
              <w:textAlignment w:val="auto"/>
              <w:rPr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合并用药   基础疾病</w:t>
            </w:r>
            <w:r>
              <w:rPr>
                <w:bCs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用药剂量</w:t>
            </w:r>
            <w:r>
              <w:rPr>
                <w:bCs/>
                <w:color w:val="auto"/>
                <w:spacing w:val="14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1"/>
                <w:sz w:val="24"/>
                <w:szCs w:val="24"/>
              </w:rPr>
              <w:t>给药途径   用药起/止时间</w:t>
            </w:r>
          </w:p>
        </w:tc>
      </w:tr>
      <w:tr w14:paraId="231C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CA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238" w:firstLineChars="100"/>
              <w:textAlignment w:val="auto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-1"/>
                <w:sz w:val="24"/>
                <w:szCs w:val="24"/>
              </w:rPr>
              <w:t>破盲情况</w:t>
            </w:r>
          </w:p>
          <w:p w14:paraId="75372EC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8" w:firstLineChars="200"/>
              <w:textAlignment w:val="auto"/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□未破盲</w:t>
            </w:r>
          </w:p>
          <w:p w14:paraId="24605B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8" w:firstLineChars="200"/>
              <w:textAlignment w:val="auto"/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 xml:space="preserve">□已破盲(破盲时间：  年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 xml:space="preserve">月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 xml:space="preserve">    时 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分)</w:t>
            </w:r>
          </w:p>
          <w:p w14:paraId="4EEC11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520" w:lineRule="exact"/>
              <w:ind w:left="0" w:firstLine="488" w:firstLineChars="200"/>
              <w:textAlignment w:val="auto"/>
              <w:rPr>
                <w:rFonts w:hint="default" w:ascii="Times New Roman" w:hAnsi="Times New Roman"/>
                <w:bCs/>
                <w:color w:val="auto"/>
                <w:spacing w:val="-2"/>
                <w:sz w:val="24"/>
                <w:lang w:val="en-US"/>
              </w:rPr>
            </w:pP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val="en-US" w:eastAsia="zh-CN"/>
              </w:rPr>
              <w:t xml:space="preserve"> 破盲分组：</w:t>
            </w:r>
            <w:r>
              <w:rPr>
                <w:rFonts w:hint="eastAsia"/>
                <w:bCs/>
                <w:color w:val="auto"/>
                <w:spacing w:val="2"/>
                <w:sz w:val="24"/>
                <w:szCs w:val="24"/>
                <w:lang w:eastAsia="zh-CN"/>
              </w:rPr>
              <w:t>□试验组      □对照组</w:t>
            </w:r>
          </w:p>
        </w:tc>
      </w:tr>
      <w:tr w14:paraId="142F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F1AB6">
            <w:pPr>
              <w:spacing w:beforeLines="0" w:afterLines="0" w:line="348" w:lineRule="auto"/>
              <w:ind w:firstLine="472" w:firstLineChars="200"/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  <w:t>首次报告应包含但不限于：试验参与者筛选号、入组时间、诊断和既往重要病史或合并疾病；入组后已完成的疗程和发生SAE/SUSAR前的末次用药时间；发生前的相关症状、体征、程度分级，行相关检查和治疗的情况；确认为SAE/SUSAR后的详细救治过程；研究者判断该事件与试验用药或方法的相关性；若判断为肯定有关/可能有关时，需初步判断是否为SUSAR并记录。</w:t>
            </w:r>
          </w:p>
          <w:p w14:paraId="35F8C35B">
            <w:pPr>
              <w:spacing w:beforeLines="0" w:afterLines="0" w:line="348" w:lineRule="auto"/>
              <w:ind w:firstLine="236" w:firstLineChars="100"/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</w:pPr>
          </w:p>
          <w:p w14:paraId="799D7864">
            <w:pPr>
              <w:spacing w:beforeLines="0" w:afterLines="0" w:line="348" w:lineRule="auto"/>
              <w:ind w:firstLine="472" w:firstLineChars="200"/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  <w:t>随访/总结报告应包含但不限于：试验参与者筛选号、入组时间、诊断；自首次报告后该事件的转归、治疗及相关检查情况；再次评价该事件与试验用药或方法的相关性；明确是否恢复试验治疗或退出试验。</w:t>
            </w:r>
          </w:p>
          <w:p w14:paraId="3F180B9B">
            <w:pPr>
              <w:spacing w:beforeLines="0" w:afterLines="0" w:line="348" w:lineRule="auto"/>
              <w:ind w:firstLine="472" w:firstLineChars="200"/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  <w:spacing w:val="-2"/>
                <w:sz w:val="24"/>
              </w:rPr>
              <w:t>详细描述：</w:t>
            </w:r>
          </w:p>
          <w:p w14:paraId="0CFE51E9">
            <w:pPr>
              <w:spacing w:beforeLines="0" w:afterLines="0" w:line="348" w:lineRule="auto"/>
              <w:rPr>
                <w:rFonts w:hint="eastAsia"/>
                <w:b/>
                <w:bCs w:val="0"/>
                <w:i/>
                <w:iCs/>
                <w:color w:val="auto"/>
                <w:spacing w:val="-2"/>
                <w:sz w:val="24"/>
                <w:lang w:val="en-US" w:eastAsia="zh-CN"/>
              </w:rPr>
            </w:pPr>
          </w:p>
        </w:tc>
      </w:tr>
      <w:tr w14:paraId="724B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B74CF">
            <w:pPr>
              <w:spacing w:line="480" w:lineRule="atLeast"/>
              <w:ind w:firstLine="0" w:firstLineChars="0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已采取措施</w:t>
            </w:r>
          </w:p>
          <w:p w14:paraId="2CBEA347">
            <w:pPr>
              <w:spacing w:line="480" w:lineRule="atLeast"/>
              <w:ind w:firstLine="0" w:firstLineChars="0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是否已就本安全性事件向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申办方</w:t>
            </w:r>
            <w:r>
              <w:rPr>
                <w:rFonts w:hint="eastAsia"/>
                <w:bCs/>
                <w:color w:val="auto"/>
                <w:sz w:val="24"/>
              </w:rPr>
              <w:t>或组长单位提出修改方案和/或知情同意书的建议：</w:t>
            </w:r>
          </w:p>
          <w:p w14:paraId="380E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□ 否</w:t>
            </w:r>
          </w:p>
          <w:p w14:paraId="2044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□ 是（请注明提出建议日期：______年______月______日）</w:t>
            </w:r>
          </w:p>
          <w:p w14:paraId="03436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□ 不适用</w:t>
            </w:r>
          </w:p>
        </w:tc>
      </w:tr>
      <w:tr w14:paraId="7C8E5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1C1E7">
            <w:pPr>
              <w:pStyle w:val="4"/>
              <w:spacing w:before="0" w:line="400" w:lineRule="exact"/>
              <w:ind w:left="0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pacing w:val="1"/>
                <w:sz w:val="24"/>
                <w:szCs w:val="24"/>
              </w:rPr>
              <w:t>报告人签名</w:t>
            </w:r>
            <w:r>
              <w:rPr>
                <w:bCs/>
                <w:color w:val="auto"/>
                <w:spacing w:val="2"/>
                <w:sz w:val="24"/>
                <w:szCs w:val="24"/>
              </w:rPr>
              <w:t xml:space="preserve">                      </w:t>
            </w:r>
            <w:r>
              <w:rPr>
                <w:bCs/>
                <w:color w:val="auto"/>
                <w:spacing w:val="1"/>
                <w:sz w:val="24"/>
                <w:szCs w:val="24"/>
              </w:rPr>
              <w:t>职务/职称</w:t>
            </w:r>
          </w:p>
          <w:p w14:paraId="3D27B1AA">
            <w:pPr>
              <w:spacing w:line="400" w:lineRule="exact"/>
              <w:jc w:val="center"/>
              <w:rPr>
                <w:rFonts w:ascii="宋体" w:hAnsi="宋体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pacing w:val="-5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bCs/>
                <w:color w:val="auto"/>
                <w:spacing w:val="-5"/>
                <w:sz w:val="24"/>
                <w:szCs w:val="24"/>
              </w:rPr>
              <w:t xml:space="preserve">报告日期   </w:t>
            </w:r>
            <w:r>
              <w:rPr>
                <w:rFonts w:hint="eastAsia"/>
                <w:bCs/>
                <w:color w:val="auto"/>
                <w:spacing w:val="-5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bCs/>
                <w:color w:val="auto"/>
                <w:spacing w:val="-5"/>
                <w:sz w:val="24"/>
                <w:szCs w:val="24"/>
              </w:rPr>
              <w:t>年</w:t>
            </w:r>
            <w:r>
              <w:rPr>
                <w:bCs/>
                <w:color w:val="auto"/>
                <w:spacing w:val="14"/>
                <w:sz w:val="24"/>
                <w:szCs w:val="24"/>
              </w:rPr>
              <w:t xml:space="preserve">   </w:t>
            </w:r>
            <w:r>
              <w:rPr>
                <w:bCs/>
                <w:color w:val="auto"/>
                <w:spacing w:val="-5"/>
                <w:sz w:val="24"/>
                <w:szCs w:val="24"/>
              </w:rPr>
              <w:t>月</w:t>
            </w:r>
            <w:r>
              <w:rPr>
                <w:bCs/>
                <w:color w:val="auto"/>
                <w:spacing w:val="7"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color w:val="auto"/>
                <w:spacing w:val="7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Cs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bCs/>
                <w:color w:val="auto"/>
                <w:spacing w:val="-5"/>
                <w:position w:val="-1"/>
                <w:sz w:val="24"/>
                <w:szCs w:val="24"/>
              </w:rPr>
              <w:t>日</w:t>
            </w:r>
            <w:r>
              <w:rPr>
                <w:rFonts w:hint="eastAsia"/>
                <w:bCs/>
                <w:color w:val="auto"/>
                <w:spacing w:val="-5"/>
                <w:position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21"/>
                <w:w w:val="101"/>
                <w:position w:val="-1"/>
                <w:sz w:val="24"/>
                <w:szCs w:val="24"/>
              </w:rPr>
              <w:t xml:space="preserve">  </w:t>
            </w:r>
            <w:r>
              <w:rPr>
                <w:bCs/>
                <w:color w:val="auto"/>
                <w:spacing w:val="-5"/>
                <w:sz w:val="24"/>
                <w:szCs w:val="24"/>
              </w:rPr>
              <w:t xml:space="preserve">时  </w:t>
            </w:r>
            <w:r>
              <w:rPr>
                <w:rFonts w:hint="eastAsia"/>
                <w:bCs/>
                <w:color w:val="auto"/>
                <w:spacing w:val="-5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color w:val="auto"/>
                <w:spacing w:val="-5"/>
                <w:sz w:val="24"/>
                <w:szCs w:val="24"/>
              </w:rPr>
              <w:t>分</w:t>
            </w:r>
          </w:p>
        </w:tc>
      </w:tr>
      <w:tr w14:paraId="2CEE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CC009C">
            <w:pPr>
              <w:numPr>
                <w:ilvl w:val="2"/>
                <w:numId w:val="0"/>
              </w:numPr>
              <w:spacing w:line="48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以下为伦理审查委员会使用（主审委员填写）：</w:t>
            </w:r>
          </w:p>
        </w:tc>
      </w:tr>
      <w:tr w14:paraId="54306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4B2900">
            <w:pPr>
              <w:numPr>
                <w:ilvl w:val="2"/>
                <w:numId w:val="0"/>
              </w:numPr>
              <w:spacing w:line="480" w:lineRule="atLeast"/>
              <w:rPr>
                <w:rFonts w:hint="eastAsia" w:ascii="宋体" w:hAnsi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一、研究者/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申办方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判断复核</w:t>
            </w:r>
          </w:p>
        </w:tc>
      </w:tr>
      <w:tr w14:paraId="6E07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8C6220">
            <w:pPr>
              <w:numPr>
                <w:ilvl w:val="2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auto"/>
                <w:sz w:val="24"/>
              </w:rPr>
              <w:t>研究者对预期性/相关性的判断依据是否充分？ □是 □否</w:t>
            </w:r>
          </w:p>
          <w:p w14:paraId="2B0EF9D8">
            <w:pPr>
              <w:numPr>
                <w:ilvl w:val="2"/>
                <w:numId w:val="0"/>
              </w:numPr>
              <w:spacing w:line="360" w:lineRule="auto"/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申办方</w:t>
            </w:r>
            <w:r>
              <w:rPr>
                <w:rFonts w:hint="eastAsia" w:ascii="宋体" w:hAnsi="宋体" w:cs="宋体"/>
                <w:color w:val="auto"/>
                <w:sz w:val="24"/>
              </w:rPr>
              <w:t>SUSAR评估是否合理？ □是 □否 □不适用</w:t>
            </w:r>
          </w:p>
          <w:p w14:paraId="28333184">
            <w:pPr>
              <w:numPr>
                <w:ilvl w:val="2"/>
                <w:numId w:val="0"/>
              </w:numPr>
              <w:spacing w:line="360" w:lineRule="auto"/>
              <w:jc w:val="left"/>
              <w:rPr>
                <w:rFonts w:hint="eastAsia" w:ascii="宋体" w:hAnsi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auto"/>
                <w:sz w:val="24"/>
              </w:rPr>
              <w:t>研究者与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申办方</w:t>
            </w:r>
            <w:r>
              <w:rPr>
                <w:rFonts w:hint="eastAsia" w:ascii="宋体" w:hAnsi="宋体" w:cs="宋体"/>
                <w:color w:val="auto"/>
                <w:sz w:val="24"/>
              </w:rPr>
              <w:t>判断不一致时，是否有合理解释？ □是 □否 □不适用</w:t>
            </w:r>
          </w:p>
        </w:tc>
      </w:tr>
      <w:tr w14:paraId="38B8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75B20E">
            <w:pPr>
              <w:numPr>
                <w:ilvl w:val="2"/>
                <w:numId w:val="0"/>
              </w:numPr>
              <w:spacing w:line="480" w:lineRule="atLeast"/>
              <w:jc w:val="left"/>
              <w:rPr>
                <w:rFonts w:hint="eastAsia" w:ascii="宋体" w:hAnsi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二、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保护措施审查</w:t>
            </w:r>
          </w:p>
        </w:tc>
      </w:tr>
      <w:tr w14:paraId="4E61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B4A4C3">
            <w:pPr>
              <w:numPr>
                <w:ilvl w:val="2"/>
                <w:numId w:val="0"/>
              </w:numPr>
              <w:spacing w:line="480" w:lineRule="atLeast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>对发生事件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>的医疗处理是否适当？ □是 □否</w:t>
            </w:r>
          </w:p>
          <w:p w14:paraId="01B457AD">
            <w:pPr>
              <w:numPr>
                <w:ilvl w:val="2"/>
                <w:numId w:val="0"/>
              </w:numPr>
              <w:spacing w:line="480" w:lineRule="atLeast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>是否存在可能影响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>继续参与意愿的新信息？ □是 □否</w:t>
            </w:r>
          </w:p>
          <w:p w14:paraId="6D81CA4D">
            <w:pPr>
              <w:numPr>
                <w:ilvl w:val="2"/>
                <w:numId w:val="0"/>
              </w:numPr>
              <w:spacing w:line="480" w:lineRule="atLeast"/>
              <w:ind w:firstLine="480" w:firstLineChars="200"/>
              <w:jc w:val="left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</w:rPr>
              <w:t>→ 如有，是否需要修改知情同意书并重新获取知情同意？ □是 □否</w:t>
            </w:r>
          </w:p>
        </w:tc>
      </w:tr>
      <w:tr w14:paraId="1DE3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81CE46">
            <w:pPr>
              <w:numPr>
                <w:ilvl w:val="2"/>
                <w:numId w:val="0"/>
              </w:numPr>
              <w:spacing w:line="480" w:lineRule="atLeas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  <w:t>三、审查决定</w:t>
            </w:r>
          </w:p>
        </w:tc>
      </w:tr>
      <w:tr w14:paraId="46D8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AF44D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</w:rPr>
              <w:t>审查方式： □ 会议审查　□ 快速审查　□ 备案</w:t>
            </w:r>
          </w:p>
          <w:p w14:paraId="71A13AE3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建议调整年度/定期审查频率：□否 □是：______个月</w:t>
            </w:r>
          </w:p>
          <w:p w14:paraId="54532035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701C18E0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</w:rPr>
              <w:t>审查决定（请根据所选审查方式选择对应选项）：</w:t>
            </w:r>
          </w:p>
          <w:p w14:paraId="5597E1AC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0" w:leftChars="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A. 会议审查适用决定（适用于直接上会的项目）：</w:t>
            </w:r>
          </w:p>
          <w:p w14:paraId="08310434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批准</w:t>
            </w:r>
          </w:p>
          <w:p w14:paraId="02654BCE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修改后批准（请注明修改内容：□方案 □知情同意书）</w:t>
            </w:r>
          </w:p>
          <w:p w14:paraId="72BDC306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修改后再审（请注明修改内容：□方案 □知情同意书）</w:t>
            </w:r>
          </w:p>
          <w:p w14:paraId="610DEC3C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不批准</w:t>
            </w:r>
          </w:p>
          <w:p w14:paraId="3F4A02C6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继续研究（仅适用于年度/定期跟踪审查）</w:t>
            </w:r>
          </w:p>
          <w:p w14:paraId="1D119475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暂停研究</w:t>
            </w:r>
          </w:p>
          <w:p w14:paraId="49443FD8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终止研究</w:t>
            </w:r>
          </w:p>
          <w:p w14:paraId="3D30CA06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0" w:leftChars="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B. 快速审查适用决定（仅适用于快速审查项目）：</w:t>
            </w:r>
          </w:p>
          <w:p w14:paraId="3756D921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批准</w:t>
            </w:r>
          </w:p>
          <w:p w14:paraId="51E64307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修改后批准（请注明修改内容：□方案 □知情同意书）</w:t>
            </w:r>
          </w:p>
          <w:p w14:paraId="3B67234A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left="420" w:leftChars="200" w:firstLine="1440" w:firstLineChars="600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□ 同意继续研究（仅适用于年度/定期跟踪审查）</w:t>
            </w:r>
          </w:p>
          <w:p w14:paraId="40EBA96B">
            <w:pPr>
              <w:keepNext w:val="0"/>
              <w:keepLines w:val="0"/>
              <w:pageBreakBefore w:val="0"/>
              <w:widowControl/>
              <w:numPr>
                <w:ilvl w:val="2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</w:rPr>
              <w:t>备注： 快速审查项目中，如主审委员认为应选择“修改后再审”“不批准”“暂停研究”或“终止研究”的，该审查须转为会议审查，按会议审查程序处理。安全性报告审查中仅适用“批准”“暂停研究”“终止研究”三项决定。</w:t>
            </w:r>
          </w:p>
        </w:tc>
      </w:tr>
      <w:tr w14:paraId="0487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F1D29">
            <w:pPr>
              <w:spacing w:line="480" w:lineRule="atLeast"/>
              <w:rPr>
                <w:rFonts w:hint="eastAsia"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>具体建议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如建议研究者向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申办方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反馈方案相关问题等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</w:rPr>
              <w:t xml:space="preserve">： 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 xml:space="preserve">    </w:t>
            </w:r>
          </w:p>
          <w:p w14:paraId="709807A8">
            <w:pPr>
              <w:spacing w:line="480" w:lineRule="atLeast"/>
              <w:rPr>
                <w:rFonts w:hint="eastAsia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 xml:space="preserve">    </w:t>
            </w:r>
          </w:p>
        </w:tc>
      </w:tr>
      <w:tr w14:paraId="63B5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13AAF">
            <w:pPr>
              <w:spacing w:line="480" w:lineRule="atLeast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主审委员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利益冲突声明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/>
                <w:bCs/>
                <w:color w:val="auto"/>
                <w:sz w:val="24"/>
              </w:rPr>
              <w:t>与所审查的项目之间不存在任何利益冲突</w:t>
            </w:r>
          </w:p>
        </w:tc>
      </w:tr>
      <w:tr w14:paraId="1598F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7F727">
            <w:pPr>
              <w:spacing w:line="480" w:lineRule="atLeast"/>
              <w:rPr>
                <w:rFonts w:hint="default" w:ascii="宋体" w:hAnsi="宋体" w:eastAsia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</w:rPr>
              <w:t>主审委员签名</w:t>
            </w:r>
            <w:r>
              <w:rPr>
                <w:rFonts w:hint="eastAsia" w:ascii="宋体" w:hAnsi="宋体"/>
                <w:bCs/>
                <w:color w:val="auto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bCs/>
                <w:color w:val="auto"/>
                <w:sz w:val="24"/>
                <w:lang w:val="en-US" w:eastAsia="zh-CN"/>
              </w:rPr>
              <w:t xml:space="preserve">                                       日期： </w:t>
            </w:r>
          </w:p>
        </w:tc>
      </w:tr>
    </w:tbl>
    <w:p w14:paraId="02D07E83">
      <w:pPr>
        <w:spacing w:after="120" w:line="348" w:lineRule="auto"/>
        <w:ind w:firstLine="0" w:firstLineChars="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备注</w:t>
      </w:r>
      <w:r>
        <w:rPr>
          <w:color w:val="auto"/>
          <w:sz w:val="24"/>
        </w:rPr>
        <w:t>：</w:t>
      </w:r>
    </w:p>
    <w:p w14:paraId="7FBE6960">
      <w:pPr>
        <w:spacing w:after="120" w:line="348" w:lineRule="auto"/>
        <w:ind w:firstLine="480" w:firstLineChars="20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1、</w:t>
      </w:r>
      <w:r>
        <w:rPr>
          <w:color w:val="auto"/>
          <w:sz w:val="24"/>
        </w:rPr>
        <w:t>“批准”适用于初始审查和安全性报告审查中无需采取措施的情形；“继续研究”仅适用于年度/定期跟踪审查（研究进展报告审查）。</w:t>
      </w:r>
    </w:p>
    <w:p w14:paraId="4A3137B0">
      <w:pPr>
        <w:spacing w:after="120" w:line="348" w:lineRule="auto"/>
        <w:ind w:firstLine="480" w:firstLineChars="20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2、</w:t>
      </w:r>
      <w:r>
        <w:rPr>
          <w:color w:val="auto"/>
          <w:sz w:val="24"/>
        </w:rPr>
        <w:t>安全性报告审查时，根据审查结果从以下三类审查意见中选取：批准（无需采取进一步措施）、暂停研究（因安全性事件需暂停）、终止研究（因安全性事件需终止）。</w:t>
      </w:r>
    </w:p>
    <w:p w14:paraId="09D607C2">
      <w:pPr>
        <w:spacing w:after="120" w:line="348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3、</w:t>
      </w:r>
      <w:r>
        <w:rPr>
          <w:rFonts w:hint="eastAsia"/>
          <w:color w:val="auto"/>
          <w:sz w:val="24"/>
        </w:rPr>
        <w:t>方案和知情同意书的修订须由</w:t>
      </w:r>
      <w:r>
        <w:rPr>
          <w:rFonts w:hint="eastAsia"/>
          <w:color w:val="auto"/>
          <w:sz w:val="24"/>
          <w:lang w:eastAsia="zh-CN"/>
        </w:rPr>
        <w:t>申办方</w:t>
      </w:r>
      <w:r>
        <w:rPr>
          <w:rFonts w:hint="eastAsia"/>
          <w:color w:val="auto"/>
          <w:sz w:val="24"/>
        </w:rPr>
        <w:t>发起，经组长单位</w:t>
      </w:r>
      <w:r>
        <w:rPr>
          <w:rFonts w:hint="eastAsia"/>
          <w:color w:val="auto"/>
          <w:sz w:val="24"/>
          <w:lang w:eastAsia="zh-CN"/>
        </w:rPr>
        <w:t>伦理审查委员会</w:t>
      </w:r>
      <w:r>
        <w:rPr>
          <w:rFonts w:hint="eastAsia"/>
          <w:color w:val="auto"/>
          <w:sz w:val="24"/>
        </w:rPr>
        <w:t>审查同意后，分中心</w:t>
      </w:r>
      <w:r>
        <w:rPr>
          <w:rFonts w:hint="eastAsia"/>
          <w:color w:val="auto"/>
          <w:sz w:val="24"/>
          <w:lang w:eastAsia="zh-CN"/>
        </w:rPr>
        <w:t>伦理审查委员会</w:t>
      </w:r>
      <w:r>
        <w:rPr>
          <w:rFonts w:hint="eastAsia"/>
          <w:color w:val="auto"/>
          <w:sz w:val="24"/>
        </w:rPr>
        <w:t>按备案或审查流程处理。</w:t>
      </w:r>
    </w:p>
    <w:p w14:paraId="2C911E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82CA7"/>
    <w:rsid w:val="02BA5D3C"/>
    <w:rsid w:val="09C67EA6"/>
    <w:rsid w:val="0AEE6ECB"/>
    <w:rsid w:val="11E46932"/>
    <w:rsid w:val="176127D3"/>
    <w:rsid w:val="1D834428"/>
    <w:rsid w:val="1DD10C77"/>
    <w:rsid w:val="22487445"/>
    <w:rsid w:val="2DE31272"/>
    <w:rsid w:val="3AE015FE"/>
    <w:rsid w:val="47C53C47"/>
    <w:rsid w:val="4B78366B"/>
    <w:rsid w:val="4BBC5C4E"/>
    <w:rsid w:val="575D1971"/>
    <w:rsid w:val="5B4661C4"/>
    <w:rsid w:val="6219549A"/>
    <w:rsid w:val="646A6DAB"/>
    <w:rsid w:val="64D63CBE"/>
    <w:rsid w:val="656D2F25"/>
    <w:rsid w:val="765C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1956</Words>
  <Characters>2118</Characters>
  <Lines>0</Lines>
  <Paragraphs>0</Paragraphs>
  <TotalTime>39</TotalTime>
  <ScaleCrop>false</ScaleCrop>
  <LinksUpToDate>false</LinksUpToDate>
  <CharactersWithSpaces>2634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2026-09-03T10:28:00Z</dcterms:created>
  <dc:creator>Administrator</dc:creator>
  <cp:lastModifiedBy>姚重阳</cp:lastModifiedBy>
  <cp:lastPrinted>2026-09-09T07:01:00Z</cp:lastPrinted>
  <dcterms:modified xsi:type="dcterms:W3CDTF">2026-09-17T08:46:53Z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eyJoZGlkIjoiMDNkMzdiNTA5ZWIzNzIwMDJkMzVhZDhkMjc2OGYyZGQiLCJ1c2VySWQiOiIzODk1NDQ2MzMifQ==</vt:lpwstr>
  </property>
  <property fmtid="{D5CDD505-2E9C-101B-9397-08002B2CF9AE}" pid="4" name="ICV">
    <vt:lpwstr>D0157781FCDA45878011A0B4A9688F76_12</vt:lpwstr>
  </property>
</Properties>
</file>