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6F62F94D">
      <w:pPr>
        <w:pStyle w:val="20"/>
        <w:bidi w:val="0"/>
        <w:jc w:val="center"/>
        <w:rPr>
          <w:rFonts w:hint="eastAsia" w:cs="宋体"/>
          <w:b/>
          <w:bCs/>
          <w:color w:val="auto"/>
          <w:sz w:val="48"/>
          <w:szCs w:val="48"/>
          <w:highlight w:val="none"/>
          <w:lang w:val="en-US" w:eastAsia="zh-CN"/>
        </w:rPr>
      </w:pPr>
      <w:r>
        <w:rPr>
          <w:rFonts w:hint="eastAsia" w:cs="宋体"/>
          <w:b/>
          <w:bCs/>
          <w:color w:val="auto"/>
          <w:sz w:val="48"/>
          <w:szCs w:val="48"/>
          <w:highlight w:val="none"/>
          <w:lang w:val="en-US" w:eastAsia="zh-CN"/>
        </w:rPr>
        <w:t>驻马店市中心医院波切超乳一体机配套</w:t>
      </w:r>
    </w:p>
    <w:p w14:paraId="43B7407E">
      <w:pPr>
        <w:pStyle w:val="20"/>
        <w:bidi w:val="0"/>
        <w:jc w:val="center"/>
        <w:rPr>
          <w:rStyle w:val="44"/>
          <w:rFonts w:hint="eastAsia" w:ascii="宋体" w:hAnsi="宋体" w:eastAsia="宋体" w:cs="宋体"/>
          <w:b/>
          <w:bCs/>
          <w:color w:val="auto"/>
          <w:sz w:val="44"/>
          <w:szCs w:val="44"/>
          <w:highlight w:val="none"/>
          <w:lang w:val="en-US" w:eastAsia="zh-CN"/>
        </w:rPr>
      </w:pPr>
      <w:r>
        <w:rPr>
          <w:rFonts w:hint="eastAsia" w:cs="宋体"/>
          <w:b/>
          <w:bCs/>
          <w:color w:val="auto"/>
          <w:sz w:val="48"/>
          <w:szCs w:val="48"/>
          <w:highlight w:val="none"/>
          <w:lang w:val="en-US" w:eastAsia="zh-CN"/>
        </w:rPr>
        <w:t>手柄项目（二次）</w:t>
      </w:r>
    </w:p>
    <w:p w14:paraId="3041D311">
      <w:pPr>
        <w:pStyle w:val="20"/>
        <w:bidi w:val="0"/>
        <w:jc w:val="center"/>
        <w:rPr>
          <w:rStyle w:val="44"/>
          <w:rFonts w:hint="eastAsia" w:ascii="宋体" w:hAnsi="宋体" w:eastAsia="宋体" w:cs="宋体"/>
          <w:b/>
          <w:bCs/>
          <w:color w:val="auto"/>
          <w:sz w:val="44"/>
          <w:szCs w:val="44"/>
          <w:highlight w:val="none"/>
          <w:lang w:val="en-US" w:eastAsia="zh-CN"/>
        </w:rPr>
      </w:pPr>
    </w:p>
    <w:p w14:paraId="6097FA46">
      <w:pPr>
        <w:pStyle w:val="20"/>
        <w:bidi w:val="0"/>
        <w:jc w:val="center"/>
        <w:rPr>
          <w:rStyle w:val="44"/>
          <w:rFonts w:hint="eastAsia" w:ascii="宋体" w:hAnsi="宋体" w:eastAsia="宋体" w:cs="宋体"/>
          <w:b/>
          <w:bCs/>
          <w:color w:val="auto"/>
          <w:sz w:val="44"/>
          <w:szCs w:val="44"/>
          <w:highlight w:val="none"/>
          <w:lang w:val="en-US" w:eastAsia="zh-CN"/>
        </w:rPr>
      </w:pPr>
    </w:p>
    <w:p w14:paraId="60149E55">
      <w:pPr>
        <w:pStyle w:val="20"/>
        <w:bidi w:val="0"/>
        <w:jc w:val="center"/>
        <w:rPr>
          <w:rStyle w:val="44"/>
          <w:rFonts w:hint="eastAsia" w:ascii="宋体" w:hAnsi="宋体" w:eastAsia="宋体" w:cs="宋体"/>
          <w:b/>
          <w:bCs/>
          <w:color w:val="auto"/>
          <w:sz w:val="44"/>
          <w:szCs w:val="44"/>
          <w:highlight w:val="none"/>
          <w:lang w:val="en-US" w:eastAsia="zh-CN"/>
        </w:rPr>
      </w:pPr>
    </w:p>
    <w:p w14:paraId="72164425">
      <w:pPr>
        <w:pStyle w:val="20"/>
        <w:bidi w:val="0"/>
        <w:jc w:val="center"/>
        <w:rPr>
          <w:rStyle w:val="44"/>
          <w:rFonts w:hint="eastAsia" w:ascii="宋体" w:hAnsi="宋体" w:eastAsia="宋体" w:cs="宋体"/>
          <w:b/>
          <w:bCs/>
          <w:color w:val="auto"/>
          <w:sz w:val="56"/>
          <w:szCs w:val="56"/>
          <w:highlight w:val="none"/>
        </w:rPr>
      </w:pPr>
      <w:r>
        <w:rPr>
          <w:rStyle w:val="44"/>
          <w:rFonts w:hint="eastAsia" w:ascii="宋体" w:hAnsi="宋体" w:eastAsia="宋体" w:cs="宋体"/>
          <w:b/>
          <w:bCs/>
          <w:color w:val="auto"/>
          <w:sz w:val="56"/>
          <w:szCs w:val="56"/>
          <w:highlight w:val="none"/>
          <w:lang w:val="en-US" w:eastAsia="zh-CN"/>
        </w:rPr>
        <w:t>竞争性磋商</w:t>
      </w:r>
      <w:r>
        <w:rPr>
          <w:rStyle w:val="44"/>
          <w:rFonts w:hint="eastAsia" w:ascii="宋体" w:hAnsi="宋体" w:eastAsia="宋体" w:cs="宋体"/>
          <w:b/>
          <w:bCs/>
          <w:color w:val="auto"/>
          <w:sz w:val="56"/>
          <w:szCs w:val="56"/>
          <w:highlight w:val="none"/>
        </w:rPr>
        <w:t>文件</w:t>
      </w:r>
    </w:p>
    <w:p w14:paraId="44E388B3">
      <w:pPr>
        <w:pStyle w:val="20"/>
        <w:bidi w:val="0"/>
        <w:jc w:val="center"/>
        <w:rPr>
          <w:rStyle w:val="44"/>
          <w:rFonts w:hint="eastAsia" w:ascii="宋体" w:hAnsi="宋体" w:eastAsia="宋体" w:cs="宋体"/>
          <w:b/>
          <w:bCs/>
          <w:color w:val="auto"/>
          <w:sz w:val="48"/>
          <w:szCs w:val="48"/>
          <w:highlight w:val="none"/>
        </w:rPr>
      </w:pPr>
    </w:p>
    <w:p w14:paraId="158E927F">
      <w:pPr>
        <w:pStyle w:val="20"/>
        <w:bidi w:val="0"/>
        <w:jc w:val="center"/>
        <w:rPr>
          <w:rStyle w:val="44"/>
          <w:rFonts w:hint="eastAsia" w:ascii="宋体" w:hAnsi="宋体" w:eastAsia="宋体" w:cs="宋体"/>
          <w:b/>
          <w:bCs/>
          <w:color w:val="auto"/>
          <w:sz w:val="48"/>
          <w:szCs w:val="48"/>
          <w:highlight w:val="none"/>
        </w:rPr>
      </w:pPr>
    </w:p>
    <w:p w14:paraId="5ABC8E99">
      <w:pPr>
        <w:pStyle w:val="20"/>
        <w:bidi w:val="0"/>
        <w:jc w:val="center"/>
        <w:rPr>
          <w:rStyle w:val="44"/>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   购   人：驻马店市中心医院</w:t>
      </w:r>
    </w:p>
    <w:p w14:paraId="52889C6C">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cs="宋体"/>
          <w:b/>
          <w:bCs/>
          <w:color w:val="auto"/>
          <w:spacing w:val="-10"/>
          <w:sz w:val="34"/>
          <w:szCs w:val="34"/>
          <w:highlight w:val="none"/>
          <w:lang w:val="en-US" w:eastAsia="zh-CN"/>
        </w:rPr>
        <w:t>驻马店市晨崴采购代理有限公司</w:t>
      </w:r>
    </w:p>
    <w:p w14:paraId="4FCBE59C">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jc w:val="both"/>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期：2026年0</w:t>
      </w:r>
      <w:r>
        <w:rPr>
          <w:rFonts w:hint="eastAsia" w:ascii="宋体" w:hAnsi="宋体" w:cs="宋体"/>
          <w:b/>
          <w:bCs/>
          <w:color w:val="auto"/>
          <w:spacing w:val="-10"/>
          <w:sz w:val="34"/>
          <w:szCs w:val="34"/>
          <w:highlight w:val="none"/>
          <w:lang w:val="en-US" w:eastAsia="zh-CN"/>
        </w:rPr>
        <w:t>9</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0A986C23">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_Toc22522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竞争性磋商采购</w:t>
      </w:r>
      <w:r>
        <w:rPr>
          <w:rFonts w:hint="eastAsia" w:ascii="宋体" w:hAnsi="宋体" w:eastAsia="宋体" w:cs="宋体"/>
          <w:sz w:val="24"/>
          <w:szCs w:val="24"/>
          <w:highlight w:val="none"/>
        </w:rPr>
        <w:t>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_Toc22522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1855FBC2">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_Toc6056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第二章  </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_Toc6056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0BCCEF76">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_Toc3311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_Toc3311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089708F0">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_Toc11217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_Toc11217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16</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2DFA7125">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_Toc16376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_Toc16376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18</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121D3C02">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_Toc10829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_Toc10829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25</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10" w:lineRule="exact"/>
        <w:jc w:val="center"/>
        <w:textAlignment w:val="auto"/>
        <w:outlineLvl w:val="0"/>
        <w:rPr>
          <w:rFonts w:hint="eastAsia" w:ascii="宋体" w:hAnsi="宋体" w:eastAsia="宋体" w:cs="宋体"/>
          <w:b/>
          <w:color w:val="auto"/>
          <w:sz w:val="32"/>
          <w:szCs w:val="32"/>
          <w:highlight w:val="none"/>
        </w:rPr>
      </w:pPr>
      <w:bookmarkStart w:id="2" w:name="_Toc22522"/>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410" w:lineRule="exact"/>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驻马店市中心医院波切超乳一体机配套手柄项目（二次）</w:t>
      </w:r>
    </w:p>
    <w:p w14:paraId="6C730A6D">
      <w:pPr>
        <w:keepNext w:val="0"/>
        <w:keepLines w:val="0"/>
        <w:pageBreakBefore w:val="0"/>
        <w:widowControl/>
        <w:kinsoku/>
        <w:wordWrap/>
        <w:overflowPunct/>
        <w:topLinePunct w:val="0"/>
        <w:autoSpaceDE/>
        <w:autoSpaceDN/>
        <w:bidi w:val="0"/>
        <w:adjustRightInd w:val="0"/>
        <w:snapToGrid w:val="0"/>
        <w:spacing w:afterAutospacing="0" w:line="410" w:lineRule="exact"/>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41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rPr>
        <w:t>波切超乳一体机配套手柄</w:t>
      </w:r>
      <w:r>
        <w:rPr>
          <w:rFonts w:hint="eastAsia" w:ascii="宋体" w:hAnsi="宋体" w:eastAsia="宋体" w:cs="宋体"/>
          <w:color w:val="auto"/>
          <w:sz w:val="24"/>
          <w:szCs w:val="32"/>
          <w:highlight w:val="none"/>
          <w:u w:val="single"/>
          <w:lang w:val="en-US" w:eastAsia="zh-CN"/>
        </w:rPr>
        <w:t>项目</w:t>
      </w:r>
      <w:r>
        <w:rPr>
          <w:rFonts w:hint="eastAsia" w:ascii="宋体" w:hAnsi="宋体" w:cs="宋体"/>
          <w:color w:val="auto"/>
          <w:sz w:val="24"/>
          <w:szCs w:val="32"/>
          <w:highlight w:val="none"/>
          <w:u w:val="single"/>
          <w:lang w:val="en-US" w:eastAsia="zh-CN"/>
        </w:rPr>
        <w:t>（二次）</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驻马店市中心医院波切超乳一体机配套手柄项目（二次）</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37.5万元</w:t>
      </w:r>
      <w:r>
        <w:rPr>
          <w:rFonts w:hint="eastAsia" w:ascii="宋体" w:hAnsi="宋体" w:eastAsia="宋体" w:cs="宋体"/>
          <w:color w:val="auto"/>
          <w:sz w:val="24"/>
          <w:szCs w:val="24"/>
          <w:highlight w:val="none"/>
          <w:shd w:val="clear" w:color="auto" w:fill="FFFFFF"/>
          <w:lang w:val="en-US" w:eastAsia="zh-CN"/>
        </w:rPr>
        <w:t>；</w:t>
      </w:r>
    </w:p>
    <w:p w14:paraId="20C42964">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default" w:ascii="宋体" w:hAnsi="宋体" w:eastAsia="宋体" w:cs="宋体"/>
          <w:color w:val="auto"/>
          <w:kern w:val="2"/>
          <w:sz w:val="24"/>
          <w:szCs w:val="24"/>
          <w:highlight w:val="none"/>
          <w:lang w:val="en-US" w:eastAsia="zh-CN" w:bidi="ar-SA"/>
        </w:rPr>
        <w:t>质量要求：符合国家有关法律法规及行业标准要求，及采购人要求。</w:t>
      </w:r>
    </w:p>
    <w:p w14:paraId="03CB215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23626"/>
      <w:bookmarkStart w:id="5" w:name="_Toc18607"/>
      <w:bookmarkStart w:id="6" w:name="_Toc16639"/>
      <w:bookmarkStart w:id="7" w:name="_Toc27704"/>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bookmarkStart w:id="8" w:name="_Toc7823"/>
      <w:bookmarkStart w:id="9" w:name="_Toc30971"/>
      <w:bookmarkStart w:id="10" w:name="_Toc9562"/>
      <w:bookmarkStart w:id="11" w:name="_Toc30643"/>
      <w:bookmarkStart w:id="12" w:name="_Toc23395"/>
      <w:r>
        <w:rPr>
          <w:rFonts w:hint="eastAsia" w:ascii="宋体" w:hAnsi="宋体" w:eastAsia="宋体" w:cs="宋体"/>
          <w:color w:val="auto"/>
          <w:sz w:val="24"/>
          <w:szCs w:val="24"/>
          <w:highlight w:val="none"/>
          <w:shd w:val="clear" w:color="auto" w:fill="FFFFFF"/>
          <w:lang w:val="en-US" w:eastAsia="zh-CN"/>
        </w:rPr>
        <w:t>1、具有独立承担民事责任的能力（提供营业执照或其他证明材料）；</w:t>
      </w:r>
    </w:p>
    <w:p w14:paraId="6722F338">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65E6AB11">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011E7EC9">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4、具有履行合同所必需的设备和专业技术能力（提供书面承诺函）；</w:t>
      </w:r>
    </w:p>
    <w:p w14:paraId="218C98F6">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24"/>
          <w:highlight w:val="none"/>
          <w:shd w:val="clear" w:color="auto" w:fill="FFFFFF"/>
          <w:lang w:val="en-US" w:eastAsia="zh-CN"/>
        </w:rPr>
        <w:t>5、参加本采购活动前三年内，在经营活动中没有重大违法记录（提供书面承诺函）；</w:t>
      </w:r>
    </w:p>
    <w:p w14:paraId="3F8D40C9">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8218AE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7、单位负责人为同一人或者存在直接控股、管理关系的不同供应商，不得参加同一合同项下的磋商（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提供承诺函</w:t>
      </w:r>
      <w:r>
        <w:rPr>
          <w:rFonts w:hint="eastAsia" w:ascii="宋体" w:hAnsi="宋体" w:eastAsia="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8、本项目特定资格要求：</w:t>
      </w:r>
      <w:r>
        <w:rPr>
          <w:rFonts w:hint="eastAsia" w:ascii="宋体" w:hAnsi="宋体" w:cs="宋体"/>
          <w:color w:val="auto"/>
          <w:sz w:val="24"/>
          <w:szCs w:val="24"/>
          <w:highlight w:val="none"/>
          <w:shd w:val="clear" w:color="auto" w:fill="FFFFFF"/>
          <w:lang w:val="en-US" w:eastAsia="zh-CN"/>
        </w:rPr>
        <w:t>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523822FE">
      <w:pPr>
        <w:keepNext w:val="0"/>
        <w:keepLines w:val="0"/>
        <w:pageBreakBefore w:val="0"/>
        <w:widowControl/>
        <w:numPr>
          <w:ilvl w:val="0"/>
          <w:numId w:val="0"/>
        </w:numPr>
        <w:kinsoku/>
        <w:overflowPunct/>
        <w:topLinePunct w:val="0"/>
        <w:autoSpaceDE/>
        <w:autoSpaceDN/>
        <w:bidi w:val="0"/>
        <w:snapToGrid w:val="0"/>
        <w:spacing w:before="0" w:after="0" w:line="410" w:lineRule="exact"/>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9、不接受联合体磋商。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日-202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11</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eastAsia="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1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w:t>
      </w:r>
      <w:r>
        <w:rPr>
          <w:rFonts w:hint="eastAsia" w:ascii="宋体" w:hAnsi="宋体" w:eastAsia="宋体" w:cs="宋体"/>
          <w:b w:val="0"/>
          <w:bCs w:val="0"/>
          <w:color w:val="auto"/>
          <w:kern w:val="0"/>
          <w:sz w:val="24"/>
          <w:szCs w:val="24"/>
          <w:highlight w:val="none"/>
          <w:shd w:val="clear" w:color="auto" w:fill="FFFFFF"/>
          <w:lang w:val="en-US" w:eastAsia="zh-CN" w:bidi="ar-SA"/>
        </w:rPr>
        <w:t>以下邮箱：</w:t>
      </w:r>
      <w:r>
        <w:rPr>
          <w:rFonts w:hint="eastAsia" w:ascii="宋体" w:hAnsi="宋体" w:eastAsia="宋体" w:cs="宋体"/>
          <w:b w:val="0"/>
          <w:bCs w:val="0"/>
          <w:color w:val="auto"/>
          <w:kern w:val="0"/>
          <w:sz w:val="24"/>
          <w:szCs w:val="24"/>
          <w:highlight w:val="none"/>
          <w:shd w:val="clear" w:color="auto" w:fill="FFFFFF"/>
          <w:lang w:val="en-US" w:eastAsia="zh-CN" w:bidi="ar-SA"/>
        </w:rPr>
        <w:fldChar w:fldCharType="begin"/>
      </w:r>
      <w:r>
        <w:rPr>
          <w:rFonts w:hint="eastAsia" w:ascii="宋体" w:hAnsi="宋体" w:eastAsia="宋体" w:cs="宋体"/>
          <w:b w:val="0"/>
          <w:bCs w:val="0"/>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b w:val="0"/>
          <w:bCs w:val="0"/>
          <w:color w:val="auto"/>
          <w:kern w:val="0"/>
          <w:sz w:val="24"/>
          <w:szCs w:val="24"/>
          <w:highlight w:val="none"/>
          <w:shd w:val="clear" w:color="auto" w:fill="FFFFFF"/>
          <w:lang w:val="en-US" w:eastAsia="zh-CN" w:bidi="ar-SA"/>
        </w:rPr>
        <w:fldChar w:fldCharType="separate"/>
      </w:r>
      <w:r>
        <w:rPr>
          <w:rFonts w:hint="eastAsia" w:ascii="宋体" w:hAnsi="宋体" w:eastAsia="宋体" w:cs="宋体"/>
          <w:b w:val="0"/>
          <w:bCs w:val="0"/>
          <w:color w:val="auto"/>
          <w:kern w:val="0"/>
          <w:sz w:val="24"/>
          <w:szCs w:val="24"/>
          <w:highlight w:val="none"/>
          <w:shd w:val="clear" w:color="auto" w:fill="FFFFFF"/>
          <w:lang w:val="en-US" w:eastAsia="zh-CN" w:bidi="ar-SA"/>
        </w:rPr>
        <w:t>296211948@qq.com,并标明“XX公司XX</w:t>
      </w:r>
      <w:r>
        <w:rPr>
          <w:rFonts w:hint="eastAsia" w:ascii="宋体" w:hAnsi="宋体" w:eastAsia="宋体" w:cs="宋体"/>
          <w:b w:val="0"/>
          <w:bCs w:val="0"/>
          <w:color w:val="auto"/>
          <w:kern w:val="0"/>
          <w:sz w:val="24"/>
          <w:szCs w:val="24"/>
          <w:highlight w:val="none"/>
          <w:shd w:val="clear" w:color="auto" w:fill="FFFFFF"/>
          <w:lang w:val="en-US" w:eastAsia="zh-CN" w:bidi="ar-SA"/>
        </w:rPr>
        <w:fldChar w:fldCharType="end"/>
      </w:r>
      <w:r>
        <w:rPr>
          <w:rFonts w:hint="eastAsia" w:ascii="宋体" w:hAnsi="宋体" w:eastAsia="宋体" w:cs="宋体"/>
          <w:b w:val="0"/>
          <w:bCs w:val="0"/>
          <w:color w:val="auto"/>
          <w:kern w:val="0"/>
          <w:sz w:val="24"/>
          <w:szCs w:val="24"/>
          <w:highlight w:val="none"/>
          <w:shd w:val="clear" w:color="auto" w:fill="FFFFFF"/>
          <w:lang w:val="en-US" w:eastAsia="zh-CN" w:bidi="ar-SA"/>
        </w:rPr>
        <w:t>项目+联系人及电话”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1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25869"/>
      <w:bookmarkStart w:id="14" w:name="_Toc15111"/>
      <w:bookmarkStart w:id="15" w:name="_Toc15135"/>
      <w:bookmarkStart w:id="16" w:name="_Toc10738"/>
      <w:bookmarkStart w:id="17" w:name="_Toc27480"/>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6523"/>
      <w:bookmarkStart w:id="19" w:name="_Toc30918"/>
      <w:bookmarkStart w:id="20" w:name="_Toc29784"/>
      <w:bookmarkStart w:id="21" w:name="_Toc20287"/>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31928"/>
      <w:bookmarkStart w:id="25" w:name="_Toc24274"/>
      <w:bookmarkStart w:id="26" w:name="_Toc3604"/>
      <w:bookmarkStart w:id="27" w:name="_Toc16291"/>
      <w:bookmarkStart w:id="28" w:name="_Toc27370"/>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27A0CA91">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2.采购代理机构：驻马店市晨崴采购代理有限公司</w:t>
      </w:r>
    </w:p>
    <w:p w14:paraId="5BC5E6F3">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 xml:space="preserve">地址：驻马店市解放路西段天腾盛世20号楼1单元3层 </w:t>
      </w:r>
    </w:p>
    <w:p w14:paraId="7A045740">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 xml:space="preserve">联系人：胡女士 </w:t>
      </w:r>
    </w:p>
    <w:p w14:paraId="7B7EA292">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联系方式：0396-2288885</w:t>
      </w:r>
    </w:p>
    <w:p w14:paraId="7B5C0919">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2A935727">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29"/>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日</w:t>
      </w:r>
    </w:p>
    <w:p w14:paraId="2A892718">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29" w:name="_Toc6056"/>
      <w:bookmarkStart w:id="30" w:name="_Toc23793"/>
      <w:bookmarkStart w:id="31" w:name="_Toc29890"/>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29"/>
      <w:bookmarkStart w:id="32" w:name="_Toc9989"/>
      <w:bookmarkStart w:id="33" w:name="_Toc23610"/>
      <w:bookmarkStart w:id="34" w:name="_Toc31536"/>
    </w:p>
    <w:bookmarkEnd w:id="30"/>
    <w:bookmarkEnd w:id="31"/>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驻马店市中心医院波切超乳一体机配套手柄项目（二次）</w:t>
      </w:r>
    </w:p>
    <w:p w14:paraId="774013EF">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一、采购标的清单：</w:t>
      </w:r>
    </w:p>
    <w:tbl>
      <w:tblPr>
        <w:tblStyle w:val="34"/>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3119"/>
        <w:gridCol w:w="1162"/>
        <w:gridCol w:w="1322"/>
        <w:gridCol w:w="1893"/>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161" w:type="dxa"/>
            <w:vAlign w:val="center"/>
          </w:tcPr>
          <w:p w14:paraId="7BB03108">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3119" w:type="dxa"/>
            <w:vAlign w:val="center"/>
          </w:tcPr>
          <w:p w14:paraId="1C818719">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1162" w:type="dxa"/>
            <w:vAlign w:val="center"/>
          </w:tcPr>
          <w:p w14:paraId="2AF52A7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1322" w:type="dxa"/>
            <w:vAlign w:val="center"/>
          </w:tcPr>
          <w:p w14:paraId="78A9F1D6">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893" w:type="dxa"/>
            <w:vAlign w:val="center"/>
          </w:tcPr>
          <w:p w14:paraId="665A7C5C">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资金</w:t>
            </w:r>
          </w:p>
          <w:p w14:paraId="2259F43F">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预算</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161" w:type="dxa"/>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3119"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波切超乳一体机配套手柄</w:t>
            </w:r>
          </w:p>
        </w:tc>
        <w:tc>
          <w:tcPr>
            <w:tcW w:w="1162"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套</w:t>
            </w:r>
          </w:p>
        </w:tc>
        <w:tc>
          <w:tcPr>
            <w:tcW w:w="1322" w:type="dxa"/>
            <w:shd w:val="clear" w:color="auto" w:fill="auto"/>
            <w:vAlign w:val="center"/>
          </w:tcPr>
          <w:p w14:paraId="6E5A7B3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1893" w:type="dxa"/>
            <w:shd w:val="clear" w:color="auto" w:fill="auto"/>
            <w:vAlign w:val="center"/>
          </w:tcPr>
          <w:p w14:paraId="3326862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37.5万元</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61" w:type="dxa"/>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7496" w:type="dxa"/>
            <w:gridSpan w:val="4"/>
            <w:vAlign w:val="center"/>
          </w:tcPr>
          <w:p w14:paraId="777C43F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37.5万元</w:t>
            </w:r>
          </w:p>
        </w:tc>
      </w:tr>
    </w:tbl>
    <w:p w14:paraId="5B16CB8D">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二、技术要求：</w:t>
      </w:r>
    </w:p>
    <w:p w14:paraId="2185D2E5">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★（一）需</w:t>
      </w:r>
      <w:r>
        <w:rPr>
          <w:rFonts w:hint="eastAsia" w:ascii="宋体" w:hAnsi="宋体" w:eastAsia="宋体" w:cs="宋体"/>
          <w:color w:val="auto"/>
          <w:kern w:val="0"/>
          <w:sz w:val="24"/>
          <w:szCs w:val="24"/>
          <w:highlight w:val="none"/>
          <w:lang w:val="zh-CN" w:eastAsia="zh-CN" w:bidi="ar-SA"/>
        </w:rPr>
        <w:t>提供注册证或备案凭证，</w:t>
      </w:r>
      <w:r>
        <w:rPr>
          <w:rFonts w:hint="eastAsia" w:ascii="宋体" w:hAnsi="宋体" w:eastAsia="宋体" w:cs="宋体"/>
          <w:color w:val="auto"/>
          <w:kern w:val="0"/>
          <w:sz w:val="24"/>
          <w:szCs w:val="24"/>
          <w:highlight w:val="none"/>
          <w:lang w:val="en-US" w:eastAsia="zh-CN" w:bidi="ar-SA"/>
        </w:rPr>
        <w:t>如未提供，</w:t>
      </w:r>
      <w:bookmarkStart w:id="79" w:name="_GoBack"/>
      <w:bookmarkEnd w:id="79"/>
      <w:r>
        <w:rPr>
          <w:rFonts w:hint="eastAsia" w:ascii="宋体" w:hAnsi="宋体" w:eastAsia="宋体" w:cs="宋体"/>
          <w:color w:val="auto"/>
          <w:kern w:val="0"/>
          <w:sz w:val="24"/>
          <w:szCs w:val="24"/>
          <w:highlight w:val="none"/>
          <w:lang w:val="en-US" w:eastAsia="zh-CN" w:bidi="ar-SA"/>
        </w:rPr>
        <w:t>则投标无效。</w:t>
      </w:r>
    </w:p>
    <w:p w14:paraId="60566894">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w:t>
      </w:r>
      <w:r>
        <w:rPr>
          <w:rFonts w:hint="eastAsia" w:ascii="宋体" w:hAnsi="宋体" w:eastAsia="宋体" w:cs="宋体"/>
          <w:color w:val="auto"/>
          <w:kern w:val="0"/>
          <w:sz w:val="24"/>
          <w:szCs w:val="24"/>
          <w:highlight w:val="none"/>
          <w:lang w:val="en-US" w:eastAsia="zh-CN" w:bidi="ar-SA"/>
        </w:rPr>
        <w:t>二</w:t>
      </w:r>
      <w:r>
        <w:rPr>
          <w:rFonts w:hint="eastAsia" w:ascii="宋体" w:hAnsi="宋体" w:eastAsia="宋体" w:cs="宋体"/>
          <w:color w:val="auto"/>
          <w:kern w:val="0"/>
          <w:sz w:val="24"/>
          <w:szCs w:val="24"/>
          <w:highlight w:val="none"/>
          <w:lang w:val="zh-CN" w:eastAsia="zh-CN" w:bidi="ar-SA"/>
        </w:rPr>
        <w:t>）本项目采购5套</w:t>
      </w:r>
      <w:r>
        <w:rPr>
          <w:rFonts w:hint="eastAsia" w:ascii="宋体" w:hAnsi="宋体" w:eastAsia="宋体" w:cs="宋体"/>
          <w:color w:val="auto"/>
          <w:kern w:val="0"/>
          <w:sz w:val="24"/>
          <w:szCs w:val="24"/>
          <w:highlight w:val="none"/>
          <w:lang w:val="en-US" w:eastAsia="zh-CN" w:bidi="ar-SA"/>
        </w:rPr>
        <w:t>波切超乳一体机配套手柄</w:t>
      </w:r>
      <w:r>
        <w:rPr>
          <w:rFonts w:hint="eastAsia" w:ascii="宋体" w:hAnsi="宋体" w:eastAsia="宋体" w:cs="宋体"/>
          <w:color w:val="auto"/>
          <w:kern w:val="0"/>
          <w:sz w:val="24"/>
          <w:szCs w:val="24"/>
          <w:highlight w:val="none"/>
          <w:lang w:val="zh-CN" w:eastAsia="zh-CN" w:bidi="ar-SA"/>
        </w:rPr>
        <w:t>，适配现有博士伦BL14334眼科治疗系统（国械注进20173165001），为原厂原装进口，用于眼科超声乳化手术，具体技术要求如下：</w:t>
      </w:r>
    </w:p>
    <w:p w14:paraId="7CB7A348">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1、产品须与现有博士伦BL14334眼科治疗系统完全适配，专机专用；手柄外观整洁、色泽均匀，无划痕、裂缝缺陷，标识文字清晰耐久。</w:t>
      </w:r>
    </w:p>
    <w:p w14:paraId="47E6D87A">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2、基本规格参数</w:t>
      </w:r>
    </w:p>
    <w:p w14:paraId="00D1881A">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2.1 手柄类型：钛合金超声乳化手柄；</w:t>
      </w:r>
    </w:p>
    <w:p w14:paraId="728E5DB9">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2.2 晶片结构：内置六压电晶片设计；</w:t>
      </w:r>
    </w:p>
    <w:p w14:paraId="1E05521E">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2.3 超声频率：</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zh-CN" w:eastAsia="zh-CN" w:bidi="ar-SA"/>
        </w:rPr>
        <w:t>28.5kHz；</w:t>
      </w:r>
    </w:p>
    <w:p w14:paraId="33A1ACA6">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2.4 功率范围：0%-100%，以1%递增；</w:t>
      </w:r>
    </w:p>
    <w:p w14:paraId="79A6ABBF">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2.5 超声冲程：0‑150μm；</w:t>
      </w:r>
    </w:p>
    <w:p w14:paraId="63067EE5">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2.6 最大功率：35瓦特；</w:t>
      </w:r>
    </w:p>
    <w:p w14:paraId="5E2D0BC2">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2.7 灌注接头：</w:t>
      </w:r>
      <w:r>
        <w:rPr>
          <w:rFonts w:hint="eastAsia" w:ascii="宋体" w:hAnsi="宋体" w:eastAsia="宋体" w:cs="宋体"/>
          <w:color w:val="auto"/>
          <w:kern w:val="0"/>
          <w:sz w:val="24"/>
          <w:szCs w:val="24"/>
          <w:highlight w:val="none"/>
          <w:u w:val="none"/>
          <w:lang w:val="zh-CN" w:eastAsia="zh-CN" w:bidi="ar-SA"/>
        </w:rPr>
        <w:t>SureLock（</w:t>
      </w:r>
      <w:r>
        <w:rPr>
          <w:rFonts w:hint="eastAsia" w:ascii="宋体" w:hAnsi="宋体" w:eastAsia="宋体" w:cs="宋体"/>
          <w:color w:val="auto"/>
          <w:kern w:val="0"/>
          <w:sz w:val="24"/>
          <w:szCs w:val="24"/>
          <w:highlight w:val="none"/>
          <w:u w:val="none"/>
          <w:lang w:val="en-US" w:eastAsia="zh-CN" w:bidi="ar-SA"/>
        </w:rPr>
        <w:t>适用于博士伦</w:t>
      </w:r>
      <w:r>
        <w:rPr>
          <w:rFonts w:hint="eastAsia" w:ascii="宋体" w:hAnsi="宋体" w:eastAsia="宋体" w:cs="宋体"/>
          <w:color w:val="auto"/>
          <w:kern w:val="0"/>
          <w:sz w:val="24"/>
          <w:szCs w:val="24"/>
          <w:highlight w:val="none"/>
          <w:u w:val="none"/>
          <w:lang w:val="zh-CN" w:eastAsia="zh-CN" w:bidi="ar-SA"/>
        </w:rPr>
        <w:t>）</w:t>
      </w:r>
      <w:r>
        <w:rPr>
          <w:rFonts w:hint="eastAsia" w:ascii="宋体" w:hAnsi="宋体" w:eastAsia="宋体" w:cs="宋体"/>
          <w:color w:val="auto"/>
          <w:kern w:val="0"/>
          <w:sz w:val="24"/>
          <w:szCs w:val="24"/>
          <w:highlight w:val="none"/>
          <w:lang w:val="zh-CN" w:eastAsia="zh-CN" w:bidi="ar-SA"/>
        </w:rPr>
        <w:t>可锁定灌注接头，消除术中管线意外断开风险；</w:t>
      </w:r>
    </w:p>
    <w:p w14:paraId="01BE8B2E">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2.8 手柄材质：轻质钛合金材料；</w:t>
      </w:r>
    </w:p>
    <w:p w14:paraId="2514F005">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3、切口适配：支持3.2mm常规切口、2.8mm常规切口、2.2mm微切口、1.8mm微切口手术。</w:t>
      </w:r>
    </w:p>
    <w:p w14:paraId="33F3D6AC">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4、超声输出模式：支持连续超声模式、脉冲超声模式、固定爆破超声模式、单爆破超声模式、多重爆破超声模式五种模式。</w:t>
      </w:r>
    </w:p>
    <w:p w14:paraId="2EAE35B8">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5、脉冲模式参数：脉冲频率1‑250次/秒（1‑250pps）；占空比5%‑95%，以1%递增。</w:t>
      </w:r>
    </w:p>
    <w:p w14:paraId="4A751C47">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6、爆破模式参数：脉宽范围2‑600毫秒。</w:t>
      </w:r>
    </w:p>
    <w:p w14:paraId="49620756">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lang w:val="zh-CN" w:eastAsia="zh-CN"/>
        </w:rPr>
      </w:pPr>
      <w:r>
        <w:rPr>
          <w:rFonts w:hint="eastAsia" w:ascii="宋体" w:hAnsi="宋体" w:eastAsia="宋体" w:cs="宋体"/>
          <w:color w:val="auto"/>
          <w:kern w:val="0"/>
          <w:sz w:val="24"/>
          <w:szCs w:val="24"/>
          <w:highlight w:val="none"/>
          <w:lang w:val="zh-CN" w:eastAsia="zh-CN" w:bidi="ar-SA"/>
        </w:rPr>
        <w:t>7、灭菌要求：可重复使用；支持121℃包裹30分钟标准重力蒸汽灭菌；支持131℃不包裹遮盖10分钟高温瞬时灭菌。</w:t>
      </w:r>
    </w:p>
    <w:p w14:paraId="7B85340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8、单套配置：超乳手柄主体1把（原装进口钛合金六晶片）、原装进口超乳针头1个、</w:t>
      </w:r>
      <w:r>
        <w:rPr>
          <w:rFonts w:hint="eastAsia" w:ascii="宋体" w:hAnsi="宋体" w:eastAsia="宋体" w:cs="宋体"/>
          <w:color w:val="auto"/>
          <w:kern w:val="0"/>
          <w:sz w:val="24"/>
          <w:szCs w:val="24"/>
          <w:highlight w:val="none"/>
          <w:lang w:val="en-US" w:eastAsia="zh-CN" w:bidi="ar-SA"/>
        </w:rPr>
        <w:t>IA注吸手柄1个、</w:t>
      </w:r>
      <w:r>
        <w:rPr>
          <w:rFonts w:hint="eastAsia" w:ascii="宋体" w:hAnsi="宋体" w:eastAsia="宋体" w:cs="宋体"/>
          <w:color w:val="auto"/>
          <w:kern w:val="0"/>
          <w:sz w:val="24"/>
          <w:szCs w:val="24"/>
          <w:highlight w:val="none"/>
          <w:lang w:val="zh-CN" w:eastAsia="zh-CN" w:bidi="ar-SA"/>
        </w:rPr>
        <w:t>产品说明书1份、产品合格证明1份；超乳针头为原厂配套，针头规格可按临床需求选择。</w:t>
      </w:r>
    </w:p>
    <w:p w14:paraId="61DDBA49">
      <w:pPr>
        <w:widowControl w:val="0"/>
        <w:numPr>
          <w:ilvl w:val="0"/>
          <w:numId w:val="0"/>
        </w:numPr>
        <w:spacing w:line="192" w:lineRule="auto"/>
        <w:jc w:val="both"/>
        <w:rPr>
          <w:rFonts w:hint="default" w:ascii="宋体" w:hAnsi="宋体" w:eastAsia="宋体" w:cs="宋体"/>
          <w:b/>
          <w:bCs/>
          <w:color w:val="auto"/>
          <w:kern w:val="2"/>
          <w:sz w:val="24"/>
          <w:szCs w:val="24"/>
          <w:highlight w:val="none"/>
          <w:lang w:val="en-US" w:eastAsia="zh-CN" w:bidi="ar-SA"/>
        </w:rPr>
      </w:pPr>
    </w:p>
    <w:p w14:paraId="43D05592">
      <w:pPr>
        <w:pStyle w:val="50"/>
        <w:rPr>
          <w:rFonts w:hint="eastAsia" w:ascii="宋体" w:hAnsi="宋体" w:eastAsia="宋体" w:cs="宋体"/>
          <w:b/>
          <w:bCs/>
          <w:color w:val="auto"/>
          <w:kern w:val="2"/>
          <w:sz w:val="21"/>
          <w:szCs w:val="24"/>
          <w:highlight w:val="none"/>
          <w:lang w:val="en-US" w:eastAsia="zh-CN" w:bidi="ar-SA"/>
        </w:rPr>
      </w:pPr>
    </w:p>
    <w:p w14:paraId="33C283D1">
      <w:pPr>
        <w:pStyle w:val="50"/>
        <w:rPr>
          <w:rFonts w:hint="eastAsia" w:ascii="宋体" w:hAnsi="宋体" w:eastAsia="宋体" w:cs="宋体"/>
          <w:b/>
          <w:bCs/>
          <w:color w:val="auto"/>
          <w:kern w:val="2"/>
          <w:sz w:val="21"/>
          <w:szCs w:val="24"/>
          <w:highlight w:val="none"/>
          <w:lang w:val="en-US" w:eastAsia="zh-CN" w:bidi="ar-SA"/>
        </w:rPr>
      </w:pPr>
    </w:p>
    <w:p w14:paraId="74F98024">
      <w:pPr>
        <w:pStyle w:val="50"/>
        <w:rPr>
          <w:rFonts w:hint="eastAsia" w:ascii="宋体" w:hAnsi="宋体" w:eastAsia="宋体" w:cs="宋体"/>
          <w:b/>
          <w:bCs/>
          <w:color w:val="auto"/>
          <w:kern w:val="2"/>
          <w:sz w:val="21"/>
          <w:szCs w:val="24"/>
          <w:highlight w:val="none"/>
          <w:lang w:val="en-US" w:eastAsia="zh-CN" w:bidi="ar-SA"/>
        </w:rPr>
      </w:pPr>
    </w:p>
    <w:p w14:paraId="659CA43B">
      <w:pPr>
        <w:pStyle w:val="50"/>
        <w:rPr>
          <w:rFonts w:hint="eastAsia" w:ascii="宋体" w:hAnsi="宋体" w:eastAsia="宋体" w:cs="宋体"/>
          <w:b/>
          <w:bCs/>
          <w:color w:val="auto"/>
          <w:kern w:val="2"/>
          <w:sz w:val="21"/>
          <w:szCs w:val="24"/>
          <w:highlight w:val="none"/>
          <w:lang w:val="en-US" w:eastAsia="zh-CN" w:bidi="ar-SA"/>
        </w:rPr>
      </w:pPr>
    </w:p>
    <w:p w14:paraId="727F706D">
      <w:pPr>
        <w:pStyle w:val="50"/>
        <w:rPr>
          <w:rFonts w:hint="eastAsia" w:ascii="宋体" w:hAnsi="宋体" w:eastAsia="宋体" w:cs="宋体"/>
          <w:b/>
          <w:bCs/>
          <w:color w:val="auto"/>
          <w:kern w:val="2"/>
          <w:sz w:val="21"/>
          <w:szCs w:val="24"/>
          <w:highlight w:val="none"/>
          <w:lang w:val="en-US" w:eastAsia="zh-CN" w:bidi="ar-SA"/>
        </w:rPr>
      </w:pPr>
    </w:p>
    <w:p w14:paraId="7F72A25C">
      <w:pPr>
        <w:pStyle w:val="50"/>
        <w:rPr>
          <w:rFonts w:hint="eastAsia" w:ascii="宋体" w:hAnsi="宋体" w:eastAsia="宋体" w:cs="宋体"/>
          <w:b/>
          <w:bCs/>
          <w:color w:val="auto"/>
          <w:kern w:val="2"/>
          <w:sz w:val="21"/>
          <w:szCs w:val="24"/>
          <w:highlight w:val="none"/>
          <w:lang w:val="en-US" w:eastAsia="zh-CN" w:bidi="ar-SA"/>
        </w:rPr>
      </w:pPr>
    </w:p>
    <w:p w14:paraId="1CA51610">
      <w:pPr>
        <w:pStyle w:val="50"/>
        <w:rPr>
          <w:rFonts w:hint="eastAsia" w:ascii="宋体" w:hAnsi="宋体" w:eastAsia="宋体" w:cs="宋体"/>
          <w:b/>
          <w:bCs/>
          <w:color w:val="auto"/>
          <w:kern w:val="2"/>
          <w:sz w:val="21"/>
          <w:szCs w:val="24"/>
          <w:highlight w:val="none"/>
          <w:lang w:val="en-US" w:eastAsia="zh-CN" w:bidi="ar-SA"/>
        </w:rPr>
      </w:pPr>
    </w:p>
    <w:p w14:paraId="09B93D72">
      <w:pPr>
        <w:pStyle w:val="50"/>
        <w:rPr>
          <w:rFonts w:hint="eastAsia" w:ascii="宋体" w:hAnsi="宋体" w:eastAsia="宋体" w:cs="宋体"/>
          <w:b/>
          <w:bCs/>
          <w:color w:val="auto"/>
          <w:kern w:val="2"/>
          <w:sz w:val="21"/>
          <w:szCs w:val="24"/>
          <w:highlight w:val="none"/>
          <w:lang w:val="en-US" w:eastAsia="zh-CN" w:bidi="ar-SA"/>
        </w:r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3"/>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497AF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01AE7584">
            <w:pPr>
              <w:pStyle w:val="15"/>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27E332A3">
            <w:pPr>
              <w:pStyle w:val="15"/>
              <w:keepNext w:val="0"/>
              <w:keepLines w:val="0"/>
              <w:pageBreakBefore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采购人指定地点</w:t>
            </w:r>
            <w:r>
              <w:rPr>
                <w:rFonts w:hint="eastAsia" w:cs="宋体"/>
                <w:b w:val="0"/>
                <w:bCs w:val="0"/>
                <w:i w:val="0"/>
                <w:iCs/>
                <w:color w:val="auto"/>
                <w:kern w:val="2"/>
                <w:sz w:val="24"/>
                <w:szCs w:val="24"/>
                <w:highlight w:val="none"/>
                <w:u w:val="none"/>
                <w:lang w:val="en-US" w:eastAsia="zh-CN" w:bidi="ar-SA"/>
              </w:rPr>
              <w:t>。</w:t>
            </w:r>
          </w:p>
        </w:tc>
      </w:tr>
      <w:tr w14:paraId="07EA8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7A677B3">
            <w:pPr>
              <w:pStyle w:val="15"/>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7626650E">
            <w:pPr>
              <w:pStyle w:val="15"/>
              <w:keepNext w:val="0"/>
              <w:keepLines w:val="0"/>
              <w:pageBreakBefore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整体质保期1年；质保期内出现质量问题，供应商执行包修、包换、包退三包服务；因产品质量问题无法正常使用的，无条件更换新品。</w:t>
            </w:r>
          </w:p>
        </w:tc>
      </w:tr>
      <w:tr w14:paraId="3FD0C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5BBA150">
            <w:pPr>
              <w:pStyle w:val="15"/>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付款</w:t>
            </w:r>
            <w:r>
              <w:rPr>
                <w:rFonts w:hint="eastAsia" w:cs="宋体"/>
                <w:b w:val="0"/>
                <w:bCs w:val="0"/>
                <w:i w:val="0"/>
                <w:iCs/>
                <w:color w:val="auto"/>
                <w:kern w:val="2"/>
                <w:sz w:val="24"/>
                <w:szCs w:val="24"/>
                <w:highlight w:val="none"/>
                <w:u w:val="none"/>
                <w:lang w:val="en-US" w:eastAsia="zh-CN" w:bidi="ar-SA"/>
              </w:rPr>
              <w:t>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7D53901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产品全部到货、安装调试完成、验收合格后按采购合同约定支付合同款项。</w:t>
            </w:r>
          </w:p>
        </w:tc>
      </w:tr>
      <w:tr w14:paraId="425CA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FC3DC85">
            <w:pPr>
              <w:pStyle w:val="15"/>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4101680E">
            <w:pPr>
              <w:pStyle w:val="15"/>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zh-CN"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r>
              <w:rPr>
                <w:rFonts w:hint="eastAsia" w:ascii="宋体" w:hAnsi="宋体" w:eastAsia="宋体" w:cs="宋体"/>
                <w:b w:val="0"/>
                <w:bCs w:val="0"/>
                <w:i w:val="0"/>
                <w:iCs/>
                <w:color w:val="auto"/>
                <w:kern w:val="2"/>
                <w:sz w:val="24"/>
                <w:szCs w:val="24"/>
                <w:highlight w:val="none"/>
                <w:u w:val="none"/>
                <w:lang w:val="zh-CN" w:eastAsia="zh-CN" w:bidi="ar-SA"/>
              </w:rPr>
              <w:t>安装调试：供应商负责完成手柄调试校准，保障产品验收合格投入临床使用；提供产品彩页及全套资质证件。</w:t>
            </w:r>
          </w:p>
          <w:p w14:paraId="16DDD8DE">
            <w:pPr>
              <w:pStyle w:val="15"/>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2.</w:t>
            </w:r>
            <w:r>
              <w:rPr>
                <w:rFonts w:hint="eastAsia" w:ascii="宋体" w:hAnsi="宋体" w:eastAsia="宋体" w:cs="宋体"/>
                <w:b w:val="0"/>
                <w:bCs w:val="0"/>
                <w:i w:val="0"/>
                <w:iCs/>
                <w:color w:val="auto"/>
                <w:kern w:val="2"/>
                <w:sz w:val="24"/>
                <w:szCs w:val="24"/>
                <w:highlight w:val="none"/>
                <w:u w:val="none"/>
                <w:lang w:val="zh-CN" w:eastAsia="zh-CN" w:bidi="ar-SA"/>
              </w:rPr>
              <w:t>包装和运输：</w:t>
            </w:r>
            <w:r>
              <w:rPr>
                <w:rFonts w:hint="eastAsia" w:ascii="宋体" w:hAnsi="宋体" w:eastAsia="宋体" w:cs="宋体"/>
                <w:b w:val="0"/>
                <w:bCs w:val="0"/>
                <w:i w:val="0"/>
                <w:iCs/>
                <w:color w:val="auto"/>
                <w:kern w:val="2"/>
                <w:sz w:val="24"/>
                <w:szCs w:val="24"/>
                <w:highlight w:val="none"/>
                <w:u w:val="none"/>
                <w:lang w:val="en-US" w:eastAsia="zh-CN" w:bidi="ar-SA"/>
              </w:rPr>
              <w:t>成交供应商</w:t>
            </w:r>
            <w:r>
              <w:rPr>
                <w:rFonts w:hint="eastAsia" w:ascii="宋体" w:hAnsi="宋体" w:eastAsia="宋体" w:cs="宋体"/>
                <w:b w:val="0"/>
                <w:bCs w:val="0"/>
                <w:i w:val="0"/>
                <w:iCs/>
                <w:color w:val="auto"/>
                <w:kern w:val="2"/>
                <w:sz w:val="24"/>
                <w:szCs w:val="24"/>
                <w:highlight w:val="none"/>
                <w:u w:val="none"/>
                <w:lang w:val="zh-CN" w:eastAsia="zh-CN" w:bidi="ar-SA"/>
              </w:rPr>
              <w:t>承担全部包装、运输费用，保证货物完好无损送达指定地点。</w:t>
            </w:r>
          </w:p>
        </w:tc>
      </w:tr>
    </w:tbl>
    <w:p w14:paraId="04DB6253">
      <w:pPr>
        <w:pStyle w:val="16"/>
        <w:rPr>
          <w:rFonts w:hint="eastAsia" w:ascii="宋体" w:hAnsi="宋体" w:eastAsia="宋体" w:cs="宋体"/>
          <w:color w:val="auto"/>
          <w:highlight w:val="none"/>
        </w:rPr>
      </w:pPr>
    </w:p>
    <w:p w14:paraId="6B985271">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043827F2">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采购人对项目的特殊要求及说明</w:t>
      </w:r>
    </w:p>
    <w:tbl>
      <w:tblPr>
        <w:tblStyle w:val="33"/>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00DB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535ACF60">
            <w:pPr>
              <w:widowControl/>
              <w:numPr>
                <w:ilvl w:val="0"/>
                <w:numId w:val="0"/>
              </w:numPr>
              <w:snapToGrid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204B6284">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7A28925C">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质量要求：供应商所提供的货物，若属于医疗器械，则必须与医疗器械注册证或备案及附件所限定的内容保持一致，并符合《医疗器械监督管理条例》的相关要求；若不属于医疗器械，则需符合相关行业标准、法律法规，且供货渠道合法。所有货物须为全新原装合格正品（包括零部件），如安装或配置软件，则必须使用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认证产品）的，该产品应具有由认证机构颁发给制造商的该产品强制性认证证书。 </w:t>
            </w:r>
          </w:p>
          <w:p w14:paraId="56290533">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人使用成交供应商成交的货物、技术、资料、服务或其他任何一部分时，享有无偿使用权。免受第三方提出的侵犯其专利权、著作权、商标权或其它知识产权的起诉。如果第三方提出侵权指控，成交供应商应承担由此而引起的一切法律责任和费用。</w:t>
            </w:r>
          </w:p>
          <w:p w14:paraId="77224DAC">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4.商品包装和快递包装应符合《商品包装政府采购需求标准（试行）》和《快递包装政府采购需求标准（试行）》规定。</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331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3"/>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37.5万元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37.5万元</w:t>
            </w:r>
            <w:r>
              <w:rPr>
                <w:rFonts w:hint="eastAsia" w:ascii="宋体" w:hAnsi="宋体" w:eastAsia="宋体" w:cs="宋体"/>
                <w:color w:val="auto"/>
                <w:sz w:val="24"/>
                <w:szCs w:val="32"/>
                <w:highlight w:val="none"/>
                <w:lang w:val="en-US" w:eastAsia="zh-CN"/>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以人民币报价。</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eastAsia="宋体" w:cs="宋体"/>
                <w:color w:val="auto"/>
                <w:kern w:val="0"/>
                <w:sz w:val="24"/>
                <w:szCs w:val="24"/>
                <w:highlight w:val="none"/>
                <w:lang w:val="en-US" w:eastAsia="zh-CN"/>
              </w:rPr>
              <w:t>代理服务费不得高于《招代理机构服务管理暂行办法》（计价格[2002]1980号）相应标准：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eastAsia" w:ascii="宋体" w:hAnsi="宋体" w:eastAsia="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eastAsia="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eastAsia="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3379647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bookmarkStart w:id="36" w:name="_Toc4700"/>
      <w:bookmarkStart w:id="37" w:name="_Toc16669"/>
    </w:p>
    <w:p w14:paraId="5912E8C0">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eastAsia="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eastAsia="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 货物：供应商按采购文件规定向采购人提供的一切设备、机械、仪器仪表、备品备件、工具、手册及其它有关技术资料和材料。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3.1具有独立承担民事责任的能力（提供营业执照或其他证明材料）；</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3.2具有良好的商业信誉和健全的财务会计制度（提供经审计的2025年度财务报告或者其基本开户银行出具的资信证明）；</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3.4具有履行合同所必需的设备和专业技术能力（提供书面承诺函）；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color="auto" w:fill="FFFFFF"/>
          <w:lang w:val="en-US" w:eastAsia="zh-CN"/>
        </w:rPr>
        <w:t>3.5参加本采购活动前三年内，在经营活动中没有重大违法记录（提供书面承诺函）；</w:t>
      </w:r>
    </w:p>
    <w:p w14:paraId="18593B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3.7单位负责人为同一人或者存在直接控股、管理关系的不同供应商，不得参加同一合同项下的磋商（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提供承诺函</w:t>
      </w:r>
      <w:r>
        <w:rPr>
          <w:rFonts w:hint="eastAsia" w:ascii="宋体" w:hAnsi="宋体" w:eastAsia="宋体" w:cs="宋体"/>
          <w:color w:val="auto"/>
          <w:sz w:val="24"/>
          <w:szCs w:val="24"/>
          <w:highlight w:val="none"/>
          <w:shd w:val="clear" w:color="auto" w:fill="FFFFFF"/>
          <w:lang w:val="en-US" w:eastAsia="zh-CN"/>
        </w:rPr>
        <w:t>）。</w:t>
      </w:r>
    </w:p>
    <w:p w14:paraId="4470B8C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3.8本项目特定资格要求：</w:t>
      </w:r>
      <w:r>
        <w:rPr>
          <w:rFonts w:hint="eastAsia" w:ascii="宋体" w:hAnsi="宋体" w:cs="宋体"/>
          <w:color w:val="auto"/>
          <w:sz w:val="24"/>
          <w:szCs w:val="24"/>
          <w:highlight w:val="none"/>
          <w:shd w:val="clear" w:color="auto" w:fill="FFFFFF"/>
          <w:lang w:val="en-US" w:eastAsia="zh-CN"/>
        </w:rPr>
        <w:t>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w:t>
      </w:r>
      <w:r>
        <w:rPr>
          <w:rFonts w:hint="eastAsia" w:ascii="宋体" w:hAnsi="宋体" w:cs="宋体"/>
          <w:color w:val="auto"/>
          <w:kern w:val="0"/>
          <w:sz w:val="24"/>
          <w:szCs w:val="24"/>
          <w:highlight w:val="none"/>
          <w:lang w:val="en-US" w:eastAsia="zh-CN"/>
        </w:rPr>
        <w:t>六十五</w:t>
      </w:r>
      <w:r>
        <w:rPr>
          <w:rFonts w:hint="eastAsia" w:ascii="宋体" w:hAnsi="宋体" w:eastAsia="宋体" w:cs="宋体"/>
          <w:color w:val="auto"/>
          <w:kern w:val="0"/>
          <w:sz w:val="24"/>
          <w:szCs w:val="24"/>
          <w:highlight w:val="none"/>
        </w:rPr>
        <w:t>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7.2</w:t>
      </w:r>
      <w:r>
        <w:rPr>
          <w:rFonts w:hint="eastAsia" w:ascii="宋体" w:hAnsi="宋体" w:eastAsia="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eastAsia="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eastAsia="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eastAsia="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8.2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eastAsia="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13.3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eastAsia="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eastAsia="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eastAsia="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17.2</w:t>
      </w:r>
      <w:r>
        <w:rPr>
          <w:rFonts w:hint="eastAsia" w:ascii="宋体" w:hAnsi="宋体" w:eastAsia="宋体" w:cs="宋体"/>
          <w:color w:val="auto"/>
          <w:sz w:val="24"/>
          <w:szCs w:val="24"/>
          <w:highlight w:val="none"/>
          <w:lang w:eastAsia="zh-CN"/>
        </w:rPr>
        <w:t xml:space="preserve"> 未按本章第</w:t>
      </w: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21.1.1响应文件</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16DDBDD7">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.3 符合性检查。依据</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文件的规定，</w:t>
      </w:r>
      <w:r>
        <w:rPr>
          <w:rFonts w:hint="eastAsia" w:ascii="宋体" w:hAnsi="宋体" w:eastAsia="宋体" w:cs="宋体"/>
          <w:b/>
          <w:bCs/>
          <w:color w:val="auto"/>
          <w:kern w:val="0"/>
          <w:sz w:val="24"/>
          <w:szCs w:val="24"/>
          <w:highlight w:val="none"/>
          <w:lang w:eastAsia="zh-CN"/>
        </w:rPr>
        <w:t>磋商小组</w:t>
      </w:r>
      <w:r>
        <w:rPr>
          <w:rFonts w:hint="eastAsia" w:ascii="宋体" w:hAnsi="宋体" w:eastAsia="宋体" w:cs="宋体"/>
          <w:b/>
          <w:bCs/>
          <w:color w:val="auto"/>
          <w:kern w:val="0"/>
          <w:sz w:val="24"/>
          <w:szCs w:val="24"/>
          <w:highlight w:val="none"/>
        </w:rPr>
        <w:t>将从</w:t>
      </w:r>
      <w:r>
        <w:rPr>
          <w:rFonts w:hint="eastAsia" w:ascii="宋体" w:hAnsi="宋体" w:eastAsia="宋体" w:cs="宋体"/>
          <w:b/>
          <w:bCs/>
          <w:color w:val="auto"/>
          <w:sz w:val="24"/>
          <w:szCs w:val="24"/>
          <w:highlight w:val="none"/>
          <w:shd w:val="clear" w:color="auto" w:fill="FFFFFF"/>
          <w:lang w:val="en-US" w:eastAsia="zh-CN"/>
        </w:rPr>
        <w:t>响应文件</w:t>
      </w:r>
      <w:r>
        <w:rPr>
          <w:rFonts w:hint="eastAsia" w:ascii="宋体" w:hAnsi="宋体" w:eastAsia="宋体" w:cs="宋体"/>
          <w:b/>
          <w:bCs/>
          <w:color w:val="auto"/>
          <w:kern w:val="0"/>
          <w:sz w:val="24"/>
          <w:szCs w:val="24"/>
          <w:highlight w:val="none"/>
        </w:rPr>
        <w:t>的有效性、完整性和对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文件的响应程度进行审查，以确定是否符合对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文件的实质性要求作出响应。对没有实质性响应的</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文件将不进行评估，其投标被作为无效</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。凡有下列情况之一者，</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文件也将被视为未实质性响应</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29"/>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21.4磋商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 xml:space="preserve">21.4.1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 xml:space="preserve">21.4.2 </w:t>
      </w:r>
      <w:r>
        <w:rPr>
          <w:rFonts w:hint="eastAsia" w:ascii="宋体" w:hAnsi="宋体" w:eastAsia="宋体" w:cs="宋体"/>
          <w:b/>
          <w:bCs/>
          <w:color w:val="auto"/>
          <w:sz w:val="24"/>
          <w:szCs w:val="24"/>
          <w:highlight w:val="none"/>
          <w:lang w:val="en-US" w:eastAsia="zh-CN"/>
        </w:rPr>
        <w:t>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eastAsia="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eastAsia="宋体" w:cs="宋体"/>
          <w:b/>
          <w:bCs/>
          <w:color w:val="auto"/>
          <w:kern w:val="0"/>
          <w:sz w:val="24"/>
          <w:szCs w:val="24"/>
          <w:highlight w:val="none"/>
          <w:lang w:eastAsia="zh-CN"/>
        </w:rPr>
        <w:t>成交</w:t>
      </w:r>
      <w:r>
        <w:rPr>
          <w:rFonts w:hint="eastAsia" w:ascii="宋体" w:hAnsi="宋体" w:eastAsia="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eastAsia="zh-CN"/>
        </w:rPr>
        <w:t>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eastAsia="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11217"/>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3"/>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0CCD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5881B25A">
            <w:pPr>
              <w:keepNext w:val="0"/>
              <w:keepLines w:val="0"/>
              <w:pageBreakBefore w:val="0"/>
              <w:widowControl w:val="0"/>
              <w:tabs>
                <w:tab w:val="left" w:pos="300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7579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23A38E4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r>
              <w:rPr>
                <w:rFonts w:hint="eastAsia" w:ascii="宋体" w:hAnsi="宋体" w:cs="宋体"/>
                <w:b w:val="0"/>
                <w:bCs w:val="0"/>
                <w:color w:val="auto"/>
                <w:sz w:val="24"/>
                <w:szCs w:val="24"/>
                <w:highlight w:val="none"/>
                <w:lang w:eastAsia="zh-CN"/>
              </w:rPr>
              <w:t>）</w:t>
            </w:r>
          </w:p>
        </w:tc>
        <w:tc>
          <w:tcPr>
            <w:tcW w:w="8243" w:type="dxa"/>
            <w:gridSpan w:val="2"/>
            <w:noWrap w:val="0"/>
            <w:vAlign w:val="center"/>
          </w:tcPr>
          <w:p w14:paraId="18520EC3">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74AD076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7BD55AF8">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30516F29">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r>
      <w:tr w14:paraId="0C1F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1239" w:type="dxa"/>
            <w:vMerge w:val="restart"/>
            <w:noWrap w:val="0"/>
            <w:vAlign w:val="center"/>
          </w:tcPr>
          <w:p w14:paraId="5DCB2F59">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52</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1253E67C">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40</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7E3BC0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ascii="宋体" w:hAnsi="宋体" w:eastAsia="宋体" w:cs="宋体"/>
                <w:sz w:val="24"/>
                <w:szCs w:val="24"/>
                <w:highlight w:val="none"/>
              </w:rPr>
              <w:t>供应商对照磋商文件第二章采购需求“二、技术要求”对所投产品技术参数、性能及产品功能进行响应。带★为实质性技术参数，该类参数不参与本项打分，不满足的作无效响应处理；其余技术参数全部满足磋商文件要求得40分；</w:t>
            </w:r>
            <w:r>
              <w:rPr>
                <w:rFonts w:hint="eastAsia" w:ascii="宋体" w:hAnsi="宋体" w:eastAsia="宋体" w:cs="宋体"/>
                <w:color w:val="auto"/>
                <w:sz w:val="24"/>
                <w:szCs w:val="24"/>
                <w:highlight w:val="none"/>
                <w:lang w:val="en-US" w:eastAsia="zh-CN"/>
              </w:rPr>
              <w:t>有一项不满足的扣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分；如得分为0，则磋商无效。</w:t>
            </w:r>
          </w:p>
          <w:p w14:paraId="218160B7">
            <w:pPr>
              <w:pageBreakBefore w:val="0"/>
              <w:widowControl/>
              <w:kinsoku/>
              <w:wordWrap/>
              <w:overflowPunct/>
              <w:topLinePunct w:val="0"/>
              <w:bidi w:val="0"/>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cs="宋体"/>
                <w:color w:val="auto"/>
                <w:sz w:val="24"/>
                <w:szCs w:val="24"/>
                <w:highlight w:val="none"/>
              </w:rPr>
              <w:t>供应商需如实填写技术偏离表，并标注偏离情况。</w:t>
            </w:r>
          </w:p>
        </w:tc>
      </w:tr>
      <w:tr w14:paraId="25BB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1239" w:type="dxa"/>
            <w:vMerge w:val="continue"/>
            <w:noWrap w:val="0"/>
            <w:vAlign w:val="center"/>
          </w:tcPr>
          <w:p w14:paraId="33974205">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B9B1E08">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2.产品综合评议（6分）</w:t>
            </w:r>
          </w:p>
        </w:tc>
        <w:tc>
          <w:tcPr>
            <w:tcW w:w="6770" w:type="dxa"/>
            <w:noWrap w:val="0"/>
            <w:vAlign w:val="center"/>
          </w:tcPr>
          <w:p w14:paraId="1F17E192">
            <w:pPr>
              <w:pageBreakBefore w:val="0"/>
              <w:kinsoku/>
              <w:wordWrap/>
              <w:overflowPunct/>
              <w:topLinePunct w:val="0"/>
              <w:bidi w:val="0"/>
              <w:spacing w:line="360" w:lineRule="exact"/>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指标能够最大程度满足采购需求，使用的材料耐用可靠、配套设备齐全且适配性强、生产技术先进、耐用性强，能有效保障治疗效果的得6分；产品整体性能一般的得3分；整体性能较差得1分。</w:t>
            </w:r>
          </w:p>
        </w:tc>
      </w:tr>
      <w:tr w14:paraId="4CE0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239" w:type="dxa"/>
            <w:vMerge w:val="continue"/>
            <w:noWrap w:val="0"/>
            <w:vAlign w:val="center"/>
          </w:tcPr>
          <w:p w14:paraId="6AF1650E">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05AF3BEA">
            <w:pPr>
              <w:widowControl/>
              <w:spacing w:line="440" w:lineRule="exact"/>
              <w:jc w:val="center"/>
              <w:rPr>
                <w:rFonts w:hint="eastAsia" w:ascii="宋体" w:hAnsi="宋体" w:cs="宋体"/>
                <w:b w:val="0"/>
                <w:bCs w:val="0"/>
                <w:color w:val="auto"/>
                <w:kern w:val="0"/>
                <w:sz w:val="24"/>
                <w:szCs w:val="24"/>
                <w:highlight w:val="none"/>
                <w:lang w:val="en-US" w:eastAsia="zh-CN"/>
              </w:rPr>
            </w:pPr>
            <w:r>
              <w:rPr>
                <w:rFonts w:hint="eastAsia" w:ascii="宋体" w:hAnsi="宋体" w:eastAsia="宋体" w:cs="宋体"/>
                <w:color w:val="000000"/>
                <w:sz w:val="24"/>
                <w:szCs w:val="24"/>
                <w:highlight w:val="none"/>
                <w:lang w:val="en-US" w:eastAsia="zh-CN"/>
              </w:rPr>
              <w:t>3.供货、安装、调试校准方案（6分）</w:t>
            </w:r>
          </w:p>
        </w:tc>
        <w:tc>
          <w:tcPr>
            <w:tcW w:w="6770" w:type="dxa"/>
            <w:noWrap w:val="0"/>
            <w:vAlign w:val="center"/>
          </w:tcPr>
          <w:p w14:paraId="4D9B9317">
            <w:pPr>
              <w:pageBreakBefore w:val="0"/>
              <w:kinsoku/>
              <w:wordWrap/>
              <w:overflowPunct/>
              <w:topLinePunct w:val="0"/>
              <w:bidi w:val="0"/>
              <w:spacing w:line="36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sz w:val="24"/>
                <w:szCs w:val="24"/>
                <w:highlight w:val="none"/>
                <w:lang w:val="en-US" w:eastAsia="zh-CN"/>
              </w:rPr>
              <w:t>根</w:t>
            </w:r>
            <w:r>
              <w:rPr>
                <w:rFonts w:hint="eastAsia" w:ascii="宋体" w:hAnsi="宋体" w:eastAsia="宋体" w:cs="宋体"/>
                <w:b w:val="0"/>
                <w:bCs w:val="0"/>
                <w:color w:val="auto"/>
                <w:kern w:val="0"/>
                <w:sz w:val="24"/>
                <w:szCs w:val="24"/>
                <w:highlight w:val="none"/>
                <w:lang w:val="en-US" w:eastAsia="zh-CN"/>
              </w:rPr>
              <w:t>据投标供应商提供的供货、安装、调试校准方案进行打分，包含（但不限于）以下内容：</w:t>
            </w:r>
          </w:p>
          <w:p w14:paraId="77CCB9DA">
            <w:pPr>
              <w:pageBreakBefore w:val="0"/>
              <w:kinsoku/>
              <w:wordWrap/>
              <w:overflowPunct/>
              <w:topLinePunct w:val="0"/>
              <w:bidi w:val="0"/>
              <w:spacing w:line="36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①</w:t>
            </w:r>
            <w:r>
              <w:rPr>
                <w:rFonts w:hint="eastAsia" w:ascii="宋体" w:hAnsi="宋体" w:eastAsia="宋体" w:cs="宋体"/>
                <w:b w:val="0"/>
                <w:bCs w:val="0"/>
                <w:color w:val="auto"/>
                <w:kern w:val="0"/>
                <w:sz w:val="24"/>
                <w:szCs w:val="24"/>
                <w:highlight w:val="none"/>
                <w:lang w:val="en-US" w:eastAsia="zh-CN"/>
              </w:rPr>
              <w:t>供货时间节点安排；</w:t>
            </w:r>
          </w:p>
          <w:p w14:paraId="53BFC32E">
            <w:pPr>
              <w:pageBreakBefore w:val="0"/>
              <w:kinsoku/>
              <w:wordWrap/>
              <w:overflowPunct/>
              <w:topLinePunct w:val="0"/>
              <w:bidi w:val="0"/>
              <w:spacing w:line="360" w:lineRule="exact"/>
              <w:jc w:val="left"/>
              <w:textAlignment w:val="auto"/>
              <w:rPr>
                <w:rFonts w:hint="eastAsia" w:ascii="宋体" w:hAnsi="宋体" w:eastAsia="宋体" w:cs="宋体"/>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②</w:t>
            </w:r>
            <w:r>
              <w:rPr>
                <w:rFonts w:hint="eastAsia" w:ascii="宋体" w:hAnsi="宋体" w:eastAsia="宋体" w:cs="宋体"/>
                <w:b w:val="0"/>
                <w:bCs w:val="0"/>
                <w:color w:val="auto"/>
                <w:kern w:val="0"/>
                <w:sz w:val="24"/>
                <w:szCs w:val="24"/>
                <w:highlight w:val="none"/>
                <w:lang w:val="en-US" w:eastAsia="zh-CN"/>
              </w:rPr>
              <w:t>安装、调试校准方案及人员配备</w:t>
            </w:r>
            <w:r>
              <w:rPr>
                <w:rFonts w:hint="eastAsia" w:ascii="宋体" w:hAnsi="宋体" w:eastAsia="宋体" w:cs="宋体"/>
                <w:sz w:val="24"/>
                <w:szCs w:val="24"/>
                <w:highlight w:val="none"/>
                <w:lang w:val="en-US" w:eastAsia="zh-CN"/>
              </w:rPr>
              <w:t>；</w:t>
            </w:r>
          </w:p>
          <w:p w14:paraId="4CE5C226">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sz w:val="24"/>
                <w:szCs w:val="24"/>
              </w:rPr>
            </w:pPr>
            <w:r>
              <w:rPr>
                <w:rFonts w:hint="eastAsia" w:ascii="宋体" w:hAnsi="宋体" w:cs="宋体"/>
                <w:sz w:val="24"/>
                <w:szCs w:val="24"/>
                <w:lang w:val="en-US" w:eastAsia="zh-CN"/>
              </w:rPr>
              <w:t>方案</w:t>
            </w:r>
            <w:r>
              <w:rPr>
                <w:rFonts w:hint="eastAsia" w:ascii="宋体" w:hAnsi="宋体" w:cs="宋体"/>
                <w:sz w:val="24"/>
                <w:szCs w:val="24"/>
              </w:rPr>
              <w:t>具体详实、人员配备合理</w:t>
            </w:r>
            <w:r>
              <w:rPr>
                <w:rFonts w:hint="eastAsia" w:ascii="宋体" w:hAnsi="宋体" w:cs="宋体"/>
                <w:sz w:val="24"/>
                <w:szCs w:val="24"/>
                <w:lang w:eastAsia="zh-CN"/>
              </w:rPr>
              <w:t>，</w:t>
            </w:r>
            <w:r>
              <w:rPr>
                <w:rFonts w:hint="eastAsia" w:ascii="宋体" w:hAnsi="宋体" w:cs="宋体"/>
                <w:sz w:val="24"/>
                <w:szCs w:val="24"/>
              </w:rPr>
              <w:t>完全满足采购需求的得</w:t>
            </w:r>
            <w:r>
              <w:rPr>
                <w:rFonts w:hint="eastAsia" w:ascii="宋体" w:hAnsi="宋体" w:cs="宋体"/>
                <w:sz w:val="24"/>
                <w:szCs w:val="24"/>
                <w:lang w:val="en-US" w:eastAsia="zh-CN"/>
              </w:rPr>
              <w:t>6</w:t>
            </w:r>
            <w:r>
              <w:rPr>
                <w:rFonts w:hint="eastAsia" w:ascii="宋体" w:hAnsi="宋体" w:cs="宋体"/>
                <w:sz w:val="24"/>
                <w:szCs w:val="24"/>
              </w:rPr>
              <w:t>分；</w:t>
            </w:r>
          </w:p>
          <w:p w14:paraId="7B1F3FDE">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sz w:val="24"/>
                <w:szCs w:val="24"/>
              </w:rPr>
            </w:pPr>
            <w:r>
              <w:rPr>
                <w:rFonts w:hint="eastAsia" w:ascii="宋体" w:hAnsi="宋体" w:cs="宋体"/>
                <w:sz w:val="24"/>
                <w:szCs w:val="24"/>
              </w:rPr>
              <w:t>有较具体的措施，</w:t>
            </w:r>
            <w:r>
              <w:rPr>
                <w:rFonts w:hint="eastAsia" w:ascii="宋体" w:hAnsi="宋体" w:cs="宋体"/>
                <w:sz w:val="24"/>
                <w:szCs w:val="24"/>
                <w:lang w:val="en-US" w:eastAsia="zh-CN"/>
              </w:rPr>
              <w:t>人员配备基本合理，</w:t>
            </w:r>
            <w:r>
              <w:rPr>
                <w:rFonts w:hint="eastAsia" w:ascii="宋体" w:hAnsi="宋体" w:cs="宋体"/>
                <w:sz w:val="24"/>
                <w:szCs w:val="24"/>
              </w:rPr>
              <w:t>基本满足采购需求的得</w:t>
            </w:r>
            <w:r>
              <w:rPr>
                <w:rFonts w:hint="eastAsia" w:ascii="宋体" w:hAnsi="宋体" w:cs="宋体"/>
                <w:sz w:val="24"/>
                <w:szCs w:val="24"/>
                <w:lang w:val="en-US" w:eastAsia="zh-CN"/>
              </w:rPr>
              <w:t>3</w:t>
            </w:r>
            <w:r>
              <w:rPr>
                <w:rFonts w:hint="eastAsia" w:ascii="宋体" w:hAnsi="宋体" w:cs="宋体"/>
                <w:sz w:val="24"/>
                <w:szCs w:val="24"/>
              </w:rPr>
              <w:t>分；</w:t>
            </w:r>
          </w:p>
          <w:p w14:paraId="2E066FB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方案内容不详细，合理性、可行性差的得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22C31BD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缺项得0分。</w:t>
            </w:r>
          </w:p>
        </w:tc>
      </w:tr>
      <w:tr w14:paraId="4218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18B2310C">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5F016D4F">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18</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1DBB6CD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质保期</w:t>
            </w:r>
          </w:p>
          <w:p w14:paraId="7124A0C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p>
        </w:tc>
        <w:tc>
          <w:tcPr>
            <w:tcW w:w="6770" w:type="dxa"/>
            <w:noWrap w:val="0"/>
            <w:vAlign w:val="top"/>
          </w:tcPr>
          <w:p w14:paraId="4AB503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期在满足采购文件的基础上，每增加</w:t>
            </w:r>
            <w:r>
              <w:rPr>
                <w:rFonts w:hint="eastAsia" w:ascii="宋体" w:hAnsi="宋体" w:cs="宋体"/>
                <w:b w:val="0"/>
                <w:bCs w:val="0"/>
                <w:color w:val="auto"/>
                <w:kern w:val="2"/>
                <w:sz w:val="24"/>
                <w:szCs w:val="24"/>
                <w:highlight w:val="none"/>
                <w:lang w:val="en-US" w:eastAsia="zh-CN" w:bidi="ar-SA"/>
              </w:rPr>
              <w:t>半</w:t>
            </w:r>
            <w:r>
              <w:rPr>
                <w:rFonts w:hint="eastAsia" w:ascii="宋体" w:hAnsi="宋体" w:eastAsia="宋体" w:cs="宋体"/>
                <w:b w:val="0"/>
                <w:bCs w:val="0"/>
                <w:color w:val="auto"/>
                <w:kern w:val="2"/>
                <w:sz w:val="24"/>
                <w:szCs w:val="24"/>
                <w:highlight w:val="none"/>
                <w:lang w:val="en-US" w:eastAsia="zh-CN" w:bidi="ar-SA"/>
              </w:rPr>
              <w:t>年加2分,最多加</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en-US" w:eastAsia="zh-CN" w:bidi="ar-SA"/>
              </w:rPr>
              <w:t>分。</w:t>
            </w:r>
          </w:p>
          <w:p w14:paraId="795CA73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注：提供承诺函，不符合要求的不得分。</w:t>
            </w:r>
          </w:p>
        </w:tc>
      </w:tr>
      <w:tr w14:paraId="6675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194D760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C646FD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年01月01日以来具有的类似项目(以合同文件为准），每提供一份得2分，最多得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5D5199B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注：业绩证明资料须提供合同复印件</w:t>
            </w:r>
          </w:p>
        </w:tc>
      </w:tr>
      <w:tr w14:paraId="149A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5FC43A10">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7F09CBB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8</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560A7A60">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磋商小组根据供应商提供的售后服务体系进行打分，包括：①售后服务体系；②服务网点设立情况；③</w:t>
            </w:r>
            <w:r>
              <w:rPr>
                <w:rFonts w:hint="eastAsia" w:ascii="宋体" w:hAnsi="宋体" w:eastAsia="宋体" w:cs="宋体"/>
                <w:sz w:val="24"/>
                <w:szCs w:val="24"/>
                <w:highlight w:val="none"/>
                <w:lang w:val="en-US" w:eastAsia="zh-CN"/>
              </w:rPr>
              <w:t>应急处理措施(包括但不限于故障响应时间、应急故障处理方案等)</w:t>
            </w:r>
            <w:r>
              <w:rPr>
                <w:rFonts w:hint="eastAsia" w:ascii="宋体" w:hAnsi="宋体" w:eastAsia="宋体" w:cs="宋体"/>
                <w:b w:val="0"/>
                <w:bCs w:val="0"/>
                <w:color w:val="auto"/>
                <w:sz w:val="24"/>
                <w:szCs w:val="24"/>
                <w:highlight w:val="none"/>
                <w:lang w:val="en-US" w:eastAsia="zh-CN"/>
              </w:rPr>
              <w:t>；④售后服务人员专业性。</w:t>
            </w:r>
          </w:p>
          <w:p w14:paraId="1B697B71">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售后服务体系符合本项目特点，售后服务体系详尽、</w:t>
            </w:r>
            <w:r>
              <w:rPr>
                <w:rFonts w:hint="eastAsia" w:ascii="宋体" w:hAnsi="宋体" w:cs="宋体"/>
                <w:b w:val="0"/>
                <w:bCs w:val="0"/>
                <w:color w:val="auto"/>
                <w:sz w:val="24"/>
                <w:szCs w:val="24"/>
                <w:highlight w:val="none"/>
                <w:lang w:val="en-US" w:eastAsia="zh-CN"/>
              </w:rPr>
              <w:t>应急服务</w:t>
            </w:r>
            <w:r>
              <w:rPr>
                <w:rFonts w:hint="eastAsia" w:ascii="宋体" w:hAnsi="宋体" w:eastAsia="宋体" w:cs="宋体"/>
                <w:b w:val="0"/>
                <w:bCs w:val="0"/>
                <w:color w:val="auto"/>
                <w:sz w:val="24"/>
                <w:szCs w:val="24"/>
                <w:highlight w:val="none"/>
                <w:lang w:val="en-US" w:eastAsia="zh-CN"/>
              </w:rPr>
              <w:t>及时率高，售后服务人员专业性强经验丰富的，得8分。</w:t>
            </w:r>
          </w:p>
          <w:p w14:paraId="628D43DC">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售后服务体系符合本项目特点，售后服务体系比较详尽、</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服务及时率较高，售后服务人员专业能力较强的，得6分。</w:t>
            </w:r>
          </w:p>
          <w:p w14:paraId="59C33D28">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售后服务体系符合本项目特点，售后服务体系一般、</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服务及时率低，售后服务人员专业能力一般的，得4分。</w:t>
            </w:r>
          </w:p>
          <w:p w14:paraId="69D4FB3C">
            <w:pPr>
              <w:pStyle w:val="6"/>
              <w:pageBreakBefore w:val="0"/>
              <w:widowControl w:val="0"/>
              <w:kinsoku/>
              <w:wordWrap/>
              <w:overflowPunct/>
              <w:topLinePunct w:val="0"/>
              <w:autoSpaceDE/>
              <w:autoSpaceDN/>
              <w:bidi w:val="0"/>
              <w:adjustRightInd/>
              <w:spacing w:before="0" w:after="0" w:line="360" w:lineRule="exact"/>
              <w:textAlignment w:val="auto"/>
              <w:rPr>
                <w:rFonts w:hint="default"/>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售后服务体系、人员专业性难以满足采购需求的得1分。</w:t>
            </w:r>
          </w:p>
          <w:p w14:paraId="1B30A159">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缺项得0分。</w:t>
            </w:r>
          </w:p>
        </w:tc>
      </w:tr>
      <w:tr w14:paraId="3F8E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70965DCB">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57CB372F">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45E22314">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147914EE">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sectPr>
          <w:footerReference r:id="rId5" w:type="default"/>
          <w:pgSz w:w="11906" w:h="16838"/>
          <w:pgMar w:top="1417" w:right="1474" w:bottom="1417" w:left="1474" w:header="851" w:footer="624" w:gutter="0"/>
          <w:pgNumType w:fmt="decimal"/>
          <w:cols w:space="720" w:num="1"/>
          <w:docGrid w:type="lines" w:linePitch="319" w:charSpace="0"/>
        </w:sectPr>
      </w:pPr>
      <w:bookmarkStart w:id="39" w:name="_Toc1947"/>
      <w:bookmarkStart w:id="40" w:name="_Toc1482"/>
      <w:bookmarkStart w:id="41" w:name="_Toc256519703"/>
      <w:bookmarkStart w:id="42" w:name="_Toc326786897"/>
    </w:p>
    <w:p w14:paraId="222E4628">
      <w:pPr>
        <w:rPr>
          <w:rFonts w:hint="eastAsia" w:ascii="宋体" w:hAnsi="宋体" w:eastAsia="宋体" w:cs="宋体"/>
          <w:color w:val="auto"/>
          <w:highlight w:val="none"/>
        </w:r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6376"/>
      <w:r>
        <w:rPr>
          <w:rFonts w:hint="eastAsia" w:ascii="宋体" w:hAnsi="宋体" w:eastAsia="宋体" w:cs="宋体"/>
          <w:color w:val="auto"/>
          <w:sz w:val="28"/>
          <w:szCs w:val="28"/>
          <w:highlight w:val="none"/>
        </w:rPr>
        <w:t>第五章  采购合同</w:t>
      </w:r>
      <w:bookmarkEnd w:id="43"/>
    </w:p>
    <w:p w14:paraId="1EF982A0">
      <w:pPr>
        <w:jc w:val="center"/>
        <w:rPr>
          <w:rFonts w:hint="eastAsia" w:ascii="宋体" w:hAnsi="宋体" w:eastAsia="宋体" w:cs="宋体"/>
          <w:b/>
          <w:highlight w:val="none"/>
        </w:rPr>
      </w:pPr>
      <w:r>
        <w:rPr>
          <w:rFonts w:hint="eastAsia" w:ascii="宋体" w:hAnsi="宋体" w:eastAsia="宋体" w:cs="宋体"/>
          <w:b/>
          <w:highlight w:val="none"/>
        </w:rPr>
        <w:t>医疗器械买卖合同</w:t>
      </w:r>
    </w:p>
    <w:p w14:paraId="7AA469D5">
      <w:pPr>
        <w:ind w:firstLine="480" w:firstLineChars="200"/>
        <w:rPr>
          <w:rFonts w:hint="eastAsia" w:ascii="宋体" w:hAnsi="宋体" w:eastAsia="宋体" w:cs="宋体"/>
          <w:sz w:val="24"/>
          <w:szCs w:val="24"/>
          <w:highlight w:val="none"/>
        </w:rPr>
      </w:pPr>
    </w:p>
    <w:p w14:paraId="1011507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合同编号： </w:t>
      </w:r>
    </w:p>
    <w:p w14:paraId="04EC3B9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签订地点： 河南省驻马店市中华路西段747号</w:t>
      </w:r>
    </w:p>
    <w:p w14:paraId="6BB86F3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买受人（甲方）： 驻马店市中心医院</w:t>
      </w:r>
    </w:p>
    <w:p w14:paraId="2BB9DFC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出卖人（乙方）： </w:t>
      </w:r>
    </w:p>
    <w:p w14:paraId="27845DD2">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根据《中华人民共和国政府采购法》、《中华人民共和国</w:t>
      </w:r>
      <w:r>
        <w:rPr>
          <w:rFonts w:hint="eastAsia" w:ascii="宋体" w:hAnsi="宋体" w:eastAsia="宋体" w:cs="宋体"/>
          <w:sz w:val="21"/>
          <w:szCs w:val="21"/>
          <w:highlight w:val="none"/>
          <w:lang w:eastAsia="zh-CN"/>
        </w:rPr>
        <w:t>民法典</w:t>
      </w:r>
      <w:r>
        <w:rPr>
          <w:rFonts w:hint="eastAsia" w:ascii="宋体" w:hAnsi="宋体" w:eastAsia="宋体" w:cs="宋体"/>
          <w:sz w:val="21"/>
          <w:szCs w:val="21"/>
          <w:highlight w:val="none"/>
        </w:rPr>
        <w:t>》及</w:t>
      </w:r>
      <w:r>
        <w:rPr>
          <w:rFonts w:hint="eastAsia" w:ascii="宋体" w:hAnsi="宋体" w:eastAsia="宋体" w:cs="宋体"/>
          <w:b/>
          <w:sz w:val="21"/>
          <w:szCs w:val="21"/>
          <w:highlight w:val="none"/>
          <w:u w:val="single"/>
        </w:rPr>
        <w:t xml:space="preserve">                      </w:t>
      </w:r>
      <w:r>
        <w:rPr>
          <w:rFonts w:hint="eastAsia" w:ascii="宋体" w:hAnsi="宋体" w:eastAsia="宋体" w:cs="宋体"/>
          <w:sz w:val="21"/>
          <w:szCs w:val="21"/>
          <w:highlight w:val="none"/>
        </w:rPr>
        <w:t>项目</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（项目编号：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14:paraId="4873F3B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一、买卖标的物</w:t>
      </w:r>
    </w:p>
    <w:tbl>
      <w:tblPr>
        <w:tblStyle w:val="33"/>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1211"/>
        <w:gridCol w:w="1236"/>
        <w:gridCol w:w="734"/>
        <w:gridCol w:w="756"/>
        <w:gridCol w:w="1071"/>
        <w:gridCol w:w="1105"/>
      </w:tblGrid>
      <w:tr w14:paraId="0A76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2636" w:type="dxa"/>
            <w:noWrap w:val="0"/>
            <w:vAlign w:val="center"/>
          </w:tcPr>
          <w:p w14:paraId="740E5E37">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    名</w:t>
            </w:r>
          </w:p>
        </w:tc>
        <w:tc>
          <w:tcPr>
            <w:tcW w:w="1211" w:type="dxa"/>
            <w:noWrap w:val="0"/>
            <w:vAlign w:val="center"/>
          </w:tcPr>
          <w:p w14:paraId="59148749">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品牌</w:t>
            </w:r>
          </w:p>
        </w:tc>
        <w:tc>
          <w:tcPr>
            <w:tcW w:w="1236" w:type="dxa"/>
            <w:noWrap w:val="0"/>
            <w:vAlign w:val="center"/>
          </w:tcPr>
          <w:p w14:paraId="2EF5DD3B">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规格型号</w:t>
            </w:r>
          </w:p>
        </w:tc>
        <w:tc>
          <w:tcPr>
            <w:tcW w:w="734" w:type="dxa"/>
            <w:noWrap w:val="0"/>
            <w:vAlign w:val="center"/>
          </w:tcPr>
          <w:p w14:paraId="07BA1B85">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单位</w:t>
            </w:r>
          </w:p>
        </w:tc>
        <w:tc>
          <w:tcPr>
            <w:tcW w:w="756" w:type="dxa"/>
            <w:noWrap w:val="0"/>
            <w:vAlign w:val="center"/>
          </w:tcPr>
          <w:p w14:paraId="4EC88EE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数量</w:t>
            </w:r>
          </w:p>
        </w:tc>
        <w:tc>
          <w:tcPr>
            <w:tcW w:w="1071" w:type="dxa"/>
            <w:noWrap w:val="0"/>
            <w:vAlign w:val="center"/>
          </w:tcPr>
          <w:p w14:paraId="730C01D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单价</w:t>
            </w:r>
          </w:p>
          <w:p w14:paraId="6DF0150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（万元）</w:t>
            </w:r>
          </w:p>
        </w:tc>
        <w:tc>
          <w:tcPr>
            <w:tcW w:w="1105" w:type="dxa"/>
            <w:noWrap w:val="0"/>
            <w:vAlign w:val="center"/>
          </w:tcPr>
          <w:p w14:paraId="13215A4C">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总价</w:t>
            </w:r>
          </w:p>
          <w:p w14:paraId="6E600D3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（万元）</w:t>
            </w:r>
          </w:p>
        </w:tc>
      </w:tr>
      <w:tr w14:paraId="662F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2636" w:type="dxa"/>
            <w:noWrap w:val="0"/>
            <w:vAlign w:val="center"/>
          </w:tcPr>
          <w:p w14:paraId="6D679288">
            <w:pPr>
              <w:keepNext w:val="0"/>
              <w:keepLines w:val="0"/>
              <w:widowControl/>
              <w:suppressLineNumbers w:val="0"/>
              <w:jc w:val="left"/>
              <w:rPr>
                <w:rFonts w:hint="eastAsia" w:ascii="宋体" w:hAnsi="宋体" w:eastAsia="宋体" w:cs="宋体"/>
                <w:sz w:val="21"/>
                <w:szCs w:val="24"/>
                <w:highlight w:val="none"/>
              </w:rPr>
            </w:pPr>
            <w:r>
              <w:rPr>
                <w:rFonts w:hint="eastAsia" w:ascii="宋体" w:hAnsi="宋体" w:eastAsia="宋体" w:cs="宋体"/>
                <w:color w:val="000000"/>
                <w:kern w:val="0"/>
                <w:sz w:val="24"/>
                <w:szCs w:val="24"/>
                <w:highlight w:val="none"/>
                <w:lang w:val="en-US" w:eastAsia="zh-CN" w:bidi="ar"/>
              </w:rPr>
              <w:t xml:space="preserve">注册证名称（发布公告 </w:t>
            </w:r>
          </w:p>
          <w:p w14:paraId="1EAEAEE5">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color w:val="000000"/>
                <w:kern w:val="0"/>
                <w:sz w:val="24"/>
                <w:szCs w:val="24"/>
                <w:highlight w:val="none"/>
                <w:lang w:val="en-US" w:eastAsia="zh-CN" w:bidi="ar"/>
              </w:rPr>
              <w:t>产品名称）</w:t>
            </w:r>
          </w:p>
        </w:tc>
        <w:tc>
          <w:tcPr>
            <w:tcW w:w="1211" w:type="dxa"/>
            <w:noWrap w:val="0"/>
            <w:vAlign w:val="top"/>
          </w:tcPr>
          <w:p w14:paraId="202F391F">
            <w:pPr>
              <w:jc w:val="center"/>
              <w:rPr>
                <w:rFonts w:hint="eastAsia" w:ascii="宋体" w:hAnsi="宋体" w:eastAsia="宋体" w:cs="宋体"/>
                <w:sz w:val="21"/>
                <w:szCs w:val="21"/>
                <w:highlight w:val="none"/>
              </w:rPr>
            </w:pPr>
          </w:p>
        </w:tc>
        <w:tc>
          <w:tcPr>
            <w:tcW w:w="1236" w:type="dxa"/>
            <w:noWrap w:val="0"/>
            <w:vAlign w:val="center"/>
          </w:tcPr>
          <w:p w14:paraId="68AD0227">
            <w:pPr>
              <w:jc w:val="center"/>
              <w:rPr>
                <w:rFonts w:hint="eastAsia" w:ascii="宋体" w:hAnsi="宋体" w:eastAsia="宋体" w:cs="宋体"/>
                <w:sz w:val="21"/>
                <w:szCs w:val="21"/>
                <w:highlight w:val="none"/>
              </w:rPr>
            </w:pPr>
          </w:p>
        </w:tc>
        <w:tc>
          <w:tcPr>
            <w:tcW w:w="734" w:type="dxa"/>
            <w:noWrap w:val="0"/>
            <w:vAlign w:val="center"/>
          </w:tcPr>
          <w:p w14:paraId="4B11C686">
            <w:pPr>
              <w:jc w:val="center"/>
              <w:rPr>
                <w:rFonts w:hint="eastAsia" w:ascii="宋体" w:hAnsi="宋体" w:eastAsia="宋体" w:cs="宋体"/>
                <w:sz w:val="21"/>
                <w:szCs w:val="21"/>
                <w:highlight w:val="none"/>
              </w:rPr>
            </w:pPr>
          </w:p>
        </w:tc>
        <w:tc>
          <w:tcPr>
            <w:tcW w:w="756" w:type="dxa"/>
            <w:noWrap w:val="0"/>
            <w:vAlign w:val="center"/>
          </w:tcPr>
          <w:p w14:paraId="2B21C580">
            <w:pPr>
              <w:jc w:val="center"/>
              <w:rPr>
                <w:rFonts w:hint="eastAsia" w:ascii="宋体" w:hAnsi="宋体" w:eastAsia="宋体" w:cs="宋体"/>
                <w:sz w:val="21"/>
                <w:szCs w:val="21"/>
                <w:highlight w:val="none"/>
              </w:rPr>
            </w:pPr>
          </w:p>
        </w:tc>
        <w:tc>
          <w:tcPr>
            <w:tcW w:w="1071" w:type="dxa"/>
            <w:noWrap w:val="0"/>
            <w:vAlign w:val="center"/>
          </w:tcPr>
          <w:p w14:paraId="2A320359">
            <w:pPr>
              <w:jc w:val="center"/>
              <w:rPr>
                <w:rFonts w:hint="eastAsia" w:ascii="宋体" w:hAnsi="宋体" w:eastAsia="宋体" w:cs="宋体"/>
                <w:sz w:val="21"/>
                <w:szCs w:val="21"/>
                <w:highlight w:val="none"/>
              </w:rPr>
            </w:pPr>
          </w:p>
        </w:tc>
        <w:tc>
          <w:tcPr>
            <w:tcW w:w="1105" w:type="dxa"/>
            <w:noWrap w:val="0"/>
            <w:vAlign w:val="center"/>
          </w:tcPr>
          <w:p w14:paraId="5AE2449A">
            <w:pPr>
              <w:jc w:val="center"/>
              <w:rPr>
                <w:rFonts w:hint="eastAsia" w:ascii="宋体" w:hAnsi="宋体" w:eastAsia="宋体" w:cs="宋体"/>
                <w:sz w:val="21"/>
                <w:szCs w:val="21"/>
                <w:highlight w:val="none"/>
              </w:rPr>
            </w:pPr>
          </w:p>
        </w:tc>
      </w:tr>
    </w:tbl>
    <w:p w14:paraId="0DF977F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二、合同价款</w:t>
      </w:r>
    </w:p>
    <w:p w14:paraId="081EF2B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本合同标的物总价款为人民币大写：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，即RMB</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14:paraId="5C12033A">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三、质量标准及相关质量问题的处理</w:t>
      </w:r>
    </w:p>
    <w:p w14:paraId="33381398">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1、乙方提供的标的物必须是合格出厂的全新（含零部件、配件等）产品，全部外观表面无划伤、无碰撞痕迹，产品所有权及自身涉及的各项知识产权权属清楚，不得存在侵害他人知识产权和其他权益的情形。</w:t>
      </w:r>
    </w:p>
    <w:p w14:paraId="3ACB097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2、标的物出厂时必须符合或优于国家（没有国标时，以行标）新标准，同时符合本项目招标文件确定的各项质量要求和技术指标及出厂标准。</w:t>
      </w:r>
    </w:p>
    <w:p w14:paraId="67A65AB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3、标的物的制造质量存在或出现问题时，乙方必须负责三包（包修、包换、包退），费用由乙方负担，甲方有权亲自派员或委托第三方到乙方生产或仓储现场查验标的物质量或生产进度。</w:t>
      </w:r>
    </w:p>
    <w:p w14:paraId="0AC5D7C5">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4、标的物交付后由于甲方保管不当造成的质量问题，乙方应负责修理，费用由甲方负担。</w:t>
      </w:r>
    </w:p>
    <w:p w14:paraId="476D5348">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四、交货及验收</w:t>
      </w:r>
    </w:p>
    <w:p w14:paraId="222FB33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1、乙方交货期限为合同签订生效后的</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日内，交货到甲方指定地点，并由乙方随即在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日内全部完成安装调试验收合格，并交付使用（如由于甲方的原因造成合同延迟签订或验收的，交付使用时间顺延）。乙方交货验收时必须要提供该产品的法定质检部门从同类产品中检查合</w:t>
      </w:r>
      <w:r>
        <w:rPr>
          <w:rFonts w:hint="eastAsia" w:ascii="宋体" w:hAnsi="宋体" w:eastAsia="宋体" w:cs="宋体"/>
          <w:sz w:val="21"/>
          <w:szCs w:val="21"/>
          <w:highlight w:val="none"/>
          <w:lang w:eastAsia="zh-CN"/>
        </w:rPr>
        <w:t>格</w:t>
      </w:r>
      <w:r>
        <w:rPr>
          <w:rFonts w:hint="eastAsia" w:ascii="宋体" w:hAnsi="宋体" w:eastAsia="宋体" w:cs="宋体"/>
          <w:sz w:val="21"/>
          <w:szCs w:val="21"/>
          <w:highlight w:val="none"/>
        </w:rPr>
        <w:t>的检测报告。</w:t>
      </w:r>
    </w:p>
    <w:p w14:paraId="2F555B2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2、验收由甲方组织，乙方配合进行：</w:t>
      </w:r>
    </w:p>
    <w:p w14:paraId="21391F3B">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（1）标的物在乙方通知安装调试完毕后</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三</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 xml:space="preserve"> 日内进行初步验收。初步验收合格后，开始进入</w:t>
      </w:r>
      <w:r>
        <w:rPr>
          <w:rFonts w:hint="eastAsia" w:ascii="宋体" w:hAnsi="宋体" w:eastAsia="宋体" w:cs="宋体"/>
          <w:sz w:val="21"/>
          <w:szCs w:val="21"/>
          <w:highlight w:val="none"/>
          <w:u w:val="single"/>
          <w:lang w:val="en-US" w:eastAsia="zh-CN"/>
        </w:rPr>
        <w:t xml:space="preserve">  七  </w:t>
      </w:r>
      <w:r>
        <w:rPr>
          <w:rFonts w:hint="eastAsia" w:ascii="宋体" w:hAnsi="宋体" w:eastAsia="宋体" w:cs="宋体"/>
          <w:sz w:val="21"/>
          <w:szCs w:val="21"/>
          <w:highlight w:val="none"/>
        </w:rPr>
        <w:t xml:space="preserve"> 天试用期；试用期间发生重大质量问题，乙方应</w:t>
      </w:r>
      <w:r>
        <w:rPr>
          <w:rFonts w:hint="eastAsia" w:ascii="宋体" w:hAnsi="宋体" w:eastAsia="宋体" w:cs="宋体"/>
          <w:sz w:val="21"/>
          <w:szCs w:val="21"/>
          <w:highlight w:val="none"/>
          <w:lang w:eastAsia="zh-CN"/>
        </w:rPr>
        <w:t>重新</w:t>
      </w:r>
      <w:r>
        <w:rPr>
          <w:rFonts w:hint="eastAsia" w:ascii="宋体" w:hAnsi="宋体" w:eastAsia="宋体" w:cs="宋体"/>
          <w:sz w:val="21"/>
          <w:szCs w:val="21"/>
          <w:highlight w:val="none"/>
        </w:rPr>
        <w:t>提供符合标准的新设备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由甲方组织重新进行初步验收，开始进入</w:t>
      </w:r>
      <w:r>
        <w:rPr>
          <w:rFonts w:hint="eastAsia" w:ascii="宋体" w:hAnsi="宋体" w:eastAsia="宋体" w:cs="宋体"/>
          <w:sz w:val="21"/>
          <w:szCs w:val="21"/>
          <w:highlight w:val="none"/>
          <w:u w:val="single"/>
          <w:lang w:val="en-US" w:eastAsia="zh-CN"/>
        </w:rPr>
        <w:t xml:space="preserve"> 七 </w:t>
      </w:r>
      <w:r>
        <w:rPr>
          <w:rFonts w:hint="eastAsia" w:ascii="宋体" w:hAnsi="宋体" w:eastAsia="宋体" w:cs="宋体"/>
          <w:sz w:val="21"/>
          <w:szCs w:val="21"/>
          <w:highlight w:val="none"/>
          <w:lang w:val="en-US" w:eastAsia="zh-CN"/>
        </w:rPr>
        <w:t>天试用期</w:t>
      </w:r>
      <w:r>
        <w:rPr>
          <w:rFonts w:hint="eastAsia" w:ascii="宋体" w:hAnsi="宋体" w:eastAsia="宋体" w:cs="宋体"/>
          <w:sz w:val="21"/>
          <w:szCs w:val="21"/>
          <w:highlight w:val="none"/>
        </w:rPr>
        <w:t>；试用期结束后</w:t>
      </w:r>
      <w:r>
        <w:rPr>
          <w:rFonts w:hint="eastAsia" w:ascii="宋体" w:hAnsi="宋体" w:eastAsia="宋体" w:cs="宋体"/>
          <w:sz w:val="21"/>
          <w:szCs w:val="21"/>
          <w:highlight w:val="none"/>
          <w:u w:val="single"/>
          <w:lang w:val="en-US" w:eastAsia="zh-CN"/>
        </w:rPr>
        <w:t xml:space="preserve">  三  </w:t>
      </w:r>
      <w:r>
        <w:rPr>
          <w:rFonts w:hint="eastAsia" w:ascii="宋体" w:hAnsi="宋体" w:eastAsia="宋体" w:cs="宋体"/>
          <w:sz w:val="21"/>
          <w:szCs w:val="21"/>
          <w:highlight w:val="none"/>
        </w:rPr>
        <w:t>日内完成最终验收。</w:t>
      </w:r>
    </w:p>
    <w:p w14:paraId="24A4DC9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14:paraId="1E3D576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14:paraId="4B0D305D">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）甲方组织联合验收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验收严格按照招标文件中的配置、质量、技术要求进行，验收通过的，双方签署书面验收报告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如乙方提供的产品不能通过验收，按退货处理，乙方负责无条件退货。</w:t>
      </w:r>
    </w:p>
    <w:p w14:paraId="2A181BD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3、标的物安装完成后，甲方无故不进行验收工作并已使用标的物的，视同已安装调试完成并验收合格。</w:t>
      </w:r>
    </w:p>
    <w:p w14:paraId="79BEA18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4、乙方应将所提供标的物的装箱清单、配件、随机工具、用户使用手册、原厂保修卡等资料交付给甲方；乙方不能完整交付标的物及本款规定的单证和工具的，必须负责补齐，否则视为未按合同约定交货。</w:t>
      </w:r>
    </w:p>
    <w:p w14:paraId="6DEA8070">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5、如标的物经乙方</w:t>
      </w:r>
      <w:r>
        <w:rPr>
          <w:rFonts w:hint="eastAsia" w:ascii="宋体" w:hAnsi="宋体" w:eastAsia="宋体" w:cs="宋体"/>
          <w:sz w:val="21"/>
          <w:szCs w:val="21"/>
          <w:highlight w:val="none"/>
          <w:u w:val="single"/>
        </w:rPr>
        <w:t xml:space="preserve"> 二 </w:t>
      </w:r>
      <w:r>
        <w:rPr>
          <w:rFonts w:hint="eastAsia" w:ascii="宋体" w:hAnsi="宋体" w:eastAsia="宋体" w:cs="宋体"/>
          <w:sz w:val="21"/>
          <w:szCs w:val="21"/>
          <w:highlight w:val="none"/>
        </w:rPr>
        <w:t>次维修仍不能达到合同约定的质量标准，甲方有权退货，并视作乙方不能交付标的物</w:t>
      </w:r>
      <w:r>
        <w:rPr>
          <w:rFonts w:hint="eastAsia" w:ascii="宋体" w:hAnsi="宋体" w:eastAsia="宋体" w:cs="宋体"/>
          <w:sz w:val="21"/>
          <w:szCs w:val="21"/>
          <w:highlight w:val="none"/>
          <w:lang w:val="en-US" w:eastAsia="zh-CN"/>
        </w:rPr>
        <w:t>,乙方应支付货款总额30%的违约赔偿金给甲方</w:t>
      </w:r>
      <w:r>
        <w:rPr>
          <w:rFonts w:hint="eastAsia" w:ascii="宋体" w:hAnsi="宋体" w:eastAsia="宋体" w:cs="宋体"/>
          <w:sz w:val="21"/>
          <w:szCs w:val="21"/>
          <w:highlight w:val="none"/>
        </w:rPr>
        <w:t>，甲方还可以依法追究乙方的相关法律责任。</w:t>
      </w:r>
    </w:p>
    <w:p w14:paraId="39A9B4C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6、其他未尽事宜应严格按照《中华人民共和国政府采购法》及相关法律法规规定的要求进行。</w:t>
      </w:r>
    </w:p>
    <w:p w14:paraId="3BBB9FCC">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五、付款方式</w:t>
      </w:r>
    </w:p>
    <w:p w14:paraId="31D6B381">
      <w:pPr>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sz w:val="21"/>
          <w:szCs w:val="21"/>
          <w:highlight w:val="none"/>
        </w:rPr>
        <w:t>全部标的物经安装调试完毕并</w:t>
      </w:r>
      <w:r>
        <w:rPr>
          <w:rFonts w:hint="eastAsia" w:ascii="宋体" w:hAnsi="宋体" w:eastAsia="宋体" w:cs="宋体"/>
          <w:sz w:val="21"/>
          <w:szCs w:val="21"/>
          <w:highlight w:val="none"/>
          <w:lang w:eastAsia="zh-CN"/>
        </w:rPr>
        <w:t>验收入库</w:t>
      </w:r>
      <w:r>
        <w:rPr>
          <w:rFonts w:hint="eastAsia" w:ascii="宋体" w:hAnsi="宋体" w:eastAsia="宋体" w:cs="宋体"/>
          <w:sz w:val="21"/>
          <w:szCs w:val="21"/>
          <w:highlight w:val="none"/>
        </w:rPr>
        <w:t>之日起，甲方接到乙方付款通知和有关票据凭证资料以后，由甲方核付合同总价的百分之</w:t>
      </w:r>
      <w:r>
        <w:rPr>
          <w:rFonts w:hint="eastAsia" w:ascii="宋体" w:hAnsi="宋体" w:eastAsia="宋体" w:cs="宋体"/>
          <w:sz w:val="21"/>
          <w:szCs w:val="21"/>
          <w:highlight w:val="none"/>
          <w:u w:val="single"/>
          <w:lang w:val="en-US" w:eastAsia="zh-CN"/>
        </w:rPr>
        <w:t xml:space="preserve"> 八十五 </w:t>
      </w:r>
      <w:r>
        <w:rPr>
          <w:rFonts w:hint="eastAsia" w:ascii="宋体" w:hAnsi="宋体" w:eastAsia="宋体" w:cs="宋体"/>
          <w:sz w:val="21"/>
          <w:szCs w:val="21"/>
          <w:highlight w:val="none"/>
        </w:rPr>
        <w:t>款项：￥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万</w:t>
      </w:r>
      <w:r>
        <w:rPr>
          <w:rFonts w:hint="eastAsia" w:ascii="宋体" w:hAnsi="宋体" w:eastAsia="宋体" w:cs="宋体"/>
          <w:sz w:val="21"/>
          <w:szCs w:val="21"/>
          <w:highlight w:val="none"/>
        </w:rPr>
        <w:t>元，人民币大写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CN"/>
        </w:rPr>
        <w:t>。一年后</w:t>
      </w:r>
      <w:r>
        <w:rPr>
          <w:rFonts w:hint="eastAsia" w:ascii="宋体" w:hAnsi="宋体" w:eastAsia="宋体" w:cs="宋体"/>
          <w:sz w:val="21"/>
          <w:szCs w:val="21"/>
          <w:highlight w:val="none"/>
        </w:rPr>
        <w:t>由甲方核付合同总价的百分之</w:t>
      </w:r>
      <w:r>
        <w:rPr>
          <w:rFonts w:hint="eastAsia" w:ascii="宋体" w:hAnsi="宋体" w:eastAsia="宋体" w:cs="宋体"/>
          <w:sz w:val="21"/>
          <w:szCs w:val="21"/>
          <w:highlight w:val="none"/>
          <w:u w:val="single"/>
          <w:lang w:val="en-US" w:eastAsia="zh-CN"/>
        </w:rPr>
        <w:t xml:space="preserve"> 十 </w:t>
      </w:r>
      <w:r>
        <w:rPr>
          <w:rFonts w:hint="eastAsia" w:ascii="宋体" w:hAnsi="宋体" w:eastAsia="宋体" w:cs="宋体"/>
          <w:sz w:val="21"/>
          <w:szCs w:val="21"/>
          <w:highlight w:val="none"/>
        </w:rPr>
        <w:t>款项：￥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万</w:t>
      </w:r>
      <w:r>
        <w:rPr>
          <w:rFonts w:hint="eastAsia" w:ascii="宋体" w:hAnsi="宋体" w:eastAsia="宋体" w:cs="宋体"/>
          <w:sz w:val="21"/>
          <w:szCs w:val="21"/>
          <w:highlight w:val="none"/>
        </w:rPr>
        <w:t>元，人民币大写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CN"/>
        </w:rPr>
        <w:t>。</w:t>
      </w:r>
      <w:r>
        <w:rPr>
          <w:rFonts w:hint="eastAsia" w:ascii="宋体" w:hAnsi="宋体" w:eastAsia="宋体" w:cs="宋体"/>
          <w:color w:val="auto"/>
          <w:sz w:val="21"/>
          <w:szCs w:val="21"/>
          <w:highlight w:val="none"/>
          <w:lang w:val="en-US" w:eastAsia="zh-CN"/>
        </w:rPr>
        <w:t>三年后</w:t>
      </w:r>
      <w:r>
        <w:rPr>
          <w:rFonts w:hint="eastAsia" w:ascii="宋体" w:hAnsi="宋体" w:eastAsia="宋体" w:cs="宋体"/>
          <w:color w:val="auto"/>
          <w:sz w:val="21"/>
          <w:szCs w:val="21"/>
          <w:highlight w:val="none"/>
        </w:rPr>
        <w:t>，由甲方核付合同总价的百分之</w:t>
      </w:r>
      <w:r>
        <w:rPr>
          <w:rFonts w:hint="eastAsia" w:ascii="宋体" w:hAnsi="宋体" w:eastAsia="宋体" w:cs="宋体"/>
          <w:color w:val="auto"/>
          <w:sz w:val="21"/>
          <w:szCs w:val="21"/>
          <w:highlight w:val="none"/>
          <w:u w:val="single"/>
          <w:lang w:val="en-US" w:eastAsia="zh-CN"/>
        </w:rPr>
        <w:t xml:space="preserve">  五 </w:t>
      </w:r>
      <w:r>
        <w:rPr>
          <w:rFonts w:hint="eastAsia" w:ascii="宋体" w:hAnsi="宋体" w:eastAsia="宋体" w:cs="宋体"/>
          <w:color w:val="auto"/>
          <w:sz w:val="21"/>
          <w:szCs w:val="21"/>
          <w:highlight w:val="none"/>
        </w:rPr>
        <w:t>款项：￥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万</w:t>
      </w:r>
      <w:r>
        <w:rPr>
          <w:rFonts w:hint="eastAsia" w:ascii="宋体" w:hAnsi="宋体" w:eastAsia="宋体" w:cs="宋体"/>
          <w:color w:val="auto"/>
          <w:sz w:val="21"/>
          <w:szCs w:val="21"/>
          <w:highlight w:val="none"/>
        </w:rPr>
        <w:t>元，人民币大写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。每次付款前均需由乙方提供符合甲方要求的相关资料后，甲方再予以核付；如果乙方不按要求提供相关资料，甲方有权拒付款项。</w:t>
      </w:r>
    </w:p>
    <w:p w14:paraId="25CE8DE3">
      <w:pPr>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六、售后服务</w:t>
      </w:r>
    </w:p>
    <w:p w14:paraId="00BF6AE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1、质保期为</w:t>
      </w:r>
      <w:r>
        <w:rPr>
          <w:rFonts w:hint="eastAsia" w:ascii="宋体" w:hAnsi="宋体" w:eastAsia="宋体" w:cs="宋体"/>
          <w:color w:val="auto"/>
          <w:sz w:val="21"/>
          <w:szCs w:val="21"/>
          <w:highlight w:val="none"/>
          <w:lang w:eastAsia="zh-CN"/>
        </w:rPr>
        <w:t>甲方入库之日起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年，质保期内出现质量问题，乙方在接到甲方通知后 两小时内响应，十二小时内到达现场完成维修或更换，并承担修理更换的费用,维修期间提供备用机；如标的物经乙方</w:t>
      </w:r>
      <w:r>
        <w:rPr>
          <w:rFonts w:hint="eastAsia" w:ascii="宋体" w:hAnsi="宋体" w:eastAsia="宋体" w:cs="宋体"/>
          <w:color w:val="auto"/>
          <w:sz w:val="21"/>
          <w:szCs w:val="21"/>
          <w:highlight w:val="none"/>
          <w:u w:val="single"/>
        </w:rPr>
        <w:t xml:space="preserve"> 两 </w:t>
      </w:r>
      <w:r>
        <w:rPr>
          <w:rFonts w:hint="eastAsia" w:ascii="宋体" w:hAnsi="宋体" w:eastAsia="宋体" w:cs="宋体"/>
          <w:color w:val="auto"/>
          <w:sz w:val="21"/>
          <w:szCs w:val="21"/>
          <w:highlight w:val="none"/>
        </w:rPr>
        <w:t>次维修仍不能达到本合同约定的质量标准，甲方有权退货并追究乙方的违约责任。标的物到达甲方指定现场后因甲方保管不当造成的数量短缺或质量损害，乙方负责补齐或修复，费用由甲方负担。</w:t>
      </w:r>
    </w:p>
    <w:p w14:paraId="1FB152C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2、乙方须指派专人负责与甲方联系售后服务事宜。</w:t>
      </w:r>
    </w:p>
    <w:p w14:paraId="3A11139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3、本合同履行过程中因乙方无法完成设备的维修与更换，导致甲方产生的额外支出由甲方从未向乙方支付的款项中扣除，甲方的额外支出超过未向乙方支付的款项时，乙方应承担额外的维修与更换费用。</w:t>
      </w:r>
    </w:p>
    <w:p w14:paraId="43458801">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七、违约责任</w:t>
      </w:r>
    </w:p>
    <w:p w14:paraId="6EF03825">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1、甲方的违约责任</w:t>
      </w:r>
    </w:p>
    <w:p w14:paraId="582AE4E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甲方无正当理由拒收标的物的，甲方应偿付合同总价的</w:t>
      </w:r>
      <w:r>
        <w:rPr>
          <w:rFonts w:hint="eastAsia" w:ascii="宋体" w:hAnsi="宋体" w:eastAsia="宋体" w:cs="宋体"/>
          <w:sz w:val="21"/>
          <w:szCs w:val="21"/>
          <w:highlight w:val="none"/>
          <w:u w:val="single"/>
        </w:rPr>
        <w:t xml:space="preserve"> 百分之三 </w:t>
      </w:r>
      <w:r>
        <w:rPr>
          <w:rFonts w:hint="eastAsia" w:ascii="宋体" w:hAnsi="宋体" w:eastAsia="宋体" w:cs="宋体"/>
          <w:sz w:val="21"/>
          <w:szCs w:val="21"/>
          <w:highlight w:val="none"/>
        </w:rPr>
        <w:t>的违约金；</w:t>
      </w:r>
    </w:p>
    <w:p w14:paraId="1C86877D">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2、乙方违约责任</w:t>
      </w:r>
    </w:p>
    <w:p w14:paraId="0F6E321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（1）乙方交付的标的物质量不符合合同约定的，乙方应向甲方支付合同总价的百分之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的违约金，并须在合同约定的交货时间内更换合格的标的物给甲方，否则，视作乙方不能交付标的物而违约，按本条本款下述第“（2）”项规定由乙方支付违约赔偿金给甲方。</w:t>
      </w:r>
    </w:p>
    <w:p w14:paraId="35E013F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（2）乙方不能交付标的物或逾期交付标的物而违约的，除应及时交足标的物外，应向甲方支付逾期交货部分货款总额的万分之</w:t>
      </w:r>
      <w:r>
        <w:rPr>
          <w:rFonts w:hint="eastAsia" w:ascii="宋体" w:hAnsi="宋体" w:eastAsia="宋体" w:cs="宋体"/>
          <w:sz w:val="21"/>
          <w:szCs w:val="21"/>
          <w:highlight w:val="none"/>
          <w:u w:val="single"/>
        </w:rPr>
        <w:t xml:space="preserve">五 </w:t>
      </w:r>
      <w:r>
        <w:rPr>
          <w:rFonts w:hint="eastAsia" w:ascii="宋体" w:hAnsi="宋体" w:eastAsia="宋体" w:cs="宋体"/>
          <w:sz w:val="21"/>
          <w:szCs w:val="21"/>
          <w:highlight w:val="none"/>
        </w:rPr>
        <w:t>/日的违约金；逾期交货超过</w:t>
      </w:r>
      <w:r>
        <w:rPr>
          <w:rFonts w:hint="eastAsia" w:ascii="宋体" w:hAnsi="宋体" w:eastAsia="宋体" w:cs="宋体"/>
          <w:sz w:val="21"/>
          <w:szCs w:val="21"/>
          <w:highlight w:val="none"/>
          <w:u w:val="single"/>
        </w:rPr>
        <w:t xml:space="preserve"> 七 </w:t>
      </w:r>
      <w:r>
        <w:rPr>
          <w:rFonts w:hint="eastAsia" w:ascii="宋体" w:hAnsi="宋体" w:eastAsia="宋体" w:cs="宋体"/>
          <w:sz w:val="21"/>
          <w:szCs w:val="21"/>
          <w:highlight w:val="none"/>
        </w:rPr>
        <w:t>天，甲方有权解除合同，乙方则应按合同总价的百分之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的款额向甲方支付赔偿金，并须全额退还甲方已经付给乙方的货款及自甲方付款至退款期间的利息（按同期银行贷款利率）。</w:t>
      </w:r>
    </w:p>
    <w:p w14:paraId="405258F7">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（3）乙方标的物经甲方送交具有法定资格条件的质量技术监督机构检测后，如检测结果认定标的物质量不符合本合同规定标准的，则视为乙方没有按时交货而违约，乙方须在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三</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天内无条件更换合格标的物，如逾期不能更换合格的标的物，甲方有权终止本合同，乙方应另付合同总价的百分之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的赔偿金给甲方。</w:t>
      </w:r>
    </w:p>
    <w:p w14:paraId="0BF78B47">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Pr>
          <w:rFonts w:hint="eastAsia" w:ascii="宋体" w:hAnsi="宋体" w:eastAsia="宋体" w:cs="宋体"/>
          <w:sz w:val="21"/>
          <w:szCs w:val="21"/>
          <w:highlight w:val="none"/>
          <w:u w:val="single"/>
        </w:rPr>
        <w:t>五</w:t>
      </w:r>
      <w:r>
        <w:rPr>
          <w:rFonts w:hint="eastAsia" w:ascii="宋体" w:hAnsi="宋体" w:eastAsia="宋体" w:cs="宋体"/>
          <w:sz w:val="21"/>
          <w:szCs w:val="21"/>
          <w:highlight w:val="none"/>
        </w:rPr>
        <w:t>向甲方支付违约金并赔偿因此给甲方造成的一切损失。</w:t>
      </w:r>
    </w:p>
    <w:p w14:paraId="3C3C4CA4">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（5）乙方偿付的违约金不足以弥补甲方损失的，还应按甲方损失尚未弥补的部分，支付赔偿金给甲方。</w:t>
      </w:r>
    </w:p>
    <w:p w14:paraId="78D25BC2">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八、争议解决方法</w:t>
      </w:r>
    </w:p>
    <w:p w14:paraId="70DE7D94">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1、因标的物的质量发生争议，由甲方委托法定的质量技术监督部门或监督部门指定的质量鉴定机构进行质量鉴定或检测，鉴定费由乙方承担。</w:t>
      </w:r>
    </w:p>
    <w:p w14:paraId="6FE7392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2、因本合同发生争议，双方可协商或由有关部门调解解决；协商或调解不成的，应向甲方住所地有管辖权的人民法院提起诉讼。</w:t>
      </w:r>
    </w:p>
    <w:p w14:paraId="2315F47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九、其他</w:t>
      </w:r>
    </w:p>
    <w:p w14:paraId="7D99794B">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1、合同未尽事宜，由双方另行协商订立补充合同。</w:t>
      </w:r>
    </w:p>
    <w:p w14:paraId="3A30DD1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2、本合同一式</w:t>
      </w:r>
      <w:r>
        <w:rPr>
          <w:rFonts w:hint="eastAsia" w:ascii="宋体" w:hAnsi="宋体" w:eastAsia="宋体" w:cs="宋体"/>
          <w:sz w:val="21"/>
          <w:szCs w:val="21"/>
          <w:highlight w:val="none"/>
          <w:lang w:eastAsia="zh-CN"/>
        </w:rPr>
        <w:t>四</w:t>
      </w:r>
      <w:r>
        <w:rPr>
          <w:rFonts w:hint="eastAsia" w:ascii="宋体" w:hAnsi="宋体" w:eastAsia="宋体" w:cs="宋体"/>
          <w:sz w:val="21"/>
          <w:szCs w:val="21"/>
          <w:highlight w:val="none"/>
        </w:rPr>
        <w:t>份，自双方签章之日起生效。甲方</w:t>
      </w:r>
      <w:r>
        <w:rPr>
          <w:rFonts w:hint="eastAsia" w:ascii="宋体" w:hAnsi="宋体" w:eastAsia="宋体" w:cs="宋体"/>
          <w:sz w:val="21"/>
          <w:szCs w:val="21"/>
          <w:highlight w:val="none"/>
          <w:lang w:eastAsia="zh-CN"/>
        </w:rPr>
        <w:t>三</w:t>
      </w:r>
      <w:r>
        <w:rPr>
          <w:rFonts w:hint="eastAsia" w:ascii="宋体" w:hAnsi="宋体" w:eastAsia="宋体" w:cs="宋体"/>
          <w:sz w:val="21"/>
          <w:szCs w:val="21"/>
          <w:highlight w:val="none"/>
        </w:rPr>
        <w:t>份，乙方一份。</w:t>
      </w:r>
    </w:p>
    <w:p w14:paraId="1F37D73C">
      <w:pPr>
        <w:ind w:firstLine="420" w:firstLineChars="200"/>
        <w:rPr>
          <w:rFonts w:hint="eastAsia" w:ascii="宋体" w:hAnsi="宋体" w:eastAsia="宋体" w:cs="宋体"/>
          <w:b/>
          <w:bCs/>
          <w:sz w:val="21"/>
          <w:szCs w:val="21"/>
          <w:highlight w:val="none"/>
        </w:rPr>
      </w:pPr>
      <w:r>
        <w:rPr>
          <w:rFonts w:hint="eastAsia" w:ascii="宋体" w:hAnsi="宋体" w:eastAsia="宋体" w:cs="宋体"/>
          <w:sz w:val="21"/>
          <w:szCs w:val="21"/>
          <w:highlight w:val="none"/>
        </w:rPr>
        <w:t>3、</w:t>
      </w:r>
      <w:r>
        <w:rPr>
          <w:rFonts w:hint="eastAsia" w:ascii="宋体" w:hAnsi="宋体" w:eastAsia="宋体" w:cs="宋体"/>
          <w:b/>
          <w:bCs/>
          <w:sz w:val="21"/>
          <w:szCs w:val="21"/>
          <w:highlight w:val="none"/>
        </w:rPr>
        <w:t>附件</w:t>
      </w: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rPr>
        <w:t>中标通知书</w:t>
      </w:r>
    </w:p>
    <w:p w14:paraId="7A0D927E">
      <w:pPr>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 xml:space="preserve">   附件2：</w:t>
      </w:r>
      <w:r>
        <w:rPr>
          <w:rFonts w:hint="eastAsia" w:ascii="宋体" w:hAnsi="宋体" w:eastAsia="宋体" w:cs="宋体"/>
          <w:b/>
          <w:bCs/>
          <w:sz w:val="21"/>
          <w:szCs w:val="21"/>
          <w:highlight w:val="none"/>
        </w:rPr>
        <w:t>配置清单</w:t>
      </w:r>
    </w:p>
    <w:p w14:paraId="0EF95AAE">
      <w:pPr>
        <w:ind w:firstLine="422" w:firstLineChars="200"/>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val="en-US" w:eastAsia="zh-CN"/>
        </w:rPr>
        <w:t xml:space="preserve">   附件3：</w:t>
      </w:r>
      <w:r>
        <w:rPr>
          <w:rFonts w:hint="eastAsia" w:ascii="宋体" w:hAnsi="宋体" w:eastAsia="宋体" w:cs="宋体"/>
          <w:b/>
          <w:bCs/>
          <w:sz w:val="21"/>
          <w:szCs w:val="21"/>
          <w:highlight w:val="none"/>
          <w:lang w:eastAsia="zh-CN"/>
        </w:rPr>
        <w:t>售后服务承诺书</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83E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18A32C1">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甲    方：（盖章）</w:t>
            </w:r>
          </w:p>
        </w:tc>
        <w:tc>
          <w:tcPr>
            <w:tcW w:w="4261" w:type="dxa"/>
            <w:tcBorders>
              <w:top w:val="nil"/>
              <w:left w:val="nil"/>
              <w:bottom w:val="nil"/>
              <w:right w:val="nil"/>
            </w:tcBorders>
            <w:noWrap w:val="0"/>
            <w:vAlign w:val="top"/>
          </w:tcPr>
          <w:p w14:paraId="532A4B5D">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乙    方：（盖章）</w:t>
            </w:r>
          </w:p>
          <w:p w14:paraId="0BBF5617">
            <w:pPr>
              <w:jc w:val="left"/>
              <w:rPr>
                <w:rFonts w:hint="eastAsia" w:ascii="宋体" w:hAnsi="宋体" w:eastAsia="宋体" w:cs="宋体"/>
                <w:b/>
                <w:bCs/>
                <w:sz w:val="21"/>
                <w:szCs w:val="21"/>
                <w:highlight w:val="none"/>
                <w:vertAlign w:val="baseline"/>
                <w:lang w:eastAsia="zh-CN"/>
              </w:rPr>
            </w:pPr>
          </w:p>
        </w:tc>
      </w:tr>
      <w:tr w14:paraId="6501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4261" w:type="dxa"/>
            <w:tcBorders>
              <w:top w:val="nil"/>
              <w:left w:val="nil"/>
              <w:bottom w:val="nil"/>
              <w:right w:val="nil"/>
            </w:tcBorders>
            <w:noWrap w:val="0"/>
            <w:vAlign w:val="center"/>
          </w:tcPr>
          <w:p w14:paraId="646FC1D3">
            <w:pPr>
              <w:jc w:val="both"/>
              <w:rPr>
                <w:rFonts w:hint="eastAsia" w:ascii="宋体" w:hAnsi="宋体" w:eastAsia="宋体" w:cs="宋体"/>
                <w:b/>
                <w:bCs/>
                <w:sz w:val="21"/>
                <w:szCs w:val="21"/>
                <w:highlight w:val="none"/>
                <w:vertAlign w:val="baseline"/>
                <w:lang w:val="en-US" w:eastAsia="zh-CN"/>
              </w:rPr>
            </w:pPr>
            <w:r>
              <w:rPr>
                <w:rFonts w:hint="eastAsia" w:ascii="宋体" w:hAnsi="宋体" w:eastAsia="宋体" w:cs="宋体"/>
                <w:sz w:val="21"/>
                <w:szCs w:val="21"/>
                <w:highlight w:val="none"/>
              </w:rPr>
              <w:t>授权代表：</w:t>
            </w:r>
            <w:r>
              <w:rPr>
                <w:rFonts w:hint="eastAsia" w:ascii="宋体" w:hAnsi="宋体" w:eastAsia="宋体" w:cs="宋体"/>
                <w:sz w:val="21"/>
                <w:szCs w:val="21"/>
                <w:highlight w:val="none"/>
                <w:lang w:val="en-US" w:eastAsia="zh-CN"/>
              </w:rPr>
              <w:t xml:space="preserve">         </w:t>
            </w:r>
          </w:p>
        </w:tc>
        <w:tc>
          <w:tcPr>
            <w:tcW w:w="4261" w:type="dxa"/>
            <w:tcBorders>
              <w:top w:val="nil"/>
              <w:left w:val="nil"/>
              <w:bottom w:val="nil"/>
              <w:right w:val="nil"/>
            </w:tcBorders>
            <w:noWrap w:val="0"/>
            <w:vAlign w:val="top"/>
          </w:tcPr>
          <w:p w14:paraId="6CB3B8E8">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法定代表人：</w:t>
            </w:r>
          </w:p>
        </w:tc>
      </w:tr>
      <w:tr w14:paraId="52B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trPr>
        <w:tc>
          <w:tcPr>
            <w:tcW w:w="4261" w:type="dxa"/>
            <w:tcBorders>
              <w:top w:val="nil"/>
              <w:left w:val="nil"/>
              <w:bottom w:val="nil"/>
              <w:right w:val="nil"/>
            </w:tcBorders>
            <w:noWrap w:val="0"/>
            <w:vAlign w:val="top"/>
          </w:tcPr>
          <w:p w14:paraId="09781775">
            <w:pPr>
              <w:jc w:val="left"/>
              <w:rPr>
                <w:rFonts w:hint="eastAsia" w:ascii="宋体" w:hAnsi="宋体" w:eastAsia="宋体" w:cs="宋体"/>
                <w:b/>
                <w:bCs/>
                <w:sz w:val="21"/>
                <w:szCs w:val="21"/>
                <w:highlight w:val="none"/>
                <w:vertAlign w:val="baseline"/>
                <w:lang w:eastAsia="zh-CN"/>
              </w:rPr>
            </w:pPr>
          </w:p>
        </w:tc>
        <w:tc>
          <w:tcPr>
            <w:tcW w:w="4261" w:type="dxa"/>
            <w:tcBorders>
              <w:top w:val="nil"/>
              <w:left w:val="nil"/>
              <w:bottom w:val="nil"/>
              <w:right w:val="nil"/>
            </w:tcBorders>
            <w:noWrap w:val="0"/>
            <w:vAlign w:val="top"/>
          </w:tcPr>
          <w:p w14:paraId="68F20CF1">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授权代表</w:t>
            </w:r>
            <w:r>
              <w:rPr>
                <w:rFonts w:hint="eastAsia" w:ascii="宋体" w:hAnsi="宋体" w:eastAsia="宋体" w:cs="宋体"/>
                <w:sz w:val="21"/>
                <w:szCs w:val="21"/>
                <w:highlight w:val="none"/>
                <w:lang w:eastAsia="zh-CN"/>
              </w:rPr>
              <w:t>人：</w:t>
            </w:r>
          </w:p>
        </w:tc>
      </w:tr>
      <w:tr w14:paraId="6A26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D9D9A59">
            <w:pPr>
              <w:jc w:val="left"/>
              <w:rPr>
                <w:rFonts w:hint="eastAsia" w:ascii="宋体" w:hAnsi="宋体" w:eastAsia="宋体" w:cs="宋体"/>
                <w:b/>
                <w:bCs/>
                <w:sz w:val="21"/>
                <w:szCs w:val="21"/>
                <w:highlight w:val="none"/>
                <w:vertAlign w:val="baseline"/>
                <w:lang w:eastAsia="zh-CN"/>
              </w:rPr>
            </w:pPr>
          </w:p>
        </w:tc>
        <w:tc>
          <w:tcPr>
            <w:tcW w:w="4261" w:type="dxa"/>
            <w:tcBorders>
              <w:top w:val="nil"/>
              <w:left w:val="nil"/>
              <w:bottom w:val="nil"/>
              <w:right w:val="nil"/>
            </w:tcBorders>
            <w:noWrap w:val="0"/>
            <w:vAlign w:val="top"/>
          </w:tcPr>
          <w:p w14:paraId="4EA2B6FF">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lang w:val="en-US" w:eastAsia="zh-CN"/>
              </w:rPr>
              <w:t>纳税人识别号：此项必填</w:t>
            </w:r>
          </w:p>
        </w:tc>
      </w:tr>
      <w:tr w14:paraId="7F14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910F7A2">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地    址：</w:t>
            </w:r>
          </w:p>
        </w:tc>
        <w:tc>
          <w:tcPr>
            <w:tcW w:w="4261" w:type="dxa"/>
            <w:tcBorders>
              <w:top w:val="nil"/>
              <w:left w:val="nil"/>
              <w:bottom w:val="nil"/>
              <w:right w:val="nil"/>
            </w:tcBorders>
            <w:noWrap w:val="0"/>
            <w:vAlign w:val="top"/>
          </w:tcPr>
          <w:p w14:paraId="6339CAAC">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地    址：</w:t>
            </w:r>
          </w:p>
        </w:tc>
      </w:tr>
      <w:tr w14:paraId="699F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4DBA29D">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开户银行：</w:t>
            </w:r>
          </w:p>
        </w:tc>
        <w:tc>
          <w:tcPr>
            <w:tcW w:w="4261" w:type="dxa"/>
            <w:tcBorders>
              <w:top w:val="nil"/>
              <w:left w:val="nil"/>
              <w:bottom w:val="nil"/>
              <w:right w:val="nil"/>
            </w:tcBorders>
            <w:noWrap w:val="0"/>
            <w:vAlign w:val="top"/>
          </w:tcPr>
          <w:p w14:paraId="5F2C9B7D">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 xml:space="preserve">开户银行： </w:t>
            </w:r>
          </w:p>
        </w:tc>
      </w:tr>
      <w:tr w14:paraId="18A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AEABF46">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账    号：</w:t>
            </w:r>
          </w:p>
        </w:tc>
        <w:tc>
          <w:tcPr>
            <w:tcW w:w="4261" w:type="dxa"/>
            <w:tcBorders>
              <w:top w:val="nil"/>
              <w:left w:val="nil"/>
              <w:bottom w:val="nil"/>
              <w:right w:val="nil"/>
            </w:tcBorders>
            <w:noWrap w:val="0"/>
            <w:vAlign w:val="top"/>
          </w:tcPr>
          <w:p w14:paraId="15F5D108">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账    号：</w:t>
            </w:r>
          </w:p>
        </w:tc>
      </w:tr>
      <w:tr w14:paraId="568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6928C820">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电    话：</w:t>
            </w:r>
          </w:p>
        </w:tc>
        <w:tc>
          <w:tcPr>
            <w:tcW w:w="4261" w:type="dxa"/>
            <w:tcBorders>
              <w:top w:val="nil"/>
              <w:left w:val="nil"/>
              <w:bottom w:val="nil"/>
              <w:right w:val="nil"/>
            </w:tcBorders>
            <w:noWrap w:val="0"/>
            <w:vAlign w:val="top"/>
          </w:tcPr>
          <w:p w14:paraId="1A32DAB4">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此项必填</w:t>
            </w:r>
          </w:p>
        </w:tc>
      </w:tr>
    </w:tbl>
    <w:p w14:paraId="5593FB62">
      <w:pPr>
        <w:rPr>
          <w:rFonts w:hint="eastAsia" w:ascii="宋体" w:hAnsi="宋体" w:eastAsia="宋体" w:cs="宋体"/>
          <w:b/>
          <w:bCs/>
          <w:sz w:val="21"/>
          <w:szCs w:val="21"/>
          <w:highlight w:val="none"/>
          <w:lang w:val="en-US" w:eastAsia="zh-CN"/>
        </w:rPr>
      </w:pPr>
    </w:p>
    <w:p w14:paraId="0D28759A">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签约日期：      年     月     日          </w:t>
      </w:r>
    </w:p>
    <w:p w14:paraId="0CF2816E">
      <w:pPr>
        <w:jc w:val="left"/>
        <w:rPr>
          <w:rFonts w:hint="eastAsia" w:ascii="宋体" w:hAnsi="宋体" w:eastAsia="宋体" w:cs="宋体"/>
          <w:sz w:val="21"/>
          <w:szCs w:val="21"/>
          <w:highlight w:val="none"/>
        </w:rPr>
      </w:pPr>
    </w:p>
    <w:p w14:paraId="1F18C571">
      <w:pPr>
        <w:jc w:val="left"/>
        <w:rPr>
          <w:rFonts w:hint="eastAsia" w:ascii="宋体" w:hAnsi="宋体" w:eastAsia="宋体" w:cs="宋体"/>
          <w:spacing w:val="-4"/>
          <w:kern w:val="0"/>
          <w:highlight w:val="none"/>
        </w:rPr>
      </w:pPr>
      <w:r>
        <w:rPr>
          <w:rFonts w:hint="eastAsia" w:ascii="宋体" w:hAnsi="宋体" w:eastAsia="宋体" w:cs="宋体"/>
          <w:sz w:val="21"/>
          <w:szCs w:val="21"/>
          <w:highlight w:val="none"/>
          <w:lang w:val="en-US" w:eastAsia="zh-CN"/>
        </w:rPr>
        <w:t>医学装备部合同审核人：</w:t>
      </w:r>
      <w:r>
        <w:rPr>
          <w:rFonts w:hint="eastAsia" w:ascii="宋体" w:hAnsi="宋体" w:eastAsia="宋体" w:cs="宋体"/>
          <w:spacing w:val="-4"/>
          <w:kern w:val="0"/>
          <w:highlight w:val="none"/>
        </w:rPr>
        <w:t xml:space="preserve"> </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p>
    <w:p w14:paraId="16246FDB">
      <w:pPr>
        <w:spacing w:line="600" w:lineRule="exact"/>
        <w:jc w:val="center"/>
        <w:rPr>
          <w:rFonts w:hint="eastAsia" w:ascii="宋体" w:hAnsi="宋体" w:eastAsia="宋体" w:cs="宋体"/>
          <w:bCs/>
          <w:sz w:val="44"/>
          <w:szCs w:val="44"/>
          <w:highlight w:val="none"/>
        </w:rPr>
        <w:sectPr>
          <w:pgSz w:w="11906" w:h="16838"/>
          <w:pgMar w:top="1417" w:right="1474" w:bottom="1417" w:left="1474" w:header="851" w:footer="624" w:gutter="0"/>
          <w:pgNumType w:fmt="decimal"/>
          <w:cols w:space="720" w:num="1"/>
          <w:docGrid w:type="lines" w:linePitch="319" w:charSpace="0"/>
        </w:sectPr>
      </w:pPr>
    </w:p>
    <w:p w14:paraId="353281FE">
      <w:pPr>
        <w:spacing w:line="600" w:lineRule="exact"/>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安全生产承诺书</w:t>
      </w:r>
    </w:p>
    <w:p w14:paraId="0F25144E">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致驻马店市中心医院：</w:t>
      </w:r>
    </w:p>
    <w:p w14:paraId="3E8D8D8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为切实做好安全生产和消防工作，防止和减少各类安全事故发生，维护良好的劳动关系，依据《中华人民共和国安全生产法》等相关法律法规，在与贵院签订原生产、施工、外包、外租、经营合同的基础上，我单位郑重作出如下安全生产承诺：</w:t>
      </w:r>
    </w:p>
    <w:p w14:paraId="01E6BA4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一、遵守法规制度</w:t>
      </w:r>
    </w:p>
    <w:p w14:paraId="0EAA1E8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严格遵守国家有关安全生产的法律、法规、安全标准以及贵院的安全管理制度和操作规范，杜绝违规指挥、操作和违反劳动纪律的行为。</w:t>
      </w:r>
    </w:p>
    <w:p w14:paraId="6241089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结合自身实际，制定并切实实施各项安全管理制度和操作规程，同时将相关制度和规程报贵院备案。积极接受贵院的监督检查，对检查中发现的安全隐患，立即举一反三，主动整改到位。</w:t>
      </w:r>
    </w:p>
    <w:p w14:paraId="31488AA6">
      <w:pPr>
        <w:numPr>
          <w:ilvl w:val="0"/>
          <w:numId w:val="1"/>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人员安全管理</w:t>
      </w:r>
    </w:p>
    <w:p w14:paraId="2A1750F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向现场作业人员如实告知作业场所和工作岗位存在的危险危害因素、防范措施以及事故应急措施。</w:t>
      </w:r>
    </w:p>
    <w:p w14:paraId="23AD885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确保作业人员正确使用贵院提供的设施、设备、工具等，并定期进行检查，坚决杜绝使用存在安全隐患的设施、设备、工具。</w:t>
      </w:r>
    </w:p>
    <w:p w14:paraId="2F87CF3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做好预防职业危害的防范措施，为现场作业人员配备符合国家标准的劳动保护用品，并监督、教育作业人员正确使用和佩戴。</w:t>
      </w:r>
    </w:p>
    <w:p w14:paraId="6693DEE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配备具有资质的安全生产管理人员，强化现场安全管理。严禁强令人员冒险作业和疲劳作业，杜绝违章指挥行为。每周至少进行一次安全隐患排查整治，在施工作业前、节假日、重大活动等关键节点，也开展相应排查，并及时告知贵院联合整改。</w:t>
      </w:r>
    </w:p>
    <w:p w14:paraId="6053155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对作业人员进行全面的安全生产教育和培训，保证未经安全生产教育和培训合格的作业人员不安排上岗作业。特种作业人员必须持证上岗，并将相关证件报贵院备案。</w:t>
      </w:r>
    </w:p>
    <w:p w14:paraId="688C6969">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向贵院报备公司营业执照、所有作业人员花名册、特种作业人员资格证。若中途人员有变动，及时向贵院报告备案。</w:t>
      </w:r>
    </w:p>
    <w:p w14:paraId="2EF49326">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派遣人员入场前安排进行体检，体检合格后将结果报贵院备案。同时，确保派遣人员全部参加工伤保险，并向贵院提供相应证明文件。</w:t>
      </w:r>
    </w:p>
    <w:p w14:paraId="0B4BBEE4">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三、设施设备管理</w:t>
      </w:r>
    </w:p>
    <w:p w14:paraId="716E0DA8">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自行配备的设施、设备、工具等严格符合国家安全标准。</w:t>
      </w:r>
    </w:p>
    <w:p w14:paraId="1AE4AA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在有危险危害因素的作业区域和有关设施、设备上，设置明显的安全警示标志。</w:t>
      </w:r>
    </w:p>
    <w:p w14:paraId="0510B52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对设施设备进行定期维护保养和检测，确保其始终处于良好运行状态，杜绝设备带病作业。</w:t>
      </w:r>
    </w:p>
    <w:p w14:paraId="51C128C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四、环境与作业管理</w:t>
      </w:r>
    </w:p>
    <w:p w14:paraId="02337F0B">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按照贵院要求保持作业区域的环境卫生，做到现场环境整洁，符合安全、文明生产要求，及时设置明显的警示标识，防止人员绊倒、滑倒、砸伤等事故的发生。</w:t>
      </w:r>
    </w:p>
    <w:p w14:paraId="27ADEEC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涉及动火、高处、有限空间等危险作业时，严格遵循危险作业审批流程，落实各项安全防护措施，在确保安全的前提下进行作业。</w:t>
      </w:r>
    </w:p>
    <w:p w14:paraId="7BF041A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在生产作业过程中若存在交叉作业的情况，无条件服从贵院的统一协调、指挥。</w:t>
      </w:r>
    </w:p>
    <w:p w14:paraId="409604D1">
      <w:pPr>
        <w:numPr>
          <w:ilvl w:val="0"/>
          <w:numId w:val="2"/>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应急处置与报告</w:t>
      </w:r>
    </w:p>
    <w:p w14:paraId="274EA1A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建立安全生产台账，对安全生产工作进行详细记录。在协议履行过程中，一旦发现任何安全生产问题，立即处理，并及时告知贵院，同时做好书面记录。</w:t>
      </w:r>
    </w:p>
    <w:p w14:paraId="225C588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一旦在项目实施过程中发现存在危险因素或者发生安全事故，立即停止与该项工程相关的所有施工活动，防止事故扩大。同时，迅速采取紧急救援措施，配合贵院对伤员进行及时救治，避免二次伤害。</w:t>
      </w:r>
    </w:p>
    <w:p w14:paraId="5653C287">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主动向本地有关部门报备事故情况，并积极配合有关部门的调查和处理工作。</w:t>
      </w:r>
    </w:p>
    <w:p w14:paraId="0DBC1D2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对于发生的事故，接受贵院派员参与或督促事故调查。主动承担相应的赔偿责任，全力做好善后处理工作，确保事故现场尽快清理，消除安全隐患，尽快恢复正常生产秩序。</w:t>
      </w:r>
    </w:p>
    <w:p w14:paraId="30E052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六、其他承诺</w:t>
      </w:r>
    </w:p>
    <w:p w14:paraId="37FF2A6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因我单位过失等造成人员伤害和财产损失的，我司承担全部责任。涉及治安事件的，按照治安管理相关法规处理。</w:t>
      </w:r>
    </w:p>
    <w:p w14:paraId="3E48B82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若因我司原因导致安全事故的发生或对贵院造成严重影响，贵院有权终止合作合同，因此所产生的全部损失，由我司承担。</w:t>
      </w:r>
    </w:p>
    <w:p w14:paraId="06C42F60">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其他未尽事项：</w:t>
      </w:r>
    </w:p>
    <w:p w14:paraId="62AFE4F8">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48BFF19B">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5B3E0BF4">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p>
    <w:p w14:paraId="54D2D730">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承诺单位(盖章):__________________</w:t>
      </w:r>
    </w:p>
    <w:p w14:paraId="4C900395">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代表(签名):____________________</w:t>
      </w:r>
    </w:p>
    <w:p w14:paraId="6CBFFE97">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时间：____年____月____日</w:t>
      </w:r>
    </w:p>
    <w:p w14:paraId="6DA59F06">
      <w:pPr>
        <w:rPr>
          <w:rFonts w:hint="eastAsia" w:ascii="宋体" w:hAnsi="宋体" w:eastAsia="宋体" w:cs="宋体"/>
          <w:spacing w:val="-4"/>
          <w:kern w:val="0"/>
          <w:highlight w:val="none"/>
        </w:rPr>
      </w:pPr>
    </w:p>
    <w:p w14:paraId="7985AE8B">
      <w:pPr>
        <w:rPr>
          <w:rFonts w:hint="eastAsia" w:ascii="宋体" w:hAnsi="宋体" w:eastAsia="宋体" w:cs="宋体"/>
          <w:spacing w:val="-4"/>
          <w:kern w:val="0"/>
          <w:highlight w:val="none"/>
        </w:rPr>
      </w:pPr>
    </w:p>
    <w:p w14:paraId="583328BC">
      <w:pPr>
        <w:rPr>
          <w:rFonts w:hint="eastAsia" w:ascii="宋体" w:hAnsi="宋体" w:eastAsia="宋体" w:cs="宋体"/>
          <w:spacing w:val="-4"/>
          <w:kern w:val="0"/>
          <w:highlight w:val="none"/>
        </w:rPr>
      </w:pPr>
    </w:p>
    <w:p w14:paraId="775223C7">
      <w:pPr>
        <w:rPr>
          <w:rFonts w:hint="eastAsia" w:ascii="宋体" w:hAnsi="宋体" w:eastAsia="宋体" w:cs="宋体"/>
          <w:spacing w:val="-4"/>
          <w:kern w:val="0"/>
          <w:highlight w:val="none"/>
        </w:rPr>
        <w:sectPr>
          <w:pgSz w:w="11906" w:h="16838"/>
          <w:pgMar w:top="1417" w:right="1474" w:bottom="1417" w:left="1474" w:header="851" w:footer="624" w:gutter="0"/>
          <w:pgNumType w:fmt="decimal"/>
          <w:cols w:space="720" w:num="1"/>
          <w:docGrid w:type="lines" w:linePitch="319" w:charSpace="0"/>
        </w:sectPr>
      </w:pPr>
    </w:p>
    <w:p w14:paraId="7F0D9770">
      <w:pPr>
        <w:rPr>
          <w:rFonts w:hint="eastAsia" w:ascii="宋体" w:hAnsi="宋体" w:eastAsia="宋体" w:cs="宋体"/>
          <w:b/>
          <w:bCs/>
          <w:spacing w:val="-4"/>
          <w:kern w:val="0"/>
          <w:sz w:val="24"/>
          <w:szCs w:val="32"/>
          <w:highlight w:val="none"/>
          <w:lang w:val="en-US" w:eastAsia="zh-CN"/>
        </w:rPr>
      </w:pPr>
      <w:r>
        <w:rPr>
          <w:rFonts w:hint="eastAsia" w:ascii="宋体" w:hAnsi="宋体" w:eastAsia="宋体" w:cs="宋体"/>
          <w:b/>
          <w:bCs/>
          <w:spacing w:val="-4"/>
          <w:kern w:val="0"/>
          <w:sz w:val="24"/>
          <w:szCs w:val="32"/>
          <w:highlight w:val="none"/>
          <w:lang w:eastAsia="zh-CN"/>
        </w:rPr>
        <w:t>附件</w:t>
      </w:r>
      <w:r>
        <w:rPr>
          <w:rFonts w:hint="eastAsia" w:ascii="宋体" w:hAnsi="宋体" w:eastAsia="宋体" w:cs="宋体"/>
          <w:b/>
          <w:bCs/>
          <w:spacing w:val="-4"/>
          <w:kern w:val="0"/>
          <w:sz w:val="24"/>
          <w:szCs w:val="32"/>
          <w:highlight w:val="none"/>
          <w:lang w:val="en-US" w:eastAsia="zh-CN"/>
        </w:rPr>
        <w:t>2：</w:t>
      </w:r>
    </w:p>
    <w:p w14:paraId="4E4217A6">
      <w:pPr>
        <w:rPr>
          <w:rFonts w:hint="eastAsia" w:ascii="宋体" w:hAnsi="宋体" w:eastAsia="宋体" w:cs="宋体"/>
          <w:b/>
          <w:bCs/>
          <w:spacing w:val="-4"/>
          <w:kern w:val="0"/>
          <w:highlight w:val="none"/>
          <w:lang w:val="en-US" w:eastAsia="zh-CN"/>
        </w:rPr>
      </w:pPr>
    </w:p>
    <w:p w14:paraId="012A152F">
      <w:pPr>
        <w:jc w:val="center"/>
        <w:rPr>
          <w:rFonts w:hint="eastAsia" w:ascii="宋体" w:hAnsi="宋体" w:eastAsia="宋体" w:cs="宋体"/>
          <w:b/>
          <w:bCs/>
          <w:spacing w:val="-4"/>
          <w:kern w:val="0"/>
          <w:sz w:val="24"/>
          <w:szCs w:val="32"/>
          <w:highlight w:val="none"/>
          <w:lang w:val="en-US" w:eastAsia="zh-CN"/>
        </w:rPr>
      </w:pPr>
      <w:r>
        <w:rPr>
          <w:rFonts w:hint="eastAsia" w:ascii="宋体" w:hAnsi="宋体" w:eastAsia="宋体" w:cs="宋体"/>
          <w:b/>
          <w:bCs/>
          <w:spacing w:val="-4"/>
          <w:kern w:val="0"/>
          <w:sz w:val="24"/>
          <w:szCs w:val="32"/>
          <w:highlight w:val="none"/>
          <w:lang w:val="en-US" w:eastAsia="zh-CN"/>
        </w:rPr>
        <w:t>驻马店市中心医院</w:t>
      </w:r>
    </w:p>
    <w:p w14:paraId="01689925">
      <w:pPr>
        <w:jc w:val="center"/>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（产品注册证名称）配置清单</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330"/>
        <w:gridCol w:w="935"/>
        <w:gridCol w:w="1195"/>
        <w:gridCol w:w="1065"/>
        <w:gridCol w:w="1065"/>
        <w:gridCol w:w="1066"/>
        <w:gridCol w:w="1066"/>
      </w:tblGrid>
      <w:tr w14:paraId="4940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504415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序号</w:t>
            </w:r>
          </w:p>
        </w:tc>
        <w:tc>
          <w:tcPr>
            <w:tcW w:w="1330" w:type="dxa"/>
            <w:noWrap w:val="0"/>
            <w:vAlign w:val="center"/>
          </w:tcPr>
          <w:p w14:paraId="5C425AD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物品名称</w:t>
            </w:r>
          </w:p>
        </w:tc>
        <w:tc>
          <w:tcPr>
            <w:tcW w:w="935" w:type="dxa"/>
            <w:noWrap w:val="0"/>
            <w:vAlign w:val="center"/>
          </w:tcPr>
          <w:p w14:paraId="4B630E4A">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品牌</w:t>
            </w:r>
          </w:p>
        </w:tc>
        <w:tc>
          <w:tcPr>
            <w:tcW w:w="1195" w:type="dxa"/>
            <w:noWrap w:val="0"/>
            <w:vAlign w:val="center"/>
          </w:tcPr>
          <w:p w14:paraId="3C2A2B62">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规格型号</w:t>
            </w:r>
          </w:p>
        </w:tc>
        <w:tc>
          <w:tcPr>
            <w:tcW w:w="1065" w:type="dxa"/>
            <w:noWrap w:val="0"/>
            <w:vAlign w:val="center"/>
          </w:tcPr>
          <w:p w14:paraId="0C159ED9">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产地</w:t>
            </w:r>
          </w:p>
        </w:tc>
        <w:tc>
          <w:tcPr>
            <w:tcW w:w="1065" w:type="dxa"/>
            <w:noWrap w:val="0"/>
            <w:vAlign w:val="center"/>
          </w:tcPr>
          <w:p w14:paraId="3D26462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数量</w:t>
            </w:r>
          </w:p>
        </w:tc>
        <w:tc>
          <w:tcPr>
            <w:tcW w:w="1066" w:type="dxa"/>
            <w:noWrap w:val="0"/>
            <w:vAlign w:val="center"/>
          </w:tcPr>
          <w:p w14:paraId="2860B666">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单位</w:t>
            </w:r>
          </w:p>
        </w:tc>
        <w:tc>
          <w:tcPr>
            <w:tcW w:w="1066" w:type="dxa"/>
            <w:noWrap w:val="0"/>
            <w:vAlign w:val="center"/>
          </w:tcPr>
          <w:p w14:paraId="0A2C07E8">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备注</w:t>
            </w:r>
          </w:p>
        </w:tc>
      </w:tr>
      <w:tr w14:paraId="4F8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01E2B67">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1</w:t>
            </w:r>
          </w:p>
        </w:tc>
        <w:tc>
          <w:tcPr>
            <w:tcW w:w="1330" w:type="dxa"/>
            <w:noWrap w:val="0"/>
            <w:vAlign w:val="center"/>
          </w:tcPr>
          <w:p w14:paraId="49431C49">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941FE2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B92ECA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60B8369">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15F46E6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1B81C98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7F049C91">
            <w:pPr>
              <w:jc w:val="center"/>
              <w:rPr>
                <w:rFonts w:hint="eastAsia" w:ascii="宋体" w:hAnsi="宋体" w:eastAsia="宋体" w:cs="宋体"/>
                <w:b w:val="0"/>
                <w:bCs w:val="0"/>
                <w:spacing w:val="-4"/>
                <w:kern w:val="0"/>
                <w:sz w:val="24"/>
                <w:szCs w:val="24"/>
                <w:highlight w:val="none"/>
                <w:vertAlign w:val="baseline"/>
                <w:lang w:val="en-US" w:eastAsia="zh-CN"/>
              </w:rPr>
            </w:pPr>
          </w:p>
        </w:tc>
      </w:tr>
      <w:tr w14:paraId="78F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E6D76E1">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2</w:t>
            </w:r>
          </w:p>
        </w:tc>
        <w:tc>
          <w:tcPr>
            <w:tcW w:w="1330" w:type="dxa"/>
            <w:noWrap w:val="0"/>
            <w:vAlign w:val="center"/>
          </w:tcPr>
          <w:p w14:paraId="03B22817">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BA51408">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703D28C3">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4400D73">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1D63C65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6C71B536">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DE2D0AC">
            <w:pPr>
              <w:jc w:val="center"/>
              <w:rPr>
                <w:rFonts w:hint="eastAsia" w:ascii="宋体" w:hAnsi="宋体" w:eastAsia="宋体" w:cs="宋体"/>
                <w:b w:val="0"/>
                <w:bCs w:val="0"/>
                <w:spacing w:val="-4"/>
                <w:kern w:val="0"/>
                <w:sz w:val="24"/>
                <w:szCs w:val="24"/>
                <w:highlight w:val="none"/>
                <w:vertAlign w:val="baseline"/>
                <w:lang w:val="en-US" w:eastAsia="zh-CN"/>
              </w:rPr>
            </w:pPr>
          </w:p>
        </w:tc>
      </w:tr>
      <w:tr w14:paraId="39E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6E7B12D1">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3</w:t>
            </w:r>
          </w:p>
        </w:tc>
        <w:tc>
          <w:tcPr>
            <w:tcW w:w="1330" w:type="dxa"/>
            <w:noWrap w:val="0"/>
            <w:vAlign w:val="center"/>
          </w:tcPr>
          <w:p w14:paraId="298D8F62">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7E95920">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24C59A2">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A2B2CEB">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48FA0346">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042C969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7629DB35">
            <w:pPr>
              <w:jc w:val="center"/>
              <w:rPr>
                <w:rFonts w:hint="eastAsia" w:ascii="宋体" w:hAnsi="宋体" w:eastAsia="宋体" w:cs="宋体"/>
                <w:b w:val="0"/>
                <w:bCs w:val="0"/>
                <w:spacing w:val="-4"/>
                <w:kern w:val="0"/>
                <w:sz w:val="24"/>
                <w:szCs w:val="24"/>
                <w:highlight w:val="none"/>
                <w:vertAlign w:val="baseline"/>
                <w:lang w:val="en-US" w:eastAsia="zh-CN"/>
              </w:rPr>
            </w:pPr>
          </w:p>
        </w:tc>
      </w:tr>
      <w:tr w14:paraId="3EA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05088B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4</w:t>
            </w:r>
          </w:p>
        </w:tc>
        <w:tc>
          <w:tcPr>
            <w:tcW w:w="1330" w:type="dxa"/>
            <w:noWrap w:val="0"/>
            <w:vAlign w:val="center"/>
          </w:tcPr>
          <w:p w14:paraId="1DBC3236">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6562C31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8F2B57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8CD61F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E160222">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1AC878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D4B1AC0">
            <w:pPr>
              <w:jc w:val="center"/>
              <w:rPr>
                <w:rFonts w:hint="eastAsia" w:ascii="宋体" w:hAnsi="宋体" w:eastAsia="宋体" w:cs="宋体"/>
                <w:b w:val="0"/>
                <w:bCs w:val="0"/>
                <w:spacing w:val="-4"/>
                <w:kern w:val="0"/>
                <w:sz w:val="24"/>
                <w:szCs w:val="24"/>
                <w:highlight w:val="none"/>
                <w:vertAlign w:val="baseline"/>
                <w:lang w:val="en-US" w:eastAsia="zh-CN"/>
              </w:rPr>
            </w:pPr>
          </w:p>
        </w:tc>
      </w:tr>
      <w:tr w14:paraId="409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2C41C108">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5</w:t>
            </w:r>
          </w:p>
        </w:tc>
        <w:tc>
          <w:tcPr>
            <w:tcW w:w="1330" w:type="dxa"/>
            <w:noWrap w:val="0"/>
            <w:vAlign w:val="center"/>
          </w:tcPr>
          <w:p w14:paraId="4BD7F29E">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660A462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11F78B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454AD0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42EDDD5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5B1AFEC">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23B0CE22">
            <w:pPr>
              <w:jc w:val="center"/>
              <w:rPr>
                <w:rFonts w:hint="eastAsia" w:ascii="宋体" w:hAnsi="宋体" w:eastAsia="宋体" w:cs="宋体"/>
                <w:b w:val="0"/>
                <w:bCs w:val="0"/>
                <w:spacing w:val="-4"/>
                <w:kern w:val="0"/>
                <w:sz w:val="24"/>
                <w:szCs w:val="24"/>
                <w:highlight w:val="none"/>
                <w:vertAlign w:val="baseline"/>
                <w:lang w:val="en-US" w:eastAsia="zh-CN"/>
              </w:rPr>
            </w:pPr>
          </w:p>
        </w:tc>
      </w:tr>
      <w:tr w14:paraId="087A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4F7216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6</w:t>
            </w:r>
          </w:p>
        </w:tc>
        <w:tc>
          <w:tcPr>
            <w:tcW w:w="1330" w:type="dxa"/>
            <w:noWrap w:val="0"/>
            <w:vAlign w:val="center"/>
          </w:tcPr>
          <w:p w14:paraId="683C4DD1">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29AF992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01DB864">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17E8645">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303E055">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6A052A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9CD2465">
            <w:pPr>
              <w:jc w:val="center"/>
              <w:rPr>
                <w:rFonts w:hint="eastAsia" w:ascii="宋体" w:hAnsi="宋体" w:eastAsia="宋体" w:cs="宋体"/>
                <w:b w:val="0"/>
                <w:bCs w:val="0"/>
                <w:spacing w:val="-4"/>
                <w:kern w:val="0"/>
                <w:sz w:val="24"/>
                <w:szCs w:val="24"/>
                <w:highlight w:val="none"/>
                <w:vertAlign w:val="baseline"/>
                <w:lang w:val="en-US" w:eastAsia="zh-CN"/>
              </w:rPr>
            </w:pPr>
          </w:p>
        </w:tc>
      </w:tr>
      <w:tr w14:paraId="2104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DBB277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7</w:t>
            </w:r>
          </w:p>
        </w:tc>
        <w:tc>
          <w:tcPr>
            <w:tcW w:w="1330" w:type="dxa"/>
            <w:noWrap w:val="0"/>
            <w:vAlign w:val="center"/>
          </w:tcPr>
          <w:p w14:paraId="1F059662">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7D97585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83C3CE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2BEDA9A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5C9ACB0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898180C">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2881821C">
            <w:pPr>
              <w:jc w:val="center"/>
              <w:rPr>
                <w:rFonts w:hint="eastAsia" w:ascii="宋体" w:hAnsi="宋体" w:eastAsia="宋体" w:cs="宋体"/>
                <w:b w:val="0"/>
                <w:bCs w:val="0"/>
                <w:spacing w:val="-4"/>
                <w:kern w:val="0"/>
                <w:sz w:val="24"/>
                <w:szCs w:val="24"/>
                <w:highlight w:val="none"/>
                <w:vertAlign w:val="baseline"/>
                <w:lang w:val="en-US" w:eastAsia="zh-CN"/>
              </w:rPr>
            </w:pPr>
          </w:p>
        </w:tc>
      </w:tr>
    </w:tbl>
    <w:p w14:paraId="3D5DB07C">
      <w:pPr>
        <w:jc w:val="center"/>
        <w:rPr>
          <w:rFonts w:hint="eastAsia" w:ascii="宋体" w:hAnsi="宋体" w:eastAsia="宋体" w:cs="宋体"/>
          <w:b w:val="0"/>
          <w:bCs w:val="0"/>
          <w:spacing w:val="-4"/>
          <w:kern w:val="0"/>
          <w:sz w:val="24"/>
          <w:szCs w:val="24"/>
          <w:highlight w:val="none"/>
          <w:lang w:val="en-US" w:eastAsia="zh-CN"/>
        </w:rPr>
      </w:pPr>
    </w:p>
    <w:p w14:paraId="19CD5838">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备注：此配置清单按单台配置填写。</w:t>
      </w:r>
    </w:p>
    <w:p w14:paraId="22D7FB0C">
      <w:pPr>
        <w:jc w:val="left"/>
        <w:rPr>
          <w:rFonts w:hint="eastAsia" w:ascii="宋体" w:hAnsi="宋体" w:eastAsia="宋体" w:cs="宋体"/>
          <w:b w:val="0"/>
          <w:bCs w:val="0"/>
          <w:spacing w:val="-4"/>
          <w:kern w:val="0"/>
          <w:sz w:val="24"/>
          <w:szCs w:val="24"/>
          <w:highlight w:val="none"/>
          <w:lang w:val="en-US" w:eastAsia="zh-CN"/>
        </w:rPr>
      </w:pPr>
    </w:p>
    <w:p w14:paraId="49A6B9D8">
      <w:pPr>
        <w:jc w:val="left"/>
        <w:rPr>
          <w:rFonts w:hint="eastAsia" w:ascii="宋体" w:hAnsi="宋体" w:eastAsia="宋体" w:cs="宋体"/>
          <w:b w:val="0"/>
          <w:bCs w:val="0"/>
          <w:spacing w:val="-4"/>
          <w:kern w:val="0"/>
          <w:sz w:val="24"/>
          <w:szCs w:val="24"/>
          <w:highlight w:val="none"/>
          <w:lang w:val="en-US" w:eastAsia="zh-CN"/>
        </w:rPr>
      </w:pPr>
    </w:p>
    <w:p w14:paraId="6B45603F">
      <w:pPr>
        <w:jc w:val="left"/>
        <w:rPr>
          <w:rFonts w:hint="eastAsia" w:ascii="宋体" w:hAnsi="宋体" w:eastAsia="宋体" w:cs="宋体"/>
          <w:b w:val="0"/>
          <w:bCs w:val="0"/>
          <w:spacing w:val="-4"/>
          <w:kern w:val="0"/>
          <w:sz w:val="24"/>
          <w:szCs w:val="24"/>
          <w:highlight w:val="none"/>
          <w:lang w:val="en-US" w:eastAsia="zh-CN"/>
        </w:rPr>
      </w:pPr>
    </w:p>
    <w:p w14:paraId="36D95D13">
      <w:pPr>
        <w:jc w:val="left"/>
        <w:rPr>
          <w:rFonts w:hint="eastAsia" w:ascii="宋体" w:hAnsi="宋体" w:eastAsia="宋体" w:cs="宋体"/>
          <w:b w:val="0"/>
          <w:bCs w:val="0"/>
          <w:spacing w:val="-4"/>
          <w:kern w:val="0"/>
          <w:sz w:val="24"/>
          <w:szCs w:val="24"/>
          <w:highlight w:val="none"/>
          <w:lang w:val="en-US" w:eastAsia="zh-CN"/>
        </w:rPr>
      </w:pPr>
    </w:p>
    <w:p w14:paraId="6F2C8DAA">
      <w:pPr>
        <w:jc w:val="left"/>
        <w:rPr>
          <w:rFonts w:hint="eastAsia" w:ascii="宋体" w:hAnsi="宋体" w:eastAsia="宋体" w:cs="宋体"/>
          <w:b w:val="0"/>
          <w:bCs w:val="0"/>
          <w:spacing w:val="-4"/>
          <w:kern w:val="0"/>
          <w:sz w:val="24"/>
          <w:szCs w:val="24"/>
          <w:highlight w:val="none"/>
          <w:lang w:val="en-US" w:eastAsia="zh-CN"/>
        </w:rPr>
      </w:pPr>
    </w:p>
    <w:p w14:paraId="1C2B418F">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公司法定代表人或授权代表签字：                 </w:t>
      </w:r>
    </w:p>
    <w:p w14:paraId="5D6FA518">
      <w:pPr>
        <w:jc w:val="left"/>
        <w:rPr>
          <w:rFonts w:hint="eastAsia" w:ascii="宋体" w:hAnsi="宋体" w:eastAsia="宋体" w:cs="宋体"/>
          <w:b w:val="0"/>
          <w:bCs w:val="0"/>
          <w:spacing w:val="-4"/>
          <w:kern w:val="0"/>
          <w:sz w:val="24"/>
          <w:szCs w:val="24"/>
          <w:highlight w:val="none"/>
          <w:lang w:val="en-US" w:eastAsia="zh-CN"/>
        </w:rPr>
      </w:pPr>
    </w:p>
    <w:p w14:paraId="4DE62550">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公司盖章：               </w:t>
      </w:r>
    </w:p>
    <w:p w14:paraId="6DA6614D">
      <w:pPr>
        <w:jc w:val="left"/>
        <w:rPr>
          <w:rFonts w:hint="eastAsia" w:ascii="宋体" w:hAnsi="宋体" w:eastAsia="宋体" w:cs="宋体"/>
          <w:b w:val="0"/>
          <w:bCs w:val="0"/>
          <w:spacing w:val="-4"/>
          <w:kern w:val="0"/>
          <w:sz w:val="24"/>
          <w:szCs w:val="24"/>
          <w:highlight w:val="none"/>
          <w:lang w:val="en-US" w:eastAsia="zh-CN"/>
        </w:rPr>
      </w:pPr>
    </w:p>
    <w:p w14:paraId="4FB84AC2">
      <w:pPr>
        <w:jc w:val="left"/>
        <w:rPr>
          <w:rFonts w:hint="eastAsia" w:ascii="宋体" w:hAnsi="宋体" w:eastAsia="宋体" w:cs="宋体"/>
          <w:b w:val="0"/>
          <w:bCs w:val="0"/>
          <w:spacing w:val="-4"/>
          <w:kern w:val="0"/>
          <w:sz w:val="24"/>
          <w:szCs w:val="24"/>
          <w:highlight w:val="none"/>
          <w:lang w:val="en-US" w:eastAsia="zh-CN"/>
        </w:rPr>
      </w:pPr>
    </w:p>
    <w:p w14:paraId="480B9128">
      <w:pPr>
        <w:jc w:val="left"/>
        <w:rPr>
          <w:rFonts w:hint="eastAsia" w:ascii="宋体" w:hAnsi="宋体" w:eastAsia="宋体" w:cs="宋体"/>
          <w:b w:val="0"/>
          <w:bCs w:val="0"/>
          <w:spacing w:val="-4"/>
          <w:kern w:val="0"/>
          <w:sz w:val="24"/>
          <w:szCs w:val="24"/>
          <w:highlight w:val="none"/>
          <w:lang w:val="en-US" w:eastAsia="zh-CN"/>
        </w:rPr>
      </w:pPr>
    </w:p>
    <w:p w14:paraId="4BE9E3E8">
      <w:pPr>
        <w:jc w:val="left"/>
        <w:rPr>
          <w:rFonts w:hint="eastAsia" w:ascii="宋体" w:hAnsi="宋体" w:eastAsia="宋体" w:cs="宋体"/>
          <w:b w:val="0"/>
          <w:bCs w:val="0"/>
          <w:spacing w:val="-4"/>
          <w:kern w:val="0"/>
          <w:sz w:val="24"/>
          <w:szCs w:val="24"/>
          <w:highlight w:val="none"/>
          <w:lang w:val="en-US" w:eastAsia="zh-CN"/>
        </w:rPr>
      </w:pPr>
    </w:p>
    <w:p w14:paraId="7D44AF77">
      <w:pPr>
        <w:jc w:val="left"/>
        <w:rPr>
          <w:rFonts w:hint="eastAsia" w:ascii="宋体" w:hAnsi="宋体" w:eastAsia="宋体" w:cs="宋体"/>
          <w:b w:val="0"/>
          <w:bCs w:val="0"/>
          <w:spacing w:val="-4"/>
          <w:kern w:val="0"/>
          <w:sz w:val="24"/>
          <w:szCs w:val="24"/>
          <w:highlight w:val="none"/>
          <w:lang w:val="en-US" w:eastAsia="zh-CN"/>
        </w:rPr>
      </w:pPr>
    </w:p>
    <w:p w14:paraId="55658BAE">
      <w:pPr>
        <w:jc w:val="left"/>
        <w:rPr>
          <w:rFonts w:hint="eastAsia" w:ascii="宋体" w:hAnsi="宋体" w:eastAsia="宋体" w:cs="宋体"/>
          <w:b w:val="0"/>
          <w:bCs w:val="0"/>
          <w:spacing w:val="-4"/>
          <w:kern w:val="0"/>
          <w:sz w:val="24"/>
          <w:szCs w:val="24"/>
          <w:highlight w:val="none"/>
          <w:lang w:val="en-US" w:eastAsia="zh-CN"/>
        </w:rPr>
      </w:pPr>
    </w:p>
    <w:p w14:paraId="189B1960">
      <w:pPr>
        <w:jc w:val="left"/>
        <w:rPr>
          <w:rFonts w:hint="eastAsia" w:ascii="宋体" w:hAnsi="宋体" w:eastAsia="宋体" w:cs="宋体"/>
          <w:b w:val="0"/>
          <w:bCs w:val="0"/>
          <w:spacing w:val="-4"/>
          <w:kern w:val="0"/>
          <w:sz w:val="24"/>
          <w:szCs w:val="24"/>
          <w:highlight w:val="none"/>
          <w:lang w:val="en-US" w:eastAsia="zh-CN"/>
        </w:rPr>
      </w:pPr>
    </w:p>
    <w:p w14:paraId="46347DCC">
      <w:pPr>
        <w:jc w:val="left"/>
        <w:rPr>
          <w:rFonts w:hint="eastAsia" w:ascii="宋体" w:hAnsi="宋体" w:eastAsia="宋体" w:cs="宋体"/>
          <w:b w:val="0"/>
          <w:bCs w:val="0"/>
          <w:spacing w:val="-4"/>
          <w:kern w:val="0"/>
          <w:sz w:val="24"/>
          <w:szCs w:val="24"/>
          <w:highlight w:val="none"/>
          <w:lang w:val="en-US" w:eastAsia="zh-CN"/>
        </w:rPr>
      </w:pPr>
    </w:p>
    <w:p w14:paraId="4A3F696B">
      <w:pPr>
        <w:jc w:val="left"/>
        <w:rPr>
          <w:rFonts w:hint="eastAsia" w:ascii="宋体" w:hAnsi="宋体" w:eastAsia="宋体" w:cs="宋体"/>
          <w:b w:val="0"/>
          <w:bCs w:val="0"/>
          <w:spacing w:val="-4"/>
          <w:kern w:val="0"/>
          <w:sz w:val="24"/>
          <w:szCs w:val="24"/>
          <w:highlight w:val="none"/>
          <w:lang w:val="en-US" w:eastAsia="zh-CN"/>
        </w:rPr>
      </w:pPr>
    </w:p>
    <w:p w14:paraId="6312EF09">
      <w:pPr>
        <w:jc w:val="left"/>
        <w:rPr>
          <w:rFonts w:hint="eastAsia" w:ascii="宋体" w:hAnsi="宋体" w:eastAsia="宋体" w:cs="宋体"/>
          <w:b w:val="0"/>
          <w:bCs w:val="0"/>
          <w:spacing w:val="-4"/>
          <w:kern w:val="0"/>
          <w:sz w:val="24"/>
          <w:szCs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B80EA59">
      <w:pPr>
        <w:jc w:val="left"/>
        <w:rPr>
          <w:rFonts w:hint="eastAsia" w:ascii="宋体" w:hAnsi="宋体" w:eastAsia="宋体" w:cs="宋体"/>
          <w:b/>
          <w:bCs/>
          <w:spacing w:val="-4"/>
          <w:kern w:val="0"/>
          <w:sz w:val="30"/>
          <w:szCs w:val="30"/>
          <w:highlight w:val="none"/>
          <w:lang w:val="en-US" w:eastAsia="zh-CN"/>
        </w:rPr>
      </w:pPr>
      <w:r>
        <w:rPr>
          <w:rFonts w:hint="eastAsia" w:ascii="宋体" w:hAnsi="宋体" w:eastAsia="宋体" w:cs="宋体"/>
          <w:b/>
          <w:bCs/>
          <w:spacing w:val="-4"/>
          <w:kern w:val="0"/>
          <w:sz w:val="30"/>
          <w:szCs w:val="30"/>
          <w:highlight w:val="none"/>
          <w:lang w:val="en-US" w:eastAsia="zh-CN"/>
        </w:rPr>
        <w:t>附件3</w:t>
      </w:r>
    </w:p>
    <w:p w14:paraId="09B2A667">
      <w:pPr>
        <w:jc w:val="left"/>
        <w:rPr>
          <w:rFonts w:hint="eastAsia" w:ascii="宋体" w:hAnsi="宋体" w:eastAsia="宋体" w:cs="宋体"/>
          <w:b/>
          <w:bCs/>
          <w:spacing w:val="-4"/>
          <w:kern w:val="0"/>
          <w:sz w:val="30"/>
          <w:szCs w:val="30"/>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                    </w:t>
      </w:r>
      <w:r>
        <w:rPr>
          <w:rFonts w:hint="eastAsia" w:ascii="宋体" w:hAnsi="宋体" w:eastAsia="宋体" w:cs="宋体"/>
          <w:b/>
          <w:bCs/>
          <w:spacing w:val="-4"/>
          <w:kern w:val="0"/>
          <w:sz w:val="30"/>
          <w:szCs w:val="30"/>
          <w:highlight w:val="none"/>
          <w:lang w:val="en-US" w:eastAsia="zh-CN"/>
        </w:rPr>
        <w:t xml:space="preserve">  驻马店市中心医院售后服务承诺书</w:t>
      </w:r>
    </w:p>
    <w:p w14:paraId="17028E6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针对我方提供的设备，我方做出如下承诺：</w:t>
      </w:r>
    </w:p>
    <w:p w14:paraId="7E5AA8C1">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lang w:val="en-US" w:eastAsia="zh-CN"/>
        </w:rPr>
        <w:t>1、设备整机原厂保修</w:t>
      </w:r>
      <w:r>
        <w:rPr>
          <w:rFonts w:hint="eastAsia" w:ascii="宋体" w:hAnsi="宋体" w:eastAsia="宋体" w:cs="宋体"/>
          <w:b w:val="0"/>
          <w:bCs w:val="0"/>
          <w:spacing w:val="-4"/>
          <w:kern w:val="0"/>
          <w:sz w:val="24"/>
          <w:szCs w:val="24"/>
          <w:highlight w:val="none"/>
          <w:u w:val="single"/>
          <w:lang w:val="en-US" w:eastAsia="zh-CN"/>
        </w:rPr>
        <w:t xml:space="preserve">      </w:t>
      </w:r>
      <w:r>
        <w:rPr>
          <w:rFonts w:hint="eastAsia" w:ascii="宋体" w:hAnsi="宋体" w:eastAsia="宋体" w:cs="宋体"/>
          <w:b w:val="0"/>
          <w:bCs w:val="0"/>
          <w:spacing w:val="-4"/>
          <w:kern w:val="0"/>
          <w:sz w:val="24"/>
          <w:szCs w:val="24"/>
          <w:highlight w:val="none"/>
          <w:u w:val="none"/>
          <w:lang w:val="en-US" w:eastAsia="zh-CN"/>
        </w:rPr>
        <w:t xml:space="preserve">年，保修时间按甲方入库之日计算，除火灾、洪水、地震等天灾外，保修期内免费更换零配件及工时费，确保开机率为95%（含）以上。设备保修期内，设备维修占用日期每增加一天按保修时间往后顺延七天。 </w:t>
      </w:r>
    </w:p>
    <w:p w14:paraId="7F75A6D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2、每年 4 次专业维护保养，详细制定年度维护计划及保养内容，每次维护保养提前一周通知甲方约定保养时间。保养内容按照原厂标准进行，包括设备清洁、性能测试及校准、必要的机械或电气检查，以及非紧急性质的预防性维护，和确保系统能按照制造商的产品规格运行的其他维护，对设备构成的功能单元进行安全、图像质量方面的检测，并提供详细保养报告及年度维修保养服务报告。</w:t>
      </w:r>
    </w:p>
    <w:p w14:paraId="50B1454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3、为甲方提供现场维修、零备件更换等服务。 </w:t>
      </w:r>
    </w:p>
    <w:p w14:paraId="57AA560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4、现场维修：乙方为甲方提供无限次免费工时和派工，无限次现场维修，节假日及非工作时间提供紧急维修，20分钟内电话响应，24小时内工程师到达现场，一般故障48小时内维修完毕。如当场不能解决问题，提供备用机，确保不影响医院的正常使用。 </w:t>
      </w:r>
    </w:p>
    <w:p w14:paraId="5BEECCD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5、零备件更换：在合同有效期内，保证提供原厂全新零备件，本合同服务范围内的设备进行合同约定的维修，甲方不再额外支付费用。 </w:t>
      </w:r>
    </w:p>
    <w:p w14:paraId="20A3F44E">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6、质保期满后，负责设备的终身维修并继续提供优质的服务，储备足够的零配件备库，并始终能以市场上最优惠的价格提供优质的配件。</w:t>
      </w:r>
    </w:p>
    <w:p w14:paraId="7262BF00">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7、设备配套的软件终身免费升级和使用，及时提供设备新功能信息和临床应用资料。 </w:t>
      </w:r>
    </w:p>
    <w:p w14:paraId="7FC61E7A">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8、投标人、厂家认为其他必要的内容（投标文件中其他售后服务承诺）。 </w:t>
      </w:r>
    </w:p>
    <w:p w14:paraId="59FFDDA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pacing w:val="-4"/>
          <w:kern w:val="0"/>
          <w:sz w:val="24"/>
          <w:szCs w:val="24"/>
          <w:highlight w:val="none"/>
          <w:u w:val="none"/>
          <w:lang w:val="en-US" w:eastAsia="zh-CN"/>
        </w:rPr>
      </w:pPr>
    </w:p>
    <w:p w14:paraId="5F27984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p>
    <w:p w14:paraId="1F72107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生产厂家（签章）：必填 </w:t>
      </w:r>
    </w:p>
    <w:p w14:paraId="09F9FB1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地址：必填 </w:t>
      </w:r>
    </w:p>
    <w:p w14:paraId="20057C0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联系人：必填 </w:t>
      </w:r>
    </w:p>
    <w:p w14:paraId="7888FCA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联系方式：必填</w:t>
      </w:r>
    </w:p>
    <w:p w14:paraId="63B0B57D">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1"/>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0829"/>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eastAsia="宋体" w:cs="宋体"/>
          <w:color w:val="auto"/>
          <w:sz w:val="24"/>
          <w:highlight w:val="none"/>
          <w:lang w:val="en-US" w:eastAsia="zh-CN"/>
        </w:rPr>
        <w:t xml:space="preserve"> 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1"/>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6"/>
        <w:rPr>
          <w:rFonts w:hint="eastAsia" w:ascii="宋体" w:hAnsi="宋体" w:eastAsia="宋体" w:cs="宋体"/>
          <w:color w:val="auto"/>
          <w:highlight w:val="none"/>
        </w:rPr>
      </w:pPr>
    </w:p>
    <w:p w14:paraId="67FE75CD">
      <w:pPr>
        <w:pStyle w:val="6"/>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r>
        <w:rPr>
          <w:rFonts w:hint="eastAsia" w:ascii="宋体" w:hAnsi="宋体" w:cs="宋体"/>
          <w:b/>
          <w:snapToGrid w:val="0"/>
          <w:color w:val="auto"/>
          <w:spacing w:val="0"/>
          <w:kern w:val="0"/>
          <w:sz w:val="44"/>
          <w:szCs w:val="44"/>
          <w:highlight w:val="none"/>
          <w:u w:val="none"/>
          <w:lang w:val="en-US" w:eastAsia="zh-CN"/>
        </w:rPr>
        <w:t>（二次）</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eastAsia="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6"/>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8818"/>
      <w:bookmarkStart w:id="58" w:name="_Toc14560"/>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我方仔细研究了</w:t>
      </w:r>
      <w:r>
        <w:rPr>
          <w:rFonts w:hint="eastAsia" w:ascii="宋体" w:hAnsi="宋体" w:eastAsia="宋体" w:cs="宋体"/>
          <w:bCs/>
          <w:color w:val="auto"/>
          <w:sz w:val="24"/>
          <w:szCs w:val="24"/>
          <w:highlight w:val="none"/>
          <w:u w:val="single"/>
        </w:rPr>
        <w:t>（项目名称：</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w:t>
      </w:r>
      <w:r>
        <w:rPr>
          <w:rFonts w:hint="eastAsia" w:ascii="宋体" w:hAnsi="宋体" w:eastAsia="宋体" w:cs="宋体"/>
          <w:color w:val="auto"/>
          <w:sz w:val="24"/>
          <w:szCs w:val="24"/>
          <w:highlight w:val="none"/>
          <w:lang w:val="en-US" w:eastAsia="zh-CN"/>
        </w:rPr>
        <w:t>采</w:t>
      </w:r>
      <w:r>
        <w:rPr>
          <w:rFonts w:hint="eastAsia" w:ascii="宋体" w:hAnsi="宋体" w:eastAsia="宋体" w:cs="宋体"/>
          <w:sz w:val="24"/>
          <w:szCs w:val="24"/>
          <w:highlight w:val="none"/>
          <w:lang w:val="en-US" w:eastAsia="zh-CN"/>
        </w:rPr>
        <w:t>购</w:t>
      </w:r>
      <w:r>
        <w:rPr>
          <w:rFonts w:hint="eastAsia" w:ascii="宋体" w:hAnsi="宋体" w:eastAsia="宋体" w:cs="宋体"/>
          <w:sz w:val="24"/>
          <w:szCs w:val="24"/>
          <w:highlight w:val="none"/>
        </w:rPr>
        <w:t>文件的全部内容，决定参加该项目的磋商活动并按要求提交响应文件。我们郑重声明以下诸点并负法律责任:</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宋体" w:hAnsi="宋体" w:eastAsia="宋体" w:cs="宋体"/>
          <w:sz w:val="24"/>
          <w:szCs w:val="24"/>
          <w:highlight w:val="none"/>
        </w:rPr>
        <w:t>我方响应文件有效期为自磋商之日</w:t>
      </w:r>
      <w:r>
        <w:rPr>
          <w:rFonts w:hint="eastAsia" w:ascii="宋体" w:hAnsi="宋体" w:eastAsia="宋体" w:cs="宋体"/>
          <w:sz w:val="24"/>
          <w:szCs w:val="24"/>
          <w:highlight w:val="none"/>
          <w:u w:val="none"/>
        </w:rPr>
        <w:t>起90天</w:t>
      </w:r>
      <w:r>
        <w:rPr>
          <w:rFonts w:hint="eastAsia" w:ascii="宋体" w:hAnsi="宋体" w:eastAsia="宋体" w:cs="宋体"/>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eastAsia="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eastAsia="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3"/>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元（详见报价明细表）</w:t>
            </w:r>
          </w:p>
        </w:tc>
      </w:tr>
      <w:tr w14:paraId="0D9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978" w:type="dxa"/>
            <w:noWrap/>
            <w:vAlign w:val="center"/>
          </w:tcPr>
          <w:p w14:paraId="2240191E">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质保期</w:t>
            </w:r>
          </w:p>
        </w:tc>
        <w:tc>
          <w:tcPr>
            <w:tcW w:w="7708" w:type="dxa"/>
            <w:noWrap/>
            <w:vAlign w:val="center"/>
          </w:tcPr>
          <w:p w14:paraId="4B58382D">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4984"/>
      <w:bookmarkStart w:id="63" w:name="_Toc2200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ascii="宋体" w:hAnsi="宋体" w:eastAsia="宋体" w:cs="宋体"/>
          <w:color w:val="auto"/>
          <w:highlight w:val="none"/>
          <w:lang w:val="en-US" w:eastAsia="zh-CN"/>
        </w:rPr>
      </w:pPr>
      <w:r>
        <w:rPr>
          <w:rFonts w:hint="eastAsia" w:ascii="宋体" w:hAnsi="宋体" w:eastAsia="宋体" w:cs="宋体"/>
          <w:color w:val="auto"/>
          <w:kern w:val="0"/>
          <w:sz w:val="24"/>
          <w:highlight w:val="none"/>
        </w:rPr>
        <w:t>金额单位：人民币（元）</w:t>
      </w:r>
    </w:p>
    <w:tbl>
      <w:tblPr>
        <w:tblStyle w:val="33"/>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r>
              <w:rPr>
                <w:rFonts w:hint="eastAsia" w:ascii="宋体" w:hAnsi="宋体" w:eastAsia="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货物名称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eastAsia="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eastAsia="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磋商</w:t>
            </w:r>
            <w:r>
              <w:rPr>
                <w:rFonts w:hint="eastAsia" w:ascii="宋体" w:hAnsi="宋体" w:eastAsia="宋体" w:cs="宋体"/>
                <w:color w:val="auto"/>
                <w:spacing w:val="20"/>
                <w:kern w:val="0"/>
                <w:sz w:val="24"/>
                <w:highlight w:val="none"/>
              </w:rPr>
              <w:t>报价(</w:t>
            </w:r>
            <w:r>
              <w:rPr>
                <w:rFonts w:hint="eastAsia" w:ascii="宋体" w:hAnsi="宋体" w:eastAsia="宋体" w:cs="宋体"/>
                <w:color w:val="auto"/>
                <w:kern w:val="0"/>
                <w:sz w:val="24"/>
                <w:szCs w:val="21"/>
                <w:highlight w:val="none"/>
              </w:rPr>
              <w:t>大写)：</w:t>
            </w:r>
            <w:r>
              <w:rPr>
                <w:rFonts w:hint="eastAsia" w:ascii="宋体" w:hAnsi="宋体" w:cs="宋体"/>
                <w:color w:val="auto"/>
                <w:kern w:val="0"/>
                <w:sz w:val="24"/>
                <w:szCs w:val="21"/>
                <w:highlight w:val="none"/>
                <w:lang w:val="en-US" w:eastAsia="zh-CN"/>
              </w:rPr>
              <w:t xml:space="preserve"> </w:t>
            </w:r>
          </w:p>
        </w:tc>
      </w:tr>
    </w:tbl>
    <w:p w14:paraId="48F290DC">
      <w:pPr>
        <w:pStyle w:val="31"/>
        <w:ind w:firstLine="3990" w:firstLineChars="1900"/>
        <w:rPr>
          <w:rFonts w:hint="eastAsia" w:ascii="宋体" w:hAnsi="宋体" w:eastAsia="宋体" w:cs="宋体"/>
          <w:color w:val="auto"/>
          <w:sz w:val="21"/>
          <w:szCs w:val="21"/>
          <w:highlight w:val="none"/>
          <w:lang w:eastAsia="zh-CN"/>
        </w:rPr>
      </w:pPr>
    </w:p>
    <w:p w14:paraId="6111CC48">
      <w:pPr>
        <w:pStyle w:val="32"/>
        <w:rPr>
          <w:rFonts w:hint="eastAsia" w:ascii="宋体" w:hAnsi="宋体" w:eastAsia="宋体" w:cs="宋体"/>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16"/>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986FE19">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15804"/>
      <w:bookmarkStart w:id="65" w:name="_Toc226"/>
      <w:r>
        <w:rPr>
          <w:rFonts w:hint="eastAsia" w:ascii="宋体" w:hAnsi="宋体" w:eastAsia="宋体" w:cs="宋体"/>
          <w:color w:val="auto"/>
          <w:sz w:val="28"/>
          <w:szCs w:val="28"/>
          <w:highlight w:val="none"/>
          <w:lang w:val="en-US" w:eastAsia="zh-CN"/>
        </w:rPr>
        <w:t>4.1 产品配置清单一览表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2B2FB324">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3FFED3C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FC676C2">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25AACED3">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49D014C">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05134611">
            <w:pPr>
              <w:widowControl w:val="0"/>
              <w:jc w:val="center"/>
              <w:rPr>
                <w:rFonts w:hint="eastAsia" w:ascii="宋体" w:hAnsi="宋体" w:eastAsia="宋体" w:cs="宋体"/>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31FB795C">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3DDF1F3E">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AE826AF">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439C5F96">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674CDC80">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1CB5057F">
            <w:pPr>
              <w:widowControl w:val="0"/>
              <w:jc w:val="center"/>
              <w:rPr>
                <w:rFonts w:hint="eastAsia" w:ascii="宋体" w:hAnsi="宋体" w:eastAsia="宋体" w:cs="宋体"/>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4953F941">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60D4163C">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F5D0506">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2E86AD5">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134BF0D">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0EB3CD05">
            <w:pPr>
              <w:widowControl w:val="0"/>
              <w:jc w:val="center"/>
              <w:rPr>
                <w:rFonts w:hint="eastAsia" w:ascii="宋体" w:hAnsi="宋体" w:eastAsia="宋体" w:cs="宋体"/>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4607775A">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3A245A3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6D057E8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515422B7">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61FB83F">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7DF5323">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1D8AAC89">
            <w:pPr>
              <w:widowControl w:val="0"/>
              <w:jc w:val="center"/>
              <w:rPr>
                <w:rFonts w:hint="eastAsia" w:ascii="宋体" w:hAnsi="宋体" w:eastAsia="宋体" w:cs="宋体"/>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E7A2E37">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6E777249">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4DE2A82B">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C5B0392">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7137530">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1138018C">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4CA32857">
            <w:pPr>
              <w:widowControl w:val="0"/>
              <w:jc w:val="center"/>
              <w:rPr>
                <w:rFonts w:hint="eastAsia" w:ascii="宋体" w:hAnsi="宋体" w:eastAsia="宋体" w:cs="宋体"/>
                <w:color w:val="auto"/>
                <w:highlight w:val="none"/>
                <w:vertAlign w:val="baseline"/>
                <w:lang w:val="en-US" w:eastAsia="zh-CN"/>
              </w:rPr>
            </w:pPr>
          </w:p>
        </w:tc>
      </w:tr>
    </w:tbl>
    <w:p w14:paraId="4690C867">
      <w:pPr>
        <w:rPr>
          <w:rFonts w:hint="eastAsia" w:ascii="宋体" w:hAnsi="宋体" w:eastAsia="宋体" w:cs="宋体"/>
          <w:color w:val="auto"/>
          <w:highlight w:val="none"/>
          <w:lang w:val="en-US" w:eastAsia="zh-CN"/>
        </w:rPr>
      </w:pPr>
    </w:p>
    <w:p w14:paraId="708C5B50">
      <w:pPr>
        <w:bidi w:val="0"/>
        <w:rPr>
          <w:rFonts w:hint="eastAsia" w:ascii="宋体" w:hAnsi="宋体" w:eastAsia="宋体" w:cs="宋体"/>
          <w:color w:val="auto"/>
          <w:highlight w:val="none"/>
          <w:lang w:val="en-US" w:eastAsia="zh-CN"/>
        </w:rPr>
      </w:pPr>
    </w:p>
    <w:p w14:paraId="255DC18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2C4A13A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3A98344">
      <w:pPr>
        <w:bidi w:val="0"/>
        <w:rPr>
          <w:rFonts w:hint="eastAsia" w:ascii="宋体" w:hAnsi="宋体" w:eastAsia="宋体" w:cs="宋体"/>
          <w:color w:val="auto"/>
          <w:highlight w:val="none"/>
          <w:lang w:val="en-US" w:eastAsia="zh-CN"/>
        </w:rPr>
      </w:pPr>
    </w:p>
    <w:p w14:paraId="57412C83">
      <w:pPr>
        <w:rPr>
          <w:rFonts w:hint="eastAsia" w:ascii="宋体" w:hAnsi="宋体" w:eastAsia="宋体" w:cs="宋体"/>
          <w:color w:val="auto"/>
          <w:sz w:val="24"/>
          <w:szCs w:val="24"/>
          <w:highlight w:val="none"/>
          <w:lang w:val="en-US" w:eastAsia="zh-CN"/>
        </w:rPr>
      </w:pPr>
    </w:p>
    <w:p w14:paraId="4D0AC012">
      <w:pPr>
        <w:bidi w:val="0"/>
        <w:rPr>
          <w:rFonts w:hint="eastAsia" w:ascii="宋体" w:hAnsi="宋体" w:eastAsia="宋体" w:cs="宋体"/>
          <w:color w:val="auto"/>
          <w:highlight w:val="none"/>
          <w:lang w:val="en-US" w:eastAsia="zh-CN"/>
        </w:rPr>
      </w:pPr>
    </w:p>
    <w:p w14:paraId="591F39DF">
      <w:pPr>
        <w:pStyle w:val="16"/>
        <w:rPr>
          <w:rFonts w:hint="eastAsia" w:ascii="宋体" w:hAnsi="宋体" w:eastAsia="宋体" w:cs="宋体"/>
          <w:color w:val="auto"/>
          <w:kern w:val="0"/>
          <w:sz w:val="24"/>
          <w:highlight w:val="none"/>
          <w:lang w:val="en-US" w:eastAsia="zh-CN"/>
        </w:rPr>
      </w:pPr>
    </w:p>
    <w:p w14:paraId="0C409640">
      <w:pPr>
        <w:pStyle w:val="16"/>
        <w:rPr>
          <w:rFonts w:hint="eastAsia" w:ascii="宋体" w:hAnsi="宋体" w:eastAsia="宋体" w:cs="宋体"/>
          <w:color w:val="auto"/>
          <w:kern w:val="0"/>
          <w:sz w:val="24"/>
          <w:highlight w:val="none"/>
          <w:lang w:val="en-US" w:eastAsia="zh-CN"/>
        </w:rPr>
      </w:pPr>
    </w:p>
    <w:p w14:paraId="1C9EAA97">
      <w:pPr>
        <w:pStyle w:val="16"/>
        <w:rPr>
          <w:rFonts w:hint="eastAsia" w:ascii="宋体" w:hAnsi="宋体" w:eastAsia="宋体" w:cs="宋体"/>
          <w:color w:val="auto"/>
          <w:kern w:val="0"/>
          <w:sz w:val="24"/>
          <w:highlight w:val="none"/>
          <w:lang w:val="en-US" w:eastAsia="zh-CN"/>
        </w:rPr>
      </w:pPr>
    </w:p>
    <w:p w14:paraId="21B00144">
      <w:pPr>
        <w:pStyle w:val="16"/>
        <w:rPr>
          <w:rFonts w:hint="eastAsia" w:ascii="宋体" w:hAnsi="宋体" w:eastAsia="宋体" w:cs="宋体"/>
          <w:color w:val="auto"/>
          <w:kern w:val="0"/>
          <w:sz w:val="24"/>
          <w:highlight w:val="none"/>
          <w:lang w:val="en-US" w:eastAsia="zh-CN"/>
        </w:rPr>
      </w:pPr>
    </w:p>
    <w:p w14:paraId="2A74BFB0">
      <w:pPr>
        <w:pStyle w:val="16"/>
        <w:rPr>
          <w:rFonts w:hint="eastAsia" w:ascii="宋体" w:hAnsi="宋体" w:eastAsia="宋体" w:cs="宋体"/>
          <w:color w:val="auto"/>
          <w:kern w:val="0"/>
          <w:sz w:val="24"/>
          <w:highlight w:val="none"/>
          <w:lang w:val="en-US" w:eastAsia="zh-CN"/>
        </w:rPr>
      </w:pPr>
    </w:p>
    <w:p w14:paraId="3EF3AB43">
      <w:pPr>
        <w:pStyle w:val="16"/>
        <w:rPr>
          <w:rFonts w:hint="eastAsia" w:ascii="宋体" w:hAnsi="宋体" w:eastAsia="宋体" w:cs="宋体"/>
          <w:color w:val="auto"/>
          <w:kern w:val="0"/>
          <w:sz w:val="24"/>
          <w:highlight w:val="none"/>
          <w:lang w:val="en-US" w:eastAsia="zh-CN"/>
        </w:rPr>
      </w:pPr>
    </w:p>
    <w:p w14:paraId="4AAC2649">
      <w:pPr>
        <w:pStyle w:val="16"/>
        <w:rPr>
          <w:rFonts w:hint="eastAsia" w:ascii="宋体" w:hAnsi="宋体" w:eastAsia="宋体" w:cs="宋体"/>
          <w:color w:val="auto"/>
          <w:kern w:val="0"/>
          <w:sz w:val="24"/>
          <w:highlight w:val="none"/>
          <w:lang w:val="en-US" w:eastAsia="zh-CN"/>
        </w:rPr>
      </w:pPr>
    </w:p>
    <w:p w14:paraId="5C2F6EBC">
      <w:pPr>
        <w:pStyle w:val="16"/>
        <w:rPr>
          <w:rFonts w:hint="eastAsia" w:ascii="宋体" w:hAnsi="宋体" w:eastAsia="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030750C">
      <w:pPr>
        <w:pStyle w:val="16"/>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w:t>
      </w:r>
      <w:r>
        <w:rPr>
          <w:rFonts w:hint="eastAsia" w:ascii="宋体" w:hAnsi="宋体" w:cs="宋体"/>
          <w:b/>
          <w:bCs/>
          <w:color w:val="auto"/>
          <w:kern w:val="2"/>
          <w:sz w:val="28"/>
          <w:szCs w:val="28"/>
          <w:highlight w:val="none"/>
          <w:lang w:val="en-US" w:eastAsia="zh-CN" w:bidi="ar-SA"/>
        </w:rPr>
        <w:t>2</w:t>
      </w:r>
      <w:r>
        <w:rPr>
          <w:rFonts w:hint="eastAsia" w:ascii="宋体" w:hAnsi="宋体" w:eastAsia="宋体" w:cs="宋体"/>
          <w:b/>
          <w:bCs/>
          <w:color w:val="auto"/>
          <w:kern w:val="2"/>
          <w:sz w:val="28"/>
          <w:szCs w:val="28"/>
          <w:highlight w:val="none"/>
          <w:lang w:val="en-US" w:eastAsia="zh-CN" w:bidi="ar-SA"/>
        </w:rPr>
        <w:t xml:space="preserve"> 质保期满后易损件、配件一览表</w:t>
      </w:r>
    </w:p>
    <w:p w14:paraId="366976F4">
      <w:pPr>
        <w:pStyle w:val="16"/>
        <w:rPr>
          <w:rFonts w:hint="eastAsia" w:ascii="宋体" w:hAnsi="宋体" w:eastAsia="宋体" w:cs="宋体"/>
          <w:color w:val="auto"/>
          <w:kern w:val="0"/>
          <w:sz w:val="24"/>
          <w:highlight w:val="none"/>
          <w:lang w:val="en-US" w:eastAsia="zh-CN"/>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eastAsia" w:ascii="宋体" w:hAnsi="宋体" w:eastAsia="宋体" w:cs="宋体"/>
          <w:color w:val="auto"/>
          <w:sz w:val="24"/>
          <w:szCs w:val="24"/>
          <w:highlight w:val="none"/>
          <w:lang w:val="en-US" w:eastAsia="zh-CN"/>
        </w:rPr>
      </w:pPr>
    </w:p>
    <w:p w14:paraId="0F50ACC9">
      <w:pPr>
        <w:bidi w:val="0"/>
        <w:rPr>
          <w:rFonts w:hint="eastAsia" w:ascii="宋体" w:hAnsi="宋体" w:eastAsia="宋体" w:cs="宋体"/>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16"/>
        <w:rPr>
          <w:rFonts w:hint="eastAsia" w:ascii="宋体" w:hAnsi="宋体" w:eastAsia="宋体" w:cs="宋体"/>
          <w:color w:val="auto"/>
          <w:kern w:val="0"/>
          <w:sz w:val="24"/>
          <w:highlight w:val="none"/>
          <w:lang w:val="en-US" w:eastAsia="zh-CN"/>
        </w:rPr>
      </w:pPr>
    </w:p>
    <w:p w14:paraId="1C27DB87">
      <w:pPr>
        <w:pStyle w:val="16"/>
        <w:rPr>
          <w:rFonts w:hint="eastAsia" w:ascii="宋体" w:hAnsi="宋体" w:eastAsia="宋体" w:cs="宋体"/>
          <w:color w:val="auto"/>
          <w:kern w:val="0"/>
          <w:sz w:val="24"/>
          <w:highlight w:val="none"/>
          <w:lang w:val="en-US" w:eastAsia="zh-CN"/>
        </w:rPr>
      </w:pPr>
    </w:p>
    <w:p w14:paraId="43E68354">
      <w:pPr>
        <w:pStyle w:val="16"/>
        <w:rPr>
          <w:rFonts w:hint="eastAsia" w:ascii="宋体" w:hAnsi="宋体" w:eastAsia="宋体" w:cs="宋体"/>
          <w:color w:val="auto"/>
          <w:kern w:val="0"/>
          <w:sz w:val="24"/>
          <w:highlight w:val="none"/>
          <w:lang w:val="en-US" w:eastAsia="zh-CN"/>
        </w:rPr>
      </w:pPr>
    </w:p>
    <w:p w14:paraId="0647EFB8">
      <w:pPr>
        <w:pStyle w:val="16"/>
        <w:rPr>
          <w:rFonts w:hint="eastAsia" w:ascii="宋体" w:hAnsi="宋体" w:eastAsia="宋体" w:cs="宋体"/>
          <w:color w:val="auto"/>
          <w:kern w:val="0"/>
          <w:sz w:val="24"/>
          <w:highlight w:val="none"/>
          <w:lang w:val="en-US" w:eastAsia="zh-CN"/>
        </w:rPr>
      </w:pPr>
    </w:p>
    <w:p w14:paraId="5A5A959A">
      <w:pPr>
        <w:pStyle w:val="16"/>
        <w:rPr>
          <w:rFonts w:hint="eastAsia" w:ascii="宋体" w:hAnsi="宋体" w:eastAsia="宋体" w:cs="宋体"/>
          <w:color w:val="auto"/>
          <w:kern w:val="0"/>
          <w:sz w:val="24"/>
          <w:highlight w:val="none"/>
          <w:lang w:val="en-US" w:eastAsia="zh-CN"/>
        </w:rPr>
      </w:pPr>
    </w:p>
    <w:p w14:paraId="650115AD">
      <w:pPr>
        <w:pStyle w:val="16"/>
        <w:rPr>
          <w:rFonts w:hint="eastAsia" w:ascii="宋体" w:hAnsi="宋体" w:eastAsia="宋体" w:cs="宋体"/>
          <w:color w:val="auto"/>
          <w:kern w:val="0"/>
          <w:sz w:val="24"/>
          <w:highlight w:val="none"/>
          <w:lang w:val="en-US" w:eastAsia="zh-CN"/>
        </w:rPr>
      </w:pPr>
    </w:p>
    <w:p w14:paraId="4A359505">
      <w:pPr>
        <w:pStyle w:val="16"/>
        <w:rPr>
          <w:rFonts w:hint="eastAsia" w:ascii="宋体" w:hAnsi="宋体" w:eastAsia="宋体" w:cs="宋体"/>
          <w:color w:val="auto"/>
          <w:kern w:val="0"/>
          <w:sz w:val="24"/>
          <w:highlight w:val="none"/>
          <w:lang w:val="en-US" w:eastAsia="zh-CN"/>
        </w:rPr>
      </w:pPr>
    </w:p>
    <w:p w14:paraId="40B7289D">
      <w:pPr>
        <w:pStyle w:val="16"/>
        <w:rPr>
          <w:rFonts w:hint="eastAsia" w:ascii="宋体" w:hAnsi="宋体" w:eastAsia="宋体" w:cs="宋体"/>
          <w:color w:val="auto"/>
          <w:kern w:val="0"/>
          <w:sz w:val="24"/>
          <w:highlight w:val="none"/>
          <w:lang w:val="en-US" w:eastAsia="zh-CN"/>
        </w:rPr>
      </w:pPr>
    </w:p>
    <w:p w14:paraId="1B505EE5">
      <w:pPr>
        <w:pStyle w:val="16"/>
        <w:rPr>
          <w:rFonts w:hint="eastAsia" w:ascii="宋体" w:hAnsi="宋体" w:eastAsia="宋体" w:cs="宋体"/>
          <w:color w:val="auto"/>
          <w:kern w:val="0"/>
          <w:sz w:val="24"/>
          <w:highlight w:val="none"/>
          <w:lang w:val="en-US" w:eastAsia="zh-CN"/>
        </w:rPr>
      </w:pPr>
    </w:p>
    <w:p w14:paraId="4CA18EFC">
      <w:pPr>
        <w:pStyle w:val="16"/>
        <w:rPr>
          <w:rFonts w:hint="eastAsia" w:ascii="宋体" w:hAnsi="宋体" w:eastAsia="宋体" w:cs="宋体"/>
          <w:color w:val="auto"/>
          <w:kern w:val="0"/>
          <w:sz w:val="24"/>
          <w:highlight w:val="none"/>
          <w:lang w:val="en-US" w:eastAsia="zh-CN"/>
        </w:rPr>
      </w:pPr>
    </w:p>
    <w:p w14:paraId="56E07BAF">
      <w:pPr>
        <w:pStyle w:val="16"/>
        <w:rPr>
          <w:rFonts w:hint="eastAsia" w:ascii="宋体" w:hAnsi="宋体" w:eastAsia="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1"/>
        <w:tblW w:w="8741"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830"/>
        <w:gridCol w:w="2190"/>
        <w:gridCol w:w="2741"/>
        <w:gridCol w:w="132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0" w:type="dxa"/>
            <w:noWrap w:val="0"/>
            <w:vAlign w:val="center"/>
          </w:tcPr>
          <w:p w14:paraId="4E1282E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货物名称</w:t>
            </w:r>
          </w:p>
        </w:tc>
        <w:tc>
          <w:tcPr>
            <w:tcW w:w="219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2741"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320"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660"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0"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741"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20"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660"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0"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741"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20"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60"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0"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741"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20"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9257B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highlight w:val="none"/>
          <w:lang w:val="en-US" w:eastAsia="zh-CN"/>
        </w:rPr>
      </w:pPr>
      <w:r>
        <w:rPr>
          <w:rFonts w:hint="eastAsia" w:ascii="宋体" w:hAnsi="宋体" w:eastAsia="宋体" w:cs="宋体"/>
          <w:b/>
          <w:bCs/>
          <w:sz w:val="24"/>
          <w:szCs w:val="32"/>
          <w:highlight w:val="none"/>
          <w:lang w:val="en-US" w:eastAsia="zh-CN"/>
        </w:rPr>
        <w:t>注：</w:t>
      </w:r>
    </w:p>
    <w:p w14:paraId="26579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32"/>
          <w:highlight w:val="none"/>
        </w:rPr>
      </w:pPr>
      <w:r>
        <w:rPr>
          <w:rFonts w:hint="eastAsia" w:ascii="宋体" w:hAnsi="宋体" w:eastAsia="宋体" w:cs="宋体"/>
          <w:b w:val="0"/>
          <w:bCs w:val="0"/>
          <w:sz w:val="24"/>
          <w:szCs w:val="32"/>
          <w:highlight w:val="none"/>
          <w:lang w:val="en-US" w:eastAsia="zh-CN"/>
        </w:rPr>
        <w:t>1.</w:t>
      </w:r>
      <w:r>
        <w:rPr>
          <w:rFonts w:hint="eastAsia" w:ascii="宋体" w:hAnsi="宋体" w:eastAsia="宋体" w:cs="宋体"/>
          <w:b w:val="0"/>
          <w:bCs w:val="0"/>
          <w:sz w:val="24"/>
          <w:szCs w:val="32"/>
          <w:highlight w:val="none"/>
        </w:rPr>
        <w:t>本表中“偏离</w:t>
      </w:r>
      <w:r>
        <w:rPr>
          <w:rFonts w:hint="eastAsia" w:ascii="宋体" w:hAnsi="宋体" w:eastAsia="宋体" w:cs="宋体"/>
          <w:b w:val="0"/>
          <w:bCs w:val="0"/>
          <w:sz w:val="24"/>
          <w:szCs w:val="32"/>
          <w:highlight w:val="none"/>
          <w:lang w:val="en-US" w:eastAsia="zh-CN"/>
        </w:rPr>
        <w:t>情况</w:t>
      </w:r>
      <w:r>
        <w:rPr>
          <w:rFonts w:hint="eastAsia" w:ascii="宋体" w:hAnsi="宋体" w:eastAsia="宋体" w:cs="宋体"/>
          <w:b w:val="0"/>
          <w:bCs w:val="0"/>
          <w:sz w:val="24"/>
          <w:szCs w:val="32"/>
          <w:highlight w:val="none"/>
        </w:rPr>
        <w:t>”只有三种状态（正偏离、无偏离、负偏离）</w:t>
      </w:r>
    </w:p>
    <w:p w14:paraId="799040F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677C594A">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sectPr>
          <w:pgSz w:w="11906" w:h="16838"/>
          <w:pgMar w:top="1417" w:right="1474" w:bottom="1417" w:left="1474" w:header="851" w:footer="624" w:gutter="0"/>
          <w:pgNumType w:fmt="decimal"/>
          <w:cols w:space="720" w:num="1"/>
          <w:docGrid w:type="lines" w:linePitch="319" w:charSpace="0"/>
        </w:sectPr>
      </w:pPr>
      <w:bookmarkStart w:id="66" w:name="_Toc29960"/>
      <w:bookmarkStart w:id="67" w:name="_Toc24168"/>
      <w:bookmarkStart w:id="68" w:name="_Toc20420"/>
    </w:p>
    <w:p w14:paraId="3C754F10">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widowControl/>
              <w:snapToGrid w:val="0"/>
              <w:spacing w:before="156" w:beforeLines="50"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序号</w:t>
            </w:r>
          </w:p>
        </w:tc>
        <w:tc>
          <w:tcPr>
            <w:tcW w:w="2301" w:type="dxa"/>
            <w:noWrap w:val="0"/>
            <w:vAlign w:val="center"/>
          </w:tcPr>
          <w:p w14:paraId="6BDFE637">
            <w:pPr>
              <w:widowControl/>
              <w:snapToGrid w:val="0"/>
              <w:spacing w:before="156" w:beforeLines="50"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项目</w:t>
            </w:r>
          </w:p>
        </w:tc>
        <w:tc>
          <w:tcPr>
            <w:tcW w:w="2198" w:type="dxa"/>
            <w:noWrap w:val="0"/>
            <w:vAlign w:val="center"/>
          </w:tcPr>
          <w:p w14:paraId="6901D1BA">
            <w:pPr>
              <w:widowControl/>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4"/>
                <w:highlight w:val="none"/>
                <w:lang w:val="en-US" w:eastAsia="zh-CN"/>
              </w:rPr>
              <w:t>磋商文件要求</w:t>
            </w:r>
          </w:p>
        </w:tc>
        <w:tc>
          <w:tcPr>
            <w:tcW w:w="2038" w:type="dxa"/>
            <w:noWrap w:val="0"/>
            <w:vAlign w:val="center"/>
          </w:tcPr>
          <w:p w14:paraId="7F9203F4">
            <w:pPr>
              <w:widowControl/>
              <w:snapToGrid w:val="0"/>
              <w:spacing w:before="156" w:beforeLines="5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备注</w:t>
            </w: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w:t>
            </w:r>
          </w:p>
        </w:tc>
        <w:tc>
          <w:tcPr>
            <w:tcW w:w="2301" w:type="dxa"/>
            <w:noWrap w:val="0"/>
            <w:vAlign w:val="center"/>
          </w:tcPr>
          <w:p w14:paraId="0472149B">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w:t>
            </w:r>
          </w:p>
        </w:tc>
        <w:tc>
          <w:tcPr>
            <w:tcW w:w="2301" w:type="dxa"/>
            <w:noWrap w:val="0"/>
            <w:vAlign w:val="center"/>
          </w:tcPr>
          <w:p w14:paraId="50BB9001">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w:t>
            </w:r>
          </w:p>
        </w:tc>
        <w:tc>
          <w:tcPr>
            <w:tcW w:w="2301" w:type="dxa"/>
            <w:noWrap w:val="0"/>
            <w:vAlign w:val="center"/>
          </w:tcPr>
          <w:p w14:paraId="6182A3E4">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付款</w:t>
            </w:r>
            <w:r>
              <w:rPr>
                <w:rFonts w:hint="eastAsia" w:cs="宋体"/>
                <w:b w:val="0"/>
                <w:bCs w:val="0"/>
                <w:i w:val="0"/>
                <w:iCs/>
                <w:color w:val="auto"/>
                <w:kern w:val="2"/>
                <w:sz w:val="24"/>
                <w:szCs w:val="24"/>
                <w:highlight w:val="none"/>
                <w:u w:val="none"/>
                <w:lang w:val="en-US" w:eastAsia="zh-CN" w:bidi="ar-SA"/>
              </w:rPr>
              <w:t>方式</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w:t>
            </w:r>
          </w:p>
        </w:tc>
        <w:tc>
          <w:tcPr>
            <w:tcW w:w="2301" w:type="dxa"/>
            <w:noWrap w:val="0"/>
            <w:vAlign w:val="center"/>
          </w:tcPr>
          <w:p w14:paraId="5C43BD33">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355ED30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highlight w:val="none"/>
        </w:rPr>
      </w:pPr>
      <w:r>
        <w:rPr>
          <w:rFonts w:hint="eastAsia" w:ascii="宋体" w:hAnsi="宋体" w:eastAsia="宋体" w:cs="宋体"/>
          <w:b/>
          <w:bCs/>
          <w:sz w:val="24"/>
          <w:szCs w:val="32"/>
          <w:highlight w:val="none"/>
          <w:lang w:val="en-US" w:eastAsia="zh-CN"/>
        </w:rPr>
        <w:t>注：</w:t>
      </w:r>
      <w:r>
        <w:rPr>
          <w:rFonts w:hint="eastAsia" w:ascii="宋体" w:hAnsi="宋体" w:eastAsia="宋体" w:cs="宋体"/>
          <w:b/>
          <w:bCs/>
          <w:sz w:val="24"/>
          <w:szCs w:val="32"/>
          <w:highlight w:val="none"/>
        </w:rPr>
        <w:t>本表中“偏离</w:t>
      </w:r>
      <w:r>
        <w:rPr>
          <w:rFonts w:hint="eastAsia" w:ascii="宋体" w:hAnsi="宋体" w:eastAsia="宋体" w:cs="宋体"/>
          <w:b/>
          <w:bCs/>
          <w:sz w:val="24"/>
          <w:szCs w:val="32"/>
          <w:highlight w:val="none"/>
          <w:lang w:val="en-US" w:eastAsia="zh-CN"/>
        </w:rPr>
        <w:t>情况</w:t>
      </w:r>
      <w:r>
        <w:rPr>
          <w:rFonts w:hint="eastAsia" w:ascii="宋体" w:hAnsi="宋体" w:eastAsia="宋体" w:cs="宋体"/>
          <w:b/>
          <w:bCs/>
          <w:sz w:val="24"/>
          <w:szCs w:val="32"/>
          <w:highlight w:val="none"/>
        </w:rPr>
        <w:t>”只有三种状态（正偏离、无偏离、负偏离）</w:t>
      </w:r>
    </w:p>
    <w:p w14:paraId="341DFBA2">
      <w:pPr>
        <w:pStyle w:val="31"/>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31526"/>
      <w:bookmarkStart w:id="70" w:name="_Toc28621"/>
      <w:r>
        <w:rPr>
          <w:rFonts w:hint="eastAsia" w:ascii="宋体" w:hAnsi="宋体" w:eastAsia="宋体" w:cs="宋体"/>
          <w:b/>
          <w:color w:val="auto"/>
          <w:sz w:val="28"/>
          <w:highlight w:val="none"/>
        </w:rPr>
        <w:br w:type="page"/>
      </w:r>
    </w:p>
    <w:p w14:paraId="40257B9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3"/>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30519"/>
      <w:bookmarkStart w:id="73" w:name="_Toc13976"/>
      <w:bookmarkStart w:id="74" w:name="_Toc1293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驻马店市中心医院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3"/>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18105"/>
      <w:bookmarkStart w:id="76" w:name="_Toc3342"/>
      <w:bookmarkStart w:id="77" w:name="_Toc24693"/>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1"/>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供应商资格审查证明材料</w:t>
      </w:r>
    </w:p>
    <w:p w14:paraId="3BF5E483">
      <w:pPr>
        <w:pStyle w:val="11"/>
        <w:spacing w:beforeAutospacing="0" w:afterAutospacing="0" w:line="480" w:lineRule="auto"/>
        <w:jc w:val="both"/>
        <w:rPr>
          <w:rFonts w:hint="eastAsia" w:ascii="宋体" w:hAnsi="宋体" w:eastAsia="宋体" w:cs="宋体"/>
          <w:b/>
          <w:bCs w:val="0"/>
          <w:color w:val="auto"/>
          <w:sz w:val="24"/>
          <w:szCs w:val="24"/>
          <w:highlight w:val="none"/>
          <w:lang w:val="en-US" w:eastAsia="zh-CN"/>
        </w:rPr>
      </w:pPr>
    </w:p>
    <w:p w14:paraId="608EB127">
      <w:pPr>
        <w:pStyle w:val="11"/>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eastAsia" w:ascii="宋体" w:hAnsi="宋体" w:eastAsia="宋体" w:cs="宋体"/>
          <w:b w:val="0"/>
          <w:bCs/>
          <w:color w:val="FF0000"/>
          <w:sz w:val="24"/>
          <w:szCs w:val="24"/>
          <w:highlight w:val="none"/>
          <w:lang w:val="en-US" w:eastAsia="zh-CN"/>
        </w:rPr>
      </w:pPr>
    </w:p>
    <w:p w14:paraId="52799A6F">
      <w:pPr>
        <w:pStyle w:val="11"/>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评分标准中需提供的证明材料</w:t>
      </w:r>
    </w:p>
    <w:p w14:paraId="2F51F77D">
      <w:pPr>
        <w:pStyle w:val="11"/>
        <w:spacing w:beforeAutospacing="0" w:afterAutospacing="0" w:line="480" w:lineRule="auto"/>
        <w:jc w:val="both"/>
        <w:rPr>
          <w:rFonts w:hint="eastAsia" w:ascii="宋体" w:hAnsi="宋体" w:eastAsia="宋体" w:cs="宋体"/>
          <w:b/>
          <w:bCs w:val="0"/>
          <w:color w:val="auto"/>
          <w:sz w:val="24"/>
          <w:szCs w:val="24"/>
          <w:highlight w:val="none"/>
          <w:lang w:val="en-US" w:eastAsia="zh-CN"/>
        </w:rPr>
      </w:pPr>
    </w:p>
    <w:p w14:paraId="44D2F11A">
      <w:pPr>
        <w:pStyle w:val="11"/>
        <w:spacing w:beforeAutospacing="0" w:afterAutospacing="0" w:line="480" w:lineRule="auto"/>
        <w:ind w:firstLine="540" w:firstLineChars="224"/>
        <w:jc w:val="both"/>
        <w:rPr>
          <w:rFonts w:hint="eastAsia" w:ascii="宋体" w:hAnsi="宋体" w:eastAsia="宋体" w:cs="宋体"/>
          <w:sz w:val="24"/>
          <w:szCs w:val="24"/>
          <w:highlight w:val="none"/>
        </w:rPr>
      </w:pPr>
      <w:bookmarkStart w:id="78" w:name="_Toc17966"/>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hint="eastAsia" w:ascii="宋体" w:hAnsi="宋体" w:eastAsia="宋体" w:cs="宋体"/>
          <w:b/>
          <w:sz w:val="24"/>
          <w:szCs w:val="24"/>
          <w:highlight w:val="none"/>
        </w:rPr>
        <w:t>销售业绩</w:t>
      </w:r>
    </w:p>
    <w:tbl>
      <w:tblPr>
        <w:tblStyle w:val="33"/>
        <w:tblW w:w="6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序号</w:t>
            </w:r>
          </w:p>
        </w:tc>
        <w:tc>
          <w:tcPr>
            <w:tcW w:w="1392" w:type="dxa"/>
            <w:vAlign w:val="center"/>
          </w:tcPr>
          <w:p w14:paraId="5D77AEB6">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销售用户</w:t>
            </w:r>
          </w:p>
        </w:tc>
        <w:tc>
          <w:tcPr>
            <w:tcW w:w="1485" w:type="dxa"/>
            <w:vAlign w:val="center"/>
          </w:tcPr>
          <w:p w14:paraId="4E9B63B6">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产品名称</w:t>
            </w:r>
          </w:p>
        </w:tc>
        <w:tc>
          <w:tcPr>
            <w:tcW w:w="1365" w:type="dxa"/>
            <w:vAlign w:val="center"/>
          </w:tcPr>
          <w:p w14:paraId="788302A4">
            <w:pPr>
              <w:spacing w:before="12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联系人及</w:t>
            </w:r>
            <w:r>
              <w:rPr>
                <w:rFonts w:hint="eastAsia" w:ascii="宋体" w:hAnsi="宋体" w:eastAsia="宋体" w:cs="宋体"/>
                <w:sz w:val="24"/>
                <w:highlight w:val="none"/>
              </w:rPr>
              <w:t>联系电话</w:t>
            </w:r>
          </w:p>
        </w:tc>
        <w:tc>
          <w:tcPr>
            <w:tcW w:w="1395" w:type="dxa"/>
            <w:vAlign w:val="center"/>
          </w:tcPr>
          <w:p w14:paraId="0CD37DB9">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hint="eastAsia" w:ascii="宋体" w:hAnsi="宋体" w:eastAsia="宋体" w:cs="宋体"/>
                <w:highlight w:val="none"/>
              </w:rPr>
            </w:pPr>
          </w:p>
        </w:tc>
        <w:tc>
          <w:tcPr>
            <w:tcW w:w="1392" w:type="dxa"/>
            <w:vAlign w:val="center"/>
          </w:tcPr>
          <w:p w14:paraId="0B354FD7">
            <w:pPr>
              <w:spacing w:before="120"/>
              <w:jc w:val="center"/>
              <w:rPr>
                <w:rFonts w:hint="eastAsia" w:ascii="宋体" w:hAnsi="宋体" w:eastAsia="宋体" w:cs="宋体"/>
                <w:highlight w:val="none"/>
              </w:rPr>
            </w:pPr>
          </w:p>
        </w:tc>
        <w:tc>
          <w:tcPr>
            <w:tcW w:w="1485" w:type="dxa"/>
            <w:vAlign w:val="center"/>
          </w:tcPr>
          <w:p w14:paraId="37AC1C1D">
            <w:pPr>
              <w:spacing w:before="120"/>
              <w:jc w:val="center"/>
              <w:rPr>
                <w:rFonts w:hint="eastAsia" w:ascii="宋体" w:hAnsi="宋体" w:eastAsia="宋体" w:cs="宋体"/>
                <w:highlight w:val="none"/>
              </w:rPr>
            </w:pPr>
          </w:p>
        </w:tc>
        <w:tc>
          <w:tcPr>
            <w:tcW w:w="1365" w:type="dxa"/>
            <w:vAlign w:val="center"/>
          </w:tcPr>
          <w:p w14:paraId="61E60ADA">
            <w:pPr>
              <w:spacing w:before="120"/>
              <w:jc w:val="center"/>
              <w:rPr>
                <w:rFonts w:hint="eastAsia" w:ascii="宋体" w:hAnsi="宋体" w:eastAsia="宋体" w:cs="宋体"/>
                <w:highlight w:val="none"/>
              </w:rPr>
            </w:pPr>
          </w:p>
        </w:tc>
        <w:tc>
          <w:tcPr>
            <w:tcW w:w="1395" w:type="dxa"/>
            <w:vAlign w:val="center"/>
          </w:tcPr>
          <w:p w14:paraId="04447730">
            <w:pPr>
              <w:spacing w:before="120"/>
              <w:jc w:val="center"/>
              <w:rPr>
                <w:rFonts w:hint="eastAsia" w:ascii="宋体" w:hAnsi="宋体" w:eastAsia="宋体" w:cs="宋体"/>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hint="eastAsia" w:ascii="宋体" w:hAnsi="宋体" w:eastAsia="宋体" w:cs="宋体"/>
                <w:highlight w:val="none"/>
              </w:rPr>
            </w:pPr>
          </w:p>
        </w:tc>
        <w:tc>
          <w:tcPr>
            <w:tcW w:w="1392" w:type="dxa"/>
            <w:vAlign w:val="center"/>
          </w:tcPr>
          <w:p w14:paraId="2DA219B5">
            <w:pPr>
              <w:spacing w:before="120"/>
              <w:jc w:val="center"/>
              <w:rPr>
                <w:rFonts w:hint="eastAsia" w:ascii="宋体" w:hAnsi="宋体" w:eastAsia="宋体" w:cs="宋体"/>
                <w:highlight w:val="none"/>
              </w:rPr>
            </w:pPr>
          </w:p>
        </w:tc>
        <w:tc>
          <w:tcPr>
            <w:tcW w:w="1485" w:type="dxa"/>
            <w:vAlign w:val="center"/>
          </w:tcPr>
          <w:p w14:paraId="60964CDB">
            <w:pPr>
              <w:spacing w:before="120"/>
              <w:jc w:val="center"/>
              <w:rPr>
                <w:rFonts w:hint="eastAsia" w:ascii="宋体" w:hAnsi="宋体" w:eastAsia="宋体" w:cs="宋体"/>
                <w:highlight w:val="none"/>
              </w:rPr>
            </w:pPr>
          </w:p>
        </w:tc>
        <w:tc>
          <w:tcPr>
            <w:tcW w:w="1365" w:type="dxa"/>
            <w:vAlign w:val="center"/>
          </w:tcPr>
          <w:p w14:paraId="2C3F9359">
            <w:pPr>
              <w:spacing w:before="120"/>
              <w:jc w:val="center"/>
              <w:rPr>
                <w:rFonts w:hint="eastAsia" w:ascii="宋体" w:hAnsi="宋体" w:eastAsia="宋体" w:cs="宋体"/>
                <w:highlight w:val="none"/>
              </w:rPr>
            </w:pPr>
          </w:p>
        </w:tc>
        <w:tc>
          <w:tcPr>
            <w:tcW w:w="1395" w:type="dxa"/>
            <w:vAlign w:val="center"/>
          </w:tcPr>
          <w:p w14:paraId="104FB69F">
            <w:pPr>
              <w:spacing w:before="120"/>
              <w:jc w:val="center"/>
              <w:rPr>
                <w:rFonts w:hint="eastAsia" w:ascii="宋体" w:hAnsi="宋体" w:eastAsia="宋体" w:cs="宋体"/>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hint="eastAsia" w:ascii="宋体" w:hAnsi="宋体" w:eastAsia="宋体" w:cs="宋体"/>
                <w:highlight w:val="none"/>
              </w:rPr>
            </w:pPr>
          </w:p>
        </w:tc>
        <w:tc>
          <w:tcPr>
            <w:tcW w:w="1392" w:type="dxa"/>
            <w:vAlign w:val="center"/>
          </w:tcPr>
          <w:p w14:paraId="0EC68B0F">
            <w:pPr>
              <w:spacing w:before="120"/>
              <w:jc w:val="center"/>
              <w:rPr>
                <w:rFonts w:hint="eastAsia" w:ascii="宋体" w:hAnsi="宋体" w:eastAsia="宋体" w:cs="宋体"/>
                <w:highlight w:val="none"/>
              </w:rPr>
            </w:pPr>
          </w:p>
        </w:tc>
        <w:tc>
          <w:tcPr>
            <w:tcW w:w="1485" w:type="dxa"/>
            <w:vAlign w:val="center"/>
          </w:tcPr>
          <w:p w14:paraId="6264E41A">
            <w:pPr>
              <w:spacing w:before="120"/>
              <w:jc w:val="center"/>
              <w:rPr>
                <w:rFonts w:hint="eastAsia" w:ascii="宋体" w:hAnsi="宋体" w:eastAsia="宋体" w:cs="宋体"/>
                <w:highlight w:val="none"/>
              </w:rPr>
            </w:pPr>
          </w:p>
        </w:tc>
        <w:tc>
          <w:tcPr>
            <w:tcW w:w="1365" w:type="dxa"/>
            <w:vAlign w:val="center"/>
          </w:tcPr>
          <w:p w14:paraId="1A92A840">
            <w:pPr>
              <w:spacing w:before="120"/>
              <w:jc w:val="center"/>
              <w:rPr>
                <w:rFonts w:hint="eastAsia" w:ascii="宋体" w:hAnsi="宋体" w:eastAsia="宋体" w:cs="宋体"/>
                <w:highlight w:val="none"/>
              </w:rPr>
            </w:pPr>
          </w:p>
        </w:tc>
        <w:tc>
          <w:tcPr>
            <w:tcW w:w="1395" w:type="dxa"/>
            <w:vAlign w:val="center"/>
          </w:tcPr>
          <w:p w14:paraId="4ED4F07A">
            <w:pPr>
              <w:spacing w:before="120"/>
              <w:jc w:val="center"/>
              <w:rPr>
                <w:rFonts w:hint="eastAsia" w:ascii="宋体" w:hAnsi="宋体" w:eastAsia="宋体" w:cs="宋体"/>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hint="eastAsia" w:ascii="宋体" w:hAnsi="宋体" w:eastAsia="宋体" w:cs="宋体"/>
                <w:highlight w:val="none"/>
              </w:rPr>
            </w:pPr>
          </w:p>
        </w:tc>
        <w:tc>
          <w:tcPr>
            <w:tcW w:w="1392" w:type="dxa"/>
            <w:vAlign w:val="center"/>
          </w:tcPr>
          <w:p w14:paraId="1B2F6ED2">
            <w:pPr>
              <w:spacing w:before="120"/>
              <w:jc w:val="center"/>
              <w:rPr>
                <w:rFonts w:hint="eastAsia" w:ascii="宋体" w:hAnsi="宋体" w:eastAsia="宋体" w:cs="宋体"/>
                <w:highlight w:val="none"/>
              </w:rPr>
            </w:pPr>
          </w:p>
        </w:tc>
        <w:tc>
          <w:tcPr>
            <w:tcW w:w="1485" w:type="dxa"/>
            <w:vAlign w:val="center"/>
          </w:tcPr>
          <w:p w14:paraId="2D2D2FEC">
            <w:pPr>
              <w:spacing w:before="120"/>
              <w:jc w:val="center"/>
              <w:rPr>
                <w:rFonts w:hint="eastAsia" w:ascii="宋体" w:hAnsi="宋体" w:eastAsia="宋体" w:cs="宋体"/>
                <w:highlight w:val="none"/>
              </w:rPr>
            </w:pPr>
          </w:p>
        </w:tc>
        <w:tc>
          <w:tcPr>
            <w:tcW w:w="1365" w:type="dxa"/>
            <w:vAlign w:val="center"/>
          </w:tcPr>
          <w:p w14:paraId="5A6E5E8B">
            <w:pPr>
              <w:spacing w:before="120"/>
              <w:jc w:val="center"/>
              <w:rPr>
                <w:rFonts w:hint="eastAsia" w:ascii="宋体" w:hAnsi="宋体" w:eastAsia="宋体" w:cs="宋体"/>
                <w:highlight w:val="none"/>
              </w:rPr>
            </w:pPr>
          </w:p>
        </w:tc>
        <w:tc>
          <w:tcPr>
            <w:tcW w:w="1395" w:type="dxa"/>
            <w:vAlign w:val="center"/>
          </w:tcPr>
          <w:p w14:paraId="2D89B567">
            <w:pPr>
              <w:spacing w:before="120"/>
              <w:jc w:val="center"/>
              <w:rPr>
                <w:rFonts w:hint="eastAsia" w:ascii="宋体" w:hAnsi="宋体" w:eastAsia="宋体" w:cs="宋体"/>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hint="eastAsia" w:ascii="宋体" w:hAnsi="宋体" w:eastAsia="宋体" w:cs="宋体"/>
                <w:highlight w:val="none"/>
              </w:rPr>
            </w:pPr>
          </w:p>
        </w:tc>
        <w:tc>
          <w:tcPr>
            <w:tcW w:w="1392" w:type="dxa"/>
            <w:vAlign w:val="center"/>
          </w:tcPr>
          <w:p w14:paraId="6EC5F5FE">
            <w:pPr>
              <w:spacing w:before="120"/>
              <w:jc w:val="center"/>
              <w:rPr>
                <w:rFonts w:hint="eastAsia" w:ascii="宋体" w:hAnsi="宋体" w:eastAsia="宋体" w:cs="宋体"/>
                <w:highlight w:val="none"/>
              </w:rPr>
            </w:pPr>
          </w:p>
        </w:tc>
        <w:tc>
          <w:tcPr>
            <w:tcW w:w="1485" w:type="dxa"/>
            <w:vAlign w:val="center"/>
          </w:tcPr>
          <w:p w14:paraId="1226E7A2">
            <w:pPr>
              <w:spacing w:before="120"/>
              <w:jc w:val="center"/>
              <w:rPr>
                <w:rFonts w:hint="eastAsia" w:ascii="宋体" w:hAnsi="宋体" w:eastAsia="宋体" w:cs="宋体"/>
                <w:highlight w:val="none"/>
              </w:rPr>
            </w:pPr>
          </w:p>
        </w:tc>
        <w:tc>
          <w:tcPr>
            <w:tcW w:w="1365" w:type="dxa"/>
            <w:vAlign w:val="center"/>
          </w:tcPr>
          <w:p w14:paraId="2EE9EADA">
            <w:pPr>
              <w:spacing w:before="120"/>
              <w:jc w:val="center"/>
              <w:rPr>
                <w:rFonts w:hint="eastAsia" w:ascii="宋体" w:hAnsi="宋体" w:eastAsia="宋体" w:cs="宋体"/>
                <w:highlight w:val="none"/>
              </w:rPr>
            </w:pPr>
          </w:p>
        </w:tc>
        <w:tc>
          <w:tcPr>
            <w:tcW w:w="1395" w:type="dxa"/>
            <w:vAlign w:val="center"/>
          </w:tcPr>
          <w:p w14:paraId="2827C9D7">
            <w:pPr>
              <w:spacing w:before="120"/>
              <w:jc w:val="center"/>
              <w:rPr>
                <w:rFonts w:hint="eastAsia" w:ascii="宋体" w:hAnsi="宋体" w:eastAsia="宋体" w:cs="宋体"/>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hint="eastAsia" w:ascii="宋体" w:hAnsi="宋体" w:eastAsia="宋体" w:cs="宋体"/>
                <w:highlight w:val="none"/>
              </w:rPr>
            </w:pPr>
          </w:p>
        </w:tc>
        <w:tc>
          <w:tcPr>
            <w:tcW w:w="1392" w:type="dxa"/>
            <w:vAlign w:val="center"/>
          </w:tcPr>
          <w:p w14:paraId="3904317C">
            <w:pPr>
              <w:spacing w:before="120"/>
              <w:jc w:val="center"/>
              <w:rPr>
                <w:rFonts w:hint="eastAsia" w:ascii="宋体" w:hAnsi="宋体" w:eastAsia="宋体" w:cs="宋体"/>
                <w:highlight w:val="none"/>
              </w:rPr>
            </w:pPr>
          </w:p>
        </w:tc>
        <w:tc>
          <w:tcPr>
            <w:tcW w:w="1485" w:type="dxa"/>
            <w:vAlign w:val="center"/>
          </w:tcPr>
          <w:p w14:paraId="2B41D14C">
            <w:pPr>
              <w:spacing w:before="120"/>
              <w:jc w:val="center"/>
              <w:rPr>
                <w:rFonts w:hint="eastAsia" w:ascii="宋体" w:hAnsi="宋体" w:eastAsia="宋体" w:cs="宋体"/>
                <w:highlight w:val="none"/>
              </w:rPr>
            </w:pPr>
          </w:p>
        </w:tc>
        <w:tc>
          <w:tcPr>
            <w:tcW w:w="1365" w:type="dxa"/>
            <w:vAlign w:val="center"/>
          </w:tcPr>
          <w:p w14:paraId="3797DB3D">
            <w:pPr>
              <w:spacing w:before="120"/>
              <w:jc w:val="center"/>
              <w:rPr>
                <w:rFonts w:hint="eastAsia" w:ascii="宋体" w:hAnsi="宋体" w:eastAsia="宋体" w:cs="宋体"/>
                <w:highlight w:val="none"/>
              </w:rPr>
            </w:pPr>
          </w:p>
        </w:tc>
        <w:tc>
          <w:tcPr>
            <w:tcW w:w="1395" w:type="dxa"/>
            <w:vAlign w:val="center"/>
          </w:tcPr>
          <w:p w14:paraId="54B94AE8">
            <w:pPr>
              <w:spacing w:before="120"/>
              <w:jc w:val="center"/>
              <w:rPr>
                <w:rFonts w:hint="eastAsia" w:ascii="宋体" w:hAnsi="宋体" w:eastAsia="宋体" w:cs="宋体"/>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hint="eastAsia" w:ascii="宋体" w:hAnsi="宋体" w:eastAsia="宋体" w:cs="宋体"/>
                <w:highlight w:val="none"/>
              </w:rPr>
            </w:pPr>
          </w:p>
        </w:tc>
        <w:tc>
          <w:tcPr>
            <w:tcW w:w="1392" w:type="dxa"/>
            <w:vAlign w:val="center"/>
          </w:tcPr>
          <w:p w14:paraId="1313E78D">
            <w:pPr>
              <w:spacing w:before="120"/>
              <w:jc w:val="center"/>
              <w:rPr>
                <w:rFonts w:hint="eastAsia" w:ascii="宋体" w:hAnsi="宋体" w:eastAsia="宋体" w:cs="宋体"/>
                <w:highlight w:val="none"/>
              </w:rPr>
            </w:pPr>
          </w:p>
        </w:tc>
        <w:tc>
          <w:tcPr>
            <w:tcW w:w="1485" w:type="dxa"/>
            <w:vAlign w:val="center"/>
          </w:tcPr>
          <w:p w14:paraId="1B7314DE">
            <w:pPr>
              <w:spacing w:before="120"/>
              <w:jc w:val="center"/>
              <w:rPr>
                <w:rFonts w:hint="eastAsia" w:ascii="宋体" w:hAnsi="宋体" w:eastAsia="宋体" w:cs="宋体"/>
                <w:highlight w:val="none"/>
              </w:rPr>
            </w:pPr>
          </w:p>
        </w:tc>
        <w:tc>
          <w:tcPr>
            <w:tcW w:w="1365" w:type="dxa"/>
            <w:vAlign w:val="center"/>
          </w:tcPr>
          <w:p w14:paraId="2E509206">
            <w:pPr>
              <w:spacing w:before="120"/>
              <w:jc w:val="center"/>
              <w:rPr>
                <w:rFonts w:hint="eastAsia" w:ascii="宋体" w:hAnsi="宋体" w:eastAsia="宋体" w:cs="宋体"/>
                <w:highlight w:val="none"/>
              </w:rPr>
            </w:pPr>
          </w:p>
        </w:tc>
        <w:tc>
          <w:tcPr>
            <w:tcW w:w="1395" w:type="dxa"/>
            <w:vAlign w:val="center"/>
          </w:tcPr>
          <w:p w14:paraId="79E06EF4">
            <w:pPr>
              <w:spacing w:before="120"/>
              <w:jc w:val="center"/>
              <w:rPr>
                <w:rFonts w:hint="eastAsia" w:ascii="宋体" w:hAnsi="宋体" w:eastAsia="宋体" w:cs="宋体"/>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hint="eastAsia" w:ascii="宋体" w:hAnsi="宋体" w:eastAsia="宋体" w:cs="宋体"/>
                <w:highlight w:val="none"/>
              </w:rPr>
            </w:pPr>
          </w:p>
        </w:tc>
        <w:tc>
          <w:tcPr>
            <w:tcW w:w="1392" w:type="dxa"/>
            <w:vAlign w:val="center"/>
          </w:tcPr>
          <w:p w14:paraId="561AB2CF">
            <w:pPr>
              <w:spacing w:before="120"/>
              <w:jc w:val="center"/>
              <w:rPr>
                <w:rFonts w:hint="eastAsia" w:ascii="宋体" w:hAnsi="宋体" w:eastAsia="宋体" w:cs="宋体"/>
                <w:highlight w:val="none"/>
              </w:rPr>
            </w:pPr>
          </w:p>
        </w:tc>
        <w:tc>
          <w:tcPr>
            <w:tcW w:w="1485" w:type="dxa"/>
            <w:vAlign w:val="center"/>
          </w:tcPr>
          <w:p w14:paraId="4DC497D5">
            <w:pPr>
              <w:spacing w:before="120"/>
              <w:jc w:val="center"/>
              <w:rPr>
                <w:rFonts w:hint="eastAsia" w:ascii="宋体" w:hAnsi="宋体" w:eastAsia="宋体" w:cs="宋体"/>
                <w:highlight w:val="none"/>
              </w:rPr>
            </w:pPr>
          </w:p>
        </w:tc>
        <w:tc>
          <w:tcPr>
            <w:tcW w:w="1365" w:type="dxa"/>
            <w:vAlign w:val="center"/>
          </w:tcPr>
          <w:p w14:paraId="0E56BECE">
            <w:pPr>
              <w:spacing w:before="120"/>
              <w:jc w:val="center"/>
              <w:rPr>
                <w:rFonts w:hint="eastAsia" w:ascii="宋体" w:hAnsi="宋体" w:eastAsia="宋体" w:cs="宋体"/>
                <w:highlight w:val="none"/>
              </w:rPr>
            </w:pPr>
          </w:p>
        </w:tc>
        <w:tc>
          <w:tcPr>
            <w:tcW w:w="1395" w:type="dxa"/>
            <w:vAlign w:val="center"/>
          </w:tcPr>
          <w:p w14:paraId="4147F08F">
            <w:pPr>
              <w:spacing w:before="120"/>
              <w:jc w:val="center"/>
              <w:rPr>
                <w:rFonts w:hint="eastAsia" w:ascii="宋体" w:hAnsi="宋体" w:eastAsia="宋体" w:cs="宋体"/>
                <w:highlight w:val="none"/>
              </w:rPr>
            </w:pPr>
          </w:p>
        </w:tc>
      </w:tr>
    </w:tbl>
    <w:p w14:paraId="5016CED6">
      <w:pPr>
        <w:spacing w:line="380" w:lineRule="exac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注：供应商需在本表后附</w:t>
      </w:r>
      <w:r>
        <w:rPr>
          <w:rFonts w:hint="eastAsia" w:ascii="宋体" w:hAnsi="宋体" w:eastAsia="宋体" w:cs="宋体"/>
          <w:b/>
          <w:color w:val="auto"/>
          <w:szCs w:val="21"/>
          <w:highlight w:val="none"/>
          <w:lang w:val="en-US" w:eastAsia="zh-CN"/>
        </w:rPr>
        <w:t>销售业绩</w:t>
      </w:r>
      <w:r>
        <w:rPr>
          <w:rFonts w:hint="eastAsia" w:ascii="宋体" w:hAnsi="宋体" w:eastAsia="宋体" w:cs="宋体"/>
          <w:b/>
          <w:color w:val="auto"/>
          <w:szCs w:val="21"/>
          <w:highlight w:val="none"/>
        </w:rPr>
        <w:t>合同</w:t>
      </w:r>
      <w:r>
        <w:rPr>
          <w:rFonts w:hint="eastAsia" w:ascii="宋体" w:hAnsi="宋体" w:eastAsia="宋体" w:cs="宋体"/>
          <w:b/>
          <w:color w:val="auto"/>
          <w:szCs w:val="21"/>
          <w:highlight w:val="none"/>
          <w:lang w:val="en-US" w:eastAsia="zh-CN"/>
        </w:rPr>
        <w:t>。</w:t>
      </w:r>
    </w:p>
    <w:p w14:paraId="017273DD">
      <w:pPr>
        <w:pStyle w:val="11"/>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p>
    <w:p w14:paraId="335E608E">
      <w:pPr>
        <w:pStyle w:val="11"/>
        <w:spacing w:beforeAutospacing="0" w:afterAutospacing="0" w:line="480" w:lineRule="auto"/>
        <w:ind w:firstLine="495" w:firstLineChars="224"/>
        <w:jc w:val="both"/>
        <w:rPr>
          <w:rFonts w:hint="eastAsia" w:ascii="宋体" w:hAnsi="宋体" w:eastAsia="宋体" w:cs="宋体"/>
          <w:b/>
          <w:bCs/>
          <w:color w:val="auto"/>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lang w:val="en-US" w:eastAsia="zh-CN"/>
        </w:rPr>
        <w:t>供应商认为其他应提供的证明材料</w:t>
      </w:r>
      <w:bookmarkEnd w:id="78"/>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5"/>
      <w:jc w:val="right"/>
      <w:rPr>
        <w:rFonts w:hint="eastAsia"/>
      </w:rPr>
    </w:pPr>
    <w:r>
      <w:rPr>
        <w:rFonts w:hint="eastAsia" w:ascii="宋体" w:hAnsi="宋体" w:cs="宋体"/>
        <w:color w:val="auto"/>
        <w:szCs w:val="21"/>
        <w:highlight w:val="none"/>
        <w:u w:val="none"/>
        <w:shd w:val="clear" w:color="auto" w:fill="FFFFFF"/>
        <w:lang w:val="en-US" w:eastAsia="zh-CN"/>
      </w:rPr>
      <w:t>驻马店市中心医院轮转式切片机采购项目（二次）采购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1E276"/>
    <w:multiLevelType w:val="singleLevel"/>
    <w:tmpl w:val="AC41E276"/>
    <w:lvl w:ilvl="0" w:tentative="0">
      <w:start w:val="5"/>
      <w:numFmt w:val="chineseCounting"/>
      <w:suff w:val="nothing"/>
      <w:lvlText w:val="%1、"/>
      <w:lvlJc w:val="left"/>
      <w:rPr>
        <w:rFonts w:hint="eastAsia"/>
      </w:rPr>
    </w:lvl>
  </w:abstractNum>
  <w:abstractNum w:abstractNumId="1">
    <w:nsid w:val="CA829215"/>
    <w:multiLevelType w:val="singleLevel"/>
    <w:tmpl w:val="CA82921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376D8"/>
    <w:rsid w:val="01976717"/>
    <w:rsid w:val="019F1377"/>
    <w:rsid w:val="01D715BE"/>
    <w:rsid w:val="01EB45BC"/>
    <w:rsid w:val="01F04981"/>
    <w:rsid w:val="01F62F61"/>
    <w:rsid w:val="01F9035B"/>
    <w:rsid w:val="01FA63A5"/>
    <w:rsid w:val="02011C7D"/>
    <w:rsid w:val="02035523"/>
    <w:rsid w:val="021653B1"/>
    <w:rsid w:val="02184C85"/>
    <w:rsid w:val="021B0444"/>
    <w:rsid w:val="021C6E40"/>
    <w:rsid w:val="02222FF2"/>
    <w:rsid w:val="023615AF"/>
    <w:rsid w:val="02384FF4"/>
    <w:rsid w:val="023D0B8F"/>
    <w:rsid w:val="023F67A9"/>
    <w:rsid w:val="0247575A"/>
    <w:rsid w:val="025235B1"/>
    <w:rsid w:val="0261030A"/>
    <w:rsid w:val="0262674D"/>
    <w:rsid w:val="02747B01"/>
    <w:rsid w:val="027619AC"/>
    <w:rsid w:val="02890D36"/>
    <w:rsid w:val="02B97DFD"/>
    <w:rsid w:val="02C866AB"/>
    <w:rsid w:val="02CB7F49"/>
    <w:rsid w:val="02D92EF7"/>
    <w:rsid w:val="02DA4665"/>
    <w:rsid w:val="02ED6112"/>
    <w:rsid w:val="02F40325"/>
    <w:rsid w:val="02FA082F"/>
    <w:rsid w:val="031126C4"/>
    <w:rsid w:val="031C0676"/>
    <w:rsid w:val="0323019C"/>
    <w:rsid w:val="0324158A"/>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42E37DB"/>
    <w:rsid w:val="04416C20"/>
    <w:rsid w:val="04732647"/>
    <w:rsid w:val="047968B1"/>
    <w:rsid w:val="04870542"/>
    <w:rsid w:val="04B30F7A"/>
    <w:rsid w:val="050E236F"/>
    <w:rsid w:val="0512137B"/>
    <w:rsid w:val="05121E5F"/>
    <w:rsid w:val="054C0111"/>
    <w:rsid w:val="05545DD3"/>
    <w:rsid w:val="056E2AD6"/>
    <w:rsid w:val="05720B50"/>
    <w:rsid w:val="05806815"/>
    <w:rsid w:val="058251D3"/>
    <w:rsid w:val="058C28F1"/>
    <w:rsid w:val="058D7738"/>
    <w:rsid w:val="05945CCE"/>
    <w:rsid w:val="059652F0"/>
    <w:rsid w:val="059D05A4"/>
    <w:rsid w:val="059D5E17"/>
    <w:rsid w:val="059E1E1A"/>
    <w:rsid w:val="05AB0A28"/>
    <w:rsid w:val="05AB0F81"/>
    <w:rsid w:val="05B93D6B"/>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A7CAA"/>
    <w:rsid w:val="066E164D"/>
    <w:rsid w:val="068E7B23"/>
    <w:rsid w:val="06983B20"/>
    <w:rsid w:val="069A3B66"/>
    <w:rsid w:val="06A869D6"/>
    <w:rsid w:val="06A9264E"/>
    <w:rsid w:val="06B31420"/>
    <w:rsid w:val="06B91765"/>
    <w:rsid w:val="06CA2AD2"/>
    <w:rsid w:val="06CB0D68"/>
    <w:rsid w:val="06CD24E2"/>
    <w:rsid w:val="06CE3071"/>
    <w:rsid w:val="06D33DBA"/>
    <w:rsid w:val="06D73361"/>
    <w:rsid w:val="06E13F9F"/>
    <w:rsid w:val="06E17D3B"/>
    <w:rsid w:val="06FB0AC5"/>
    <w:rsid w:val="06FE7278"/>
    <w:rsid w:val="070D2D5D"/>
    <w:rsid w:val="07104A12"/>
    <w:rsid w:val="07111B8D"/>
    <w:rsid w:val="07260519"/>
    <w:rsid w:val="072916E2"/>
    <w:rsid w:val="072C5514"/>
    <w:rsid w:val="0737768A"/>
    <w:rsid w:val="074A5B92"/>
    <w:rsid w:val="075D0147"/>
    <w:rsid w:val="075E25B1"/>
    <w:rsid w:val="075E3193"/>
    <w:rsid w:val="078E18EB"/>
    <w:rsid w:val="07AA2823"/>
    <w:rsid w:val="07B02D9F"/>
    <w:rsid w:val="07B10EA5"/>
    <w:rsid w:val="07C510CB"/>
    <w:rsid w:val="07CD6512"/>
    <w:rsid w:val="07CE3FA1"/>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69226A"/>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57AEC"/>
    <w:rsid w:val="0A3E6D2E"/>
    <w:rsid w:val="0A4232E4"/>
    <w:rsid w:val="0A4F145F"/>
    <w:rsid w:val="0A8455AD"/>
    <w:rsid w:val="0A8729A8"/>
    <w:rsid w:val="0ABA2D7D"/>
    <w:rsid w:val="0AD13A85"/>
    <w:rsid w:val="0AE0655C"/>
    <w:rsid w:val="0B091954"/>
    <w:rsid w:val="0B195776"/>
    <w:rsid w:val="0B1A7CC0"/>
    <w:rsid w:val="0B224DC6"/>
    <w:rsid w:val="0B2E1258"/>
    <w:rsid w:val="0B34773E"/>
    <w:rsid w:val="0B3B7D65"/>
    <w:rsid w:val="0B434C20"/>
    <w:rsid w:val="0B5F0822"/>
    <w:rsid w:val="0B637D77"/>
    <w:rsid w:val="0B6B6A4F"/>
    <w:rsid w:val="0B7006C4"/>
    <w:rsid w:val="0B726646"/>
    <w:rsid w:val="0B753148"/>
    <w:rsid w:val="0B7606E8"/>
    <w:rsid w:val="0B8B471A"/>
    <w:rsid w:val="0B924545"/>
    <w:rsid w:val="0BAC324F"/>
    <w:rsid w:val="0BB40DF1"/>
    <w:rsid w:val="0BC11EE9"/>
    <w:rsid w:val="0BCC62FA"/>
    <w:rsid w:val="0BF16C73"/>
    <w:rsid w:val="0BF72F1E"/>
    <w:rsid w:val="0C0A7D34"/>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206810"/>
    <w:rsid w:val="0D4861FD"/>
    <w:rsid w:val="0D696CDD"/>
    <w:rsid w:val="0D735465"/>
    <w:rsid w:val="0D9D0734"/>
    <w:rsid w:val="0DC577E0"/>
    <w:rsid w:val="0DDC6319"/>
    <w:rsid w:val="0DE1181F"/>
    <w:rsid w:val="0DFA5B87"/>
    <w:rsid w:val="0DFE4F67"/>
    <w:rsid w:val="0E0C0D4C"/>
    <w:rsid w:val="0E115DA1"/>
    <w:rsid w:val="0E1409F6"/>
    <w:rsid w:val="0E162D6D"/>
    <w:rsid w:val="0E460DCC"/>
    <w:rsid w:val="0E4B63E2"/>
    <w:rsid w:val="0E541CA2"/>
    <w:rsid w:val="0E5434E9"/>
    <w:rsid w:val="0E576B35"/>
    <w:rsid w:val="0E594756"/>
    <w:rsid w:val="0E95596D"/>
    <w:rsid w:val="0EAE6205"/>
    <w:rsid w:val="0EAE6579"/>
    <w:rsid w:val="0EAF71BF"/>
    <w:rsid w:val="0ECE6257"/>
    <w:rsid w:val="0EE24651"/>
    <w:rsid w:val="0EE4129D"/>
    <w:rsid w:val="0F171032"/>
    <w:rsid w:val="0F1D7D7F"/>
    <w:rsid w:val="0F335E69"/>
    <w:rsid w:val="0F372614"/>
    <w:rsid w:val="0F3D59C9"/>
    <w:rsid w:val="0F515A6B"/>
    <w:rsid w:val="0F516D5A"/>
    <w:rsid w:val="0F565B36"/>
    <w:rsid w:val="0F684933"/>
    <w:rsid w:val="0F6E2388"/>
    <w:rsid w:val="0F8120BC"/>
    <w:rsid w:val="0F821E7D"/>
    <w:rsid w:val="0FB3423F"/>
    <w:rsid w:val="0FC91CB4"/>
    <w:rsid w:val="0FCA42ED"/>
    <w:rsid w:val="0FDB5F4F"/>
    <w:rsid w:val="0FE7592C"/>
    <w:rsid w:val="0FFC17A5"/>
    <w:rsid w:val="0FFD20F0"/>
    <w:rsid w:val="10142F30"/>
    <w:rsid w:val="102F7D69"/>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D0051"/>
    <w:rsid w:val="12413D84"/>
    <w:rsid w:val="125D0492"/>
    <w:rsid w:val="126D16E4"/>
    <w:rsid w:val="127A7D1C"/>
    <w:rsid w:val="12836D8B"/>
    <w:rsid w:val="12993BC0"/>
    <w:rsid w:val="12AB0349"/>
    <w:rsid w:val="12B66520"/>
    <w:rsid w:val="12CD57F1"/>
    <w:rsid w:val="12CE5941"/>
    <w:rsid w:val="12CE7AFA"/>
    <w:rsid w:val="12D67466"/>
    <w:rsid w:val="12DA08F3"/>
    <w:rsid w:val="13036052"/>
    <w:rsid w:val="130D1D7A"/>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E07884"/>
    <w:rsid w:val="14FC36BD"/>
    <w:rsid w:val="14FF5EA7"/>
    <w:rsid w:val="15127C5A"/>
    <w:rsid w:val="15192D96"/>
    <w:rsid w:val="151E3A0F"/>
    <w:rsid w:val="152534E9"/>
    <w:rsid w:val="152A4FA3"/>
    <w:rsid w:val="153A36AA"/>
    <w:rsid w:val="15477903"/>
    <w:rsid w:val="1557566D"/>
    <w:rsid w:val="1565422D"/>
    <w:rsid w:val="156E0971"/>
    <w:rsid w:val="15785B3E"/>
    <w:rsid w:val="15811F1B"/>
    <w:rsid w:val="158D0509"/>
    <w:rsid w:val="15A30135"/>
    <w:rsid w:val="15A34015"/>
    <w:rsid w:val="15A703A2"/>
    <w:rsid w:val="15BB487B"/>
    <w:rsid w:val="15CE086D"/>
    <w:rsid w:val="15DB44F0"/>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6EB279A"/>
    <w:rsid w:val="170D06E0"/>
    <w:rsid w:val="17233E03"/>
    <w:rsid w:val="17263548"/>
    <w:rsid w:val="17332185"/>
    <w:rsid w:val="17475951"/>
    <w:rsid w:val="175B7696"/>
    <w:rsid w:val="175C542D"/>
    <w:rsid w:val="175D0ED4"/>
    <w:rsid w:val="1767428D"/>
    <w:rsid w:val="17793FC0"/>
    <w:rsid w:val="179D33A9"/>
    <w:rsid w:val="179F2E61"/>
    <w:rsid w:val="17A06264"/>
    <w:rsid w:val="17BE19D3"/>
    <w:rsid w:val="17C058A9"/>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3D49A9"/>
    <w:rsid w:val="1B4346C9"/>
    <w:rsid w:val="1B486183"/>
    <w:rsid w:val="1B4F2450"/>
    <w:rsid w:val="1B50619C"/>
    <w:rsid w:val="1B530868"/>
    <w:rsid w:val="1B6573E8"/>
    <w:rsid w:val="1B6922A5"/>
    <w:rsid w:val="1B721452"/>
    <w:rsid w:val="1B882A24"/>
    <w:rsid w:val="1B8C18B7"/>
    <w:rsid w:val="1BB73AE1"/>
    <w:rsid w:val="1BDA6D68"/>
    <w:rsid w:val="1BF14125"/>
    <w:rsid w:val="1BFE6842"/>
    <w:rsid w:val="1C002CEE"/>
    <w:rsid w:val="1C180F75"/>
    <w:rsid w:val="1C27223D"/>
    <w:rsid w:val="1C3861F8"/>
    <w:rsid w:val="1C4032FE"/>
    <w:rsid w:val="1C424981"/>
    <w:rsid w:val="1C4E77C9"/>
    <w:rsid w:val="1C555978"/>
    <w:rsid w:val="1C6554A1"/>
    <w:rsid w:val="1C705992"/>
    <w:rsid w:val="1C7971B7"/>
    <w:rsid w:val="1C8036FB"/>
    <w:rsid w:val="1C917D91"/>
    <w:rsid w:val="1CAB1D11"/>
    <w:rsid w:val="1CAB2820"/>
    <w:rsid w:val="1CBA4E5F"/>
    <w:rsid w:val="1CD402EC"/>
    <w:rsid w:val="1CDF6F49"/>
    <w:rsid w:val="1CED16EF"/>
    <w:rsid w:val="1CF02333"/>
    <w:rsid w:val="1D036806"/>
    <w:rsid w:val="1D047E88"/>
    <w:rsid w:val="1D0C33A2"/>
    <w:rsid w:val="1D0C4F8F"/>
    <w:rsid w:val="1D113E6E"/>
    <w:rsid w:val="1D114E5E"/>
    <w:rsid w:val="1D1F0050"/>
    <w:rsid w:val="1D214EDE"/>
    <w:rsid w:val="1D2222DC"/>
    <w:rsid w:val="1D3544E5"/>
    <w:rsid w:val="1D5144F7"/>
    <w:rsid w:val="1D5B3CDE"/>
    <w:rsid w:val="1D5D0701"/>
    <w:rsid w:val="1D5E3A3C"/>
    <w:rsid w:val="1D6E2950"/>
    <w:rsid w:val="1D79298C"/>
    <w:rsid w:val="1D9751A0"/>
    <w:rsid w:val="1D98209B"/>
    <w:rsid w:val="1DA23746"/>
    <w:rsid w:val="1DAA14B9"/>
    <w:rsid w:val="1DB949A5"/>
    <w:rsid w:val="1DD04513"/>
    <w:rsid w:val="1DD8524D"/>
    <w:rsid w:val="1DDD2BCB"/>
    <w:rsid w:val="1E0345E3"/>
    <w:rsid w:val="1E04324C"/>
    <w:rsid w:val="1E1B7B7F"/>
    <w:rsid w:val="1E443370"/>
    <w:rsid w:val="1E546BED"/>
    <w:rsid w:val="1E656063"/>
    <w:rsid w:val="1E6B06A5"/>
    <w:rsid w:val="1E7554E1"/>
    <w:rsid w:val="1E7F7D9E"/>
    <w:rsid w:val="1E840DA4"/>
    <w:rsid w:val="1E982F7E"/>
    <w:rsid w:val="1E9B2A6E"/>
    <w:rsid w:val="1EA00084"/>
    <w:rsid w:val="1EA5444C"/>
    <w:rsid w:val="1EA5569B"/>
    <w:rsid w:val="1EB350EF"/>
    <w:rsid w:val="1EC21749"/>
    <w:rsid w:val="1EEB7C4E"/>
    <w:rsid w:val="1EFE0DA3"/>
    <w:rsid w:val="1F072441"/>
    <w:rsid w:val="1F161A25"/>
    <w:rsid w:val="1F171B83"/>
    <w:rsid w:val="1F2D4691"/>
    <w:rsid w:val="1F2D491A"/>
    <w:rsid w:val="1F354D1B"/>
    <w:rsid w:val="1F3F789D"/>
    <w:rsid w:val="1F4E5D32"/>
    <w:rsid w:val="1F503858"/>
    <w:rsid w:val="1F66355F"/>
    <w:rsid w:val="1F6B41EE"/>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9263AA"/>
    <w:rsid w:val="219E5782"/>
    <w:rsid w:val="21A41C3A"/>
    <w:rsid w:val="21C1459A"/>
    <w:rsid w:val="21D10545"/>
    <w:rsid w:val="21E72B0B"/>
    <w:rsid w:val="21E76A4A"/>
    <w:rsid w:val="21EE607E"/>
    <w:rsid w:val="21F229A5"/>
    <w:rsid w:val="21F66F4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E4FF1"/>
    <w:rsid w:val="23B57016"/>
    <w:rsid w:val="23C16AD3"/>
    <w:rsid w:val="23C4797E"/>
    <w:rsid w:val="23CD5478"/>
    <w:rsid w:val="23D4764B"/>
    <w:rsid w:val="23E66539"/>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8A5F9C"/>
    <w:rsid w:val="24942917"/>
    <w:rsid w:val="24AE34FB"/>
    <w:rsid w:val="24CC106B"/>
    <w:rsid w:val="24D00598"/>
    <w:rsid w:val="24D34D10"/>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01168"/>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3B3040"/>
    <w:rsid w:val="274E2228"/>
    <w:rsid w:val="27517A93"/>
    <w:rsid w:val="27565784"/>
    <w:rsid w:val="275E53AF"/>
    <w:rsid w:val="27606603"/>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63B6E"/>
    <w:rsid w:val="283C23DF"/>
    <w:rsid w:val="283D69F1"/>
    <w:rsid w:val="283F090E"/>
    <w:rsid w:val="284C16F5"/>
    <w:rsid w:val="28570AB5"/>
    <w:rsid w:val="285F2CDC"/>
    <w:rsid w:val="28622C36"/>
    <w:rsid w:val="2869172C"/>
    <w:rsid w:val="288C2D07"/>
    <w:rsid w:val="289C18BC"/>
    <w:rsid w:val="289E7E22"/>
    <w:rsid w:val="28BC1F5F"/>
    <w:rsid w:val="28C2534B"/>
    <w:rsid w:val="28C5525A"/>
    <w:rsid w:val="28D14B96"/>
    <w:rsid w:val="28DC7F0B"/>
    <w:rsid w:val="28E60D8A"/>
    <w:rsid w:val="29020C46"/>
    <w:rsid w:val="290240C7"/>
    <w:rsid w:val="291713AF"/>
    <w:rsid w:val="291A2B97"/>
    <w:rsid w:val="29274EE0"/>
    <w:rsid w:val="294F692F"/>
    <w:rsid w:val="295029E3"/>
    <w:rsid w:val="29543A59"/>
    <w:rsid w:val="29573CE9"/>
    <w:rsid w:val="29670ED3"/>
    <w:rsid w:val="2969197F"/>
    <w:rsid w:val="29746E87"/>
    <w:rsid w:val="297939AC"/>
    <w:rsid w:val="297C03C2"/>
    <w:rsid w:val="298A5BB9"/>
    <w:rsid w:val="299573AB"/>
    <w:rsid w:val="29B05804"/>
    <w:rsid w:val="29BD1AEA"/>
    <w:rsid w:val="29BE5BD0"/>
    <w:rsid w:val="29C01572"/>
    <w:rsid w:val="29C25353"/>
    <w:rsid w:val="29C966E1"/>
    <w:rsid w:val="29CA4207"/>
    <w:rsid w:val="29D82DC8"/>
    <w:rsid w:val="29DA08EE"/>
    <w:rsid w:val="29DB6414"/>
    <w:rsid w:val="29E74CE2"/>
    <w:rsid w:val="2A133E00"/>
    <w:rsid w:val="2A236931"/>
    <w:rsid w:val="2A241B69"/>
    <w:rsid w:val="2A2B114A"/>
    <w:rsid w:val="2A306A36"/>
    <w:rsid w:val="2A457300"/>
    <w:rsid w:val="2A5372C6"/>
    <w:rsid w:val="2A5A558B"/>
    <w:rsid w:val="2A5B03D8"/>
    <w:rsid w:val="2A6F6D07"/>
    <w:rsid w:val="2A852253"/>
    <w:rsid w:val="2A882500"/>
    <w:rsid w:val="2AA35184"/>
    <w:rsid w:val="2AAB228B"/>
    <w:rsid w:val="2AAB4E76"/>
    <w:rsid w:val="2AB63ABC"/>
    <w:rsid w:val="2AB63D0A"/>
    <w:rsid w:val="2AC31382"/>
    <w:rsid w:val="2AD0584D"/>
    <w:rsid w:val="2AD549F8"/>
    <w:rsid w:val="2ADD6D4E"/>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86128"/>
    <w:rsid w:val="2B8D373E"/>
    <w:rsid w:val="2B9E4F56"/>
    <w:rsid w:val="2BD96984"/>
    <w:rsid w:val="2BDB5A88"/>
    <w:rsid w:val="2BDB6BA0"/>
    <w:rsid w:val="2BE91C37"/>
    <w:rsid w:val="2BEC3F72"/>
    <w:rsid w:val="2C083572"/>
    <w:rsid w:val="2C185F94"/>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EF2903"/>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06DED"/>
    <w:rsid w:val="2E9077CD"/>
    <w:rsid w:val="2E9574DA"/>
    <w:rsid w:val="2E9A689E"/>
    <w:rsid w:val="2ED61D9E"/>
    <w:rsid w:val="2EDC2A13"/>
    <w:rsid w:val="2EFD7DB9"/>
    <w:rsid w:val="2EFE6BE1"/>
    <w:rsid w:val="2F152201"/>
    <w:rsid w:val="2F1A081D"/>
    <w:rsid w:val="2F1C72B3"/>
    <w:rsid w:val="2F1E1306"/>
    <w:rsid w:val="2F1E3DC0"/>
    <w:rsid w:val="2F2D326E"/>
    <w:rsid w:val="2F3112DE"/>
    <w:rsid w:val="2F3B6922"/>
    <w:rsid w:val="2F3D7B25"/>
    <w:rsid w:val="2F480119"/>
    <w:rsid w:val="2F506C6D"/>
    <w:rsid w:val="2F512253"/>
    <w:rsid w:val="2F51291F"/>
    <w:rsid w:val="2F55758A"/>
    <w:rsid w:val="2F5702EB"/>
    <w:rsid w:val="2F68074A"/>
    <w:rsid w:val="2F7F15AE"/>
    <w:rsid w:val="2F912594"/>
    <w:rsid w:val="2FA54796"/>
    <w:rsid w:val="2FA674E2"/>
    <w:rsid w:val="2FD271D9"/>
    <w:rsid w:val="2FEE6EA1"/>
    <w:rsid w:val="2FFE7D49"/>
    <w:rsid w:val="3002294D"/>
    <w:rsid w:val="3011153D"/>
    <w:rsid w:val="30142680"/>
    <w:rsid w:val="30183F1E"/>
    <w:rsid w:val="302567CF"/>
    <w:rsid w:val="3029612C"/>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174A5"/>
    <w:rsid w:val="31496359"/>
    <w:rsid w:val="314D19A6"/>
    <w:rsid w:val="31580A38"/>
    <w:rsid w:val="316177A4"/>
    <w:rsid w:val="31700E4B"/>
    <w:rsid w:val="3172683C"/>
    <w:rsid w:val="318F773E"/>
    <w:rsid w:val="31A359FC"/>
    <w:rsid w:val="31A67308"/>
    <w:rsid w:val="31AB491E"/>
    <w:rsid w:val="31AD0D61"/>
    <w:rsid w:val="31AF440F"/>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BB6DE3"/>
    <w:rsid w:val="32D22AAA"/>
    <w:rsid w:val="32D3237F"/>
    <w:rsid w:val="32DC63A0"/>
    <w:rsid w:val="32DE1FCE"/>
    <w:rsid w:val="32E429C1"/>
    <w:rsid w:val="330503EE"/>
    <w:rsid w:val="33274478"/>
    <w:rsid w:val="333948D8"/>
    <w:rsid w:val="333E1EEE"/>
    <w:rsid w:val="334045BE"/>
    <w:rsid w:val="334A3B2A"/>
    <w:rsid w:val="334E5EA9"/>
    <w:rsid w:val="335133F7"/>
    <w:rsid w:val="3365592E"/>
    <w:rsid w:val="336A31F3"/>
    <w:rsid w:val="336F5D12"/>
    <w:rsid w:val="336F6533"/>
    <w:rsid w:val="337E5E2F"/>
    <w:rsid w:val="3384610D"/>
    <w:rsid w:val="33886F33"/>
    <w:rsid w:val="339A0381"/>
    <w:rsid w:val="33A8380B"/>
    <w:rsid w:val="33AA5979"/>
    <w:rsid w:val="33C03E90"/>
    <w:rsid w:val="33C96649"/>
    <w:rsid w:val="33CC3D88"/>
    <w:rsid w:val="33D939C5"/>
    <w:rsid w:val="33DD0306"/>
    <w:rsid w:val="33FD3B57"/>
    <w:rsid w:val="33FD722F"/>
    <w:rsid w:val="3400362D"/>
    <w:rsid w:val="340B09C5"/>
    <w:rsid w:val="341E4CAB"/>
    <w:rsid w:val="34205B4A"/>
    <w:rsid w:val="342235BE"/>
    <w:rsid w:val="34346E4D"/>
    <w:rsid w:val="34584EE2"/>
    <w:rsid w:val="346D235F"/>
    <w:rsid w:val="347A1C51"/>
    <w:rsid w:val="347D373F"/>
    <w:rsid w:val="34922A93"/>
    <w:rsid w:val="34956481"/>
    <w:rsid w:val="34A35871"/>
    <w:rsid w:val="34AB66CA"/>
    <w:rsid w:val="34C06C9D"/>
    <w:rsid w:val="34C71A6F"/>
    <w:rsid w:val="34C93A39"/>
    <w:rsid w:val="34DF24AE"/>
    <w:rsid w:val="351C4931"/>
    <w:rsid w:val="351C4EAC"/>
    <w:rsid w:val="351D4C26"/>
    <w:rsid w:val="351F3659"/>
    <w:rsid w:val="352B46F4"/>
    <w:rsid w:val="352E7D40"/>
    <w:rsid w:val="353510CF"/>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E0457"/>
    <w:rsid w:val="365B4B65"/>
    <w:rsid w:val="36687282"/>
    <w:rsid w:val="368F65D6"/>
    <w:rsid w:val="369B4CF0"/>
    <w:rsid w:val="36A93B22"/>
    <w:rsid w:val="36D62629"/>
    <w:rsid w:val="36D76172"/>
    <w:rsid w:val="36D84407"/>
    <w:rsid w:val="36E833BB"/>
    <w:rsid w:val="36EB1E1B"/>
    <w:rsid w:val="36F17F0D"/>
    <w:rsid w:val="36FB00F6"/>
    <w:rsid w:val="37103BA1"/>
    <w:rsid w:val="37224581"/>
    <w:rsid w:val="37296A1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EB016A"/>
    <w:rsid w:val="37F34577"/>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C268D"/>
    <w:rsid w:val="38DF1FDA"/>
    <w:rsid w:val="38EC2960"/>
    <w:rsid w:val="390069DD"/>
    <w:rsid w:val="3902603A"/>
    <w:rsid w:val="39030CF9"/>
    <w:rsid w:val="39091F35"/>
    <w:rsid w:val="392536E2"/>
    <w:rsid w:val="393D055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17937"/>
    <w:rsid w:val="3A8F302F"/>
    <w:rsid w:val="3A923AE4"/>
    <w:rsid w:val="3A9A304E"/>
    <w:rsid w:val="3AA50E25"/>
    <w:rsid w:val="3AC566E3"/>
    <w:rsid w:val="3AD6747A"/>
    <w:rsid w:val="3AD95C48"/>
    <w:rsid w:val="3ADF5D0A"/>
    <w:rsid w:val="3B0F23C2"/>
    <w:rsid w:val="3B1D4ADF"/>
    <w:rsid w:val="3B312338"/>
    <w:rsid w:val="3B3C5B77"/>
    <w:rsid w:val="3B3D0FF2"/>
    <w:rsid w:val="3B44206B"/>
    <w:rsid w:val="3B501351"/>
    <w:rsid w:val="3B521A18"/>
    <w:rsid w:val="3B741699"/>
    <w:rsid w:val="3B8D2B96"/>
    <w:rsid w:val="3B90705F"/>
    <w:rsid w:val="3B923660"/>
    <w:rsid w:val="3BAE5737"/>
    <w:rsid w:val="3BB16FD5"/>
    <w:rsid w:val="3BCA44BE"/>
    <w:rsid w:val="3C017F5D"/>
    <w:rsid w:val="3C061F3A"/>
    <w:rsid w:val="3C0A04F9"/>
    <w:rsid w:val="3C1C6B44"/>
    <w:rsid w:val="3C453955"/>
    <w:rsid w:val="3C491519"/>
    <w:rsid w:val="3C495480"/>
    <w:rsid w:val="3C4C3A42"/>
    <w:rsid w:val="3C557EA4"/>
    <w:rsid w:val="3C6F0167"/>
    <w:rsid w:val="3C71667B"/>
    <w:rsid w:val="3C7C75E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C5F4C"/>
    <w:rsid w:val="3D8E5820"/>
    <w:rsid w:val="3D931088"/>
    <w:rsid w:val="3D942E29"/>
    <w:rsid w:val="3DA53531"/>
    <w:rsid w:val="3DA70690"/>
    <w:rsid w:val="3DB039E8"/>
    <w:rsid w:val="3DB54E0C"/>
    <w:rsid w:val="3DB900C1"/>
    <w:rsid w:val="3DE03BA2"/>
    <w:rsid w:val="3DE51866"/>
    <w:rsid w:val="3DE91725"/>
    <w:rsid w:val="3DF159B1"/>
    <w:rsid w:val="3DFF04CC"/>
    <w:rsid w:val="3E135D25"/>
    <w:rsid w:val="3E1A106E"/>
    <w:rsid w:val="3E36303B"/>
    <w:rsid w:val="3E526044"/>
    <w:rsid w:val="3E5A3954"/>
    <w:rsid w:val="3E5C591E"/>
    <w:rsid w:val="3E6C2B3A"/>
    <w:rsid w:val="3E726EF0"/>
    <w:rsid w:val="3E832EAB"/>
    <w:rsid w:val="3E8C5311"/>
    <w:rsid w:val="3E8E7E55"/>
    <w:rsid w:val="3EB61473"/>
    <w:rsid w:val="3EC66011"/>
    <w:rsid w:val="3ED25BE0"/>
    <w:rsid w:val="3ED75B7F"/>
    <w:rsid w:val="3EF9316D"/>
    <w:rsid w:val="3F222DB1"/>
    <w:rsid w:val="3F315E6B"/>
    <w:rsid w:val="3F5175E2"/>
    <w:rsid w:val="3F56276A"/>
    <w:rsid w:val="3F6C10E0"/>
    <w:rsid w:val="3F963015"/>
    <w:rsid w:val="3F964D35"/>
    <w:rsid w:val="3FA327ED"/>
    <w:rsid w:val="3FA41114"/>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C3D9D"/>
    <w:rsid w:val="40FD480A"/>
    <w:rsid w:val="411B59C4"/>
    <w:rsid w:val="412A32F8"/>
    <w:rsid w:val="414601C0"/>
    <w:rsid w:val="417F433E"/>
    <w:rsid w:val="41847666"/>
    <w:rsid w:val="418A1D66"/>
    <w:rsid w:val="418A4550"/>
    <w:rsid w:val="419C4043"/>
    <w:rsid w:val="41A95D0C"/>
    <w:rsid w:val="41B7239D"/>
    <w:rsid w:val="41C95079"/>
    <w:rsid w:val="41D852BC"/>
    <w:rsid w:val="41DF2AEE"/>
    <w:rsid w:val="41EC6FB9"/>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755200"/>
    <w:rsid w:val="42772802"/>
    <w:rsid w:val="427C799E"/>
    <w:rsid w:val="427F607F"/>
    <w:rsid w:val="42800B9B"/>
    <w:rsid w:val="4281223D"/>
    <w:rsid w:val="428E1E1E"/>
    <w:rsid w:val="428E62C2"/>
    <w:rsid w:val="42A06B6C"/>
    <w:rsid w:val="42A27996"/>
    <w:rsid w:val="42A45E72"/>
    <w:rsid w:val="42AA04E2"/>
    <w:rsid w:val="42C972FA"/>
    <w:rsid w:val="42D737C5"/>
    <w:rsid w:val="42EA5650"/>
    <w:rsid w:val="431408DA"/>
    <w:rsid w:val="431B7C78"/>
    <w:rsid w:val="4331401E"/>
    <w:rsid w:val="433805EC"/>
    <w:rsid w:val="433B0F29"/>
    <w:rsid w:val="43486FC5"/>
    <w:rsid w:val="43526885"/>
    <w:rsid w:val="43591DDA"/>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839F3"/>
    <w:rsid w:val="44095C00"/>
    <w:rsid w:val="440A6FD2"/>
    <w:rsid w:val="440E1469"/>
    <w:rsid w:val="442A1797"/>
    <w:rsid w:val="44366C11"/>
    <w:rsid w:val="443864E5"/>
    <w:rsid w:val="444946CA"/>
    <w:rsid w:val="444B3F54"/>
    <w:rsid w:val="445B0426"/>
    <w:rsid w:val="44611430"/>
    <w:rsid w:val="4476661F"/>
    <w:rsid w:val="447E3AC5"/>
    <w:rsid w:val="44805ED4"/>
    <w:rsid w:val="448E5DEE"/>
    <w:rsid w:val="449851D6"/>
    <w:rsid w:val="449C4CC6"/>
    <w:rsid w:val="449E4142"/>
    <w:rsid w:val="44A90BAA"/>
    <w:rsid w:val="44B24A20"/>
    <w:rsid w:val="44BC0BEE"/>
    <w:rsid w:val="44BF6C07"/>
    <w:rsid w:val="44C24001"/>
    <w:rsid w:val="44C55A88"/>
    <w:rsid w:val="44FB1C9C"/>
    <w:rsid w:val="45014B29"/>
    <w:rsid w:val="450C05A0"/>
    <w:rsid w:val="452D3615"/>
    <w:rsid w:val="45392A13"/>
    <w:rsid w:val="453E3FCF"/>
    <w:rsid w:val="454F1836"/>
    <w:rsid w:val="45637592"/>
    <w:rsid w:val="456B1441"/>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9317FC"/>
    <w:rsid w:val="46BF7E28"/>
    <w:rsid w:val="46C3037C"/>
    <w:rsid w:val="46CB1893"/>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642F1"/>
    <w:rsid w:val="47B8724E"/>
    <w:rsid w:val="47ED7BCA"/>
    <w:rsid w:val="47F46BC7"/>
    <w:rsid w:val="48016F34"/>
    <w:rsid w:val="480556DB"/>
    <w:rsid w:val="48185C56"/>
    <w:rsid w:val="48254C34"/>
    <w:rsid w:val="48450F81"/>
    <w:rsid w:val="48455675"/>
    <w:rsid w:val="484E729D"/>
    <w:rsid w:val="48566773"/>
    <w:rsid w:val="485A23C2"/>
    <w:rsid w:val="48623B31"/>
    <w:rsid w:val="48691107"/>
    <w:rsid w:val="48741AB6"/>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03433"/>
    <w:rsid w:val="4AE104D6"/>
    <w:rsid w:val="4AE724D1"/>
    <w:rsid w:val="4AE77140"/>
    <w:rsid w:val="4AEA4061"/>
    <w:rsid w:val="4AEB3612"/>
    <w:rsid w:val="4AED707B"/>
    <w:rsid w:val="4AFA2F07"/>
    <w:rsid w:val="4B015D61"/>
    <w:rsid w:val="4B0B7979"/>
    <w:rsid w:val="4B1530DD"/>
    <w:rsid w:val="4B3D2633"/>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0513A3"/>
    <w:rsid w:val="4C1C2A09"/>
    <w:rsid w:val="4C284AD9"/>
    <w:rsid w:val="4C423098"/>
    <w:rsid w:val="4C694192"/>
    <w:rsid w:val="4C7964D9"/>
    <w:rsid w:val="4C8229F4"/>
    <w:rsid w:val="4C891FD4"/>
    <w:rsid w:val="4C8C5620"/>
    <w:rsid w:val="4C9269F6"/>
    <w:rsid w:val="4CB75F07"/>
    <w:rsid w:val="4CB8796A"/>
    <w:rsid w:val="4CC4733F"/>
    <w:rsid w:val="4CC84335"/>
    <w:rsid w:val="4CD22B0F"/>
    <w:rsid w:val="4CDA3E72"/>
    <w:rsid w:val="4CE4545C"/>
    <w:rsid w:val="4CE9350A"/>
    <w:rsid w:val="4D014937"/>
    <w:rsid w:val="4D1E2466"/>
    <w:rsid w:val="4D2256CD"/>
    <w:rsid w:val="4D225F85"/>
    <w:rsid w:val="4D297BF3"/>
    <w:rsid w:val="4D2D0EA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01203"/>
    <w:rsid w:val="4FBA02A1"/>
    <w:rsid w:val="4FC275AB"/>
    <w:rsid w:val="4FD86DCF"/>
    <w:rsid w:val="4FE7106E"/>
    <w:rsid w:val="4FF82FCD"/>
    <w:rsid w:val="4FFC288D"/>
    <w:rsid w:val="50053943"/>
    <w:rsid w:val="50260569"/>
    <w:rsid w:val="50374A3C"/>
    <w:rsid w:val="5039786D"/>
    <w:rsid w:val="50487AB0"/>
    <w:rsid w:val="50550E55"/>
    <w:rsid w:val="50901457"/>
    <w:rsid w:val="509F43E4"/>
    <w:rsid w:val="50A54D3E"/>
    <w:rsid w:val="50B82E88"/>
    <w:rsid w:val="50BB32A7"/>
    <w:rsid w:val="50CC5CB2"/>
    <w:rsid w:val="50ED1473"/>
    <w:rsid w:val="50F1402B"/>
    <w:rsid w:val="50FD2AD9"/>
    <w:rsid w:val="51081E85"/>
    <w:rsid w:val="51097D9A"/>
    <w:rsid w:val="511A650F"/>
    <w:rsid w:val="511E4CB5"/>
    <w:rsid w:val="512247A5"/>
    <w:rsid w:val="51237D2E"/>
    <w:rsid w:val="51295DBA"/>
    <w:rsid w:val="514229EF"/>
    <w:rsid w:val="515B06D0"/>
    <w:rsid w:val="51764AF1"/>
    <w:rsid w:val="51996737"/>
    <w:rsid w:val="51B408B8"/>
    <w:rsid w:val="51B80848"/>
    <w:rsid w:val="51CC0868"/>
    <w:rsid w:val="51D5340F"/>
    <w:rsid w:val="52287B99"/>
    <w:rsid w:val="52382F2A"/>
    <w:rsid w:val="52386E3D"/>
    <w:rsid w:val="523A7DD1"/>
    <w:rsid w:val="523B7711"/>
    <w:rsid w:val="5257222D"/>
    <w:rsid w:val="5271774C"/>
    <w:rsid w:val="527A416D"/>
    <w:rsid w:val="528D5323"/>
    <w:rsid w:val="528D7B65"/>
    <w:rsid w:val="5299416C"/>
    <w:rsid w:val="52AA11D3"/>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6C61AC"/>
    <w:rsid w:val="537155BE"/>
    <w:rsid w:val="53757C6B"/>
    <w:rsid w:val="537E1075"/>
    <w:rsid w:val="538452A3"/>
    <w:rsid w:val="539A4AC7"/>
    <w:rsid w:val="53A44D07"/>
    <w:rsid w:val="53A46AC8"/>
    <w:rsid w:val="53AB7F1F"/>
    <w:rsid w:val="53AC6F7B"/>
    <w:rsid w:val="53C01F4F"/>
    <w:rsid w:val="53C421A6"/>
    <w:rsid w:val="53E15798"/>
    <w:rsid w:val="53EB297B"/>
    <w:rsid w:val="53EC4BF7"/>
    <w:rsid w:val="53F671DE"/>
    <w:rsid w:val="53F758A1"/>
    <w:rsid w:val="54086C0A"/>
    <w:rsid w:val="540D5A7F"/>
    <w:rsid w:val="542E2BC2"/>
    <w:rsid w:val="54352A96"/>
    <w:rsid w:val="54447390"/>
    <w:rsid w:val="544B514D"/>
    <w:rsid w:val="545E1D01"/>
    <w:rsid w:val="54674051"/>
    <w:rsid w:val="54705828"/>
    <w:rsid w:val="5472334E"/>
    <w:rsid w:val="54935B8F"/>
    <w:rsid w:val="54996B2C"/>
    <w:rsid w:val="549D3677"/>
    <w:rsid w:val="54B03E76"/>
    <w:rsid w:val="54BB2F47"/>
    <w:rsid w:val="54BF230B"/>
    <w:rsid w:val="54CC6227"/>
    <w:rsid w:val="54D10F9B"/>
    <w:rsid w:val="54D97871"/>
    <w:rsid w:val="54DB4AA8"/>
    <w:rsid w:val="54DC4C6B"/>
    <w:rsid w:val="550B5550"/>
    <w:rsid w:val="551D586C"/>
    <w:rsid w:val="55200298"/>
    <w:rsid w:val="55335E1B"/>
    <w:rsid w:val="5536079B"/>
    <w:rsid w:val="554B7EF0"/>
    <w:rsid w:val="554C0BF7"/>
    <w:rsid w:val="55684751"/>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234F28"/>
    <w:rsid w:val="562C1C22"/>
    <w:rsid w:val="564E71EA"/>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272B15"/>
    <w:rsid w:val="574448FC"/>
    <w:rsid w:val="57561D39"/>
    <w:rsid w:val="575B7AFD"/>
    <w:rsid w:val="576176AA"/>
    <w:rsid w:val="57660D3F"/>
    <w:rsid w:val="5774562F"/>
    <w:rsid w:val="5785783C"/>
    <w:rsid w:val="578F06BB"/>
    <w:rsid w:val="57A469A0"/>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A0682"/>
    <w:rsid w:val="58DA5965"/>
    <w:rsid w:val="58DB0535"/>
    <w:rsid w:val="58E467E4"/>
    <w:rsid w:val="58E62E0E"/>
    <w:rsid w:val="58EA3D0E"/>
    <w:rsid w:val="58F24A5D"/>
    <w:rsid w:val="58F71269"/>
    <w:rsid w:val="58FE045E"/>
    <w:rsid w:val="58FE78A6"/>
    <w:rsid w:val="59014CEF"/>
    <w:rsid w:val="59017396"/>
    <w:rsid w:val="5919235E"/>
    <w:rsid w:val="592D3CE7"/>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24736C"/>
    <w:rsid w:val="5B3D6A97"/>
    <w:rsid w:val="5B585171"/>
    <w:rsid w:val="5B585B78"/>
    <w:rsid w:val="5B6D62B9"/>
    <w:rsid w:val="5B746CFA"/>
    <w:rsid w:val="5B9A2B59"/>
    <w:rsid w:val="5B9C5154"/>
    <w:rsid w:val="5BA652E6"/>
    <w:rsid w:val="5BB406F0"/>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C3F11"/>
    <w:rsid w:val="5D971C5A"/>
    <w:rsid w:val="5D9D49E0"/>
    <w:rsid w:val="5DA01E9E"/>
    <w:rsid w:val="5DAD3649"/>
    <w:rsid w:val="5DC310BE"/>
    <w:rsid w:val="5DC32E6C"/>
    <w:rsid w:val="5DDF1821"/>
    <w:rsid w:val="5DE2656A"/>
    <w:rsid w:val="5DEA2F91"/>
    <w:rsid w:val="5DF94AE0"/>
    <w:rsid w:val="5DFA5883"/>
    <w:rsid w:val="5E224037"/>
    <w:rsid w:val="5E251431"/>
    <w:rsid w:val="5E3146A3"/>
    <w:rsid w:val="5E442F62"/>
    <w:rsid w:val="5E6C2C5B"/>
    <w:rsid w:val="5E6E2DD8"/>
    <w:rsid w:val="5E7251A2"/>
    <w:rsid w:val="5E7C3591"/>
    <w:rsid w:val="5E8A637B"/>
    <w:rsid w:val="5E9842F9"/>
    <w:rsid w:val="5E9D0E18"/>
    <w:rsid w:val="5EA26F25"/>
    <w:rsid w:val="5EA341D7"/>
    <w:rsid w:val="5EA755DE"/>
    <w:rsid w:val="5EAE7678"/>
    <w:rsid w:val="5ED35F0E"/>
    <w:rsid w:val="5EDF7832"/>
    <w:rsid w:val="5EE66E1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4B1BEB"/>
    <w:rsid w:val="60522285"/>
    <w:rsid w:val="605D2617"/>
    <w:rsid w:val="60616CDC"/>
    <w:rsid w:val="60624E53"/>
    <w:rsid w:val="606319E5"/>
    <w:rsid w:val="607A77D8"/>
    <w:rsid w:val="607B3C50"/>
    <w:rsid w:val="608B6567"/>
    <w:rsid w:val="60902A4E"/>
    <w:rsid w:val="60AA3E6F"/>
    <w:rsid w:val="60BB607C"/>
    <w:rsid w:val="60FF21D9"/>
    <w:rsid w:val="610712C2"/>
    <w:rsid w:val="610C0686"/>
    <w:rsid w:val="611063C8"/>
    <w:rsid w:val="611E37D0"/>
    <w:rsid w:val="613021B3"/>
    <w:rsid w:val="61306A6A"/>
    <w:rsid w:val="613253FD"/>
    <w:rsid w:val="61421F29"/>
    <w:rsid w:val="61521F2D"/>
    <w:rsid w:val="615F221E"/>
    <w:rsid w:val="61637D56"/>
    <w:rsid w:val="61712185"/>
    <w:rsid w:val="618B7207"/>
    <w:rsid w:val="61907E69"/>
    <w:rsid w:val="61A90D68"/>
    <w:rsid w:val="61B43A15"/>
    <w:rsid w:val="61DA0425"/>
    <w:rsid w:val="61F5296C"/>
    <w:rsid w:val="62015D11"/>
    <w:rsid w:val="62065A1D"/>
    <w:rsid w:val="6213792C"/>
    <w:rsid w:val="621775E2"/>
    <w:rsid w:val="621C0D9D"/>
    <w:rsid w:val="622F7552"/>
    <w:rsid w:val="6250406E"/>
    <w:rsid w:val="626369CC"/>
    <w:rsid w:val="6267666C"/>
    <w:rsid w:val="627D6831"/>
    <w:rsid w:val="62811B1C"/>
    <w:rsid w:val="62900B2E"/>
    <w:rsid w:val="62A20409"/>
    <w:rsid w:val="62AC0373"/>
    <w:rsid w:val="62B54B44"/>
    <w:rsid w:val="62CE02E9"/>
    <w:rsid w:val="62E045DA"/>
    <w:rsid w:val="62E23D94"/>
    <w:rsid w:val="62E454A1"/>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0B13A4"/>
    <w:rsid w:val="64177A6E"/>
    <w:rsid w:val="641F42FB"/>
    <w:rsid w:val="643F32F9"/>
    <w:rsid w:val="64582686"/>
    <w:rsid w:val="64673C87"/>
    <w:rsid w:val="64852C29"/>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EE0CA2"/>
    <w:rsid w:val="65FB3FBE"/>
    <w:rsid w:val="660109D5"/>
    <w:rsid w:val="66101A71"/>
    <w:rsid w:val="66171FA7"/>
    <w:rsid w:val="661F0ED0"/>
    <w:rsid w:val="66247D11"/>
    <w:rsid w:val="66326DE1"/>
    <w:rsid w:val="663A5C95"/>
    <w:rsid w:val="663B3EC9"/>
    <w:rsid w:val="663F505A"/>
    <w:rsid w:val="665A1E94"/>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7FA61C2"/>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250C"/>
    <w:rsid w:val="689E42BA"/>
    <w:rsid w:val="68A026F3"/>
    <w:rsid w:val="68AF6C13"/>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CA261B"/>
    <w:rsid w:val="69D33070"/>
    <w:rsid w:val="69E97E75"/>
    <w:rsid w:val="69EF33C0"/>
    <w:rsid w:val="69FB5D9E"/>
    <w:rsid w:val="69FF6FDA"/>
    <w:rsid w:val="6A09542B"/>
    <w:rsid w:val="6A0E15AF"/>
    <w:rsid w:val="6A143C4B"/>
    <w:rsid w:val="6A1A3007"/>
    <w:rsid w:val="6A1E645E"/>
    <w:rsid w:val="6A325601"/>
    <w:rsid w:val="6A3C6480"/>
    <w:rsid w:val="6A417049"/>
    <w:rsid w:val="6A4B221F"/>
    <w:rsid w:val="6A576E16"/>
    <w:rsid w:val="6A7903E5"/>
    <w:rsid w:val="6A8219B9"/>
    <w:rsid w:val="6A822A1B"/>
    <w:rsid w:val="6A8641F2"/>
    <w:rsid w:val="6A8B6AC0"/>
    <w:rsid w:val="6A9244FE"/>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D28F8"/>
    <w:rsid w:val="6C573E9C"/>
    <w:rsid w:val="6C5C23DC"/>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231231"/>
    <w:rsid w:val="6D266F73"/>
    <w:rsid w:val="6D2F6F7D"/>
    <w:rsid w:val="6D480984"/>
    <w:rsid w:val="6D8079F9"/>
    <w:rsid w:val="6D8C5028"/>
    <w:rsid w:val="6D9B526C"/>
    <w:rsid w:val="6DB13E57"/>
    <w:rsid w:val="6DC245A2"/>
    <w:rsid w:val="6DC71662"/>
    <w:rsid w:val="6DCD5126"/>
    <w:rsid w:val="6DDB6CB0"/>
    <w:rsid w:val="6DE21877"/>
    <w:rsid w:val="6DE52ACD"/>
    <w:rsid w:val="6DF36E56"/>
    <w:rsid w:val="6DFC0B44"/>
    <w:rsid w:val="6E0458E7"/>
    <w:rsid w:val="6E212037"/>
    <w:rsid w:val="6E25722B"/>
    <w:rsid w:val="6E263D90"/>
    <w:rsid w:val="6E3B221B"/>
    <w:rsid w:val="6E475779"/>
    <w:rsid w:val="6E51424D"/>
    <w:rsid w:val="6E663C68"/>
    <w:rsid w:val="6E7764EF"/>
    <w:rsid w:val="6E8403F6"/>
    <w:rsid w:val="6E952B9A"/>
    <w:rsid w:val="6EA75E92"/>
    <w:rsid w:val="6EAD447C"/>
    <w:rsid w:val="6EAE5472"/>
    <w:rsid w:val="6EB8009F"/>
    <w:rsid w:val="6EBC069A"/>
    <w:rsid w:val="6EC55187"/>
    <w:rsid w:val="6ECD7F59"/>
    <w:rsid w:val="6ECF449B"/>
    <w:rsid w:val="6ED975CA"/>
    <w:rsid w:val="6EED7C80"/>
    <w:rsid w:val="6EF03395"/>
    <w:rsid w:val="6EF773A4"/>
    <w:rsid w:val="6F03756C"/>
    <w:rsid w:val="6F174DC6"/>
    <w:rsid w:val="6F1E2E65"/>
    <w:rsid w:val="6F26325B"/>
    <w:rsid w:val="6F286FD3"/>
    <w:rsid w:val="6F2F2D9E"/>
    <w:rsid w:val="6F3A05FC"/>
    <w:rsid w:val="6F4147D9"/>
    <w:rsid w:val="6F455D89"/>
    <w:rsid w:val="6F5002D8"/>
    <w:rsid w:val="6F581F47"/>
    <w:rsid w:val="6F5B0D5A"/>
    <w:rsid w:val="6F5C35EA"/>
    <w:rsid w:val="6F63625D"/>
    <w:rsid w:val="6F6B6A15"/>
    <w:rsid w:val="6F8F0E00"/>
    <w:rsid w:val="6F947E4B"/>
    <w:rsid w:val="6F9957DB"/>
    <w:rsid w:val="6FA30BDA"/>
    <w:rsid w:val="6FB21D4C"/>
    <w:rsid w:val="6FB80698"/>
    <w:rsid w:val="6FFD5E0F"/>
    <w:rsid w:val="70076BE8"/>
    <w:rsid w:val="701021F4"/>
    <w:rsid w:val="701C29A6"/>
    <w:rsid w:val="7024611F"/>
    <w:rsid w:val="702F7EED"/>
    <w:rsid w:val="7038498C"/>
    <w:rsid w:val="703F45D4"/>
    <w:rsid w:val="7053576D"/>
    <w:rsid w:val="70637B96"/>
    <w:rsid w:val="70797317"/>
    <w:rsid w:val="707E201F"/>
    <w:rsid w:val="7099044B"/>
    <w:rsid w:val="709A06E1"/>
    <w:rsid w:val="709D518F"/>
    <w:rsid w:val="709E387E"/>
    <w:rsid w:val="70B76860"/>
    <w:rsid w:val="70C268FE"/>
    <w:rsid w:val="70C759D3"/>
    <w:rsid w:val="70CD7E32"/>
    <w:rsid w:val="70CF2B23"/>
    <w:rsid w:val="70CF74E9"/>
    <w:rsid w:val="70D1361F"/>
    <w:rsid w:val="70D70CB1"/>
    <w:rsid w:val="70D80585"/>
    <w:rsid w:val="70F11DF4"/>
    <w:rsid w:val="70FA674D"/>
    <w:rsid w:val="710952C1"/>
    <w:rsid w:val="711971DC"/>
    <w:rsid w:val="713420C5"/>
    <w:rsid w:val="71347EB1"/>
    <w:rsid w:val="713954C7"/>
    <w:rsid w:val="713F70AB"/>
    <w:rsid w:val="71452CD8"/>
    <w:rsid w:val="71583F2D"/>
    <w:rsid w:val="7158683A"/>
    <w:rsid w:val="715B2F52"/>
    <w:rsid w:val="7167680B"/>
    <w:rsid w:val="716B1D9A"/>
    <w:rsid w:val="71764F23"/>
    <w:rsid w:val="71881188"/>
    <w:rsid w:val="71946576"/>
    <w:rsid w:val="71967E84"/>
    <w:rsid w:val="7197629F"/>
    <w:rsid w:val="71A61873"/>
    <w:rsid w:val="71AF4936"/>
    <w:rsid w:val="71B12351"/>
    <w:rsid w:val="71BB4E1E"/>
    <w:rsid w:val="71CD79BE"/>
    <w:rsid w:val="71D07496"/>
    <w:rsid w:val="71D75D0F"/>
    <w:rsid w:val="71F437A4"/>
    <w:rsid w:val="721919B3"/>
    <w:rsid w:val="721A6098"/>
    <w:rsid w:val="721D18D3"/>
    <w:rsid w:val="72310D1A"/>
    <w:rsid w:val="723F0C09"/>
    <w:rsid w:val="7252306F"/>
    <w:rsid w:val="725D6B54"/>
    <w:rsid w:val="7294672D"/>
    <w:rsid w:val="7295497F"/>
    <w:rsid w:val="72986FA0"/>
    <w:rsid w:val="729B7ABC"/>
    <w:rsid w:val="72A17C99"/>
    <w:rsid w:val="72A2709C"/>
    <w:rsid w:val="72A5093A"/>
    <w:rsid w:val="72AD7197"/>
    <w:rsid w:val="72AF6F7E"/>
    <w:rsid w:val="72B15531"/>
    <w:rsid w:val="72BD2C86"/>
    <w:rsid w:val="72BE0D58"/>
    <w:rsid w:val="72CD226C"/>
    <w:rsid w:val="72D27981"/>
    <w:rsid w:val="73047407"/>
    <w:rsid w:val="73047904"/>
    <w:rsid w:val="731A4E85"/>
    <w:rsid w:val="73253EFA"/>
    <w:rsid w:val="73353A6C"/>
    <w:rsid w:val="734C1A6A"/>
    <w:rsid w:val="73555EBD"/>
    <w:rsid w:val="735663B7"/>
    <w:rsid w:val="735C5949"/>
    <w:rsid w:val="73671287"/>
    <w:rsid w:val="736D1458"/>
    <w:rsid w:val="73737DA5"/>
    <w:rsid w:val="73740A39"/>
    <w:rsid w:val="73783823"/>
    <w:rsid w:val="73887B3E"/>
    <w:rsid w:val="73892412"/>
    <w:rsid w:val="738E13CF"/>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2B3B04"/>
    <w:rsid w:val="77413F7E"/>
    <w:rsid w:val="77464076"/>
    <w:rsid w:val="7758241F"/>
    <w:rsid w:val="777A7D22"/>
    <w:rsid w:val="777E28EC"/>
    <w:rsid w:val="77835654"/>
    <w:rsid w:val="7797109C"/>
    <w:rsid w:val="779A2A38"/>
    <w:rsid w:val="77B4450A"/>
    <w:rsid w:val="77B46E73"/>
    <w:rsid w:val="77E37A12"/>
    <w:rsid w:val="77F42148"/>
    <w:rsid w:val="77FE3468"/>
    <w:rsid w:val="78024BAC"/>
    <w:rsid w:val="780B1240"/>
    <w:rsid w:val="782347DB"/>
    <w:rsid w:val="78250553"/>
    <w:rsid w:val="783B17B1"/>
    <w:rsid w:val="783B7D77"/>
    <w:rsid w:val="784E2046"/>
    <w:rsid w:val="78546F0C"/>
    <w:rsid w:val="786778FE"/>
    <w:rsid w:val="786F5A4D"/>
    <w:rsid w:val="789D588A"/>
    <w:rsid w:val="789E3C3D"/>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71777"/>
    <w:rsid w:val="79AF76C5"/>
    <w:rsid w:val="79C25EE1"/>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846E66"/>
    <w:rsid w:val="7A8F7F06"/>
    <w:rsid w:val="7A9635B3"/>
    <w:rsid w:val="7AA2343E"/>
    <w:rsid w:val="7AD60EB8"/>
    <w:rsid w:val="7ADA73A4"/>
    <w:rsid w:val="7AE55396"/>
    <w:rsid w:val="7AE66B99"/>
    <w:rsid w:val="7AEB7713"/>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CD518A"/>
    <w:rsid w:val="7BD04C7A"/>
    <w:rsid w:val="7BE35E2A"/>
    <w:rsid w:val="7BF538C2"/>
    <w:rsid w:val="7BF66C24"/>
    <w:rsid w:val="7BFA1CC7"/>
    <w:rsid w:val="7BFB70B3"/>
    <w:rsid w:val="7C0039EB"/>
    <w:rsid w:val="7C0251DA"/>
    <w:rsid w:val="7C0C0E4A"/>
    <w:rsid w:val="7C0E41D1"/>
    <w:rsid w:val="7C1052F2"/>
    <w:rsid w:val="7C21292C"/>
    <w:rsid w:val="7C2154D6"/>
    <w:rsid w:val="7C2668D9"/>
    <w:rsid w:val="7C32497F"/>
    <w:rsid w:val="7C3C69AE"/>
    <w:rsid w:val="7C43544C"/>
    <w:rsid w:val="7C631577"/>
    <w:rsid w:val="7C691974"/>
    <w:rsid w:val="7C8A6570"/>
    <w:rsid w:val="7C8B7390"/>
    <w:rsid w:val="7C9B0D0E"/>
    <w:rsid w:val="7CA42B03"/>
    <w:rsid w:val="7CBB76D8"/>
    <w:rsid w:val="7CC55E61"/>
    <w:rsid w:val="7CCC3693"/>
    <w:rsid w:val="7CCC5441"/>
    <w:rsid w:val="7CD2318A"/>
    <w:rsid w:val="7CD2702A"/>
    <w:rsid w:val="7CD34C42"/>
    <w:rsid w:val="7CD46B29"/>
    <w:rsid w:val="7CDE3FF9"/>
    <w:rsid w:val="7CE26EBF"/>
    <w:rsid w:val="7CEE3130"/>
    <w:rsid w:val="7CFC08E8"/>
    <w:rsid w:val="7D0448EF"/>
    <w:rsid w:val="7D0E5A5A"/>
    <w:rsid w:val="7D1E1A15"/>
    <w:rsid w:val="7D1F6674"/>
    <w:rsid w:val="7D475E29"/>
    <w:rsid w:val="7D480B34"/>
    <w:rsid w:val="7D741635"/>
    <w:rsid w:val="7D777A3E"/>
    <w:rsid w:val="7D883F06"/>
    <w:rsid w:val="7D8E6457"/>
    <w:rsid w:val="7D9005BC"/>
    <w:rsid w:val="7D983576"/>
    <w:rsid w:val="7D9F0AD0"/>
    <w:rsid w:val="7DB22BDF"/>
    <w:rsid w:val="7DBA173E"/>
    <w:rsid w:val="7DD12BB7"/>
    <w:rsid w:val="7DD30A52"/>
    <w:rsid w:val="7DD54CAE"/>
    <w:rsid w:val="7DF223A2"/>
    <w:rsid w:val="7DFF0955"/>
    <w:rsid w:val="7E0B750E"/>
    <w:rsid w:val="7E1939E8"/>
    <w:rsid w:val="7E1D3A7B"/>
    <w:rsid w:val="7E2400E7"/>
    <w:rsid w:val="7E2822EA"/>
    <w:rsid w:val="7E2A20CE"/>
    <w:rsid w:val="7E355A7B"/>
    <w:rsid w:val="7E3C2153"/>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line="360" w:lineRule="auto"/>
      <w:outlineLvl w:val="3"/>
    </w:pPr>
    <w:rPr>
      <w:rFonts w:ascii="Arial" w:hAnsi="Arial"/>
      <w:b/>
      <w:bCs/>
      <w:szCs w:val="28"/>
    </w:rPr>
  </w:style>
  <w:style w:type="paragraph" w:styleId="9">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Number"/>
    <w:basedOn w:val="1"/>
    <w:autoRedefine/>
    <w:qFormat/>
    <w:uiPriority w:val="0"/>
    <w:pPr>
      <w:widowControl/>
      <w:spacing w:beforeAutospacing="1" w:afterAutospacing="1"/>
      <w:jc w:val="left"/>
    </w:pPr>
    <w:rPr>
      <w:rFonts w:ascii="宋体" w:hAnsi="宋体" w:cs="宋体"/>
      <w:kern w:val="0"/>
      <w:sz w:val="24"/>
    </w:rPr>
  </w:style>
  <w:style w:type="paragraph" w:styleId="11">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2">
    <w:name w:val="Document Map"/>
    <w:basedOn w:val="1"/>
    <w:link w:val="77"/>
    <w:autoRedefine/>
    <w:qFormat/>
    <w:uiPriority w:val="0"/>
    <w:rPr>
      <w:rFonts w:ascii="宋体" w:hAnsi="Calibri"/>
      <w:sz w:val="18"/>
      <w:szCs w:val="18"/>
    </w:rPr>
  </w:style>
  <w:style w:type="paragraph" w:styleId="13">
    <w:name w:val="annotation text"/>
    <w:basedOn w:val="1"/>
    <w:autoRedefine/>
    <w:qFormat/>
    <w:uiPriority w:val="0"/>
    <w:pPr>
      <w:jc w:val="left"/>
    </w:pPr>
  </w:style>
  <w:style w:type="paragraph" w:styleId="14">
    <w:name w:val="Body Text 3"/>
    <w:basedOn w:val="1"/>
    <w:autoRedefine/>
    <w:qFormat/>
    <w:uiPriority w:val="0"/>
    <w:rPr>
      <w:sz w:val="16"/>
      <w:szCs w:val="16"/>
    </w:rPr>
  </w:style>
  <w:style w:type="paragraph" w:styleId="15">
    <w:name w:val="Body Text Indent"/>
    <w:basedOn w:val="1"/>
    <w:next w:val="16"/>
    <w:autoRedefine/>
    <w:qFormat/>
    <w:uiPriority w:val="0"/>
    <w:pPr>
      <w:widowControl/>
      <w:spacing w:beforeAutospacing="1" w:afterAutospacing="1"/>
      <w:jc w:val="left"/>
    </w:pPr>
    <w:rPr>
      <w:rFonts w:ascii="宋体" w:hAnsi="宋体" w:cs="宋体"/>
      <w:kern w:val="0"/>
      <w:sz w:val="24"/>
    </w:rPr>
  </w:style>
  <w:style w:type="paragraph" w:styleId="16">
    <w:name w:val="envelope return"/>
    <w:basedOn w:val="1"/>
    <w:autoRedefine/>
    <w:unhideWhenUsed/>
    <w:qFormat/>
    <w:uiPriority w:val="99"/>
    <w:pPr>
      <w:snapToGrid w:val="0"/>
    </w:pPr>
    <w:rPr>
      <w:rFonts w:ascii="Arial" w:hAnsi="Arial"/>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toc 1"/>
    <w:basedOn w:val="1"/>
    <w:next w:val="1"/>
    <w:autoRedefine/>
    <w:qFormat/>
    <w:uiPriority w:val="0"/>
  </w:style>
  <w:style w:type="paragraph" w:styleId="25">
    <w:name w:val="List"/>
    <w:basedOn w:val="1"/>
    <w:autoRedefine/>
    <w:qFormat/>
    <w:uiPriority w:val="0"/>
    <w:pPr>
      <w:ind w:left="200" w:hanging="200" w:hangingChars="200"/>
    </w:pPr>
  </w:style>
  <w:style w:type="paragraph" w:styleId="26">
    <w:name w:val="Body Text 2"/>
    <w:basedOn w:val="1"/>
    <w:next w:val="3"/>
    <w:autoRedefine/>
    <w:qFormat/>
    <w:uiPriority w:val="0"/>
    <w:pPr>
      <w:spacing w:line="480" w:lineRule="auto"/>
    </w:pPr>
  </w:style>
  <w:style w:type="paragraph" w:styleId="2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9">
    <w:name w:val="Normal (Web)"/>
    <w:basedOn w:val="1"/>
    <w:autoRedefine/>
    <w:qFormat/>
    <w:uiPriority w:val="99"/>
    <w:pPr>
      <w:spacing w:before="100" w:beforeAutospacing="1" w:after="100" w:afterAutospacing="1"/>
      <w:jc w:val="left"/>
    </w:pPr>
    <w:rPr>
      <w:kern w:val="0"/>
      <w:sz w:val="24"/>
    </w:rPr>
  </w:style>
  <w:style w:type="paragraph" w:styleId="30">
    <w:name w:val="Title"/>
    <w:basedOn w:val="1"/>
    <w:autoRedefine/>
    <w:qFormat/>
    <w:uiPriority w:val="0"/>
    <w:pPr>
      <w:jc w:val="center"/>
      <w:outlineLvl w:val="0"/>
    </w:pPr>
    <w:rPr>
      <w:rFonts w:ascii="Arial" w:hAnsi="Arial" w:cs="Arial"/>
      <w:b/>
      <w:bCs/>
      <w:sz w:val="32"/>
      <w:szCs w:val="32"/>
    </w:rPr>
  </w:style>
  <w:style w:type="paragraph" w:styleId="31">
    <w:name w:val="Body Text First Indent"/>
    <w:basedOn w:val="3"/>
    <w:next w:val="32"/>
    <w:autoRedefine/>
    <w:qFormat/>
    <w:uiPriority w:val="0"/>
    <w:pPr>
      <w:spacing w:line="360" w:lineRule="auto"/>
      <w:ind w:firstLine="420" w:firstLineChars="100"/>
    </w:pPr>
    <w:rPr>
      <w:szCs w:val="21"/>
    </w:rPr>
  </w:style>
  <w:style w:type="paragraph" w:styleId="32">
    <w:name w:val="Body Text First Indent 2"/>
    <w:basedOn w:val="15"/>
    <w:autoRedefine/>
    <w:qFormat/>
    <w:uiPriority w:val="0"/>
    <w:pPr>
      <w:ind w:firstLine="420" w:firstLineChars="200"/>
    </w:pPr>
  </w:style>
  <w:style w:type="table" w:styleId="34">
    <w:name w:val="Table Grid"/>
    <w:basedOn w:val="3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0"/>
    <w:rPr>
      <w:b/>
      <w:bCs/>
      <w:szCs w:val="24"/>
    </w:rPr>
  </w:style>
  <w:style w:type="character" w:styleId="37">
    <w:name w:val="page number"/>
    <w:basedOn w:val="35"/>
    <w:autoRedefine/>
    <w:qFormat/>
    <w:uiPriority w:val="0"/>
  </w:style>
  <w:style w:type="character" w:styleId="38">
    <w:name w:val="FollowedHyperlink"/>
    <w:autoRedefine/>
    <w:qFormat/>
    <w:uiPriority w:val="0"/>
    <w:rPr>
      <w:color w:val="333333"/>
      <w:szCs w:val="24"/>
      <w:u w:val="none"/>
    </w:rPr>
  </w:style>
  <w:style w:type="character" w:styleId="39">
    <w:name w:val="Emphasis"/>
    <w:basedOn w:val="35"/>
    <w:autoRedefine/>
    <w:qFormat/>
    <w:uiPriority w:val="0"/>
  </w:style>
  <w:style w:type="character" w:styleId="40">
    <w:name w:val="HTML Definition"/>
    <w:basedOn w:val="35"/>
    <w:autoRedefine/>
    <w:qFormat/>
    <w:uiPriority w:val="0"/>
  </w:style>
  <w:style w:type="character" w:styleId="41">
    <w:name w:val="HTML Typewriter"/>
    <w:basedOn w:val="35"/>
    <w:autoRedefine/>
    <w:qFormat/>
    <w:uiPriority w:val="0"/>
    <w:rPr>
      <w:rFonts w:hint="default" w:ascii="monospace" w:hAnsi="monospace" w:eastAsia="monospace" w:cs="monospace"/>
      <w:sz w:val="20"/>
    </w:rPr>
  </w:style>
  <w:style w:type="character" w:styleId="42">
    <w:name w:val="HTML Acronym"/>
    <w:basedOn w:val="35"/>
    <w:autoRedefine/>
    <w:qFormat/>
    <w:uiPriority w:val="0"/>
  </w:style>
  <w:style w:type="character" w:styleId="43">
    <w:name w:val="HTML Variable"/>
    <w:basedOn w:val="35"/>
    <w:autoRedefine/>
    <w:qFormat/>
    <w:uiPriority w:val="0"/>
  </w:style>
  <w:style w:type="character" w:styleId="44">
    <w:name w:val="Hyperlink"/>
    <w:basedOn w:val="35"/>
    <w:autoRedefine/>
    <w:qFormat/>
    <w:uiPriority w:val="0"/>
    <w:rPr>
      <w:color w:val="333333"/>
      <w:szCs w:val="24"/>
      <w:u w:val="none"/>
    </w:rPr>
  </w:style>
  <w:style w:type="character" w:styleId="45">
    <w:name w:val="HTML Code"/>
    <w:basedOn w:val="35"/>
    <w:autoRedefine/>
    <w:qFormat/>
    <w:uiPriority w:val="0"/>
    <w:rPr>
      <w:rFonts w:ascii="monospace" w:hAnsi="monospace" w:eastAsia="monospace" w:cs="monospace"/>
      <w:sz w:val="20"/>
    </w:rPr>
  </w:style>
  <w:style w:type="character" w:styleId="46">
    <w:name w:val="HTML Cite"/>
    <w:basedOn w:val="35"/>
    <w:autoRedefine/>
    <w:qFormat/>
    <w:uiPriority w:val="0"/>
  </w:style>
  <w:style w:type="character" w:styleId="47">
    <w:name w:val="HTML Keyboard"/>
    <w:basedOn w:val="35"/>
    <w:autoRedefine/>
    <w:qFormat/>
    <w:uiPriority w:val="0"/>
    <w:rPr>
      <w:rFonts w:hint="default" w:ascii="monospace" w:hAnsi="monospace" w:eastAsia="monospace" w:cs="monospace"/>
      <w:sz w:val="20"/>
    </w:rPr>
  </w:style>
  <w:style w:type="character" w:styleId="48">
    <w:name w:val="HTML Sample"/>
    <w:basedOn w:val="35"/>
    <w:autoRedefine/>
    <w:qFormat/>
    <w:uiPriority w:val="0"/>
    <w:rPr>
      <w:rFonts w:hint="default" w:ascii="monospace" w:hAnsi="monospace" w:eastAsia="monospace" w:cs="monospace"/>
    </w:rPr>
  </w:style>
  <w:style w:type="paragraph" w:customStyle="1" w:styleId="49">
    <w:name w:val="大标题"/>
    <w:basedOn w:val="1"/>
    <w:next w:val="32"/>
    <w:autoRedefine/>
    <w:qFormat/>
    <w:uiPriority w:val="0"/>
    <w:pPr>
      <w:jc w:val="center"/>
    </w:pPr>
    <w:rPr>
      <w:rFonts w:ascii="Arial" w:hAnsi="Arial"/>
      <w:b/>
      <w:sz w:val="28"/>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5"/>
    <w:link w:val="3"/>
    <w:autoRedefine/>
    <w:qFormat/>
    <w:uiPriority w:val="0"/>
  </w:style>
  <w:style w:type="character" w:customStyle="1" w:styleId="76">
    <w:name w:val="apple-converted-space"/>
    <w:basedOn w:val="35"/>
    <w:autoRedefine/>
    <w:qFormat/>
    <w:uiPriority w:val="0"/>
  </w:style>
  <w:style w:type="character" w:customStyle="1" w:styleId="77">
    <w:name w:val="文档结构图 Char"/>
    <w:link w:val="12"/>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5"/>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5"/>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5"/>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5"/>
    <w:qFormat/>
    <w:uiPriority w:val="0"/>
    <w:rPr>
      <w:rFonts w:ascii="宋体" w:hAnsi="宋体" w:eastAsia="宋体" w:cs="宋体"/>
      <w:color w:val="000000"/>
      <w:sz w:val="24"/>
      <w:szCs w:val="24"/>
      <w:u w:val="none"/>
    </w:rPr>
  </w:style>
  <w:style w:type="character" w:customStyle="1" w:styleId="96">
    <w:name w:val="font81"/>
    <w:basedOn w:val="35"/>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 w:type="character" w:customStyle="1" w:styleId="98">
    <w:name w:val="font41"/>
    <w:basedOn w:val="35"/>
    <w:qFormat/>
    <w:uiPriority w:val="0"/>
    <w:rPr>
      <w:rFonts w:hint="eastAsia" w:ascii="宋体" w:hAnsi="宋体" w:eastAsia="宋体" w:cs="宋体"/>
      <w:b/>
      <w:bCs/>
      <w:color w:val="000000"/>
      <w:sz w:val="22"/>
      <w:szCs w:val="22"/>
      <w:u w:val="none"/>
    </w:rPr>
  </w:style>
  <w:style w:type="character" w:customStyle="1" w:styleId="99">
    <w:name w:val="font01"/>
    <w:basedOn w:val="3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37</Pages>
  <Words>12871</Words>
  <Characters>13473</Characters>
  <Lines>50</Lines>
  <Paragraphs>68</Paragraphs>
  <TotalTime>1</TotalTime>
  <ScaleCrop>false</ScaleCrop>
  <LinksUpToDate>false</LinksUpToDate>
  <CharactersWithSpaces>13886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2026-09-08T03:32:12Z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