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DA753D3">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0C735D19">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cs="宋体"/>
          <w:b/>
          <w:bCs/>
          <w:color w:val="auto"/>
          <w:sz w:val="48"/>
          <w:szCs w:val="48"/>
          <w:highlight w:val="none"/>
          <w:lang w:val="en-US" w:eastAsia="zh-CN"/>
        </w:rPr>
        <w:t>瓦里安23EX直线加速器全保采购项目</w:t>
      </w:r>
    </w:p>
    <w:p w14:paraId="43B7407E">
      <w:pPr>
        <w:pStyle w:val="21"/>
        <w:bidi w:val="0"/>
        <w:jc w:val="center"/>
        <w:rPr>
          <w:rStyle w:val="45"/>
          <w:rFonts w:hint="eastAsia" w:cs="宋体"/>
          <w:b/>
          <w:bCs/>
          <w:color w:val="auto"/>
          <w:sz w:val="44"/>
          <w:szCs w:val="44"/>
          <w:highlight w:val="none"/>
          <w:lang w:val="en-US" w:eastAsia="zh-CN"/>
        </w:rPr>
      </w:pPr>
    </w:p>
    <w:p w14:paraId="3041D311">
      <w:pPr>
        <w:pStyle w:val="21"/>
        <w:bidi w:val="0"/>
        <w:jc w:val="center"/>
        <w:rPr>
          <w:rStyle w:val="45"/>
          <w:rFonts w:hint="eastAsia" w:cs="宋体"/>
          <w:b/>
          <w:bCs/>
          <w:color w:val="auto"/>
          <w:sz w:val="44"/>
          <w:szCs w:val="44"/>
          <w:highlight w:val="none"/>
          <w:lang w:val="en-US" w:eastAsia="zh-CN"/>
        </w:rPr>
      </w:pPr>
    </w:p>
    <w:p w14:paraId="72164425">
      <w:pPr>
        <w:pStyle w:val="21"/>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1"/>
        <w:bidi w:val="0"/>
        <w:jc w:val="center"/>
        <w:rPr>
          <w:rStyle w:val="45"/>
          <w:rFonts w:hint="eastAsia" w:ascii="宋体" w:hAnsi="宋体" w:eastAsia="宋体" w:cs="宋体"/>
          <w:b/>
          <w:bCs/>
          <w:color w:val="auto"/>
          <w:sz w:val="48"/>
          <w:szCs w:val="48"/>
          <w:highlight w:val="none"/>
        </w:rPr>
      </w:pPr>
    </w:p>
    <w:p w14:paraId="158E927F">
      <w:pPr>
        <w:pStyle w:val="21"/>
        <w:bidi w:val="0"/>
        <w:jc w:val="center"/>
        <w:rPr>
          <w:rStyle w:val="45"/>
          <w:rFonts w:hint="eastAsia" w:ascii="宋体" w:hAnsi="宋体" w:eastAsia="宋体" w:cs="宋体"/>
          <w:b/>
          <w:bCs/>
          <w:color w:val="auto"/>
          <w:sz w:val="48"/>
          <w:szCs w:val="48"/>
          <w:highlight w:val="none"/>
        </w:rPr>
      </w:pPr>
    </w:p>
    <w:p w14:paraId="5ABC8E99">
      <w:pPr>
        <w:pStyle w:val="21"/>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大成工程咨询有限公司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5DADC621">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_Toc28866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3C741CF6">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_Toc27226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_Toc27226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21E92FD5">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_Toc24084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_Toc24084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3E09CBC8">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_Toc31636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_Toc31636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3272DA9B">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_Toc10874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_Toc10874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460" w:lineRule="exact"/>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2" w:name="_Toc28866"/>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驻马店市中心医院瓦里安23EX直线加速器全保采购项目</w:t>
      </w:r>
      <w:r>
        <w:rPr>
          <w:rFonts w:hint="eastAsia" w:ascii="宋体" w:hAnsi="宋体" w:cs="宋体"/>
          <w:b/>
          <w:bCs w:val="0"/>
          <w:color w:val="auto"/>
          <w:kern w:val="0"/>
          <w:sz w:val="28"/>
          <w:szCs w:val="28"/>
          <w:highlight w:val="none"/>
          <w:u w:val="none"/>
          <w:lang w:val="en-US" w:eastAsia="zh-CN"/>
        </w:rPr>
        <w:t>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44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瓦里安23EX直线加速器全保采购项目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驻马店市中心医院瓦里安23EX直线加速器全保采购项目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20.6万元；</w:t>
      </w:r>
    </w:p>
    <w:p w14:paraId="20C42964">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1年。</w:t>
      </w:r>
    </w:p>
    <w:p w14:paraId="03CB215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8607"/>
      <w:bookmarkStart w:id="5" w:name="_Toc27704"/>
      <w:bookmarkStart w:id="6" w:name="_Toc23626"/>
      <w:bookmarkStart w:id="7" w:name="_Toc16639"/>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30971"/>
      <w:bookmarkStart w:id="9" w:name="_Toc7823"/>
      <w:bookmarkStart w:id="10" w:name="_Toc9562"/>
      <w:bookmarkStart w:id="11" w:name="_Toc23395"/>
      <w:bookmarkStart w:id="12" w:name="_Toc30643"/>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r>
        <w:rPr>
          <w:rFonts w:hint="eastAsia" w:ascii="宋体" w:hAnsi="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440" w:lineRule="exact"/>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bookmarkStart w:id="78" w:name="_GoBack"/>
      <w:bookmarkEnd w:id="78"/>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3269714460</w:t>
      </w:r>
      <w:r>
        <w:rPr>
          <w:rFonts w:hint="eastAsia" w:ascii="宋体" w:hAnsi="宋体" w:eastAsia="宋体" w:cs="宋体"/>
          <w:color w:val="auto"/>
          <w:kern w:val="0"/>
          <w:sz w:val="24"/>
          <w:szCs w:val="24"/>
          <w:highlight w:val="none"/>
          <w:shd w:val="clear" w:color="auto" w:fill="FFFFFF"/>
          <w:lang w:val="en-US" w:eastAsia="zh-CN" w:bidi="ar-SA"/>
        </w:rPr>
        <w:t>@qq.com,并标明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2B7675CF">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0738"/>
      <w:bookmarkStart w:id="14" w:name="_Toc25869"/>
      <w:bookmarkStart w:id="15" w:name="_Toc15111"/>
      <w:bookmarkStart w:id="16" w:name="_Toc27480"/>
      <w:bookmarkStart w:id="17" w:name="_Toc15135"/>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0287"/>
      <w:bookmarkStart w:id="19" w:name="_Toc30918"/>
      <w:bookmarkStart w:id="20" w:name="_Toc6523"/>
      <w:bookmarkStart w:id="21" w:name="_Toc29784"/>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795"/>
      <w:bookmarkStart w:id="23" w:name="_Toc35393626"/>
    </w:p>
    <w:bookmarkEnd w:id="22"/>
    <w:bookmarkEnd w:id="23"/>
    <w:p w14:paraId="5E12EA47">
      <w:pPr>
        <w:keepNext w:val="0"/>
        <w:keepLines w:val="0"/>
        <w:pageBreakBefore w:val="0"/>
        <w:widowControl/>
        <w:kinsoku/>
        <w:overflowPunct/>
        <w:topLinePunct w:val="0"/>
        <w:autoSpaceDE/>
        <w:autoSpaceDN/>
        <w:bidi w:val="0"/>
        <w:snapToGrid w:val="0"/>
        <w:spacing w:before="0" w:after="0" w:line="44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7370"/>
      <w:bookmarkStart w:id="25" w:name="_Toc31928"/>
      <w:bookmarkStart w:id="26" w:name="_Toc16291"/>
      <w:bookmarkStart w:id="27" w:name="_Toc24274"/>
      <w:bookmarkStart w:id="28" w:name="_Toc3604"/>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w:t>
      </w:r>
      <w:r>
        <w:rPr>
          <w:rFonts w:hint="eastAsia" w:ascii="宋体" w:hAnsi="宋体" w:cs="宋体"/>
          <w:color w:val="auto"/>
          <w:kern w:val="0"/>
          <w:sz w:val="24"/>
          <w:szCs w:val="24"/>
          <w:highlight w:val="none"/>
          <w:shd w:val="clear" w:color="auto" w:fill="FFFFFF"/>
          <w:lang w:val="en-US" w:eastAsia="zh-CN" w:bidi="ar-SA"/>
        </w:rPr>
        <w:t>大成工程咨询有限公司</w:t>
      </w:r>
    </w:p>
    <w:p w14:paraId="7C4ABE79">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地址：驻马店市泰山路与骏马路交叉口天基城中心花园3号楼（圆楼）5楼</w:t>
      </w:r>
    </w:p>
    <w:p w14:paraId="107A5609">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联系人：庞先生</w:t>
      </w:r>
    </w:p>
    <w:p w14:paraId="3688528D">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联系方式：18272909999</w:t>
      </w:r>
    </w:p>
    <w:p w14:paraId="2BB1501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24</w:t>
      </w:r>
      <w:r>
        <w:rPr>
          <w:rFonts w:hint="eastAsia" w:ascii="宋体" w:hAnsi="宋体" w:eastAsia="宋体" w:cs="宋体"/>
          <w:color w:val="auto"/>
          <w:sz w:val="24"/>
          <w:szCs w:val="24"/>
          <w:highlight w:val="none"/>
          <w:shd w:val="clear" w:color="auto" w:fill="FFFFFF"/>
        </w:rPr>
        <w:t>日</w:t>
      </w:r>
    </w:p>
    <w:p w14:paraId="32464726">
      <w:pPr>
        <w:jc w:val="cente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Start w:id="31" w:name="_Toc23610"/>
      <w:bookmarkStart w:id="32" w:name="_Toc9989"/>
      <w:bookmarkStart w:id="33" w:name="_Toc31536"/>
    </w:p>
    <w:bookmarkEnd w:id="29"/>
    <w:bookmarkEnd w:id="30"/>
    <w:bookmarkEnd w:id="31"/>
    <w:bookmarkEnd w:id="32"/>
    <w:bookmarkEnd w:id="33"/>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驻马店市中心医院瓦里安23EX直线加速器全保采购项目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985"/>
        <w:gridCol w:w="960"/>
        <w:gridCol w:w="975"/>
        <w:gridCol w:w="1350"/>
        <w:gridCol w:w="1248"/>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5" w:type="dxa"/>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2985" w:type="dxa"/>
            <w:vAlign w:val="center"/>
          </w:tcPr>
          <w:p w14:paraId="63A6E1B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标的</w:t>
            </w:r>
            <w:r>
              <w:rPr>
                <w:rFonts w:hint="eastAsia" w:ascii="宋体" w:hAnsi="宋体" w:eastAsia="宋体" w:cs="宋体"/>
                <w:b/>
                <w:bCs/>
                <w:color w:val="auto"/>
                <w:sz w:val="24"/>
                <w:szCs w:val="24"/>
                <w:highlight w:val="none"/>
              </w:rPr>
              <w:t>名称</w:t>
            </w:r>
          </w:p>
        </w:tc>
        <w:tc>
          <w:tcPr>
            <w:tcW w:w="960" w:type="dxa"/>
            <w:vAlign w:val="center"/>
          </w:tcPr>
          <w:p w14:paraId="2E59343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单位</w:t>
            </w:r>
          </w:p>
        </w:tc>
        <w:tc>
          <w:tcPr>
            <w:tcW w:w="975"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资金预算</w:t>
            </w:r>
          </w:p>
        </w:tc>
        <w:tc>
          <w:tcPr>
            <w:tcW w:w="1248" w:type="dxa"/>
            <w:vAlign w:val="center"/>
          </w:tcPr>
          <w:p w14:paraId="2E06708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资金性质</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985"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驻马店市中心医院瓦里安23EX直线加速器全保（除加速管磁控管）</w:t>
            </w:r>
          </w:p>
        </w:tc>
        <w:tc>
          <w:tcPr>
            <w:tcW w:w="960" w:type="dxa"/>
            <w:shd w:val="clear" w:color="auto" w:fill="auto"/>
            <w:vAlign w:val="center"/>
          </w:tcPr>
          <w:p w14:paraId="26AB1A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年</w:t>
            </w:r>
          </w:p>
        </w:tc>
        <w:tc>
          <w:tcPr>
            <w:tcW w:w="975" w:type="dxa"/>
            <w:shd w:val="clear" w:color="auto" w:fill="auto"/>
            <w:vAlign w:val="center"/>
          </w:tcPr>
          <w:p w14:paraId="650669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1350"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default" w:ascii="宋体" w:hAnsi="宋体" w:eastAsia="宋体" w:cs="宋体"/>
                <w:color w:val="auto"/>
                <w:sz w:val="24"/>
                <w:szCs w:val="24"/>
                <w:highlight w:val="none"/>
                <w:vertAlign w:val="baseline"/>
                <w:lang w:val="en-US" w:eastAsia="zh-CN"/>
              </w:rPr>
              <w:t>20.6万元</w:t>
            </w:r>
          </w:p>
        </w:tc>
        <w:tc>
          <w:tcPr>
            <w:tcW w:w="1248"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default" w:ascii="宋体" w:hAnsi="宋体" w:eastAsia="宋体" w:cs="宋体"/>
                <w:color w:val="auto"/>
                <w:sz w:val="24"/>
                <w:szCs w:val="24"/>
                <w:highlight w:val="none"/>
                <w:vertAlign w:val="baseline"/>
                <w:lang w:val="en-US" w:eastAsia="zh-CN"/>
              </w:rPr>
              <w:t>自筹</w:t>
            </w:r>
          </w:p>
        </w:tc>
      </w:tr>
      <w:tr w14:paraId="2127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3" w:type="dxa"/>
            <w:gridSpan w:val="6"/>
            <w:shd w:val="clear" w:color="auto" w:fill="auto"/>
            <w:vAlign w:val="center"/>
          </w:tcPr>
          <w:p w14:paraId="1D594C6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备注：本次全保不包含</w:t>
            </w:r>
            <w:r>
              <w:rPr>
                <w:rFonts w:hint="eastAsia" w:ascii="宋体" w:hAnsi="宋体" w:eastAsia="宋体" w:cs="宋体"/>
                <w:b/>
                <w:bCs/>
                <w:color w:val="auto"/>
                <w:sz w:val="24"/>
                <w:szCs w:val="24"/>
                <w:highlight w:val="none"/>
                <w:vertAlign w:val="baseline"/>
                <w:lang w:val="en-US" w:eastAsia="zh-CN"/>
              </w:rPr>
              <w:t>加速管磁控管</w:t>
            </w:r>
            <w:r>
              <w:rPr>
                <w:rFonts w:hint="eastAsia" w:ascii="宋体" w:hAnsi="宋体" w:cs="宋体"/>
                <w:b/>
                <w:bCs/>
                <w:color w:val="auto"/>
                <w:sz w:val="24"/>
                <w:szCs w:val="24"/>
                <w:highlight w:val="none"/>
                <w:vertAlign w:val="baseline"/>
                <w:lang w:val="en-US" w:eastAsia="zh-CN"/>
              </w:rPr>
              <w:t>；数量1台；服务期限：1年。</w:t>
            </w:r>
          </w:p>
        </w:tc>
      </w:tr>
    </w:tbl>
    <w:p w14:paraId="0E6F386B">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3ABC97CB">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1、保修期内每年至少提供4次设备维护保养，包含但不限于如下项目：设备清洁、性能测试及校准、必要的电气环境检测等，使之保持原厂QC标准或国家质量监督部门的标准，并提供保养清单。</w:t>
      </w:r>
    </w:p>
    <w:p w14:paraId="44C30096">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每次维修保养更换配件时需通知科室及医学装备部，且保修期最后一个月需三方人员（成交供应商、科室、医学装备部）在场对设备进行全面保养，在此过程中发现的问题，不论大小，一律彻底修复。每次都要做好维修、保养记录，并留存影像资料，设备的性能指标需满足临床诊断治疗要求和设备使用的安全性要求，并由三方共同签字确认。</w:t>
      </w:r>
    </w:p>
    <w:p w14:paraId="0508D4F7">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3、为本医院配置具备维修资质的固定工程师不少于2人，本设备维修经验不少于2年，需提供证明材料（培训证书）和承诺函。</w:t>
      </w:r>
    </w:p>
    <w:p w14:paraId="60811020">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4、配件（除加速管磁控管）故障时不维修，直接更换备件且备件无限次更换。所换备件必须是原厂合格的产品，并满足设备运行要求, 进口配件需提供商检及海关报关单等材料。因所换备件造成的设备故障及医院损失，由成交供应商全权负责。</w:t>
      </w:r>
    </w:p>
    <w:p w14:paraId="63F9D574">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5、软硬件及工作站免费安全升级，并开放维修密码等。</w:t>
      </w:r>
    </w:p>
    <w:p w14:paraId="258FFEE6">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6、提供24小时远程技术支持及临床应用支持，签署由采购人提供的信息系统数据安全保密承诺书。</w:t>
      </w:r>
    </w:p>
    <w:p w14:paraId="541A851D">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7、如需更换备件，国内备件仓库有货的备件在2个工作日内送达医院，进口配件5个工作日送达；非标件和不可抗力除外。</w:t>
      </w:r>
    </w:p>
    <w:p w14:paraId="09B1A931">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8、定期进行安全检查及质量保障，保证24h*365天维修热线连接；提供全国400热线服务电话。</w:t>
      </w:r>
    </w:p>
    <w:p w14:paraId="695EE26A">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9、紧急人工和工程师现场紧急维修服务。</w:t>
      </w:r>
    </w:p>
    <w:p w14:paraId="39CDF9E0">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10、工程师需配备有专用工具，工程师的工具符合国家检测和校准的规定（提供相关校准证明）。</w:t>
      </w:r>
    </w:p>
    <w:p w14:paraId="152CED38">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11、保修期最后一个月内更换的配件，成交供应商应保证自更换之日起六个月内正常使用，如六个月内出现故障，由成交供应商承担维修费用。</w:t>
      </w:r>
    </w:p>
    <w:p w14:paraId="28CAD04A">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12、须有具备应用培训工程师且提供原厂认证的培训证书。</w:t>
      </w:r>
    </w:p>
    <w:p w14:paraId="6DBEA9D1">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13、对我院的维修工程师及科室物理师提供每年至少2人次的专业培训，并提供培训证明材料。</w:t>
      </w:r>
    </w:p>
    <w:p w14:paraId="4CFED2C2">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14、每年制定临床使用人员的使用维护培训计划，按计划进行培训并提供记录。</w:t>
      </w:r>
    </w:p>
    <w:p w14:paraId="43D05592">
      <w:pPr>
        <w:pStyle w:val="50"/>
        <w:rPr>
          <w:rFonts w:hint="eastAsia" w:ascii="宋体" w:hAnsi="宋体" w:eastAsia="宋体" w:cs="宋体"/>
          <w:b/>
          <w:bCs/>
          <w:color w:val="auto"/>
          <w:kern w:val="2"/>
          <w:sz w:val="21"/>
          <w:szCs w:val="24"/>
          <w:highlight w:val="none"/>
          <w:lang w:val="en-US" w:eastAsia="zh-CN" w:bidi="ar-SA"/>
        </w:rPr>
      </w:pPr>
    </w:p>
    <w:p w14:paraId="41737D04">
      <w:pPr>
        <w:pStyle w:val="50"/>
        <w:rPr>
          <w:rFonts w:hint="eastAsia" w:ascii="宋体" w:hAnsi="宋体" w:eastAsia="宋体" w:cs="宋体"/>
          <w:b/>
          <w:bCs/>
          <w:color w:val="auto"/>
          <w:kern w:val="2"/>
          <w:sz w:val="21"/>
          <w:szCs w:val="24"/>
          <w:highlight w:val="none"/>
          <w:lang w:val="en-US" w:eastAsia="zh-CN" w:bidi="ar-SA"/>
        </w:rPr>
      </w:pPr>
    </w:p>
    <w:p w14:paraId="4235F853">
      <w:pPr>
        <w:pStyle w:val="50"/>
        <w:rPr>
          <w:rFonts w:hint="eastAsia" w:ascii="宋体" w:hAnsi="宋体" w:eastAsia="宋体" w:cs="宋体"/>
          <w:b/>
          <w:bCs/>
          <w:color w:val="auto"/>
          <w:kern w:val="2"/>
          <w:sz w:val="21"/>
          <w:szCs w:val="24"/>
          <w:highlight w:val="none"/>
          <w:lang w:val="en-US" w:eastAsia="zh-CN" w:bidi="ar-SA"/>
        </w:rPr>
      </w:pPr>
    </w:p>
    <w:p w14:paraId="04EA2D64">
      <w:pPr>
        <w:pStyle w:val="50"/>
        <w:rPr>
          <w:rFonts w:hint="eastAsia" w:ascii="宋体" w:hAnsi="宋体" w:eastAsia="宋体" w:cs="宋体"/>
          <w:b/>
          <w:bCs/>
          <w:color w:val="auto"/>
          <w:kern w:val="2"/>
          <w:sz w:val="21"/>
          <w:szCs w:val="24"/>
          <w:highlight w:val="none"/>
          <w:lang w:val="en-US" w:eastAsia="zh-CN" w:bidi="ar-SA"/>
        </w:rPr>
      </w:pPr>
    </w:p>
    <w:p w14:paraId="0CC0210B">
      <w:pPr>
        <w:pStyle w:val="50"/>
        <w:rPr>
          <w:rFonts w:hint="eastAsia" w:ascii="宋体" w:hAnsi="宋体" w:eastAsia="宋体" w:cs="宋体"/>
          <w:b/>
          <w:bCs/>
          <w:color w:val="auto"/>
          <w:kern w:val="2"/>
          <w:sz w:val="21"/>
          <w:szCs w:val="24"/>
          <w:highlight w:val="none"/>
          <w:lang w:val="en-US" w:eastAsia="zh-CN" w:bidi="ar-SA"/>
        </w:rPr>
      </w:pPr>
    </w:p>
    <w:p w14:paraId="27A37746">
      <w:pPr>
        <w:pStyle w:val="50"/>
        <w:rPr>
          <w:rFonts w:hint="eastAsia" w:ascii="宋体" w:hAnsi="宋体" w:eastAsia="宋体" w:cs="宋体"/>
          <w:b/>
          <w:bCs/>
          <w:color w:val="auto"/>
          <w:kern w:val="2"/>
          <w:sz w:val="21"/>
          <w:szCs w:val="24"/>
          <w:highlight w:val="none"/>
          <w:lang w:val="en-US" w:eastAsia="zh-CN" w:bidi="ar-SA"/>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77A3C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CAD906E">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5961861">
            <w:pPr>
              <w:pStyle w:val="7"/>
              <w:ind w:left="0" w:leftChars="0"/>
              <w:jc w:val="left"/>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1年。</w:t>
            </w:r>
          </w:p>
        </w:tc>
      </w:tr>
      <w:tr w14:paraId="713F3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33EE2560">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59FFBD4E">
            <w:pPr>
              <w:pStyle w:val="7"/>
              <w:ind w:left="0" w:leftChars="0"/>
              <w:jc w:val="left"/>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采购人指定地点。</w:t>
            </w:r>
          </w:p>
        </w:tc>
      </w:tr>
      <w:tr w14:paraId="574C8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2EA8A14">
            <w:pPr>
              <w:pStyle w:val="7"/>
              <w:ind w:left="0" w:leftChars="0"/>
              <w:jc w:val="center"/>
              <w:rPr>
                <w:rFonts w:hint="eastAsia" w:cs="宋体"/>
                <w:color w:val="auto"/>
                <w:sz w:val="24"/>
                <w:szCs w:val="24"/>
                <w:highlight w:val="none"/>
                <w:lang w:val="en-US" w:eastAsia="zh-CN"/>
              </w:rPr>
            </w:pPr>
            <w:r>
              <w:rPr>
                <w:rFonts w:hint="eastAsia" w:cs="宋体"/>
                <w:color w:val="auto"/>
                <w:sz w:val="24"/>
                <w:szCs w:val="24"/>
                <w:highlight w:val="none"/>
                <w:lang w:val="en-US" w:eastAsia="zh-CN"/>
              </w:rPr>
              <w:t>质量要求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6D93696B">
            <w:pPr>
              <w:pStyle w:val="7"/>
              <w:spacing w:beforeAutospacing="0"/>
              <w:ind w:left="0" w:leftChars="0"/>
              <w:jc w:val="left"/>
              <w:rPr>
                <w:rFonts w:hint="eastAsia" w:cs="宋体"/>
                <w:color w:val="auto"/>
                <w:sz w:val="24"/>
                <w:szCs w:val="24"/>
                <w:highlight w:val="none"/>
                <w:lang w:val="en-US" w:eastAsia="zh-CN"/>
              </w:rPr>
            </w:pPr>
            <w:r>
              <w:rPr>
                <w:rFonts w:hint="eastAsia" w:cs="宋体"/>
                <w:color w:val="auto"/>
                <w:sz w:val="24"/>
                <w:szCs w:val="24"/>
                <w:highlight w:val="none"/>
                <w:lang w:val="en-US" w:eastAsia="zh-CN"/>
              </w:rPr>
              <w:t>符合国家有关法律法规及行业标准要求。</w:t>
            </w:r>
          </w:p>
        </w:tc>
      </w:tr>
      <w:tr w14:paraId="35AAE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4"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BBA815B">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51F948AF">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1.服务安排：周一至周日，7天24小时包括法定节假日。</w:t>
            </w:r>
          </w:p>
          <w:p w14:paraId="343018EE">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2.维修响应时间：20分钟内电话响应，2小时内工程师到达现场，一般故障24小时内维修完毕。如需外地专家支持，4小时内响应，24小时内到达现场。</w:t>
            </w:r>
          </w:p>
          <w:p w14:paraId="76B754E1">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jc w:val="left"/>
              <w:textAlignment w:val="auto"/>
              <w:rPr>
                <w:rFonts w:hint="default"/>
                <w:lang w:val="en-US" w:eastAsia="zh-CN"/>
              </w:rPr>
            </w:pPr>
            <w:r>
              <w:rPr>
                <w:rFonts w:hint="eastAsia" w:ascii="宋体" w:hAnsi="宋体" w:eastAsia="宋体" w:cs="宋体"/>
                <w:color w:val="auto"/>
                <w:kern w:val="0"/>
                <w:sz w:val="24"/>
                <w:szCs w:val="24"/>
                <w:highlight w:val="none"/>
                <w:shd w:val="clear" w:color="auto" w:fill="FFFFFF"/>
                <w:lang w:val="en-US" w:eastAsia="zh-CN" w:bidi="ar-SA"/>
              </w:rPr>
              <w:t>3.保证我院保修的设备正常开机率大于95% （一年按365天计算），且单次维修不能超过1天，否则设备维修占用日期每增加一天，保修时间往后顺延七天。</w:t>
            </w:r>
          </w:p>
        </w:tc>
      </w:tr>
      <w:tr w14:paraId="31211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3"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C45281C">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75A7AD62">
            <w:pPr>
              <w:keepNext w:val="0"/>
              <w:keepLines w:val="0"/>
              <w:pageBreakBefore w:val="0"/>
              <w:widowControl/>
              <w:kinsoku/>
              <w:wordWrap/>
              <w:overflowPunct/>
              <w:topLinePunct w:val="0"/>
              <w:autoSpaceDE/>
              <w:autoSpaceDN/>
              <w:bidi w:val="0"/>
              <w:adjustRightInd/>
              <w:snapToGrid w:val="0"/>
              <w:spacing w:before="0" w:beforeAutospacing="0" w:after="0" w:afterAutospacing="0" w:line="4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shd w:val="clear" w:color="auto" w:fill="FFFFFF"/>
                <w:lang w:val="zh-CN" w:eastAsia="zh-CN" w:bidi="ar-SA"/>
              </w:rPr>
              <w:t>先服务后付款，服务六个月之后支付50%合同款，服务期满后支付余下50%合同款。</w:t>
            </w:r>
          </w:p>
        </w:tc>
      </w:tr>
    </w:tbl>
    <w:p w14:paraId="4FFF1AE1">
      <w:pPr>
        <w:pStyle w:val="8"/>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4" w:name="_Toc2722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20.6万元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20.6</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5" w:name="_Toc4700"/>
      <w:bookmarkStart w:id="36"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供应商</w:t>
      </w:r>
      <w:r>
        <w:rPr>
          <w:rFonts w:hint="eastAsia" w:ascii="宋体" w:hAnsi="宋体" w:eastAsia="宋体" w:cs="宋体"/>
          <w:color w:val="auto"/>
          <w:sz w:val="24"/>
          <w:szCs w:val="24"/>
          <w:highlight w:val="none"/>
          <w:shd w:val="clear" w:color="auto" w:fill="FFFFFF"/>
          <w:lang w:val="en-US" w:eastAsia="zh-CN"/>
        </w:rPr>
        <w:t>须是在中华人民共和国境内注册的设备原制造厂商或原制造厂商授权的单位或具备相关设备维修能力的单位（提供证明文件）。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.2 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24084"/>
      <w:r>
        <w:rPr>
          <w:rFonts w:hint="eastAsia" w:ascii="宋体" w:hAnsi="宋体" w:eastAsia="宋体" w:cs="宋体"/>
          <w:b/>
          <w:bCs/>
          <w:color w:val="auto"/>
          <w:kern w:val="0"/>
          <w:sz w:val="32"/>
          <w:szCs w:val="32"/>
          <w:highlight w:val="none"/>
        </w:rPr>
        <w:t>第四章  评标办法及评分标准</w:t>
      </w:r>
      <w:bookmarkEnd w:id="35"/>
      <w:bookmarkEnd w:id="37"/>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bookmarkEnd w:id="36"/>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7C81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2D38D6A">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bookmarkStart w:id="38" w:name="_Toc1482"/>
            <w:bookmarkStart w:id="39" w:name="_Toc1947"/>
            <w:bookmarkStart w:id="40" w:name="_Toc326786897"/>
            <w:bookmarkStart w:id="41" w:name="_Toc256519703"/>
            <w:r>
              <w:rPr>
                <w:rFonts w:hint="eastAsia" w:ascii="宋体" w:hAnsi="宋体" w:eastAsia="宋体" w:cs="宋体"/>
                <w:b w:val="0"/>
                <w:bCs w:val="0"/>
                <w:color w:val="auto"/>
                <w:sz w:val="24"/>
                <w:szCs w:val="24"/>
                <w:highlight w:val="none"/>
              </w:rPr>
              <w:t>评审内容</w:t>
            </w:r>
          </w:p>
        </w:tc>
      </w:tr>
      <w:tr w14:paraId="4768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62FF729B">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18E10CDC">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6EEB01BA">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9DDBC75">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66FF4216">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r>
      <w:tr w14:paraId="0B68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1B7AA785">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64</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16EBD837">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1.技术服务响应（28分）</w:t>
            </w:r>
          </w:p>
        </w:tc>
        <w:tc>
          <w:tcPr>
            <w:tcW w:w="6770" w:type="dxa"/>
            <w:noWrap w:val="0"/>
            <w:vAlign w:val="center"/>
          </w:tcPr>
          <w:p w14:paraId="41B56EEC">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根据“第二章 采购需求  二、技术服务要求”进行响应。完全符合磋商文件服务要求的得</w:t>
            </w:r>
            <w:r>
              <w:rPr>
                <w:rFonts w:hint="eastAsia" w:ascii="宋体" w:hAnsi="宋体" w:cs="宋体"/>
                <w:sz w:val="24"/>
                <w:szCs w:val="24"/>
                <w:lang w:val="en-US" w:eastAsia="zh-CN"/>
              </w:rPr>
              <w:t>28</w:t>
            </w:r>
            <w:r>
              <w:rPr>
                <w:rFonts w:hint="eastAsia" w:ascii="宋体" w:hAnsi="宋体" w:eastAsia="宋体" w:cs="宋体"/>
                <w:sz w:val="24"/>
                <w:szCs w:val="24"/>
                <w:lang w:val="en-US" w:eastAsia="zh-CN"/>
              </w:rPr>
              <w:t>分，每有一项负偏离在</w:t>
            </w:r>
            <w:r>
              <w:rPr>
                <w:rFonts w:hint="eastAsia" w:ascii="宋体" w:hAnsi="宋体" w:cs="宋体"/>
                <w:sz w:val="24"/>
                <w:szCs w:val="24"/>
                <w:lang w:val="en-US" w:eastAsia="zh-CN"/>
              </w:rPr>
              <w:t>28</w:t>
            </w:r>
            <w:r>
              <w:rPr>
                <w:rFonts w:hint="eastAsia" w:ascii="宋体" w:hAnsi="宋体" w:eastAsia="宋体" w:cs="宋体"/>
                <w:sz w:val="24"/>
                <w:szCs w:val="24"/>
                <w:lang w:val="en-US" w:eastAsia="zh-CN"/>
              </w:rPr>
              <w:t>分基础上扣</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分，扣完为止；若得分为0，则磋商无效。</w:t>
            </w:r>
          </w:p>
          <w:p w14:paraId="34EAEA31">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1.供应商需如实填写技术响应表，并标注偏离情况。</w:t>
            </w:r>
          </w:p>
          <w:p w14:paraId="642DC76C">
            <w:pPr>
              <w:jc w:val="left"/>
              <w:rPr>
                <w:rFonts w:hint="default"/>
                <w:lang w:val="en-US" w:eastAsia="zh-CN"/>
              </w:rPr>
            </w:pPr>
            <w:r>
              <w:rPr>
                <w:rFonts w:hint="eastAsia" w:ascii="宋体" w:hAnsi="宋体" w:eastAsia="宋体" w:cs="宋体"/>
                <w:sz w:val="24"/>
                <w:szCs w:val="24"/>
                <w:lang w:val="en-US" w:eastAsia="zh-CN"/>
              </w:rPr>
              <w:t>2.提供相关证明文件。</w:t>
            </w:r>
          </w:p>
        </w:tc>
      </w:tr>
      <w:tr w14:paraId="760B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550F690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E82775F">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项目需求</w:t>
            </w:r>
          </w:p>
          <w:p w14:paraId="1294ADAD">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16</w:t>
            </w:r>
            <w:r>
              <w:rPr>
                <w:rFonts w:hint="eastAsia" w:asciiTheme="minorEastAsia" w:hAnsiTheme="minorEastAsia" w:eastAsiaTheme="minorEastAsia" w:cstheme="minorEastAsia"/>
                <w:sz w:val="24"/>
                <w:szCs w:val="24"/>
              </w:rPr>
              <w:t>分）</w:t>
            </w:r>
          </w:p>
        </w:tc>
        <w:tc>
          <w:tcPr>
            <w:tcW w:w="6770" w:type="dxa"/>
            <w:noWrap w:val="0"/>
            <w:vAlign w:val="center"/>
          </w:tcPr>
          <w:p w14:paraId="07C476BA">
            <w:pPr>
              <w:jc w:val="left"/>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供应商</w:t>
            </w:r>
            <w:r>
              <w:rPr>
                <w:rFonts w:ascii="宋体" w:hAnsi="宋体" w:eastAsia="宋体" w:cs="宋体"/>
                <w:sz w:val="24"/>
                <w:szCs w:val="24"/>
              </w:rPr>
              <w:t>应根据本项目的情况提供针对本项目的需求分析</w:t>
            </w:r>
            <w:r>
              <w:rPr>
                <w:rFonts w:hint="eastAsia" w:ascii="宋体" w:hAnsi="宋体" w:eastAsia="宋体" w:cs="宋体"/>
                <w:sz w:val="24"/>
                <w:szCs w:val="24"/>
                <w:lang w:eastAsia="zh-CN"/>
              </w:rPr>
              <w:t>，</w:t>
            </w:r>
            <w:r>
              <w:rPr>
                <w:rFonts w:hint="eastAsia" w:asciiTheme="minorEastAsia" w:hAnsiTheme="minorEastAsia" w:eastAsiaTheme="minorEastAsia" w:cstheme="minorEastAsia"/>
                <w:sz w:val="24"/>
                <w:szCs w:val="24"/>
              </w:rPr>
              <w:t>应包含且不限于</w:t>
            </w:r>
            <w:r>
              <w:rPr>
                <w:rFonts w:hint="eastAsia" w:asciiTheme="minorEastAsia" w:hAnsiTheme="minorEastAsia" w:eastAsiaTheme="minorEastAsia" w:cstheme="minorEastAsia"/>
                <w:sz w:val="24"/>
                <w:szCs w:val="24"/>
                <w:lang w:eastAsia="zh-CN"/>
              </w:rPr>
              <w:t>：①</w:t>
            </w:r>
            <w:r>
              <w:rPr>
                <w:rFonts w:hint="eastAsia" w:asciiTheme="minorEastAsia" w:hAnsiTheme="minorEastAsia" w:eastAsiaTheme="minorEastAsia" w:cstheme="minorEastAsia"/>
                <w:sz w:val="24"/>
                <w:szCs w:val="24"/>
              </w:rPr>
              <w:t>设备每年需要专业维护保养的次数</w:t>
            </w:r>
            <w:r>
              <w:rPr>
                <w:rFonts w:hint="eastAsia" w:asciiTheme="minorEastAsia" w:hAnsiTheme="minorEastAsia" w:eastAsiaTheme="minorEastAsia" w:cstheme="minorEastAsia"/>
                <w:sz w:val="24"/>
                <w:szCs w:val="24"/>
                <w:lang w:eastAsia="zh-CN"/>
              </w:rPr>
              <w:t>；②</w:t>
            </w:r>
            <w:r>
              <w:rPr>
                <w:rFonts w:hint="eastAsia" w:asciiTheme="minorEastAsia" w:hAnsiTheme="minorEastAsia" w:eastAsiaTheme="minorEastAsia" w:cstheme="minorEastAsia"/>
                <w:sz w:val="24"/>
                <w:szCs w:val="24"/>
              </w:rPr>
              <w:t>零备件更换服务</w:t>
            </w:r>
            <w:r>
              <w:rPr>
                <w:rFonts w:hint="eastAsia" w:asciiTheme="minorEastAsia" w:hAnsiTheme="minorEastAsia" w:eastAsiaTheme="minorEastAsia" w:cstheme="minorEastAsia"/>
                <w:sz w:val="24"/>
                <w:szCs w:val="24"/>
                <w:lang w:eastAsia="zh-CN"/>
              </w:rPr>
              <w:t>；③</w:t>
            </w:r>
            <w:r>
              <w:rPr>
                <w:rFonts w:hint="eastAsia" w:asciiTheme="minorEastAsia" w:hAnsiTheme="minorEastAsia" w:eastAsiaTheme="minorEastAsia" w:cstheme="minorEastAsia"/>
                <w:sz w:val="24"/>
                <w:szCs w:val="24"/>
                <w:lang w:val="en-US" w:eastAsia="zh-CN"/>
              </w:rPr>
              <w:t>培训方案</w:t>
            </w:r>
            <w:r>
              <w:rPr>
                <w:rFonts w:hint="eastAsia" w:asciiTheme="minorEastAsia" w:hAnsiTheme="minorEastAsia" w:eastAsiaTheme="minorEastAsia" w:cstheme="minorEastAsia"/>
                <w:sz w:val="24"/>
                <w:szCs w:val="24"/>
                <w:lang w:eastAsia="zh-CN"/>
              </w:rPr>
              <w:t>；④</w:t>
            </w:r>
            <w:r>
              <w:rPr>
                <w:rFonts w:hint="eastAsia" w:asciiTheme="minorEastAsia" w:hAnsiTheme="minorEastAsia" w:eastAsiaTheme="minorEastAsia" w:cstheme="minorEastAsia"/>
                <w:sz w:val="24"/>
                <w:szCs w:val="24"/>
              </w:rPr>
              <w:t>售后服务网点</w:t>
            </w:r>
            <w:r>
              <w:rPr>
                <w:rFonts w:hint="eastAsia" w:asciiTheme="minorEastAsia" w:hAnsiTheme="minorEastAsia" w:eastAsiaTheme="minorEastAsia" w:cstheme="minorEastAsia"/>
                <w:sz w:val="24"/>
                <w:szCs w:val="24"/>
                <w:lang w:eastAsia="zh-CN"/>
              </w:rPr>
              <w:t>；⑤</w:t>
            </w:r>
            <w:r>
              <w:rPr>
                <w:rFonts w:hint="eastAsia" w:asciiTheme="minorEastAsia" w:hAnsiTheme="minorEastAsia" w:eastAsiaTheme="minorEastAsia" w:cstheme="minorEastAsia"/>
                <w:sz w:val="24"/>
                <w:szCs w:val="24"/>
              </w:rPr>
              <w:t>备件</w:t>
            </w:r>
            <w:r>
              <w:rPr>
                <w:rFonts w:hint="eastAsia" w:asciiTheme="minorEastAsia" w:hAnsiTheme="minorEastAsia" w:eastAsiaTheme="minorEastAsia" w:cstheme="minorEastAsia"/>
                <w:sz w:val="24"/>
                <w:szCs w:val="24"/>
                <w:lang w:eastAsia="zh-CN"/>
              </w:rPr>
              <w:t>库；⑥</w:t>
            </w:r>
            <w:r>
              <w:rPr>
                <w:rFonts w:hint="eastAsia" w:asciiTheme="minorEastAsia" w:hAnsiTheme="minorEastAsia" w:eastAsiaTheme="minorEastAsia" w:cstheme="minorEastAsia"/>
                <w:sz w:val="24"/>
                <w:szCs w:val="24"/>
                <w:lang w:val="en-US" w:eastAsia="zh-CN"/>
              </w:rPr>
              <w:t>提供的实质性增值服务等内容</w:t>
            </w:r>
            <w:r>
              <w:rPr>
                <w:rFonts w:hint="eastAsia" w:asciiTheme="minorEastAsia" w:hAnsiTheme="minorEastAsia" w:eastAsiaTheme="minorEastAsia" w:cstheme="minorEastAsia"/>
                <w:sz w:val="24"/>
                <w:szCs w:val="24"/>
              </w:rPr>
              <w:t>。</w:t>
            </w:r>
          </w:p>
          <w:p w14:paraId="3585FD4A">
            <w:pPr>
              <w:jc w:val="left"/>
              <w:rPr>
                <w:rFonts w:ascii="宋体" w:hAnsi="宋体" w:eastAsia="宋体" w:cs="宋体"/>
                <w:sz w:val="24"/>
                <w:szCs w:val="24"/>
              </w:rPr>
            </w:pP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rPr>
              <w:t>提供的需求内容全面详尽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完全满足采购需求</w:t>
            </w:r>
            <w:r>
              <w:rPr>
                <w:rFonts w:hint="eastAsia" w:asciiTheme="minorEastAsia" w:hAnsiTheme="minorEastAsia" w:eastAsiaTheme="minorEastAsia" w:cstheme="minorEastAsia"/>
                <w:sz w:val="24"/>
                <w:szCs w:val="24"/>
              </w:rPr>
              <w:t>的</w:t>
            </w:r>
            <w:r>
              <w:rPr>
                <w:rFonts w:ascii="宋体" w:hAnsi="宋体" w:eastAsia="宋体" w:cs="宋体"/>
                <w:sz w:val="24"/>
                <w:szCs w:val="24"/>
              </w:rPr>
              <w:t>得</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6</w:t>
            </w:r>
            <w:r>
              <w:rPr>
                <w:rFonts w:ascii="宋体" w:hAnsi="宋体" w:eastAsia="宋体" w:cs="宋体"/>
                <w:sz w:val="24"/>
                <w:szCs w:val="24"/>
              </w:rPr>
              <w:t>分；</w:t>
            </w:r>
          </w:p>
          <w:p w14:paraId="3501F072">
            <w:pPr>
              <w:jc w:val="left"/>
              <w:rPr>
                <w:rFonts w:ascii="宋体" w:hAnsi="宋体" w:eastAsia="宋体" w:cs="宋体"/>
                <w:sz w:val="24"/>
                <w:szCs w:val="24"/>
              </w:rPr>
            </w:pPr>
            <w:r>
              <w:rPr>
                <w:rFonts w:hint="eastAsia" w:ascii="宋体" w:hAnsi="宋体" w:cs="宋体"/>
                <w:sz w:val="24"/>
                <w:szCs w:val="24"/>
                <w:lang w:val="en-US" w:eastAsia="zh-CN"/>
              </w:rPr>
              <w:t>供应商</w:t>
            </w:r>
            <w:r>
              <w:rPr>
                <w:rFonts w:ascii="宋体" w:hAnsi="宋体" w:eastAsia="宋体" w:cs="宋体"/>
                <w:sz w:val="24"/>
                <w:szCs w:val="24"/>
              </w:rPr>
              <w:t>提供的需求内容全面不详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基本满足采购需求</w:t>
            </w:r>
            <w:r>
              <w:rPr>
                <w:rFonts w:ascii="宋体" w:hAnsi="宋体" w:eastAsia="宋体" w:cs="宋体"/>
                <w:sz w:val="24"/>
                <w:szCs w:val="24"/>
              </w:rPr>
              <w:t>的得</w:t>
            </w:r>
            <w:r>
              <w:rPr>
                <w:rFonts w:hint="eastAsia" w:ascii="宋体" w:hAnsi="宋体" w:cs="宋体"/>
                <w:sz w:val="24"/>
                <w:szCs w:val="24"/>
                <w:lang w:val="en-US" w:eastAsia="zh-CN"/>
              </w:rPr>
              <w:t>10</w:t>
            </w:r>
            <w:r>
              <w:rPr>
                <w:rFonts w:ascii="宋体" w:hAnsi="宋体" w:eastAsia="宋体" w:cs="宋体"/>
                <w:sz w:val="24"/>
                <w:szCs w:val="24"/>
              </w:rPr>
              <w:t>分；</w:t>
            </w:r>
          </w:p>
          <w:p w14:paraId="0089960B">
            <w:pPr>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需求内容有缺项漏项，需求分析有待完善的得5分；</w:t>
            </w:r>
          </w:p>
          <w:p w14:paraId="13113C7F">
            <w:pPr>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需求内容不符合项目实际，难以满足采购需求的得1分。</w:t>
            </w:r>
          </w:p>
          <w:p w14:paraId="34862EE6">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z w:val="24"/>
                <w:szCs w:val="24"/>
                <w:lang w:val="en-US" w:eastAsia="zh-CN"/>
              </w:rPr>
              <w:t>未提供者不得分。</w:t>
            </w:r>
          </w:p>
        </w:tc>
      </w:tr>
      <w:tr w14:paraId="0BB4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0F3D60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4491540">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3.年度维保计划（10分）</w:t>
            </w:r>
          </w:p>
        </w:tc>
        <w:tc>
          <w:tcPr>
            <w:tcW w:w="6770" w:type="dxa"/>
            <w:noWrap w:val="0"/>
            <w:vAlign w:val="center"/>
          </w:tcPr>
          <w:p w14:paraId="149342BD">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hint="eastAsia" w:ascii="宋体" w:hAnsi="宋体" w:eastAsia="宋体" w:cs="宋体"/>
                <w:sz w:val="24"/>
                <w:szCs w:val="24"/>
                <w:lang w:val="en-US" w:eastAsia="zh-CN"/>
              </w:rPr>
              <w:t>供应商根据本项目的情况提供年度维保计划，应包括但不限于：</w:t>
            </w:r>
            <w:r>
              <w:rPr>
                <w:rFonts w:hint="eastAsia" w:asciiTheme="minorEastAsia" w:hAnsiTheme="minorEastAsia" w:eastAsiaTheme="minorEastAsia" w:cstheme="minorEastAsia"/>
                <w:sz w:val="24"/>
                <w:szCs w:val="24"/>
                <w:lang w:eastAsia="zh-CN"/>
              </w:rPr>
              <w:t>①</w:t>
            </w:r>
            <w:r>
              <w:rPr>
                <w:rFonts w:ascii="宋体" w:hAnsi="宋体" w:eastAsia="宋体" w:cs="宋体"/>
                <w:sz w:val="24"/>
                <w:szCs w:val="24"/>
              </w:rPr>
              <w:t>年度服务</w:t>
            </w:r>
            <w:r>
              <w:rPr>
                <w:rFonts w:hint="eastAsia" w:ascii="宋体" w:hAnsi="宋体" w:eastAsia="宋体" w:cs="宋体"/>
                <w:sz w:val="24"/>
                <w:szCs w:val="24"/>
                <w:lang w:val="en-US" w:eastAsia="zh-CN"/>
              </w:rPr>
              <w:t>计划</w:t>
            </w:r>
            <w:r>
              <w:rPr>
                <w:rFonts w:hint="eastAsia" w:ascii="宋体" w:hAnsi="宋体" w:eastAsia="宋体" w:cs="宋体"/>
                <w:sz w:val="24"/>
                <w:szCs w:val="24"/>
                <w:lang w:eastAsia="zh-CN"/>
              </w:rPr>
              <w:t>；</w:t>
            </w:r>
            <w:r>
              <w:rPr>
                <w:rFonts w:hint="eastAsia" w:asciiTheme="minorEastAsia" w:hAnsiTheme="minorEastAsia" w:eastAsiaTheme="minorEastAsia" w:cstheme="minorEastAsia"/>
                <w:sz w:val="24"/>
                <w:szCs w:val="24"/>
                <w:lang w:eastAsia="zh-CN"/>
              </w:rPr>
              <w:t>②</w:t>
            </w:r>
            <w:r>
              <w:rPr>
                <w:rFonts w:hint="eastAsia" w:ascii="宋体" w:hAnsi="宋体" w:eastAsia="宋体" w:cs="宋体"/>
                <w:sz w:val="24"/>
                <w:szCs w:val="24"/>
                <w:lang w:val="en-US" w:eastAsia="zh-CN"/>
              </w:rPr>
              <w:t>日常巡检计划和巡检内容；</w:t>
            </w:r>
            <w:r>
              <w:rPr>
                <w:rFonts w:hint="eastAsia" w:asciiTheme="minorEastAsia" w:hAnsiTheme="minorEastAsia" w:eastAsiaTheme="minorEastAsia" w:cstheme="minorEastAsia"/>
                <w:sz w:val="24"/>
                <w:szCs w:val="24"/>
                <w:lang w:eastAsia="zh-CN"/>
              </w:rPr>
              <w:t>③</w:t>
            </w:r>
            <w:r>
              <w:rPr>
                <w:rFonts w:hint="eastAsia" w:ascii="宋体" w:hAnsi="宋体" w:eastAsia="宋体" w:cs="宋体"/>
                <w:sz w:val="24"/>
                <w:szCs w:val="24"/>
                <w:lang w:val="en-US" w:eastAsia="zh-CN"/>
              </w:rPr>
              <w:t>维保质量保障措施；</w:t>
            </w:r>
            <w:r>
              <w:rPr>
                <w:rFonts w:hint="eastAsia" w:asciiTheme="minorEastAsia" w:hAnsiTheme="minorEastAsia" w:eastAsiaTheme="minorEastAsia" w:cstheme="minorEastAsia"/>
                <w:sz w:val="24"/>
                <w:szCs w:val="24"/>
                <w:lang w:eastAsia="zh-CN"/>
              </w:rPr>
              <w:t>④</w:t>
            </w:r>
            <w:r>
              <w:rPr>
                <w:rFonts w:ascii="宋体" w:hAnsi="宋体" w:eastAsia="宋体" w:cs="宋体"/>
                <w:sz w:val="24"/>
                <w:szCs w:val="24"/>
              </w:rPr>
              <w:t>维修/维保报告</w:t>
            </w:r>
            <w:r>
              <w:rPr>
                <w:rFonts w:hint="eastAsia" w:ascii="宋体" w:hAnsi="宋体" w:eastAsia="宋体" w:cs="宋体"/>
                <w:sz w:val="24"/>
                <w:szCs w:val="24"/>
                <w:lang w:eastAsia="zh-CN"/>
              </w:rPr>
              <w:t>；</w:t>
            </w:r>
            <w:r>
              <w:rPr>
                <w:rFonts w:hint="eastAsia" w:asciiTheme="minorEastAsia" w:hAnsiTheme="minorEastAsia" w:eastAsiaTheme="minorEastAsia" w:cstheme="minorEastAsia"/>
                <w:sz w:val="24"/>
                <w:szCs w:val="24"/>
                <w:lang w:eastAsia="zh-CN"/>
              </w:rPr>
              <w:t>⑤</w:t>
            </w:r>
            <w:r>
              <w:rPr>
                <w:rFonts w:hint="eastAsia" w:asciiTheme="minorEastAsia" w:hAnsiTheme="minorEastAsia" w:eastAsiaTheme="minorEastAsia" w:cstheme="minorEastAsia"/>
                <w:sz w:val="24"/>
                <w:szCs w:val="24"/>
              </w:rPr>
              <w:t>现场维修响应时间</w:t>
            </w:r>
            <w:r>
              <w:rPr>
                <w:rFonts w:hint="eastAsia" w:asciiTheme="minorEastAsia" w:hAnsiTheme="minorEastAsia" w:eastAsiaTheme="minorEastAsia" w:cstheme="minorEastAsia"/>
                <w:sz w:val="24"/>
                <w:szCs w:val="24"/>
                <w:lang w:val="en-US" w:eastAsia="zh-CN"/>
              </w:rPr>
              <w:t>等内容</w:t>
            </w:r>
            <w:r>
              <w:rPr>
                <w:rFonts w:hint="eastAsia" w:asciiTheme="minorEastAsia" w:hAnsiTheme="minorEastAsia" w:eastAsiaTheme="minorEastAsia" w:cstheme="minorEastAsia"/>
                <w:sz w:val="24"/>
                <w:szCs w:val="24"/>
              </w:rPr>
              <w:t>。</w:t>
            </w:r>
          </w:p>
          <w:p w14:paraId="37FDBCA3">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hint="eastAsia" w:ascii="宋体" w:hAnsi="宋体" w:eastAsia="宋体" w:cs="宋体"/>
                <w:sz w:val="24"/>
                <w:szCs w:val="24"/>
                <w:lang w:val="en-US" w:eastAsia="zh-CN"/>
              </w:rPr>
              <w:t>供应商</w:t>
            </w:r>
            <w:r>
              <w:rPr>
                <w:rFonts w:ascii="宋体" w:hAnsi="宋体" w:eastAsia="宋体" w:cs="宋体"/>
                <w:sz w:val="24"/>
                <w:szCs w:val="24"/>
              </w:rPr>
              <w:t>提供的</w:t>
            </w:r>
            <w:r>
              <w:rPr>
                <w:rFonts w:hint="eastAsia" w:ascii="宋体" w:hAnsi="宋体" w:eastAsia="宋体" w:cs="宋体"/>
                <w:sz w:val="24"/>
                <w:szCs w:val="24"/>
                <w:lang w:val="en-US" w:eastAsia="zh-CN"/>
              </w:rPr>
              <w:t>年度维保计划，</w:t>
            </w:r>
            <w:r>
              <w:rPr>
                <w:rFonts w:ascii="宋体" w:hAnsi="宋体" w:eastAsia="宋体" w:cs="宋体"/>
                <w:sz w:val="24"/>
                <w:szCs w:val="24"/>
              </w:rPr>
              <w:t>科学合理，内容详尽，完全满足采购需求的得</w:t>
            </w:r>
            <w:r>
              <w:rPr>
                <w:rFonts w:hint="eastAsia" w:ascii="宋体" w:hAnsi="宋体" w:eastAsia="宋体" w:cs="宋体"/>
                <w:sz w:val="24"/>
                <w:szCs w:val="24"/>
                <w:lang w:val="en-US" w:eastAsia="zh-CN"/>
              </w:rPr>
              <w:t>10</w:t>
            </w:r>
            <w:r>
              <w:rPr>
                <w:rFonts w:ascii="宋体" w:hAnsi="宋体" w:eastAsia="宋体" w:cs="宋体"/>
                <w:sz w:val="24"/>
                <w:szCs w:val="24"/>
              </w:rPr>
              <w:t>分；</w:t>
            </w:r>
          </w:p>
          <w:p w14:paraId="56BBA3E2">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ascii="宋体" w:hAnsi="宋体" w:eastAsia="宋体" w:cs="宋体"/>
                <w:sz w:val="24"/>
                <w:szCs w:val="24"/>
              </w:rPr>
              <w:t>提供的</w:t>
            </w:r>
            <w:r>
              <w:rPr>
                <w:rFonts w:hint="eastAsia" w:ascii="宋体" w:hAnsi="宋体" w:cs="宋体"/>
                <w:sz w:val="24"/>
                <w:szCs w:val="24"/>
                <w:lang w:val="en-US" w:eastAsia="zh-CN"/>
              </w:rPr>
              <w:t>年度计划</w:t>
            </w:r>
            <w:r>
              <w:rPr>
                <w:rFonts w:ascii="宋体" w:hAnsi="宋体" w:eastAsia="宋体" w:cs="宋体"/>
                <w:sz w:val="24"/>
                <w:szCs w:val="24"/>
              </w:rPr>
              <w:t>等较科学，内容较详细，较能满足采购需求的得</w:t>
            </w:r>
            <w:r>
              <w:rPr>
                <w:rFonts w:hint="eastAsia" w:ascii="宋体" w:hAnsi="宋体" w:eastAsia="宋体" w:cs="宋体"/>
                <w:sz w:val="24"/>
                <w:szCs w:val="24"/>
                <w:lang w:val="en-US" w:eastAsia="zh-CN"/>
              </w:rPr>
              <w:t>7</w:t>
            </w:r>
            <w:r>
              <w:rPr>
                <w:rFonts w:ascii="宋体" w:hAnsi="宋体" w:eastAsia="宋体" w:cs="宋体"/>
                <w:sz w:val="24"/>
                <w:szCs w:val="24"/>
              </w:rPr>
              <w:t>分；</w:t>
            </w:r>
          </w:p>
          <w:p w14:paraId="6ACFD5FF">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ascii="宋体" w:hAnsi="宋体" w:eastAsia="宋体" w:cs="宋体"/>
                <w:sz w:val="24"/>
                <w:szCs w:val="24"/>
              </w:rPr>
              <w:t>提供的</w:t>
            </w:r>
            <w:r>
              <w:rPr>
                <w:rFonts w:hint="eastAsia" w:ascii="宋体" w:hAnsi="宋体" w:cs="宋体"/>
                <w:sz w:val="24"/>
                <w:szCs w:val="24"/>
                <w:lang w:val="en-US" w:eastAsia="zh-CN"/>
              </w:rPr>
              <w:t>年度计划</w:t>
            </w:r>
            <w:r>
              <w:rPr>
                <w:rFonts w:ascii="宋体" w:hAnsi="宋体" w:eastAsia="宋体" w:cs="宋体"/>
                <w:sz w:val="24"/>
                <w:szCs w:val="24"/>
              </w:rPr>
              <w:t>等有缺项漏项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维保计划有待完善的</w:t>
            </w:r>
            <w:r>
              <w:rPr>
                <w:rFonts w:ascii="宋体" w:hAnsi="宋体" w:eastAsia="宋体" w:cs="宋体"/>
                <w:sz w:val="24"/>
                <w:szCs w:val="24"/>
              </w:rPr>
              <w:t>得</w:t>
            </w:r>
            <w:r>
              <w:rPr>
                <w:rFonts w:hint="eastAsia" w:ascii="宋体" w:hAnsi="宋体" w:eastAsia="宋体" w:cs="宋体"/>
                <w:sz w:val="24"/>
                <w:szCs w:val="24"/>
                <w:lang w:val="en-US" w:eastAsia="zh-CN"/>
              </w:rPr>
              <w:t>4</w:t>
            </w:r>
            <w:r>
              <w:rPr>
                <w:rFonts w:ascii="宋体" w:hAnsi="宋体" w:eastAsia="宋体" w:cs="宋体"/>
                <w:sz w:val="24"/>
                <w:szCs w:val="24"/>
              </w:rPr>
              <w:t>分；</w:t>
            </w:r>
          </w:p>
          <w:p w14:paraId="3C4FB7B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color w:val="auto"/>
                <w:highlight w:val="none"/>
                <w:lang w:val="en-US" w:eastAsia="zh-CN"/>
              </w:rPr>
            </w:pPr>
            <w:r>
              <w:rPr>
                <w:rFonts w:hint="eastAsia" w:ascii="宋体" w:hAnsi="宋体" w:eastAsia="宋体" w:cs="宋体"/>
                <w:sz w:val="24"/>
                <w:szCs w:val="24"/>
                <w:lang w:val="en-US" w:eastAsia="zh-CN"/>
              </w:rPr>
              <w:t>提供的</w:t>
            </w:r>
            <w:r>
              <w:rPr>
                <w:rFonts w:hint="eastAsia" w:ascii="宋体" w:hAnsi="宋体" w:cs="宋体"/>
                <w:sz w:val="24"/>
                <w:szCs w:val="24"/>
                <w:lang w:val="en-US" w:eastAsia="zh-CN"/>
              </w:rPr>
              <w:t>年度</w:t>
            </w:r>
            <w:r>
              <w:rPr>
                <w:rFonts w:hint="eastAsia" w:ascii="宋体" w:hAnsi="宋体" w:eastAsia="宋体" w:cs="宋体"/>
                <w:sz w:val="24"/>
                <w:szCs w:val="24"/>
                <w:lang w:val="en-US" w:eastAsia="zh-CN"/>
              </w:rPr>
              <w:t>计划不合符项目实际，难以满足采购需求的得1分；</w:t>
            </w:r>
            <w:r>
              <w:rPr>
                <w:rFonts w:ascii="宋体" w:hAnsi="宋体" w:eastAsia="宋体" w:cs="宋体"/>
                <w:sz w:val="24"/>
                <w:szCs w:val="24"/>
              </w:rPr>
              <w:t>未提供者不得分</w:t>
            </w:r>
            <w:r>
              <w:rPr>
                <w:rFonts w:hint="eastAsia" w:ascii="宋体" w:hAnsi="宋体" w:eastAsia="宋体" w:cs="宋体"/>
                <w:sz w:val="24"/>
                <w:szCs w:val="24"/>
                <w:lang w:eastAsia="zh-CN"/>
              </w:rPr>
              <w:t>。</w:t>
            </w:r>
          </w:p>
        </w:tc>
      </w:tr>
      <w:tr w14:paraId="4CE4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50D9159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49FC5F3">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kern w:val="2"/>
                <w:sz w:val="24"/>
                <w:szCs w:val="24"/>
                <w:lang w:val="en-US" w:eastAsia="zh-CN" w:bidi="ar-SA"/>
              </w:rPr>
              <w:t>4.</w:t>
            </w:r>
            <w:r>
              <w:rPr>
                <w:rFonts w:ascii="宋体" w:hAnsi="宋体" w:eastAsia="宋体" w:cs="宋体"/>
                <w:b w:val="0"/>
                <w:bCs w:val="0"/>
                <w:kern w:val="2"/>
                <w:sz w:val="24"/>
                <w:szCs w:val="24"/>
                <w:lang w:val="en-US" w:eastAsia="zh-CN" w:bidi="ar-SA"/>
              </w:rPr>
              <w:t>维保应急响应方案</w:t>
            </w:r>
            <w:r>
              <w:rPr>
                <w:rFonts w:hint="eastAsia" w:ascii="宋体" w:hAnsi="宋体" w:eastAsia="宋体" w:cs="宋体"/>
                <w:b w:val="0"/>
                <w:bCs w:val="0"/>
                <w:kern w:val="2"/>
                <w:sz w:val="24"/>
                <w:szCs w:val="24"/>
                <w:lang w:val="en-US" w:eastAsia="zh-CN" w:bidi="ar-SA"/>
              </w:rPr>
              <w:t>（</w:t>
            </w:r>
            <w:r>
              <w:rPr>
                <w:rFonts w:hint="eastAsia" w:ascii="宋体" w:hAnsi="宋体" w:cs="宋体"/>
                <w:b w:val="0"/>
                <w:bCs w:val="0"/>
                <w:kern w:val="2"/>
                <w:sz w:val="24"/>
                <w:szCs w:val="24"/>
                <w:lang w:val="en-US" w:eastAsia="zh-CN" w:bidi="ar-SA"/>
              </w:rPr>
              <w:t>10</w:t>
            </w:r>
            <w:r>
              <w:rPr>
                <w:rFonts w:hint="eastAsia" w:ascii="宋体" w:hAnsi="宋体" w:eastAsia="宋体" w:cs="宋体"/>
                <w:b w:val="0"/>
                <w:bCs w:val="0"/>
                <w:kern w:val="2"/>
                <w:sz w:val="24"/>
                <w:szCs w:val="24"/>
                <w:lang w:val="en-US" w:eastAsia="zh-CN" w:bidi="ar-SA"/>
              </w:rPr>
              <w:t>分）</w:t>
            </w:r>
          </w:p>
        </w:tc>
        <w:tc>
          <w:tcPr>
            <w:tcW w:w="6770" w:type="dxa"/>
            <w:noWrap w:val="0"/>
            <w:vAlign w:val="center"/>
          </w:tcPr>
          <w:p w14:paraId="444F8D7D">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w:t>
            </w:r>
            <w:r>
              <w:rPr>
                <w:rFonts w:ascii="宋体" w:hAnsi="宋体" w:eastAsia="宋体" w:cs="宋体"/>
                <w:b w:val="0"/>
                <w:bCs w:val="0"/>
                <w:kern w:val="2"/>
                <w:sz w:val="24"/>
                <w:szCs w:val="24"/>
                <w:lang w:val="en-US" w:eastAsia="zh-CN" w:bidi="ar-SA"/>
              </w:rPr>
              <w:t>提供的设备</w:t>
            </w:r>
            <w:r>
              <w:rPr>
                <w:rFonts w:hint="eastAsia" w:ascii="宋体" w:hAnsi="宋体" w:eastAsia="宋体" w:cs="宋体"/>
                <w:b w:val="0"/>
                <w:bCs w:val="0"/>
                <w:kern w:val="2"/>
                <w:sz w:val="24"/>
                <w:szCs w:val="24"/>
                <w:lang w:val="en-US" w:eastAsia="zh-CN" w:bidi="ar-SA"/>
              </w:rPr>
              <w:t>维保</w:t>
            </w:r>
            <w:r>
              <w:rPr>
                <w:rFonts w:ascii="宋体" w:hAnsi="宋体" w:eastAsia="宋体" w:cs="宋体"/>
                <w:b w:val="0"/>
                <w:bCs w:val="0"/>
                <w:kern w:val="2"/>
                <w:sz w:val="24"/>
                <w:szCs w:val="24"/>
                <w:lang w:val="en-US" w:eastAsia="zh-CN" w:bidi="ar-SA"/>
              </w:rPr>
              <w:t>应急响应方案</w:t>
            </w:r>
            <w:r>
              <w:rPr>
                <w:rFonts w:hint="eastAsia" w:ascii="宋体" w:hAnsi="宋体" w:eastAsia="宋体" w:cs="宋体"/>
                <w:b w:val="0"/>
                <w:bCs w:val="0"/>
                <w:kern w:val="2"/>
                <w:sz w:val="24"/>
                <w:szCs w:val="24"/>
                <w:lang w:val="en-US" w:eastAsia="zh-CN" w:bidi="ar-SA"/>
              </w:rPr>
              <w:t>（包括但不限于故障、停机等相关措施）进行评分。</w:t>
            </w:r>
          </w:p>
          <w:p w14:paraId="4707EA40">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提供的设备维保应急响应</w:t>
            </w:r>
            <w:r>
              <w:rPr>
                <w:rFonts w:hint="eastAsia" w:ascii="宋体" w:hAnsi="宋体" w:eastAsia="宋体" w:cs="宋体"/>
                <w:b w:val="0"/>
                <w:bCs w:val="0"/>
                <w:kern w:val="2"/>
                <w:sz w:val="24"/>
                <w:szCs w:val="24"/>
                <w:lang w:val="en-US" w:eastAsia="zh-CN" w:bidi="ar-SA"/>
              </w:rPr>
              <w:t>方案</w:t>
            </w:r>
            <w:r>
              <w:rPr>
                <w:rFonts w:ascii="宋体" w:hAnsi="宋体" w:eastAsia="宋体" w:cs="宋体"/>
                <w:b w:val="0"/>
                <w:bCs w:val="0"/>
                <w:kern w:val="2"/>
                <w:sz w:val="24"/>
                <w:szCs w:val="24"/>
                <w:lang w:val="en-US" w:eastAsia="zh-CN" w:bidi="ar-SA"/>
              </w:rPr>
              <w:t>科学合理，内容详尽，完全满足采购需求的得</w:t>
            </w:r>
            <w:r>
              <w:rPr>
                <w:rFonts w:hint="eastAsia" w:ascii="宋体" w:hAnsi="宋体" w:cs="宋体"/>
                <w:b w:val="0"/>
                <w:bCs w:val="0"/>
                <w:kern w:val="2"/>
                <w:sz w:val="24"/>
                <w:szCs w:val="24"/>
                <w:lang w:val="en-US" w:eastAsia="zh-CN" w:bidi="ar-SA"/>
              </w:rPr>
              <w:t>10</w:t>
            </w:r>
            <w:r>
              <w:rPr>
                <w:rFonts w:ascii="宋体" w:hAnsi="宋体" w:eastAsia="宋体" w:cs="宋体"/>
                <w:b w:val="0"/>
                <w:bCs w:val="0"/>
                <w:kern w:val="2"/>
                <w:sz w:val="24"/>
                <w:szCs w:val="24"/>
                <w:lang w:val="en-US" w:eastAsia="zh-CN" w:bidi="ar-SA"/>
              </w:rPr>
              <w:t>分；</w:t>
            </w:r>
          </w:p>
          <w:p w14:paraId="3E407456">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提供的方案较科学，内容较详细，较能满足采购需求的得</w:t>
            </w:r>
            <w:r>
              <w:rPr>
                <w:rFonts w:hint="eastAsia" w:ascii="宋体" w:hAnsi="宋体" w:cs="宋体"/>
                <w:b w:val="0"/>
                <w:bCs w:val="0"/>
                <w:kern w:val="2"/>
                <w:sz w:val="24"/>
                <w:szCs w:val="24"/>
                <w:lang w:val="en-US" w:eastAsia="zh-CN" w:bidi="ar-SA"/>
              </w:rPr>
              <w:t>7</w:t>
            </w:r>
            <w:r>
              <w:rPr>
                <w:rFonts w:ascii="宋体" w:hAnsi="宋体" w:eastAsia="宋体" w:cs="宋体"/>
                <w:b w:val="0"/>
                <w:bCs w:val="0"/>
                <w:kern w:val="2"/>
                <w:sz w:val="24"/>
                <w:szCs w:val="24"/>
                <w:lang w:val="en-US" w:eastAsia="zh-CN" w:bidi="ar-SA"/>
              </w:rPr>
              <w:t>分；</w:t>
            </w:r>
          </w:p>
          <w:p w14:paraId="13F91164">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提供的方案无缺项漏项但可行性有待提升的得4分；</w:t>
            </w:r>
          </w:p>
          <w:p w14:paraId="718E8B8D">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提供的响应方案有缺项漏项等得</w:t>
            </w:r>
            <w:r>
              <w:rPr>
                <w:rFonts w:hint="eastAsia" w:ascii="宋体" w:hAnsi="宋体" w:cs="宋体"/>
                <w:b w:val="0"/>
                <w:bCs w:val="0"/>
                <w:kern w:val="2"/>
                <w:sz w:val="24"/>
                <w:szCs w:val="24"/>
                <w:lang w:val="en-US" w:eastAsia="zh-CN" w:bidi="ar-SA"/>
              </w:rPr>
              <w:t>1</w:t>
            </w:r>
            <w:r>
              <w:rPr>
                <w:rFonts w:ascii="宋体" w:hAnsi="宋体" w:eastAsia="宋体" w:cs="宋体"/>
                <w:b w:val="0"/>
                <w:bCs w:val="0"/>
                <w:kern w:val="2"/>
                <w:sz w:val="24"/>
                <w:szCs w:val="24"/>
                <w:lang w:val="en-US" w:eastAsia="zh-CN" w:bidi="ar-SA"/>
              </w:rPr>
              <w:t>分；</w:t>
            </w:r>
          </w:p>
          <w:p w14:paraId="7333E349">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ascii="宋体" w:hAnsi="宋体" w:eastAsia="宋体" w:cs="宋体"/>
                <w:b w:val="0"/>
                <w:bCs w:val="0"/>
                <w:kern w:val="2"/>
                <w:sz w:val="24"/>
                <w:szCs w:val="24"/>
                <w:lang w:val="en-US" w:eastAsia="zh-CN" w:bidi="ar-SA"/>
              </w:rPr>
              <w:t>未提供者不得分。</w:t>
            </w:r>
          </w:p>
        </w:tc>
      </w:tr>
      <w:tr w14:paraId="126F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34293B6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30DEE300">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45CE6ABE">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1.人员配备方案（</w:t>
            </w:r>
            <w:r>
              <w:rPr>
                <w:rFonts w:hint="eastAsia" w:ascii="宋体" w:hAnsi="宋体" w:cs="宋体"/>
                <w:b w:val="0"/>
                <w:bCs w:val="0"/>
                <w:kern w:val="2"/>
                <w:sz w:val="24"/>
                <w:szCs w:val="24"/>
                <w:lang w:val="en-US" w:eastAsia="zh-CN" w:bidi="ar-SA"/>
              </w:rPr>
              <w:t>10</w:t>
            </w:r>
            <w:r>
              <w:rPr>
                <w:rFonts w:hint="eastAsia" w:ascii="宋体" w:hAnsi="宋体" w:eastAsia="宋体" w:cs="宋体"/>
                <w:b w:val="0"/>
                <w:bCs w:val="0"/>
                <w:kern w:val="2"/>
                <w:sz w:val="24"/>
                <w:szCs w:val="24"/>
                <w:lang w:val="en-US" w:eastAsia="zh-CN" w:bidi="ar-SA"/>
              </w:rPr>
              <w:t>分）</w:t>
            </w:r>
          </w:p>
        </w:tc>
        <w:tc>
          <w:tcPr>
            <w:tcW w:w="6770" w:type="dxa"/>
            <w:noWrap w:val="0"/>
            <w:vAlign w:val="center"/>
          </w:tcPr>
          <w:p w14:paraId="2402D74C">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根据供应商针对本项目提供的人员配备方案进行评审</w:t>
            </w:r>
            <w:r>
              <w:rPr>
                <w:rFonts w:hint="eastAsia" w:ascii="宋体" w:hAnsi="宋体" w:cs="宋体"/>
                <w:b w:val="0"/>
                <w:bCs w:val="0"/>
                <w:kern w:val="2"/>
                <w:sz w:val="24"/>
                <w:szCs w:val="24"/>
                <w:lang w:val="en-US" w:eastAsia="zh-CN" w:bidi="ar-SA"/>
              </w:rPr>
              <w:t>（除固定工程师外）</w:t>
            </w:r>
            <w:r>
              <w:rPr>
                <w:rFonts w:hint="eastAsia" w:ascii="宋体" w:hAnsi="宋体" w:eastAsia="宋体" w:cs="宋体"/>
                <w:b w:val="0"/>
                <w:bCs w:val="0"/>
                <w:kern w:val="2"/>
                <w:sz w:val="24"/>
                <w:szCs w:val="24"/>
                <w:lang w:val="en-US" w:eastAsia="zh-CN" w:bidi="ar-SA"/>
              </w:rPr>
              <w:t>：</w:t>
            </w:r>
          </w:p>
          <w:p w14:paraId="03189969">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人员配备安排合理、专业技术能力强、设备维护经验丰富且持证上岗，能完全满足采购需求的得</w:t>
            </w:r>
            <w:r>
              <w:rPr>
                <w:rFonts w:hint="eastAsia" w:ascii="宋体" w:hAnsi="宋体" w:cs="宋体"/>
                <w:b w:val="0"/>
                <w:bCs w:val="0"/>
                <w:kern w:val="2"/>
                <w:sz w:val="24"/>
                <w:szCs w:val="24"/>
                <w:lang w:val="en-US" w:eastAsia="zh-CN" w:bidi="ar-SA"/>
              </w:rPr>
              <w:t>10</w:t>
            </w:r>
            <w:r>
              <w:rPr>
                <w:rFonts w:hint="eastAsia" w:ascii="宋体" w:hAnsi="宋体" w:eastAsia="宋体" w:cs="宋体"/>
                <w:b w:val="0"/>
                <w:bCs w:val="0"/>
                <w:kern w:val="2"/>
                <w:sz w:val="24"/>
                <w:szCs w:val="24"/>
                <w:lang w:val="en-US" w:eastAsia="zh-CN" w:bidi="ar-SA"/>
              </w:rPr>
              <w:t>分；</w:t>
            </w:r>
          </w:p>
          <w:p w14:paraId="3ED0FF9A">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人员配备较合理、专业能力较强，经验较丰富，基本满足采购需求的得</w:t>
            </w:r>
            <w:r>
              <w:rPr>
                <w:rFonts w:hint="eastAsia" w:ascii="宋体" w:hAnsi="宋体" w:cs="宋体"/>
                <w:b w:val="0"/>
                <w:bCs w:val="0"/>
                <w:kern w:val="2"/>
                <w:sz w:val="24"/>
                <w:szCs w:val="24"/>
                <w:lang w:val="en-US" w:eastAsia="zh-CN" w:bidi="ar-SA"/>
              </w:rPr>
              <w:t>7</w:t>
            </w:r>
            <w:r>
              <w:rPr>
                <w:rFonts w:hint="eastAsia" w:ascii="宋体" w:hAnsi="宋体" w:eastAsia="宋体" w:cs="宋体"/>
                <w:b w:val="0"/>
                <w:bCs w:val="0"/>
                <w:kern w:val="2"/>
                <w:sz w:val="24"/>
                <w:szCs w:val="24"/>
                <w:lang w:val="en-US" w:eastAsia="zh-CN" w:bidi="ar-SA"/>
              </w:rPr>
              <w:t>分；</w:t>
            </w:r>
          </w:p>
          <w:p w14:paraId="06E672B1">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人员配备</w:t>
            </w:r>
            <w:r>
              <w:rPr>
                <w:rFonts w:hint="eastAsia" w:ascii="宋体" w:hAnsi="宋体" w:cs="宋体"/>
                <w:b w:val="0"/>
                <w:bCs w:val="0"/>
                <w:kern w:val="2"/>
                <w:sz w:val="24"/>
                <w:szCs w:val="24"/>
                <w:lang w:val="en-US" w:eastAsia="zh-CN" w:bidi="ar-SA"/>
              </w:rPr>
              <w:t>合理</w:t>
            </w:r>
            <w:r>
              <w:rPr>
                <w:rFonts w:hint="eastAsia" w:ascii="宋体" w:hAnsi="宋体" w:eastAsia="宋体" w:cs="宋体"/>
                <w:b w:val="0"/>
                <w:bCs w:val="0"/>
                <w:kern w:val="2"/>
                <w:sz w:val="24"/>
                <w:szCs w:val="24"/>
                <w:lang w:val="en-US" w:eastAsia="zh-CN" w:bidi="ar-SA"/>
              </w:rPr>
              <w:t>，专业性有待提升的得</w:t>
            </w:r>
            <w:r>
              <w:rPr>
                <w:rFonts w:hint="eastAsia" w:ascii="宋体" w:hAnsi="宋体" w:cs="宋体"/>
                <w:b w:val="0"/>
                <w:bCs w:val="0"/>
                <w:kern w:val="2"/>
                <w:sz w:val="24"/>
                <w:szCs w:val="24"/>
                <w:lang w:val="en-US" w:eastAsia="zh-CN" w:bidi="ar-SA"/>
              </w:rPr>
              <w:t>4</w:t>
            </w:r>
            <w:r>
              <w:rPr>
                <w:rFonts w:hint="eastAsia" w:ascii="宋体" w:hAnsi="宋体" w:eastAsia="宋体" w:cs="宋体"/>
                <w:b w:val="0"/>
                <w:bCs w:val="0"/>
                <w:kern w:val="2"/>
                <w:sz w:val="24"/>
                <w:szCs w:val="24"/>
                <w:lang w:val="en-US" w:eastAsia="zh-CN" w:bidi="ar-SA"/>
              </w:rPr>
              <w:t>分；</w:t>
            </w:r>
          </w:p>
          <w:p w14:paraId="25BF8B6E">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人员配备及专业能力难以满足采购需求的得1分。</w:t>
            </w:r>
          </w:p>
          <w:p w14:paraId="3B3519A8">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未提供不得分。</w:t>
            </w:r>
          </w:p>
        </w:tc>
      </w:tr>
      <w:tr w14:paraId="1B33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F34C87C">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6B8665A1">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55E6DF4A">
            <w:pPr>
              <w:pStyle w:val="92"/>
              <w:keepNext w:val="0"/>
              <w:keepLines w:val="0"/>
              <w:pageBreakBefore w:val="0"/>
              <w:widowControl w:val="0"/>
              <w:kinsoku/>
              <w:wordWrap/>
              <w:overflowPunct/>
              <w:topLinePunct w:val="0"/>
              <w:autoSpaceDE/>
              <w:autoSpaceDN/>
              <w:bidi w:val="0"/>
              <w:adjustRightInd/>
              <w:snapToGrid/>
              <w:spacing w:before="70" w:line="288" w:lineRule="auto"/>
              <w:ind w:right="25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年1月1日以来（以合同签订时间为准</w:t>
            </w:r>
            <w:r>
              <w:rPr>
                <w:rFonts w:hint="eastAsia" w:cs="宋体"/>
                <w:color w:val="auto"/>
                <w:kern w:val="2"/>
                <w:sz w:val="24"/>
                <w:szCs w:val="24"/>
                <w:highlight w:val="none"/>
                <w:lang w:val="en-US" w:eastAsia="zh-CN" w:bidi="ar-SA"/>
              </w:rPr>
              <w:t>，合同甲方须为货物使用单位</w:t>
            </w:r>
            <w:r>
              <w:rPr>
                <w:rFonts w:hint="eastAsia" w:ascii="宋体" w:hAnsi="宋体" w:eastAsia="宋体" w:cs="宋体"/>
                <w:color w:val="auto"/>
                <w:kern w:val="2"/>
                <w:sz w:val="24"/>
                <w:szCs w:val="24"/>
                <w:highlight w:val="none"/>
                <w:lang w:val="en-US" w:eastAsia="zh-CN" w:bidi="ar-SA"/>
              </w:rPr>
              <w:t>）</w:t>
            </w:r>
            <w:r>
              <w:rPr>
                <w:rFonts w:hint="eastAsia" w:cs="宋体"/>
                <w:color w:val="auto"/>
                <w:kern w:val="2"/>
                <w:sz w:val="24"/>
                <w:szCs w:val="24"/>
                <w:highlight w:val="none"/>
                <w:lang w:val="en-US" w:eastAsia="zh-CN" w:bidi="ar-SA"/>
              </w:rPr>
              <w:t>同品牌同型号设备维保服务业绩</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601B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63DCD37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28E7FD0E">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096819F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157C400B">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2" w:name="_Toc31636"/>
      <w:r>
        <w:rPr>
          <w:rFonts w:hint="eastAsia" w:ascii="宋体" w:hAnsi="宋体" w:eastAsia="宋体" w:cs="宋体"/>
          <w:color w:val="auto"/>
          <w:sz w:val="28"/>
          <w:szCs w:val="28"/>
          <w:highlight w:val="none"/>
        </w:rPr>
        <w:t>第五章  采购合同</w:t>
      </w:r>
      <w:bookmarkEnd w:id="42"/>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3" w:name="_Toc10874"/>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8"/>
      <w:bookmarkEnd w:id="39"/>
      <w:bookmarkEnd w:id="43"/>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28392"/>
      <w:r>
        <w:rPr>
          <w:rFonts w:hint="eastAsia" w:ascii="宋体" w:hAnsi="宋体" w:eastAsia="宋体" w:cs="宋体"/>
          <w:color w:val="auto"/>
          <w:sz w:val="24"/>
          <w:highlight w:val="none"/>
        </w:rPr>
        <w:t>附件5</w:t>
      </w:r>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附件6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附件9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24743"/>
      <w:bookmarkStart w:id="55"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14560"/>
      <w:bookmarkStart w:id="57" w:name="_Toc8818"/>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2"/>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20877"/>
      <w:bookmarkStart w:id="60" w:name="_Toc11620"/>
    </w:p>
    <w:bookmarkEnd w:id="59"/>
    <w:bookmarkEnd w:id="60"/>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0"/>
    <w:bookmarkEnd w:id="41"/>
    <w:p w14:paraId="32162F70">
      <w:pPr>
        <w:spacing w:before="20" w:after="20"/>
        <w:outlineLvl w:val="9"/>
        <w:rPr>
          <w:rFonts w:hint="eastAsia" w:ascii="宋体" w:hAnsi="宋体" w:eastAsia="宋体" w:cs="宋体"/>
          <w:color w:val="auto"/>
          <w:highlight w:val="none"/>
          <w:lang w:eastAsia="zh-CN"/>
        </w:rPr>
      </w:pPr>
      <w:bookmarkStart w:id="61" w:name="_Toc22004"/>
      <w:bookmarkStart w:id="62"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8"/>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7412C83">
      <w:pPr>
        <w:rPr>
          <w:rFonts w:hint="eastAsia" w:ascii="宋体" w:hAnsi="宋体" w:cs="宋体"/>
          <w:color w:val="auto"/>
          <w:sz w:val="24"/>
          <w:szCs w:val="24"/>
          <w:highlight w:val="none"/>
          <w:lang w:val="en-US" w:eastAsia="zh-CN"/>
        </w:rPr>
      </w:pPr>
      <w:bookmarkStart w:id="63" w:name="_Toc226"/>
      <w:bookmarkStart w:id="64" w:name="_Toc15804"/>
    </w:p>
    <w:p w14:paraId="5030750C">
      <w:pPr>
        <w:pStyle w:val="8"/>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w:t>
      </w:r>
      <w:r>
        <w:rPr>
          <w:rFonts w:hint="eastAsia" w:ascii="宋体" w:hAnsi="宋体" w:cs="宋体"/>
          <w:b/>
          <w:bCs/>
          <w:color w:val="auto"/>
          <w:kern w:val="2"/>
          <w:sz w:val="28"/>
          <w:szCs w:val="28"/>
          <w:highlight w:val="none"/>
          <w:lang w:val="en-US" w:eastAsia="zh-CN" w:bidi="ar-SA"/>
        </w:rPr>
        <w:t>1</w:t>
      </w:r>
      <w:r>
        <w:rPr>
          <w:rFonts w:hint="eastAsia" w:ascii="宋体" w:hAnsi="宋体" w:eastAsia="宋体" w:cs="宋体"/>
          <w:b/>
          <w:bCs/>
          <w:color w:val="auto"/>
          <w:kern w:val="2"/>
          <w:sz w:val="28"/>
          <w:szCs w:val="28"/>
          <w:highlight w:val="none"/>
          <w:lang w:val="en-US" w:eastAsia="zh-CN" w:bidi="ar-SA"/>
        </w:rPr>
        <w:t xml:space="preserve"> </w:t>
      </w:r>
      <w:r>
        <w:rPr>
          <w:rFonts w:hint="eastAsia" w:ascii="宋体" w:hAnsi="宋体" w:eastAsia="宋体" w:cs="宋体"/>
          <w:b/>
          <w:bCs/>
          <w:color w:val="000000"/>
          <w:sz w:val="28"/>
          <w:szCs w:val="28"/>
        </w:rPr>
        <w:t>备件、专用工具和消耗品价格表</w:t>
      </w:r>
    </w:p>
    <w:p w14:paraId="366976F4">
      <w:pPr>
        <w:pStyle w:val="8"/>
        <w:rPr>
          <w:rFonts w:hint="default" w:ascii="宋体" w:hAnsi="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8"/>
        <w:rPr>
          <w:rFonts w:hint="default" w:ascii="宋体" w:hAnsi="宋体" w:cs="宋体"/>
          <w:color w:val="auto"/>
          <w:kern w:val="0"/>
          <w:sz w:val="24"/>
          <w:highlight w:val="none"/>
          <w:lang w:val="en-US" w:eastAsia="zh-CN"/>
        </w:rPr>
      </w:pPr>
    </w:p>
    <w:p w14:paraId="1C27DB87">
      <w:pPr>
        <w:pStyle w:val="8"/>
        <w:rPr>
          <w:rFonts w:hint="default" w:ascii="宋体" w:hAnsi="宋体" w:cs="宋体"/>
          <w:color w:val="auto"/>
          <w:kern w:val="0"/>
          <w:sz w:val="24"/>
          <w:highlight w:val="none"/>
          <w:lang w:val="en-US" w:eastAsia="zh-CN"/>
        </w:rPr>
      </w:pPr>
    </w:p>
    <w:p w14:paraId="43E68354">
      <w:pPr>
        <w:pStyle w:val="8"/>
        <w:rPr>
          <w:rFonts w:hint="default" w:ascii="宋体" w:hAnsi="宋体" w:cs="宋体"/>
          <w:color w:val="auto"/>
          <w:kern w:val="0"/>
          <w:sz w:val="24"/>
          <w:highlight w:val="none"/>
          <w:lang w:val="en-US" w:eastAsia="zh-CN"/>
        </w:rPr>
      </w:pPr>
    </w:p>
    <w:p w14:paraId="0647EFB8">
      <w:pPr>
        <w:pStyle w:val="8"/>
        <w:rPr>
          <w:rFonts w:hint="default" w:ascii="宋体" w:hAnsi="宋体" w:cs="宋体"/>
          <w:color w:val="auto"/>
          <w:kern w:val="0"/>
          <w:sz w:val="24"/>
          <w:highlight w:val="none"/>
          <w:lang w:val="en-US" w:eastAsia="zh-CN"/>
        </w:rPr>
      </w:pPr>
    </w:p>
    <w:p w14:paraId="5A5A959A">
      <w:pPr>
        <w:pStyle w:val="8"/>
        <w:rPr>
          <w:rFonts w:hint="default" w:ascii="宋体" w:hAnsi="宋体" w:cs="宋体"/>
          <w:color w:val="auto"/>
          <w:kern w:val="0"/>
          <w:sz w:val="24"/>
          <w:highlight w:val="none"/>
          <w:lang w:val="en-US" w:eastAsia="zh-CN"/>
        </w:rPr>
      </w:pPr>
    </w:p>
    <w:p w14:paraId="650115AD">
      <w:pPr>
        <w:pStyle w:val="8"/>
        <w:rPr>
          <w:rFonts w:hint="default" w:ascii="宋体" w:hAnsi="宋体" w:cs="宋体"/>
          <w:color w:val="auto"/>
          <w:kern w:val="0"/>
          <w:sz w:val="24"/>
          <w:highlight w:val="none"/>
          <w:lang w:val="en-US" w:eastAsia="zh-CN"/>
        </w:rPr>
      </w:pPr>
    </w:p>
    <w:p w14:paraId="4A359505">
      <w:pPr>
        <w:pStyle w:val="8"/>
        <w:rPr>
          <w:rFonts w:hint="default" w:ascii="宋体" w:hAnsi="宋体" w:cs="宋体"/>
          <w:color w:val="auto"/>
          <w:kern w:val="0"/>
          <w:sz w:val="24"/>
          <w:highlight w:val="none"/>
          <w:lang w:val="en-US" w:eastAsia="zh-CN"/>
        </w:rPr>
      </w:pPr>
    </w:p>
    <w:p w14:paraId="40B7289D">
      <w:pPr>
        <w:pStyle w:val="8"/>
        <w:rPr>
          <w:rFonts w:hint="default" w:ascii="宋体" w:hAnsi="宋体" w:cs="宋体"/>
          <w:color w:val="auto"/>
          <w:kern w:val="0"/>
          <w:sz w:val="24"/>
          <w:highlight w:val="none"/>
          <w:lang w:val="en-US" w:eastAsia="zh-CN"/>
        </w:rPr>
      </w:pPr>
    </w:p>
    <w:p w14:paraId="1B505EE5">
      <w:pPr>
        <w:pStyle w:val="8"/>
        <w:rPr>
          <w:rFonts w:hint="default" w:ascii="宋体" w:hAnsi="宋体" w:cs="宋体"/>
          <w:color w:val="auto"/>
          <w:kern w:val="0"/>
          <w:sz w:val="24"/>
          <w:highlight w:val="none"/>
          <w:lang w:val="en-US" w:eastAsia="zh-CN"/>
        </w:rPr>
      </w:pPr>
    </w:p>
    <w:p w14:paraId="4CA18EFC">
      <w:pPr>
        <w:pStyle w:val="8"/>
        <w:rPr>
          <w:rFonts w:hint="default" w:ascii="宋体" w:hAnsi="宋体" w:cs="宋体"/>
          <w:color w:val="auto"/>
          <w:kern w:val="0"/>
          <w:sz w:val="24"/>
          <w:highlight w:val="none"/>
          <w:lang w:val="en-US" w:eastAsia="zh-CN"/>
        </w:rPr>
      </w:pPr>
    </w:p>
    <w:p w14:paraId="56E07BAF">
      <w:pPr>
        <w:pStyle w:val="8"/>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3"/>
      <w:bookmarkEnd w:id="64"/>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货物名称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5" w:name="_Toc29960"/>
      <w:bookmarkStart w:id="66" w:name="_Toc24168"/>
      <w:bookmarkStart w:id="67" w:name="_Toc20420"/>
      <w:r>
        <w:rPr>
          <w:rFonts w:hint="eastAsia" w:ascii="宋体" w:hAnsi="宋体" w:eastAsia="宋体" w:cs="宋体"/>
          <w:color w:val="auto"/>
          <w:sz w:val="28"/>
          <w:szCs w:val="28"/>
          <w:highlight w:val="none"/>
          <w:lang w:val="en-US" w:eastAsia="zh-CN"/>
        </w:rPr>
        <w:t>附件6            商务响应</w:t>
      </w:r>
      <w:bookmarkEnd w:id="65"/>
      <w:bookmarkEnd w:id="66"/>
      <w:bookmarkEnd w:id="67"/>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服务期限</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质量要求</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售后服务</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2301" w:type="dxa"/>
            <w:noWrap w:val="0"/>
            <w:vAlign w:val="center"/>
          </w:tcPr>
          <w:p w14:paraId="5C43BD33">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付款方式</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64499CBC">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8" w:name="_Toc28621"/>
      <w:bookmarkStart w:id="69" w:name="_Toc31526"/>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29406"/>
      <w:r>
        <w:rPr>
          <w:rFonts w:hint="eastAsia" w:ascii="宋体" w:hAnsi="宋体" w:eastAsia="宋体" w:cs="宋体"/>
          <w:color w:val="auto"/>
          <w:sz w:val="28"/>
          <w:szCs w:val="28"/>
          <w:highlight w:val="none"/>
          <w:lang w:val="en-US" w:eastAsia="zh-CN"/>
        </w:rPr>
        <w:t>附件7         法定代表人身份证明（格式）</w:t>
      </w:r>
      <w:bookmarkEnd w:id="68"/>
      <w:bookmarkEnd w:id="69"/>
      <w:bookmarkEnd w:id="70"/>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12939"/>
      <w:bookmarkStart w:id="72" w:name="_Toc13976"/>
      <w:bookmarkStart w:id="73" w:name="_Toc30519"/>
      <w:r>
        <w:rPr>
          <w:rFonts w:hint="eastAsia" w:ascii="宋体" w:hAnsi="宋体" w:eastAsia="宋体" w:cs="宋体"/>
          <w:color w:val="auto"/>
          <w:sz w:val="28"/>
          <w:szCs w:val="28"/>
          <w:highlight w:val="none"/>
          <w:lang w:val="en-US" w:eastAsia="zh-CN"/>
        </w:rPr>
        <w:t>附件8         法定代表人授权书（格式）</w:t>
      </w:r>
      <w:bookmarkEnd w:id="71"/>
      <w:bookmarkEnd w:id="72"/>
      <w:bookmarkEnd w:id="73"/>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4" w:name="_Toc3342"/>
      <w:bookmarkStart w:id="75" w:name="_Toc18105"/>
      <w:bookmarkStart w:id="76" w:name="_Toc24693"/>
      <w:r>
        <w:rPr>
          <w:rFonts w:hint="eastAsia" w:ascii="宋体" w:hAnsi="宋体" w:eastAsia="宋体" w:cs="宋体"/>
          <w:color w:val="auto"/>
          <w:sz w:val="28"/>
          <w:szCs w:val="28"/>
          <w:highlight w:val="none"/>
          <w:lang w:val="en-US" w:eastAsia="zh-CN"/>
        </w:rPr>
        <w:t>附件9          证明文件</w:t>
      </w:r>
      <w:bookmarkEnd w:id="74"/>
      <w:bookmarkEnd w:id="75"/>
      <w:bookmarkEnd w:id="76"/>
    </w:p>
    <w:p w14:paraId="61593FAD">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B457B30">
      <w:pPr>
        <w:pStyle w:val="23"/>
        <w:rPr>
          <w:rFonts w:hint="default"/>
          <w:lang w:val="en-US" w:eastAsia="zh-CN"/>
        </w:rPr>
      </w:pPr>
    </w:p>
    <w:p w14:paraId="497C2512">
      <w:pPr>
        <w:pStyle w:val="23"/>
        <w:rPr>
          <w:rFonts w:hint="default"/>
          <w:lang w:val="en-US" w:eastAsia="zh-CN"/>
        </w:rPr>
      </w:pPr>
    </w:p>
    <w:p w14:paraId="2F4102D6">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二、技术服务要求”</w:t>
      </w:r>
      <w:r>
        <w:rPr>
          <w:rFonts w:hint="eastAsia" w:ascii="宋体" w:hAnsi="宋体" w:cs="宋体"/>
          <w:b/>
          <w:bCs/>
          <w:color w:val="auto"/>
          <w:sz w:val="24"/>
          <w:szCs w:val="24"/>
          <w:highlight w:val="none"/>
          <w:lang w:val="en-US" w:eastAsia="zh-CN"/>
        </w:rPr>
        <w:t>应需提供的证明材料</w:t>
      </w:r>
    </w:p>
    <w:p w14:paraId="2E51B77A">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73BDAF7F">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9.3评分标准中需提供的证明材料（除技术服务要求外）</w:t>
      </w:r>
    </w:p>
    <w:p w14:paraId="718DD9F8">
      <w:pPr>
        <w:pStyle w:val="14"/>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bookmarkStart w:id="77" w:name="_Toc17966"/>
    </w:p>
    <w:p w14:paraId="44D2F11A">
      <w:pPr>
        <w:pStyle w:val="14"/>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hint="eastAsia" w:cs="Arial" w:asciiTheme="minorEastAsia" w:hAnsiTheme="minorEastAsia"/>
          <w:b/>
          <w:sz w:val="24"/>
          <w:szCs w:val="24"/>
          <w:highlight w:val="none"/>
          <w:lang w:val="en-US" w:eastAsia="zh-CN"/>
        </w:rPr>
        <w:t>维保</w:t>
      </w:r>
      <w:r>
        <w:rPr>
          <w:rFonts w:cs="Arial" w:asciiTheme="minorEastAsia" w:hAnsiTheme="minorEastAsia"/>
          <w:b/>
          <w:sz w:val="24"/>
          <w:szCs w:val="24"/>
          <w:highlight w:val="none"/>
        </w:rPr>
        <w:t>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392" w:type="dxa"/>
            <w:vAlign w:val="center"/>
          </w:tcPr>
          <w:p w14:paraId="5D77AEB6">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用户名称</w:t>
            </w:r>
          </w:p>
        </w:tc>
        <w:tc>
          <w:tcPr>
            <w:tcW w:w="1485" w:type="dxa"/>
            <w:vAlign w:val="center"/>
          </w:tcPr>
          <w:p w14:paraId="4E9B63B6">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维保设备</w:t>
            </w:r>
            <w:r>
              <w:rPr>
                <w:rFonts w:hint="eastAsia" w:cs="Arial" w:asciiTheme="minorEastAsia" w:hAnsiTheme="minorEastAsia"/>
                <w:sz w:val="24"/>
                <w:highlight w:val="none"/>
              </w:rPr>
              <w:t>名称</w:t>
            </w:r>
          </w:p>
        </w:tc>
        <w:tc>
          <w:tcPr>
            <w:tcW w:w="1470" w:type="dxa"/>
            <w:vAlign w:val="center"/>
          </w:tcPr>
          <w:p w14:paraId="38187210">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型号</w:t>
            </w:r>
          </w:p>
        </w:tc>
        <w:tc>
          <w:tcPr>
            <w:tcW w:w="1365"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395"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维保业绩</w:t>
            </w:r>
            <w:r>
              <w:rPr>
                <w:rFonts w:hint="eastAsia" w:cs="Arial" w:asciiTheme="minorEastAsia" w:hAnsiTheme="minorEastAsia"/>
                <w:sz w:val="24"/>
                <w:highlight w:val="none"/>
              </w:rPr>
              <w:t>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highlight w:val="none"/>
              </w:rPr>
            </w:pPr>
          </w:p>
        </w:tc>
        <w:tc>
          <w:tcPr>
            <w:tcW w:w="1392" w:type="dxa"/>
            <w:vAlign w:val="center"/>
          </w:tcPr>
          <w:p w14:paraId="0B354FD7">
            <w:pPr>
              <w:spacing w:before="120"/>
              <w:jc w:val="center"/>
              <w:rPr>
                <w:rFonts w:cs="Arial" w:asciiTheme="minorEastAsia" w:hAnsiTheme="minorEastAsia"/>
                <w:highlight w:val="none"/>
              </w:rPr>
            </w:pPr>
          </w:p>
        </w:tc>
        <w:tc>
          <w:tcPr>
            <w:tcW w:w="1485" w:type="dxa"/>
            <w:vAlign w:val="center"/>
          </w:tcPr>
          <w:p w14:paraId="37AC1C1D">
            <w:pPr>
              <w:spacing w:before="120"/>
              <w:jc w:val="center"/>
              <w:rPr>
                <w:rFonts w:cs="Arial" w:asciiTheme="minorEastAsia" w:hAnsiTheme="minorEastAsia"/>
                <w:highlight w:val="none"/>
              </w:rPr>
            </w:pPr>
          </w:p>
        </w:tc>
        <w:tc>
          <w:tcPr>
            <w:tcW w:w="1470" w:type="dxa"/>
            <w:vAlign w:val="center"/>
          </w:tcPr>
          <w:p w14:paraId="281E28E4">
            <w:pPr>
              <w:spacing w:before="120"/>
              <w:jc w:val="center"/>
              <w:rPr>
                <w:rFonts w:cs="Arial" w:asciiTheme="minorEastAsia" w:hAnsiTheme="minorEastAsia"/>
                <w:highlight w:val="none"/>
              </w:rPr>
            </w:pPr>
          </w:p>
        </w:tc>
        <w:tc>
          <w:tcPr>
            <w:tcW w:w="1365" w:type="dxa"/>
            <w:vAlign w:val="center"/>
          </w:tcPr>
          <w:p w14:paraId="771BD6AB">
            <w:pPr>
              <w:spacing w:before="120"/>
              <w:jc w:val="center"/>
              <w:rPr>
                <w:rFonts w:cs="Arial" w:asciiTheme="minorEastAsia" w:hAnsiTheme="minorEastAsia"/>
                <w:highlight w:val="none"/>
              </w:rPr>
            </w:pPr>
          </w:p>
        </w:tc>
        <w:tc>
          <w:tcPr>
            <w:tcW w:w="1365" w:type="dxa"/>
            <w:vAlign w:val="center"/>
          </w:tcPr>
          <w:p w14:paraId="61E60ADA">
            <w:pPr>
              <w:spacing w:before="120"/>
              <w:jc w:val="center"/>
              <w:rPr>
                <w:rFonts w:cs="Arial" w:asciiTheme="minorEastAsia" w:hAnsiTheme="minorEastAsia"/>
                <w:highlight w:val="none"/>
              </w:rPr>
            </w:pPr>
          </w:p>
        </w:tc>
        <w:tc>
          <w:tcPr>
            <w:tcW w:w="1395" w:type="dxa"/>
            <w:vAlign w:val="center"/>
          </w:tcPr>
          <w:p w14:paraId="04447730">
            <w:pPr>
              <w:spacing w:before="120"/>
              <w:jc w:val="center"/>
              <w:rPr>
                <w:rFonts w:cs="Arial" w:asciiTheme="minorEastAsia" w:hAnsiTheme="minorEastAsia"/>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highlight w:val="none"/>
              </w:rPr>
            </w:pPr>
          </w:p>
        </w:tc>
        <w:tc>
          <w:tcPr>
            <w:tcW w:w="1392" w:type="dxa"/>
            <w:vAlign w:val="center"/>
          </w:tcPr>
          <w:p w14:paraId="2DA219B5">
            <w:pPr>
              <w:spacing w:before="120"/>
              <w:jc w:val="center"/>
              <w:rPr>
                <w:rFonts w:cs="Arial" w:asciiTheme="minorEastAsia" w:hAnsiTheme="minorEastAsia"/>
                <w:highlight w:val="none"/>
              </w:rPr>
            </w:pPr>
          </w:p>
        </w:tc>
        <w:tc>
          <w:tcPr>
            <w:tcW w:w="1485" w:type="dxa"/>
            <w:vAlign w:val="center"/>
          </w:tcPr>
          <w:p w14:paraId="60964CDB">
            <w:pPr>
              <w:spacing w:before="120"/>
              <w:jc w:val="center"/>
              <w:rPr>
                <w:rFonts w:cs="Arial" w:asciiTheme="minorEastAsia" w:hAnsiTheme="minorEastAsia"/>
                <w:highlight w:val="none"/>
              </w:rPr>
            </w:pPr>
          </w:p>
        </w:tc>
        <w:tc>
          <w:tcPr>
            <w:tcW w:w="1470" w:type="dxa"/>
            <w:vAlign w:val="center"/>
          </w:tcPr>
          <w:p w14:paraId="61B640D0">
            <w:pPr>
              <w:spacing w:before="120"/>
              <w:jc w:val="center"/>
              <w:rPr>
                <w:rFonts w:cs="Arial" w:asciiTheme="minorEastAsia" w:hAnsiTheme="minorEastAsia"/>
                <w:highlight w:val="none"/>
              </w:rPr>
            </w:pPr>
          </w:p>
        </w:tc>
        <w:tc>
          <w:tcPr>
            <w:tcW w:w="1365" w:type="dxa"/>
            <w:vAlign w:val="center"/>
          </w:tcPr>
          <w:p w14:paraId="536881BB">
            <w:pPr>
              <w:spacing w:before="120"/>
              <w:jc w:val="center"/>
              <w:rPr>
                <w:rFonts w:cs="Arial" w:asciiTheme="minorEastAsia" w:hAnsiTheme="minorEastAsia"/>
                <w:highlight w:val="none"/>
              </w:rPr>
            </w:pPr>
          </w:p>
        </w:tc>
        <w:tc>
          <w:tcPr>
            <w:tcW w:w="1365" w:type="dxa"/>
            <w:vAlign w:val="center"/>
          </w:tcPr>
          <w:p w14:paraId="2C3F9359">
            <w:pPr>
              <w:spacing w:before="120"/>
              <w:jc w:val="center"/>
              <w:rPr>
                <w:rFonts w:cs="Arial" w:asciiTheme="minorEastAsia" w:hAnsiTheme="minorEastAsia"/>
                <w:highlight w:val="none"/>
              </w:rPr>
            </w:pPr>
          </w:p>
        </w:tc>
        <w:tc>
          <w:tcPr>
            <w:tcW w:w="1395" w:type="dxa"/>
            <w:vAlign w:val="center"/>
          </w:tcPr>
          <w:p w14:paraId="104FB69F">
            <w:pPr>
              <w:spacing w:before="120"/>
              <w:jc w:val="center"/>
              <w:rPr>
                <w:rFonts w:cs="Arial" w:asciiTheme="minorEastAsia" w:hAnsiTheme="minorEastAsia"/>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highlight w:val="none"/>
              </w:rPr>
            </w:pPr>
          </w:p>
        </w:tc>
        <w:tc>
          <w:tcPr>
            <w:tcW w:w="1392" w:type="dxa"/>
            <w:vAlign w:val="center"/>
          </w:tcPr>
          <w:p w14:paraId="0EC68B0F">
            <w:pPr>
              <w:spacing w:before="120"/>
              <w:jc w:val="center"/>
              <w:rPr>
                <w:rFonts w:cs="Arial" w:asciiTheme="minorEastAsia" w:hAnsiTheme="minorEastAsia"/>
                <w:highlight w:val="none"/>
              </w:rPr>
            </w:pPr>
          </w:p>
        </w:tc>
        <w:tc>
          <w:tcPr>
            <w:tcW w:w="1485" w:type="dxa"/>
            <w:vAlign w:val="center"/>
          </w:tcPr>
          <w:p w14:paraId="6264E41A">
            <w:pPr>
              <w:spacing w:before="120"/>
              <w:jc w:val="center"/>
              <w:rPr>
                <w:rFonts w:cs="Arial" w:asciiTheme="minorEastAsia" w:hAnsiTheme="minorEastAsia"/>
                <w:highlight w:val="none"/>
              </w:rPr>
            </w:pPr>
          </w:p>
        </w:tc>
        <w:tc>
          <w:tcPr>
            <w:tcW w:w="1470" w:type="dxa"/>
            <w:vAlign w:val="center"/>
          </w:tcPr>
          <w:p w14:paraId="07450E34">
            <w:pPr>
              <w:spacing w:before="120"/>
              <w:jc w:val="center"/>
              <w:rPr>
                <w:rFonts w:cs="Arial" w:asciiTheme="minorEastAsia" w:hAnsiTheme="minorEastAsia"/>
                <w:highlight w:val="none"/>
              </w:rPr>
            </w:pPr>
          </w:p>
        </w:tc>
        <w:tc>
          <w:tcPr>
            <w:tcW w:w="1365" w:type="dxa"/>
            <w:vAlign w:val="center"/>
          </w:tcPr>
          <w:p w14:paraId="4C553C60">
            <w:pPr>
              <w:spacing w:before="120"/>
              <w:jc w:val="center"/>
              <w:rPr>
                <w:rFonts w:cs="Arial" w:asciiTheme="minorEastAsia" w:hAnsiTheme="minorEastAsia"/>
                <w:highlight w:val="none"/>
              </w:rPr>
            </w:pPr>
          </w:p>
        </w:tc>
        <w:tc>
          <w:tcPr>
            <w:tcW w:w="1365" w:type="dxa"/>
            <w:vAlign w:val="center"/>
          </w:tcPr>
          <w:p w14:paraId="1A92A840">
            <w:pPr>
              <w:spacing w:before="120"/>
              <w:jc w:val="center"/>
              <w:rPr>
                <w:rFonts w:cs="Arial" w:asciiTheme="minorEastAsia" w:hAnsiTheme="minorEastAsia"/>
                <w:highlight w:val="none"/>
              </w:rPr>
            </w:pPr>
          </w:p>
        </w:tc>
        <w:tc>
          <w:tcPr>
            <w:tcW w:w="1395" w:type="dxa"/>
            <w:vAlign w:val="center"/>
          </w:tcPr>
          <w:p w14:paraId="4ED4F07A">
            <w:pPr>
              <w:spacing w:before="120"/>
              <w:jc w:val="center"/>
              <w:rPr>
                <w:rFonts w:cs="Arial" w:asciiTheme="minorEastAsia" w:hAnsiTheme="minorEastAsia"/>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highlight w:val="none"/>
              </w:rPr>
            </w:pPr>
          </w:p>
        </w:tc>
        <w:tc>
          <w:tcPr>
            <w:tcW w:w="1392" w:type="dxa"/>
            <w:vAlign w:val="center"/>
          </w:tcPr>
          <w:p w14:paraId="1B2F6ED2">
            <w:pPr>
              <w:spacing w:before="120"/>
              <w:jc w:val="center"/>
              <w:rPr>
                <w:rFonts w:cs="Arial" w:asciiTheme="minorEastAsia" w:hAnsiTheme="minorEastAsia"/>
                <w:highlight w:val="none"/>
              </w:rPr>
            </w:pPr>
          </w:p>
        </w:tc>
        <w:tc>
          <w:tcPr>
            <w:tcW w:w="1485" w:type="dxa"/>
            <w:vAlign w:val="center"/>
          </w:tcPr>
          <w:p w14:paraId="2D2D2FEC">
            <w:pPr>
              <w:spacing w:before="120"/>
              <w:jc w:val="center"/>
              <w:rPr>
                <w:rFonts w:cs="Arial" w:asciiTheme="minorEastAsia" w:hAnsiTheme="minorEastAsia"/>
                <w:highlight w:val="none"/>
              </w:rPr>
            </w:pPr>
          </w:p>
        </w:tc>
        <w:tc>
          <w:tcPr>
            <w:tcW w:w="1470" w:type="dxa"/>
            <w:vAlign w:val="center"/>
          </w:tcPr>
          <w:p w14:paraId="190C8459">
            <w:pPr>
              <w:spacing w:before="120"/>
              <w:jc w:val="center"/>
              <w:rPr>
                <w:rFonts w:cs="Arial" w:asciiTheme="minorEastAsia" w:hAnsiTheme="minorEastAsia"/>
                <w:highlight w:val="none"/>
              </w:rPr>
            </w:pPr>
          </w:p>
        </w:tc>
        <w:tc>
          <w:tcPr>
            <w:tcW w:w="1365" w:type="dxa"/>
            <w:vAlign w:val="center"/>
          </w:tcPr>
          <w:p w14:paraId="5C1E72EF">
            <w:pPr>
              <w:spacing w:before="120"/>
              <w:jc w:val="center"/>
              <w:rPr>
                <w:rFonts w:cs="Arial" w:asciiTheme="minorEastAsia" w:hAnsiTheme="minorEastAsia"/>
                <w:highlight w:val="none"/>
              </w:rPr>
            </w:pPr>
          </w:p>
        </w:tc>
        <w:tc>
          <w:tcPr>
            <w:tcW w:w="1365" w:type="dxa"/>
            <w:vAlign w:val="center"/>
          </w:tcPr>
          <w:p w14:paraId="5A6E5E8B">
            <w:pPr>
              <w:spacing w:before="120"/>
              <w:jc w:val="center"/>
              <w:rPr>
                <w:rFonts w:cs="Arial" w:asciiTheme="minorEastAsia" w:hAnsiTheme="minorEastAsia"/>
                <w:highlight w:val="none"/>
              </w:rPr>
            </w:pPr>
          </w:p>
        </w:tc>
        <w:tc>
          <w:tcPr>
            <w:tcW w:w="1395" w:type="dxa"/>
            <w:vAlign w:val="center"/>
          </w:tcPr>
          <w:p w14:paraId="2D89B567">
            <w:pPr>
              <w:spacing w:before="120"/>
              <w:jc w:val="center"/>
              <w:rPr>
                <w:rFonts w:cs="Arial" w:asciiTheme="minorEastAsia" w:hAnsiTheme="minorEastAsia"/>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highlight w:val="none"/>
              </w:rPr>
            </w:pPr>
          </w:p>
        </w:tc>
        <w:tc>
          <w:tcPr>
            <w:tcW w:w="1392" w:type="dxa"/>
            <w:vAlign w:val="center"/>
          </w:tcPr>
          <w:p w14:paraId="6EC5F5FE">
            <w:pPr>
              <w:spacing w:before="120"/>
              <w:jc w:val="center"/>
              <w:rPr>
                <w:rFonts w:cs="Arial" w:asciiTheme="minorEastAsia" w:hAnsiTheme="minorEastAsia"/>
                <w:highlight w:val="none"/>
              </w:rPr>
            </w:pPr>
          </w:p>
        </w:tc>
        <w:tc>
          <w:tcPr>
            <w:tcW w:w="1485" w:type="dxa"/>
            <w:vAlign w:val="center"/>
          </w:tcPr>
          <w:p w14:paraId="1226E7A2">
            <w:pPr>
              <w:spacing w:before="120"/>
              <w:jc w:val="center"/>
              <w:rPr>
                <w:rFonts w:cs="Arial" w:asciiTheme="minorEastAsia" w:hAnsiTheme="minorEastAsia"/>
                <w:highlight w:val="none"/>
              </w:rPr>
            </w:pPr>
          </w:p>
        </w:tc>
        <w:tc>
          <w:tcPr>
            <w:tcW w:w="1470" w:type="dxa"/>
            <w:vAlign w:val="center"/>
          </w:tcPr>
          <w:p w14:paraId="4369E923">
            <w:pPr>
              <w:spacing w:before="120"/>
              <w:jc w:val="center"/>
              <w:rPr>
                <w:rFonts w:cs="Arial" w:asciiTheme="minorEastAsia" w:hAnsiTheme="minorEastAsia"/>
                <w:highlight w:val="none"/>
              </w:rPr>
            </w:pPr>
          </w:p>
        </w:tc>
        <w:tc>
          <w:tcPr>
            <w:tcW w:w="1365" w:type="dxa"/>
            <w:vAlign w:val="center"/>
          </w:tcPr>
          <w:p w14:paraId="06A63D0D">
            <w:pPr>
              <w:spacing w:before="120"/>
              <w:jc w:val="center"/>
              <w:rPr>
                <w:rFonts w:cs="Arial" w:asciiTheme="minorEastAsia" w:hAnsiTheme="minorEastAsia"/>
                <w:highlight w:val="none"/>
              </w:rPr>
            </w:pPr>
          </w:p>
        </w:tc>
        <w:tc>
          <w:tcPr>
            <w:tcW w:w="1365" w:type="dxa"/>
            <w:vAlign w:val="center"/>
          </w:tcPr>
          <w:p w14:paraId="2EE9EADA">
            <w:pPr>
              <w:spacing w:before="120"/>
              <w:jc w:val="center"/>
              <w:rPr>
                <w:rFonts w:cs="Arial" w:asciiTheme="minorEastAsia" w:hAnsiTheme="minorEastAsia"/>
                <w:highlight w:val="none"/>
              </w:rPr>
            </w:pPr>
          </w:p>
        </w:tc>
        <w:tc>
          <w:tcPr>
            <w:tcW w:w="1395" w:type="dxa"/>
            <w:vAlign w:val="center"/>
          </w:tcPr>
          <w:p w14:paraId="2827C9D7">
            <w:pPr>
              <w:spacing w:before="120"/>
              <w:jc w:val="center"/>
              <w:rPr>
                <w:rFonts w:cs="Arial" w:asciiTheme="minorEastAsia" w:hAnsiTheme="minorEastAsia"/>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highlight w:val="none"/>
              </w:rPr>
            </w:pPr>
          </w:p>
        </w:tc>
        <w:tc>
          <w:tcPr>
            <w:tcW w:w="1392" w:type="dxa"/>
            <w:vAlign w:val="center"/>
          </w:tcPr>
          <w:p w14:paraId="3904317C">
            <w:pPr>
              <w:spacing w:before="120"/>
              <w:jc w:val="center"/>
              <w:rPr>
                <w:rFonts w:cs="Arial" w:asciiTheme="minorEastAsia" w:hAnsiTheme="minorEastAsia"/>
                <w:highlight w:val="none"/>
              </w:rPr>
            </w:pPr>
          </w:p>
        </w:tc>
        <w:tc>
          <w:tcPr>
            <w:tcW w:w="1485" w:type="dxa"/>
            <w:vAlign w:val="center"/>
          </w:tcPr>
          <w:p w14:paraId="2B41D14C">
            <w:pPr>
              <w:spacing w:before="120"/>
              <w:jc w:val="center"/>
              <w:rPr>
                <w:rFonts w:cs="Arial" w:asciiTheme="minorEastAsia" w:hAnsiTheme="minorEastAsia"/>
                <w:highlight w:val="none"/>
              </w:rPr>
            </w:pPr>
          </w:p>
        </w:tc>
        <w:tc>
          <w:tcPr>
            <w:tcW w:w="1470" w:type="dxa"/>
            <w:vAlign w:val="center"/>
          </w:tcPr>
          <w:p w14:paraId="45CFC41B">
            <w:pPr>
              <w:spacing w:before="120"/>
              <w:jc w:val="center"/>
              <w:rPr>
                <w:rFonts w:cs="Arial" w:asciiTheme="minorEastAsia" w:hAnsiTheme="minorEastAsia"/>
                <w:highlight w:val="none"/>
              </w:rPr>
            </w:pPr>
          </w:p>
        </w:tc>
        <w:tc>
          <w:tcPr>
            <w:tcW w:w="1365" w:type="dxa"/>
            <w:vAlign w:val="center"/>
          </w:tcPr>
          <w:p w14:paraId="32CFA217">
            <w:pPr>
              <w:spacing w:before="120"/>
              <w:jc w:val="center"/>
              <w:rPr>
                <w:rFonts w:cs="Arial" w:asciiTheme="minorEastAsia" w:hAnsiTheme="minorEastAsia"/>
                <w:highlight w:val="none"/>
              </w:rPr>
            </w:pPr>
          </w:p>
        </w:tc>
        <w:tc>
          <w:tcPr>
            <w:tcW w:w="1365" w:type="dxa"/>
            <w:vAlign w:val="center"/>
          </w:tcPr>
          <w:p w14:paraId="3797DB3D">
            <w:pPr>
              <w:spacing w:before="120"/>
              <w:jc w:val="center"/>
              <w:rPr>
                <w:rFonts w:cs="Arial" w:asciiTheme="minorEastAsia" w:hAnsiTheme="minorEastAsia"/>
                <w:highlight w:val="none"/>
              </w:rPr>
            </w:pPr>
          </w:p>
        </w:tc>
        <w:tc>
          <w:tcPr>
            <w:tcW w:w="1395" w:type="dxa"/>
            <w:vAlign w:val="center"/>
          </w:tcPr>
          <w:p w14:paraId="54B94AE8">
            <w:pPr>
              <w:spacing w:before="120"/>
              <w:jc w:val="center"/>
              <w:rPr>
                <w:rFonts w:cs="Arial" w:asciiTheme="minorEastAsia" w:hAnsiTheme="minorEastAsia"/>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highlight w:val="none"/>
              </w:rPr>
            </w:pPr>
          </w:p>
        </w:tc>
        <w:tc>
          <w:tcPr>
            <w:tcW w:w="1392" w:type="dxa"/>
            <w:vAlign w:val="center"/>
          </w:tcPr>
          <w:p w14:paraId="1313E78D">
            <w:pPr>
              <w:spacing w:before="120"/>
              <w:jc w:val="center"/>
              <w:rPr>
                <w:rFonts w:cs="Arial" w:asciiTheme="minorEastAsia" w:hAnsiTheme="minorEastAsia"/>
                <w:highlight w:val="none"/>
              </w:rPr>
            </w:pPr>
          </w:p>
        </w:tc>
        <w:tc>
          <w:tcPr>
            <w:tcW w:w="1485" w:type="dxa"/>
            <w:vAlign w:val="center"/>
          </w:tcPr>
          <w:p w14:paraId="1B7314DE">
            <w:pPr>
              <w:spacing w:before="120"/>
              <w:jc w:val="center"/>
              <w:rPr>
                <w:rFonts w:cs="Arial" w:asciiTheme="minorEastAsia" w:hAnsiTheme="minorEastAsia"/>
                <w:highlight w:val="none"/>
              </w:rPr>
            </w:pPr>
          </w:p>
        </w:tc>
        <w:tc>
          <w:tcPr>
            <w:tcW w:w="1470" w:type="dxa"/>
            <w:vAlign w:val="center"/>
          </w:tcPr>
          <w:p w14:paraId="3DF6CFC0">
            <w:pPr>
              <w:spacing w:before="120"/>
              <w:jc w:val="center"/>
              <w:rPr>
                <w:rFonts w:cs="Arial" w:asciiTheme="minorEastAsia" w:hAnsiTheme="minorEastAsia"/>
                <w:highlight w:val="none"/>
              </w:rPr>
            </w:pPr>
          </w:p>
        </w:tc>
        <w:tc>
          <w:tcPr>
            <w:tcW w:w="1365" w:type="dxa"/>
            <w:vAlign w:val="center"/>
          </w:tcPr>
          <w:p w14:paraId="755F2A9A">
            <w:pPr>
              <w:spacing w:before="120"/>
              <w:jc w:val="center"/>
              <w:rPr>
                <w:rFonts w:cs="Arial" w:asciiTheme="minorEastAsia" w:hAnsiTheme="minorEastAsia"/>
                <w:highlight w:val="none"/>
              </w:rPr>
            </w:pPr>
          </w:p>
        </w:tc>
        <w:tc>
          <w:tcPr>
            <w:tcW w:w="1365" w:type="dxa"/>
            <w:vAlign w:val="center"/>
          </w:tcPr>
          <w:p w14:paraId="2E509206">
            <w:pPr>
              <w:spacing w:before="120"/>
              <w:jc w:val="center"/>
              <w:rPr>
                <w:rFonts w:cs="Arial" w:asciiTheme="minorEastAsia" w:hAnsiTheme="minorEastAsia"/>
                <w:highlight w:val="none"/>
              </w:rPr>
            </w:pPr>
          </w:p>
        </w:tc>
        <w:tc>
          <w:tcPr>
            <w:tcW w:w="1395" w:type="dxa"/>
            <w:vAlign w:val="center"/>
          </w:tcPr>
          <w:p w14:paraId="79E06EF4">
            <w:pPr>
              <w:spacing w:before="120"/>
              <w:jc w:val="center"/>
              <w:rPr>
                <w:rFonts w:cs="Arial" w:asciiTheme="minorEastAsia" w:hAnsiTheme="minorEastAsia"/>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highlight w:val="none"/>
              </w:rPr>
            </w:pPr>
          </w:p>
        </w:tc>
        <w:tc>
          <w:tcPr>
            <w:tcW w:w="1392" w:type="dxa"/>
            <w:vAlign w:val="center"/>
          </w:tcPr>
          <w:p w14:paraId="561AB2CF">
            <w:pPr>
              <w:spacing w:before="120"/>
              <w:jc w:val="center"/>
              <w:rPr>
                <w:rFonts w:cs="Arial" w:asciiTheme="minorEastAsia" w:hAnsiTheme="minorEastAsia"/>
                <w:highlight w:val="none"/>
              </w:rPr>
            </w:pPr>
          </w:p>
        </w:tc>
        <w:tc>
          <w:tcPr>
            <w:tcW w:w="1485" w:type="dxa"/>
            <w:vAlign w:val="center"/>
          </w:tcPr>
          <w:p w14:paraId="4DC497D5">
            <w:pPr>
              <w:spacing w:before="120"/>
              <w:jc w:val="center"/>
              <w:rPr>
                <w:rFonts w:cs="Arial" w:asciiTheme="minorEastAsia" w:hAnsiTheme="minorEastAsia"/>
                <w:highlight w:val="none"/>
              </w:rPr>
            </w:pPr>
          </w:p>
        </w:tc>
        <w:tc>
          <w:tcPr>
            <w:tcW w:w="1470" w:type="dxa"/>
            <w:vAlign w:val="center"/>
          </w:tcPr>
          <w:p w14:paraId="6F07EB69">
            <w:pPr>
              <w:spacing w:before="120"/>
              <w:jc w:val="center"/>
              <w:rPr>
                <w:rFonts w:cs="Arial" w:asciiTheme="minorEastAsia" w:hAnsiTheme="minorEastAsia"/>
                <w:highlight w:val="none"/>
              </w:rPr>
            </w:pPr>
          </w:p>
        </w:tc>
        <w:tc>
          <w:tcPr>
            <w:tcW w:w="1365" w:type="dxa"/>
            <w:vAlign w:val="center"/>
          </w:tcPr>
          <w:p w14:paraId="67F571B3">
            <w:pPr>
              <w:spacing w:before="120"/>
              <w:jc w:val="center"/>
              <w:rPr>
                <w:rFonts w:cs="Arial" w:asciiTheme="minorEastAsia" w:hAnsiTheme="minorEastAsia"/>
                <w:highlight w:val="none"/>
              </w:rPr>
            </w:pPr>
          </w:p>
        </w:tc>
        <w:tc>
          <w:tcPr>
            <w:tcW w:w="1365" w:type="dxa"/>
            <w:vAlign w:val="center"/>
          </w:tcPr>
          <w:p w14:paraId="0E56BECE">
            <w:pPr>
              <w:spacing w:before="120"/>
              <w:jc w:val="center"/>
              <w:rPr>
                <w:rFonts w:cs="Arial" w:asciiTheme="minorEastAsia" w:hAnsiTheme="minorEastAsia"/>
                <w:highlight w:val="none"/>
              </w:rPr>
            </w:pPr>
          </w:p>
        </w:tc>
        <w:tc>
          <w:tcPr>
            <w:tcW w:w="1395" w:type="dxa"/>
            <w:vAlign w:val="center"/>
          </w:tcPr>
          <w:p w14:paraId="4147F08F">
            <w:pPr>
              <w:spacing w:before="120"/>
              <w:jc w:val="center"/>
              <w:rPr>
                <w:rFonts w:cs="Arial" w:asciiTheme="minorEastAsia" w:hAnsiTheme="minorEastAsia"/>
                <w:highlight w:val="none"/>
              </w:rPr>
            </w:pPr>
          </w:p>
        </w:tc>
      </w:tr>
    </w:tbl>
    <w:p w14:paraId="5016CED6">
      <w:pPr>
        <w:spacing w:line="380" w:lineRule="exact"/>
        <w:rPr>
          <w:rFonts w:hint="default" w:eastAsia="宋体" w:asciiTheme="minorEastAsia" w:hAnsiTheme="minorEastAsia"/>
          <w:b/>
          <w:color w:val="FF0000"/>
          <w:szCs w:val="21"/>
          <w:highlight w:val="none"/>
          <w:lang w:val="en-US" w:eastAsia="zh-CN"/>
        </w:rPr>
      </w:pPr>
      <w:r>
        <w:rPr>
          <w:rFonts w:hint="eastAsia" w:asciiTheme="minorEastAsia" w:hAnsiTheme="minorEastAsia"/>
          <w:b/>
          <w:color w:val="FF0000"/>
          <w:szCs w:val="21"/>
          <w:highlight w:val="none"/>
        </w:rPr>
        <w:t>注：供应商需在本表后附</w:t>
      </w:r>
      <w:r>
        <w:rPr>
          <w:rFonts w:hint="eastAsia" w:asciiTheme="minorEastAsia" w:hAnsiTheme="minorEastAsia"/>
          <w:b/>
          <w:color w:val="FF0000"/>
          <w:szCs w:val="21"/>
          <w:highlight w:val="none"/>
          <w:lang w:val="en-US" w:eastAsia="zh-CN"/>
        </w:rPr>
        <w:t>销售业绩</w:t>
      </w:r>
      <w:r>
        <w:rPr>
          <w:rFonts w:hint="eastAsia" w:asciiTheme="minorEastAsia" w:hAnsiTheme="minorEastAsia"/>
          <w:b/>
          <w:color w:val="FF0000"/>
          <w:szCs w:val="21"/>
          <w:highlight w:val="none"/>
        </w:rPr>
        <w:t>合同</w:t>
      </w:r>
      <w:r>
        <w:rPr>
          <w:rFonts w:hint="eastAsia" w:asciiTheme="minorEastAsia" w:hAnsiTheme="minorEastAsia"/>
          <w:b/>
          <w:color w:val="FF0000"/>
          <w:szCs w:val="21"/>
          <w:highlight w:val="none"/>
          <w:lang w:val="en-US" w:eastAsia="zh-CN"/>
        </w:rPr>
        <w:t>。</w:t>
      </w:r>
    </w:p>
    <w:p w14:paraId="4718F638">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0B6C3C21">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8E4D5A2">
      <w:pPr>
        <w:pStyle w:val="14"/>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p>
    <w:bookmarkEnd w:id="77"/>
    <w:p w14:paraId="335E608E">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A1B472A-1C56-4D01-B0AB-0F698437BEF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E039F634-EA0F-4B31-849D-7430441A1E74}"/>
  </w:font>
  <w:font w:name="仿宋_GB2312">
    <w:panose1 w:val="02010609030101010101"/>
    <w:charset w:val="86"/>
    <w:family w:val="auto"/>
    <w:pitch w:val="default"/>
    <w:sig w:usb0="00000001" w:usb1="080E0000" w:usb2="00000000" w:usb3="00000000" w:csb0="00040000" w:csb1="00000000"/>
    <w:embedRegular r:id="rId3" w:fontKey="{E21022F0-0B80-4218-B714-DA5892ACB4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驻马店市中心医院瓦里安23EX直线加速器全保采购项目采购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B146CA"/>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916AE"/>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C7BC2"/>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636CB"/>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72396F"/>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5646EB"/>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8FC0A05"/>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0A0E60"/>
    <w:rsid w:val="1A125525"/>
    <w:rsid w:val="1A5F4342"/>
    <w:rsid w:val="1A616E2C"/>
    <w:rsid w:val="1A715D02"/>
    <w:rsid w:val="1A7F369B"/>
    <w:rsid w:val="1A8C5D82"/>
    <w:rsid w:val="1A994988"/>
    <w:rsid w:val="1A9B546C"/>
    <w:rsid w:val="1A9E141F"/>
    <w:rsid w:val="1AA3511F"/>
    <w:rsid w:val="1AAE3B54"/>
    <w:rsid w:val="1AC10987"/>
    <w:rsid w:val="1ACD11E1"/>
    <w:rsid w:val="1ADF238C"/>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ED0AD9"/>
    <w:rsid w:val="1BF14125"/>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664E2A"/>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617C51"/>
    <w:rsid w:val="2172049B"/>
    <w:rsid w:val="21747CD2"/>
    <w:rsid w:val="21815F4B"/>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86783E"/>
    <w:rsid w:val="23940114"/>
    <w:rsid w:val="239A1546"/>
    <w:rsid w:val="23A5414A"/>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15CA9"/>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1852"/>
    <w:rsid w:val="27232743"/>
    <w:rsid w:val="27400656"/>
    <w:rsid w:val="274E2228"/>
    <w:rsid w:val="27517A93"/>
    <w:rsid w:val="27565784"/>
    <w:rsid w:val="275E53AF"/>
    <w:rsid w:val="27606603"/>
    <w:rsid w:val="27624129"/>
    <w:rsid w:val="276658E8"/>
    <w:rsid w:val="276E0D20"/>
    <w:rsid w:val="276F6846"/>
    <w:rsid w:val="277E30D2"/>
    <w:rsid w:val="27803F2A"/>
    <w:rsid w:val="278A18D2"/>
    <w:rsid w:val="27983FEE"/>
    <w:rsid w:val="27A34941"/>
    <w:rsid w:val="27A97FAA"/>
    <w:rsid w:val="27EE3A7B"/>
    <w:rsid w:val="27FA25B3"/>
    <w:rsid w:val="28033B5E"/>
    <w:rsid w:val="28100029"/>
    <w:rsid w:val="282B09BF"/>
    <w:rsid w:val="282E4F00"/>
    <w:rsid w:val="283B7B44"/>
    <w:rsid w:val="283C0132"/>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384AFF"/>
    <w:rsid w:val="29451F54"/>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191C"/>
    <w:rsid w:val="2A9E7B6E"/>
    <w:rsid w:val="2AA35184"/>
    <w:rsid w:val="2AAB228B"/>
    <w:rsid w:val="2AAB4E76"/>
    <w:rsid w:val="2AB63ABC"/>
    <w:rsid w:val="2AB63D0A"/>
    <w:rsid w:val="2AC31382"/>
    <w:rsid w:val="2ACA2711"/>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5C6CCB"/>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6F3975"/>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3E6A71"/>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32D34"/>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31F82"/>
    <w:rsid w:val="32943B86"/>
    <w:rsid w:val="32A93829"/>
    <w:rsid w:val="32B943EC"/>
    <w:rsid w:val="32B9519B"/>
    <w:rsid w:val="32CB5278"/>
    <w:rsid w:val="32D22AAA"/>
    <w:rsid w:val="32DC63A0"/>
    <w:rsid w:val="32E429C1"/>
    <w:rsid w:val="330503EE"/>
    <w:rsid w:val="33122EA7"/>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A323CD"/>
    <w:rsid w:val="37B90F0B"/>
    <w:rsid w:val="37BA1D5F"/>
    <w:rsid w:val="37CD3F98"/>
    <w:rsid w:val="37DF75BA"/>
    <w:rsid w:val="37E148E2"/>
    <w:rsid w:val="37F848EE"/>
    <w:rsid w:val="37F912FC"/>
    <w:rsid w:val="37FB65FF"/>
    <w:rsid w:val="37FF59C4"/>
    <w:rsid w:val="380D59EE"/>
    <w:rsid w:val="38304889"/>
    <w:rsid w:val="3836588A"/>
    <w:rsid w:val="38382675"/>
    <w:rsid w:val="383B7B0D"/>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D0586A"/>
    <w:rsid w:val="39D27231"/>
    <w:rsid w:val="39E15381"/>
    <w:rsid w:val="39E82BB3"/>
    <w:rsid w:val="39EB39E0"/>
    <w:rsid w:val="39EE7A9E"/>
    <w:rsid w:val="39EF02D4"/>
    <w:rsid w:val="3A08699C"/>
    <w:rsid w:val="3A11342A"/>
    <w:rsid w:val="3A146946"/>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A69F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B44FCF"/>
    <w:rsid w:val="3CC17F13"/>
    <w:rsid w:val="3CD15B81"/>
    <w:rsid w:val="3CD50B40"/>
    <w:rsid w:val="3CE320A3"/>
    <w:rsid w:val="3CE9196C"/>
    <w:rsid w:val="3CEC29BB"/>
    <w:rsid w:val="3CF15105"/>
    <w:rsid w:val="3D0C04B9"/>
    <w:rsid w:val="3D1414C5"/>
    <w:rsid w:val="3D1837B0"/>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06FBC"/>
    <w:rsid w:val="42A27996"/>
    <w:rsid w:val="42A45E72"/>
    <w:rsid w:val="42AA04E2"/>
    <w:rsid w:val="42C972FA"/>
    <w:rsid w:val="42D737C5"/>
    <w:rsid w:val="42EA5650"/>
    <w:rsid w:val="42F16B4A"/>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026AF"/>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33DBE"/>
    <w:rsid w:val="44BC0BEE"/>
    <w:rsid w:val="44BF6C07"/>
    <w:rsid w:val="44C24001"/>
    <w:rsid w:val="44C55A88"/>
    <w:rsid w:val="44ED72D0"/>
    <w:rsid w:val="44FB1C9C"/>
    <w:rsid w:val="450C05A0"/>
    <w:rsid w:val="45392A13"/>
    <w:rsid w:val="453D0C3C"/>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04ACD"/>
    <w:rsid w:val="47A11E6C"/>
    <w:rsid w:val="47A31F5F"/>
    <w:rsid w:val="47A345BE"/>
    <w:rsid w:val="47A84BA6"/>
    <w:rsid w:val="47AD5DB0"/>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247B1"/>
    <w:rsid w:val="48BC6222"/>
    <w:rsid w:val="48C055EE"/>
    <w:rsid w:val="48C245E9"/>
    <w:rsid w:val="48DB312A"/>
    <w:rsid w:val="48DF49D9"/>
    <w:rsid w:val="492108CC"/>
    <w:rsid w:val="492928A1"/>
    <w:rsid w:val="49301E8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6E6C91"/>
    <w:rsid w:val="4B773D97"/>
    <w:rsid w:val="4B7A5635"/>
    <w:rsid w:val="4B8E10E1"/>
    <w:rsid w:val="4B9802B0"/>
    <w:rsid w:val="4B9E65BE"/>
    <w:rsid w:val="4B9F33A8"/>
    <w:rsid w:val="4BA80AFD"/>
    <w:rsid w:val="4BB033BA"/>
    <w:rsid w:val="4BB469AD"/>
    <w:rsid w:val="4BC06040"/>
    <w:rsid w:val="4BC66ACD"/>
    <w:rsid w:val="4BC82845"/>
    <w:rsid w:val="4BCF5981"/>
    <w:rsid w:val="4BD846DB"/>
    <w:rsid w:val="4BF441D2"/>
    <w:rsid w:val="4C1C2A09"/>
    <w:rsid w:val="4C284AD9"/>
    <w:rsid w:val="4C423098"/>
    <w:rsid w:val="4C694192"/>
    <w:rsid w:val="4C7964D9"/>
    <w:rsid w:val="4C8229F4"/>
    <w:rsid w:val="4C891FD4"/>
    <w:rsid w:val="4C8C5620"/>
    <w:rsid w:val="4C9269F6"/>
    <w:rsid w:val="4CB75F07"/>
    <w:rsid w:val="4CC24B4C"/>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0E49F1"/>
    <w:rsid w:val="4E2423AC"/>
    <w:rsid w:val="4E261AA5"/>
    <w:rsid w:val="4E287F63"/>
    <w:rsid w:val="4E304B5D"/>
    <w:rsid w:val="4E3F66C2"/>
    <w:rsid w:val="4E611B8B"/>
    <w:rsid w:val="4E6279D7"/>
    <w:rsid w:val="4E682F8C"/>
    <w:rsid w:val="4E6A7BB7"/>
    <w:rsid w:val="4E6C5D89"/>
    <w:rsid w:val="4E9133C2"/>
    <w:rsid w:val="4EB23220"/>
    <w:rsid w:val="4EC866B8"/>
    <w:rsid w:val="4ED46303"/>
    <w:rsid w:val="4EDB463D"/>
    <w:rsid w:val="4EE661F8"/>
    <w:rsid w:val="4EF27A04"/>
    <w:rsid w:val="4F0773B4"/>
    <w:rsid w:val="4F0C69BB"/>
    <w:rsid w:val="4F241019"/>
    <w:rsid w:val="4F307BB1"/>
    <w:rsid w:val="4F336227"/>
    <w:rsid w:val="4F3C3EF2"/>
    <w:rsid w:val="4F3D562D"/>
    <w:rsid w:val="4F5C4EE0"/>
    <w:rsid w:val="4F681AF1"/>
    <w:rsid w:val="4F6E1972"/>
    <w:rsid w:val="4F943166"/>
    <w:rsid w:val="4F9C19A5"/>
    <w:rsid w:val="4FAE1D52"/>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242BC"/>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522E6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AD4386"/>
    <w:rsid w:val="54B03E76"/>
    <w:rsid w:val="54BB2F47"/>
    <w:rsid w:val="54BF230B"/>
    <w:rsid w:val="54CC6227"/>
    <w:rsid w:val="54D10F9B"/>
    <w:rsid w:val="54D97871"/>
    <w:rsid w:val="54DC4C6B"/>
    <w:rsid w:val="54EF1BF5"/>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33025"/>
    <w:rsid w:val="57272B15"/>
    <w:rsid w:val="574448FC"/>
    <w:rsid w:val="57561D39"/>
    <w:rsid w:val="575B7AFD"/>
    <w:rsid w:val="576176AA"/>
    <w:rsid w:val="57660D3F"/>
    <w:rsid w:val="576A09DC"/>
    <w:rsid w:val="5774562F"/>
    <w:rsid w:val="5785783C"/>
    <w:rsid w:val="578F06BB"/>
    <w:rsid w:val="57A469A0"/>
    <w:rsid w:val="57A557E8"/>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DE1485"/>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EF5A0F"/>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93E10"/>
    <w:rsid w:val="5EAE7678"/>
    <w:rsid w:val="5ED35F0E"/>
    <w:rsid w:val="5EDF7832"/>
    <w:rsid w:val="5EE44E48"/>
    <w:rsid w:val="5EFC1390"/>
    <w:rsid w:val="5EFC3EB6"/>
    <w:rsid w:val="5F00622C"/>
    <w:rsid w:val="5F03335D"/>
    <w:rsid w:val="5F0368C7"/>
    <w:rsid w:val="5F1544E7"/>
    <w:rsid w:val="5F197EE8"/>
    <w:rsid w:val="5F205334"/>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C4CF9"/>
    <w:rsid w:val="602D0A71"/>
    <w:rsid w:val="60307A2A"/>
    <w:rsid w:val="603814FF"/>
    <w:rsid w:val="604109A8"/>
    <w:rsid w:val="60522285"/>
    <w:rsid w:val="60536729"/>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50406E"/>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C5F97"/>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7E189B"/>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21AA2"/>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0E33AA"/>
    <w:rsid w:val="673B73C0"/>
    <w:rsid w:val="674743C8"/>
    <w:rsid w:val="674E19F8"/>
    <w:rsid w:val="675608B6"/>
    <w:rsid w:val="6760172C"/>
    <w:rsid w:val="67754402"/>
    <w:rsid w:val="677D54ED"/>
    <w:rsid w:val="678B726C"/>
    <w:rsid w:val="67B25E27"/>
    <w:rsid w:val="67B4646D"/>
    <w:rsid w:val="67B464CA"/>
    <w:rsid w:val="67C4383B"/>
    <w:rsid w:val="67CE48E7"/>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26794C"/>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A7D9B"/>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A5BBF"/>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42A14"/>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6D49E6"/>
    <w:rsid w:val="6F947E4B"/>
    <w:rsid w:val="6F9957DB"/>
    <w:rsid w:val="6FA30BDA"/>
    <w:rsid w:val="6FB21D4C"/>
    <w:rsid w:val="6FB80698"/>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2D7068F"/>
    <w:rsid w:val="72FF004B"/>
    <w:rsid w:val="73047407"/>
    <w:rsid w:val="73047904"/>
    <w:rsid w:val="731A4E85"/>
    <w:rsid w:val="73253EFA"/>
    <w:rsid w:val="73353A6C"/>
    <w:rsid w:val="734C1A6A"/>
    <w:rsid w:val="73555EBD"/>
    <w:rsid w:val="735663B7"/>
    <w:rsid w:val="735B1379"/>
    <w:rsid w:val="735C5949"/>
    <w:rsid w:val="73671287"/>
    <w:rsid w:val="73737DA5"/>
    <w:rsid w:val="73740A39"/>
    <w:rsid w:val="73783823"/>
    <w:rsid w:val="73814F04"/>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942A15"/>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944F4E"/>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EF46BD"/>
    <w:rsid w:val="78F85605"/>
    <w:rsid w:val="78FA66FA"/>
    <w:rsid w:val="79345B6A"/>
    <w:rsid w:val="79424F6E"/>
    <w:rsid w:val="794F33AE"/>
    <w:rsid w:val="795F3706"/>
    <w:rsid w:val="797239CC"/>
    <w:rsid w:val="797D616D"/>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590514"/>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613C2"/>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511DEB"/>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8"/>
    <w:autoRedefine/>
    <w:qFormat/>
    <w:uiPriority w:val="0"/>
    <w:pPr>
      <w:widowControl/>
      <w:spacing w:beforeAutospacing="1" w:afterAutospacing="1"/>
      <w:jc w:val="left"/>
    </w:pPr>
    <w:rPr>
      <w:rFonts w:ascii="宋体" w:hAnsi="宋体" w:cs="宋体"/>
      <w:kern w:val="0"/>
      <w:sz w:val="24"/>
    </w:rPr>
  </w:style>
  <w:style w:type="paragraph" w:styleId="8">
    <w:name w:val="envelope return"/>
    <w:basedOn w:val="1"/>
    <w:autoRedefine/>
    <w:unhideWhenUsed/>
    <w:qFormat/>
    <w:uiPriority w:val="99"/>
    <w:pPr>
      <w:snapToGrid w:val="0"/>
    </w:pPr>
    <w:rPr>
      <w:rFonts w:ascii="Arial" w:hAnsi="Arial"/>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Document Map"/>
    <w:basedOn w:val="1"/>
    <w:link w:val="77"/>
    <w:autoRedefine/>
    <w:qFormat/>
    <w:uiPriority w:val="0"/>
    <w:rPr>
      <w:rFonts w:ascii="宋体" w:hAnsi="Calibri"/>
      <w:sz w:val="18"/>
      <w:szCs w:val="18"/>
    </w:rPr>
  </w:style>
  <w:style w:type="paragraph" w:styleId="16">
    <w:name w:val="annotation text"/>
    <w:basedOn w:val="1"/>
    <w:autoRedefine/>
    <w:qFormat/>
    <w:uiPriority w:val="0"/>
    <w:pPr>
      <w:jc w:val="left"/>
    </w:pPr>
  </w:style>
  <w:style w:type="paragraph" w:styleId="17">
    <w:name w:val="Body Text 3"/>
    <w:basedOn w:val="1"/>
    <w:autoRedefine/>
    <w:qFormat/>
    <w:uiPriority w:val="0"/>
    <w:rPr>
      <w:sz w:val="16"/>
      <w:szCs w:val="16"/>
    </w:rPr>
  </w:style>
  <w:style w:type="paragraph" w:styleId="18">
    <w:name w:val="List 2"/>
    <w:basedOn w:val="1"/>
    <w:autoRedefine/>
    <w:qFormat/>
    <w:uiPriority w:val="0"/>
    <w:pPr>
      <w:ind w:left="100" w:leftChars="200" w:hanging="200" w:hangingChars="200"/>
    </w:pPr>
  </w:style>
  <w:style w:type="paragraph" w:styleId="19">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0">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1">
    <w:name w:val="Plain Text"/>
    <w:basedOn w:val="1"/>
    <w:autoRedefine/>
    <w:qFormat/>
    <w:uiPriority w:val="0"/>
    <w:pPr>
      <w:widowControl/>
      <w:spacing w:beforeAutospacing="1" w:afterAutospacing="1"/>
      <w:jc w:val="left"/>
    </w:pPr>
    <w:rPr>
      <w:rFonts w:ascii="宋体" w:hAnsi="宋体" w:cs="宋体"/>
      <w:kern w:val="0"/>
      <w:sz w:val="24"/>
    </w:rPr>
  </w:style>
  <w:style w:type="paragraph" w:styleId="22">
    <w:name w:val="Date"/>
    <w:basedOn w:val="1"/>
    <w:next w:val="1"/>
    <w:autoRedefine/>
    <w:qFormat/>
    <w:uiPriority w:val="0"/>
    <w:pPr>
      <w:ind w:left="100" w:leftChars="2500"/>
    </w:pPr>
    <w:rPr>
      <w:rFonts w:ascii="宋体" w:hAnsi="宋体"/>
      <w:sz w:val="28"/>
    </w:rPr>
  </w:style>
  <w:style w:type="paragraph" w:styleId="23">
    <w:name w:val="Body Text Indent 2"/>
    <w:basedOn w:val="1"/>
    <w:autoRedefine/>
    <w:qFormat/>
    <w:uiPriority w:val="0"/>
    <w:pPr>
      <w:spacing w:line="480" w:lineRule="auto"/>
      <w:ind w:left="420" w:leftChars="200"/>
    </w:p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5"/>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12151</Words>
  <Characters>12715</Characters>
  <Lines>50</Lines>
  <Paragraphs>68</Paragraphs>
  <TotalTime>6</TotalTime>
  <ScaleCrop>false</ScaleCrop>
  <LinksUpToDate>false</LinksUpToDate>
  <CharactersWithSpaces>13661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2026-08-24T09:24:27Z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