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23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52"/>
          <w:szCs w:val="52"/>
        </w:rPr>
      </w:pPr>
      <w:bookmarkStart w:id="2" w:name="_GoBack"/>
      <w:r>
        <w:rPr>
          <w:rFonts w:hint="eastAsia" w:ascii="方正公文小标宋" w:hAnsi="方正公文小标宋" w:eastAsia="方正公文小标宋" w:cs="方正公文小标宋"/>
          <w:sz w:val="52"/>
          <w:szCs w:val="52"/>
        </w:rPr>
        <w:t>报价表</w:t>
      </w:r>
    </w:p>
    <w:bookmarkEnd w:id="2"/>
    <w:p w14:paraId="6F4E8828">
      <w:pPr>
        <w:spacing w:line="5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  <w:bookmarkStart w:id="0" w:name="_Hlk170208711"/>
      <w:r>
        <w:rPr>
          <w:rFonts w:hint="eastAsia" w:ascii="仿宋_GB2312" w:eastAsia="仿宋_GB2312"/>
          <w:b/>
          <w:bCs/>
          <w:sz w:val="32"/>
          <w:szCs w:val="32"/>
        </w:rPr>
        <w:t>人员分配及报价表</w:t>
      </w:r>
    </w:p>
    <w:tbl>
      <w:tblPr>
        <w:tblStyle w:val="4"/>
        <w:tblW w:w="53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5"/>
        <w:gridCol w:w="836"/>
        <w:gridCol w:w="1271"/>
        <w:gridCol w:w="1271"/>
        <w:gridCol w:w="1026"/>
        <w:gridCol w:w="1019"/>
        <w:gridCol w:w="1434"/>
      </w:tblGrid>
      <w:tr w14:paraId="07561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250" w:type="pct"/>
            <w:vMerge w:val="restart"/>
            <w:vAlign w:val="center"/>
          </w:tcPr>
          <w:p w14:paraId="341CC0EE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岗位</w:t>
            </w:r>
          </w:p>
        </w:tc>
        <w:tc>
          <w:tcPr>
            <w:tcW w:w="457" w:type="pct"/>
            <w:vMerge w:val="restart"/>
            <w:vAlign w:val="center"/>
          </w:tcPr>
          <w:p w14:paraId="4E222A13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人数</w:t>
            </w:r>
          </w:p>
        </w:tc>
        <w:tc>
          <w:tcPr>
            <w:tcW w:w="3292" w:type="pct"/>
            <w:gridSpan w:val="5"/>
          </w:tcPr>
          <w:p w14:paraId="2D57409A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报价（单价：）</w:t>
            </w:r>
          </w:p>
        </w:tc>
      </w:tr>
      <w:tr w14:paraId="6185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50" w:type="pct"/>
            <w:vMerge w:val="continue"/>
          </w:tcPr>
          <w:p w14:paraId="5C9CD965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457" w:type="pct"/>
            <w:vMerge w:val="continue"/>
          </w:tcPr>
          <w:p w14:paraId="084CE41E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695" w:type="pct"/>
          </w:tcPr>
          <w:p w14:paraId="08D80002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基本工资</w:t>
            </w:r>
          </w:p>
        </w:tc>
        <w:tc>
          <w:tcPr>
            <w:tcW w:w="695" w:type="pct"/>
          </w:tcPr>
          <w:p w14:paraId="362360AC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社会保险</w:t>
            </w:r>
          </w:p>
        </w:tc>
        <w:tc>
          <w:tcPr>
            <w:tcW w:w="561" w:type="pct"/>
          </w:tcPr>
          <w:p w14:paraId="0335BB9B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税金</w:t>
            </w:r>
          </w:p>
        </w:tc>
        <w:tc>
          <w:tcPr>
            <w:tcW w:w="557" w:type="pct"/>
          </w:tcPr>
          <w:p w14:paraId="790A07D0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物料</w:t>
            </w:r>
          </w:p>
        </w:tc>
        <w:tc>
          <w:tcPr>
            <w:tcW w:w="782" w:type="pct"/>
          </w:tcPr>
          <w:p w14:paraId="6ED6A6FE">
            <w:pPr>
              <w:spacing w:line="28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合计</w:t>
            </w:r>
          </w:p>
          <w:p w14:paraId="4A3D62FF">
            <w:pPr>
              <w:spacing w:line="28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（元/月/人）</w:t>
            </w:r>
          </w:p>
        </w:tc>
      </w:tr>
      <w:tr w14:paraId="3DFB8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</w:tcPr>
          <w:p w14:paraId="0C02996B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bookmarkStart w:id="1" w:name="_Hlk162854279"/>
            <w:r>
              <w:rPr>
                <w:rFonts w:hint="eastAsia" w:ascii="仿宋_GB2312" w:eastAsia="仿宋_GB2312"/>
                <w:sz w:val="28"/>
                <w:szCs w:val="28"/>
              </w:rPr>
              <w:t>项目负责人</w:t>
            </w:r>
          </w:p>
        </w:tc>
        <w:tc>
          <w:tcPr>
            <w:tcW w:w="457" w:type="pct"/>
          </w:tcPr>
          <w:p w14:paraId="5AC44309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695" w:type="pct"/>
          </w:tcPr>
          <w:p w14:paraId="364C8DB5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695" w:type="pct"/>
          </w:tcPr>
          <w:p w14:paraId="2BEBF2F8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61" w:type="pct"/>
          </w:tcPr>
          <w:p w14:paraId="31E51FA3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57" w:type="pct"/>
          </w:tcPr>
          <w:p w14:paraId="3ABF7E49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82" w:type="pct"/>
          </w:tcPr>
          <w:p w14:paraId="399FFE1C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780FD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</w:tcPr>
          <w:p w14:paraId="74F4D7E0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管理岗（班长）</w:t>
            </w:r>
          </w:p>
        </w:tc>
        <w:tc>
          <w:tcPr>
            <w:tcW w:w="457" w:type="pct"/>
          </w:tcPr>
          <w:p w14:paraId="700AB544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695" w:type="pct"/>
          </w:tcPr>
          <w:p w14:paraId="65D8EC82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695" w:type="pct"/>
          </w:tcPr>
          <w:p w14:paraId="2D368CDE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61" w:type="pct"/>
          </w:tcPr>
          <w:p w14:paraId="4DF62C57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57" w:type="pct"/>
          </w:tcPr>
          <w:p w14:paraId="2E38FF8F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82" w:type="pct"/>
          </w:tcPr>
          <w:p w14:paraId="0A4B68E7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255B0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</w:tcPr>
          <w:p w14:paraId="136F106D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应急机动岗</w:t>
            </w:r>
          </w:p>
        </w:tc>
        <w:tc>
          <w:tcPr>
            <w:tcW w:w="457" w:type="pct"/>
          </w:tcPr>
          <w:p w14:paraId="26D5E2D1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32</w:t>
            </w:r>
          </w:p>
        </w:tc>
        <w:tc>
          <w:tcPr>
            <w:tcW w:w="695" w:type="pct"/>
          </w:tcPr>
          <w:p w14:paraId="766B2EC2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695" w:type="pct"/>
          </w:tcPr>
          <w:p w14:paraId="7C05F26E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61" w:type="pct"/>
          </w:tcPr>
          <w:p w14:paraId="08EDC995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57" w:type="pct"/>
          </w:tcPr>
          <w:p w14:paraId="2ED52BA2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82" w:type="pct"/>
          </w:tcPr>
          <w:p w14:paraId="2B4A4414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35DE4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</w:tcPr>
          <w:p w14:paraId="30D16A0D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消防监控岗</w:t>
            </w:r>
          </w:p>
        </w:tc>
        <w:tc>
          <w:tcPr>
            <w:tcW w:w="457" w:type="pct"/>
          </w:tcPr>
          <w:p w14:paraId="6CDE4352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695" w:type="pct"/>
          </w:tcPr>
          <w:p w14:paraId="25C98F63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695" w:type="pct"/>
          </w:tcPr>
          <w:p w14:paraId="2E0F2994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61" w:type="pct"/>
          </w:tcPr>
          <w:p w14:paraId="408E8056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57" w:type="pct"/>
          </w:tcPr>
          <w:p w14:paraId="3AD7539B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82" w:type="pct"/>
          </w:tcPr>
          <w:p w14:paraId="256520C9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71C7E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</w:tcPr>
          <w:p w14:paraId="2B3030EA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门卫守护岗</w:t>
            </w:r>
          </w:p>
        </w:tc>
        <w:tc>
          <w:tcPr>
            <w:tcW w:w="457" w:type="pct"/>
          </w:tcPr>
          <w:p w14:paraId="72D13C59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64</w:t>
            </w:r>
          </w:p>
        </w:tc>
        <w:tc>
          <w:tcPr>
            <w:tcW w:w="695" w:type="pct"/>
          </w:tcPr>
          <w:p w14:paraId="60051D23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695" w:type="pct"/>
          </w:tcPr>
          <w:p w14:paraId="062892D3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61" w:type="pct"/>
          </w:tcPr>
          <w:p w14:paraId="3F3BBCD4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57" w:type="pct"/>
          </w:tcPr>
          <w:p w14:paraId="764AF9A5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82" w:type="pct"/>
          </w:tcPr>
          <w:p w14:paraId="1EE0B26D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677CB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</w:tcPr>
          <w:p w14:paraId="1CFCCB92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交通管理岗</w:t>
            </w:r>
          </w:p>
        </w:tc>
        <w:tc>
          <w:tcPr>
            <w:tcW w:w="457" w:type="pct"/>
          </w:tcPr>
          <w:p w14:paraId="291A5D42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22</w:t>
            </w:r>
          </w:p>
        </w:tc>
        <w:tc>
          <w:tcPr>
            <w:tcW w:w="695" w:type="pct"/>
          </w:tcPr>
          <w:p w14:paraId="73786FCF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695" w:type="pct"/>
          </w:tcPr>
          <w:p w14:paraId="32A74197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61" w:type="pct"/>
          </w:tcPr>
          <w:p w14:paraId="6E66594C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57" w:type="pct"/>
          </w:tcPr>
          <w:p w14:paraId="0E469065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82" w:type="pct"/>
          </w:tcPr>
          <w:p w14:paraId="3EE9A376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263D4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50" w:type="pct"/>
          </w:tcPr>
          <w:p w14:paraId="547AA4EA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安全检查岗</w:t>
            </w:r>
          </w:p>
        </w:tc>
        <w:tc>
          <w:tcPr>
            <w:tcW w:w="457" w:type="pct"/>
          </w:tcPr>
          <w:p w14:paraId="00158F1C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695" w:type="pct"/>
          </w:tcPr>
          <w:p w14:paraId="561FE070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695" w:type="pct"/>
          </w:tcPr>
          <w:p w14:paraId="314D3241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61" w:type="pct"/>
          </w:tcPr>
          <w:p w14:paraId="1FF21C88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557" w:type="pct"/>
          </w:tcPr>
          <w:p w14:paraId="57669EB2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82" w:type="pct"/>
          </w:tcPr>
          <w:p w14:paraId="38B498D6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bookmarkEnd w:id="0"/>
      <w:bookmarkEnd w:id="1"/>
    </w:tbl>
    <w:p w14:paraId="4726A35D">
      <w:pPr>
        <w:widowControl/>
        <w:spacing w:line="400" w:lineRule="exact"/>
        <w:ind w:firstLine="560" w:firstLineChars="200"/>
        <w:rPr>
          <w:rFonts w:hint="eastAsia" w:ascii="华文仿宋" w:hAnsi="华文仿宋" w:eastAsia="华文仿宋"/>
          <w:bCs/>
          <w:kern w:val="0"/>
          <w:sz w:val="28"/>
          <w:szCs w:val="28"/>
        </w:rPr>
      </w:pPr>
      <w:r>
        <w:rPr>
          <w:rFonts w:hint="eastAsia" w:ascii="华文仿宋" w:hAnsi="华文仿宋" w:eastAsia="华文仿宋"/>
          <w:bCs/>
          <w:kern w:val="0"/>
          <w:sz w:val="28"/>
          <w:szCs w:val="28"/>
        </w:rPr>
        <w:t>备注：</w:t>
      </w:r>
    </w:p>
    <w:p w14:paraId="2956B78D">
      <w:pPr>
        <w:widowControl/>
        <w:numPr>
          <w:ilvl w:val="0"/>
          <w:numId w:val="0"/>
        </w:numPr>
        <w:spacing w:line="400" w:lineRule="exact"/>
        <w:ind w:firstLine="560" w:firstLineChars="200"/>
        <w:rPr>
          <w:rFonts w:hint="eastAsia" w:ascii="华文仿宋" w:hAnsi="华文仿宋" w:eastAsia="华文仿宋"/>
          <w:bCs/>
          <w:kern w:val="0"/>
          <w:sz w:val="28"/>
          <w:szCs w:val="28"/>
        </w:rPr>
      </w:pPr>
      <w:r>
        <w:rPr>
          <w:rFonts w:hint="eastAsia" w:ascii="华文仿宋" w:hAnsi="华文仿宋" w:eastAsia="华文仿宋"/>
          <w:bCs/>
          <w:kern w:val="0"/>
          <w:sz w:val="28"/>
          <w:szCs w:val="28"/>
          <w:lang w:val="en-US" w:eastAsia="zh-CN"/>
        </w:rPr>
        <w:t>1.</w:t>
      </w:r>
      <w:r>
        <w:rPr>
          <w:rFonts w:hint="eastAsia" w:ascii="华文仿宋" w:hAnsi="华文仿宋" w:eastAsia="华文仿宋"/>
          <w:bCs/>
          <w:kern w:val="0"/>
          <w:sz w:val="28"/>
          <w:szCs w:val="28"/>
        </w:rPr>
        <w:t>报价表以人民币进行填报，月度服务费按照“元/月/人”进行填报。</w:t>
      </w:r>
    </w:p>
    <w:p w14:paraId="34D376EB">
      <w:pPr>
        <w:widowControl/>
        <w:numPr>
          <w:ilvl w:val="0"/>
          <w:numId w:val="0"/>
        </w:numPr>
        <w:spacing w:line="400" w:lineRule="exact"/>
        <w:ind w:firstLine="560" w:firstLineChars="200"/>
        <w:rPr>
          <w:rFonts w:hint="eastAsia" w:ascii="华文仿宋" w:hAnsi="华文仿宋" w:eastAsia="华文仿宋"/>
          <w:bCs/>
          <w:kern w:val="0"/>
          <w:sz w:val="28"/>
          <w:szCs w:val="28"/>
          <w:highlight w:val="none"/>
        </w:rPr>
      </w:pPr>
      <w:r>
        <w:rPr>
          <w:rFonts w:hint="eastAsia" w:ascii="华文仿宋" w:hAnsi="华文仿宋" w:eastAsia="华文仿宋"/>
          <w:bCs/>
          <w:kern w:val="0"/>
          <w:sz w:val="28"/>
          <w:szCs w:val="28"/>
          <w:lang w:val="en-US" w:eastAsia="zh-CN"/>
        </w:rPr>
        <w:t>2</w:t>
      </w:r>
      <w:r>
        <w:rPr>
          <w:rFonts w:hint="eastAsia" w:ascii="华文仿宋" w:hAnsi="华文仿宋" w:eastAsia="华文仿宋"/>
          <w:bCs/>
          <w:kern w:val="0"/>
          <w:sz w:val="28"/>
          <w:szCs w:val="28"/>
        </w:rPr>
        <w:t>.</w:t>
      </w:r>
      <w:r>
        <w:rPr>
          <w:rFonts w:ascii="华文仿宋" w:hAnsi="华文仿宋" w:eastAsia="华文仿宋"/>
          <w:bCs/>
          <w:kern w:val="0"/>
          <w:sz w:val="28"/>
          <w:szCs w:val="28"/>
        </w:rPr>
        <w:t>岗位人员工资、社</w:t>
      </w:r>
      <w:r>
        <w:rPr>
          <w:rFonts w:ascii="华文仿宋" w:hAnsi="华文仿宋" w:eastAsia="华文仿宋"/>
          <w:bCs/>
          <w:kern w:val="0"/>
          <w:sz w:val="28"/>
          <w:szCs w:val="28"/>
          <w:highlight w:val="none"/>
        </w:rPr>
        <w:t>会保险、税金须明确费用价格，取费不得低于国家规定的最低标准。</w:t>
      </w:r>
    </w:p>
    <w:p w14:paraId="1BE6C70E">
      <w:pPr>
        <w:widowControl/>
        <w:spacing w:line="400" w:lineRule="exact"/>
        <w:ind w:firstLine="560" w:firstLineChars="200"/>
        <w:rPr>
          <w:rFonts w:hint="eastAsia" w:ascii="华文仿宋" w:hAnsi="华文仿宋" w:eastAsia="华文仿宋"/>
          <w:bCs/>
          <w:kern w:val="0"/>
          <w:sz w:val="28"/>
          <w:szCs w:val="28"/>
          <w:highlight w:val="none"/>
        </w:rPr>
      </w:pPr>
      <w:r>
        <w:rPr>
          <w:rFonts w:hint="eastAsia" w:ascii="华文仿宋" w:hAnsi="华文仿宋" w:eastAsia="华文仿宋"/>
          <w:bCs/>
          <w:kern w:val="0"/>
          <w:sz w:val="28"/>
          <w:szCs w:val="28"/>
          <w:highlight w:val="none"/>
          <w:lang w:val="en-US" w:eastAsia="zh-CN"/>
        </w:rPr>
        <w:t>3.</w:t>
      </w:r>
      <w:r>
        <w:rPr>
          <w:rFonts w:ascii="华文仿宋" w:hAnsi="华文仿宋" w:eastAsia="华文仿宋"/>
          <w:bCs/>
          <w:kern w:val="0"/>
          <w:sz w:val="28"/>
          <w:szCs w:val="28"/>
          <w:highlight w:val="none"/>
        </w:rPr>
        <w:t>若聘用下岗、工龄买断、退休、残疾人员等无需缴纳社会保险的人员，请予以备注说明。</w:t>
      </w:r>
    </w:p>
    <w:p w14:paraId="47F46038">
      <w:pPr>
        <w:widowControl/>
        <w:spacing w:line="400" w:lineRule="exact"/>
        <w:ind w:firstLine="560" w:firstLineChars="200"/>
        <w:rPr>
          <w:rFonts w:hint="eastAsia" w:ascii="华文仿宋" w:hAnsi="华文仿宋" w:eastAsia="华文仿宋"/>
          <w:bCs/>
          <w:kern w:val="0"/>
          <w:sz w:val="28"/>
          <w:szCs w:val="28"/>
        </w:rPr>
      </w:pPr>
      <w:r>
        <w:rPr>
          <w:rFonts w:hint="eastAsia" w:ascii="华文仿宋" w:hAnsi="华文仿宋" w:eastAsia="华文仿宋"/>
          <w:bCs/>
          <w:kern w:val="0"/>
          <w:sz w:val="28"/>
          <w:szCs w:val="28"/>
          <w:highlight w:val="none"/>
          <w:lang w:val="en-US" w:eastAsia="zh-CN"/>
        </w:rPr>
        <w:t>5.</w:t>
      </w:r>
      <w:r>
        <w:rPr>
          <w:rFonts w:hint="eastAsia" w:ascii="华文仿宋" w:hAnsi="华文仿宋" w:eastAsia="华文仿宋"/>
          <w:bCs/>
          <w:kern w:val="0"/>
          <w:sz w:val="28"/>
          <w:szCs w:val="28"/>
          <w:highlight w:val="none"/>
        </w:rPr>
        <w:t>报价包括劳务支出（按照河南省</w:t>
      </w:r>
      <w:r>
        <w:rPr>
          <w:rFonts w:hint="eastAsia" w:ascii="华文仿宋" w:hAnsi="华文仿宋" w:eastAsia="华文仿宋"/>
          <w:bCs/>
          <w:kern w:val="0"/>
          <w:sz w:val="28"/>
          <w:szCs w:val="28"/>
        </w:rPr>
        <w:t>人民政府关于调整河南省最低工资标准的通知豫政[2025]25号文，工资不得低于驻马店市最低工资标准。</w:t>
      </w:r>
    </w:p>
    <w:p w14:paraId="64BF6ADA">
      <w:pPr>
        <w:widowControl/>
        <w:spacing w:line="400" w:lineRule="exact"/>
        <w:ind w:firstLine="560" w:firstLineChars="200"/>
        <w:rPr>
          <w:rFonts w:hint="eastAsia" w:ascii="华文仿宋" w:hAnsi="华文仿宋" w:eastAsia="华文仿宋"/>
          <w:bCs/>
          <w:kern w:val="0"/>
          <w:sz w:val="28"/>
          <w:szCs w:val="28"/>
        </w:rPr>
      </w:pPr>
      <w:r>
        <w:rPr>
          <w:rFonts w:hint="eastAsia" w:ascii="华文仿宋" w:hAnsi="华文仿宋" w:eastAsia="华文仿宋"/>
          <w:bCs/>
          <w:kern w:val="0"/>
          <w:sz w:val="28"/>
          <w:szCs w:val="28"/>
          <w:lang w:val="en-US" w:eastAsia="zh-CN"/>
        </w:rPr>
        <w:t>5.</w:t>
      </w:r>
      <w:r>
        <w:rPr>
          <w:rFonts w:hint="eastAsia" w:ascii="华文仿宋" w:hAnsi="华文仿宋" w:eastAsia="华文仿宋"/>
          <w:bCs/>
          <w:kern w:val="0"/>
          <w:sz w:val="28"/>
          <w:szCs w:val="28"/>
        </w:rPr>
        <w:t>本项目报价为全包价，包含人员工资、社会保险、加班费、福利费、培训费、服装装备费、管理费、税金、利润及完成本项目所需的一切费用。</w:t>
      </w:r>
    </w:p>
    <w:p w14:paraId="46304340">
      <w:pPr>
        <w:widowControl/>
        <w:spacing w:line="400" w:lineRule="exact"/>
        <w:ind w:firstLine="560" w:firstLineChars="200"/>
        <w:rPr>
          <w:rFonts w:hint="eastAsia" w:ascii="华文仿宋" w:hAnsi="华文仿宋" w:eastAsia="华文仿宋"/>
          <w:bCs/>
          <w:kern w:val="0"/>
          <w:sz w:val="28"/>
          <w:szCs w:val="28"/>
        </w:rPr>
      </w:pPr>
      <w:r>
        <w:rPr>
          <w:rFonts w:hint="eastAsia" w:ascii="华文仿宋" w:hAnsi="华文仿宋" w:eastAsia="华文仿宋"/>
          <w:bCs/>
          <w:kern w:val="0"/>
          <w:sz w:val="28"/>
          <w:szCs w:val="28"/>
          <w:lang w:val="en-US" w:eastAsia="zh-CN"/>
        </w:rPr>
        <w:t>6.</w:t>
      </w:r>
      <w:r>
        <w:rPr>
          <w:rFonts w:hint="eastAsia" w:ascii="华文仿宋" w:hAnsi="华文仿宋" w:eastAsia="华文仿宋"/>
          <w:bCs/>
          <w:kern w:val="0"/>
          <w:sz w:val="28"/>
          <w:szCs w:val="28"/>
        </w:rPr>
        <w:t>按照统筹管理、人岗相适、多劳多得、一岗一薪的原则，激发工作干劲，避免“大锅饭”，干多干少都一样的分配方式进行报价。</w:t>
      </w:r>
    </w:p>
    <w:p w14:paraId="491ED8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A907EFE-49F9-4977-9667-E290F47FB3A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908BBDD-6554-434A-9DF0-53D9E40A110D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746188B2-ADAC-4D62-B6D7-4C13B059DB1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055D9E7A-E02B-4323-8705-8303CF84AF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1550F"/>
    <w:rsid w:val="14A1550F"/>
    <w:rsid w:val="19FC50D4"/>
    <w:rsid w:val="6FDC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 w:asciiTheme="minorAscii" w:hAnsiTheme="minorAscii"/>
      <w:kern w:val="44"/>
      <w:sz w:val="32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2026-08-12T08:46:00Z</dcterms:created>
  <dc:creator>潘艳红</dc:creator>
  <cp:lastModifiedBy>潘艳红</cp:lastModifiedBy>
  <dcterms:modified xsi:type="dcterms:W3CDTF">2026-08-12T08:47:33Z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1C45B077CFBF46CD8C8D6BB6F555FF1E_11</vt:lpwstr>
  </property>
  <property fmtid="{D5CDD505-2E9C-101B-9397-08002B2CF9AE}" pid="4" name="KSOTemplateDocerSaveRecord">
    <vt:lpwstr>eyJoZGlkIjoiMzU0MTZjMjFkMjFjOGMwYTIzNWEzZDljNjYxZWI0MmYiLCJ1c2VySWQiOiIxNjg0NTc5MjM2In0=</vt:lpwstr>
  </property>
</Properties>
</file>