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A212F4">
      <w:pPr>
        <w:rPr>
          <w:rFonts w:hint="eastAsia"/>
          <w:lang w:val="en-US" w:eastAsia="zh-CN"/>
        </w:rPr>
      </w:pPr>
    </w:p>
    <w:p w14:paraId="6DA7F933">
      <w:pPr>
        <w:jc w:val="center"/>
        <w:rPr>
          <w:rFonts w:hint="eastAsia" w:ascii="宋体" w:hAnsi="宋体" w:eastAsia="宋体" w:cs="宋体"/>
          <w:b/>
          <w:bCs/>
          <w:color w:val="auto"/>
          <w:kern w:val="0"/>
          <w:sz w:val="52"/>
          <w:szCs w:val="52"/>
          <w:highlight w:val="none"/>
          <w:lang w:val="en-US" w:eastAsia="zh-CN" w:bidi="ar-SA"/>
        </w:rPr>
      </w:pPr>
      <w:r>
        <w:rPr>
          <w:rFonts w:hint="eastAsia" w:ascii="宋体" w:hAnsi="宋体" w:eastAsia="宋体" w:cs="宋体"/>
          <w:b/>
          <w:bCs/>
          <w:color w:val="auto"/>
          <w:kern w:val="0"/>
          <w:sz w:val="52"/>
          <w:szCs w:val="52"/>
          <w:highlight w:val="none"/>
          <w:lang w:val="en-US" w:eastAsia="zh-CN" w:bidi="ar-SA"/>
        </w:rPr>
        <w:t>驻马店市中心医院电动站立病床</w:t>
      </w:r>
    </w:p>
    <w:p w14:paraId="43B7407E">
      <w:pPr>
        <w:jc w:val="center"/>
        <w:rPr>
          <w:rFonts w:hint="eastAsia" w:ascii="宋体" w:hAnsi="宋体" w:eastAsia="宋体" w:cs="宋体"/>
          <w:b/>
          <w:bCs/>
          <w:color w:val="auto"/>
          <w:kern w:val="0"/>
          <w:sz w:val="52"/>
          <w:szCs w:val="52"/>
          <w:highlight w:val="none"/>
          <w:lang w:val="en-US" w:eastAsia="zh-CN" w:bidi="ar-SA"/>
        </w:rPr>
      </w:pPr>
      <w:r>
        <w:rPr>
          <w:rFonts w:hint="eastAsia" w:ascii="宋体" w:hAnsi="宋体" w:eastAsia="宋体" w:cs="宋体"/>
          <w:b/>
          <w:bCs/>
          <w:color w:val="auto"/>
          <w:kern w:val="0"/>
          <w:sz w:val="52"/>
          <w:szCs w:val="52"/>
          <w:highlight w:val="none"/>
          <w:lang w:val="en-US" w:eastAsia="zh-CN" w:bidi="ar-SA"/>
        </w:rPr>
        <w:t>采购项目</w:t>
      </w:r>
    </w:p>
    <w:p w14:paraId="3041D311">
      <w:pPr>
        <w:pStyle w:val="20"/>
        <w:bidi w:val="0"/>
        <w:jc w:val="center"/>
        <w:rPr>
          <w:rStyle w:val="45"/>
          <w:rFonts w:hint="eastAsia" w:cs="宋体"/>
          <w:b/>
          <w:bCs/>
          <w:color w:val="auto"/>
          <w:sz w:val="44"/>
          <w:szCs w:val="44"/>
          <w:highlight w:val="none"/>
          <w:lang w:val="en-US" w:eastAsia="zh-CN"/>
        </w:rPr>
      </w:pPr>
    </w:p>
    <w:p w14:paraId="72164425">
      <w:pPr>
        <w:pStyle w:val="20"/>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5"/>
          <w:rFonts w:hint="eastAsia" w:ascii="宋体" w:hAnsi="宋体" w:eastAsia="宋体" w:cs="宋体"/>
          <w:b/>
          <w:bCs/>
          <w:color w:val="auto"/>
          <w:sz w:val="48"/>
          <w:szCs w:val="48"/>
          <w:highlight w:val="none"/>
        </w:rPr>
      </w:pPr>
    </w:p>
    <w:p w14:paraId="158E927F">
      <w:pPr>
        <w:pStyle w:val="20"/>
        <w:bidi w:val="0"/>
        <w:jc w:val="center"/>
        <w:rPr>
          <w:rStyle w:val="45"/>
          <w:rFonts w:hint="eastAsia" w:ascii="宋体" w:hAnsi="宋体" w:eastAsia="宋体" w:cs="宋体"/>
          <w:b/>
          <w:bCs/>
          <w:color w:val="auto"/>
          <w:sz w:val="48"/>
          <w:szCs w:val="48"/>
          <w:highlight w:val="none"/>
        </w:rPr>
      </w:pPr>
    </w:p>
    <w:p w14:paraId="5ABC8E99">
      <w:pPr>
        <w:pStyle w:val="20"/>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7AF7132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311C27B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eastAsia="宋体" w:cs="宋体"/>
          <w:b/>
          <w:bCs/>
          <w:color w:val="auto"/>
          <w:spacing w:val="-10"/>
          <w:sz w:val="36"/>
          <w:szCs w:val="36"/>
          <w:highlight w:val="none"/>
          <w:lang w:val="en-US" w:eastAsia="zh-CN"/>
        </w:rPr>
        <w:t>中岑工程咨询有限公司</w:t>
      </w:r>
    </w:p>
    <w:p w14:paraId="4FCBE59C">
      <w:pPr>
        <w:tabs>
          <w:tab w:val="left" w:pos="2700"/>
          <w:tab w:val="left" w:pos="2880"/>
          <w:tab w:val="left" w:pos="3060"/>
          <w:tab w:val="left" w:pos="7560"/>
        </w:tabs>
        <w:snapToGrid w:val="0"/>
        <w:spacing w:line="480" w:lineRule="auto"/>
        <w:ind w:firstLine="1928" w:firstLineChars="600"/>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4"/>
        <w:rPr>
          <w:rFonts w:hint="eastAsia" w:ascii="宋体" w:hAnsi="宋体" w:eastAsia="宋体" w:cs="宋体"/>
          <w:color w:val="auto"/>
          <w:highlight w:val="none"/>
        </w:rPr>
      </w:pPr>
    </w:p>
    <w:p w14:paraId="5621469A">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_Toc26528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第一章  </w:t>
      </w:r>
      <w:r>
        <w:rPr>
          <w:rFonts w:hint="eastAsia" w:ascii="宋体" w:hAnsi="宋体" w:eastAsia="宋体" w:cs="宋体"/>
          <w:color w:val="auto"/>
          <w:sz w:val="24"/>
          <w:szCs w:val="40"/>
          <w:highlight w:val="none"/>
          <w:lang w:val="en-US" w:eastAsia="zh-CN"/>
        </w:rPr>
        <w:t>竞争性磋商</w:t>
      </w:r>
      <w:r>
        <w:rPr>
          <w:rFonts w:hint="eastAsia" w:ascii="宋体" w:hAnsi="宋体" w:eastAsia="宋体" w:cs="宋体"/>
          <w:color w:val="auto"/>
          <w:sz w:val="24"/>
          <w:szCs w:val="40"/>
          <w:highlight w:val="none"/>
        </w:rPr>
        <w:t>公告</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_Toc26528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78C5A8E5">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_Toc19124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eastAsia="zh-CN"/>
        </w:rPr>
        <w:t>采购</w:t>
      </w:r>
      <w:r>
        <w:rPr>
          <w:rFonts w:hint="eastAsia" w:ascii="宋体" w:hAnsi="宋体" w:eastAsia="宋体" w:cs="宋体"/>
          <w:color w:val="auto"/>
          <w:sz w:val="24"/>
          <w:szCs w:val="40"/>
          <w:highlight w:val="none"/>
        </w:rPr>
        <w:t>需求</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_Toc19124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5</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2B55758C">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_Toc8501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sz w:val="24"/>
          <w:szCs w:val="40"/>
          <w:highlight w:val="none"/>
        </w:rPr>
        <w:t xml:space="preserve">第三章  </w:t>
      </w:r>
      <w:r>
        <w:rPr>
          <w:rFonts w:hint="eastAsia" w:ascii="宋体" w:hAnsi="宋体" w:eastAsia="宋体" w:cs="宋体"/>
          <w:bCs/>
          <w:color w:val="auto"/>
          <w:sz w:val="24"/>
          <w:szCs w:val="40"/>
          <w:highlight w:val="none"/>
          <w:lang w:eastAsia="zh-CN"/>
        </w:rPr>
        <w:t>供应商</w:t>
      </w:r>
      <w:r>
        <w:rPr>
          <w:rFonts w:hint="eastAsia" w:ascii="宋体" w:hAnsi="宋体" w:eastAsia="宋体" w:cs="宋体"/>
          <w:bCs/>
          <w:color w:val="auto"/>
          <w:sz w:val="24"/>
          <w:szCs w:val="40"/>
          <w:highlight w:val="none"/>
        </w:rPr>
        <w:t>须知</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_Toc8501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9</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1D52CE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_Toc31399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kern w:val="0"/>
          <w:sz w:val="24"/>
          <w:szCs w:val="40"/>
          <w:highlight w:val="none"/>
        </w:rPr>
        <w:t>第四章  评标办法及评分标准</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_Toc31399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18</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C59EEF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_Toc11904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36"/>
          <w:highlight w:val="none"/>
        </w:rPr>
        <w:t>第五章  采购合同</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_Toc11904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20</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99D6560">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_Toc18702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第六章  </w:t>
      </w:r>
      <w:r>
        <w:rPr>
          <w:rFonts w:hint="eastAsia" w:ascii="宋体" w:hAnsi="宋体" w:eastAsia="宋体" w:cs="宋体"/>
          <w:color w:val="auto"/>
          <w:sz w:val="24"/>
          <w:szCs w:val="40"/>
          <w:highlight w:val="none"/>
          <w:lang w:val="en-US" w:eastAsia="zh-CN"/>
        </w:rPr>
        <w:t>响应</w:t>
      </w:r>
      <w:r>
        <w:rPr>
          <w:rFonts w:hint="eastAsia" w:ascii="宋体" w:hAnsi="宋体" w:eastAsia="宋体" w:cs="宋体"/>
          <w:color w:val="auto"/>
          <w:sz w:val="24"/>
          <w:szCs w:val="40"/>
          <w:highlight w:val="none"/>
        </w:rPr>
        <w:t>文件格式</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_Toc18702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27</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0"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0"/>
    </w:p>
    <w:p w14:paraId="001E219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eastAsia="宋体" w:cs="宋体"/>
          <w:b/>
          <w:bCs w:val="0"/>
          <w:color w:val="auto"/>
          <w:kern w:val="0"/>
          <w:sz w:val="28"/>
          <w:szCs w:val="28"/>
          <w:highlight w:val="none"/>
          <w:u w:val="none"/>
          <w:lang w:val="en-US" w:eastAsia="zh-CN"/>
        </w:rPr>
        <w:t>驻马店市中心医院</w:t>
      </w:r>
      <w:r>
        <w:rPr>
          <w:rFonts w:hint="eastAsia" w:ascii="宋体" w:hAnsi="宋体" w:cs="宋体"/>
          <w:b/>
          <w:bCs w:val="0"/>
          <w:color w:val="auto"/>
          <w:kern w:val="0"/>
          <w:sz w:val="28"/>
          <w:szCs w:val="28"/>
          <w:highlight w:val="none"/>
          <w:u w:val="none"/>
          <w:lang w:val="en-US" w:eastAsia="zh-CN"/>
        </w:rPr>
        <w:t>电动站立病床采购项目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cs="宋体"/>
          <w:color w:val="auto"/>
          <w:sz w:val="24"/>
          <w:szCs w:val="32"/>
          <w:highlight w:val="none"/>
          <w:u w:val="single"/>
          <w:lang w:val="en-US" w:eastAsia="zh-CN"/>
        </w:rPr>
        <w:t>电动站立病床采购项目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eastAsia="宋体" w:cs="宋体"/>
          <w:color w:val="auto"/>
          <w:sz w:val="24"/>
          <w:szCs w:val="24"/>
          <w:highlight w:val="none"/>
          <w:shd w:val="clear" w:color="auto" w:fill="FFFFFF"/>
          <w:lang w:val="en-US" w:eastAsia="zh-CN"/>
        </w:rPr>
        <w:t>驻马店市中心医院</w:t>
      </w:r>
      <w:r>
        <w:rPr>
          <w:rFonts w:hint="eastAsia" w:ascii="宋体" w:hAnsi="宋体" w:cs="宋体"/>
          <w:color w:val="auto"/>
          <w:sz w:val="24"/>
          <w:szCs w:val="24"/>
          <w:highlight w:val="none"/>
          <w:shd w:val="clear" w:color="auto" w:fill="FFFFFF"/>
          <w:lang w:val="en-US" w:eastAsia="zh-CN"/>
        </w:rPr>
        <w:t>电动站立病床采购项目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w:t>
      </w:r>
      <w:bookmarkStart w:id="1"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30</w:t>
      </w:r>
      <w:r>
        <w:rPr>
          <w:rFonts w:hint="eastAsia" w:ascii="宋体" w:hAnsi="宋体" w:eastAsia="宋体" w:cs="宋体"/>
          <w:color w:val="auto"/>
          <w:sz w:val="24"/>
          <w:szCs w:val="24"/>
          <w:highlight w:val="none"/>
          <w:shd w:val="clear" w:color="auto" w:fill="FFFFFF"/>
        </w:rPr>
        <w:t>万元</w:t>
      </w:r>
      <w:r>
        <w:rPr>
          <w:rFonts w:hint="eastAsia" w:ascii="宋体" w:hAnsi="宋体" w:cs="宋体"/>
          <w:color w:val="auto"/>
          <w:sz w:val="24"/>
          <w:szCs w:val="24"/>
          <w:highlight w:val="none"/>
          <w:shd w:val="clear" w:color="auto" w:fill="FFFFFF"/>
          <w:lang w:eastAsia="zh-CN"/>
        </w:rPr>
        <w:t>；</w:t>
      </w:r>
    </w:p>
    <w:p w14:paraId="4E639B9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交货期：</w:t>
      </w:r>
      <w:bookmarkStart w:id="2" w:name="_Toc23626"/>
      <w:bookmarkStart w:id="3" w:name="_Toc16639"/>
      <w:bookmarkStart w:id="4" w:name="_Toc18607"/>
      <w:bookmarkStart w:id="5" w:name="_Toc27704"/>
      <w:r>
        <w:rPr>
          <w:rFonts w:hint="eastAsia" w:ascii="宋体" w:hAnsi="宋体" w:eastAsia="宋体" w:cs="宋体"/>
          <w:color w:val="auto"/>
          <w:sz w:val="24"/>
          <w:szCs w:val="24"/>
          <w:highlight w:val="none"/>
          <w:shd w:val="clear" w:color="auto" w:fill="FFFFFF"/>
          <w:lang w:val="en-US" w:eastAsia="zh-CN"/>
        </w:rPr>
        <w:t>合同签订后30日内交货</w:t>
      </w:r>
    </w:p>
    <w:p w14:paraId="03CB2157">
      <w:pPr>
        <w:keepNext w:val="0"/>
        <w:keepLines w:val="0"/>
        <w:pageBreakBefore w:val="0"/>
        <w:widowControl/>
        <w:tabs>
          <w:tab w:val="left" w:pos="840"/>
        </w:tabs>
        <w:kinsoku/>
        <w:overflowPunct/>
        <w:topLinePunct w:val="0"/>
        <w:autoSpaceDE/>
        <w:autoSpaceDN/>
        <w:bidi w:val="0"/>
        <w:snapToGrid w:val="0"/>
        <w:spacing w:line="324" w:lineRule="auto"/>
        <w:ind w:firstLine="482" w:firstLineChars="200"/>
        <w:jc w:val="left"/>
        <w:textAlignment w:val="auto"/>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二、</w:t>
      </w:r>
      <w:bookmarkEnd w:id="1"/>
      <w:bookmarkEnd w:id="2"/>
      <w:bookmarkEnd w:id="3"/>
      <w:bookmarkEnd w:id="4"/>
      <w:bookmarkEnd w:id="5"/>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6" w:name="_Toc30643"/>
      <w:bookmarkStart w:id="7" w:name="_Toc23395"/>
      <w:bookmarkStart w:id="8" w:name="_Toc30971"/>
      <w:bookmarkStart w:id="9" w:name="_Toc9562"/>
      <w:bookmarkStart w:id="10" w:name="_Toc7823"/>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3F8D40C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w:t>
      </w:r>
      <w:r>
        <w:rPr>
          <w:rFonts w:hint="eastAsia" w:ascii="宋体" w:hAnsi="宋体" w:cs="宋体"/>
          <w:color w:val="auto"/>
          <w:sz w:val="24"/>
          <w:szCs w:val="24"/>
          <w:highlight w:val="none"/>
          <w:shd w:val="clear" w:color="auto" w:fill="FFFFFF"/>
          <w:lang w:val="en-US" w:eastAsia="zh-CN"/>
        </w:rPr>
        <w:t>作为</w:t>
      </w:r>
      <w:r>
        <w:rPr>
          <w:rFonts w:hint="eastAsia" w:ascii="宋体" w:hAnsi="宋体" w:eastAsia="宋体" w:cs="宋体"/>
          <w:color w:val="auto"/>
          <w:sz w:val="24"/>
          <w:szCs w:val="24"/>
          <w:highlight w:val="none"/>
          <w:shd w:val="clear" w:color="auto" w:fill="FFFFFF"/>
          <w:lang w:val="en-US" w:eastAsia="zh-CN"/>
        </w:rPr>
        <w:t>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3A22D49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eastAsia="宋体" w:cs="宋体"/>
          <w:color w:val="auto"/>
          <w:sz w:val="24"/>
          <w:szCs w:val="24"/>
          <w:lang w:val="en-US" w:eastAsia="zh-CN"/>
        </w:rPr>
        <w:t>供</w:t>
      </w:r>
      <w:r>
        <w:rPr>
          <w:rFonts w:ascii="宋体" w:hAnsi="宋体" w:eastAsia="宋体" w:cs="宋体"/>
          <w:color w:val="auto"/>
          <w:sz w:val="24"/>
          <w:szCs w:val="24"/>
        </w:rPr>
        <w:t>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r>
        <w:rPr>
          <w:rFonts w:hint="eastAsia" w:ascii="宋体" w:hAnsi="宋体" w:eastAsia="宋体" w:cs="宋体"/>
          <w:color w:val="auto"/>
          <w:sz w:val="24"/>
          <w:szCs w:val="24"/>
          <w:lang w:eastAsia="zh-CN"/>
        </w:rPr>
        <w:t>。</w:t>
      </w:r>
      <w:r>
        <w:rPr>
          <w:rFonts w:hint="eastAsia" w:ascii="宋体" w:hAnsi="宋体" w:cs="宋体"/>
          <w:color w:val="auto"/>
          <w:sz w:val="24"/>
          <w:szCs w:val="24"/>
          <w:highlight w:val="none"/>
          <w:shd w:val="clear" w:color="auto" w:fill="FFFFFF"/>
          <w:lang w:val="en-US" w:eastAsia="zh-CN"/>
        </w:rPr>
        <w:t xml:space="preserve">        </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6"/>
      <w:bookmarkEnd w:id="7"/>
      <w:bookmarkEnd w:id="8"/>
      <w:bookmarkEnd w:id="9"/>
      <w:bookmarkEnd w:id="10"/>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eastAsia="zh-CN"/>
        </w:rPr>
        <w:t>:</w:t>
      </w:r>
      <w:r>
        <w:rPr>
          <w:rFonts w:hint="eastAsia" w:ascii="宋体" w:hAnsi="宋体" w:cs="宋体"/>
          <w:color w:val="auto"/>
          <w:sz w:val="24"/>
          <w:szCs w:val="24"/>
          <w:highlight w:val="none"/>
          <w:shd w:val="clear" w:color="auto" w:fill="FFFFFF"/>
          <w:lang w:val="en-US" w:eastAsia="zh-CN"/>
        </w:rPr>
        <w:t>00－下午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cs="宋体"/>
          <w:color w:val="auto"/>
          <w:kern w:val="0"/>
          <w:sz w:val="24"/>
          <w:szCs w:val="24"/>
          <w:highlight w:val="none"/>
          <w:shd w:val="clear" w:color="auto" w:fill="FFFFFF"/>
          <w:lang w:val="en-US" w:eastAsia="zh-CN" w:bidi="ar-SA"/>
        </w:rPr>
        <w:t>1322207651</w:t>
      </w:r>
      <w:r>
        <w:rPr>
          <w:rFonts w:hint="eastAsia" w:ascii="宋体" w:hAnsi="宋体" w:eastAsia="宋体" w:cs="宋体"/>
          <w:color w:val="auto"/>
          <w:kern w:val="0"/>
          <w:sz w:val="24"/>
          <w:szCs w:val="24"/>
          <w:highlight w:val="none"/>
          <w:shd w:val="clear" w:color="auto" w:fill="FFFFFF"/>
          <w:lang w:val="en-US" w:eastAsia="zh-CN" w:bidi="ar-SA"/>
        </w:rPr>
        <w:t>@qq.com</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项目XX包</w:t>
      </w:r>
      <w:r>
        <w:rPr>
          <w:rFonts w:hint="eastAsia" w:ascii="宋体" w:hAnsi="宋体" w:cs="宋体"/>
          <w:color w:val="auto"/>
          <w:kern w:val="0"/>
          <w:sz w:val="24"/>
          <w:szCs w:val="24"/>
          <w:highlight w:val="none"/>
          <w:shd w:val="clear" w:color="auto" w:fill="FFFFFF"/>
          <w:lang w:val="en-US" w:eastAsia="zh-CN" w:bidi="ar-SA"/>
        </w:rPr>
        <w:t>+联系人及电话”</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1" w:name="_Toc25869"/>
      <w:bookmarkStart w:id="12" w:name="_Toc15135"/>
      <w:bookmarkStart w:id="13" w:name="_Toc15111"/>
      <w:bookmarkStart w:id="14" w:name="_Toc27480"/>
      <w:bookmarkStart w:id="15" w:name="_Toc10738"/>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1"/>
      <w:bookmarkEnd w:id="12"/>
      <w:bookmarkEnd w:id="13"/>
      <w:bookmarkEnd w:id="14"/>
      <w:bookmarkEnd w:id="15"/>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6" w:name="_Toc20287"/>
      <w:bookmarkStart w:id="17" w:name="_Toc30918"/>
      <w:bookmarkStart w:id="18" w:name="_Toc6523"/>
      <w:bookmarkStart w:id="19" w:name="_Toc29784"/>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6"/>
      <w:bookmarkEnd w:id="17"/>
      <w:bookmarkEnd w:id="18"/>
      <w:bookmarkEnd w:id="19"/>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0" w:name="_Toc35393795"/>
      <w:bookmarkStart w:id="21" w:name="_Toc35393626"/>
    </w:p>
    <w:bookmarkEnd w:id="20"/>
    <w:bookmarkEnd w:id="21"/>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2" w:name="_Toc3604"/>
      <w:bookmarkStart w:id="23" w:name="_Toc16291"/>
      <w:bookmarkStart w:id="24" w:name="_Toc31928"/>
      <w:bookmarkStart w:id="25" w:name="_Toc24274"/>
      <w:bookmarkStart w:id="26" w:name="_Toc27370"/>
      <w:r>
        <w:rPr>
          <w:rFonts w:hint="eastAsia" w:ascii="宋体" w:hAnsi="宋体" w:eastAsia="宋体" w:cs="宋体"/>
          <w:b/>
          <w:bCs/>
          <w:color w:val="auto"/>
          <w:kern w:val="2"/>
          <w:sz w:val="24"/>
          <w:szCs w:val="24"/>
          <w:highlight w:val="none"/>
          <w:shd w:val="clear" w:color="auto" w:fill="FFFFFF"/>
          <w:lang w:val="en-US" w:eastAsia="zh-CN" w:bidi="ar-SA"/>
        </w:rPr>
        <w:t>七、</w:t>
      </w:r>
      <w:bookmarkEnd w:id="22"/>
      <w:bookmarkEnd w:id="23"/>
      <w:bookmarkEnd w:id="24"/>
      <w:bookmarkEnd w:id="25"/>
      <w:bookmarkEnd w:id="26"/>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3C992BD5">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p>
    <w:p w14:paraId="6BDC1A83">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采购代理机构：中岑工程咨询有限公司</w:t>
      </w:r>
    </w:p>
    <w:p w14:paraId="68A77DA9">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地址：河南自贸试验区郑州片区（郑东）普惠路80号1号楼1单元</w:t>
      </w:r>
    </w:p>
    <w:p w14:paraId="4E37C8EA">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w:t>
      </w:r>
      <w:r>
        <w:rPr>
          <w:rFonts w:hint="eastAsia" w:ascii="宋体" w:hAnsi="宋体" w:cs="宋体"/>
          <w:color w:val="auto"/>
          <w:kern w:val="0"/>
          <w:sz w:val="24"/>
          <w:szCs w:val="24"/>
          <w:highlight w:val="none"/>
          <w:shd w:val="clear" w:color="auto" w:fill="FFFFFF"/>
          <w:lang w:val="en-US" w:eastAsia="zh-CN" w:bidi="ar-SA"/>
        </w:rPr>
        <w:t>：张先生</w:t>
      </w:r>
    </w:p>
    <w:p w14:paraId="50BC114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w:t>
      </w:r>
      <w:r>
        <w:rPr>
          <w:rFonts w:hint="eastAsia" w:ascii="宋体" w:hAnsi="宋体" w:cs="宋体"/>
          <w:color w:val="auto"/>
          <w:kern w:val="0"/>
          <w:sz w:val="24"/>
          <w:szCs w:val="24"/>
          <w:highlight w:val="none"/>
          <w:shd w:val="clear" w:color="auto" w:fill="FFFFFF"/>
          <w:lang w:val="en-US" w:eastAsia="zh-CN" w:bidi="ar-SA"/>
        </w:rPr>
        <w:t>15236952225</w:t>
      </w:r>
    </w:p>
    <w:p w14:paraId="2630326C">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0000FF"/>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rPr>
        <w:t>日</w:t>
      </w:r>
    </w:p>
    <w:p w14:paraId="1C0E0222">
      <w:pPr>
        <w:rPr>
          <w:rFonts w:hint="eastAsia" w:ascii="宋体" w:hAnsi="宋体" w:eastAsia="宋体" w:cs="宋体"/>
          <w:b/>
          <w:color w:val="auto"/>
          <w:sz w:val="32"/>
          <w:szCs w:val="32"/>
          <w:highlight w:val="none"/>
        </w:rPr>
      </w:pPr>
      <w:bookmarkStart w:id="27" w:name="_Toc23793"/>
      <w:bookmarkStart w:id="28" w:name="_Toc29890"/>
      <w:r>
        <w:rPr>
          <w:rFonts w:hint="eastAsia" w:ascii="宋体" w:hAnsi="宋体" w:eastAsia="宋体" w:cs="宋体"/>
          <w:b/>
          <w:color w:val="auto"/>
          <w:sz w:val="32"/>
          <w:szCs w:val="32"/>
          <w:highlight w:val="none"/>
        </w:rPr>
        <w:br w:type="page"/>
      </w:r>
      <w:bookmarkStart w:id="78" w:name="_GoBack"/>
      <w:bookmarkEnd w:id="78"/>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29"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29"/>
      <w:bookmarkStart w:id="30" w:name="_Toc9989"/>
      <w:bookmarkStart w:id="31" w:name="_Toc31536"/>
      <w:bookmarkStart w:id="32" w:name="_Toc23610"/>
    </w:p>
    <w:bookmarkEnd w:id="27"/>
    <w:bookmarkEnd w:id="28"/>
    <w:bookmarkEnd w:id="30"/>
    <w:bookmarkEnd w:id="31"/>
    <w:bookmarkEnd w:id="32"/>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eastAsia="宋体" w:cs="宋体"/>
          <w:b w:val="0"/>
          <w:bCs w:val="0"/>
          <w:i w:val="0"/>
          <w:iCs/>
          <w:color w:val="auto"/>
          <w:sz w:val="24"/>
          <w:szCs w:val="24"/>
          <w:highlight w:val="none"/>
          <w:u w:val="none"/>
          <w:lang w:val="en-US" w:eastAsia="zh-CN"/>
        </w:rPr>
        <w:t>驻马店市中心医院</w:t>
      </w:r>
      <w:r>
        <w:rPr>
          <w:rFonts w:hint="eastAsia" w:ascii="宋体" w:hAnsi="宋体" w:cs="宋体"/>
          <w:b w:val="0"/>
          <w:bCs w:val="0"/>
          <w:i w:val="0"/>
          <w:iCs/>
          <w:color w:val="auto"/>
          <w:sz w:val="24"/>
          <w:szCs w:val="24"/>
          <w:highlight w:val="none"/>
          <w:u w:val="none"/>
          <w:lang w:val="en-US" w:eastAsia="zh-CN"/>
        </w:rPr>
        <w:t>电动站立病床采购项目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5"/>
        <w:tblW w:w="8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5"/>
        <w:gridCol w:w="2139"/>
        <w:gridCol w:w="850"/>
        <w:gridCol w:w="967"/>
        <w:gridCol w:w="1384"/>
        <w:gridCol w:w="1110"/>
        <w:gridCol w:w="1240"/>
        <w:gridCol w:w="5"/>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90" w:type="dxa"/>
            <w:gridSpan w:val="2"/>
            <w:vAlign w:val="center"/>
          </w:tcPr>
          <w:p w14:paraId="7BB03108">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cs="宋体"/>
                <w:b/>
                <w:bCs/>
                <w:color w:val="auto"/>
                <w:sz w:val="24"/>
                <w:szCs w:val="24"/>
                <w:highlight w:val="none"/>
                <w:lang w:val="en-US" w:eastAsia="zh-CN"/>
              </w:rPr>
              <w:t>包号</w:t>
            </w:r>
          </w:p>
        </w:tc>
        <w:tc>
          <w:tcPr>
            <w:tcW w:w="2139" w:type="dxa"/>
            <w:vAlign w:val="center"/>
          </w:tcPr>
          <w:p w14:paraId="1C818719">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cs="宋体"/>
                <w:b/>
                <w:bCs/>
                <w:color w:val="auto"/>
                <w:sz w:val="24"/>
                <w:szCs w:val="24"/>
                <w:highlight w:val="none"/>
                <w:lang w:val="en-US" w:eastAsia="zh-CN"/>
              </w:rPr>
              <w:t>设备</w:t>
            </w:r>
            <w:r>
              <w:rPr>
                <w:rFonts w:hint="eastAsia" w:ascii="宋体" w:hAnsi="宋体" w:eastAsia="宋体" w:cs="宋体"/>
                <w:b/>
                <w:bCs/>
                <w:color w:val="auto"/>
                <w:sz w:val="24"/>
                <w:szCs w:val="24"/>
                <w:highlight w:val="none"/>
              </w:rPr>
              <w:t>名称</w:t>
            </w:r>
          </w:p>
        </w:tc>
        <w:tc>
          <w:tcPr>
            <w:tcW w:w="850" w:type="dxa"/>
            <w:vAlign w:val="center"/>
          </w:tcPr>
          <w:p w14:paraId="2AF52A7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单位</w:t>
            </w:r>
          </w:p>
        </w:tc>
        <w:tc>
          <w:tcPr>
            <w:tcW w:w="967" w:type="dxa"/>
            <w:vAlign w:val="center"/>
          </w:tcPr>
          <w:p w14:paraId="78A9F1D6">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c>
          <w:tcPr>
            <w:tcW w:w="1384" w:type="dxa"/>
            <w:vAlign w:val="center"/>
          </w:tcPr>
          <w:p w14:paraId="665A7C5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资金</w:t>
            </w:r>
          </w:p>
          <w:p w14:paraId="2259F43F">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预算</w:t>
            </w:r>
          </w:p>
        </w:tc>
        <w:tc>
          <w:tcPr>
            <w:tcW w:w="1110" w:type="dxa"/>
            <w:vAlign w:val="center"/>
          </w:tcPr>
          <w:p w14:paraId="0C32BA6B">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资金</w:t>
            </w:r>
          </w:p>
          <w:p w14:paraId="0F2FBFF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性质</w:t>
            </w:r>
          </w:p>
        </w:tc>
        <w:tc>
          <w:tcPr>
            <w:tcW w:w="1245" w:type="dxa"/>
            <w:gridSpan w:val="2"/>
            <w:vAlign w:val="center"/>
          </w:tcPr>
          <w:p w14:paraId="0D5173F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国产/</w:t>
            </w:r>
          </w:p>
          <w:p w14:paraId="5E8880A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进口</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gridSpan w:val="2"/>
            <w:shd w:val="clear" w:color="auto" w:fill="auto"/>
            <w:vAlign w:val="center"/>
          </w:tcPr>
          <w:p w14:paraId="7E2267B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包1</w:t>
            </w:r>
          </w:p>
        </w:tc>
        <w:tc>
          <w:tcPr>
            <w:tcW w:w="2139" w:type="dxa"/>
            <w:shd w:val="clear" w:color="auto" w:fill="auto"/>
            <w:vAlign w:val="center"/>
          </w:tcPr>
          <w:p w14:paraId="3275158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电动站立病床</w:t>
            </w:r>
          </w:p>
        </w:tc>
        <w:tc>
          <w:tcPr>
            <w:tcW w:w="850" w:type="dxa"/>
            <w:shd w:val="clear" w:color="auto" w:fill="auto"/>
            <w:vAlign w:val="center"/>
          </w:tcPr>
          <w:p w14:paraId="2D610A1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台</w:t>
            </w:r>
          </w:p>
        </w:tc>
        <w:tc>
          <w:tcPr>
            <w:tcW w:w="967" w:type="dxa"/>
            <w:shd w:val="clear" w:color="auto" w:fill="auto"/>
            <w:vAlign w:val="center"/>
          </w:tcPr>
          <w:p w14:paraId="6E5A7B3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w:t>
            </w:r>
            <w:r>
              <w:rPr>
                <w:rFonts w:hint="eastAsia" w:ascii="宋体" w:hAnsi="宋体" w:cs="宋体"/>
                <w:b w:val="0"/>
                <w:bCs w:val="0"/>
                <w:i w:val="0"/>
                <w:iCs/>
                <w:color w:val="auto"/>
                <w:sz w:val="24"/>
                <w:szCs w:val="24"/>
                <w:highlight w:val="none"/>
                <w:u w:val="none"/>
                <w:lang w:val="en-US" w:eastAsia="zh-CN"/>
              </w:rPr>
              <w:t>0</w:t>
            </w:r>
          </w:p>
        </w:tc>
        <w:tc>
          <w:tcPr>
            <w:tcW w:w="1384" w:type="dxa"/>
            <w:shd w:val="clear" w:color="auto" w:fill="auto"/>
            <w:vAlign w:val="center"/>
          </w:tcPr>
          <w:p w14:paraId="3326862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30万元</w:t>
            </w:r>
          </w:p>
        </w:tc>
        <w:tc>
          <w:tcPr>
            <w:tcW w:w="1110" w:type="dxa"/>
            <w:shd w:val="clear" w:color="auto" w:fill="auto"/>
            <w:vAlign w:val="center"/>
          </w:tcPr>
          <w:p w14:paraId="18BFE3E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自筹</w:t>
            </w:r>
          </w:p>
        </w:tc>
        <w:tc>
          <w:tcPr>
            <w:tcW w:w="1245" w:type="dxa"/>
            <w:gridSpan w:val="2"/>
            <w:shd w:val="clear" w:color="auto" w:fill="auto"/>
            <w:vAlign w:val="center"/>
          </w:tcPr>
          <w:p w14:paraId="1F5FAC6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国产</w:t>
            </w: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jc w:val="center"/>
        </w:trPr>
        <w:tc>
          <w:tcPr>
            <w:tcW w:w="990" w:type="dxa"/>
            <w:gridSpan w:val="2"/>
            <w:vAlign w:val="center"/>
          </w:tcPr>
          <w:p w14:paraId="14EDC71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合计</w:t>
            </w:r>
          </w:p>
        </w:tc>
        <w:tc>
          <w:tcPr>
            <w:tcW w:w="7690" w:type="dxa"/>
            <w:gridSpan w:val="6"/>
            <w:vAlign w:val="center"/>
          </w:tcPr>
          <w:p w14:paraId="777C43F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30</w:t>
            </w:r>
            <w:r>
              <w:rPr>
                <w:rFonts w:hint="eastAsia" w:ascii="宋体" w:hAnsi="宋体" w:eastAsia="宋体" w:cs="宋体"/>
                <w:b/>
                <w:bCs/>
                <w:color w:val="auto"/>
                <w:sz w:val="24"/>
                <w:szCs w:val="24"/>
                <w:highlight w:val="none"/>
                <w:vertAlign w:val="baseline"/>
                <w:lang w:val="en-US" w:eastAsia="zh-CN"/>
              </w:rPr>
              <w:t>万元</w:t>
            </w:r>
          </w:p>
        </w:tc>
      </w:tr>
      <w:tr w14:paraId="3A52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jc w:val="center"/>
        </w:trPr>
        <w:tc>
          <w:tcPr>
            <w:tcW w:w="985" w:type="dxa"/>
            <w:vAlign w:val="center"/>
          </w:tcPr>
          <w:p w14:paraId="217B087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备注</w:t>
            </w:r>
          </w:p>
        </w:tc>
        <w:tc>
          <w:tcPr>
            <w:tcW w:w="7695" w:type="dxa"/>
            <w:gridSpan w:val="7"/>
            <w:vAlign w:val="center"/>
          </w:tcPr>
          <w:p w14:paraId="7E67570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w:t>
            </w:r>
          </w:p>
        </w:tc>
      </w:tr>
    </w:tbl>
    <w:p w14:paraId="10E84755">
      <w:pPr>
        <w:numPr>
          <w:ilvl w:val="0"/>
          <w:numId w:val="1"/>
        </w:numPr>
        <w:spacing w:line="360"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技术要求：</w:t>
      </w:r>
    </w:p>
    <w:p w14:paraId="50538C3B">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sz w:val="24"/>
          <w:szCs w:val="24"/>
          <w:highlight w:val="none"/>
          <w:lang w:val="en-US" w:eastAsia="zh-CN"/>
        </w:rPr>
        <w:t>供应商需提供所投设备的医疗器械注册证【含附件：产品技术要求（如有）】或备案凭证，如未按要求提供，则投标无效。</w:t>
      </w:r>
    </w:p>
    <w:p w14:paraId="43D2A06B">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both"/>
        <w:textAlignment w:val="auto"/>
        <w:rPr>
          <w:rFonts w:hint="eastAsia" w:ascii="宋体" w:hAnsi="宋体" w:eastAsia="宋体" w:cs="宋体"/>
          <w:b/>
          <w:bCs/>
          <w:i w:val="0"/>
          <w:iCs/>
          <w:color w:val="auto"/>
          <w:sz w:val="24"/>
          <w:szCs w:val="24"/>
          <w:highlight w:val="none"/>
          <w:u w:val="none"/>
          <w:lang w:val="en-US" w:eastAsia="zh-CN"/>
        </w:rPr>
      </w:pPr>
      <w:r>
        <w:rPr>
          <w:rFonts w:hint="eastAsia" w:ascii="宋体" w:hAnsi="宋体" w:cs="宋体"/>
          <w:b/>
          <w:bCs/>
          <w:i w:val="0"/>
          <w:iCs/>
          <w:color w:val="auto"/>
          <w:sz w:val="24"/>
          <w:szCs w:val="24"/>
          <w:highlight w:val="none"/>
          <w:u w:val="none"/>
          <w:lang w:val="en-US" w:eastAsia="zh-CN"/>
        </w:rPr>
        <w:t>（二）</w:t>
      </w:r>
      <w:r>
        <w:rPr>
          <w:rFonts w:hint="eastAsia" w:ascii="宋体" w:hAnsi="宋体" w:eastAsia="宋体" w:cs="宋体"/>
          <w:b/>
          <w:bCs/>
          <w:i w:val="0"/>
          <w:iCs/>
          <w:color w:val="auto"/>
          <w:sz w:val="24"/>
          <w:szCs w:val="24"/>
          <w:highlight w:val="none"/>
          <w:u w:val="none"/>
          <w:lang w:val="en-US" w:eastAsia="zh-CN"/>
        </w:rPr>
        <w:t>电动站立病床采购项目技术参数</w:t>
      </w:r>
    </w:p>
    <w:p w14:paraId="0B2A495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1.床体站立位角度可电动调节，调节范围：0~85°。</w:t>
      </w:r>
    </w:p>
    <w:p w14:paraId="293D716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2.床体垂头仰卧位可电动调节，角度≥12°。</w:t>
      </w:r>
    </w:p>
    <w:p w14:paraId="52AF915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3.床体靠背板可电动调节，调节范围：0~60°；大腿板可电动调节，调节范围：0~30°。</w:t>
      </w:r>
    </w:p>
    <w:p w14:paraId="77C8C48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4.小腿板具有手动≥7档高度可调。</w:t>
      </w:r>
    </w:p>
    <w:p w14:paraId="6D503C3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5.床体可电动垂直升降，升降高度调节范围：最低离地≤500mm；最高离地≥780mm。</w:t>
      </w:r>
    </w:p>
    <w:p w14:paraId="51133DA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6.具有一键CPR功能，一键即可使床体恢复至最低高度的水平位。</w:t>
      </w:r>
    </w:p>
    <w:p w14:paraId="54E792F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7.配有可折叠式护栏，护栏高度：≥350mm。</w:t>
      </w:r>
    </w:p>
    <w:p w14:paraId="5FD9875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8.配有专用足部踏板，</w:t>
      </w:r>
      <w:bookmarkStart w:id="33" w:name="_Hlk176200993"/>
      <w:r>
        <w:rPr>
          <w:rFonts w:hint="eastAsia" w:ascii="宋体" w:hAnsi="宋体" w:eastAsia="宋体" w:cs="宋体"/>
          <w:b w:val="0"/>
          <w:bCs w:val="0"/>
          <w:i w:val="0"/>
          <w:iCs/>
          <w:color w:val="auto"/>
          <w:sz w:val="24"/>
          <w:szCs w:val="24"/>
          <w:highlight w:val="none"/>
          <w:u w:val="none"/>
          <w:lang w:val="en-US" w:eastAsia="zh-CN"/>
        </w:rPr>
        <w:t>足部踏板在3000N载荷下变形量≤0.5%</w:t>
      </w:r>
      <w:bookmarkEnd w:id="33"/>
      <w:r>
        <w:rPr>
          <w:rFonts w:hint="eastAsia" w:ascii="宋体" w:hAnsi="宋体" w:eastAsia="宋体" w:cs="宋体"/>
          <w:b w:val="0"/>
          <w:bCs w:val="0"/>
          <w:i w:val="0"/>
          <w:iCs/>
          <w:color w:val="auto"/>
          <w:sz w:val="24"/>
          <w:szCs w:val="24"/>
          <w:highlight w:val="none"/>
          <w:u w:val="none"/>
          <w:lang w:val="en-US" w:eastAsia="zh-CN"/>
        </w:rPr>
        <w:t>。</w:t>
      </w:r>
    </w:p>
    <w:p w14:paraId="7C8D98B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 xml:space="preserve">9.配有≥3条魔术贴和卡扣的多重安全保护带，且保护带静态最大承重≥500N。 </w:t>
      </w:r>
    </w:p>
    <w:p w14:paraId="67F0167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10.床下框离地间距不小于150mm，方便床旁型主被动训练仪器的使用。</w:t>
      </w:r>
    </w:p>
    <w:p w14:paraId="5494718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11.具有≥5个静音电机控制床体升降及角度，其中站立电机负载最大可达8000N。</w:t>
      </w:r>
    </w:p>
    <w:p w14:paraId="411BA69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12.双重供电模式，内部电源可在断电的情况下继续工作。</w:t>
      </w:r>
    </w:p>
    <w:p w14:paraId="1FEC6C9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13.站立安全系统：在执行直立训练操作时，如果床体其他部位未处于最低位，则须先等待其他部位下降至最低位后（自动复位），方可执行整体前倾操作。</w:t>
      </w:r>
    </w:p>
    <w:p w14:paraId="3D29A15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14.床头板、床尾板可拆卸；护栏可上下移动。</w:t>
      </w:r>
    </w:p>
    <w:p w14:paraId="3735FA3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15.足部踏板免工具拆装，配有四角防撞滚轮。</w:t>
      </w:r>
    </w:p>
    <w:p w14:paraId="5ABF874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16.四角配有输液杆安装孔位；床体两侧配有引流挂钩，床底配有4个脚刹医用万向轮。</w:t>
      </w:r>
    </w:p>
    <w:p w14:paraId="1DE4F75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17.配有紧急开关，紧急情况下按下停止设备工作。</w:t>
      </w:r>
    </w:p>
    <w:p w14:paraId="0D419F3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18.病床使用年限≥8年。</w:t>
      </w:r>
    </w:p>
    <w:p w14:paraId="70ED084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29.床体承重：≥175kg。</w:t>
      </w:r>
    </w:p>
    <w:p w14:paraId="05215F42">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（二）配置清单（包含但不限于</w:t>
      </w:r>
      <w:r>
        <w:rPr>
          <w:rFonts w:hint="eastAsia" w:ascii="宋体" w:hAnsi="宋体" w:eastAsia="宋体" w:cs="宋体"/>
          <w:b w:val="0"/>
          <w:bCs w:val="0"/>
          <w:i w:val="0"/>
          <w:iCs/>
          <w:color w:val="auto"/>
          <w:sz w:val="24"/>
          <w:szCs w:val="24"/>
          <w:highlight w:val="none"/>
          <w:u w:val="none"/>
          <w:lang w:val="en-US" w:eastAsia="zh-CN"/>
        </w:rPr>
        <w:t>）</w:t>
      </w:r>
    </w:p>
    <w:p w14:paraId="34480AB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1.床体（带手控器），1张</w:t>
      </w:r>
    </w:p>
    <w:p w14:paraId="26C77A8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2.床垫，1张</w:t>
      </w:r>
    </w:p>
    <w:p w14:paraId="0567F38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3.床头板，1块</w:t>
      </w:r>
    </w:p>
    <w:p w14:paraId="50670E9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4.护栏，4块</w:t>
      </w:r>
    </w:p>
    <w:p w14:paraId="1610A50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5.床尾板，1块</w:t>
      </w:r>
    </w:p>
    <w:p w14:paraId="326DD9A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6.固定绑带，3条</w:t>
      </w:r>
    </w:p>
    <w:p w14:paraId="3883769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7.防撞轮，4个</w:t>
      </w:r>
    </w:p>
    <w:p w14:paraId="31CCC293">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val="0"/>
          <w:bCs w:val="0"/>
          <w:i w:val="0"/>
          <w:iCs/>
          <w:color w:val="auto"/>
          <w:sz w:val="24"/>
          <w:szCs w:val="24"/>
          <w:highlight w:val="none"/>
          <w:u w:val="none"/>
          <w:lang w:val="en-US" w:eastAsia="zh-CN"/>
        </w:rPr>
      </w:pPr>
    </w:p>
    <w:p w14:paraId="5702F2F3">
      <w:pPr>
        <w:pStyle w:val="50"/>
        <w:rPr>
          <w:rFonts w:hint="eastAsia" w:ascii="宋体" w:hAnsi="宋体" w:eastAsia="宋体" w:cs="宋体"/>
          <w:b/>
          <w:bCs/>
          <w:color w:val="auto"/>
          <w:kern w:val="2"/>
          <w:sz w:val="21"/>
          <w:szCs w:val="24"/>
          <w:highlight w:val="none"/>
          <w:lang w:val="en-US" w:eastAsia="zh-CN" w:bidi="ar-SA"/>
        </w:rPr>
      </w:pPr>
    </w:p>
    <w:p w14:paraId="160A0B67">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22B3C3CB">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0B2E64F1">
      <w:pPr>
        <w:pStyle w:val="50"/>
        <w:ind w:left="0" w:leftChars="0" w:firstLine="0" w:firstLineChars="0"/>
        <w:rPr>
          <w:rFonts w:hint="eastAsia" w:ascii="宋体" w:hAnsi="宋体" w:eastAsia="宋体" w:cs="宋体"/>
          <w:b/>
          <w:bCs/>
          <w:color w:val="auto"/>
          <w:kern w:val="2"/>
          <w:sz w:val="21"/>
          <w:szCs w:val="24"/>
          <w:highlight w:val="none"/>
          <w:lang w:val="en-US" w:eastAsia="zh-CN" w:bidi="ar-SA"/>
        </w:rPr>
        <w:sectPr>
          <w:footerReference r:id="rId5" w:type="default"/>
          <w:pgSz w:w="11906" w:h="16838"/>
          <w:pgMar w:top="1417" w:right="1474" w:bottom="1417" w:left="1474" w:header="851" w:footer="624" w:gutter="0"/>
          <w:pgNumType w:fmt="decimal"/>
          <w:cols w:space="720" w:num="1"/>
          <w:docGrid w:type="lines" w:linePitch="319" w:charSpace="0"/>
        </w:sect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0FEC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0195EC">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交货期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6A337923">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合同签订后30日内交货</w:t>
            </w:r>
          </w:p>
        </w:tc>
      </w:tr>
      <w:tr w14:paraId="15D9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01C2F15">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交货地点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25DB0019">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采购人指定地点</w:t>
            </w:r>
          </w:p>
        </w:tc>
      </w:tr>
      <w:tr w14:paraId="07EA8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7A677B3">
            <w:pPr>
              <w:pStyle w:val="7"/>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7626650E">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从产品入库之日起，整机保修三年。</w:t>
            </w:r>
          </w:p>
        </w:tc>
      </w:tr>
      <w:tr w14:paraId="66D05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89A1A7B">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售后服务</w:t>
            </w:r>
          </w:p>
        </w:tc>
        <w:tc>
          <w:tcPr>
            <w:tcW w:w="7354" w:type="dxa"/>
            <w:tcBorders>
              <w:top w:val="single" w:color="auto" w:sz="4" w:space="0"/>
              <w:left w:val="single" w:color="auto" w:sz="4" w:space="0"/>
              <w:bottom w:val="single" w:color="auto" w:sz="4" w:space="0"/>
              <w:right w:val="single" w:color="auto" w:sz="4" w:space="0"/>
            </w:tcBorders>
            <w:noWrap/>
            <w:vAlign w:val="center"/>
          </w:tcPr>
          <w:p w14:paraId="5680CAE6">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1、质保期内应当为采购人提供以下技术支持和服务：</w:t>
            </w:r>
          </w:p>
          <w:p w14:paraId="0BBE2AC5">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a、现场响应：供应商应保证在12小时内对用户提出的问题或故障予以响应及处理。可提供备用设备或核心部件应急使用。</w:t>
            </w:r>
          </w:p>
          <w:p w14:paraId="4CE131CB">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b、中标人应当应每季度对该设备进行保养不少于一次,并出具保养报告，具体保养内容见合同。</w:t>
            </w:r>
          </w:p>
          <w:p w14:paraId="37D3DA05">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c、质保期内该设备应保证大于95%（含）的开机率，如达不到要求，每少于一天质保期顺延7天，如造成严重损失需赔偿用户经济损失或换货或退货。</w:t>
            </w:r>
          </w:p>
          <w:p w14:paraId="3B06D72C">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d、技术升级，如果制造商的产品技术升级，中标人应及时通知采购人，如采购人有相应要求，中标人和制造商应对采购人购买的产品进行免费升级服务。</w:t>
            </w:r>
          </w:p>
          <w:p w14:paraId="6E8CFB69">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e、投标人交付设备时，应按照《国家食品药品监督管理总局》第18号令第17条的要求提供相应的维护手册、维修手册、软件备份、故障代码表、备件清单、零部件、维修密码等维护维修必需的材料和信息。</w:t>
            </w:r>
          </w:p>
          <w:p w14:paraId="528DF638">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 xml:space="preserve">f、除火灾、洪水、地震等天灾外，在保修期内，由于货物故障所产生的所有费用均由供应商负责。                       </w:t>
            </w:r>
          </w:p>
          <w:p w14:paraId="62D90186">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2、所有设备按照医院实际要求免费开放端口，免费为医院对接院内信息系统。质保期内免费进行软件升级。</w:t>
            </w:r>
            <w:r>
              <w:rPr>
                <w:rFonts w:hint="eastAsia"/>
                <w:lang w:val="en-US" w:eastAsia="zh-CN"/>
              </w:rPr>
              <w:t xml:space="preserve">                   </w:t>
            </w:r>
            <w:r>
              <w:rPr>
                <w:rFonts w:hint="eastAsia" w:ascii="宋体" w:hAnsi="宋体" w:eastAsia="宋体" w:cs="宋体"/>
                <w:b w:val="0"/>
                <w:bCs w:val="0"/>
                <w:i w:val="0"/>
                <w:iCs/>
                <w:color w:val="auto"/>
                <w:kern w:val="2"/>
                <w:sz w:val="24"/>
                <w:szCs w:val="24"/>
                <w:highlight w:val="none"/>
                <w:u w:val="none"/>
                <w:lang w:val="en-US" w:eastAsia="zh-CN" w:bidi="ar-SA"/>
              </w:rPr>
              <w:t xml:space="preserve">            </w:t>
            </w:r>
          </w:p>
        </w:tc>
      </w:tr>
      <w:tr w14:paraId="5279F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2CEB21F5">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培训</w:t>
            </w:r>
          </w:p>
        </w:tc>
        <w:tc>
          <w:tcPr>
            <w:tcW w:w="7354" w:type="dxa"/>
            <w:tcBorders>
              <w:top w:val="single" w:color="auto" w:sz="4" w:space="0"/>
              <w:left w:val="single" w:color="auto" w:sz="4" w:space="0"/>
              <w:bottom w:val="single" w:color="auto" w:sz="4" w:space="0"/>
              <w:right w:val="single" w:color="auto" w:sz="4" w:space="0"/>
            </w:tcBorders>
            <w:noWrap/>
            <w:vAlign w:val="center"/>
          </w:tcPr>
          <w:p w14:paraId="7E284E25">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免费提供操作培训和维修培训</w:t>
            </w:r>
          </w:p>
        </w:tc>
      </w:tr>
      <w:tr w14:paraId="4F9CD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81E1749">
            <w:pPr>
              <w:pStyle w:val="7"/>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其他要求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426DD86E">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要求设备为最新出厂设备，出厂日期不得早于招标日期6个月</w:t>
            </w:r>
          </w:p>
        </w:tc>
      </w:tr>
    </w:tbl>
    <w:p w14:paraId="40F2BB76">
      <w:pPr>
        <w:pStyle w:val="24"/>
        <w:rPr>
          <w:rFonts w:hint="eastAsia" w:ascii="宋体" w:hAnsi="宋体" w:eastAsia="宋体" w:cs="宋体"/>
          <w:color w:val="auto"/>
          <w:highlight w:val="none"/>
        </w:rPr>
      </w:pPr>
    </w:p>
    <w:p w14:paraId="7EF932AE">
      <w:pPr>
        <w:pStyle w:val="24"/>
        <w:rPr>
          <w:rFonts w:hint="eastAsia" w:ascii="宋体" w:hAnsi="宋体" w:eastAsia="宋体" w:cs="宋体"/>
          <w:color w:val="auto"/>
          <w:highlight w:val="none"/>
        </w:rPr>
      </w:pPr>
    </w:p>
    <w:p w14:paraId="3D5895FE">
      <w:pPr>
        <w:pStyle w:val="24"/>
        <w:rPr>
          <w:rFonts w:hint="eastAsia" w:ascii="宋体" w:hAnsi="宋体" w:eastAsia="宋体" w:cs="宋体"/>
          <w:color w:val="auto"/>
          <w:highlight w:val="none"/>
        </w:rPr>
      </w:pPr>
    </w:p>
    <w:p w14:paraId="245BA48D">
      <w:pPr>
        <w:pStyle w:val="24"/>
        <w:rPr>
          <w:rFonts w:hint="eastAsia" w:ascii="宋体" w:hAnsi="宋体" w:eastAsia="宋体" w:cs="宋体"/>
          <w:color w:val="auto"/>
          <w:highlight w:val="none"/>
        </w:rPr>
      </w:pPr>
    </w:p>
    <w:p w14:paraId="043827F2">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采购人对项目的特殊要求及说明</w:t>
      </w:r>
    </w:p>
    <w:tbl>
      <w:tblPr>
        <w:tblStyle w:val="34"/>
        <w:tblW w:w="93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26"/>
        <w:gridCol w:w="7343"/>
      </w:tblGrid>
      <w:tr w14:paraId="00DBE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066" w:hRule="atLeast"/>
          <w:jc w:val="center"/>
        </w:trPr>
        <w:tc>
          <w:tcPr>
            <w:tcW w:w="2026" w:type="dxa"/>
            <w:tcBorders>
              <w:top w:val="single" w:color="auto" w:sz="4" w:space="0"/>
              <w:left w:val="single" w:color="auto" w:sz="4" w:space="0"/>
              <w:bottom w:val="single" w:color="auto" w:sz="4" w:space="0"/>
              <w:right w:val="single" w:color="auto" w:sz="4" w:space="0"/>
            </w:tcBorders>
            <w:vAlign w:val="center"/>
          </w:tcPr>
          <w:p w14:paraId="535ACF60">
            <w:pPr>
              <w:widowControl/>
              <w:numPr>
                <w:ilvl w:val="0"/>
                <w:numId w:val="0"/>
              </w:numPr>
              <w:snapToGrid w:val="0"/>
              <w:spacing w:line="360" w:lineRule="auto"/>
              <w:rPr>
                <w:rFonts w:hint="eastAsia" w:ascii="Times New Roman" w:hAnsi="Times New Roman" w:eastAsia="宋体" w:cs="Times New Roman"/>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采购人的特殊要求及说明理由</w:t>
            </w:r>
          </w:p>
        </w:tc>
        <w:tc>
          <w:tcPr>
            <w:tcW w:w="7343" w:type="dxa"/>
            <w:tcBorders>
              <w:top w:val="single" w:color="auto" w:sz="4" w:space="0"/>
              <w:left w:val="single" w:color="auto" w:sz="4" w:space="0"/>
              <w:bottom w:val="single" w:color="auto" w:sz="4" w:space="0"/>
              <w:right w:val="single" w:color="auto" w:sz="4" w:space="0"/>
            </w:tcBorders>
            <w:vAlign w:val="center"/>
          </w:tcPr>
          <w:p w14:paraId="204B6284">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所投产品均应提供配置明细表并且配置明细表中的所有配件必须是唯一的，不得有选择性配置，所提供配件需是正规厂家生产的原装正品。如果对投标产品的标准配置或配件有更换或调整的，需提供原生产厂家的变更和调整确认材料,提供的产品配件应单独列出其技术性能、标准、产地、生产厂家及享受何种保修服务。</w:t>
            </w:r>
          </w:p>
          <w:p w14:paraId="56290533">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采购人使用成交供应商成交的技术、资料、服务或其他任何一部分时，享有无偿使用权。免受第三方提出的侵犯其专利权、著作权、商标权或其它知识产权的起诉。如果第三方提出侵权指控，成交供应商应承担由此而引起的一切法律责任和费用。</w:t>
            </w:r>
          </w:p>
          <w:p w14:paraId="77224DAC">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3.商品包装和快递包装应符合《商品包装政府采购需求标准（试行）》和《快递包装政府采购需求标准（试行）》规定。</w:t>
            </w:r>
          </w:p>
          <w:p w14:paraId="2814C985">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4.质量要求：投标人所提供的货物，若属于医疗器械，则必须与医疗器械注册证或备案及附件所限定的内容保持一致，并符合《医疗器械监督管理条例》的相关要求；若不属于医疗器械，则需符合相关行业标准、法律法规，且供货渠道合法。所有货物须为全新原装合格正品（包括零部件），如安装或配置软件，则必须使用正版软件。所提供的货物应当同时符合国家有关安全、卫生、环保规定。本项目中所投产品涉及纳入国家认证认可监督管理委员会现行《强制性产品认证目录描述与界定表》管理的强制性认证产品（简称 3C 认证产品）的，该产品应具有由认证机构颁发给制造商的该产品强制性认证证书。 </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4"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4"/>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 w:val="24"/>
                <w:szCs w:val="24"/>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764A31A">
            <w:pPr>
              <w:widowControl/>
              <w:snapToGrid w:val="0"/>
              <w:spacing w:line="440" w:lineRule="exact"/>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rPr>
              <w:t>采购预算：</w:t>
            </w:r>
            <w:r>
              <w:rPr>
                <w:rFonts w:hint="eastAsia" w:ascii="宋体" w:hAnsi="宋体" w:cs="宋体"/>
                <w:color w:val="auto"/>
                <w:sz w:val="24"/>
                <w:szCs w:val="24"/>
                <w:highlight w:val="none"/>
                <w:shd w:val="clear" w:color="auto" w:fill="FFFFFF"/>
                <w:lang w:eastAsia="zh-CN"/>
              </w:rPr>
              <w:t>30</w:t>
            </w:r>
            <w:r>
              <w:rPr>
                <w:rFonts w:hint="eastAsia" w:ascii="宋体" w:hAnsi="宋体" w:eastAsia="宋体" w:cs="宋体"/>
                <w:color w:val="auto"/>
                <w:sz w:val="24"/>
                <w:szCs w:val="24"/>
                <w:highlight w:val="none"/>
                <w:shd w:val="clear" w:color="auto" w:fill="FFFFFF"/>
              </w:rPr>
              <w:t>万元</w:t>
            </w:r>
            <w:r>
              <w:rPr>
                <w:rFonts w:hint="eastAsia" w:ascii="宋体" w:hAnsi="宋体" w:cs="宋体"/>
                <w:color w:val="auto"/>
                <w:sz w:val="24"/>
                <w:szCs w:val="24"/>
                <w:highlight w:val="none"/>
                <w:shd w:val="clear" w:color="auto" w:fill="FFFFFF"/>
                <w:lang w:eastAsia="zh-CN"/>
              </w:rPr>
              <w:t>；最高投标限价：</w:t>
            </w:r>
            <w:r>
              <w:rPr>
                <w:rFonts w:hint="eastAsia" w:ascii="宋体" w:hAnsi="宋体" w:cs="宋体"/>
                <w:color w:val="auto"/>
                <w:sz w:val="24"/>
                <w:szCs w:val="24"/>
                <w:highlight w:val="none"/>
                <w:shd w:val="clear" w:color="auto" w:fill="FFFFFF"/>
                <w:lang w:val="en-US" w:eastAsia="zh-CN"/>
              </w:rPr>
              <w:t>30</w:t>
            </w:r>
            <w:r>
              <w:rPr>
                <w:rFonts w:hint="eastAsia" w:ascii="宋体" w:hAnsi="宋体" w:cs="宋体"/>
                <w:color w:val="auto"/>
                <w:sz w:val="24"/>
                <w:szCs w:val="24"/>
                <w:highlight w:val="none"/>
                <w:shd w:val="clear" w:color="auto" w:fill="FFFFFF"/>
                <w:lang w:eastAsia="zh-CN"/>
              </w:rPr>
              <w:t>万元。</w:t>
            </w:r>
            <w:r>
              <w:rPr>
                <w:rFonts w:hint="eastAsia" w:ascii="宋体" w:hAnsi="宋体" w:eastAsia="宋体" w:cs="宋体"/>
                <w:color w:val="auto"/>
                <w:sz w:val="24"/>
                <w:szCs w:val="24"/>
                <w:highlight w:val="none"/>
                <w:shd w:val="clear" w:color="auto" w:fill="FFFFFF"/>
              </w:rPr>
              <w:t xml:space="preserve"> </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5" w:name="_Toc4700"/>
      <w:bookmarkStart w:id="36"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784FE4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 xml:space="preserve"> 货物</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18593BC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5D15E69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3.8本项目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eastAsia="宋体" w:cs="宋体"/>
          <w:color w:val="auto"/>
          <w:sz w:val="24"/>
          <w:szCs w:val="24"/>
          <w:highlight w:val="none"/>
          <w:lang w:val="en-US" w:eastAsia="zh-CN"/>
        </w:rPr>
        <w:t>供</w:t>
      </w:r>
      <w:r>
        <w:rPr>
          <w:rFonts w:ascii="宋体" w:hAnsi="宋体" w:eastAsia="宋体" w:cs="宋体"/>
          <w:color w:val="auto"/>
          <w:sz w:val="24"/>
          <w:szCs w:val="24"/>
          <w:highlight w:val="none"/>
        </w:rPr>
        <w:t>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shd w:val="clear" w:color="auto" w:fill="FFFFFF"/>
          <w:lang w:val="en-US" w:eastAsia="zh-CN"/>
        </w:rPr>
        <w:t xml:space="preserve">     </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7.2《中华人民共和国政府采购法》</w:t>
      </w:r>
      <w:r>
        <w:rPr>
          <w:rFonts w:hint="eastAsia" w:ascii="宋体" w:hAnsi="宋体" w:cs="宋体"/>
          <w:kern w:val="0"/>
          <w:sz w:val="24"/>
          <w:szCs w:val="24"/>
          <w:highlight w:val="none"/>
        </w:rPr>
        <w:t>第二十二条第五款“参加政府采购活动前三年内，在经营活动中没有重大违法记录”，</w:t>
      </w:r>
      <w:r>
        <w:rPr>
          <w:rFonts w:hint="eastAsia" w:ascii="宋体" w:hAnsi="宋体" w:cs="宋体"/>
          <w:kern w:val="0"/>
          <w:sz w:val="24"/>
          <w:szCs w:val="24"/>
          <w:highlight w:val="none"/>
          <w:lang w:eastAsia="zh-CN"/>
        </w:rPr>
        <w:t>《中华人民共和国政府采购法》</w:t>
      </w:r>
      <w:r>
        <w:rPr>
          <w:rFonts w:hint="eastAsia" w:ascii="宋体" w:hAnsi="宋体" w:cs="宋体"/>
          <w:kern w:val="0"/>
          <w:sz w:val="24"/>
          <w:szCs w:val="24"/>
          <w:highlight w:val="none"/>
        </w:rPr>
        <w:t xml:space="preserve">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w:t>
      </w:r>
      <w:r>
        <w:rPr>
          <w:rFonts w:hint="eastAsia" w:ascii="宋体" w:hAnsi="宋体" w:cs="宋体"/>
          <w:color w:val="auto"/>
          <w:kern w:val="0"/>
          <w:sz w:val="24"/>
          <w:szCs w:val="24"/>
          <w:highlight w:val="none"/>
          <w:lang w:eastAsia="zh-CN"/>
        </w:rPr>
        <w:t>间之</w:t>
      </w:r>
      <w:r>
        <w:rPr>
          <w:rFonts w:hint="eastAsia" w:ascii="宋体" w:hAnsi="宋体" w:eastAsia="宋体" w:cs="宋体"/>
          <w:color w:val="auto"/>
          <w:kern w:val="0"/>
          <w:sz w:val="24"/>
          <w:szCs w:val="24"/>
          <w:highlight w:val="none"/>
        </w:rPr>
        <w:t>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w:t>
      </w:r>
      <w:r>
        <w:rPr>
          <w:rFonts w:hint="eastAsia" w:ascii="宋体" w:hAnsi="宋体" w:cs="宋体"/>
          <w:color w:val="auto"/>
          <w:sz w:val="24"/>
          <w:szCs w:val="24"/>
          <w:highlight w:val="none"/>
          <w:lang w:eastAsia="zh-CN"/>
        </w:rPr>
        <w:t>原则作出结论</w:t>
      </w:r>
      <w:r>
        <w:rPr>
          <w:rFonts w:hint="eastAsia" w:ascii="宋体" w:hAnsi="宋体" w:eastAsia="宋体" w:cs="宋体"/>
          <w:color w:val="auto"/>
          <w:sz w:val="24"/>
          <w:szCs w:val="24"/>
          <w:highlight w:val="none"/>
        </w:rPr>
        <w:t>。持不同意见的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16DDBDD7">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委托采购代理机构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.3 符合性检查。依据</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文件的规定，</w:t>
      </w:r>
      <w:r>
        <w:rPr>
          <w:rFonts w:hint="eastAsia" w:ascii="宋体" w:hAnsi="宋体" w:eastAsia="宋体" w:cs="宋体"/>
          <w:b/>
          <w:bCs/>
          <w:color w:val="auto"/>
          <w:kern w:val="0"/>
          <w:sz w:val="24"/>
          <w:szCs w:val="24"/>
          <w:highlight w:val="none"/>
          <w:lang w:eastAsia="zh-CN"/>
        </w:rPr>
        <w:t>磋商小组</w:t>
      </w:r>
      <w:r>
        <w:rPr>
          <w:rFonts w:hint="eastAsia" w:ascii="宋体" w:hAnsi="宋体" w:eastAsia="宋体" w:cs="宋体"/>
          <w:b/>
          <w:bCs/>
          <w:color w:val="auto"/>
          <w:kern w:val="0"/>
          <w:sz w:val="24"/>
          <w:szCs w:val="24"/>
          <w:highlight w:val="none"/>
        </w:rPr>
        <w:t>将从</w:t>
      </w:r>
      <w:r>
        <w:rPr>
          <w:rFonts w:hint="eastAsia" w:ascii="宋体" w:hAnsi="宋体" w:eastAsia="宋体" w:cs="宋体"/>
          <w:b/>
          <w:bCs/>
          <w:color w:val="auto"/>
          <w:sz w:val="24"/>
          <w:szCs w:val="24"/>
          <w:highlight w:val="none"/>
          <w:shd w:val="clear" w:color="auto" w:fill="FFFFFF"/>
          <w:lang w:val="en-US" w:eastAsia="zh-CN"/>
        </w:rPr>
        <w:t>响应文件</w:t>
      </w:r>
      <w:r>
        <w:rPr>
          <w:rFonts w:hint="eastAsia" w:ascii="宋体" w:hAnsi="宋体" w:eastAsia="宋体" w:cs="宋体"/>
          <w:b/>
          <w:bCs/>
          <w:color w:val="auto"/>
          <w:kern w:val="0"/>
          <w:sz w:val="24"/>
          <w:szCs w:val="24"/>
          <w:highlight w:val="none"/>
        </w:rPr>
        <w:t>的有效性、完整性和对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文件的响应程度进行审查，以确定是否符合对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文件的实质性要求作出响应。对没有实质性响应的</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文件将不进行评估，其投标被作为无效</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。凡有下列情况之一者，</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文件也将被视为未实质性响应</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w:t>
      </w:r>
      <w:r>
        <w:rPr>
          <w:rFonts w:hint="eastAsia" w:ascii="宋体" w:hAnsi="宋体" w:cs="宋体"/>
          <w:b/>
          <w:bCs/>
          <w:color w:val="auto"/>
          <w:kern w:val="0"/>
          <w:sz w:val="24"/>
          <w:szCs w:val="24"/>
          <w:highlight w:val="none"/>
          <w:lang w:eastAsia="zh-CN"/>
        </w:rPr>
        <w:t>其他</w:t>
      </w:r>
      <w:r>
        <w:rPr>
          <w:rFonts w:hint="eastAsia" w:ascii="宋体" w:hAnsi="宋体" w:eastAsia="宋体" w:cs="宋体"/>
          <w:b/>
          <w:bCs/>
          <w:color w:val="auto"/>
          <w:kern w:val="0"/>
          <w:sz w:val="24"/>
          <w:szCs w:val="24"/>
          <w:highlight w:val="none"/>
        </w:rPr>
        <w:t>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7" w:name="_Toc31399"/>
      <w:r>
        <w:rPr>
          <w:rFonts w:hint="eastAsia" w:ascii="宋体" w:hAnsi="宋体" w:eastAsia="宋体" w:cs="宋体"/>
          <w:b/>
          <w:bCs/>
          <w:color w:val="auto"/>
          <w:kern w:val="0"/>
          <w:sz w:val="32"/>
          <w:szCs w:val="32"/>
          <w:highlight w:val="none"/>
        </w:rPr>
        <w:t>第四章  评标办法及评分标准</w:t>
      </w:r>
      <w:bookmarkEnd w:id="35"/>
      <w:bookmarkEnd w:id="37"/>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1.</w:t>
      </w:r>
      <w:r>
        <w:rPr>
          <w:rFonts w:hint="eastAsia" w:ascii="宋体" w:hAnsi="宋体" w:eastAsia="宋体" w:cs="宋体"/>
          <w:b w:val="0"/>
          <w:bCs w:val="0"/>
          <w:color w:val="auto"/>
          <w:sz w:val="24"/>
          <w:szCs w:val="24"/>
          <w:highlight w:val="none"/>
        </w:rPr>
        <w:t>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10D8338E">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 (3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r>
              <w:rPr>
                <w:rFonts w:hint="eastAsia" w:ascii="宋体" w:hAnsi="宋体" w:cs="宋体"/>
                <w:b w:val="0"/>
                <w:bCs w:val="0"/>
                <w:color w:val="auto"/>
                <w:sz w:val="24"/>
                <w:szCs w:val="24"/>
                <w:highlight w:val="none"/>
                <w:lang w:eastAsia="zh-CN"/>
              </w:rPr>
              <w:t>）</w:t>
            </w:r>
          </w:p>
        </w:tc>
        <w:tc>
          <w:tcPr>
            <w:tcW w:w="8243" w:type="dxa"/>
            <w:gridSpan w:val="2"/>
            <w:noWrap w:val="0"/>
            <w:vAlign w:val="center"/>
          </w:tcPr>
          <w:p w14:paraId="609B7222">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205629E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406E84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4B0365D5">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r>
      <w:tr w14:paraId="1A6A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239" w:type="dxa"/>
            <w:vMerge w:val="restart"/>
            <w:noWrap w:val="0"/>
            <w:vAlign w:val="center"/>
          </w:tcPr>
          <w:p w14:paraId="1252EC8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46</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236DE65A">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1.产品技术参数（</w:t>
            </w:r>
            <w:r>
              <w:rPr>
                <w:rFonts w:hint="eastAsia" w:ascii="宋体" w:hAnsi="宋体" w:cs="宋体"/>
                <w:b w:val="0"/>
                <w:bCs w:val="0"/>
                <w:color w:val="auto"/>
                <w:sz w:val="24"/>
                <w:szCs w:val="24"/>
                <w:highlight w:val="none"/>
                <w:lang w:val="en-US" w:eastAsia="zh-CN"/>
              </w:rPr>
              <w:t>38</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17E3BC05">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供应商对“第二章 采购需求 三、技术要求”技术参数、性能及产品功能等的响应，所投产品全部满足磋商文件要求得</w:t>
            </w:r>
            <w:r>
              <w:rPr>
                <w:rFonts w:hint="eastAsia" w:ascii="宋体" w:hAnsi="宋体" w:cs="宋体"/>
                <w:color w:val="auto"/>
                <w:sz w:val="24"/>
                <w:szCs w:val="24"/>
                <w:highlight w:val="none"/>
                <w:lang w:val="en-US" w:eastAsia="zh-CN"/>
              </w:rPr>
              <w:t>38</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标</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为实质性技术要求，未按要求提供响应文件无效。未标</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为一般性技术要求，</w:t>
            </w:r>
            <w:r>
              <w:rPr>
                <w:rFonts w:hint="eastAsia" w:ascii="宋体" w:hAnsi="宋体" w:cs="宋体"/>
                <w:color w:val="auto"/>
                <w:sz w:val="24"/>
                <w:szCs w:val="24"/>
                <w:highlight w:val="none"/>
                <w:lang w:val="en-US" w:eastAsia="zh-CN"/>
              </w:rPr>
              <w:t>有</w:t>
            </w:r>
            <w:r>
              <w:rPr>
                <w:rFonts w:hint="eastAsia" w:ascii="宋体" w:hAnsi="宋体" w:eastAsia="宋体" w:cs="宋体"/>
                <w:color w:val="auto"/>
                <w:sz w:val="24"/>
                <w:szCs w:val="24"/>
                <w:highlight w:val="none"/>
                <w:lang w:val="en-US" w:eastAsia="zh-CN"/>
              </w:rPr>
              <w:t>一项不满足的扣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分；如得分为0，则磋商无效。 </w:t>
            </w:r>
          </w:p>
          <w:p w14:paraId="567CED8D">
            <w:pPr>
              <w:widowControl/>
              <w:snapToGrid w:val="0"/>
              <w:spacing w:line="360" w:lineRule="exact"/>
              <w:rPr>
                <w:rFonts w:ascii="宋体" w:hAnsi="宋体" w:cs="宋体"/>
                <w:color w:val="auto"/>
                <w:sz w:val="24"/>
                <w:szCs w:val="24"/>
                <w:highlight w:val="none"/>
              </w:rPr>
            </w:pPr>
            <w:r>
              <w:rPr>
                <w:rFonts w:hint="eastAsia" w:ascii="宋体" w:hAnsi="宋体" w:cs="宋体"/>
                <w:color w:val="auto"/>
                <w:sz w:val="24"/>
                <w:szCs w:val="24"/>
                <w:highlight w:val="none"/>
              </w:rPr>
              <w:t>1）供应商需如实填写技术偏离表，并标注偏离情况。</w:t>
            </w:r>
          </w:p>
          <w:p w14:paraId="218160B7">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cs="宋体"/>
                <w:b/>
                <w:bCs/>
                <w:color w:val="auto"/>
                <w:sz w:val="24"/>
                <w:szCs w:val="24"/>
                <w:highlight w:val="none"/>
              </w:rPr>
              <w:t>2）</w:t>
            </w:r>
            <w:r>
              <w:rPr>
                <w:rFonts w:hint="eastAsia" w:ascii="宋体" w:hAnsi="宋体" w:cs="宋体"/>
                <w:color w:val="auto"/>
                <w:sz w:val="24"/>
                <w:szCs w:val="24"/>
                <w:highlight w:val="none"/>
              </w:rPr>
              <w:t>需提供产品注册检验报告</w:t>
            </w:r>
            <w:r>
              <w:rPr>
                <w:rFonts w:hint="eastAsia" w:ascii="宋体" w:hAnsi="宋体" w:cs="宋体"/>
                <w:b/>
                <w:bCs/>
                <w:color w:val="auto"/>
                <w:sz w:val="24"/>
                <w:szCs w:val="24"/>
                <w:highlight w:val="none"/>
              </w:rPr>
              <w:t>（其中检验报告照片页必须提供）</w:t>
            </w:r>
            <w:r>
              <w:rPr>
                <w:rFonts w:hint="eastAsia" w:ascii="宋体" w:hAnsi="宋体" w:cs="宋体"/>
                <w:color w:val="auto"/>
                <w:sz w:val="24"/>
                <w:szCs w:val="24"/>
                <w:highlight w:val="none"/>
              </w:rPr>
              <w:t>及响应技术参数条款的技术白皮书和彩页等相关文件，并对响应技术参数部分做出明显标注。</w:t>
            </w:r>
            <w:r>
              <w:rPr>
                <w:rFonts w:hint="eastAsia" w:ascii="宋体" w:hAnsi="宋体" w:cs="宋体"/>
                <w:b/>
                <w:bCs/>
                <w:color w:val="auto"/>
                <w:sz w:val="24"/>
                <w:szCs w:val="24"/>
                <w:highlight w:val="none"/>
              </w:rPr>
              <w:t>未提供对应证明材料的，视为不满足该项参数要求，</w:t>
            </w:r>
            <w:r>
              <w:rPr>
                <w:rFonts w:hint="eastAsia" w:ascii="宋体" w:hAnsi="宋体" w:cs="宋体"/>
                <w:b/>
                <w:bCs/>
                <w:color w:val="auto"/>
                <w:sz w:val="24"/>
                <w:szCs w:val="24"/>
                <w:highlight w:val="none"/>
                <w:lang w:eastAsia="zh-CN"/>
              </w:rPr>
              <w:t>作</w:t>
            </w:r>
            <w:r>
              <w:rPr>
                <w:rFonts w:hint="eastAsia" w:ascii="宋体" w:hAnsi="宋体" w:cs="宋体"/>
                <w:b/>
                <w:bCs/>
                <w:color w:val="auto"/>
                <w:sz w:val="24"/>
                <w:szCs w:val="24"/>
                <w:highlight w:val="none"/>
              </w:rPr>
              <w:t>扣分处理。</w:t>
            </w:r>
          </w:p>
        </w:tc>
      </w:tr>
      <w:tr w14:paraId="02A3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239" w:type="dxa"/>
            <w:vMerge w:val="continue"/>
            <w:noWrap w:val="0"/>
            <w:vAlign w:val="center"/>
          </w:tcPr>
          <w:p w14:paraId="48595AA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2840560">
            <w:pPr>
              <w:keepNext w:val="0"/>
              <w:keepLines w:val="0"/>
              <w:pageBreakBefore w:val="0"/>
              <w:widowControl/>
              <w:kinsoku/>
              <w:wordWrap/>
              <w:overflowPunct/>
              <w:topLinePunct w:val="0"/>
              <w:autoSpaceDE/>
              <w:autoSpaceDN/>
              <w:bidi w:val="0"/>
              <w:adjustRightInd/>
              <w:snapToGrid w:val="0"/>
              <w:spacing w:line="360" w:lineRule="exact"/>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2.产品综合评议（6分）</w:t>
            </w:r>
          </w:p>
        </w:tc>
        <w:tc>
          <w:tcPr>
            <w:tcW w:w="6770" w:type="dxa"/>
            <w:noWrap w:val="0"/>
            <w:vAlign w:val="center"/>
          </w:tcPr>
          <w:p w14:paraId="6C838128">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auto"/>
                <w:kern w:val="0"/>
                <w:sz w:val="24"/>
                <w:szCs w:val="24"/>
                <w:highlight w:val="none"/>
                <w:lang w:val="en-US" w:eastAsia="zh-CN"/>
              </w:rPr>
              <w:t>根据供应商所投产品整体性能量化指标进行评价，产品技术指标能够最大程度满足采购需求，使用的材料耐用可靠、配套设备齐全且适配性强、生产技术先进、耐用性强，能有效保障治疗效果的得6分；产品整体性能一般的得3分；整体性能较差得1分。</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24</w:t>
            </w:r>
            <w:r>
              <w:rPr>
                <w:rFonts w:hint="eastAsia" w:ascii="宋体" w:hAnsi="宋体" w:eastAsia="宋体" w:cs="宋体"/>
                <w:b w:val="0"/>
                <w:bCs w:val="0"/>
                <w:color w:val="auto"/>
                <w:sz w:val="24"/>
                <w:szCs w:val="24"/>
                <w:highlight w:val="none"/>
                <w:lang w:eastAsia="zh-CN"/>
              </w:rPr>
              <w:t>分</w:t>
            </w:r>
            <w:r>
              <w:rPr>
                <w:rFonts w:hint="eastAsia" w:ascii="宋体" w:hAnsi="宋体" w:cs="宋体"/>
                <w:b w:val="0"/>
                <w:bCs w:val="0"/>
                <w:color w:val="auto"/>
                <w:sz w:val="24"/>
                <w:szCs w:val="24"/>
                <w:highlight w:val="none"/>
                <w:lang w:eastAsia="zh-CN"/>
              </w:rPr>
              <w:t>）</w:t>
            </w:r>
          </w:p>
        </w:tc>
        <w:tc>
          <w:tcPr>
            <w:tcW w:w="1473" w:type="dxa"/>
            <w:tcBorders>
              <w:top w:val="single" w:color="auto" w:sz="4" w:space="0"/>
            </w:tcBorders>
            <w:noWrap w:val="0"/>
            <w:vAlign w:val="center"/>
          </w:tcPr>
          <w:p w14:paraId="1DBB6CD3">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质保期</w:t>
            </w:r>
          </w:p>
          <w:p w14:paraId="7124A0C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top"/>
          </w:tcPr>
          <w:p w14:paraId="4AB5033E">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kern w:val="2"/>
                <w:sz w:val="24"/>
                <w:szCs w:val="24"/>
                <w:highlight w:val="none"/>
                <w:lang w:val="en-US" w:eastAsia="zh-CN" w:bidi="ar-SA"/>
              </w:rPr>
              <w:t>保</w:t>
            </w:r>
            <w:r>
              <w:rPr>
                <w:rFonts w:hint="eastAsia" w:ascii="宋体" w:hAnsi="宋体" w:eastAsia="宋体" w:cs="宋体"/>
                <w:b w:val="0"/>
                <w:bCs w:val="0"/>
                <w:color w:val="auto"/>
                <w:kern w:val="2"/>
                <w:sz w:val="24"/>
                <w:szCs w:val="24"/>
                <w:highlight w:val="none"/>
                <w:lang w:val="en-US" w:eastAsia="zh-CN" w:bidi="ar-SA"/>
              </w:rPr>
              <w:t>期在满足采购文件的基础上，每增加一年加2分,最多加</w:t>
            </w:r>
            <w:r>
              <w:rPr>
                <w:rFonts w:hint="eastAsia" w:ascii="宋体" w:hAnsi="宋体" w:cs="宋体"/>
                <w:b w:val="0"/>
                <w:bCs w:val="0"/>
                <w:color w:val="auto"/>
                <w:kern w:val="2"/>
                <w:sz w:val="24"/>
                <w:szCs w:val="24"/>
                <w:highlight w:val="none"/>
                <w:lang w:val="en-US" w:eastAsia="zh-CN" w:bidi="ar-SA"/>
              </w:rPr>
              <w:t>6</w:t>
            </w:r>
            <w:r>
              <w:rPr>
                <w:rFonts w:hint="eastAsia" w:ascii="宋体" w:hAnsi="宋体" w:eastAsia="宋体" w:cs="宋体"/>
                <w:b w:val="0"/>
                <w:bCs w:val="0"/>
                <w:color w:val="auto"/>
                <w:kern w:val="2"/>
                <w:sz w:val="24"/>
                <w:szCs w:val="24"/>
                <w:highlight w:val="none"/>
                <w:lang w:val="en-US" w:eastAsia="zh-CN" w:bidi="ar-SA"/>
              </w:rPr>
              <w:t>分。</w:t>
            </w:r>
          </w:p>
          <w:p w14:paraId="795CA73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注：提供承诺函（格式详见第</w:t>
            </w:r>
            <w:r>
              <w:rPr>
                <w:rFonts w:hint="eastAsia" w:ascii="宋体" w:hAnsi="宋体" w:cs="宋体"/>
                <w:b w:val="0"/>
                <w:bCs w:val="0"/>
                <w:color w:val="auto"/>
                <w:kern w:val="2"/>
                <w:sz w:val="24"/>
                <w:szCs w:val="24"/>
                <w:highlight w:val="none"/>
                <w:lang w:val="en-US" w:eastAsia="zh-CN" w:bidi="ar-SA"/>
              </w:rPr>
              <w:t>五</w:t>
            </w:r>
            <w:r>
              <w:rPr>
                <w:rFonts w:hint="eastAsia" w:ascii="宋体" w:hAnsi="宋体" w:eastAsia="宋体" w:cs="宋体"/>
                <w:b w:val="0"/>
                <w:bCs w:val="0"/>
                <w:color w:val="auto"/>
                <w:kern w:val="2"/>
                <w:sz w:val="24"/>
                <w:szCs w:val="24"/>
                <w:highlight w:val="none"/>
                <w:lang w:val="en-US" w:eastAsia="zh-CN" w:bidi="ar-SA"/>
              </w:rPr>
              <w:t>章  采购合同 附件3 售后服务承诺书），不符合要求的不得分。</w:t>
            </w:r>
          </w:p>
        </w:tc>
      </w:tr>
      <w:tr w14:paraId="153A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2DE8144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493EC3A3">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2.设备使用年限</w:t>
            </w:r>
            <w:r>
              <w:rPr>
                <w:rFonts w:hint="eastAsia" w:ascii="宋体" w:hAnsi="宋体" w:cs="宋体"/>
                <w:b w:val="0"/>
                <w:bCs w:val="0"/>
                <w:color w:val="auto"/>
                <w:sz w:val="24"/>
                <w:szCs w:val="24"/>
                <w:highlight w:val="none"/>
                <w:lang w:val="en-US" w:eastAsia="zh-CN"/>
              </w:rPr>
              <w:t>（4分）</w:t>
            </w:r>
          </w:p>
        </w:tc>
        <w:tc>
          <w:tcPr>
            <w:tcW w:w="6770" w:type="dxa"/>
            <w:noWrap w:val="0"/>
            <w:vAlign w:val="center"/>
          </w:tcPr>
          <w:p w14:paraId="317C6B3E">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设备使用年限在采购文件的基础上，使用年限每增加一年加2分，最多加4分。</w:t>
            </w:r>
          </w:p>
          <w:p w14:paraId="520F32B2">
            <w:pPr>
              <w:pStyle w:val="8"/>
              <w:pageBreakBefore w:val="0"/>
              <w:kinsoku/>
              <w:wordWrap/>
              <w:overflowPunct/>
              <w:topLinePunct w:val="0"/>
              <w:autoSpaceDE/>
              <w:autoSpaceDN/>
              <w:bidi w:val="0"/>
              <w:adjustRightInd/>
              <w:spacing w:before="0" w:after="0"/>
              <w:textAlignment w:val="auto"/>
              <w:rPr>
                <w:rFonts w:hint="default"/>
                <w:highlight w:val="none"/>
                <w:lang w:val="en-US" w:eastAsia="zh-CN"/>
              </w:rPr>
            </w:pPr>
            <w:r>
              <w:rPr>
                <w:rFonts w:hint="eastAsia" w:ascii="宋体" w:hAnsi="宋体" w:eastAsia="宋体" w:cs="宋体"/>
                <w:color w:val="auto"/>
                <w:kern w:val="2"/>
                <w:sz w:val="24"/>
                <w:szCs w:val="24"/>
                <w:highlight w:val="none"/>
                <w:lang w:val="en-US" w:eastAsia="zh-CN" w:bidi="ar-SA"/>
              </w:rPr>
              <w:t>注：提供相关证明材料</w:t>
            </w:r>
          </w:p>
        </w:tc>
      </w:tr>
      <w:tr w14:paraId="7520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398D32E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307AC1DF">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提供自202</w:t>
            </w: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年1月1日（以合同签订时间为准）以来所投产品</w:t>
            </w:r>
            <w:r>
              <w:rPr>
                <w:rFonts w:hint="eastAsia" w:cs="宋体"/>
                <w:color w:val="auto"/>
                <w:kern w:val="2"/>
                <w:sz w:val="24"/>
                <w:szCs w:val="24"/>
                <w:highlight w:val="none"/>
                <w:lang w:val="en-US" w:eastAsia="zh-CN" w:bidi="ar-SA"/>
              </w:rPr>
              <w:t>（同品牌同型号）</w:t>
            </w:r>
            <w:r>
              <w:rPr>
                <w:rFonts w:hint="eastAsia" w:ascii="宋体" w:hAnsi="宋体" w:eastAsia="宋体" w:cs="宋体"/>
                <w:color w:val="auto"/>
                <w:kern w:val="2"/>
                <w:sz w:val="24"/>
                <w:szCs w:val="24"/>
                <w:highlight w:val="none"/>
                <w:lang w:val="en-US" w:eastAsia="zh-CN" w:bidi="ar-SA"/>
              </w:rPr>
              <w:t>销售业绩</w:t>
            </w: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合同甲方须为货物使用单位，业绩为生产企业或各经销商均可</w:t>
            </w: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，每提供1份</w:t>
            </w:r>
            <w:r>
              <w:rPr>
                <w:rFonts w:hint="eastAsia" w:cs="宋体"/>
                <w:color w:val="auto"/>
                <w:kern w:val="2"/>
                <w:sz w:val="24"/>
                <w:szCs w:val="24"/>
                <w:highlight w:val="none"/>
                <w:lang w:val="en-US" w:eastAsia="zh-CN" w:bidi="ar-SA"/>
              </w:rPr>
              <w:t>业绩证明材料</w:t>
            </w:r>
            <w:r>
              <w:rPr>
                <w:rFonts w:hint="eastAsia" w:ascii="宋体" w:hAnsi="宋体" w:eastAsia="宋体" w:cs="宋体"/>
                <w:color w:val="auto"/>
                <w:kern w:val="2"/>
                <w:sz w:val="24"/>
                <w:szCs w:val="24"/>
                <w:highlight w:val="none"/>
                <w:lang w:val="en-US" w:eastAsia="zh-CN" w:bidi="ar-SA"/>
              </w:rPr>
              <w:t>得2分，最多得6分。</w:t>
            </w:r>
          </w:p>
          <w:p w14:paraId="79754E1A">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注：需提供合同，未按要求提供不得分。</w:t>
            </w:r>
          </w:p>
        </w:tc>
      </w:tr>
      <w:tr w14:paraId="2011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vMerge w:val="continue"/>
            <w:noWrap w:val="0"/>
            <w:vAlign w:val="center"/>
          </w:tcPr>
          <w:p w14:paraId="4DE5B97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055C689D">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4</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10</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3D5E7B1E">
            <w:pPr>
              <w:pageBreakBefore w:val="0"/>
              <w:widowControl/>
              <w:kinsoku w:val="0"/>
              <w:wordWrap/>
              <w:overflowPunct/>
              <w:topLinePunct w:val="0"/>
              <w:autoSpaceDE w:val="0"/>
              <w:autoSpaceDN w:val="0"/>
              <w:bidi w:val="0"/>
              <w:spacing w:line="360" w:lineRule="auto"/>
              <w:ind w:left="42" w:leftChars="20"/>
              <w:jc w:val="left"/>
              <w:textAlignment w:val="baseline"/>
              <w:rPr>
                <w:rFonts w:ascii="宋体" w:hAnsi="宋体" w:eastAsia="宋体" w:cs="宋体"/>
                <w:color w:val="000000"/>
                <w:sz w:val="24"/>
                <w:highlight w:val="none"/>
              </w:rPr>
            </w:pPr>
            <w:r>
              <w:rPr>
                <w:rFonts w:ascii="宋体" w:hAnsi="宋体" w:cs="宋体"/>
                <w:color w:val="000000"/>
                <w:sz w:val="24"/>
                <w:highlight w:val="none"/>
              </w:rPr>
              <w:t>供</w:t>
            </w:r>
            <w:r>
              <w:rPr>
                <w:rFonts w:ascii="宋体" w:hAnsi="宋体" w:eastAsia="宋体" w:cs="宋体"/>
                <w:color w:val="000000"/>
                <w:sz w:val="24"/>
                <w:highlight w:val="none"/>
              </w:rPr>
              <w:t>应商提供的售后服务保障方案包括：</w:t>
            </w:r>
          </w:p>
          <w:p w14:paraId="188E0AFE">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①详细的售后服务方案。</w:t>
            </w:r>
          </w:p>
          <w:p w14:paraId="407A70F6">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color w:val="000000"/>
                <w:sz w:val="24"/>
                <w:highlight w:val="none"/>
                <w:lang w:val="en-US" w:eastAsia="zh-CN"/>
              </w:rPr>
              <w:t>②国内有备件仓库，省内有固定的维修站及工程师（需提供具有维修/维保资质的工程师</w:t>
            </w:r>
            <w:r>
              <w:rPr>
                <w:rFonts w:hint="eastAsia" w:ascii="宋体" w:hAnsi="宋体" w:eastAsia="宋体" w:cs="宋体"/>
                <w:sz w:val="24"/>
                <w:szCs w:val="24"/>
                <w:highlight w:val="none"/>
                <w:lang w:val="en-US" w:eastAsia="zh-CN"/>
              </w:rPr>
              <w:t>证书证明材料）。</w:t>
            </w:r>
          </w:p>
          <w:p w14:paraId="2BF06050">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color w:val="000000"/>
                <w:sz w:val="24"/>
                <w:highlight w:val="none"/>
                <w:lang w:val="en-US" w:eastAsia="zh-CN"/>
              </w:rPr>
              <w:t>③</w:t>
            </w:r>
            <w:r>
              <w:rPr>
                <w:rFonts w:hint="eastAsia" w:ascii="宋体" w:hAnsi="宋体" w:eastAsia="宋体" w:cs="宋体"/>
                <w:sz w:val="24"/>
                <w:szCs w:val="24"/>
                <w:highlight w:val="none"/>
                <w:lang w:val="en-US" w:eastAsia="zh-CN"/>
              </w:rPr>
              <w:t>应急处理措施(包括但不限于故障响应时间、应急故障处理方案等)；</w:t>
            </w:r>
          </w:p>
          <w:p w14:paraId="1ECF2169">
            <w:pPr>
              <w:pageBreakBefore w:val="0"/>
              <w:widowControl/>
              <w:kinsoku w:val="0"/>
              <w:wordWrap/>
              <w:overflowPunct/>
              <w:topLinePunct w:val="0"/>
              <w:autoSpaceDE w:val="0"/>
              <w:autoSpaceDN w:val="0"/>
              <w:bidi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④培训方案（对维修工程师及临床使用人员培训计划、培训内容、培训工程师、培训方法等）</w:t>
            </w:r>
          </w:p>
          <w:p w14:paraId="3EBCD061">
            <w:pPr>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w:t>
            </w:r>
            <w:r>
              <w:rPr>
                <w:rFonts w:hint="eastAsia" w:ascii="宋体" w:hAnsi="宋体" w:cs="宋体"/>
                <w:b w:val="0"/>
                <w:bCs w:val="0"/>
                <w:color w:val="auto"/>
                <w:sz w:val="24"/>
                <w:szCs w:val="24"/>
                <w:highlight w:val="none"/>
                <w:lang w:val="en-US" w:eastAsia="zh-CN"/>
              </w:rPr>
              <w:t>措施详尽、提供原厂维保、日常维保措施、</w:t>
            </w:r>
            <w:r>
              <w:rPr>
                <w:rFonts w:hint="eastAsia" w:ascii="宋体" w:hAnsi="宋体" w:eastAsia="宋体" w:cs="宋体"/>
                <w:b w:val="0"/>
                <w:bCs w:val="0"/>
                <w:color w:val="auto"/>
                <w:sz w:val="24"/>
                <w:szCs w:val="24"/>
                <w:highlight w:val="none"/>
                <w:lang w:val="en-US" w:eastAsia="zh-CN"/>
              </w:rPr>
              <w:t>故障响应时间极快、应急维修措施合理且可行，</w:t>
            </w:r>
            <w:r>
              <w:rPr>
                <w:rFonts w:hint="eastAsia" w:ascii="宋体" w:hAnsi="宋体" w:cs="宋体"/>
                <w:b w:val="0"/>
                <w:bCs w:val="0"/>
                <w:color w:val="auto"/>
                <w:sz w:val="24"/>
                <w:szCs w:val="24"/>
                <w:highlight w:val="none"/>
                <w:lang w:val="en-US" w:eastAsia="zh-CN"/>
              </w:rPr>
              <w:t>人员专业性强，</w:t>
            </w:r>
            <w:r>
              <w:rPr>
                <w:rFonts w:hint="eastAsia" w:ascii="宋体" w:hAnsi="宋体" w:eastAsia="宋体" w:cs="宋体"/>
                <w:b w:val="0"/>
                <w:bCs w:val="0"/>
                <w:color w:val="auto"/>
                <w:sz w:val="24"/>
                <w:szCs w:val="24"/>
                <w:highlight w:val="none"/>
                <w:lang w:val="en-US" w:eastAsia="zh-CN"/>
              </w:rPr>
              <w:t>有具体的培训方案，得</w:t>
            </w: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分。</w:t>
            </w:r>
          </w:p>
          <w:p w14:paraId="5CB889E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w:t>
            </w:r>
            <w:r>
              <w:rPr>
                <w:rFonts w:hint="eastAsia" w:ascii="宋体" w:hAnsi="宋体" w:cs="宋体"/>
                <w:b w:val="0"/>
                <w:bCs w:val="0"/>
                <w:color w:val="auto"/>
                <w:sz w:val="24"/>
                <w:szCs w:val="24"/>
                <w:highlight w:val="none"/>
                <w:lang w:val="en-US" w:eastAsia="zh-CN"/>
              </w:rPr>
              <w:t>售后方案较完善，</w:t>
            </w:r>
            <w:r>
              <w:rPr>
                <w:rFonts w:hint="eastAsia" w:ascii="宋体" w:hAnsi="宋体" w:eastAsia="宋体" w:cs="宋体"/>
                <w:b w:val="0"/>
                <w:bCs w:val="0"/>
                <w:color w:val="auto"/>
                <w:sz w:val="24"/>
                <w:szCs w:val="24"/>
                <w:highlight w:val="none"/>
                <w:lang w:val="en-US" w:eastAsia="zh-CN"/>
              </w:rPr>
              <w:t>故障响应时间快、应急维修措施预案较合理，</w:t>
            </w:r>
            <w:r>
              <w:rPr>
                <w:rFonts w:hint="eastAsia" w:ascii="宋体" w:hAnsi="宋体" w:cs="宋体"/>
                <w:b w:val="0"/>
                <w:bCs w:val="0"/>
                <w:color w:val="auto"/>
                <w:sz w:val="24"/>
                <w:szCs w:val="24"/>
                <w:highlight w:val="none"/>
                <w:lang w:val="en-US" w:eastAsia="zh-CN"/>
              </w:rPr>
              <w:t>人员专业性较强，</w:t>
            </w:r>
            <w:r>
              <w:rPr>
                <w:rFonts w:hint="eastAsia" w:ascii="宋体" w:hAnsi="宋体" w:eastAsia="宋体" w:cs="宋体"/>
                <w:b w:val="0"/>
                <w:bCs w:val="0"/>
                <w:color w:val="auto"/>
                <w:sz w:val="24"/>
                <w:szCs w:val="24"/>
                <w:highlight w:val="none"/>
                <w:lang w:val="en-US" w:eastAsia="zh-CN"/>
              </w:rPr>
              <w:t>有较具体的培训方案的得</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分；</w:t>
            </w:r>
          </w:p>
          <w:p w14:paraId="11FD7647">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符合本项目特点，故障响应时间较长、应急维修措施预案不完备，培训方案不完备的得</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w:t>
            </w:r>
          </w:p>
          <w:p w14:paraId="7A1AA23D">
            <w:pPr>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售后服务不符合本项目特点，不能满足项目需求的得1分。</w:t>
            </w:r>
          </w:p>
          <w:p w14:paraId="6C47D0E8">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缺项得0分</w:t>
            </w:r>
            <w:r>
              <w:rPr>
                <w:rFonts w:hint="eastAsia" w:ascii="宋体" w:hAnsi="宋体" w:eastAsia="宋体" w:cs="宋体"/>
                <w:b w:val="0"/>
                <w:bCs w:val="0"/>
                <w:color w:val="auto"/>
                <w:sz w:val="24"/>
                <w:szCs w:val="24"/>
                <w:highlight w:val="none"/>
                <w:lang w:val="en-US" w:eastAsia="zh-CN"/>
              </w:rPr>
              <w:t>。</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7F23157D">
      <w:pPr>
        <w:rPr>
          <w:rFonts w:hint="eastAsia" w:ascii="宋体" w:hAnsi="宋体" w:eastAsia="宋体" w:cs="宋体"/>
          <w:b/>
          <w:color w:val="auto"/>
          <w:highlight w:val="none"/>
        </w:rPr>
      </w:pPr>
    </w:p>
    <w:bookmarkEnd w:id="36"/>
    <w:p w14:paraId="2CCD7513">
      <w:pPr>
        <w:rPr>
          <w:rFonts w:hint="eastAsia" w:ascii="宋体" w:hAnsi="宋体" w:eastAsia="宋体" w:cs="宋体"/>
          <w:color w:val="auto"/>
          <w:highlight w:val="none"/>
        </w:rPr>
        <w:sectPr>
          <w:pgSz w:w="11906" w:h="16838"/>
          <w:pgMar w:top="1417" w:right="1474" w:bottom="1417" w:left="1474" w:header="851" w:footer="624" w:gutter="0"/>
          <w:pgNumType w:fmt="decimal"/>
          <w:cols w:space="720" w:num="1"/>
          <w:docGrid w:type="lines" w:linePitch="319" w:charSpace="0"/>
        </w:sectPr>
      </w:pPr>
      <w:bookmarkStart w:id="38" w:name="_Toc1482"/>
      <w:bookmarkStart w:id="39" w:name="_Toc1947"/>
      <w:bookmarkStart w:id="40" w:name="_Toc326786897"/>
      <w:bookmarkStart w:id="41" w:name="_Toc256519703"/>
    </w:p>
    <w:p w14:paraId="222E4628">
      <w:pPr>
        <w:rPr>
          <w:rFonts w:hint="eastAsia" w:ascii="宋体" w:hAnsi="宋体" w:eastAsia="宋体" w:cs="宋体"/>
          <w:color w:val="auto"/>
          <w:highlight w:val="none"/>
        </w:rPr>
      </w:pPr>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2" w:name="_Toc11904"/>
      <w:r>
        <w:rPr>
          <w:rFonts w:hint="eastAsia" w:ascii="宋体" w:hAnsi="宋体" w:eastAsia="宋体" w:cs="宋体"/>
          <w:color w:val="auto"/>
          <w:sz w:val="28"/>
          <w:szCs w:val="28"/>
          <w:highlight w:val="none"/>
        </w:rPr>
        <w:t>第五章  采购合同</w:t>
      </w:r>
      <w:bookmarkEnd w:id="42"/>
    </w:p>
    <w:p w14:paraId="1EF982A0">
      <w:pPr>
        <w:jc w:val="center"/>
        <w:rPr>
          <w:rFonts w:hint="eastAsia" w:ascii="宋体" w:hAnsi="宋体" w:eastAsia="宋体"/>
          <w:b/>
        </w:rPr>
      </w:pPr>
      <w:r>
        <w:rPr>
          <w:rFonts w:hint="eastAsia" w:ascii="宋体" w:hAnsi="宋体" w:eastAsia="宋体"/>
          <w:b/>
        </w:rPr>
        <w:t>医疗器械买卖合同</w:t>
      </w:r>
    </w:p>
    <w:p w14:paraId="7AA469D5">
      <w:pPr>
        <w:ind w:firstLine="480" w:firstLineChars="200"/>
        <w:rPr>
          <w:rFonts w:hint="eastAsia" w:ascii="宋体" w:hAnsi="宋体" w:eastAsia="宋体"/>
          <w:sz w:val="24"/>
          <w:szCs w:val="24"/>
        </w:rPr>
      </w:pPr>
    </w:p>
    <w:p w14:paraId="1011507A">
      <w:pPr>
        <w:ind w:firstLine="420" w:firstLineChars="200"/>
        <w:rPr>
          <w:rFonts w:hint="eastAsia" w:ascii="宋体" w:hAnsi="宋体" w:eastAsia="宋体"/>
          <w:sz w:val="21"/>
          <w:szCs w:val="21"/>
        </w:rPr>
      </w:pPr>
      <w:r>
        <w:rPr>
          <w:rFonts w:hint="eastAsia" w:ascii="宋体" w:hAnsi="宋体" w:eastAsia="宋体"/>
          <w:sz w:val="21"/>
          <w:szCs w:val="21"/>
        </w:rPr>
        <w:t xml:space="preserve">合同编号： </w:t>
      </w:r>
    </w:p>
    <w:p w14:paraId="04EC3B9E">
      <w:pPr>
        <w:ind w:firstLine="420" w:firstLineChars="200"/>
        <w:rPr>
          <w:rFonts w:hint="eastAsia" w:ascii="宋体" w:hAnsi="宋体" w:eastAsia="宋体"/>
          <w:sz w:val="21"/>
          <w:szCs w:val="21"/>
        </w:rPr>
      </w:pPr>
      <w:r>
        <w:rPr>
          <w:rFonts w:hint="eastAsia" w:ascii="宋体" w:hAnsi="宋体" w:eastAsia="宋体"/>
          <w:sz w:val="21"/>
          <w:szCs w:val="21"/>
        </w:rPr>
        <w:t>签订地点： 河南省驻马店市中华路西段747号</w:t>
      </w:r>
    </w:p>
    <w:p w14:paraId="6BB86F3E">
      <w:pPr>
        <w:ind w:firstLine="420" w:firstLineChars="200"/>
        <w:rPr>
          <w:rFonts w:hint="eastAsia" w:ascii="宋体" w:hAnsi="宋体" w:eastAsia="宋体"/>
          <w:sz w:val="21"/>
          <w:szCs w:val="21"/>
        </w:rPr>
      </w:pPr>
      <w:r>
        <w:rPr>
          <w:rFonts w:hint="eastAsia" w:ascii="宋体" w:hAnsi="宋体" w:eastAsia="宋体"/>
          <w:sz w:val="21"/>
          <w:szCs w:val="21"/>
        </w:rPr>
        <w:t>买受人（甲方）： 驻马店市中心医院</w:t>
      </w:r>
    </w:p>
    <w:p w14:paraId="2BB9DFC1">
      <w:pPr>
        <w:ind w:firstLine="420" w:firstLineChars="200"/>
        <w:rPr>
          <w:rFonts w:hint="eastAsia" w:ascii="宋体" w:hAnsi="宋体" w:eastAsia="宋体"/>
          <w:sz w:val="21"/>
          <w:szCs w:val="21"/>
        </w:rPr>
      </w:pPr>
      <w:r>
        <w:rPr>
          <w:rFonts w:hint="eastAsia" w:ascii="宋体" w:hAnsi="宋体" w:eastAsia="宋体"/>
          <w:sz w:val="21"/>
          <w:szCs w:val="21"/>
        </w:rPr>
        <w:t xml:space="preserve">出卖人（乙方）： </w:t>
      </w:r>
    </w:p>
    <w:p w14:paraId="27845DD2">
      <w:pPr>
        <w:ind w:firstLine="420" w:firstLineChars="200"/>
        <w:rPr>
          <w:rFonts w:hint="eastAsia" w:ascii="宋体" w:hAnsi="宋体" w:eastAsia="宋体"/>
          <w:sz w:val="21"/>
          <w:szCs w:val="21"/>
        </w:rPr>
      </w:pPr>
      <w:r>
        <w:rPr>
          <w:rFonts w:hint="eastAsia" w:ascii="宋体" w:hAnsi="宋体" w:eastAsia="宋体"/>
          <w:sz w:val="21"/>
          <w:szCs w:val="21"/>
        </w:rPr>
        <w:t>根据《中华人民共和国政府采购法》、《中华人民共和国</w:t>
      </w:r>
      <w:r>
        <w:rPr>
          <w:rFonts w:hint="eastAsia" w:ascii="宋体" w:hAnsi="宋体" w:eastAsia="宋体"/>
          <w:sz w:val="21"/>
          <w:szCs w:val="21"/>
          <w:lang w:eastAsia="zh-CN"/>
        </w:rPr>
        <w:t>民法典</w:t>
      </w:r>
      <w:r>
        <w:rPr>
          <w:rFonts w:hint="eastAsia" w:ascii="宋体" w:hAnsi="宋体" w:eastAsia="宋体"/>
          <w:sz w:val="21"/>
          <w:szCs w:val="21"/>
        </w:rPr>
        <w:t>》及</w:t>
      </w:r>
      <w:r>
        <w:rPr>
          <w:rFonts w:hint="eastAsia" w:ascii="宋体" w:hAnsi="宋体" w:eastAsia="宋体"/>
          <w:b/>
          <w:sz w:val="21"/>
          <w:szCs w:val="21"/>
          <w:u w:val="single"/>
        </w:rPr>
        <w:t xml:space="preserve">                      </w:t>
      </w:r>
      <w:r>
        <w:rPr>
          <w:rFonts w:hint="eastAsia" w:ascii="宋体" w:hAnsi="宋体" w:eastAsia="宋体"/>
          <w:sz w:val="21"/>
          <w:szCs w:val="21"/>
        </w:rPr>
        <w:t>项目</w:t>
      </w:r>
      <w:r>
        <w:rPr>
          <w:rFonts w:hint="eastAsia" w:ascii="宋体" w:hAnsi="宋体" w:eastAsia="宋体"/>
          <w:sz w:val="21"/>
          <w:szCs w:val="21"/>
          <w:u w:val="single"/>
        </w:rPr>
        <w:t xml:space="preserve">                               </w:t>
      </w:r>
      <w:r>
        <w:rPr>
          <w:rFonts w:hint="eastAsia" w:ascii="宋体" w:hAnsi="宋体" w:eastAsia="宋体"/>
          <w:sz w:val="21"/>
          <w:szCs w:val="21"/>
        </w:rPr>
        <w:t>（项目编号：            的《招标文件》、乙方的《投标文件》及《中标通知书》），甲、乙双方同意签订本合同。详细技术说明及其它有关合同的特定信息由合同附件予以载明，合同附件及乙方投标文件等均为本合同不可分割的部分。双方签署并共同遵守如下条款：</w:t>
      </w:r>
    </w:p>
    <w:p w14:paraId="4873F3BB">
      <w:pPr>
        <w:ind w:firstLine="422" w:firstLineChars="200"/>
        <w:rPr>
          <w:rFonts w:hint="eastAsia" w:ascii="宋体" w:hAnsi="宋体" w:eastAsia="宋体"/>
          <w:b/>
          <w:sz w:val="21"/>
          <w:szCs w:val="21"/>
        </w:rPr>
      </w:pPr>
      <w:r>
        <w:rPr>
          <w:rFonts w:hint="eastAsia" w:ascii="宋体" w:hAnsi="宋体" w:eastAsia="宋体"/>
          <w:b/>
          <w:sz w:val="21"/>
          <w:szCs w:val="21"/>
        </w:rPr>
        <w:t>一、买卖标的物</w:t>
      </w:r>
    </w:p>
    <w:tbl>
      <w:tblPr>
        <w:tblStyle w:val="34"/>
        <w:tblW w:w="87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36"/>
        <w:gridCol w:w="1211"/>
        <w:gridCol w:w="1236"/>
        <w:gridCol w:w="734"/>
        <w:gridCol w:w="756"/>
        <w:gridCol w:w="1071"/>
        <w:gridCol w:w="1105"/>
      </w:tblGrid>
      <w:tr w14:paraId="0A76C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2636" w:type="dxa"/>
            <w:noWrap w:val="0"/>
            <w:vAlign w:val="center"/>
          </w:tcPr>
          <w:p w14:paraId="740E5E37">
            <w:pPr>
              <w:jc w:val="center"/>
              <w:rPr>
                <w:rFonts w:hint="eastAsia" w:ascii="宋体" w:hAnsi="宋体" w:eastAsia="宋体"/>
                <w:sz w:val="21"/>
                <w:szCs w:val="21"/>
              </w:rPr>
            </w:pPr>
            <w:r>
              <w:rPr>
                <w:rFonts w:hint="eastAsia" w:ascii="宋体" w:hAnsi="宋体" w:eastAsia="宋体"/>
                <w:sz w:val="21"/>
                <w:szCs w:val="21"/>
              </w:rPr>
              <w:t>品    名</w:t>
            </w:r>
          </w:p>
        </w:tc>
        <w:tc>
          <w:tcPr>
            <w:tcW w:w="1211" w:type="dxa"/>
            <w:noWrap w:val="0"/>
            <w:vAlign w:val="center"/>
          </w:tcPr>
          <w:p w14:paraId="59148749">
            <w:pPr>
              <w:jc w:val="center"/>
              <w:rPr>
                <w:rFonts w:hint="eastAsia" w:ascii="宋体" w:hAnsi="宋体" w:eastAsia="宋体"/>
                <w:sz w:val="21"/>
                <w:szCs w:val="21"/>
              </w:rPr>
            </w:pPr>
            <w:r>
              <w:rPr>
                <w:rFonts w:hint="eastAsia" w:ascii="宋体" w:hAnsi="宋体" w:eastAsia="宋体"/>
                <w:sz w:val="21"/>
                <w:szCs w:val="21"/>
              </w:rPr>
              <w:t>品牌</w:t>
            </w:r>
          </w:p>
        </w:tc>
        <w:tc>
          <w:tcPr>
            <w:tcW w:w="1236" w:type="dxa"/>
            <w:noWrap w:val="0"/>
            <w:vAlign w:val="center"/>
          </w:tcPr>
          <w:p w14:paraId="2EF5DD3B">
            <w:pPr>
              <w:jc w:val="center"/>
              <w:rPr>
                <w:rFonts w:hint="eastAsia" w:ascii="宋体" w:hAnsi="宋体" w:eastAsia="宋体"/>
                <w:sz w:val="21"/>
                <w:szCs w:val="21"/>
              </w:rPr>
            </w:pPr>
            <w:r>
              <w:rPr>
                <w:rFonts w:hint="eastAsia" w:ascii="宋体" w:hAnsi="宋体" w:eastAsia="宋体"/>
                <w:sz w:val="21"/>
                <w:szCs w:val="21"/>
              </w:rPr>
              <w:t>规格型号</w:t>
            </w:r>
          </w:p>
        </w:tc>
        <w:tc>
          <w:tcPr>
            <w:tcW w:w="734" w:type="dxa"/>
            <w:noWrap w:val="0"/>
            <w:vAlign w:val="center"/>
          </w:tcPr>
          <w:p w14:paraId="07BA1B85">
            <w:pPr>
              <w:jc w:val="center"/>
              <w:rPr>
                <w:rFonts w:hint="eastAsia" w:ascii="宋体" w:hAnsi="宋体" w:eastAsia="宋体"/>
                <w:sz w:val="21"/>
                <w:szCs w:val="21"/>
              </w:rPr>
            </w:pPr>
            <w:r>
              <w:rPr>
                <w:rFonts w:hint="eastAsia" w:ascii="宋体" w:hAnsi="宋体" w:eastAsia="宋体"/>
                <w:sz w:val="21"/>
                <w:szCs w:val="21"/>
              </w:rPr>
              <w:t>单位</w:t>
            </w:r>
          </w:p>
        </w:tc>
        <w:tc>
          <w:tcPr>
            <w:tcW w:w="756" w:type="dxa"/>
            <w:noWrap w:val="0"/>
            <w:vAlign w:val="center"/>
          </w:tcPr>
          <w:p w14:paraId="4EC88EE8">
            <w:pPr>
              <w:jc w:val="center"/>
              <w:rPr>
                <w:rFonts w:hint="eastAsia" w:ascii="宋体" w:hAnsi="宋体" w:eastAsia="宋体"/>
                <w:sz w:val="21"/>
                <w:szCs w:val="21"/>
              </w:rPr>
            </w:pPr>
            <w:r>
              <w:rPr>
                <w:rFonts w:hint="eastAsia" w:ascii="宋体" w:hAnsi="宋体" w:eastAsia="宋体"/>
                <w:sz w:val="21"/>
                <w:szCs w:val="21"/>
              </w:rPr>
              <w:t>数量</w:t>
            </w:r>
          </w:p>
        </w:tc>
        <w:tc>
          <w:tcPr>
            <w:tcW w:w="1071" w:type="dxa"/>
            <w:noWrap w:val="0"/>
            <w:vAlign w:val="center"/>
          </w:tcPr>
          <w:p w14:paraId="730C01D2">
            <w:pPr>
              <w:jc w:val="center"/>
              <w:rPr>
                <w:rFonts w:hint="eastAsia" w:ascii="宋体" w:hAnsi="宋体" w:eastAsia="宋体"/>
                <w:sz w:val="21"/>
                <w:szCs w:val="21"/>
              </w:rPr>
            </w:pPr>
            <w:r>
              <w:rPr>
                <w:rFonts w:hint="eastAsia" w:ascii="宋体" w:hAnsi="宋体" w:eastAsia="宋体"/>
                <w:sz w:val="21"/>
                <w:szCs w:val="21"/>
              </w:rPr>
              <w:t>单价</w:t>
            </w:r>
          </w:p>
          <w:p w14:paraId="6DF0150A">
            <w:pPr>
              <w:jc w:val="center"/>
              <w:rPr>
                <w:rFonts w:hint="eastAsia" w:ascii="宋体" w:hAnsi="宋体" w:eastAsia="宋体"/>
                <w:sz w:val="21"/>
                <w:szCs w:val="21"/>
              </w:rPr>
            </w:pPr>
            <w:r>
              <w:rPr>
                <w:rFonts w:hint="eastAsia" w:ascii="宋体" w:hAnsi="宋体" w:eastAsia="宋体"/>
                <w:sz w:val="21"/>
                <w:szCs w:val="21"/>
              </w:rPr>
              <w:t>（万元）</w:t>
            </w:r>
          </w:p>
        </w:tc>
        <w:tc>
          <w:tcPr>
            <w:tcW w:w="1105" w:type="dxa"/>
            <w:noWrap w:val="0"/>
            <w:vAlign w:val="center"/>
          </w:tcPr>
          <w:p w14:paraId="13215A4C">
            <w:pPr>
              <w:jc w:val="center"/>
              <w:rPr>
                <w:rFonts w:hint="eastAsia" w:ascii="宋体" w:hAnsi="宋体" w:eastAsia="宋体"/>
                <w:sz w:val="21"/>
                <w:szCs w:val="21"/>
              </w:rPr>
            </w:pPr>
            <w:r>
              <w:rPr>
                <w:rFonts w:hint="eastAsia" w:ascii="宋体" w:hAnsi="宋体" w:eastAsia="宋体"/>
                <w:sz w:val="21"/>
                <w:szCs w:val="21"/>
              </w:rPr>
              <w:t>总价</w:t>
            </w:r>
          </w:p>
          <w:p w14:paraId="6E600D32">
            <w:pPr>
              <w:jc w:val="center"/>
              <w:rPr>
                <w:rFonts w:hint="eastAsia" w:ascii="宋体" w:hAnsi="宋体" w:eastAsia="宋体"/>
                <w:sz w:val="21"/>
                <w:szCs w:val="21"/>
              </w:rPr>
            </w:pPr>
            <w:r>
              <w:rPr>
                <w:rFonts w:hint="eastAsia" w:ascii="宋体" w:hAnsi="宋体" w:eastAsia="宋体"/>
                <w:sz w:val="21"/>
                <w:szCs w:val="21"/>
              </w:rPr>
              <w:t>（万元）</w:t>
            </w:r>
          </w:p>
        </w:tc>
      </w:tr>
      <w:tr w14:paraId="662F3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2636" w:type="dxa"/>
            <w:noWrap w:val="0"/>
            <w:vAlign w:val="center"/>
          </w:tcPr>
          <w:p w14:paraId="6D679288">
            <w:pPr>
              <w:keepNext w:val="0"/>
              <w:keepLines w:val="0"/>
              <w:widowControl/>
              <w:suppressLineNumbers w:val="0"/>
              <w:jc w:val="left"/>
              <w:rPr>
                <w:sz w:val="21"/>
                <w:szCs w:val="24"/>
              </w:rPr>
            </w:pPr>
            <w:r>
              <w:rPr>
                <w:rFonts w:hint="eastAsia" w:ascii="宋体" w:hAnsi="宋体" w:eastAsia="宋体" w:cs="宋体"/>
                <w:color w:val="000000"/>
                <w:kern w:val="0"/>
                <w:sz w:val="24"/>
                <w:szCs w:val="24"/>
                <w:lang w:val="en-US" w:eastAsia="zh-CN" w:bidi="ar"/>
              </w:rPr>
              <w:t xml:space="preserve">注册证名称（发布公告 </w:t>
            </w:r>
          </w:p>
          <w:p w14:paraId="1EAEAEE5">
            <w:pPr>
              <w:keepNext w:val="0"/>
              <w:keepLines w:val="0"/>
              <w:widowControl/>
              <w:suppressLineNumbers w:val="0"/>
              <w:jc w:val="left"/>
              <w:rPr>
                <w:rFonts w:hint="eastAsia" w:ascii="宋体" w:hAnsi="宋体" w:eastAsia="宋体"/>
                <w:sz w:val="21"/>
                <w:szCs w:val="21"/>
              </w:rPr>
            </w:pPr>
            <w:r>
              <w:rPr>
                <w:rFonts w:hint="eastAsia" w:ascii="宋体" w:hAnsi="宋体" w:eastAsia="宋体" w:cs="宋体"/>
                <w:color w:val="000000"/>
                <w:kern w:val="0"/>
                <w:sz w:val="24"/>
                <w:szCs w:val="24"/>
                <w:lang w:val="en-US" w:eastAsia="zh-CN" w:bidi="ar"/>
              </w:rPr>
              <w:t>产品名称）</w:t>
            </w:r>
          </w:p>
        </w:tc>
        <w:tc>
          <w:tcPr>
            <w:tcW w:w="1211" w:type="dxa"/>
            <w:noWrap w:val="0"/>
            <w:vAlign w:val="top"/>
          </w:tcPr>
          <w:p w14:paraId="202F391F">
            <w:pPr>
              <w:jc w:val="center"/>
              <w:rPr>
                <w:rFonts w:hint="eastAsia" w:ascii="宋体" w:hAnsi="宋体" w:eastAsia="宋体"/>
                <w:sz w:val="21"/>
                <w:szCs w:val="21"/>
              </w:rPr>
            </w:pPr>
          </w:p>
        </w:tc>
        <w:tc>
          <w:tcPr>
            <w:tcW w:w="1236" w:type="dxa"/>
            <w:noWrap w:val="0"/>
            <w:vAlign w:val="center"/>
          </w:tcPr>
          <w:p w14:paraId="68AD0227">
            <w:pPr>
              <w:jc w:val="center"/>
              <w:rPr>
                <w:rFonts w:hint="eastAsia" w:ascii="宋体" w:hAnsi="宋体" w:eastAsia="宋体"/>
                <w:sz w:val="21"/>
                <w:szCs w:val="21"/>
              </w:rPr>
            </w:pPr>
          </w:p>
        </w:tc>
        <w:tc>
          <w:tcPr>
            <w:tcW w:w="734" w:type="dxa"/>
            <w:noWrap w:val="0"/>
            <w:vAlign w:val="center"/>
          </w:tcPr>
          <w:p w14:paraId="4B11C686">
            <w:pPr>
              <w:jc w:val="center"/>
              <w:rPr>
                <w:rFonts w:hint="eastAsia" w:ascii="宋体" w:hAnsi="宋体" w:eastAsia="宋体"/>
                <w:sz w:val="21"/>
                <w:szCs w:val="21"/>
              </w:rPr>
            </w:pPr>
          </w:p>
        </w:tc>
        <w:tc>
          <w:tcPr>
            <w:tcW w:w="756" w:type="dxa"/>
            <w:noWrap w:val="0"/>
            <w:vAlign w:val="center"/>
          </w:tcPr>
          <w:p w14:paraId="2B21C580">
            <w:pPr>
              <w:jc w:val="center"/>
              <w:rPr>
                <w:rFonts w:hint="eastAsia" w:ascii="宋体" w:hAnsi="宋体" w:eastAsia="宋体"/>
                <w:sz w:val="21"/>
                <w:szCs w:val="21"/>
              </w:rPr>
            </w:pPr>
          </w:p>
        </w:tc>
        <w:tc>
          <w:tcPr>
            <w:tcW w:w="1071" w:type="dxa"/>
            <w:noWrap w:val="0"/>
            <w:vAlign w:val="center"/>
          </w:tcPr>
          <w:p w14:paraId="2A320359">
            <w:pPr>
              <w:jc w:val="center"/>
              <w:rPr>
                <w:rFonts w:hint="eastAsia" w:ascii="宋体" w:hAnsi="宋体" w:eastAsia="宋体"/>
                <w:sz w:val="21"/>
                <w:szCs w:val="21"/>
              </w:rPr>
            </w:pPr>
          </w:p>
        </w:tc>
        <w:tc>
          <w:tcPr>
            <w:tcW w:w="1105" w:type="dxa"/>
            <w:noWrap w:val="0"/>
            <w:vAlign w:val="center"/>
          </w:tcPr>
          <w:p w14:paraId="5AE2449A">
            <w:pPr>
              <w:jc w:val="center"/>
              <w:rPr>
                <w:rFonts w:hint="eastAsia" w:ascii="宋体" w:hAnsi="宋体" w:eastAsia="宋体"/>
                <w:sz w:val="21"/>
                <w:szCs w:val="21"/>
              </w:rPr>
            </w:pPr>
          </w:p>
        </w:tc>
      </w:tr>
    </w:tbl>
    <w:p w14:paraId="0DF977FB">
      <w:pPr>
        <w:ind w:firstLine="422" w:firstLineChars="200"/>
        <w:rPr>
          <w:rFonts w:hint="eastAsia" w:ascii="宋体" w:hAnsi="宋体" w:eastAsia="宋体"/>
          <w:b/>
          <w:sz w:val="21"/>
          <w:szCs w:val="21"/>
        </w:rPr>
      </w:pPr>
      <w:r>
        <w:rPr>
          <w:rFonts w:hint="eastAsia" w:ascii="宋体" w:hAnsi="宋体" w:eastAsia="宋体"/>
          <w:b/>
          <w:sz w:val="21"/>
          <w:szCs w:val="21"/>
        </w:rPr>
        <w:t>二、合同价款</w:t>
      </w:r>
    </w:p>
    <w:p w14:paraId="081EF2BA">
      <w:pPr>
        <w:ind w:firstLine="420" w:firstLineChars="200"/>
        <w:rPr>
          <w:rFonts w:hint="eastAsia" w:ascii="宋体" w:hAnsi="宋体" w:eastAsia="宋体"/>
          <w:sz w:val="21"/>
          <w:szCs w:val="21"/>
        </w:rPr>
      </w:pPr>
      <w:r>
        <w:rPr>
          <w:rFonts w:hint="eastAsia" w:ascii="宋体" w:hAnsi="宋体" w:eastAsia="宋体"/>
          <w:sz w:val="21"/>
          <w:szCs w:val="21"/>
        </w:rPr>
        <w:t>本合同标的物总价款为人民币大写：</w:t>
      </w:r>
      <w:r>
        <w:rPr>
          <w:rFonts w:hint="eastAsia" w:ascii="宋体" w:hAnsi="宋体" w:eastAsia="宋体"/>
          <w:sz w:val="21"/>
          <w:szCs w:val="21"/>
          <w:u w:val="single"/>
        </w:rPr>
        <w:t xml:space="preserve">                                  </w:t>
      </w:r>
      <w:r>
        <w:rPr>
          <w:rFonts w:hint="eastAsia" w:ascii="宋体" w:hAnsi="宋体" w:eastAsia="宋体"/>
          <w:sz w:val="21"/>
          <w:szCs w:val="21"/>
        </w:rPr>
        <w:t>，即RMB</w:t>
      </w:r>
      <w:r>
        <w:rPr>
          <w:rFonts w:hint="eastAsia" w:ascii="宋体" w:hAnsi="宋体" w:eastAsia="宋体"/>
          <w:sz w:val="21"/>
          <w:szCs w:val="21"/>
          <w:u w:val="single"/>
        </w:rPr>
        <w:t xml:space="preserve">￥        </w:t>
      </w:r>
      <w:r>
        <w:rPr>
          <w:rFonts w:hint="eastAsia" w:ascii="宋体" w:hAnsi="宋体" w:eastAsia="宋体"/>
          <w:sz w:val="21"/>
          <w:szCs w:val="21"/>
        </w:rPr>
        <w:t>万元；该价款已包括标的物设计、材料、制造、运输、安装、调试、培训、验收合格交付使用之前及保修期内保修服务与备用物件等所有其他有关各项的含税费用。本合同履行期间该合同总价款不变，甲方无须向乙方支付本合同约定之外的任何其他费用。</w:t>
      </w:r>
    </w:p>
    <w:p w14:paraId="5C12033A">
      <w:pPr>
        <w:ind w:firstLine="422" w:firstLineChars="200"/>
        <w:rPr>
          <w:rFonts w:hint="eastAsia" w:ascii="宋体" w:hAnsi="宋体" w:eastAsia="宋体"/>
          <w:b/>
          <w:sz w:val="21"/>
          <w:szCs w:val="21"/>
        </w:rPr>
      </w:pPr>
      <w:r>
        <w:rPr>
          <w:rFonts w:hint="eastAsia" w:ascii="宋体" w:hAnsi="宋体" w:eastAsia="宋体"/>
          <w:b/>
          <w:sz w:val="21"/>
          <w:szCs w:val="21"/>
        </w:rPr>
        <w:t>三、质量标准及相关质量问题的处理</w:t>
      </w:r>
    </w:p>
    <w:p w14:paraId="33381398">
      <w:pPr>
        <w:ind w:firstLine="420" w:firstLineChars="200"/>
        <w:rPr>
          <w:rFonts w:hint="eastAsia" w:ascii="宋体" w:hAnsi="宋体" w:eastAsia="宋体"/>
          <w:sz w:val="21"/>
          <w:szCs w:val="21"/>
        </w:rPr>
      </w:pPr>
      <w:r>
        <w:rPr>
          <w:rFonts w:hint="eastAsia" w:ascii="宋体" w:hAnsi="宋体" w:eastAsia="宋体"/>
          <w:sz w:val="21"/>
          <w:szCs w:val="21"/>
        </w:rPr>
        <w:t>1、乙方提供的标的物必须是合格出厂的全新（含零部件、配件等）产品，全部外观表面无划伤、无碰撞痕迹，产品所有权及自身涉及的各项知识产权权属清楚，不得存在侵害他人知识产权和其他权益的情形。</w:t>
      </w:r>
    </w:p>
    <w:p w14:paraId="3ACB097F">
      <w:pPr>
        <w:ind w:firstLine="420" w:firstLineChars="200"/>
        <w:rPr>
          <w:rFonts w:hint="eastAsia" w:ascii="宋体" w:hAnsi="宋体" w:eastAsia="宋体"/>
          <w:sz w:val="21"/>
          <w:szCs w:val="21"/>
        </w:rPr>
      </w:pPr>
      <w:r>
        <w:rPr>
          <w:rFonts w:hint="eastAsia" w:ascii="宋体" w:hAnsi="宋体" w:eastAsia="宋体"/>
          <w:sz w:val="21"/>
          <w:szCs w:val="21"/>
        </w:rPr>
        <w:t>2、标的物出厂时必须符合或优于国家（没有国标时，以行标）新标准，同时符合本项目招标文件确定的各项质量要求和技术指标及出厂标准。</w:t>
      </w:r>
    </w:p>
    <w:p w14:paraId="67A65ABA">
      <w:pPr>
        <w:ind w:firstLine="420" w:firstLineChars="200"/>
        <w:rPr>
          <w:rFonts w:hint="eastAsia" w:ascii="宋体" w:hAnsi="宋体" w:eastAsia="宋体"/>
          <w:sz w:val="21"/>
          <w:szCs w:val="21"/>
        </w:rPr>
      </w:pPr>
      <w:r>
        <w:rPr>
          <w:rFonts w:hint="eastAsia" w:ascii="宋体" w:hAnsi="宋体" w:eastAsia="宋体"/>
          <w:sz w:val="21"/>
          <w:szCs w:val="21"/>
        </w:rPr>
        <w:t>3、标的物的制造质量存在或出现问题时，乙方必须负责三包（包修、包换、包退），费用由乙方负担，甲方有权亲自派员或委托第三方到乙方生产或仓储现场查验标的物质量或生产进度。</w:t>
      </w:r>
    </w:p>
    <w:p w14:paraId="0AC5D7C5">
      <w:pPr>
        <w:ind w:firstLine="420" w:firstLineChars="200"/>
        <w:rPr>
          <w:rFonts w:hint="eastAsia" w:ascii="宋体" w:hAnsi="宋体" w:eastAsia="宋体"/>
          <w:sz w:val="21"/>
          <w:szCs w:val="21"/>
        </w:rPr>
      </w:pPr>
      <w:r>
        <w:rPr>
          <w:rFonts w:hint="eastAsia" w:ascii="宋体" w:hAnsi="宋体" w:eastAsia="宋体"/>
          <w:sz w:val="21"/>
          <w:szCs w:val="21"/>
        </w:rPr>
        <w:t>4、标的物交付后由于甲方保管不当造成的质量问题，乙方应负责修理，费用由甲方负担。</w:t>
      </w:r>
    </w:p>
    <w:p w14:paraId="476D5348">
      <w:pPr>
        <w:ind w:firstLine="422" w:firstLineChars="200"/>
        <w:rPr>
          <w:rFonts w:hint="eastAsia" w:ascii="宋体" w:hAnsi="宋体" w:eastAsia="宋体"/>
          <w:b/>
          <w:sz w:val="21"/>
          <w:szCs w:val="21"/>
        </w:rPr>
      </w:pPr>
      <w:r>
        <w:rPr>
          <w:rFonts w:hint="eastAsia" w:ascii="宋体" w:hAnsi="宋体" w:eastAsia="宋体"/>
          <w:b/>
          <w:sz w:val="21"/>
          <w:szCs w:val="21"/>
        </w:rPr>
        <w:t>四、交货及验收</w:t>
      </w:r>
    </w:p>
    <w:p w14:paraId="222FB33F">
      <w:pPr>
        <w:ind w:firstLine="420" w:firstLineChars="200"/>
        <w:rPr>
          <w:rFonts w:hint="eastAsia" w:ascii="宋体" w:hAnsi="宋体" w:eastAsia="宋体"/>
          <w:sz w:val="21"/>
          <w:szCs w:val="21"/>
        </w:rPr>
      </w:pPr>
      <w:r>
        <w:rPr>
          <w:rFonts w:hint="eastAsia" w:ascii="宋体" w:hAnsi="宋体" w:eastAsia="宋体"/>
          <w:sz w:val="21"/>
          <w:szCs w:val="21"/>
        </w:rPr>
        <w:t>1、乙方交货期限为合同签订生效后的</w:t>
      </w:r>
      <w:r>
        <w:rPr>
          <w:rFonts w:hint="eastAsia" w:ascii="宋体" w:hAnsi="宋体" w:eastAsia="宋体"/>
          <w:sz w:val="21"/>
          <w:szCs w:val="21"/>
          <w:u w:val="single"/>
        </w:rPr>
        <w:t xml:space="preserve">      </w:t>
      </w:r>
      <w:r>
        <w:rPr>
          <w:rFonts w:hint="eastAsia" w:ascii="宋体" w:hAnsi="宋体" w:eastAsia="宋体"/>
          <w:sz w:val="21"/>
          <w:szCs w:val="21"/>
        </w:rPr>
        <w:t>日内，交货到甲方指定地点，并由乙方随即在</w:t>
      </w:r>
      <w:r>
        <w:rPr>
          <w:rFonts w:hint="eastAsia" w:ascii="宋体" w:hAnsi="宋体" w:eastAsia="宋体"/>
          <w:sz w:val="21"/>
          <w:szCs w:val="21"/>
          <w:u w:val="single"/>
        </w:rPr>
        <w:t xml:space="preserve">      </w:t>
      </w:r>
      <w:r>
        <w:rPr>
          <w:rFonts w:hint="eastAsia" w:ascii="宋体" w:hAnsi="宋体" w:eastAsia="宋体"/>
          <w:sz w:val="21"/>
          <w:szCs w:val="21"/>
        </w:rPr>
        <w:t>日内全部完成安装调试验收合格，并交付使用（如由于甲方的原因造成合同延迟签订或验收的，交付使用时间顺延）。乙方交货验收时必须要提供该产品的法定质检部门从同类产品中检查合</w:t>
      </w:r>
      <w:r>
        <w:rPr>
          <w:rFonts w:hint="eastAsia" w:ascii="宋体" w:hAnsi="宋体" w:eastAsia="宋体"/>
          <w:sz w:val="21"/>
          <w:szCs w:val="21"/>
          <w:lang w:eastAsia="zh-CN"/>
        </w:rPr>
        <w:t>格</w:t>
      </w:r>
      <w:r>
        <w:rPr>
          <w:rFonts w:hint="eastAsia" w:ascii="宋体" w:hAnsi="宋体" w:eastAsia="宋体"/>
          <w:sz w:val="21"/>
          <w:szCs w:val="21"/>
        </w:rPr>
        <w:t>的检测报告。</w:t>
      </w:r>
    </w:p>
    <w:p w14:paraId="2F555B21">
      <w:pPr>
        <w:ind w:firstLine="420" w:firstLineChars="200"/>
        <w:rPr>
          <w:rFonts w:hint="eastAsia" w:ascii="宋体" w:hAnsi="宋体" w:eastAsia="宋体"/>
          <w:sz w:val="21"/>
          <w:szCs w:val="21"/>
        </w:rPr>
      </w:pPr>
      <w:r>
        <w:rPr>
          <w:rFonts w:hint="eastAsia" w:ascii="宋体" w:hAnsi="宋体" w:eastAsia="宋体"/>
          <w:sz w:val="21"/>
          <w:szCs w:val="21"/>
        </w:rPr>
        <w:t>2、验收由甲方组织，乙方配合进行：</w:t>
      </w:r>
    </w:p>
    <w:p w14:paraId="21391F3B">
      <w:pPr>
        <w:ind w:firstLine="420" w:firstLineChars="200"/>
        <w:rPr>
          <w:rFonts w:hint="eastAsia" w:ascii="宋体" w:hAnsi="宋体" w:eastAsia="宋体"/>
          <w:sz w:val="21"/>
          <w:szCs w:val="21"/>
        </w:rPr>
      </w:pPr>
      <w:r>
        <w:rPr>
          <w:rFonts w:hint="eastAsia" w:ascii="宋体" w:hAnsi="宋体" w:eastAsia="宋体"/>
          <w:sz w:val="21"/>
          <w:szCs w:val="21"/>
        </w:rPr>
        <w:t>（1）标的物在乙方通知安装调试完毕后</w:t>
      </w:r>
      <w:r>
        <w:rPr>
          <w:rFonts w:hint="eastAsia" w:ascii="宋体" w:hAnsi="宋体" w:eastAsia="宋体"/>
          <w:sz w:val="21"/>
          <w:szCs w:val="21"/>
          <w:u w:val="single"/>
        </w:rPr>
        <w:t xml:space="preserve"> </w:t>
      </w:r>
      <w:r>
        <w:rPr>
          <w:rFonts w:hint="eastAsia" w:ascii="宋体" w:hAnsi="宋体" w:eastAsia="宋体"/>
          <w:sz w:val="21"/>
          <w:szCs w:val="21"/>
          <w:u w:val="single"/>
          <w:lang w:val="en-US" w:eastAsia="zh-CN"/>
        </w:rPr>
        <w:t xml:space="preserve">  </w:t>
      </w:r>
      <w:r>
        <w:rPr>
          <w:rFonts w:hint="eastAsia" w:ascii="宋体" w:hAnsi="宋体" w:eastAsia="宋体"/>
          <w:sz w:val="21"/>
          <w:szCs w:val="21"/>
          <w:u w:val="single"/>
          <w:lang w:eastAsia="zh-CN"/>
        </w:rPr>
        <w:t>三</w:t>
      </w:r>
      <w:r>
        <w:rPr>
          <w:rFonts w:hint="eastAsia" w:ascii="宋体" w:hAnsi="宋体" w:eastAsia="宋体"/>
          <w:sz w:val="21"/>
          <w:szCs w:val="21"/>
          <w:u w:val="single"/>
          <w:lang w:val="en-US" w:eastAsia="zh-CN"/>
        </w:rPr>
        <w:t xml:space="preserve">  </w:t>
      </w:r>
      <w:r>
        <w:rPr>
          <w:rFonts w:hint="eastAsia" w:ascii="宋体" w:hAnsi="宋体" w:eastAsia="宋体"/>
          <w:sz w:val="21"/>
          <w:szCs w:val="21"/>
        </w:rPr>
        <w:t xml:space="preserve"> 日内进行初步验收。初步验收合格后，开始进入</w:t>
      </w:r>
      <w:r>
        <w:rPr>
          <w:rFonts w:hint="eastAsia" w:ascii="宋体" w:hAnsi="宋体" w:eastAsia="宋体"/>
          <w:sz w:val="21"/>
          <w:szCs w:val="21"/>
          <w:u w:val="single"/>
          <w:lang w:val="en-US" w:eastAsia="zh-CN"/>
        </w:rPr>
        <w:t xml:space="preserve">  七  </w:t>
      </w:r>
      <w:r>
        <w:rPr>
          <w:rFonts w:hint="eastAsia" w:ascii="宋体" w:hAnsi="宋体" w:eastAsia="宋体"/>
          <w:sz w:val="21"/>
          <w:szCs w:val="21"/>
        </w:rPr>
        <w:t xml:space="preserve"> 天试用期；试用期间发生重大质量问题，乙方应</w:t>
      </w:r>
      <w:r>
        <w:rPr>
          <w:rFonts w:hint="eastAsia" w:ascii="宋体" w:hAnsi="宋体" w:eastAsia="宋体"/>
          <w:sz w:val="21"/>
          <w:szCs w:val="21"/>
          <w:lang w:eastAsia="zh-CN"/>
        </w:rPr>
        <w:t>重新</w:t>
      </w:r>
      <w:r>
        <w:rPr>
          <w:rFonts w:hint="eastAsia" w:ascii="宋体" w:hAnsi="宋体" w:eastAsia="宋体"/>
          <w:sz w:val="21"/>
          <w:szCs w:val="21"/>
        </w:rPr>
        <w:t>提供符合标准的新设备</w:t>
      </w:r>
      <w:r>
        <w:rPr>
          <w:rFonts w:hint="eastAsia" w:ascii="宋体" w:hAnsi="宋体" w:eastAsia="宋体"/>
          <w:sz w:val="21"/>
          <w:szCs w:val="21"/>
          <w:lang w:eastAsia="zh-CN"/>
        </w:rPr>
        <w:t>，</w:t>
      </w:r>
      <w:r>
        <w:rPr>
          <w:rFonts w:hint="eastAsia" w:ascii="宋体" w:hAnsi="宋体" w:eastAsia="宋体"/>
          <w:sz w:val="21"/>
          <w:szCs w:val="21"/>
          <w:lang w:val="en-US" w:eastAsia="zh-CN"/>
        </w:rPr>
        <w:t>由甲方组织重新进行初步验收，开始进入</w:t>
      </w:r>
      <w:r>
        <w:rPr>
          <w:rFonts w:hint="eastAsia" w:ascii="宋体" w:hAnsi="宋体" w:eastAsia="宋体"/>
          <w:sz w:val="21"/>
          <w:szCs w:val="21"/>
          <w:u w:val="single"/>
          <w:lang w:val="en-US" w:eastAsia="zh-CN"/>
        </w:rPr>
        <w:t xml:space="preserve"> 七 </w:t>
      </w:r>
      <w:r>
        <w:rPr>
          <w:rFonts w:hint="eastAsia" w:ascii="宋体" w:hAnsi="宋体" w:eastAsia="宋体"/>
          <w:sz w:val="21"/>
          <w:szCs w:val="21"/>
          <w:lang w:val="en-US" w:eastAsia="zh-CN"/>
        </w:rPr>
        <w:t>天试用期</w:t>
      </w:r>
      <w:r>
        <w:rPr>
          <w:rFonts w:hint="eastAsia" w:ascii="宋体" w:hAnsi="宋体" w:eastAsia="宋体"/>
          <w:sz w:val="21"/>
          <w:szCs w:val="21"/>
        </w:rPr>
        <w:t>；试用期结束后</w:t>
      </w:r>
      <w:r>
        <w:rPr>
          <w:rFonts w:hint="eastAsia" w:ascii="宋体" w:hAnsi="宋体" w:eastAsia="宋体"/>
          <w:sz w:val="21"/>
          <w:szCs w:val="21"/>
          <w:u w:val="single"/>
          <w:lang w:val="en-US" w:eastAsia="zh-CN"/>
        </w:rPr>
        <w:t xml:space="preserve">  三  </w:t>
      </w:r>
      <w:r>
        <w:rPr>
          <w:rFonts w:hint="eastAsia" w:ascii="宋体" w:hAnsi="宋体" w:eastAsia="宋体"/>
          <w:sz w:val="21"/>
          <w:szCs w:val="21"/>
        </w:rPr>
        <w:t>日内完成最终验收。</w:t>
      </w:r>
    </w:p>
    <w:p w14:paraId="24A4DC91">
      <w:pPr>
        <w:ind w:firstLine="420" w:firstLineChars="200"/>
        <w:rPr>
          <w:rFonts w:hint="eastAsia" w:ascii="宋体" w:hAnsi="宋体" w:eastAsia="宋体"/>
          <w:sz w:val="21"/>
          <w:szCs w:val="21"/>
        </w:rPr>
      </w:pPr>
      <w:r>
        <w:rPr>
          <w:rFonts w:hint="eastAsia" w:ascii="宋体" w:hAnsi="宋体" w:eastAsia="宋体"/>
          <w:sz w:val="21"/>
          <w:szCs w:val="21"/>
        </w:rPr>
        <w:t>（2）验收标准：按国家有关规定以及甲方招标文件的质量要求和技术指标、乙方的投标文件及承诺及合同约定标准进行验收；甲乙双方如对质量要求和技术指标的约定标准有相互抵触或异议的事项，由甲方在招标文件中按质量要求和技术指标比较优胜的原则确定标准进行验收。</w:t>
      </w:r>
    </w:p>
    <w:p w14:paraId="1E3D576F">
      <w:pPr>
        <w:ind w:firstLine="420" w:firstLineChars="200"/>
        <w:rPr>
          <w:rFonts w:hint="eastAsia" w:ascii="宋体" w:hAnsi="宋体" w:eastAsia="宋体"/>
          <w:sz w:val="21"/>
          <w:szCs w:val="21"/>
        </w:rPr>
      </w:pPr>
      <w:r>
        <w:rPr>
          <w:rFonts w:hint="eastAsia" w:ascii="宋体" w:hAnsi="宋体" w:eastAsia="宋体"/>
          <w:sz w:val="21"/>
          <w:szCs w:val="21"/>
        </w:rPr>
        <w:t>（3）验收时如发现所交付的标的物有短装、次品、损坏或其它不符合标准及本合同规定之情形者，验收方应做出详尽的现场记录，或由双方签署备忘录，因此产生时间延误和有关费用由乙方承担，验收期限相应顺延。</w:t>
      </w:r>
    </w:p>
    <w:p w14:paraId="4B0D305D">
      <w:pPr>
        <w:ind w:firstLine="420" w:firstLineChars="20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eastAsia="zh-CN"/>
        </w:rPr>
        <w:t>4</w:t>
      </w:r>
      <w:r>
        <w:rPr>
          <w:rFonts w:hint="eastAsia" w:ascii="宋体" w:hAnsi="宋体" w:eastAsia="宋体"/>
          <w:sz w:val="21"/>
          <w:szCs w:val="21"/>
        </w:rPr>
        <w:t>）甲方组织联合验收</w:t>
      </w:r>
      <w:r>
        <w:rPr>
          <w:rFonts w:hint="eastAsia" w:ascii="宋体" w:hAnsi="宋体" w:eastAsia="宋体"/>
          <w:sz w:val="21"/>
          <w:szCs w:val="21"/>
          <w:lang w:eastAsia="zh-CN"/>
        </w:rPr>
        <w:t>，</w:t>
      </w:r>
      <w:r>
        <w:rPr>
          <w:rFonts w:hint="eastAsia" w:ascii="宋体" w:hAnsi="宋体" w:eastAsia="宋体"/>
          <w:sz w:val="21"/>
          <w:szCs w:val="21"/>
        </w:rPr>
        <w:t>验收严格按照招标文件中的配置、质量、技术要求进行，验收通过的，双方签署书面验收报告</w:t>
      </w:r>
      <w:r>
        <w:rPr>
          <w:rFonts w:hint="eastAsia" w:ascii="宋体" w:hAnsi="宋体" w:eastAsia="宋体"/>
          <w:sz w:val="21"/>
          <w:szCs w:val="21"/>
          <w:lang w:eastAsia="zh-CN"/>
        </w:rPr>
        <w:t>；</w:t>
      </w:r>
      <w:r>
        <w:rPr>
          <w:rFonts w:hint="eastAsia" w:ascii="宋体" w:hAnsi="宋体" w:eastAsia="宋体"/>
          <w:sz w:val="21"/>
          <w:szCs w:val="21"/>
        </w:rPr>
        <w:t>如乙方提供的产品不能通过验收，按退货处理，乙方负责无条件退货。</w:t>
      </w:r>
    </w:p>
    <w:p w14:paraId="2A181BDE">
      <w:pPr>
        <w:ind w:firstLine="420" w:firstLineChars="200"/>
        <w:rPr>
          <w:rFonts w:hint="eastAsia" w:ascii="宋体" w:hAnsi="宋体" w:eastAsia="宋体"/>
          <w:sz w:val="21"/>
          <w:szCs w:val="21"/>
        </w:rPr>
      </w:pPr>
      <w:r>
        <w:rPr>
          <w:rFonts w:hint="eastAsia" w:ascii="宋体" w:hAnsi="宋体" w:eastAsia="宋体"/>
          <w:sz w:val="21"/>
          <w:szCs w:val="21"/>
        </w:rPr>
        <w:t>3、标的物安装完成后，甲方无故不进行验收工作并已使用标的物的，视同已安装调试完成并验收合格。</w:t>
      </w:r>
    </w:p>
    <w:p w14:paraId="79BEA18E">
      <w:pPr>
        <w:ind w:firstLine="420" w:firstLineChars="200"/>
        <w:rPr>
          <w:rFonts w:hint="eastAsia" w:ascii="宋体" w:hAnsi="宋体" w:eastAsia="宋体"/>
          <w:sz w:val="21"/>
          <w:szCs w:val="21"/>
        </w:rPr>
      </w:pPr>
      <w:r>
        <w:rPr>
          <w:rFonts w:hint="eastAsia" w:ascii="宋体" w:hAnsi="宋体" w:eastAsia="宋体"/>
          <w:sz w:val="21"/>
          <w:szCs w:val="21"/>
        </w:rPr>
        <w:t>4、乙方应将所提供标的物的装箱清单、配件、随机工具、用户使用手册、原厂保修卡等资料交付给甲方；乙方不能完整交付标的物及本款规定的单证和工具的，必须负责补齐，否则视为未按合同约定交货。</w:t>
      </w:r>
    </w:p>
    <w:p w14:paraId="6DEA8070">
      <w:pPr>
        <w:ind w:firstLine="420" w:firstLineChars="200"/>
        <w:rPr>
          <w:rFonts w:hint="eastAsia" w:ascii="宋体" w:hAnsi="宋体" w:eastAsia="宋体"/>
          <w:sz w:val="21"/>
          <w:szCs w:val="21"/>
        </w:rPr>
      </w:pPr>
      <w:r>
        <w:rPr>
          <w:rFonts w:hint="eastAsia" w:ascii="宋体" w:hAnsi="宋体" w:eastAsia="宋体"/>
          <w:sz w:val="21"/>
          <w:szCs w:val="21"/>
        </w:rPr>
        <w:t>5、如标的物经乙方</w:t>
      </w:r>
      <w:r>
        <w:rPr>
          <w:rFonts w:hint="eastAsia" w:ascii="宋体" w:hAnsi="宋体" w:eastAsia="宋体"/>
          <w:sz w:val="21"/>
          <w:szCs w:val="21"/>
          <w:u w:val="single"/>
        </w:rPr>
        <w:t xml:space="preserve"> 二 </w:t>
      </w:r>
      <w:r>
        <w:rPr>
          <w:rFonts w:hint="eastAsia" w:ascii="宋体" w:hAnsi="宋体" w:eastAsia="宋体"/>
          <w:sz w:val="21"/>
          <w:szCs w:val="21"/>
        </w:rPr>
        <w:t>次维修仍不能达到合同约定的质量标准，甲方有权退货，并视作乙方不能交付标的物</w:t>
      </w:r>
      <w:r>
        <w:rPr>
          <w:rFonts w:hint="eastAsia" w:ascii="宋体" w:hAnsi="宋体" w:eastAsia="宋体"/>
          <w:sz w:val="21"/>
          <w:szCs w:val="21"/>
          <w:lang w:val="en-US" w:eastAsia="zh-CN"/>
        </w:rPr>
        <w:t>,乙方应支付货款总额30%的违约赔偿金给甲方</w:t>
      </w:r>
      <w:r>
        <w:rPr>
          <w:rFonts w:hint="eastAsia" w:ascii="宋体" w:hAnsi="宋体" w:eastAsia="宋体"/>
          <w:sz w:val="21"/>
          <w:szCs w:val="21"/>
        </w:rPr>
        <w:t>，甲方还可以依法追究乙方的相关法律责任。</w:t>
      </w:r>
    </w:p>
    <w:p w14:paraId="39A9B4C1">
      <w:pPr>
        <w:ind w:firstLine="420" w:firstLineChars="200"/>
        <w:rPr>
          <w:rFonts w:hint="eastAsia" w:ascii="宋体" w:hAnsi="宋体" w:eastAsia="宋体"/>
          <w:sz w:val="21"/>
          <w:szCs w:val="21"/>
        </w:rPr>
      </w:pPr>
      <w:r>
        <w:rPr>
          <w:rFonts w:hint="eastAsia" w:ascii="宋体" w:hAnsi="宋体" w:eastAsia="宋体"/>
          <w:sz w:val="21"/>
          <w:szCs w:val="21"/>
        </w:rPr>
        <w:t>6、其他未尽事宜应严格按照《中华人民共和国政府采购法》及相关法律法规规定的要求进行。</w:t>
      </w:r>
    </w:p>
    <w:p w14:paraId="3BBB9FCC">
      <w:pPr>
        <w:ind w:firstLine="422" w:firstLineChars="200"/>
        <w:rPr>
          <w:rFonts w:hint="eastAsia" w:ascii="宋体" w:hAnsi="宋体" w:eastAsia="宋体"/>
          <w:b/>
          <w:sz w:val="21"/>
          <w:szCs w:val="21"/>
        </w:rPr>
      </w:pPr>
      <w:r>
        <w:rPr>
          <w:rFonts w:hint="eastAsia" w:ascii="宋体" w:hAnsi="宋体" w:eastAsia="宋体"/>
          <w:b/>
          <w:sz w:val="21"/>
          <w:szCs w:val="21"/>
        </w:rPr>
        <w:t>五、付款方式</w:t>
      </w:r>
    </w:p>
    <w:p w14:paraId="31D6B381">
      <w:pPr>
        <w:ind w:firstLine="420" w:firstLineChars="200"/>
        <w:rPr>
          <w:rFonts w:hint="default" w:ascii="宋体" w:hAnsi="宋体" w:eastAsia="宋体"/>
          <w:color w:val="auto"/>
          <w:sz w:val="21"/>
          <w:szCs w:val="21"/>
          <w:lang w:val="en-US"/>
        </w:rPr>
      </w:pPr>
      <w:r>
        <w:rPr>
          <w:rFonts w:hint="eastAsia" w:ascii="宋体" w:hAnsi="宋体" w:eastAsia="宋体"/>
          <w:sz w:val="21"/>
          <w:szCs w:val="21"/>
        </w:rPr>
        <w:t>全部标的物经安装调试完毕并</w:t>
      </w:r>
      <w:r>
        <w:rPr>
          <w:rFonts w:hint="eastAsia" w:ascii="宋体" w:hAnsi="宋体" w:eastAsia="宋体"/>
          <w:sz w:val="21"/>
          <w:szCs w:val="21"/>
          <w:lang w:eastAsia="zh-CN"/>
        </w:rPr>
        <w:t>验收入库</w:t>
      </w:r>
      <w:r>
        <w:rPr>
          <w:rFonts w:hint="eastAsia" w:ascii="宋体" w:hAnsi="宋体" w:eastAsia="宋体"/>
          <w:sz w:val="21"/>
          <w:szCs w:val="21"/>
        </w:rPr>
        <w:t>之日起，甲方接到乙方付款通知和有关票据凭证资料以后，由甲方核付合同总价的百分之</w:t>
      </w:r>
      <w:r>
        <w:rPr>
          <w:rFonts w:hint="eastAsia" w:ascii="宋体" w:hAnsi="宋体" w:eastAsia="宋体"/>
          <w:sz w:val="21"/>
          <w:szCs w:val="21"/>
          <w:u w:val="single"/>
          <w:lang w:val="en-US" w:eastAsia="zh-CN"/>
        </w:rPr>
        <w:t xml:space="preserve"> 八十五 </w:t>
      </w:r>
      <w:r>
        <w:rPr>
          <w:rFonts w:hint="eastAsia" w:ascii="宋体" w:hAnsi="宋体" w:eastAsia="宋体"/>
          <w:sz w:val="21"/>
          <w:szCs w:val="21"/>
        </w:rPr>
        <w:t>款项：￥</w:t>
      </w:r>
      <w:r>
        <w:rPr>
          <w:rFonts w:hint="eastAsia" w:ascii="宋体" w:hAnsi="宋体" w:eastAsia="宋体"/>
          <w:sz w:val="21"/>
          <w:szCs w:val="21"/>
          <w:u w:val="single"/>
        </w:rPr>
        <w:t xml:space="preserve">     </w:t>
      </w:r>
      <w:r>
        <w:rPr>
          <w:rFonts w:hint="eastAsia" w:ascii="宋体" w:hAnsi="宋体" w:eastAsia="宋体"/>
          <w:sz w:val="21"/>
          <w:szCs w:val="21"/>
          <w:u w:val="single"/>
          <w:lang w:eastAsia="zh-CN"/>
        </w:rPr>
        <w:t>万</w:t>
      </w:r>
      <w:r>
        <w:rPr>
          <w:rFonts w:hint="eastAsia" w:ascii="宋体" w:hAnsi="宋体" w:eastAsia="宋体"/>
          <w:sz w:val="21"/>
          <w:szCs w:val="21"/>
        </w:rPr>
        <w:t>元，人民币大写</w:t>
      </w:r>
      <w:r>
        <w:rPr>
          <w:rFonts w:hint="eastAsia" w:ascii="宋体" w:hAnsi="宋体" w:eastAsia="宋体"/>
          <w:sz w:val="21"/>
          <w:szCs w:val="21"/>
          <w:u w:val="single"/>
        </w:rPr>
        <w:t xml:space="preserve">                     </w:t>
      </w:r>
      <w:r>
        <w:rPr>
          <w:rFonts w:hint="eastAsia" w:ascii="宋体" w:hAnsi="宋体" w:eastAsia="宋体"/>
          <w:sz w:val="21"/>
          <w:szCs w:val="21"/>
          <w:lang w:eastAsia="zh-CN"/>
        </w:rPr>
        <w:t>。一年后</w:t>
      </w:r>
      <w:r>
        <w:rPr>
          <w:rFonts w:hint="eastAsia" w:ascii="宋体" w:hAnsi="宋体" w:eastAsia="宋体"/>
          <w:sz w:val="21"/>
          <w:szCs w:val="21"/>
        </w:rPr>
        <w:t>由甲方核付合同总价的百分之</w:t>
      </w:r>
      <w:r>
        <w:rPr>
          <w:rFonts w:hint="eastAsia" w:ascii="宋体" w:hAnsi="宋体" w:eastAsia="宋体"/>
          <w:sz w:val="21"/>
          <w:szCs w:val="21"/>
          <w:u w:val="single"/>
          <w:lang w:val="en-US" w:eastAsia="zh-CN"/>
        </w:rPr>
        <w:t xml:space="preserve"> 十 </w:t>
      </w:r>
      <w:r>
        <w:rPr>
          <w:rFonts w:hint="eastAsia" w:ascii="宋体" w:hAnsi="宋体" w:eastAsia="宋体"/>
          <w:sz w:val="21"/>
          <w:szCs w:val="21"/>
        </w:rPr>
        <w:t>款项：￥</w:t>
      </w:r>
      <w:r>
        <w:rPr>
          <w:rFonts w:hint="eastAsia" w:ascii="宋体" w:hAnsi="宋体" w:eastAsia="宋体"/>
          <w:sz w:val="21"/>
          <w:szCs w:val="21"/>
          <w:u w:val="single"/>
        </w:rPr>
        <w:t xml:space="preserve">     </w:t>
      </w:r>
      <w:r>
        <w:rPr>
          <w:rFonts w:hint="eastAsia" w:ascii="宋体" w:hAnsi="宋体" w:eastAsia="宋体"/>
          <w:sz w:val="21"/>
          <w:szCs w:val="21"/>
          <w:u w:val="single"/>
          <w:lang w:eastAsia="zh-CN"/>
        </w:rPr>
        <w:t>万</w:t>
      </w:r>
      <w:r>
        <w:rPr>
          <w:rFonts w:hint="eastAsia" w:ascii="宋体" w:hAnsi="宋体" w:eastAsia="宋体"/>
          <w:sz w:val="21"/>
          <w:szCs w:val="21"/>
        </w:rPr>
        <w:t>元，人民币大写</w:t>
      </w:r>
      <w:r>
        <w:rPr>
          <w:rFonts w:hint="eastAsia" w:ascii="宋体" w:hAnsi="宋体" w:eastAsia="宋体"/>
          <w:sz w:val="21"/>
          <w:szCs w:val="21"/>
          <w:u w:val="single"/>
        </w:rPr>
        <w:t xml:space="preserve">                     </w:t>
      </w:r>
      <w:r>
        <w:rPr>
          <w:rFonts w:hint="eastAsia" w:ascii="宋体" w:hAnsi="宋体" w:eastAsia="宋体"/>
          <w:sz w:val="21"/>
          <w:szCs w:val="21"/>
          <w:lang w:eastAsia="zh-CN"/>
        </w:rPr>
        <w:t>。</w:t>
      </w:r>
      <w:r>
        <w:rPr>
          <w:rFonts w:hint="eastAsia" w:ascii="宋体" w:hAnsi="宋体" w:eastAsia="宋体"/>
          <w:color w:val="auto"/>
          <w:sz w:val="21"/>
          <w:szCs w:val="21"/>
          <w:lang w:val="en-US" w:eastAsia="zh-CN"/>
        </w:rPr>
        <w:t>三年后</w:t>
      </w:r>
      <w:r>
        <w:rPr>
          <w:rFonts w:hint="eastAsia" w:ascii="宋体" w:hAnsi="宋体" w:eastAsia="宋体"/>
          <w:color w:val="auto"/>
          <w:sz w:val="21"/>
          <w:szCs w:val="21"/>
        </w:rPr>
        <w:t>，由甲方核付合同总价的百分之</w:t>
      </w:r>
      <w:r>
        <w:rPr>
          <w:rFonts w:hint="eastAsia" w:ascii="宋体" w:hAnsi="宋体" w:eastAsia="宋体"/>
          <w:color w:val="auto"/>
          <w:sz w:val="21"/>
          <w:szCs w:val="21"/>
          <w:u w:val="single"/>
          <w:lang w:val="en-US" w:eastAsia="zh-CN"/>
        </w:rPr>
        <w:t xml:space="preserve">  五 </w:t>
      </w:r>
      <w:r>
        <w:rPr>
          <w:rFonts w:hint="eastAsia" w:ascii="宋体" w:hAnsi="宋体" w:eastAsia="宋体"/>
          <w:color w:val="auto"/>
          <w:sz w:val="21"/>
          <w:szCs w:val="21"/>
        </w:rPr>
        <w:t>款项：￥</w:t>
      </w:r>
      <w:r>
        <w:rPr>
          <w:rFonts w:hint="eastAsia" w:ascii="宋体" w:hAnsi="宋体" w:eastAsia="宋体"/>
          <w:color w:val="auto"/>
          <w:sz w:val="21"/>
          <w:szCs w:val="21"/>
          <w:u w:val="single"/>
        </w:rPr>
        <w:t xml:space="preserve">     </w:t>
      </w:r>
      <w:r>
        <w:rPr>
          <w:rFonts w:hint="eastAsia" w:ascii="宋体" w:hAnsi="宋体" w:eastAsia="宋体"/>
          <w:color w:val="auto"/>
          <w:sz w:val="21"/>
          <w:szCs w:val="21"/>
          <w:u w:val="single"/>
          <w:lang w:eastAsia="zh-CN"/>
        </w:rPr>
        <w:t>万</w:t>
      </w:r>
      <w:r>
        <w:rPr>
          <w:rFonts w:hint="eastAsia" w:ascii="宋体" w:hAnsi="宋体" w:eastAsia="宋体"/>
          <w:color w:val="auto"/>
          <w:sz w:val="21"/>
          <w:szCs w:val="21"/>
        </w:rPr>
        <w:t>元，人民币大写</w:t>
      </w:r>
      <w:r>
        <w:rPr>
          <w:rFonts w:hint="eastAsia" w:ascii="宋体" w:hAnsi="宋体" w:eastAsia="宋体"/>
          <w:color w:val="auto"/>
          <w:sz w:val="21"/>
          <w:szCs w:val="21"/>
          <w:u w:val="single"/>
        </w:rPr>
        <w:t xml:space="preserve">                     </w:t>
      </w:r>
      <w:r>
        <w:rPr>
          <w:rFonts w:hint="eastAsia" w:ascii="宋体" w:hAnsi="宋体" w:eastAsia="宋体"/>
          <w:color w:val="auto"/>
          <w:sz w:val="21"/>
          <w:szCs w:val="21"/>
          <w:lang w:eastAsia="zh-CN"/>
        </w:rPr>
        <w:t>。每次付款前均需由乙方提供符合甲方要求的相关资料后，甲方再予以核付；如果乙方不按要求提供相关资料，甲方有权拒付款项。</w:t>
      </w:r>
    </w:p>
    <w:p w14:paraId="25CE8DE3">
      <w:pPr>
        <w:ind w:firstLine="422" w:firstLineChars="200"/>
        <w:rPr>
          <w:rFonts w:hint="eastAsia" w:ascii="宋体" w:hAnsi="宋体" w:eastAsia="宋体"/>
          <w:b/>
          <w:color w:val="auto"/>
          <w:sz w:val="21"/>
          <w:szCs w:val="21"/>
        </w:rPr>
      </w:pPr>
      <w:r>
        <w:rPr>
          <w:rFonts w:hint="eastAsia" w:ascii="宋体" w:hAnsi="宋体" w:eastAsia="宋体"/>
          <w:b/>
          <w:color w:val="auto"/>
          <w:sz w:val="21"/>
          <w:szCs w:val="21"/>
        </w:rPr>
        <w:t>六、售后服务</w:t>
      </w:r>
    </w:p>
    <w:p w14:paraId="00BF6AE7">
      <w:pPr>
        <w:ind w:firstLine="420" w:firstLineChars="200"/>
        <w:rPr>
          <w:rFonts w:hint="eastAsia" w:ascii="宋体" w:hAnsi="宋体" w:eastAsia="宋体"/>
          <w:color w:val="auto"/>
          <w:sz w:val="21"/>
          <w:szCs w:val="21"/>
        </w:rPr>
      </w:pPr>
      <w:r>
        <w:rPr>
          <w:rFonts w:hint="eastAsia" w:ascii="宋体" w:hAnsi="宋体" w:eastAsia="宋体"/>
          <w:color w:val="auto"/>
          <w:sz w:val="21"/>
          <w:szCs w:val="21"/>
        </w:rPr>
        <w:t>1、质保期为</w:t>
      </w:r>
      <w:r>
        <w:rPr>
          <w:rFonts w:hint="eastAsia" w:ascii="宋体" w:hAnsi="宋体" w:eastAsia="宋体"/>
          <w:color w:val="auto"/>
          <w:sz w:val="21"/>
          <w:szCs w:val="21"/>
          <w:lang w:eastAsia="zh-CN"/>
        </w:rPr>
        <w:t>甲方入库之日起</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年，质保期内出现质量问题，乙方在接到甲方通知后 两小时内响应，十二小时内到达现场完成维修或更换，并承担修理更换的费用,维修期间提供备用机；如标的物经乙方</w:t>
      </w:r>
      <w:r>
        <w:rPr>
          <w:rFonts w:hint="eastAsia" w:ascii="宋体" w:hAnsi="宋体" w:eastAsia="宋体"/>
          <w:color w:val="auto"/>
          <w:sz w:val="21"/>
          <w:szCs w:val="21"/>
          <w:u w:val="single"/>
        </w:rPr>
        <w:t xml:space="preserve"> 两 </w:t>
      </w:r>
      <w:r>
        <w:rPr>
          <w:rFonts w:hint="eastAsia" w:ascii="宋体" w:hAnsi="宋体" w:eastAsia="宋体"/>
          <w:color w:val="auto"/>
          <w:sz w:val="21"/>
          <w:szCs w:val="21"/>
        </w:rPr>
        <w:t>次维修仍不能达到本合同约定的质量标准，甲方有权退货并追究乙方的违约责任。标的物到达甲方指定现场后因甲方保管不当造成的数量短缺或质量损害，乙方负责补齐或修复，费用由甲方负担。</w:t>
      </w:r>
    </w:p>
    <w:p w14:paraId="1FB152CC">
      <w:pPr>
        <w:ind w:firstLine="420" w:firstLineChars="200"/>
        <w:rPr>
          <w:rFonts w:hint="eastAsia" w:ascii="宋体" w:hAnsi="宋体" w:eastAsia="宋体"/>
          <w:color w:val="auto"/>
          <w:sz w:val="21"/>
          <w:szCs w:val="21"/>
        </w:rPr>
      </w:pPr>
      <w:r>
        <w:rPr>
          <w:rFonts w:hint="eastAsia" w:ascii="宋体" w:hAnsi="宋体" w:eastAsia="宋体"/>
          <w:color w:val="auto"/>
          <w:sz w:val="21"/>
          <w:szCs w:val="21"/>
        </w:rPr>
        <w:t>2、乙方须指派专人负责与甲方联系售后服务事宜。</w:t>
      </w:r>
    </w:p>
    <w:p w14:paraId="3A111393">
      <w:pPr>
        <w:ind w:firstLine="420" w:firstLineChars="200"/>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3、本合同履行过程中因乙方无法完成设备的维修与更换，导致甲方产生的额外支出由甲方从未向乙方支付的款项中扣除，甲方的额外支出超过未向乙方支付的款项时，乙方应承担额外的维修与更换费用。</w:t>
      </w:r>
    </w:p>
    <w:p w14:paraId="43458801">
      <w:pPr>
        <w:ind w:firstLine="422" w:firstLineChars="200"/>
        <w:rPr>
          <w:rFonts w:hint="eastAsia" w:ascii="宋体" w:hAnsi="宋体" w:eastAsia="宋体"/>
          <w:b/>
          <w:sz w:val="21"/>
          <w:szCs w:val="21"/>
        </w:rPr>
      </w:pPr>
      <w:r>
        <w:rPr>
          <w:rFonts w:hint="eastAsia" w:ascii="宋体" w:hAnsi="宋体" w:eastAsia="宋体"/>
          <w:b/>
          <w:sz w:val="21"/>
          <w:szCs w:val="21"/>
        </w:rPr>
        <w:t>七、违约责任</w:t>
      </w:r>
    </w:p>
    <w:p w14:paraId="6EF03825">
      <w:pPr>
        <w:ind w:firstLine="420" w:firstLineChars="200"/>
        <w:rPr>
          <w:rFonts w:hint="eastAsia" w:ascii="宋体" w:hAnsi="宋体" w:eastAsia="宋体"/>
          <w:sz w:val="21"/>
          <w:szCs w:val="21"/>
        </w:rPr>
      </w:pPr>
      <w:r>
        <w:rPr>
          <w:rFonts w:hint="eastAsia" w:ascii="宋体" w:hAnsi="宋体" w:eastAsia="宋体"/>
          <w:sz w:val="21"/>
          <w:szCs w:val="21"/>
        </w:rPr>
        <w:t>1、甲方的违约责任</w:t>
      </w:r>
    </w:p>
    <w:p w14:paraId="582AE4E6">
      <w:pPr>
        <w:ind w:firstLine="420" w:firstLineChars="200"/>
        <w:rPr>
          <w:rFonts w:hint="eastAsia" w:ascii="宋体" w:hAnsi="宋体" w:eastAsia="宋体"/>
          <w:sz w:val="21"/>
          <w:szCs w:val="21"/>
        </w:rPr>
      </w:pPr>
      <w:r>
        <w:rPr>
          <w:rFonts w:hint="eastAsia" w:ascii="宋体" w:hAnsi="宋体" w:eastAsia="宋体"/>
          <w:sz w:val="21"/>
          <w:szCs w:val="21"/>
        </w:rPr>
        <w:t>甲方无正当理由拒收标的物的，甲方应偿付合同总价的</w:t>
      </w:r>
      <w:r>
        <w:rPr>
          <w:rFonts w:hint="eastAsia" w:ascii="宋体" w:hAnsi="宋体" w:eastAsia="宋体"/>
          <w:sz w:val="21"/>
          <w:szCs w:val="21"/>
          <w:u w:val="single"/>
        </w:rPr>
        <w:t xml:space="preserve"> 百分之三 </w:t>
      </w:r>
      <w:r>
        <w:rPr>
          <w:rFonts w:hint="eastAsia" w:ascii="宋体" w:hAnsi="宋体" w:eastAsia="宋体"/>
          <w:sz w:val="21"/>
          <w:szCs w:val="21"/>
        </w:rPr>
        <w:t>的违约金；</w:t>
      </w:r>
    </w:p>
    <w:p w14:paraId="1C86877D">
      <w:pPr>
        <w:ind w:firstLine="420" w:firstLineChars="200"/>
        <w:rPr>
          <w:rFonts w:hint="eastAsia" w:ascii="宋体" w:hAnsi="宋体" w:eastAsia="宋体"/>
          <w:sz w:val="21"/>
          <w:szCs w:val="21"/>
        </w:rPr>
      </w:pPr>
      <w:r>
        <w:rPr>
          <w:rFonts w:hint="eastAsia" w:ascii="宋体" w:hAnsi="宋体" w:eastAsia="宋体"/>
          <w:sz w:val="21"/>
          <w:szCs w:val="21"/>
        </w:rPr>
        <w:t>2、乙方违约责任</w:t>
      </w:r>
    </w:p>
    <w:p w14:paraId="0F6E3216">
      <w:pPr>
        <w:ind w:firstLine="420" w:firstLineChars="200"/>
        <w:rPr>
          <w:rFonts w:hint="eastAsia" w:ascii="宋体" w:hAnsi="宋体" w:eastAsia="宋体"/>
          <w:sz w:val="21"/>
          <w:szCs w:val="21"/>
        </w:rPr>
      </w:pPr>
      <w:r>
        <w:rPr>
          <w:rFonts w:hint="eastAsia" w:ascii="宋体" w:hAnsi="宋体" w:eastAsia="宋体"/>
          <w:sz w:val="21"/>
          <w:szCs w:val="21"/>
        </w:rPr>
        <w:t>（1）乙方交付的标的物质量不符合合同约定的，乙方应向甲方支付合同总价的百分之</w:t>
      </w:r>
      <w:r>
        <w:rPr>
          <w:rFonts w:hint="eastAsia" w:ascii="宋体" w:hAnsi="宋体" w:eastAsia="宋体"/>
          <w:sz w:val="21"/>
          <w:szCs w:val="21"/>
          <w:u w:val="single"/>
        </w:rPr>
        <w:t xml:space="preserve"> 三 </w:t>
      </w:r>
      <w:r>
        <w:rPr>
          <w:rFonts w:hint="eastAsia" w:ascii="宋体" w:hAnsi="宋体" w:eastAsia="宋体"/>
          <w:sz w:val="21"/>
          <w:szCs w:val="21"/>
        </w:rPr>
        <w:t>的违约金，并须在合同约定的交货时间内更换合格的标的物给甲方，否则，视作乙方不能交付标的物而违约，按本条本款下述第“（2）”项规定由乙方支付违约赔偿金给甲方。</w:t>
      </w:r>
    </w:p>
    <w:p w14:paraId="35E013FF">
      <w:pPr>
        <w:ind w:firstLine="420" w:firstLineChars="200"/>
        <w:rPr>
          <w:rFonts w:hint="eastAsia" w:ascii="宋体" w:hAnsi="宋体" w:eastAsia="宋体"/>
          <w:sz w:val="21"/>
          <w:szCs w:val="21"/>
        </w:rPr>
      </w:pPr>
      <w:r>
        <w:rPr>
          <w:rFonts w:hint="eastAsia" w:ascii="宋体" w:hAnsi="宋体" w:eastAsia="宋体"/>
          <w:sz w:val="21"/>
          <w:szCs w:val="21"/>
        </w:rPr>
        <w:t>（2）乙方不能交付标的物或逾期交付标的物而违约的，除应及时交足标的物外，应向甲方支付逾期交货部分货款总额的万分之</w:t>
      </w:r>
      <w:r>
        <w:rPr>
          <w:rFonts w:hint="eastAsia" w:ascii="宋体" w:hAnsi="宋体" w:eastAsia="宋体"/>
          <w:sz w:val="21"/>
          <w:szCs w:val="21"/>
          <w:u w:val="single"/>
        </w:rPr>
        <w:t xml:space="preserve">五 </w:t>
      </w:r>
      <w:r>
        <w:rPr>
          <w:rFonts w:hint="eastAsia" w:ascii="宋体" w:hAnsi="宋体" w:eastAsia="宋体"/>
          <w:sz w:val="21"/>
          <w:szCs w:val="21"/>
        </w:rPr>
        <w:t>/日的违约金；逾期交货超过</w:t>
      </w:r>
      <w:r>
        <w:rPr>
          <w:rFonts w:hint="eastAsia" w:ascii="宋体" w:hAnsi="宋体" w:eastAsia="宋体"/>
          <w:sz w:val="21"/>
          <w:szCs w:val="21"/>
          <w:u w:val="single"/>
        </w:rPr>
        <w:t xml:space="preserve"> 七 </w:t>
      </w:r>
      <w:r>
        <w:rPr>
          <w:rFonts w:hint="eastAsia" w:ascii="宋体" w:hAnsi="宋体" w:eastAsia="宋体"/>
          <w:sz w:val="21"/>
          <w:szCs w:val="21"/>
        </w:rPr>
        <w:t>天，甲方有权解除合同，乙方则应按合同总价的百分之</w:t>
      </w:r>
      <w:r>
        <w:rPr>
          <w:rFonts w:hint="eastAsia" w:ascii="宋体" w:hAnsi="宋体" w:eastAsia="宋体"/>
          <w:sz w:val="21"/>
          <w:szCs w:val="21"/>
          <w:u w:val="single"/>
        </w:rPr>
        <w:t xml:space="preserve"> 三 </w:t>
      </w:r>
      <w:r>
        <w:rPr>
          <w:rFonts w:hint="eastAsia" w:ascii="宋体" w:hAnsi="宋体" w:eastAsia="宋体"/>
          <w:sz w:val="21"/>
          <w:szCs w:val="21"/>
        </w:rPr>
        <w:t>的款额向甲方支付赔偿金，并须全额退还甲方已经付给乙方的货款及自甲方付款至退款期间的利息（按同期银行贷款利率）。</w:t>
      </w:r>
    </w:p>
    <w:p w14:paraId="405258F7">
      <w:pPr>
        <w:ind w:firstLine="420" w:firstLineChars="200"/>
        <w:rPr>
          <w:rFonts w:hint="eastAsia" w:ascii="宋体" w:hAnsi="宋体" w:eastAsia="宋体"/>
          <w:sz w:val="21"/>
          <w:szCs w:val="21"/>
        </w:rPr>
      </w:pPr>
      <w:r>
        <w:rPr>
          <w:rFonts w:hint="eastAsia" w:ascii="宋体" w:hAnsi="宋体" w:eastAsia="宋体"/>
          <w:sz w:val="21"/>
          <w:szCs w:val="21"/>
        </w:rPr>
        <w:t>（3）乙方标的物经甲方送交具有法定资格条件的质量技术监督机构检测后，如检测结果认定标的物质量不符合本合同规定标准的，则视为乙方没有按时交货而违约，乙方须在</w:t>
      </w:r>
      <w:r>
        <w:rPr>
          <w:rFonts w:hint="eastAsia" w:ascii="宋体" w:hAnsi="宋体" w:eastAsia="宋体"/>
          <w:sz w:val="21"/>
          <w:szCs w:val="21"/>
          <w:u w:val="single"/>
        </w:rPr>
        <w:t xml:space="preserve"> </w:t>
      </w:r>
      <w:r>
        <w:rPr>
          <w:rFonts w:hint="eastAsia" w:ascii="宋体" w:hAnsi="宋体" w:eastAsia="宋体"/>
          <w:sz w:val="21"/>
          <w:szCs w:val="21"/>
          <w:u w:val="single"/>
          <w:lang w:eastAsia="zh-CN"/>
        </w:rPr>
        <w:t>三</w:t>
      </w:r>
      <w:r>
        <w:rPr>
          <w:rFonts w:hint="eastAsia" w:ascii="宋体" w:hAnsi="宋体" w:eastAsia="宋体"/>
          <w:sz w:val="21"/>
          <w:szCs w:val="21"/>
          <w:u w:val="single"/>
          <w:lang w:val="en-US" w:eastAsia="zh-CN"/>
        </w:rPr>
        <w:t xml:space="preserve"> </w:t>
      </w:r>
      <w:r>
        <w:rPr>
          <w:rFonts w:hint="eastAsia" w:ascii="宋体" w:hAnsi="宋体" w:eastAsia="宋体"/>
          <w:sz w:val="21"/>
          <w:szCs w:val="21"/>
          <w:u w:val="single"/>
        </w:rPr>
        <w:t xml:space="preserve"> </w:t>
      </w:r>
      <w:r>
        <w:rPr>
          <w:rFonts w:hint="eastAsia" w:ascii="宋体" w:hAnsi="宋体" w:eastAsia="宋体"/>
          <w:sz w:val="21"/>
          <w:szCs w:val="21"/>
        </w:rPr>
        <w:t>天内无条件更换合格标的物，如逾期不能更换合格的标的物，甲方有权终止本合同，乙方应另付合同总价的百分之</w:t>
      </w:r>
      <w:r>
        <w:rPr>
          <w:rFonts w:hint="eastAsia" w:ascii="宋体" w:hAnsi="宋体" w:eastAsia="宋体"/>
          <w:sz w:val="21"/>
          <w:szCs w:val="21"/>
          <w:u w:val="single"/>
        </w:rPr>
        <w:t xml:space="preserve"> 三 </w:t>
      </w:r>
      <w:r>
        <w:rPr>
          <w:rFonts w:hint="eastAsia" w:ascii="宋体" w:hAnsi="宋体" w:eastAsia="宋体"/>
          <w:sz w:val="21"/>
          <w:szCs w:val="21"/>
        </w:rPr>
        <w:t>的赔偿金给甲方。</w:t>
      </w:r>
    </w:p>
    <w:p w14:paraId="0BF78B47">
      <w:pPr>
        <w:ind w:firstLine="420" w:firstLineChars="200"/>
        <w:rPr>
          <w:rFonts w:hint="eastAsia" w:ascii="宋体" w:hAnsi="宋体" w:eastAsia="宋体"/>
          <w:sz w:val="21"/>
          <w:szCs w:val="21"/>
        </w:rPr>
      </w:pPr>
      <w:r>
        <w:rPr>
          <w:rFonts w:hint="eastAsia" w:ascii="宋体" w:hAnsi="宋体" w:eastAsia="宋体"/>
          <w:sz w:val="21"/>
          <w:szCs w:val="21"/>
        </w:rPr>
        <w:t>（4）乙方保证本合同标的物的权利无瑕疵，包括标的物所有权及知识产权等权利无瑕疵。如任何第三方经法院（或仲裁机构）裁决有权对上述标的物主张权利或国家机关依法对标的物进行没收查处的，乙方除应向甲方返还已收款项外，还应另按合同总价的百分之</w:t>
      </w:r>
      <w:r>
        <w:rPr>
          <w:rFonts w:hint="eastAsia" w:ascii="宋体" w:hAnsi="宋体" w:eastAsia="宋体"/>
          <w:sz w:val="21"/>
          <w:szCs w:val="21"/>
          <w:u w:val="single"/>
        </w:rPr>
        <w:t>五</w:t>
      </w:r>
      <w:r>
        <w:rPr>
          <w:rFonts w:hint="eastAsia" w:ascii="宋体" w:hAnsi="宋体" w:eastAsia="宋体"/>
          <w:sz w:val="21"/>
          <w:szCs w:val="21"/>
        </w:rPr>
        <w:t>向甲方支付违约金并赔偿因此给甲方造成的一切损失。</w:t>
      </w:r>
    </w:p>
    <w:p w14:paraId="3C3C4CA4">
      <w:pPr>
        <w:ind w:firstLine="420" w:firstLineChars="200"/>
        <w:rPr>
          <w:rFonts w:hint="eastAsia" w:ascii="宋体" w:hAnsi="宋体" w:eastAsia="宋体"/>
          <w:sz w:val="21"/>
          <w:szCs w:val="21"/>
        </w:rPr>
      </w:pPr>
      <w:r>
        <w:rPr>
          <w:rFonts w:hint="eastAsia" w:ascii="宋体" w:hAnsi="宋体" w:eastAsia="宋体"/>
          <w:sz w:val="21"/>
          <w:szCs w:val="21"/>
        </w:rPr>
        <w:t>（5）乙方偿付的违约金不足以弥补甲方损失的，还应按甲方损失尚未弥补的部分，支付赔偿金给甲方。</w:t>
      </w:r>
    </w:p>
    <w:p w14:paraId="78D25BC2">
      <w:pPr>
        <w:ind w:firstLine="422" w:firstLineChars="200"/>
        <w:rPr>
          <w:rFonts w:hint="eastAsia" w:ascii="宋体" w:hAnsi="宋体" w:eastAsia="宋体"/>
          <w:b/>
          <w:sz w:val="21"/>
          <w:szCs w:val="21"/>
        </w:rPr>
      </w:pPr>
      <w:r>
        <w:rPr>
          <w:rFonts w:hint="eastAsia" w:ascii="宋体" w:hAnsi="宋体" w:eastAsia="宋体"/>
          <w:b/>
          <w:sz w:val="21"/>
          <w:szCs w:val="21"/>
        </w:rPr>
        <w:t>八、争议解决方法</w:t>
      </w:r>
    </w:p>
    <w:p w14:paraId="70DE7D94">
      <w:pPr>
        <w:ind w:firstLine="420" w:firstLineChars="200"/>
        <w:rPr>
          <w:rFonts w:hint="eastAsia" w:ascii="宋体" w:hAnsi="宋体" w:eastAsia="宋体"/>
          <w:sz w:val="21"/>
          <w:szCs w:val="21"/>
        </w:rPr>
      </w:pPr>
      <w:r>
        <w:rPr>
          <w:rFonts w:hint="eastAsia" w:ascii="宋体" w:hAnsi="宋体" w:eastAsia="宋体"/>
          <w:sz w:val="21"/>
          <w:szCs w:val="21"/>
        </w:rPr>
        <w:t>1、因标的物的质量发生争议，由甲方委托法定的质量技术监督部门或监督部门指定的质量鉴定机构进行质量鉴定或检测，鉴定费由乙方承担。</w:t>
      </w:r>
    </w:p>
    <w:p w14:paraId="6FE73926">
      <w:pPr>
        <w:ind w:firstLine="420" w:firstLineChars="200"/>
        <w:rPr>
          <w:rFonts w:hint="eastAsia" w:ascii="宋体" w:hAnsi="宋体" w:eastAsia="宋体"/>
          <w:sz w:val="21"/>
          <w:szCs w:val="21"/>
        </w:rPr>
      </w:pPr>
      <w:r>
        <w:rPr>
          <w:rFonts w:hint="eastAsia" w:ascii="宋体" w:hAnsi="宋体" w:eastAsia="宋体"/>
          <w:sz w:val="21"/>
          <w:szCs w:val="21"/>
        </w:rPr>
        <w:t>2、因本合同发生争议，双方可协商或由有关部门调解解决；协商或调解不成的，应向甲方住所地有管辖权的人民法院提起诉讼。</w:t>
      </w:r>
    </w:p>
    <w:p w14:paraId="2315F47B">
      <w:pPr>
        <w:ind w:firstLine="422" w:firstLineChars="200"/>
        <w:rPr>
          <w:rFonts w:hint="eastAsia" w:ascii="宋体" w:hAnsi="宋体" w:eastAsia="宋体"/>
          <w:b/>
          <w:sz w:val="21"/>
          <w:szCs w:val="21"/>
        </w:rPr>
      </w:pPr>
      <w:r>
        <w:rPr>
          <w:rFonts w:hint="eastAsia" w:ascii="宋体" w:hAnsi="宋体" w:eastAsia="宋体"/>
          <w:b/>
          <w:sz w:val="21"/>
          <w:szCs w:val="21"/>
        </w:rPr>
        <w:t>九、其他</w:t>
      </w:r>
    </w:p>
    <w:p w14:paraId="7D99794B">
      <w:pPr>
        <w:ind w:firstLine="420" w:firstLineChars="200"/>
        <w:rPr>
          <w:rFonts w:hint="eastAsia" w:ascii="宋体" w:hAnsi="宋体" w:eastAsia="宋体"/>
          <w:sz w:val="21"/>
          <w:szCs w:val="21"/>
        </w:rPr>
      </w:pPr>
      <w:r>
        <w:rPr>
          <w:rFonts w:hint="eastAsia" w:ascii="宋体" w:hAnsi="宋体" w:eastAsia="宋体"/>
          <w:sz w:val="21"/>
          <w:szCs w:val="21"/>
        </w:rPr>
        <w:t>1、合同未尽事宜，由双方另行协商订立补充合同。</w:t>
      </w:r>
    </w:p>
    <w:p w14:paraId="3A30DD16">
      <w:pPr>
        <w:ind w:firstLine="420" w:firstLineChars="200"/>
        <w:rPr>
          <w:rFonts w:hint="eastAsia" w:ascii="宋体" w:hAnsi="宋体" w:eastAsia="宋体"/>
          <w:sz w:val="21"/>
          <w:szCs w:val="21"/>
        </w:rPr>
      </w:pPr>
      <w:r>
        <w:rPr>
          <w:rFonts w:hint="eastAsia" w:ascii="宋体" w:hAnsi="宋体" w:eastAsia="宋体"/>
          <w:sz w:val="21"/>
          <w:szCs w:val="21"/>
        </w:rPr>
        <w:t>2、本合同一式</w:t>
      </w:r>
      <w:r>
        <w:rPr>
          <w:rFonts w:hint="eastAsia" w:ascii="宋体" w:hAnsi="宋体" w:eastAsia="宋体"/>
          <w:sz w:val="21"/>
          <w:szCs w:val="21"/>
          <w:lang w:eastAsia="zh-CN"/>
        </w:rPr>
        <w:t>四</w:t>
      </w:r>
      <w:r>
        <w:rPr>
          <w:rFonts w:hint="eastAsia" w:ascii="宋体" w:hAnsi="宋体" w:eastAsia="宋体"/>
          <w:sz w:val="21"/>
          <w:szCs w:val="21"/>
        </w:rPr>
        <w:t>份，自双方签章之日起生效。甲方</w:t>
      </w:r>
      <w:r>
        <w:rPr>
          <w:rFonts w:hint="eastAsia" w:ascii="宋体" w:hAnsi="宋体" w:eastAsia="宋体"/>
          <w:sz w:val="21"/>
          <w:szCs w:val="21"/>
          <w:lang w:eastAsia="zh-CN"/>
        </w:rPr>
        <w:t>三</w:t>
      </w:r>
      <w:r>
        <w:rPr>
          <w:rFonts w:hint="eastAsia" w:ascii="宋体" w:hAnsi="宋体" w:eastAsia="宋体"/>
          <w:sz w:val="21"/>
          <w:szCs w:val="21"/>
        </w:rPr>
        <w:t>份，乙方一份。</w:t>
      </w:r>
    </w:p>
    <w:p w14:paraId="1F37D73C">
      <w:pPr>
        <w:ind w:firstLine="420" w:firstLineChars="200"/>
        <w:rPr>
          <w:rFonts w:hint="eastAsia" w:ascii="宋体" w:hAnsi="宋体" w:eastAsia="宋体"/>
          <w:b/>
          <w:bCs/>
          <w:sz w:val="21"/>
          <w:szCs w:val="21"/>
        </w:rPr>
      </w:pPr>
      <w:r>
        <w:rPr>
          <w:rFonts w:hint="eastAsia" w:ascii="宋体" w:hAnsi="宋体" w:eastAsia="宋体"/>
          <w:sz w:val="21"/>
          <w:szCs w:val="21"/>
        </w:rPr>
        <w:t>3、</w:t>
      </w:r>
      <w:r>
        <w:rPr>
          <w:rFonts w:hint="eastAsia" w:ascii="宋体" w:hAnsi="宋体" w:eastAsia="宋体"/>
          <w:b/>
          <w:bCs/>
          <w:sz w:val="21"/>
          <w:szCs w:val="21"/>
        </w:rPr>
        <w:t>附件</w:t>
      </w:r>
      <w:r>
        <w:rPr>
          <w:rFonts w:hint="eastAsia" w:ascii="宋体" w:hAnsi="宋体" w:eastAsia="宋体"/>
          <w:b/>
          <w:bCs/>
          <w:sz w:val="21"/>
          <w:szCs w:val="21"/>
          <w:lang w:val="en-US" w:eastAsia="zh-CN"/>
        </w:rPr>
        <w:t>1：</w:t>
      </w:r>
      <w:r>
        <w:rPr>
          <w:rFonts w:hint="eastAsia" w:ascii="宋体" w:hAnsi="宋体" w:eastAsia="宋体"/>
          <w:b/>
          <w:bCs/>
          <w:sz w:val="21"/>
          <w:szCs w:val="21"/>
        </w:rPr>
        <w:t>中标通知书</w:t>
      </w:r>
    </w:p>
    <w:p w14:paraId="7A0D927E">
      <w:pPr>
        <w:ind w:firstLine="422" w:firstLineChars="200"/>
        <w:rPr>
          <w:rFonts w:hint="eastAsia" w:ascii="宋体" w:hAnsi="宋体" w:eastAsia="宋体"/>
          <w:b/>
          <w:bCs/>
          <w:sz w:val="21"/>
          <w:szCs w:val="21"/>
        </w:rPr>
      </w:pPr>
      <w:r>
        <w:rPr>
          <w:rFonts w:hint="eastAsia" w:ascii="宋体" w:hAnsi="宋体" w:eastAsia="宋体"/>
          <w:b/>
          <w:bCs/>
          <w:sz w:val="21"/>
          <w:szCs w:val="21"/>
          <w:lang w:val="en-US" w:eastAsia="zh-CN"/>
        </w:rPr>
        <w:t xml:space="preserve">   附件2：</w:t>
      </w:r>
      <w:r>
        <w:rPr>
          <w:rFonts w:hint="eastAsia" w:ascii="宋体" w:hAnsi="宋体" w:eastAsia="宋体"/>
          <w:b/>
          <w:bCs/>
          <w:sz w:val="21"/>
          <w:szCs w:val="21"/>
        </w:rPr>
        <w:t>配置清单</w:t>
      </w:r>
    </w:p>
    <w:p w14:paraId="0EF95AAE">
      <w:pPr>
        <w:ind w:firstLine="422" w:firstLineChars="200"/>
        <w:rPr>
          <w:rFonts w:hint="eastAsia" w:ascii="宋体" w:hAnsi="宋体" w:eastAsia="宋体"/>
          <w:b/>
          <w:bCs/>
          <w:sz w:val="21"/>
          <w:szCs w:val="21"/>
          <w:lang w:eastAsia="zh-CN"/>
        </w:rPr>
      </w:pPr>
      <w:r>
        <w:rPr>
          <w:rFonts w:hint="eastAsia" w:ascii="宋体" w:hAnsi="宋体" w:eastAsia="宋体"/>
          <w:b/>
          <w:bCs/>
          <w:sz w:val="21"/>
          <w:szCs w:val="21"/>
          <w:lang w:val="en-US" w:eastAsia="zh-CN"/>
        </w:rPr>
        <w:t xml:space="preserve">   附件3：</w:t>
      </w:r>
      <w:r>
        <w:rPr>
          <w:rFonts w:hint="eastAsia" w:ascii="宋体" w:hAnsi="宋体" w:eastAsia="宋体"/>
          <w:b/>
          <w:bCs/>
          <w:sz w:val="21"/>
          <w:szCs w:val="21"/>
          <w:lang w:eastAsia="zh-CN"/>
        </w:rPr>
        <w:t>售后服务承诺书</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83E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18A32C1">
            <w:pPr>
              <w:jc w:val="left"/>
              <w:rPr>
                <w:rFonts w:hint="eastAsia" w:ascii="宋体" w:hAnsi="宋体" w:eastAsia="宋体"/>
                <w:b/>
                <w:bCs/>
                <w:sz w:val="21"/>
                <w:szCs w:val="21"/>
                <w:vertAlign w:val="baseline"/>
                <w:lang w:eastAsia="zh-CN"/>
              </w:rPr>
            </w:pPr>
            <w:r>
              <w:rPr>
                <w:rFonts w:hint="eastAsia" w:ascii="宋体" w:hAnsi="宋体" w:eastAsia="宋体"/>
                <w:sz w:val="21"/>
                <w:szCs w:val="21"/>
              </w:rPr>
              <w:t>甲    方：（盖章）</w:t>
            </w:r>
          </w:p>
        </w:tc>
        <w:tc>
          <w:tcPr>
            <w:tcW w:w="4261" w:type="dxa"/>
            <w:tcBorders>
              <w:top w:val="nil"/>
              <w:left w:val="nil"/>
              <w:bottom w:val="nil"/>
              <w:right w:val="nil"/>
            </w:tcBorders>
            <w:noWrap w:val="0"/>
            <w:vAlign w:val="top"/>
          </w:tcPr>
          <w:p w14:paraId="532A4B5D">
            <w:pPr>
              <w:jc w:val="left"/>
              <w:rPr>
                <w:rFonts w:hint="eastAsia" w:ascii="宋体" w:hAnsi="宋体" w:eastAsia="宋体"/>
                <w:sz w:val="21"/>
                <w:szCs w:val="21"/>
              </w:rPr>
            </w:pPr>
            <w:r>
              <w:rPr>
                <w:rFonts w:hint="eastAsia" w:ascii="宋体" w:hAnsi="宋体" w:eastAsia="宋体"/>
                <w:sz w:val="21"/>
                <w:szCs w:val="21"/>
              </w:rPr>
              <w:t>乙    方：（盖章）</w:t>
            </w:r>
          </w:p>
          <w:p w14:paraId="0BBF5617">
            <w:pPr>
              <w:jc w:val="left"/>
              <w:rPr>
                <w:rFonts w:hint="eastAsia" w:ascii="宋体" w:hAnsi="宋体" w:eastAsia="宋体"/>
                <w:b/>
                <w:bCs/>
                <w:sz w:val="21"/>
                <w:szCs w:val="21"/>
                <w:vertAlign w:val="baseline"/>
                <w:lang w:eastAsia="zh-CN"/>
              </w:rPr>
            </w:pPr>
          </w:p>
        </w:tc>
      </w:tr>
      <w:tr w14:paraId="6501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4261" w:type="dxa"/>
            <w:tcBorders>
              <w:top w:val="nil"/>
              <w:left w:val="nil"/>
              <w:bottom w:val="nil"/>
              <w:right w:val="nil"/>
            </w:tcBorders>
            <w:noWrap w:val="0"/>
            <w:vAlign w:val="center"/>
          </w:tcPr>
          <w:p w14:paraId="646FC1D3">
            <w:pPr>
              <w:jc w:val="both"/>
              <w:rPr>
                <w:rFonts w:hint="default" w:ascii="宋体" w:hAnsi="宋体" w:eastAsia="宋体"/>
                <w:b/>
                <w:bCs/>
                <w:sz w:val="21"/>
                <w:szCs w:val="21"/>
                <w:vertAlign w:val="baseline"/>
                <w:lang w:val="en-US" w:eastAsia="zh-CN"/>
              </w:rPr>
            </w:pPr>
            <w:r>
              <w:rPr>
                <w:rFonts w:hint="eastAsia" w:ascii="宋体" w:hAnsi="宋体" w:eastAsia="宋体"/>
                <w:sz w:val="21"/>
                <w:szCs w:val="21"/>
              </w:rPr>
              <w:t>授权代表：</w:t>
            </w:r>
            <w:r>
              <w:rPr>
                <w:rFonts w:hint="eastAsia" w:ascii="宋体" w:hAnsi="宋体" w:eastAsia="宋体"/>
                <w:sz w:val="21"/>
                <w:szCs w:val="21"/>
                <w:lang w:val="en-US" w:eastAsia="zh-CN"/>
              </w:rPr>
              <w:t xml:space="preserve">         </w:t>
            </w:r>
          </w:p>
        </w:tc>
        <w:tc>
          <w:tcPr>
            <w:tcW w:w="4261" w:type="dxa"/>
            <w:tcBorders>
              <w:top w:val="nil"/>
              <w:left w:val="nil"/>
              <w:bottom w:val="nil"/>
              <w:right w:val="nil"/>
            </w:tcBorders>
            <w:noWrap w:val="0"/>
            <w:vAlign w:val="top"/>
          </w:tcPr>
          <w:p w14:paraId="6CB3B8E8">
            <w:pPr>
              <w:jc w:val="left"/>
              <w:rPr>
                <w:rFonts w:hint="eastAsia" w:ascii="宋体" w:hAnsi="宋体" w:eastAsia="宋体"/>
                <w:b/>
                <w:bCs/>
                <w:sz w:val="21"/>
                <w:szCs w:val="21"/>
                <w:vertAlign w:val="baseline"/>
                <w:lang w:eastAsia="zh-CN"/>
              </w:rPr>
            </w:pPr>
            <w:r>
              <w:rPr>
                <w:rFonts w:hint="eastAsia" w:ascii="宋体" w:hAnsi="宋体" w:eastAsia="宋体"/>
                <w:sz w:val="21"/>
                <w:szCs w:val="21"/>
              </w:rPr>
              <w:t>法定代表人：</w:t>
            </w:r>
          </w:p>
        </w:tc>
      </w:tr>
      <w:tr w14:paraId="52B8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trPr>
        <w:tc>
          <w:tcPr>
            <w:tcW w:w="4261" w:type="dxa"/>
            <w:tcBorders>
              <w:top w:val="nil"/>
              <w:left w:val="nil"/>
              <w:bottom w:val="nil"/>
              <w:right w:val="nil"/>
            </w:tcBorders>
            <w:noWrap w:val="0"/>
            <w:vAlign w:val="top"/>
          </w:tcPr>
          <w:p w14:paraId="09781775">
            <w:pPr>
              <w:jc w:val="left"/>
              <w:rPr>
                <w:rFonts w:hint="eastAsia" w:ascii="宋体" w:hAnsi="宋体" w:eastAsia="宋体"/>
                <w:b/>
                <w:bCs/>
                <w:sz w:val="21"/>
                <w:szCs w:val="21"/>
                <w:vertAlign w:val="baseline"/>
                <w:lang w:eastAsia="zh-CN"/>
              </w:rPr>
            </w:pPr>
          </w:p>
        </w:tc>
        <w:tc>
          <w:tcPr>
            <w:tcW w:w="4261" w:type="dxa"/>
            <w:tcBorders>
              <w:top w:val="nil"/>
              <w:left w:val="nil"/>
              <w:bottom w:val="nil"/>
              <w:right w:val="nil"/>
            </w:tcBorders>
            <w:noWrap w:val="0"/>
            <w:vAlign w:val="top"/>
          </w:tcPr>
          <w:p w14:paraId="68F20CF1">
            <w:pPr>
              <w:jc w:val="left"/>
              <w:rPr>
                <w:rFonts w:hint="eastAsia" w:ascii="宋体" w:hAnsi="宋体" w:eastAsia="宋体"/>
                <w:b/>
                <w:bCs/>
                <w:sz w:val="21"/>
                <w:szCs w:val="21"/>
                <w:vertAlign w:val="baseline"/>
                <w:lang w:eastAsia="zh-CN"/>
              </w:rPr>
            </w:pPr>
            <w:r>
              <w:rPr>
                <w:rFonts w:hint="eastAsia" w:ascii="宋体" w:hAnsi="宋体" w:eastAsia="宋体"/>
                <w:sz w:val="21"/>
                <w:szCs w:val="21"/>
              </w:rPr>
              <w:t>授权代表</w:t>
            </w:r>
            <w:r>
              <w:rPr>
                <w:rFonts w:hint="eastAsia" w:ascii="宋体" w:hAnsi="宋体" w:eastAsia="宋体"/>
                <w:sz w:val="21"/>
                <w:szCs w:val="21"/>
                <w:lang w:eastAsia="zh-CN"/>
              </w:rPr>
              <w:t>人：</w:t>
            </w:r>
          </w:p>
        </w:tc>
      </w:tr>
      <w:tr w14:paraId="6A26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D9D9A59">
            <w:pPr>
              <w:jc w:val="left"/>
              <w:rPr>
                <w:rFonts w:hint="eastAsia" w:ascii="宋体" w:hAnsi="宋体" w:eastAsia="宋体"/>
                <w:b/>
                <w:bCs/>
                <w:color w:val="auto"/>
                <w:sz w:val="21"/>
                <w:szCs w:val="21"/>
                <w:vertAlign w:val="baseline"/>
                <w:lang w:eastAsia="zh-CN"/>
              </w:rPr>
            </w:pPr>
          </w:p>
        </w:tc>
        <w:tc>
          <w:tcPr>
            <w:tcW w:w="4261" w:type="dxa"/>
            <w:tcBorders>
              <w:top w:val="nil"/>
              <w:left w:val="nil"/>
              <w:bottom w:val="nil"/>
              <w:right w:val="nil"/>
            </w:tcBorders>
            <w:noWrap w:val="0"/>
            <w:vAlign w:val="top"/>
          </w:tcPr>
          <w:p w14:paraId="4EA2B6FF">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lang w:val="en-US" w:eastAsia="zh-CN"/>
              </w:rPr>
              <w:t>纳税人识别号：此项必填</w:t>
            </w:r>
          </w:p>
        </w:tc>
      </w:tr>
      <w:tr w14:paraId="7F14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910F7A2">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地    址：</w:t>
            </w:r>
          </w:p>
        </w:tc>
        <w:tc>
          <w:tcPr>
            <w:tcW w:w="4261" w:type="dxa"/>
            <w:tcBorders>
              <w:top w:val="nil"/>
              <w:left w:val="nil"/>
              <w:bottom w:val="nil"/>
              <w:right w:val="nil"/>
            </w:tcBorders>
            <w:noWrap w:val="0"/>
            <w:vAlign w:val="top"/>
          </w:tcPr>
          <w:p w14:paraId="6339CAAC">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地    址：</w:t>
            </w:r>
          </w:p>
        </w:tc>
      </w:tr>
      <w:tr w14:paraId="699F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4DBA29D">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开户银行：</w:t>
            </w:r>
          </w:p>
        </w:tc>
        <w:tc>
          <w:tcPr>
            <w:tcW w:w="4261" w:type="dxa"/>
            <w:tcBorders>
              <w:top w:val="nil"/>
              <w:left w:val="nil"/>
              <w:bottom w:val="nil"/>
              <w:right w:val="nil"/>
            </w:tcBorders>
            <w:noWrap w:val="0"/>
            <w:vAlign w:val="top"/>
          </w:tcPr>
          <w:p w14:paraId="5F2C9B7D">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 xml:space="preserve">开户银行： </w:t>
            </w:r>
          </w:p>
        </w:tc>
      </w:tr>
      <w:tr w14:paraId="18AC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AEABF46">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账    号：</w:t>
            </w:r>
          </w:p>
        </w:tc>
        <w:tc>
          <w:tcPr>
            <w:tcW w:w="4261" w:type="dxa"/>
            <w:tcBorders>
              <w:top w:val="nil"/>
              <w:left w:val="nil"/>
              <w:bottom w:val="nil"/>
              <w:right w:val="nil"/>
            </w:tcBorders>
            <w:noWrap w:val="0"/>
            <w:vAlign w:val="top"/>
          </w:tcPr>
          <w:p w14:paraId="15F5D108">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账    号：</w:t>
            </w:r>
          </w:p>
        </w:tc>
      </w:tr>
      <w:tr w14:paraId="568A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6928C820">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电    话：</w:t>
            </w:r>
          </w:p>
        </w:tc>
        <w:tc>
          <w:tcPr>
            <w:tcW w:w="4261" w:type="dxa"/>
            <w:tcBorders>
              <w:top w:val="nil"/>
              <w:left w:val="nil"/>
              <w:bottom w:val="nil"/>
              <w:right w:val="nil"/>
            </w:tcBorders>
            <w:noWrap w:val="0"/>
            <w:vAlign w:val="top"/>
          </w:tcPr>
          <w:p w14:paraId="1A32DAB4">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电    话：</w:t>
            </w:r>
            <w:r>
              <w:rPr>
                <w:rFonts w:hint="eastAsia" w:ascii="宋体" w:hAnsi="宋体" w:eastAsia="宋体"/>
                <w:color w:val="auto"/>
                <w:sz w:val="21"/>
                <w:szCs w:val="21"/>
                <w:lang w:val="en-US" w:eastAsia="zh-CN"/>
              </w:rPr>
              <w:t>此项必填</w:t>
            </w:r>
          </w:p>
        </w:tc>
      </w:tr>
    </w:tbl>
    <w:p w14:paraId="5593FB62">
      <w:pPr>
        <w:rPr>
          <w:rFonts w:hint="default" w:ascii="宋体" w:hAnsi="宋体" w:eastAsia="宋体"/>
          <w:b/>
          <w:bCs/>
          <w:color w:val="auto"/>
          <w:sz w:val="21"/>
          <w:szCs w:val="21"/>
          <w:lang w:val="en-US" w:eastAsia="zh-CN"/>
        </w:rPr>
      </w:pPr>
    </w:p>
    <w:p w14:paraId="0D28759A">
      <w:pPr>
        <w:jc w:val="left"/>
        <w:rPr>
          <w:rFonts w:hint="eastAsia" w:ascii="宋体" w:hAnsi="宋体" w:eastAsia="宋体"/>
          <w:sz w:val="21"/>
          <w:szCs w:val="21"/>
        </w:rPr>
      </w:pPr>
      <w:r>
        <w:rPr>
          <w:rFonts w:hint="eastAsia" w:ascii="宋体" w:hAnsi="宋体" w:eastAsia="宋体"/>
          <w:sz w:val="21"/>
          <w:szCs w:val="21"/>
        </w:rPr>
        <w:t xml:space="preserve">签约日期：      年     月     日          </w:t>
      </w:r>
    </w:p>
    <w:p w14:paraId="0CF2816E">
      <w:pPr>
        <w:jc w:val="left"/>
        <w:rPr>
          <w:rFonts w:ascii="宋体" w:hAnsi="宋体" w:eastAsia="宋体"/>
          <w:sz w:val="21"/>
          <w:szCs w:val="21"/>
        </w:rPr>
      </w:pPr>
    </w:p>
    <w:p w14:paraId="1F18C571">
      <w:pPr>
        <w:jc w:val="left"/>
        <w:rPr>
          <w:rFonts w:hint="eastAsia" w:ascii="仿宋" w:hAnsi="仿宋" w:eastAsia="仿宋" w:cs="仿宋"/>
          <w:spacing w:val="-4"/>
          <w:kern w:val="0"/>
        </w:rPr>
      </w:pPr>
      <w:r>
        <w:rPr>
          <w:rFonts w:hint="eastAsia" w:ascii="宋体" w:hAnsi="宋体" w:eastAsia="宋体" w:cs="Times New Roman"/>
          <w:sz w:val="21"/>
          <w:szCs w:val="21"/>
          <w:lang w:val="en-US" w:eastAsia="zh-CN"/>
        </w:rPr>
        <w:t>医学装备部合同审核人：</w:t>
      </w:r>
      <w:r>
        <w:rPr>
          <w:rFonts w:hint="eastAsia" w:ascii="仿宋" w:hAnsi="仿宋" w:eastAsia="仿宋" w:cs="仿宋"/>
          <w:spacing w:val="-4"/>
          <w:kern w:val="0"/>
        </w:rPr>
        <w:t xml:space="preserve"> </w:t>
      </w:r>
      <w:r>
        <w:rPr>
          <w:rFonts w:hint="eastAsia" w:ascii="宋体" w:hAnsi="宋体" w:eastAsia="宋体"/>
          <w:sz w:val="21"/>
          <w:szCs w:val="21"/>
        </w:rPr>
        <w:t xml:space="preserve">             </w:t>
      </w:r>
      <w:r>
        <w:rPr>
          <w:rFonts w:hint="eastAsia" w:ascii="宋体" w:hAnsi="宋体" w:eastAsia="宋体"/>
          <w:sz w:val="21"/>
          <w:szCs w:val="21"/>
          <w:lang w:val="en-US" w:eastAsia="zh-CN"/>
        </w:rPr>
        <w:t xml:space="preserve">    </w:t>
      </w:r>
    </w:p>
    <w:p w14:paraId="16246FDB">
      <w:pPr>
        <w:spacing w:line="600" w:lineRule="exact"/>
        <w:jc w:val="center"/>
        <w:rPr>
          <w:rFonts w:hint="eastAsia" w:ascii="方正小标宋简体" w:eastAsia="方正小标宋简体"/>
          <w:bCs/>
          <w:sz w:val="44"/>
          <w:szCs w:val="44"/>
        </w:rPr>
        <w:sectPr>
          <w:pgSz w:w="11906" w:h="16838"/>
          <w:pgMar w:top="1417" w:right="1474" w:bottom="1417" w:left="1474" w:header="851" w:footer="624" w:gutter="0"/>
          <w:pgNumType w:fmt="decimal"/>
          <w:cols w:space="720" w:num="1"/>
          <w:docGrid w:type="lines" w:linePitch="319" w:charSpace="0"/>
        </w:sectPr>
      </w:pPr>
    </w:p>
    <w:p w14:paraId="353281FE">
      <w:pPr>
        <w:spacing w:line="600" w:lineRule="exact"/>
        <w:jc w:val="center"/>
        <w:rPr>
          <w:rFonts w:ascii="方正小标宋简体" w:eastAsia="方正小标宋简体"/>
          <w:bCs/>
          <w:sz w:val="44"/>
          <w:szCs w:val="44"/>
        </w:rPr>
      </w:pPr>
      <w:r>
        <w:rPr>
          <w:rFonts w:hint="eastAsia" w:ascii="方正小标宋简体" w:eastAsia="方正小标宋简体"/>
          <w:bCs/>
          <w:sz w:val="44"/>
          <w:szCs w:val="44"/>
        </w:rPr>
        <w:t>安全生产承诺书</w:t>
      </w:r>
    </w:p>
    <w:p w14:paraId="0F25144E">
      <w:pPr>
        <w:spacing w:line="240" w:lineRule="auto"/>
        <w:rPr>
          <w:rFonts w:hint="eastAsia" w:ascii="宋体" w:hAnsi="宋体" w:eastAsia="宋体" w:cs="宋体"/>
          <w:sz w:val="21"/>
          <w:szCs w:val="21"/>
        </w:rPr>
      </w:pPr>
      <w:r>
        <w:rPr>
          <w:rFonts w:hint="eastAsia" w:ascii="宋体" w:hAnsi="宋体" w:eastAsia="宋体" w:cs="宋体"/>
          <w:sz w:val="21"/>
          <w:szCs w:val="21"/>
        </w:rPr>
        <w:t>致驻马店市中心医院：</w:t>
      </w:r>
    </w:p>
    <w:p w14:paraId="3E8D8D84">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为切实做好安全生产和消防工作，防止和减少各类安全事故发生，维护良好的劳动关系，依据《中华人民共和国安全生产法》等相关法律法规，在与贵院签订原生产、施工、外包、外租、经营合同的基础上，我单位郑重作出如下安全生产承诺：</w:t>
      </w:r>
    </w:p>
    <w:p w14:paraId="01E6BA43">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一、遵守法规制度</w:t>
      </w:r>
    </w:p>
    <w:p w14:paraId="0EAA1E80">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严格遵守国家有关安全生产的法律、法规、安全标准以及贵院的安全管理制度和操作规范，杜绝违规指挥、操作和违反劳动纪律的行为。</w:t>
      </w:r>
    </w:p>
    <w:p w14:paraId="62410892">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结合自身实际，制定并切实实施各项安全管理制度和操作规程，同时将相关制度和规程报贵院备案。积极接受贵院的监督检查，对检查中发现的安全隐患，立即举一反三，主动整改到位。</w:t>
      </w:r>
    </w:p>
    <w:p w14:paraId="31488AA6">
      <w:pPr>
        <w:numPr>
          <w:ilvl w:val="0"/>
          <w:numId w:val="2"/>
        </w:num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人员安全管理</w:t>
      </w:r>
    </w:p>
    <w:p w14:paraId="2A1750FF">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向现场作业人员如实告知作业场所和工作岗位存在的危险危害因素、防范措施以及事故应急措施。</w:t>
      </w:r>
    </w:p>
    <w:p w14:paraId="23AD885C">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确保作业人员正确使用贵院提供的设施、设备、工具等，并定期进行检查，坚决杜绝使用存在安全隐患的设施、设备、工具。</w:t>
      </w:r>
    </w:p>
    <w:p w14:paraId="2F87CF35">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做好预防职业危害的防范措施，为现场作业人员配备符合国家标准的劳动保护用品，并监督、教育作业人员正确使用和佩戴。</w:t>
      </w:r>
    </w:p>
    <w:p w14:paraId="6693DEE5">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配备具有资质的安全生产管理人员，强化现场安全管理。严禁强令人员冒险作业和疲劳作业，杜绝违章指挥行为。每周至少进行一次安全隐患排查整治，在施工作业前、节假日、重大活动等关键节点，也开展相应排查，并及时告知贵院联合整改。</w:t>
      </w:r>
    </w:p>
    <w:p w14:paraId="6053155A">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对作业人员进行全面的安全生产教育和培训，保证未经安全生产教育和培训合格的作业人员不安排上岗作业。特种作业人员必须持证上岗，并将相关证件报贵院备案。</w:t>
      </w:r>
    </w:p>
    <w:p w14:paraId="688C6969">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向贵院报备公司营业执照、所有作业人员花名册、特种作业人员资格证。若中途人员有变动，及时向贵院报告备案。</w:t>
      </w:r>
    </w:p>
    <w:p w14:paraId="2EF49326">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派遣人员入场前安排进行体检，体检合格后将结果报贵院备案。同时，确保派遣人员全部参加工伤保险，并向贵院提供相应证明文件。</w:t>
      </w:r>
    </w:p>
    <w:p w14:paraId="0B4BBEE4">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三、设施设备管理</w:t>
      </w:r>
    </w:p>
    <w:p w14:paraId="716E0DA8">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自行配备的设施、设备、工具等严格符合国家安全标准。</w:t>
      </w:r>
    </w:p>
    <w:p w14:paraId="1AE4AAC4">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在有危险危害因素的作业区域和有关设施、设备上，设置明显的安全警示标志。</w:t>
      </w:r>
    </w:p>
    <w:p w14:paraId="0510B52C">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对设施设备进行定期维护保养和检测，确保其始终处于良好运行状态，杜绝设备带病作业。</w:t>
      </w:r>
    </w:p>
    <w:p w14:paraId="51C128C3">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四、环境与作业管理</w:t>
      </w:r>
    </w:p>
    <w:p w14:paraId="02337F0B">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按照贵院要求保持作业区域的环境卫生，做到现场环境整洁，符合安全、文明生产要求，及时设置明显的警示标识，防止人员绊倒、滑倒、砸伤等事故的发生。</w:t>
      </w:r>
    </w:p>
    <w:p w14:paraId="27ADEECC">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涉及动火、高处、有限空间等危险作业时，严格遵循危险作业审批流程，落实各项安全防护措施，在确保安全的前提下进行作业。</w:t>
      </w:r>
    </w:p>
    <w:p w14:paraId="7BF041A0">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在生产作业过程中若存在交叉作业的情况，无条件服从贵院的统一协调、指挥。</w:t>
      </w:r>
    </w:p>
    <w:p w14:paraId="409604D1">
      <w:pPr>
        <w:numPr>
          <w:ilvl w:val="0"/>
          <w:numId w:val="3"/>
        </w:num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应急处置与报告</w:t>
      </w:r>
    </w:p>
    <w:p w14:paraId="274EA1AF">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建立安全生产台账，对安全生产工作进行详细记录。在协议履行过程中，一旦发现任何安全生产问题，立即处理，并及时告知贵院，同时做好书面记录。</w:t>
      </w:r>
    </w:p>
    <w:p w14:paraId="225C5882">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一旦在项目实施过程中发现存在危险因素或者发生安全事故，立即停止与该项工程相关的所有施工活动，防止事故扩大。同时，迅速采取紧急救援措施，配合贵院对伤员进行及时救治，避免二次伤害。</w:t>
      </w:r>
    </w:p>
    <w:p w14:paraId="5653C287">
      <w:pPr>
        <w:spacing w:line="240" w:lineRule="auto"/>
        <w:rPr>
          <w:rFonts w:hint="eastAsia" w:ascii="宋体" w:hAnsi="宋体" w:eastAsia="宋体" w:cs="宋体"/>
          <w:sz w:val="21"/>
          <w:szCs w:val="21"/>
        </w:rPr>
      </w:pPr>
      <w:r>
        <w:rPr>
          <w:rFonts w:hint="eastAsia" w:ascii="宋体" w:hAnsi="宋体" w:eastAsia="宋体" w:cs="宋体"/>
          <w:sz w:val="21"/>
          <w:szCs w:val="21"/>
        </w:rPr>
        <w:t>主动向本地有关部门报备事故情况，并积极配合有关部门的调查和处理工作。</w:t>
      </w:r>
    </w:p>
    <w:p w14:paraId="0DBC1D20">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对于发生的事故，接受贵院派员参与或督促事故调查。主动承担相应的赔偿责任，全力做好善后处理工作，确保事故现场尽快清理，消除安全隐患，尽快恢复正常生产秩序。</w:t>
      </w:r>
    </w:p>
    <w:p w14:paraId="30E052C4">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六、其他承诺</w:t>
      </w:r>
    </w:p>
    <w:p w14:paraId="37FF2A6F">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因我单位过失等造成人员伤害和财产损失的，我司承担全部责任。涉及治安事件的，按照治安管理相关法规处理。</w:t>
      </w:r>
    </w:p>
    <w:p w14:paraId="3E48B82A">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若因我司原因导致安全事故的发生或对贵院造成严重影响，贵院有权终止合作合同，因此所产生的全部损失，由我司承担。</w:t>
      </w:r>
    </w:p>
    <w:p w14:paraId="06C42F60">
      <w:pPr>
        <w:spacing w:line="240" w:lineRule="auto"/>
        <w:ind w:left="420" w:leftChars="200"/>
        <w:rPr>
          <w:rFonts w:hint="eastAsia" w:ascii="宋体" w:hAnsi="宋体" w:eastAsia="宋体" w:cs="宋体"/>
          <w:sz w:val="21"/>
          <w:szCs w:val="21"/>
        </w:rPr>
      </w:pPr>
      <w:r>
        <w:rPr>
          <w:rFonts w:hint="eastAsia" w:ascii="宋体" w:hAnsi="宋体" w:eastAsia="宋体" w:cs="宋体"/>
          <w:sz w:val="21"/>
          <w:szCs w:val="21"/>
        </w:rPr>
        <w:t>其他未尽事项：</w:t>
      </w:r>
    </w:p>
    <w:p w14:paraId="62AFE4F8">
      <w:pPr>
        <w:spacing w:line="240" w:lineRule="auto"/>
        <w:ind w:left="420" w:leftChars="200"/>
        <w:rPr>
          <w:rFonts w:hint="eastAsia" w:ascii="宋体" w:hAnsi="宋体" w:eastAsia="宋体" w:cs="宋体"/>
          <w:sz w:val="21"/>
          <w:szCs w:val="21"/>
          <w:u w:val="single"/>
        </w:rPr>
      </w:pPr>
      <w:r>
        <w:rPr>
          <w:rFonts w:hint="eastAsia" w:ascii="宋体" w:hAnsi="宋体" w:eastAsia="宋体" w:cs="宋体"/>
          <w:sz w:val="21"/>
          <w:szCs w:val="21"/>
          <w:u w:val="single"/>
        </w:rPr>
        <w:t xml:space="preserve">                                                          </w:t>
      </w:r>
    </w:p>
    <w:p w14:paraId="48BFF19B">
      <w:pPr>
        <w:spacing w:line="240" w:lineRule="auto"/>
        <w:ind w:left="420" w:leftChars="200"/>
        <w:rPr>
          <w:rFonts w:hint="eastAsia" w:ascii="宋体" w:hAnsi="宋体" w:eastAsia="宋体" w:cs="宋体"/>
          <w:sz w:val="21"/>
          <w:szCs w:val="21"/>
          <w:u w:val="single"/>
        </w:rPr>
      </w:pPr>
      <w:r>
        <w:rPr>
          <w:rFonts w:hint="eastAsia" w:ascii="宋体" w:hAnsi="宋体" w:eastAsia="宋体" w:cs="宋体"/>
          <w:sz w:val="21"/>
          <w:szCs w:val="21"/>
          <w:u w:val="single"/>
        </w:rPr>
        <w:t xml:space="preserve">                                                        </w:t>
      </w:r>
    </w:p>
    <w:p w14:paraId="5B3E0BF4">
      <w:pPr>
        <w:spacing w:line="240" w:lineRule="auto"/>
        <w:ind w:left="420" w:leftChars="200"/>
        <w:rPr>
          <w:rFonts w:hint="eastAsia" w:ascii="宋体" w:hAnsi="宋体" w:eastAsia="宋体" w:cs="宋体"/>
          <w:sz w:val="21"/>
          <w:szCs w:val="21"/>
        </w:rPr>
      </w:pPr>
      <w:r>
        <w:rPr>
          <w:rFonts w:hint="eastAsia" w:ascii="宋体" w:hAnsi="宋体" w:eastAsia="宋体" w:cs="宋体"/>
          <w:sz w:val="21"/>
          <w:szCs w:val="21"/>
          <w:u w:val="single"/>
        </w:rPr>
        <w:t xml:space="preserve">                                                        </w:t>
      </w:r>
    </w:p>
    <w:p w14:paraId="54D2D730">
      <w:pPr>
        <w:spacing w:line="240" w:lineRule="auto"/>
        <w:jc w:val="right"/>
        <w:rPr>
          <w:rFonts w:hint="eastAsia" w:ascii="宋体" w:hAnsi="宋体" w:eastAsia="宋体" w:cs="宋体"/>
          <w:sz w:val="21"/>
          <w:szCs w:val="21"/>
        </w:rPr>
      </w:pPr>
      <w:r>
        <w:rPr>
          <w:rFonts w:hint="eastAsia" w:ascii="宋体" w:hAnsi="宋体" w:eastAsia="宋体" w:cs="宋体"/>
          <w:sz w:val="21"/>
          <w:szCs w:val="21"/>
        </w:rPr>
        <w:t>承诺单位(盖章):__________________</w:t>
      </w:r>
    </w:p>
    <w:p w14:paraId="4C900395">
      <w:pPr>
        <w:spacing w:line="240" w:lineRule="auto"/>
        <w:jc w:val="right"/>
        <w:rPr>
          <w:rFonts w:hint="eastAsia" w:ascii="宋体" w:hAnsi="宋体" w:eastAsia="宋体" w:cs="宋体"/>
          <w:sz w:val="21"/>
          <w:szCs w:val="21"/>
        </w:rPr>
      </w:pPr>
      <w:r>
        <w:rPr>
          <w:rFonts w:hint="eastAsia" w:ascii="宋体" w:hAnsi="宋体" w:eastAsia="宋体" w:cs="宋体"/>
          <w:sz w:val="21"/>
          <w:szCs w:val="21"/>
        </w:rPr>
        <w:t>代表(签名):____________________</w:t>
      </w:r>
    </w:p>
    <w:p w14:paraId="6CBFFE97">
      <w:pPr>
        <w:spacing w:line="240" w:lineRule="auto"/>
        <w:jc w:val="right"/>
        <w:rPr>
          <w:rFonts w:hint="eastAsia" w:ascii="宋体" w:hAnsi="宋体" w:eastAsia="宋体" w:cs="宋体"/>
          <w:sz w:val="21"/>
          <w:szCs w:val="21"/>
        </w:rPr>
      </w:pPr>
      <w:r>
        <w:rPr>
          <w:rFonts w:hint="eastAsia" w:ascii="宋体" w:hAnsi="宋体" w:eastAsia="宋体" w:cs="宋体"/>
          <w:sz w:val="21"/>
          <w:szCs w:val="21"/>
        </w:rPr>
        <w:t>时间：____年____月____日</w:t>
      </w:r>
    </w:p>
    <w:p w14:paraId="6DA59F06">
      <w:pPr>
        <w:rPr>
          <w:rFonts w:hint="eastAsia" w:ascii="仿宋" w:hAnsi="仿宋" w:eastAsia="仿宋" w:cs="仿宋"/>
          <w:spacing w:val="-4"/>
          <w:kern w:val="0"/>
        </w:rPr>
      </w:pPr>
    </w:p>
    <w:p w14:paraId="7985AE8B">
      <w:pPr>
        <w:rPr>
          <w:rFonts w:hint="eastAsia" w:ascii="仿宋" w:hAnsi="仿宋" w:eastAsia="仿宋" w:cs="仿宋"/>
          <w:spacing w:val="-4"/>
          <w:kern w:val="0"/>
        </w:rPr>
      </w:pPr>
    </w:p>
    <w:p w14:paraId="583328BC">
      <w:pPr>
        <w:rPr>
          <w:rFonts w:hint="eastAsia" w:ascii="仿宋" w:hAnsi="仿宋" w:eastAsia="仿宋" w:cs="仿宋"/>
          <w:spacing w:val="-4"/>
          <w:kern w:val="0"/>
        </w:rPr>
      </w:pPr>
    </w:p>
    <w:p w14:paraId="775223C7">
      <w:pPr>
        <w:rPr>
          <w:rFonts w:hint="eastAsia" w:ascii="仿宋" w:hAnsi="仿宋" w:eastAsia="仿宋" w:cs="仿宋"/>
          <w:spacing w:val="-4"/>
          <w:kern w:val="0"/>
        </w:rPr>
        <w:sectPr>
          <w:pgSz w:w="11906" w:h="16838"/>
          <w:pgMar w:top="1417" w:right="1474" w:bottom="1417" w:left="1474" w:header="851" w:footer="624" w:gutter="0"/>
          <w:pgNumType w:fmt="decimal"/>
          <w:cols w:space="720" w:num="1"/>
          <w:docGrid w:type="lines" w:linePitch="319" w:charSpace="0"/>
        </w:sectPr>
      </w:pPr>
    </w:p>
    <w:p w14:paraId="7F0D9770">
      <w:pPr>
        <w:rPr>
          <w:rFonts w:hint="eastAsia" w:asciiTheme="minorEastAsia" w:hAnsiTheme="minorEastAsia" w:eastAsiaTheme="minorEastAsia" w:cstheme="minorEastAsia"/>
          <w:b/>
          <w:bCs/>
          <w:spacing w:val="-4"/>
          <w:kern w:val="0"/>
          <w:sz w:val="24"/>
          <w:szCs w:val="32"/>
          <w:lang w:val="en-US" w:eastAsia="zh-CN"/>
        </w:rPr>
      </w:pPr>
      <w:r>
        <w:rPr>
          <w:rFonts w:hint="eastAsia" w:asciiTheme="minorEastAsia" w:hAnsiTheme="minorEastAsia" w:eastAsiaTheme="minorEastAsia" w:cstheme="minorEastAsia"/>
          <w:b/>
          <w:bCs/>
          <w:spacing w:val="-4"/>
          <w:kern w:val="0"/>
          <w:sz w:val="24"/>
          <w:szCs w:val="32"/>
          <w:lang w:eastAsia="zh-CN"/>
        </w:rPr>
        <w:t>附件</w:t>
      </w:r>
      <w:r>
        <w:rPr>
          <w:rFonts w:hint="eastAsia" w:asciiTheme="minorEastAsia" w:hAnsiTheme="minorEastAsia" w:eastAsiaTheme="minorEastAsia" w:cstheme="minorEastAsia"/>
          <w:b/>
          <w:bCs/>
          <w:spacing w:val="-4"/>
          <w:kern w:val="0"/>
          <w:sz w:val="24"/>
          <w:szCs w:val="32"/>
          <w:lang w:val="en-US" w:eastAsia="zh-CN"/>
        </w:rPr>
        <w:t>2：</w:t>
      </w:r>
    </w:p>
    <w:p w14:paraId="4E4217A6">
      <w:pPr>
        <w:rPr>
          <w:rFonts w:hint="eastAsia" w:asciiTheme="minorEastAsia" w:hAnsiTheme="minorEastAsia" w:eastAsiaTheme="minorEastAsia" w:cstheme="minorEastAsia"/>
          <w:b/>
          <w:bCs/>
          <w:spacing w:val="-4"/>
          <w:kern w:val="0"/>
          <w:lang w:val="en-US" w:eastAsia="zh-CN"/>
        </w:rPr>
      </w:pPr>
    </w:p>
    <w:p w14:paraId="012A152F">
      <w:pPr>
        <w:jc w:val="center"/>
        <w:rPr>
          <w:rFonts w:hint="eastAsia" w:asciiTheme="minorEastAsia" w:hAnsiTheme="minorEastAsia" w:eastAsiaTheme="minorEastAsia" w:cstheme="minorEastAsia"/>
          <w:b/>
          <w:bCs/>
          <w:spacing w:val="-4"/>
          <w:kern w:val="0"/>
          <w:sz w:val="24"/>
          <w:szCs w:val="32"/>
          <w:lang w:val="en-US" w:eastAsia="zh-CN"/>
        </w:rPr>
      </w:pPr>
      <w:r>
        <w:rPr>
          <w:rFonts w:hint="eastAsia" w:asciiTheme="minorEastAsia" w:hAnsiTheme="minorEastAsia" w:eastAsiaTheme="minorEastAsia" w:cstheme="minorEastAsia"/>
          <w:b/>
          <w:bCs/>
          <w:spacing w:val="-4"/>
          <w:kern w:val="0"/>
          <w:sz w:val="24"/>
          <w:szCs w:val="32"/>
          <w:lang w:val="en-US" w:eastAsia="zh-CN"/>
        </w:rPr>
        <w:t>驻马店市中心医院</w:t>
      </w:r>
    </w:p>
    <w:p w14:paraId="01689925">
      <w:pPr>
        <w:jc w:val="center"/>
        <w:rPr>
          <w:rFonts w:hint="eastAsia" w:asciiTheme="minorEastAsia" w:hAnsiTheme="minorEastAsia" w:eastAsiaTheme="minorEastAsia" w:cstheme="minorEastAsia"/>
          <w:b w:val="0"/>
          <w:bCs w:val="0"/>
          <w:spacing w:val="-4"/>
          <w:kern w:val="0"/>
          <w:sz w:val="24"/>
          <w:szCs w:val="24"/>
          <w:lang w:val="en-US" w:eastAsia="zh-CN"/>
        </w:rPr>
      </w:pPr>
      <w:r>
        <w:rPr>
          <w:rFonts w:hint="eastAsia" w:asciiTheme="minorEastAsia" w:hAnsiTheme="minorEastAsia" w:eastAsiaTheme="minorEastAsia" w:cstheme="minorEastAsia"/>
          <w:b w:val="0"/>
          <w:bCs w:val="0"/>
          <w:spacing w:val="-4"/>
          <w:kern w:val="0"/>
          <w:sz w:val="24"/>
          <w:szCs w:val="24"/>
          <w:lang w:val="en-US" w:eastAsia="zh-CN"/>
        </w:rPr>
        <w:t>（产品注册证名称）配置清单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330"/>
        <w:gridCol w:w="935"/>
        <w:gridCol w:w="1195"/>
        <w:gridCol w:w="1065"/>
        <w:gridCol w:w="1065"/>
        <w:gridCol w:w="1066"/>
        <w:gridCol w:w="1066"/>
      </w:tblGrid>
      <w:tr w14:paraId="4940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5044150">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序号</w:t>
            </w:r>
          </w:p>
        </w:tc>
        <w:tc>
          <w:tcPr>
            <w:tcW w:w="1330" w:type="dxa"/>
            <w:noWrap w:val="0"/>
            <w:vAlign w:val="center"/>
          </w:tcPr>
          <w:p w14:paraId="5C425ADB">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物品名称</w:t>
            </w:r>
          </w:p>
        </w:tc>
        <w:tc>
          <w:tcPr>
            <w:tcW w:w="935" w:type="dxa"/>
            <w:noWrap w:val="0"/>
            <w:vAlign w:val="center"/>
          </w:tcPr>
          <w:p w14:paraId="4B630E4A">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品牌</w:t>
            </w:r>
          </w:p>
        </w:tc>
        <w:tc>
          <w:tcPr>
            <w:tcW w:w="1195" w:type="dxa"/>
            <w:noWrap w:val="0"/>
            <w:vAlign w:val="center"/>
          </w:tcPr>
          <w:p w14:paraId="3C2A2B6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规格型号</w:t>
            </w:r>
          </w:p>
        </w:tc>
        <w:tc>
          <w:tcPr>
            <w:tcW w:w="1065" w:type="dxa"/>
            <w:noWrap w:val="0"/>
            <w:vAlign w:val="center"/>
          </w:tcPr>
          <w:p w14:paraId="0C159ED9">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产地</w:t>
            </w:r>
          </w:p>
        </w:tc>
        <w:tc>
          <w:tcPr>
            <w:tcW w:w="1065" w:type="dxa"/>
            <w:noWrap w:val="0"/>
            <w:vAlign w:val="center"/>
          </w:tcPr>
          <w:p w14:paraId="3D26462B">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数量</w:t>
            </w:r>
          </w:p>
        </w:tc>
        <w:tc>
          <w:tcPr>
            <w:tcW w:w="1066" w:type="dxa"/>
            <w:noWrap w:val="0"/>
            <w:vAlign w:val="center"/>
          </w:tcPr>
          <w:p w14:paraId="2860B666">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单位</w:t>
            </w:r>
          </w:p>
        </w:tc>
        <w:tc>
          <w:tcPr>
            <w:tcW w:w="1066" w:type="dxa"/>
            <w:noWrap w:val="0"/>
            <w:vAlign w:val="center"/>
          </w:tcPr>
          <w:p w14:paraId="0A2C07E8">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备注</w:t>
            </w:r>
          </w:p>
        </w:tc>
      </w:tr>
      <w:tr w14:paraId="4F8E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01E2B6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1</w:t>
            </w:r>
          </w:p>
        </w:tc>
        <w:tc>
          <w:tcPr>
            <w:tcW w:w="1330" w:type="dxa"/>
            <w:noWrap w:val="0"/>
            <w:vAlign w:val="center"/>
          </w:tcPr>
          <w:p w14:paraId="49431C49">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0941FE2D">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2B92ECA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360B8369">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15F46E6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1B81C98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7F049C9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78FC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E6D76E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2</w:t>
            </w:r>
          </w:p>
        </w:tc>
        <w:tc>
          <w:tcPr>
            <w:tcW w:w="1330" w:type="dxa"/>
            <w:noWrap w:val="0"/>
            <w:vAlign w:val="center"/>
          </w:tcPr>
          <w:p w14:paraId="03B2281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0BA51408">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703D28C3">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64400D73">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1D63C65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6C71B536">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5DE2D0AC">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39EE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6E7B12D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3</w:t>
            </w:r>
          </w:p>
        </w:tc>
        <w:tc>
          <w:tcPr>
            <w:tcW w:w="1330" w:type="dxa"/>
            <w:noWrap w:val="0"/>
            <w:vAlign w:val="center"/>
          </w:tcPr>
          <w:p w14:paraId="298D8F6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07E95920">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624C59A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3A2B2CEB">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48FA0346">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042C969D">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7629DB35">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3EA0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05088BB">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4</w:t>
            </w:r>
          </w:p>
        </w:tc>
        <w:tc>
          <w:tcPr>
            <w:tcW w:w="1330" w:type="dxa"/>
            <w:noWrap w:val="0"/>
            <w:vAlign w:val="center"/>
          </w:tcPr>
          <w:p w14:paraId="1DBC3236">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6562C31D">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28F2B57A">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68CD61F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3E16022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51AC878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4D4B1AC0">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409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2C41C108">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5</w:t>
            </w:r>
          </w:p>
        </w:tc>
        <w:tc>
          <w:tcPr>
            <w:tcW w:w="1330" w:type="dxa"/>
            <w:noWrap w:val="0"/>
            <w:vAlign w:val="center"/>
          </w:tcPr>
          <w:p w14:paraId="4BD7F29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660A462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611F78B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3454AD0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42EDDD5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45B1AFEC">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23B0CE2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087A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4F72160">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6</w:t>
            </w:r>
          </w:p>
        </w:tc>
        <w:tc>
          <w:tcPr>
            <w:tcW w:w="1330" w:type="dxa"/>
            <w:noWrap w:val="0"/>
            <w:vAlign w:val="center"/>
          </w:tcPr>
          <w:p w14:paraId="683C4DD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29AF992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601DB864">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617E8645">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3303E055">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46A052AD">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49CD2465">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2104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DBB2770">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7</w:t>
            </w:r>
          </w:p>
        </w:tc>
        <w:tc>
          <w:tcPr>
            <w:tcW w:w="1330" w:type="dxa"/>
            <w:noWrap w:val="0"/>
            <w:vAlign w:val="center"/>
          </w:tcPr>
          <w:p w14:paraId="1F05966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7D97585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283C3CEA">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2BEDA9AA">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5C9ACB0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5898180C">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2881821C">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bl>
    <w:p w14:paraId="3D5DB07C">
      <w:pPr>
        <w:jc w:val="center"/>
        <w:rPr>
          <w:rFonts w:hint="eastAsia" w:asciiTheme="minorEastAsia" w:hAnsiTheme="minorEastAsia" w:eastAsiaTheme="minorEastAsia" w:cstheme="minorEastAsia"/>
          <w:b w:val="0"/>
          <w:bCs w:val="0"/>
          <w:spacing w:val="-4"/>
          <w:kern w:val="0"/>
          <w:sz w:val="24"/>
          <w:szCs w:val="24"/>
          <w:lang w:val="en-US" w:eastAsia="zh-CN"/>
        </w:rPr>
      </w:pPr>
    </w:p>
    <w:p w14:paraId="19CD5838">
      <w:pPr>
        <w:jc w:val="left"/>
        <w:rPr>
          <w:rFonts w:hint="eastAsia" w:asciiTheme="minorEastAsia" w:hAnsiTheme="minorEastAsia" w:eastAsiaTheme="minorEastAsia" w:cstheme="minorEastAsia"/>
          <w:b w:val="0"/>
          <w:bCs w:val="0"/>
          <w:spacing w:val="-4"/>
          <w:kern w:val="0"/>
          <w:sz w:val="24"/>
          <w:szCs w:val="24"/>
          <w:lang w:val="en-US" w:eastAsia="zh-CN"/>
        </w:rPr>
      </w:pPr>
      <w:r>
        <w:rPr>
          <w:rFonts w:hint="eastAsia" w:asciiTheme="minorEastAsia" w:hAnsiTheme="minorEastAsia" w:eastAsiaTheme="minorEastAsia" w:cstheme="minorEastAsia"/>
          <w:b w:val="0"/>
          <w:bCs w:val="0"/>
          <w:spacing w:val="-4"/>
          <w:kern w:val="0"/>
          <w:sz w:val="24"/>
          <w:szCs w:val="24"/>
          <w:lang w:val="en-US" w:eastAsia="zh-CN"/>
        </w:rPr>
        <w:t>备注：此配置清单按单台配置填写。</w:t>
      </w:r>
    </w:p>
    <w:p w14:paraId="22D7FB0C">
      <w:pPr>
        <w:jc w:val="left"/>
        <w:rPr>
          <w:rFonts w:hint="eastAsia" w:asciiTheme="minorEastAsia" w:hAnsiTheme="minorEastAsia" w:eastAsiaTheme="minorEastAsia" w:cstheme="minorEastAsia"/>
          <w:b w:val="0"/>
          <w:bCs w:val="0"/>
          <w:spacing w:val="-4"/>
          <w:kern w:val="0"/>
          <w:sz w:val="24"/>
          <w:szCs w:val="24"/>
          <w:lang w:val="en-US" w:eastAsia="zh-CN"/>
        </w:rPr>
      </w:pPr>
    </w:p>
    <w:p w14:paraId="49A6B9D8">
      <w:pPr>
        <w:jc w:val="left"/>
        <w:rPr>
          <w:rFonts w:hint="eastAsia" w:asciiTheme="minorEastAsia" w:hAnsiTheme="minorEastAsia" w:eastAsiaTheme="minorEastAsia" w:cstheme="minorEastAsia"/>
          <w:b w:val="0"/>
          <w:bCs w:val="0"/>
          <w:spacing w:val="-4"/>
          <w:kern w:val="0"/>
          <w:sz w:val="24"/>
          <w:szCs w:val="24"/>
          <w:lang w:val="en-US" w:eastAsia="zh-CN"/>
        </w:rPr>
      </w:pPr>
    </w:p>
    <w:p w14:paraId="6B45603F">
      <w:pPr>
        <w:jc w:val="left"/>
        <w:rPr>
          <w:rFonts w:hint="eastAsia" w:asciiTheme="minorEastAsia" w:hAnsiTheme="minorEastAsia" w:eastAsiaTheme="minorEastAsia" w:cstheme="minorEastAsia"/>
          <w:b w:val="0"/>
          <w:bCs w:val="0"/>
          <w:spacing w:val="-4"/>
          <w:kern w:val="0"/>
          <w:sz w:val="24"/>
          <w:szCs w:val="24"/>
          <w:lang w:val="en-US" w:eastAsia="zh-CN"/>
        </w:rPr>
      </w:pPr>
    </w:p>
    <w:p w14:paraId="36D95D13">
      <w:pPr>
        <w:jc w:val="left"/>
        <w:rPr>
          <w:rFonts w:hint="eastAsia" w:asciiTheme="minorEastAsia" w:hAnsiTheme="minorEastAsia" w:eastAsiaTheme="minorEastAsia" w:cstheme="minorEastAsia"/>
          <w:b w:val="0"/>
          <w:bCs w:val="0"/>
          <w:spacing w:val="-4"/>
          <w:kern w:val="0"/>
          <w:sz w:val="24"/>
          <w:szCs w:val="24"/>
          <w:lang w:val="en-US" w:eastAsia="zh-CN"/>
        </w:rPr>
      </w:pPr>
    </w:p>
    <w:p w14:paraId="6F2C8DAA">
      <w:pPr>
        <w:jc w:val="left"/>
        <w:rPr>
          <w:rFonts w:hint="eastAsia" w:asciiTheme="minorEastAsia" w:hAnsiTheme="minorEastAsia" w:eastAsiaTheme="minorEastAsia" w:cstheme="minorEastAsia"/>
          <w:b w:val="0"/>
          <w:bCs w:val="0"/>
          <w:spacing w:val="-4"/>
          <w:kern w:val="0"/>
          <w:sz w:val="24"/>
          <w:szCs w:val="24"/>
          <w:lang w:val="en-US" w:eastAsia="zh-CN"/>
        </w:rPr>
      </w:pPr>
    </w:p>
    <w:p w14:paraId="1C2B418F">
      <w:pPr>
        <w:jc w:val="left"/>
        <w:rPr>
          <w:rFonts w:hint="eastAsia" w:asciiTheme="minorEastAsia" w:hAnsiTheme="minorEastAsia" w:eastAsiaTheme="minorEastAsia" w:cstheme="minorEastAsia"/>
          <w:b w:val="0"/>
          <w:bCs w:val="0"/>
          <w:spacing w:val="-4"/>
          <w:kern w:val="0"/>
          <w:sz w:val="24"/>
          <w:szCs w:val="24"/>
          <w:lang w:val="en-US" w:eastAsia="zh-CN"/>
        </w:rPr>
      </w:pPr>
      <w:r>
        <w:rPr>
          <w:rFonts w:hint="eastAsia" w:asciiTheme="minorEastAsia" w:hAnsiTheme="minorEastAsia" w:eastAsiaTheme="minorEastAsia" w:cstheme="minorEastAsia"/>
          <w:b w:val="0"/>
          <w:bCs w:val="0"/>
          <w:spacing w:val="-4"/>
          <w:kern w:val="0"/>
          <w:sz w:val="24"/>
          <w:szCs w:val="24"/>
          <w:lang w:val="en-US" w:eastAsia="zh-CN"/>
        </w:rPr>
        <w:t xml:space="preserve">公司法定代表人或授权代表签字：                 </w:t>
      </w:r>
    </w:p>
    <w:p w14:paraId="5D6FA518">
      <w:pPr>
        <w:jc w:val="left"/>
        <w:rPr>
          <w:rFonts w:hint="eastAsia" w:asciiTheme="minorEastAsia" w:hAnsiTheme="minorEastAsia" w:eastAsiaTheme="minorEastAsia" w:cstheme="minorEastAsia"/>
          <w:b w:val="0"/>
          <w:bCs w:val="0"/>
          <w:spacing w:val="-4"/>
          <w:kern w:val="0"/>
          <w:sz w:val="24"/>
          <w:szCs w:val="24"/>
          <w:lang w:val="en-US" w:eastAsia="zh-CN"/>
        </w:rPr>
      </w:pPr>
    </w:p>
    <w:p w14:paraId="4DE62550">
      <w:pPr>
        <w:jc w:val="left"/>
        <w:rPr>
          <w:rFonts w:hint="eastAsia" w:asciiTheme="minorEastAsia" w:hAnsiTheme="minorEastAsia" w:eastAsiaTheme="minorEastAsia" w:cstheme="minorEastAsia"/>
          <w:b w:val="0"/>
          <w:bCs w:val="0"/>
          <w:spacing w:val="-4"/>
          <w:kern w:val="0"/>
          <w:sz w:val="24"/>
          <w:szCs w:val="24"/>
          <w:lang w:val="en-US" w:eastAsia="zh-CN"/>
        </w:rPr>
      </w:pPr>
      <w:r>
        <w:rPr>
          <w:rFonts w:hint="eastAsia" w:asciiTheme="minorEastAsia" w:hAnsiTheme="minorEastAsia" w:eastAsiaTheme="minorEastAsia" w:cstheme="minorEastAsia"/>
          <w:b w:val="0"/>
          <w:bCs w:val="0"/>
          <w:spacing w:val="-4"/>
          <w:kern w:val="0"/>
          <w:sz w:val="24"/>
          <w:szCs w:val="24"/>
          <w:lang w:val="en-US" w:eastAsia="zh-CN"/>
        </w:rPr>
        <w:t xml:space="preserve">公司盖章：               </w:t>
      </w:r>
    </w:p>
    <w:p w14:paraId="6DA6614D">
      <w:pPr>
        <w:jc w:val="left"/>
        <w:rPr>
          <w:rFonts w:hint="eastAsia" w:asciiTheme="minorEastAsia" w:hAnsiTheme="minorEastAsia" w:eastAsiaTheme="minorEastAsia" w:cstheme="minorEastAsia"/>
          <w:b w:val="0"/>
          <w:bCs w:val="0"/>
          <w:spacing w:val="-4"/>
          <w:kern w:val="0"/>
          <w:sz w:val="24"/>
          <w:szCs w:val="24"/>
          <w:lang w:val="en-US" w:eastAsia="zh-CN"/>
        </w:rPr>
      </w:pPr>
    </w:p>
    <w:p w14:paraId="4FB84AC2">
      <w:pPr>
        <w:jc w:val="left"/>
        <w:rPr>
          <w:rFonts w:hint="eastAsia" w:asciiTheme="minorEastAsia" w:hAnsiTheme="minorEastAsia" w:eastAsiaTheme="minorEastAsia" w:cstheme="minorEastAsia"/>
          <w:b w:val="0"/>
          <w:bCs w:val="0"/>
          <w:spacing w:val="-4"/>
          <w:kern w:val="0"/>
          <w:sz w:val="24"/>
          <w:szCs w:val="24"/>
          <w:lang w:val="en-US" w:eastAsia="zh-CN"/>
        </w:rPr>
      </w:pPr>
    </w:p>
    <w:p w14:paraId="480B9128">
      <w:pPr>
        <w:jc w:val="left"/>
        <w:rPr>
          <w:rFonts w:hint="eastAsia" w:asciiTheme="minorEastAsia" w:hAnsiTheme="minorEastAsia" w:eastAsiaTheme="minorEastAsia" w:cstheme="minorEastAsia"/>
          <w:b w:val="0"/>
          <w:bCs w:val="0"/>
          <w:spacing w:val="-4"/>
          <w:kern w:val="0"/>
          <w:sz w:val="24"/>
          <w:szCs w:val="24"/>
          <w:lang w:val="en-US" w:eastAsia="zh-CN"/>
        </w:rPr>
      </w:pPr>
    </w:p>
    <w:p w14:paraId="4BE9E3E8">
      <w:pPr>
        <w:jc w:val="left"/>
        <w:rPr>
          <w:rFonts w:hint="eastAsia" w:asciiTheme="minorEastAsia" w:hAnsiTheme="minorEastAsia" w:eastAsiaTheme="minorEastAsia" w:cstheme="minorEastAsia"/>
          <w:b w:val="0"/>
          <w:bCs w:val="0"/>
          <w:spacing w:val="-4"/>
          <w:kern w:val="0"/>
          <w:sz w:val="24"/>
          <w:szCs w:val="24"/>
          <w:lang w:val="en-US" w:eastAsia="zh-CN"/>
        </w:rPr>
      </w:pPr>
    </w:p>
    <w:p w14:paraId="7D44AF77">
      <w:pPr>
        <w:jc w:val="left"/>
        <w:rPr>
          <w:rFonts w:hint="eastAsia" w:asciiTheme="minorEastAsia" w:hAnsiTheme="minorEastAsia" w:eastAsiaTheme="minorEastAsia" w:cstheme="minorEastAsia"/>
          <w:b w:val="0"/>
          <w:bCs w:val="0"/>
          <w:spacing w:val="-4"/>
          <w:kern w:val="0"/>
          <w:sz w:val="24"/>
          <w:szCs w:val="24"/>
          <w:lang w:val="en-US" w:eastAsia="zh-CN"/>
        </w:rPr>
      </w:pPr>
    </w:p>
    <w:p w14:paraId="55658BAE">
      <w:pPr>
        <w:jc w:val="left"/>
        <w:rPr>
          <w:rFonts w:hint="eastAsia" w:asciiTheme="minorEastAsia" w:hAnsiTheme="minorEastAsia" w:eastAsiaTheme="minorEastAsia" w:cstheme="minorEastAsia"/>
          <w:b w:val="0"/>
          <w:bCs w:val="0"/>
          <w:spacing w:val="-4"/>
          <w:kern w:val="0"/>
          <w:sz w:val="24"/>
          <w:szCs w:val="24"/>
          <w:lang w:val="en-US" w:eastAsia="zh-CN"/>
        </w:rPr>
      </w:pPr>
    </w:p>
    <w:p w14:paraId="189B1960">
      <w:pPr>
        <w:jc w:val="left"/>
        <w:rPr>
          <w:rFonts w:hint="eastAsia" w:asciiTheme="minorEastAsia" w:hAnsiTheme="minorEastAsia" w:eastAsiaTheme="minorEastAsia" w:cstheme="minorEastAsia"/>
          <w:b w:val="0"/>
          <w:bCs w:val="0"/>
          <w:spacing w:val="-4"/>
          <w:kern w:val="0"/>
          <w:sz w:val="24"/>
          <w:szCs w:val="24"/>
          <w:lang w:val="en-US" w:eastAsia="zh-CN"/>
        </w:rPr>
      </w:pPr>
    </w:p>
    <w:p w14:paraId="46347DCC">
      <w:pPr>
        <w:jc w:val="left"/>
        <w:rPr>
          <w:rFonts w:hint="eastAsia" w:asciiTheme="minorEastAsia" w:hAnsiTheme="minorEastAsia" w:eastAsiaTheme="minorEastAsia" w:cstheme="minorEastAsia"/>
          <w:b w:val="0"/>
          <w:bCs w:val="0"/>
          <w:spacing w:val="-4"/>
          <w:kern w:val="0"/>
          <w:sz w:val="24"/>
          <w:szCs w:val="24"/>
          <w:lang w:val="en-US" w:eastAsia="zh-CN"/>
        </w:rPr>
      </w:pPr>
    </w:p>
    <w:p w14:paraId="4A3F696B">
      <w:pPr>
        <w:jc w:val="left"/>
        <w:rPr>
          <w:rFonts w:hint="eastAsia" w:asciiTheme="minorEastAsia" w:hAnsiTheme="minorEastAsia" w:eastAsiaTheme="minorEastAsia" w:cstheme="minorEastAsia"/>
          <w:b w:val="0"/>
          <w:bCs w:val="0"/>
          <w:spacing w:val="-4"/>
          <w:kern w:val="0"/>
          <w:sz w:val="24"/>
          <w:szCs w:val="24"/>
          <w:lang w:val="en-US" w:eastAsia="zh-CN"/>
        </w:rPr>
      </w:pPr>
    </w:p>
    <w:p w14:paraId="6312EF09">
      <w:pPr>
        <w:jc w:val="left"/>
        <w:rPr>
          <w:rFonts w:hint="eastAsia" w:asciiTheme="minorEastAsia" w:hAnsiTheme="minorEastAsia" w:eastAsiaTheme="minorEastAsia" w:cstheme="minorEastAsia"/>
          <w:b w:val="0"/>
          <w:bCs w:val="0"/>
          <w:spacing w:val="-4"/>
          <w:kern w:val="0"/>
          <w:sz w:val="24"/>
          <w:szCs w:val="24"/>
          <w:lang w:val="en-US" w:eastAsia="zh-CN"/>
        </w:rPr>
        <w:sectPr>
          <w:pgSz w:w="11906" w:h="16838"/>
          <w:pgMar w:top="1417" w:right="1474" w:bottom="1417" w:left="1474" w:header="851" w:footer="624" w:gutter="0"/>
          <w:pgNumType w:fmt="decimal"/>
          <w:cols w:space="720" w:num="1"/>
          <w:docGrid w:type="lines" w:linePitch="319" w:charSpace="0"/>
        </w:sectPr>
      </w:pPr>
    </w:p>
    <w:p w14:paraId="3B80EA59">
      <w:pPr>
        <w:jc w:val="left"/>
        <w:rPr>
          <w:rFonts w:hint="eastAsia" w:asciiTheme="minorEastAsia" w:hAnsiTheme="minorEastAsia" w:eastAsiaTheme="minorEastAsia" w:cstheme="minorEastAsia"/>
          <w:b/>
          <w:bCs/>
          <w:spacing w:val="-4"/>
          <w:kern w:val="0"/>
          <w:sz w:val="30"/>
          <w:szCs w:val="30"/>
          <w:lang w:val="en-US" w:eastAsia="zh-CN"/>
        </w:rPr>
      </w:pPr>
      <w:r>
        <w:rPr>
          <w:rFonts w:hint="eastAsia" w:asciiTheme="minorEastAsia" w:hAnsiTheme="minorEastAsia" w:eastAsiaTheme="minorEastAsia" w:cstheme="minorEastAsia"/>
          <w:b/>
          <w:bCs/>
          <w:spacing w:val="-4"/>
          <w:kern w:val="0"/>
          <w:sz w:val="30"/>
          <w:szCs w:val="30"/>
          <w:lang w:val="en-US" w:eastAsia="zh-CN"/>
        </w:rPr>
        <w:t>附件3</w:t>
      </w:r>
    </w:p>
    <w:p w14:paraId="09B2A667">
      <w:pPr>
        <w:jc w:val="left"/>
        <w:rPr>
          <w:rFonts w:hint="eastAsia" w:asciiTheme="minorEastAsia" w:hAnsiTheme="minorEastAsia" w:eastAsiaTheme="minorEastAsia" w:cstheme="minorEastAsia"/>
          <w:b/>
          <w:bCs/>
          <w:spacing w:val="-4"/>
          <w:kern w:val="0"/>
          <w:sz w:val="30"/>
          <w:szCs w:val="30"/>
          <w:lang w:val="en-US" w:eastAsia="zh-CN"/>
        </w:rPr>
      </w:pPr>
      <w:r>
        <w:rPr>
          <w:rFonts w:hint="eastAsia" w:asciiTheme="minorEastAsia" w:hAnsiTheme="minorEastAsia" w:eastAsiaTheme="minorEastAsia" w:cstheme="minorEastAsia"/>
          <w:b w:val="0"/>
          <w:bCs w:val="0"/>
          <w:spacing w:val="-4"/>
          <w:kern w:val="0"/>
          <w:sz w:val="24"/>
          <w:szCs w:val="24"/>
          <w:lang w:val="en-US" w:eastAsia="zh-CN"/>
        </w:rPr>
        <w:t xml:space="preserve">                    </w:t>
      </w:r>
      <w:r>
        <w:rPr>
          <w:rFonts w:hint="eastAsia" w:asciiTheme="minorEastAsia" w:hAnsiTheme="minorEastAsia" w:eastAsiaTheme="minorEastAsia" w:cstheme="minorEastAsia"/>
          <w:b/>
          <w:bCs/>
          <w:spacing w:val="-4"/>
          <w:kern w:val="0"/>
          <w:sz w:val="30"/>
          <w:szCs w:val="30"/>
          <w:lang w:val="en-US" w:eastAsia="zh-CN"/>
        </w:rPr>
        <w:t xml:space="preserve">  驻马店市中心医院售后服务承诺书</w:t>
      </w:r>
    </w:p>
    <w:p w14:paraId="17028E6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lang w:val="en-US" w:eastAsia="zh-CN"/>
        </w:rPr>
      </w:pPr>
      <w:r>
        <w:rPr>
          <w:rFonts w:hint="eastAsia" w:asciiTheme="minorEastAsia" w:hAnsiTheme="minorEastAsia" w:eastAsiaTheme="minorEastAsia" w:cstheme="minorEastAsia"/>
          <w:b w:val="0"/>
          <w:bCs w:val="0"/>
          <w:spacing w:val="-4"/>
          <w:kern w:val="0"/>
          <w:sz w:val="24"/>
          <w:szCs w:val="24"/>
          <w:lang w:val="en-US" w:eastAsia="zh-CN"/>
        </w:rPr>
        <w:t>针对我方提供的设备，我方做出如下承诺：</w:t>
      </w:r>
    </w:p>
    <w:p w14:paraId="7E5AA8C1">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lang w:val="en-US" w:eastAsia="zh-CN"/>
        </w:rPr>
        <w:t>1、设备整机原厂保修</w:t>
      </w:r>
      <w:r>
        <w:rPr>
          <w:rFonts w:hint="eastAsia" w:asciiTheme="minorEastAsia" w:hAnsiTheme="minorEastAsia" w:eastAsiaTheme="minorEastAsia" w:cstheme="minorEastAsia"/>
          <w:b w:val="0"/>
          <w:bCs w:val="0"/>
          <w:spacing w:val="-4"/>
          <w:kern w:val="0"/>
          <w:sz w:val="24"/>
          <w:szCs w:val="24"/>
          <w:u w:val="single"/>
          <w:lang w:val="en-US" w:eastAsia="zh-CN"/>
        </w:rPr>
        <w:t xml:space="preserve">      </w:t>
      </w:r>
      <w:r>
        <w:rPr>
          <w:rFonts w:hint="eastAsia" w:asciiTheme="minorEastAsia" w:hAnsiTheme="minorEastAsia" w:eastAsiaTheme="minorEastAsia" w:cstheme="minorEastAsia"/>
          <w:b w:val="0"/>
          <w:bCs w:val="0"/>
          <w:spacing w:val="-4"/>
          <w:kern w:val="0"/>
          <w:sz w:val="24"/>
          <w:szCs w:val="24"/>
          <w:u w:val="none"/>
          <w:lang w:val="en-US" w:eastAsia="zh-CN"/>
        </w:rPr>
        <w:t xml:space="preserve">年，保修时间按甲方入库之日计算，除火灾、洪水、地震等天灾外，保修期内免费更换零配件及工时费，确保开机率为95%（含）以上。设备保修期内，设备维修占用日期每增加一天按保修时间往后顺延七天。 </w:t>
      </w:r>
    </w:p>
    <w:p w14:paraId="7F75A6D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2、每年 4 次专业维护保养，详细制定年度维护计划及保养内容，每次维护保养提前一周通知甲方约定保养时间。保养内容按照原厂标准进行，包括设备清洁、性能测试及校准、必要的机械或电气检查，以及非紧急性质的预防性维护，和确保系统能按照制造商的产品规格运行的其他维护，对设备构成的功能单元进行安全、图像质量方面的检测，并提供详细保养报告及年度维修保养服务报告。</w:t>
      </w:r>
    </w:p>
    <w:p w14:paraId="50B1454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3、为甲方提供现场维修、零备件更换等服务。 </w:t>
      </w:r>
    </w:p>
    <w:p w14:paraId="57AA560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4、现场维修：乙方为甲方提供无限次免费工时和派工，无限次现场维修，节假日及非工作时间提供紧急维修，20分钟内电话响应，24小时内工程师到达现场，一般故障48小时内维修完毕。如当场不能解决问题，提供备用机，确保不影响医院的正常使用。 </w:t>
      </w:r>
    </w:p>
    <w:p w14:paraId="5BEECCD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5、零备件更换：在合同有效期内，保证提供原厂全新零备件，本合同服务范围内的设备进行合同约定的维修，甲方不再额外支付费用。 </w:t>
      </w:r>
    </w:p>
    <w:p w14:paraId="20A3F44E">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6、质保期满后，负责设备的终身维修并继续提供优质的服务，储备足够的零配件备库，并始终能以市场上最优惠的价格提供优质的配件。</w:t>
      </w:r>
    </w:p>
    <w:p w14:paraId="7262BF00">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7、设备配套的软件终身免费升级和使用，及时提供设备新功能信息和临床应用资料。 </w:t>
      </w:r>
    </w:p>
    <w:p w14:paraId="7FC61E7A">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8、投标人、厂家认为其他必要的内容（投标文件中其他售后服务承诺）。 </w:t>
      </w:r>
    </w:p>
    <w:p w14:paraId="59FFDDA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p>
    <w:p w14:paraId="5F27984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p>
    <w:p w14:paraId="1F72107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生产厂家（签章）：必填 </w:t>
      </w:r>
    </w:p>
    <w:p w14:paraId="09F9FB1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地址：必填 </w:t>
      </w:r>
    </w:p>
    <w:p w14:paraId="20057C0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联系人：必填 </w:t>
      </w:r>
    </w:p>
    <w:p w14:paraId="7888FCA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联系方式：必填</w:t>
      </w:r>
    </w:p>
    <w:p w14:paraId="63B0B57D">
      <w:pPr>
        <w:rPr>
          <w:rFonts w:hint="eastAsia" w:asciiTheme="minorEastAsia" w:hAnsiTheme="minorEastAsia" w:eastAsiaTheme="minorEastAsia" w:cstheme="minorEastAsia"/>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0EBB8A6">
      <w:pPr>
        <w:pStyle w:val="2"/>
        <w:jc w:val="center"/>
        <w:rPr>
          <w:rFonts w:hint="eastAsia" w:ascii="宋体" w:hAnsi="宋体" w:eastAsia="宋体" w:cs="宋体"/>
          <w:color w:val="auto"/>
          <w:kern w:val="0"/>
          <w:highlight w:val="none"/>
        </w:rPr>
      </w:pPr>
      <w:bookmarkStart w:id="43"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8"/>
      <w:bookmarkEnd w:id="39"/>
      <w:bookmarkEnd w:id="43"/>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4" w:name="_Toc13604"/>
      <w:r>
        <w:rPr>
          <w:rFonts w:hint="eastAsia" w:ascii="宋体" w:hAnsi="宋体" w:eastAsia="宋体" w:cs="宋体"/>
          <w:b/>
          <w:bCs/>
          <w:color w:val="auto"/>
          <w:sz w:val="32"/>
          <w:szCs w:val="32"/>
          <w:highlight w:val="none"/>
        </w:rPr>
        <w:t>目    录</w:t>
      </w:r>
      <w:bookmarkEnd w:id="44"/>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5"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5"/>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6"/>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7"/>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8" w:name="_Toc9579"/>
      <w:r>
        <w:rPr>
          <w:rFonts w:hint="eastAsia" w:ascii="宋体" w:hAnsi="宋体" w:eastAsia="宋体" w:cs="宋体"/>
          <w:color w:val="auto"/>
          <w:sz w:val="24"/>
          <w:highlight w:val="none"/>
        </w:rPr>
        <w:t xml:space="preserve">附件4 </w:t>
      </w:r>
      <w:bookmarkEnd w:id="48"/>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49"/>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0" w:name="_Toc6234"/>
      <w:r>
        <w:rPr>
          <w:rFonts w:hint="eastAsia" w:ascii="宋体" w:hAnsi="宋体" w:eastAsia="宋体" w:cs="宋体"/>
          <w:color w:val="auto"/>
          <w:sz w:val="24"/>
          <w:highlight w:val="none"/>
        </w:rPr>
        <w:t>附件6 商务</w:t>
      </w:r>
      <w:bookmarkEnd w:id="50"/>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1"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1"/>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2"/>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31857"/>
      <w:r>
        <w:rPr>
          <w:rFonts w:hint="eastAsia" w:ascii="宋体" w:hAnsi="宋体" w:eastAsia="宋体" w:cs="宋体"/>
          <w:color w:val="auto"/>
          <w:sz w:val="24"/>
          <w:highlight w:val="none"/>
        </w:rPr>
        <w:t>附件9 证明文件</w:t>
      </w:r>
      <w:bookmarkEnd w:id="53"/>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8"/>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4" w:name="_Toc24743"/>
      <w:bookmarkStart w:id="55"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4"/>
      <w:bookmarkEnd w:id="55"/>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default" w:ascii="宋体" w:hAnsi="宋体" w:eastAsia="宋体" w:cs="宋体"/>
          <w:b w:val="0"/>
          <w:bCs/>
          <w:color w:val="FF0000"/>
          <w:spacing w:val="90"/>
          <w:sz w:val="52"/>
          <w:szCs w:val="52"/>
          <w:highlight w:val="none"/>
          <w:lang w:val="en-US"/>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073293A8">
      <w:pPr>
        <w:snapToGrid w:val="0"/>
        <w:spacing w:line="360" w:lineRule="auto"/>
        <w:jc w:val="center"/>
        <w:rPr>
          <w:rFonts w:hint="eastAsia" w:ascii="宋体" w:hAnsi="宋体" w:eastAsia="宋体" w:cs="宋体"/>
          <w:b/>
          <w:color w:val="auto"/>
          <w:spacing w:val="90"/>
          <w:sz w:val="52"/>
          <w:szCs w:val="52"/>
          <w:highlight w:val="none"/>
        </w:rPr>
      </w:pP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8"/>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6" w:name="_Toc14560"/>
      <w:bookmarkStart w:id="57" w:name="_Toc8818"/>
      <w:r>
        <w:rPr>
          <w:rFonts w:hint="eastAsia" w:ascii="宋体" w:hAnsi="宋体" w:eastAsia="宋体" w:cs="宋体"/>
          <w:color w:val="auto"/>
          <w:sz w:val="28"/>
          <w:szCs w:val="28"/>
          <w:highlight w:val="none"/>
          <w:lang w:val="en-US" w:eastAsia="zh-CN"/>
        </w:rPr>
        <w:t>附件2      竞争性磋商响应书（格式）</w:t>
      </w:r>
      <w:bookmarkEnd w:id="56"/>
      <w:bookmarkEnd w:id="57"/>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w:t>
      </w:r>
      <w:r>
        <w:rPr>
          <w:rFonts w:hint="eastAsia" w:asciiTheme="minorEastAsia" w:hAnsiTheme="minorEastAsia"/>
          <w:color w:val="auto"/>
          <w:sz w:val="24"/>
          <w:szCs w:val="24"/>
          <w:highlight w:val="none"/>
        </w:rPr>
        <w:t>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none"/>
        </w:rPr>
        <w:t>）</w:t>
      </w:r>
      <w:r>
        <w:rPr>
          <w:rFonts w:hint="eastAsia" w:asciiTheme="minorEastAsia" w:hAnsiTheme="minorEastAsia"/>
          <w:color w:val="auto"/>
          <w:sz w:val="24"/>
          <w:szCs w:val="24"/>
          <w:highlight w:val="none"/>
          <w:lang w:val="en-US" w:eastAsia="zh-CN"/>
        </w:rPr>
        <w:t>采购</w:t>
      </w:r>
      <w:r>
        <w:rPr>
          <w:rFonts w:hint="eastAsia" w:asciiTheme="minorEastAsia" w:hAnsiTheme="minorEastAsia"/>
          <w:color w:val="auto"/>
          <w:sz w:val="24"/>
          <w:szCs w:val="24"/>
          <w:highlight w:val="none"/>
        </w:rPr>
        <w:t>文件的全部内容，决定参加该项目的磋商活动并按要求提交响应文件。我们郑重声明以下诸点并</w:t>
      </w:r>
      <w:r>
        <w:rPr>
          <w:rFonts w:hint="eastAsia" w:asciiTheme="minorEastAsia" w:hAnsiTheme="minorEastAsia"/>
          <w:sz w:val="24"/>
          <w:szCs w:val="24"/>
          <w:highlight w:val="none"/>
        </w:rPr>
        <w:t>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我方</w:t>
      </w:r>
      <w:r>
        <w:rPr>
          <w:rFonts w:hint="eastAsia" w:asciiTheme="minorEastAsia" w:hAnsiTheme="minorEastAsia"/>
          <w:sz w:val="24"/>
          <w:szCs w:val="24"/>
          <w:highlight w:val="none"/>
        </w:rPr>
        <w:t>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8" w:name="_Toc7838"/>
      <w:r>
        <w:rPr>
          <w:rFonts w:hint="eastAsia" w:ascii="宋体" w:hAnsi="宋体" w:eastAsia="宋体" w:cs="宋体"/>
          <w:color w:val="auto"/>
          <w:sz w:val="28"/>
          <w:szCs w:val="28"/>
          <w:highlight w:val="none"/>
          <w:lang w:val="en-US" w:eastAsia="zh-CN"/>
        </w:rPr>
        <w:t>附件3            初次报价一览表</w:t>
      </w:r>
      <w:bookmarkEnd w:id="58"/>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0D97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978" w:type="dxa"/>
            <w:noWrap/>
            <w:vAlign w:val="center"/>
          </w:tcPr>
          <w:p w14:paraId="2240191E">
            <w:pPr>
              <w:jc w:val="center"/>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质保期</w:t>
            </w:r>
          </w:p>
        </w:tc>
        <w:tc>
          <w:tcPr>
            <w:tcW w:w="7708" w:type="dxa"/>
            <w:noWrap/>
            <w:vAlign w:val="center"/>
          </w:tcPr>
          <w:p w14:paraId="4B58382D">
            <w:pPr>
              <w:pStyle w:val="21"/>
              <w:ind w:left="0" w:leftChars="0"/>
              <w:rPr>
                <w:rFonts w:hint="eastAsia" w:ascii="宋体" w:hAnsi="宋体" w:eastAsia="宋体" w:cs="宋体"/>
                <w:color w:val="auto"/>
                <w:sz w:val="24"/>
                <w:szCs w:val="24"/>
                <w:highlight w:val="none"/>
              </w:rPr>
            </w:pPr>
          </w:p>
        </w:tc>
      </w:tr>
      <w:tr w14:paraId="7AAC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978" w:type="dxa"/>
            <w:noWrap/>
            <w:vAlign w:val="center"/>
          </w:tcPr>
          <w:p w14:paraId="355C5950">
            <w:pPr>
              <w:jc w:val="center"/>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使用年限</w:t>
            </w:r>
          </w:p>
        </w:tc>
        <w:tc>
          <w:tcPr>
            <w:tcW w:w="7708" w:type="dxa"/>
            <w:noWrap/>
            <w:vAlign w:val="center"/>
          </w:tcPr>
          <w:p w14:paraId="04F7CB98">
            <w:pPr>
              <w:pStyle w:val="21"/>
              <w:ind w:left="0" w:leftChars="0"/>
              <w:rPr>
                <w:rFonts w:hint="eastAsia" w:ascii="宋体" w:hAnsi="宋体" w:eastAsia="宋体" w:cs="宋体"/>
                <w:color w:val="auto"/>
                <w:sz w:val="24"/>
                <w:szCs w:val="24"/>
                <w:highlight w:val="none"/>
              </w:rPr>
            </w:pP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59" w:name="_Toc20877"/>
      <w:bookmarkStart w:id="60" w:name="_Toc11620"/>
    </w:p>
    <w:bookmarkEnd w:id="59"/>
    <w:bookmarkEnd w:id="60"/>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0"/>
    <w:bookmarkEnd w:id="41"/>
    <w:p w14:paraId="32162F70">
      <w:pPr>
        <w:spacing w:before="20" w:after="20"/>
        <w:outlineLvl w:val="9"/>
        <w:rPr>
          <w:rFonts w:hint="eastAsia" w:ascii="宋体" w:hAnsi="宋体" w:eastAsia="宋体" w:cs="宋体"/>
          <w:color w:val="auto"/>
          <w:highlight w:val="none"/>
          <w:lang w:eastAsia="zh-CN"/>
        </w:rPr>
      </w:pPr>
      <w:bookmarkStart w:id="61" w:name="_Toc22004"/>
      <w:bookmarkStart w:id="62"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1"/>
      <w:bookmarkEnd w:id="62"/>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金额单位：人民币（元）</w:t>
      </w:r>
    </w:p>
    <w:tbl>
      <w:tblPr>
        <w:tblStyle w:val="34"/>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r>
    </w:tbl>
    <w:p w14:paraId="3FDC4607">
      <w:pPr>
        <w:widowControl/>
        <w:snapToGrid w:val="0"/>
        <w:spacing w:line="440" w:lineRule="exact"/>
        <w:jc w:val="left"/>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注：</w:t>
      </w:r>
    </w:p>
    <w:p w14:paraId="48F290DC">
      <w:pPr>
        <w:pStyle w:val="33"/>
        <w:ind w:firstLine="3990" w:firstLineChars="1900"/>
        <w:rPr>
          <w:rFonts w:hint="eastAsia" w:ascii="宋体" w:hAnsi="宋体" w:eastAsia="宋体" w:cs="宋体"/>
          <w:color w:val="auto"/>
          <w:sz w:val="21"/>
          <w:szCs w:val="21"/>
          <w:highlight w:val="none"/>
          <w:lang w:eastAsia="zh-CN"/>
        </w:rPr>
      </w:pPr>
    </w:p>
    <w:p w14:paraId="6111CC48">
      <w:pPr>
        <w:pStyle w:val="6"/>
        <w:rPr>
          <w:rFonts w:hint="eastAsia"/>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26A19139">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bookmarkStart w:id="63" w:name="_Toc15804"/>
      <w:bookmarkStart w:id="64" w:name="_Toc226"/>
      <w:r>
        <w:rPr>
          <w:rFonts w:hint="eastAsia" w:ascii="宋体" w:hAnsi="宋体" w:eastAsia="宋体" w:cs="宋体"/>
          <w:b/>
          <w:bCs/>
          <w:color w:val="auto"/>
          <w:kern w:val="2"/>
          <w:sz w:val="28"/>
          <w:szCs w:val="28"/>
          <w:highlight w:val="none"/>
          <w:lang w:val="en-US" w:eastAsia="zh-CN" w:bidi="ar-SA"/>
        </w:rPr>
        <w:t>4.1 配套试剂报价一览表（格式，如有）</w:t>
      </w:r>
    </w:p>
    <w:tbl>
      <w:tblPr>
        <w:tblStyle w:val="35"/>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181"/>
        <w:gridCol w:w="1341"/>
        <w:gridCol w:w="1225"/>
        <w:gridCol w:w="995"/>
        <w:gridCol w:w="995"/>
        <w:gridCol w:w="1107"/>
        <w:gridCol w:w="883"/>
        <w:gridCol w:w="995"/>
        <w:gridCol w:w="1061"/>
        <w:gridCol w:w="1061"/>
        <w:gridCol w:w="1213"/>
        <w:gridCol w:w="1584"/>
      </w:tblGrid>
      <w:tr w14:paraId="1CEE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Align w:val="center"/>
          </w:tcPr>
          <w:p w14:paraId="646E05CB">
            <w:pPr>
              <w:widowControl w:val="0"/>
              <w:jc w:val="center"/>
              <w:rPr>
                <w:rFonts w:hint="eastAsia" w:eastAsia="宋体"/>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1181" w:type="dxa"/>
            <w:vAlign w:val="center"/>
          </w:tcPr>
          <w:p w14:paraId="579EE2D7">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341" w:type="dxa"/>
            <w:vAlign w:val="center"/>
          </w:tcPr>
          <w:p w14:paraId="49B7222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商品名称</w:t>
            </w:r>
          </w:p>
          <w:p w14:paraId="0BC23284">
            <w:pPr>
              <w:keepNext w:val="0"/>
              <w:keepLines w:val="0"/>
              <w:widowControl/>
              <w:suppressLineNumbers w:val="0"/>
              <w:jc w:val="center"/>
              <w:rPr>
                <w:rFonts w:hint="eastAsia" w:eastAsia="宋体"/>
                <w:color w:val="auto"/>
                <w:sz w:val="21"/>
                <w:szCs w:val="21"/>
                <w:highlight w:val="none"/>
                <w:vertAlign w:val="baseline"/>
                <w:lang w:val="en-US" w:eastAsia="zh-CN"/>
              </w:rPr>
            </w:pPr>
            <w:r>
              <w:rPr>
                <w:rFonts w:hint="eastAsia" w:ascii="宋体" w:hAnsi="宋体" w:cs="宋体"/>
                <w:b/>
                <w:bCs/>
                <w:snapToGrid w:val="0"/>
                <w:color w:val="auto"/>
                <w:kern w:val="0"/>
                <w:sz w:val="21"/>
                <w:szCs w:val="21"/>
                <w:highlight w:val="none"/>
                <w:lang w:val="en-US" w:eastAsia="zh-CN" w:bidi="ar"/>
              </w:rPr>
              <w:t>（通用名）</w:t>
            </w:r>
          </w:p>
        </w:tc>
        <w:tc>
          <w:tcPr>
            <w:tcW w:w="1225" w:type="dxa"/>
            <w:vAlign w:val="center"/>
          </w:tcPr>
          <w:p w14:paraId="7B88569B">
            <w:pPr>
              <w:keepNext w:val="0"/>
              <w:keepLines w:val="0"/>
              <w:widowControl/>
              <w:suppressLineNumbers w:val="0"/>
              <w:jc w:val="center"/>
              <w:rPr>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注册</w:t>
            </w:r>
          </w:p>
          <w:p w14:paraId="5A7F3778">
            <w:pPr>
              <w:keepNext w:val="0"/>
              <w:keepLines w:val="0"/>
              <w:widowControl/>
              <w:suppressLineNumbers w:val="0"/>
              <w:jc w:val="center"/>
              <w:rPr>
                <w:color w:val="auto"/>
                <w:sz w:val="21"/>
                <w:szCs w:val="21"/>
                <w:highlight w:val="none"/>
                <w:vertAlign w:val="baseline"/>
              </w:rPr>
            </w:pPr>
            <w:r>
              <w:rPr>
                <w:rFonts w:hint="eastAsia" w:ascii="宋体" w:hAnsi="宋体" w:eastAsia="宋体" w:cs="宋体"/>
                <w:b/>
                <w:bCs/>
                <w:snapToGrid w:val="0"/>
                <w:color w:val="auto"/>
                <w:kern w:val="0"/>
                <w:sz w:val="21"/>
                <w:szCs w:val="21"/>
                <w:highlight w:val="none"/>
                <w:lang w:val="en-US" w:eastAsia="zh-CN" w:bidi="ar"/>
              </w:rPr>
              <w:t>证名称及注册证号</w:t>
            </w:r>
          </w:p>
        </w:tc>
        <w:tc>
          <w:tcPr>
            <w:tcW w:w="995" w:type="dxa"/>
            <w:vAlign w:val="center"/>
          </w:tcPr>
          <w:p w14:paraId="13975975">
            <w:pPr>
              <w:keepNext w:val="0"/>
              <w:keepLines w:val="0"/>
              <w:widowControl/>
              <w:suppressLineNumbers w:val="0"/>
              <w:jc w:val="center"/>
              <w:rPr>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品牌</w:t>
            </w:r>
          </w:p>
          <w:p w14:paraId="715FBD17">
            <w:pPr>
              <w:keepNext w:val="0"/>
              <w:keepLines w:val="0"/>
              <w:widowControl/>
              <w:suppressLineNumbers w:val="0"/>
              <w:jc w:val="center"/>
              <w:rPr>
                <w:color w:val="auto"/>
                <w:sz w:val="21"/>
                <w:szCs w:val="21"/>
                <w:highlight w:val="none"/>
                <w:vertAlign w:val="baseline"/>
              </w:rPr>
            </w:pPr>
          </w:p>
        </w:tc>
        <w:tc>
          <w:tcPr>
            <w:tcW w:w="995" w:type="dxa"/>
            <w:vAlign w:val="center"/>
          </w:tcPr>
          <w:p w14:paraId="135D21FF">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规格型号</w:t>
            </w:r>
          </w:p>
        </w:tc>
        <w:tc>
          <w:tcPr>
            <w:tcW w:w="1107" w:type="dxa"/>
            <w:vAlign w:val="center"/>
          </w:tcPr>
          <w:p w14:paraId="5D7A74FA">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生产企业</w:t>
            </w:r>
          </w:p>
        </w:tc>
        <w:tc>
          <w:tcPr>
            <w:tcW w:w="883" w:type="dxa"/>
            <w:vAlign w:val="center"/>
          </w:tcPr>
          <w:p w14:paraId="1809A4FF">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计价</w:t>
            </w:r>
          </w:p>
          <w:p w14:paraId="2D4AD09D">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单位</w:t>
            </w:r>
          </w:p>
        </w:tc>
        <w:tc>
          <w:tcPr>
            <w:tcW w:w="995" w:type="dxa"/>
            <w:vAlign w:val="center"/>
          </w:tcPr>
          <w:p w14:paraId="74A34D6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单价</w:t>
            </w:r>
          </w:p>
          <w:p w14:paraId="182DC433">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（元/每人份）</w:t>
            </w:r>
          </w:p>
        </w:tc>
        <w:tc>
          <w:tcPr>
            <w:tcW w:w="1061" w:type="dxa"/>
            <w:vAlign w:val="center"/>
          </w:tcPr>
          <w:p w14:paraId="317961C5">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Theme="minorEastAsia" w:hAnsiTheme="minorEastAsia"/>
                <w:b/>
                <w:bCs/>
                <w:highlight w:val="none"/>
              </w:rPr>
              <w:t>试验方法</w:t>
            </w:r>
          </w:p>
        </w:tc>
        <w:tc>
          <w:tcPr>
            <w:tcW w:w="1061" w:type="dxa"/>
            <w:vAlign w:val="center"/>
          </w:tcPr>
          <w:p w14:paraId="77478E82">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网采号</w:t>
            </w:r>
          </w:p>
        </w:tc>
        <w:tc>
          <w:tcPr>
            <w:tcW w:w="1213" w:type="dxa"/>
            <w:vAlign w:val="center"/>
          </w:tcPr>
          <w:p w14:paraId="3BAB2BE9">
            <w:pPr>
              <w:widowControl w:val="0"/>
              <w:spacing w:line="320" w:lineRule="exact"/>
              <w:jc w:val="center"/>
              <w:outlineLvl w:val="0"/>
              <w:rPr>
                <w:rFonts w:hint="default" w:eastAsia="宋体"/>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收费项目名称</w:t>
            </w:r>
          </w:p>
        </w:tc>
        <w:tc>
          <w:tcPr>
            <w:tcW w:w="1584" w:type="dxa"/>
            <w:vAlign w:val="center"/>
          </w:tcPr>
          <w:p w14:paraId="35BD6D7D">
            <w:pPr>
              <w:widowControl w:val="0"/>
              <w:spacing w:line="320" w:lineRule="exact"/>
              <w:jc w:val="center"/>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收费编码、</w:t>
            </w:r>
          </w:p>
          <w:p w14:paraId="434CA188">
            <w:pPr>
              <w:widowControl w:val="0"/>
              <w:spacing w:line="320" w:lineRule="exact"/>
              <w:jc w:val="center"/>
              <w:outlineLvl w:val="0"/>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收费金额</w:t>
            </w:r>
          </w:p>
        </w:tc>
      </w:tr>
      <w:tr w14:paraId="5034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restart"/>
          </w:tcPr>
          <w:p w14:paraId="58974EFD">
            <w:pPr>
              <w:widowControl w:val="0"/>
              <w:rPr>
                <w:color w:val="auto"/>
                <w:highlight w:val="none"/>
                <w:vertAlign w:val="baseline"/>
              </w:rPr>
            </w:pPr>
          </w:p>
        </w:tc>
        <w:tc>
          <w:tcPr>
            <w:tcW w:w="1181" w:type="dxa"/>
            <w:vMerge w:val="restart"/>
          </w:tcPr>
          <w:p w14:paraId="1411B170">
            <w:pPr>
              <w:widowControl w:val="0"/>
              <w:rPr>
                <w:color w:val="auto"/>
                <w:highlight w:val="none"/>
                <w:vertAlign w:val="baseline"/>
              </w:rPr>
            </w:pPr>
          </w:p>
        </w:tc>
        <w:tc>
          <w:tcPr>
            <w:tcW w:w="1341" w:type="dxa"/>
          </w:tcPr>
          <w:p w14:paraId="538C956D">
            <w:pPr>
              <w:widowControl w:val="0"/>
              <w:rPr>
                <w:color w:val="auto"/>
                <w:highlight w:val="none"/>
                <w:vertAlign w:val="baseline"/>
              </w:rPr>
            </w:pPr>
          </w:p>
        </w:tc>
        <w:tc>
          <w:tcPr>
            <w:tcW w:w="1225" w:type="dxa"/>
          </w:tcPr>
          <w:p w14:paraId="74877ABD">
            <w:pPr>
              <w:widowControl w:val="0"/>
              <w:rPr>
                <w:color w:val="auto"/>
                <w:highlight w:val="none"/>
                <w:vertAlign w:val="baseline"/>
              </w:rPr>
            </w:pPr>
          </w:p>
        </w:tc>
        <w:tc>
          <w:tcPr>
            <w:tcW w:w="995" w:type="dxa"/>
          </w:tcPr>
          <w:p w14:paraId="46285D21">
            <w:pPr>
              <w:widowControl w:val="0"/>
              <w:rPr>
                <w:color w:val="auto"/>
                <w:highlight w:val="none"/>
                <w:vertAlign w:val="baseline"/>
              </w:rPr>
            </w:pPr>
          </w:p>
        </w:tc>
        <w:tc>
          <w:tcPr>
            <w:tcW w:w="995" w:type="dxa"/>
          </w:tcPr>
          <w:p w14:paraId="30AA1993">
            <w:pPr>
              <w:widowControl w:val="0"/>
              <w:rPr>
                <w:color w:val="auto"/>
                <w:highlight w:val="none"/>
                <w:vertAlign w:val="baseline"/>
              </w:rPr>
            </w:pPr>
          </w:p>
        </w:tc>
        <w:tc>
          <w:tcPr>
            <w:tcW w:w="1107" w:type="dxa"/>
          </w:tcPr>
          <w:p w14:paraId="3FDE21BE">
            <w:pPr>
              <w:widowControl w:val="0"/>
              <w:rPr>
                <w:color w:val="auto"/>
                <w:highlight w:val="none"/>
                <w:vertAlign w:val="baseline"/>
              </w:rPr>
            </w:pPr>
          </w:p>
        </w:tc>
        <w:tc>
          <w:tcPr>
            <w:tcW w:w="883" w:type="dxa"/>
          </w:tcPr>
          <w:p w14:paraId="2A5C917F">
            <w:pPr>
              <w:widowControl w:val="0"/>
              <w:rPr>
                <w:color w:val="auto"/>
                <w:highlight w:val="none"/>
                <w:vertAlign w:val="baseline"/>
              </w:rPr>
            </w:pPr>
          </w:p>
        </w:tc>
        <w:tc>
          <w:tcPr>
            <w:tcW w:w="995" w:type="dxa"/>
          </w:tcPr>
          <w:p w14:paraId="2BC032BB">
            <w:pPr>
              <w:widowControl w:val="0"/>
              <w:rPr>
                <w:color w:val="auto"/>
                <w:highlight w:val="none"/>
                <w:vertAlign w:val="baseline"/>
              </w:rPr>
            </w:pPr>
          </w:p>
        </w:tc>
        <w:tc>
          <w:tcPr>
            <w:tcW w:w="1061" w:type="dxa"/>
          </w:tcPr>
          <w:p w14:paraId="43AF7AB5">
            <w:pPr>
              <w:widowControl w:val="0"/>
              <w:rPr>
                <w:color w:val="auto"/>
                <w:highlight w:val="none"/>
                <w:vertAlign w:val="baseline"/>
              </w:rPr>
            </w:pPr>
          </w:p>
        </w:tc>
        <w:tc>
          <w:tcPr>
            <w:tcW w:w="1061" w:type="dxa"/>
          </w:tcPr>
          <w:p w14:paraId="3CD0599F">
            <w:pPr>
              <w:widowControl w:val="0"/>
              <w:rPr>
                <w:color w:val="auto"/>
                <w:highlight w:val="none"/>
                <w:vertAlign w:val="baseline"/>
              </w:rPr>
            </w:pPr>
          </w:p>
        </w:tc>
        <w:tc>
          <w:tcPr>
            <w:tcW w:w="1213" w:type="dxa"/>
          </w:tcPr>
          <w:p w14:paraId="351E7283">
            <w:pPr>
              <w:widowControl w:val="0"/>
              <w:rPr>
                <w:color w:val="auto"/>
                <w:highlight w:val="none"/>
                <w:vertAlign w:val="baseline"/>
              </w:rPr>
            </w:pPr>
          </w:p>
        </w:tc>
        <w:tc>
          <w:tcPr>
            <w:tcW w:w="1584" w:type="dxa"/>
          </w:tcPr>
          <w:p w14:paraId="47A41BCD">
            <w:pPr>
              <w:widowControl w:val="0"/>
              <w:rPr>
                <w:color w:val="auto"/>
                <w:highlight w:val="none"/>
                <w:vertAlign w:val="baseline"/>
              </w:rPr>
            </w:pPr>
          </w:p>
        </w:tc>
      </w:tr>
      <w:tr w14:paraId="5441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continue"/>
          </w:tcPr>
          <w:p w14:paraId="40F1BFA5">
            <w:pPr>
              <w:widowControl w:val="0"/>
              <w:rPr>
                <w:color w:val="auto"/>
                <w:highlight w:val="none"/>
                <w:vertAlign w:val="baseline"/>
              </w:rPr>
            </w:pPr>
          </w:p>
        </w:tc>
        <w:tc>
          <w:tcPr>
            <w:tcW w:w="1181" w:type="dxa"/>
            <w:vMerge w:val="continue"/>
          </w:tcPr>
          <w:p w14:paraId="040A03DA">
            <w:pPr>
              <w:widowControl w:val="0"/>
              <w:rPr>
                <w:color w:val="auto"/>
                <w:highlight w:val="none"/>
                <w:vertAlign w:val="baseline"/>
              </w:rPr>
            </w:pPr>
          </w:p>
        </w:tc>
        <w:tc>
          <w:tcPr>
            <w:tcW w:w="1341" w:type="dxa"/>
          </w:tcPr>
          <w:p w14:paraId="6D655FCD">
            <w:pPr>
              <w:widowControl w:val="0"/>
              <w:rPr>
                <w:color w:val="auto"/>
                <w:highlight w:val="none"/>
                <w:vertAlign w:val="baseline"/>
              </w:rPr>
            </w:pPr>
          </w:p>
        </w:tc>
        <w:tc>
          <w:tcPr>
            <w:tcW w:w="1225" w:type="dxa"/>
          </w:tcPr>
          <w:p w14:paraId="5E1CE5CD">
            <w:pPr>
              <w:widowControl w:val="0"/>
              <w:rPr>
                <w:color w:val="auto"/>
                <w:highlight w:val="none"/>
                <w:vertAlign w:val="baseline"/>
              </w:rPr>
            </w:pPr>
          </w:p>
        </w:tc>
        <w:tc>
          <w:tcPr>
            <w:tcW w:w="995" w:type="dxa"/>
          </w:tcPr>
          <w:p w14:paraId="6FFF8D39">
            <w:pPr>
              <w:widowControl w:val="0"/>
              <w:rPr>
                <w:color w:val="auto"/>
                <w:highlight w:val="none"/>
                <w:vertAlign w:val="baseline"/>
              </w:rPr>
            </w:pPr>
          </w:p>
        </w:tc>
        <w:tc>
          <w:tcPr>
            <w:tcW w:w="995" w:type="dxa"/>
          </w:tcPr>
          <w:p w14:paraId="69EFFFF9">
            <w:pPr>
              <w:widowControl w:val="0"/>
              <w:rPr>
                <w:color w:val="auto"/>
                <w:highlight w:val="none"/>
                <w:vertAlign w:val="baseline"/>
              </w:rPr>
            </w:pPr>
          </w:p>
        </w:tc>
        <w:tc>
          <w:tcPr>
            <w:tcW w:w="1107" w:type="dxa"/>
          </w:tcPr>
          <w:p w14:paraId="0D9181D5">
            <w:pPr>
              <w:widowControl w:val="0"/>
              <w:rPr>
                <w:color w:val="auto"/>
                <w:highlight w:val="none"/>
                <w:vertAlign w:val="baseline"/>
              </w:rPr>
            </w:pPr>
          </w:p>
        </w:tc>
        <w:tc>
          <w:tcPr>
            <w:tcW w:w="883" w:type="dxa"/>
          </w:tcPr>
          <w:p w14:paraId="55638291">
            <w:pPr>
              <w:widowControl w:val="0"/>
              <w:rPr>
                <w:color w:val="auto"/>
                <w:highlight w:val="none"/>
                <w:vertAlign w:val="baseline"/>
              </w:rPr>
            </w:pPr>
          </w:p>
        </w:tc>
        <w:tc>
          <w:tcPr>
            <w:tcW w:w="995" w:type="dxa"/>
          </w:tcPr>
          <w:p w14:paraId="18AD76A8">
            <w:pPr>
              <w:widowControl w:val="0"/>
              <w:rPr>
                <w:color w:val="auto"/>
                <w:highlight w:val="none"/>
                <w:vertAlign w:val="baseline"/>
              </w:rPr>
            </w:pPr>
          </w:p>
        </w:tc>
        <w:tc>
          <w:tcPr>
            <w:tcW w:w="1061" w:type="dxa"/>
          </w:tcPr>
          <w:p w14:paraId="3E848191">
            <w:pPr>
              <w:widowControl w:val="0"/>
              <w:rPr>
                <w:color w:val="auto"/>
                <w:highlight w:val="none"/>
                <w:vertAlign w:val="baseline"/>
              </w:rPr>
            </w:pPr>
          </w:p>
        </w:tc>
        <w:tc>
          <w:tcPr>
            <w:tcW w:w="1061" w:type="dxa"/>
          </w:tcPr>
          <w:p w14:paraId="5A6786BD">
            <w:pPr>
              <w:widowControl w:val="0"/>
              <w:rPr>
                <w:color w:val="auto"/>
                <w:highlight w:val="none"/>
                <w:vertAlign w:val="baseline"/>
              </w:rPr>
            </w:pPr>
          </w:p>
        </w:tc>
        <w:tc>
          <w:tcPr>
            <w:tcW w:w="1213" w:type="dxa"/>
          </w:tcPr>
          <w:p w14:paraId="4A951FB8">
            <w:pPr>
              <w:widowControl w:val="0"/>
              <w:rPr>
                <w:color w:val="auto"/>
                <w:highlight w:val="none"/>
                <w:vertAlign w:val="baseline"/>
              </w:rPr>
            </w:pPr>
          </w:p>
        </w:tc>
        <w:tc>
          <w:tcPr>
            <w:tcW w:w="1584" w:type="dxa"/>
          </w:tcPr>
          <w:p w14:paraId="554D3838">
            <w:pPr>
              <w:widowControl w:val="0"/>
              <w:rPr>
                <w:color w:val="auto"/>
                <w:highlight w:val="none"/>
                <w:vertAlign w:val="baseline"/>
              </w:rPr>
            </w:pPr>
          </w:p>
        </w:tc>
      </w:tr>
      <w:tr w14:paraId="0833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restart"/>
          </w:tcPr>
          <w:p w14:paraId="6D387E14">
            <w:pPr>
              <w:widowControl w:val="0"/>
              <w:rPr>
                <w:color w:val="auto"/>
                <w:highlight w:val="none"/>
                <w:vertAlign w:val="baseline"/>
              </w:rPr>
            </w:pPr>
          </w:p>
        </w:tc>
        <w:tc>
          <w:tcPr>
            <w:tcW w:w="1181" w:type="dxa"/>
            <w:vMerge w:val="restart"/>
          </w:tcPr>
          <w:p w14:paraId="0D9E80CF">
            <w:pPr>
              <w:widowControl w:val="0"/>
              <w:rPr>
                <w:color w:val="auto"/>
                <w:highlight w:val="none"/>
                <w:vertAlign w:val="baseline"/>
              </w:rPr>
            </w:pPr>
          </w:p>
        </w:tc>
        <w:tc>
          <w:tcPr>
            <w:tcW w:w="1341" w:type="dxa"/>
          </w:tcPr>
          <w:p w14:paraId="1E7399C3">
            <w:pPr>
              <w:widowControl w:val="0"/>
              <w:rPr>
                <w:color w:val="auto"/>
                <w:highlight w:val="none"/>
                <w:vertAlign w:val="baseline"/>
              </w:rPr>
            </w:pPr>
          </w:p>
        </w:tc>
        <w:tc>
          <w:tcPr>
            <w:tcW w:w="1225" w:type="dxa"/>
          </w:tcPr>
          <w:p w14:paraId="3F37E071">
            <w:pPr>
              <w:widowControl w:val="0"/>
              <w:rPr>
                <w:color w:val="auto"/>
                <w:highlight w:val="none"/>
                <w:vertAlign w:val="baseline"/>
              </w:rPr>
            </w:pPr>
          </w:p>
        </w:tc>
        <w:tc>
          <w:tcPr>
            <w:tcW w:w="995" w:type="dxa"/>
          </w:tcPr>
          <w:p w14:paraId="3C6E9A35">
            <w:pPr>
              <w:widowControl w:val="0"/>
              <w:rPr>
                <w:color w:val="auto"/>
                <w:highlight w:val="none"/>
                <w:vertAlign w:val="baseline"/>
              </w:rPr>
            </w:pPr>
          </w:p>
        </w:tc>
        <w:tc>
          <w:tcPr>
            <w:tcW w:w="995" w:type="dxa"/>
          </w:tcPr>
          <w:p w14:paraId="439A493E">
            <w:pPr>
              <w:widowControl w:val="0"/>
              <w:rPr>
                <w:color w:val="auto"/>
                <w:highlight w:val="none"/>
                <w:vertAlign w:val="baseline"/>
              </w:rPr>
            </w:pPr>
          </w:p>
        </w:tc>
        <w:tc>
          <w:tcPr>
            <w:tcW w:w="1107" w:type="dxa"/>
          </w:tcPr>
          <w:p w14:paraId="6DA472CA">
            <w:pPr>
              <w:widowControl w:val="0"/>
              <w:rPr>
                <w:color w:val="auto"/>
                <w:highlight w:val="none"/>
                <w:vertAlign w:val="baseline"/>
              </w:rPr>
            </w:pPr>
          </w:p>
        </w:tc>
        <w:tc>
          <w:tcPr>
            <w:tcW w:w="883" w:type="dxa"/>
          </w:tcPr>
          <w:p w14:paraId="4B709168">
            <w:pPr>
              <w:widowControl w:val="0"/>
              <w:rPr>
                <w:color w:val="auto"/>
                <w:highlight w:val="none"/>
                <w:vertAlign w:val="baseline"/>
              </w:rPr>
            </w:pPr>
          </w:p>
        </w:tc>
        <w:tc>
          <w:tcPr>
            <w:tcW w:w="995" w:type="dxa"/>
          </w:tcPr>
          <w:p w14:paraId="0406CE2F">
            <w:pPr>
              <w:widowControl w:val="0"/>
              <w:rPr>
                <w:color w:val="auto"/>
                <w:highlight w:val="none"/>
                <w:vertAlign w:val="baseline"/>
              </w:rPr>
            </w:pPr>
          </w:p>
        </w:tc>
        <w:tc>
          <w:tcPr>
            <w:tcW w:w="1061" w:type="dxa"/>
          </w:tcPr>
          <w:p w14:paraId="51830342">
            <w:pPr>
              <w:widowControl w:val="0"/>
              <w:rPr>
                <w:color w:val="auto"/>
                <w:highlight w:val="none"/>
                <w:vertAlign w:val="baseline"/>
              </w:rPr>
            </w:pPr>
          </w:p>
        </w:tc>
        <w:tc>
          <w:tcPr>
            <w:tcW w:w="1061" w:type="dxa"/>
          </w:tcPr>
          <w:p w14:paraId="19B6E307">
            <w:pPr>
              <w:widowControl w:val="0"/>
              <w:rPr>
                <w:color w:val="auto"/>
                <w:highlight w:val="none"/>
                <w:vertAlign w:val="baseline"/>
              </w:rPr>
            </w:pPr>
          </w:p>
        </w:tc>
        <w:tc>
          <w:tcPr>
            <w:tcW w:w="1213" w:type="dxa"/>
          </w:tcPr>
          <w:p w14:paraId="3E3FE638">
            <w:pPr>
              <w:widowControl w:val="0"/>
              <w:rPr>
                <w:color w:val="auto"/>
                <w:highlight w:val="none"/>
                <w:vertAlign w:val="baseline"/>
              </w:rPr>
            </w:pPr>
          </w:p>
        </w:tc>
        <w:tc>
          <w:tcPr>
            <w:tcW w:w="1584" w:type="dxa"/>
          </w:tcPr>
          <w:p w14:paraId="71BF78D1">
            <w:pPr>
              <w:widowControl w:val="0"/>
              <w:rPr>
                <w:color w:val="auto"/>
                <w:highlight w:val="none"/>
                <w:vertAlign w:val="baseline"/>
              </w:rPr>
            </w:pPr>
          </w:p>
        </w:tc>
      </w:tr>
      <w:tr w14:paraId="0067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continue"/>
          </w:tcPr>
          <w:p w14:paraId="5C983840">
            <w:pPr>
              <w:widowControl w:val="0"/>
              <w:rPr>
                <w:color w:val="auto"/>
                <w:highlight w:val="none"/>
                <w:vertAlign w:val="baseline"/>
              </w:rPr>
            </w:pPr>
          </w:p>
        </w:tc>
        <w:tc>
          <w:tcPr>
            <w:tcW w:w="1181" w:type="dxa"/>
            <w:vMerge w:val="continue"/>
          </w:tcPr>
          <w:p w14:paraId="321CC1BD">
            <w:pPr>
              <w:widowControl w:val="0"/>
              <w:rPr>
                <w:color w:val="auto"/>
                <w:highlight w:val="none"/>
                <w:vertAlign w:val="baseline"/>
              </w:rPr>
            </w:pPr>
          </w:p>
        </w:tc>
        <w:tc>
          <w:tcPr>
            <w:tcW w:w="1341" w:type="dxa"/>
          </w:tcPr>
          <w:p w14:paraId="177DB5E9">
            <w:pPr>
              <w:widowControl w:val="0"/>
              <w:rPr>
                <w:color w:val="auto"/>
                <w:highlight w:val="none"/>
                <w:vertAlign w:val="baseline"/>
              </w:rPr>
            </w:pPr>
          </w:p>
        </w:tc>
        <w:tc>
          <w:tcPr>
            <w:tcW w:w="1225" w:type="dxa"/>
          </w:tcPr>
          <w:p w14:paraId="74208401">
            <w:pPr>
              <w:widowControl w:val="0"/>
              <w:rPr>
                <w:color w:val="auto"/>
                <w:highlight w:val="none"/>
                <w:vertAlign w:val="baseline"/>
              </w:rPr>
            </w:pPr>
          </w:p>
        </w:tc>
        <w:tc>
          <w:tcPr>
            <w:tcW w:w="995" w:type="dxa"/>
          </w:tcPr>
          <w:p w14:paraId="1C3E1A61">
            <w:pPr>
              <w:widowControl w:val="0"/>
              <w:rPr>
                <w:color w:val="auto"/>
                <w:highlight w:val="none"/>
                <w:vertAlign w:val="baseline"/>
              </w:rPr>
            </w:pPr>
          </w:p>
        </w:tc>
        <w:tc>
          <w:tcPr>
            <w:tcW w:w="995" w:type="dxa"/>
          </w:tcPr>
          <w:p w14:paraId="045B7522">
            <w:pPr>
              <w:widowControl w:val="0"/>
              <w:rPr>
                <w:color w:val="auto"/>
                <w:highlight w:val="none"/>
                <w:vertAlign w:val="baseline"/>
              </w:rPr>
            </w:pPr>
          </w:p>
        </w:tc>
        <w:tc>
          <w:tcPr>
            <w:tcW w:w="1107" w:type="dxa"/>
          </w:tcPr>
          <w:p w14:paraId="495D32C7">
            <w:pPr>
              <w:widowControl w:val="0"/>
              <w:rPr>
                <w:color w:val="auto"/>
                <w:highlight w:val="none"/>
                <w:vertAlign w:val="baseline"/>
              </w:rPr>
            </w:pPr>
          </w:p>
        </w:tc>
        <w:tc>
          <w:tcPr>
            <w:tcW w:w="883" w:type="dxa"/>
          </w:tcPr>
          <w:p w14:paraId="6707E9BC">
            <w:pPr>
              <w:widowControl w:val="0"/>
              <w:rPr>
                <w:color w:val="auto"/>
                <w:highlight w:val="none"/>
                <w:vertAlign w:val="baseline"/>
              </w:rPr>
            </w:pPr>
          </w:p>
        </w:tc>
        <w:tc>
          <w:tcPr>
            <w:tcW w:w="995" w:type="dxa"/>
          </w:tcPr>
          <w:p w14:paraId="3D0459B3">
            <w:pPr>
              <w:widowControl w:val="0"/>
              <w:rPr>
                <w:color w:val="auto"/>
                <w:highlight w:val="none"/>
                <w:vertAlign w:val="baseline"/>
              </w:rPr>
            </w:pPr>
          </w:p>
        </w:tc>
        <w:tc>
          <w:tcPr>
            <w:tcW w:w="1061" w:type="dxa"/>
          </w:tcPr>
          <w:p w14:paraId="079689F5">
            <w:pPr>
              <w:widowControl w:val="0"/>
              <w:rPr>
                <w:color w:val="auto"/>
                <w:highlight w:val="none"/>
                <w:vertAlign w:val="baseline"/>
              </w:rPr>
            </w:pPr>
          </w:p>
        </w:tc>
        <w:tc>
          <w:tcPr>
            <w:tcW w:w="1061" w:type="dxa"/>
          </w:tcPr>
          <w:p w14:paraId="0417379A">
            <w:pPr>
              <w:widowControl w:val="0"/>
              <w:rPr>
                <w:color w:val="auto"/>
                <w:highlight w:val="none"/>
                <w:vertAlign w:val="baseline"/>
              </w:rPr>
            </w:pPr>
          </w:p>
        </w:tc>
        <w:tc>
          <w:tcPr>
            <w:tcW w:w="1213" w:type="dxa"/>
          </w:tcPr>
          <w:p w14:paraId="60DE824B">
            <w:pPr>
              <w:widowControl w:val="0"/>
              <w:rPr>
                <w:color w:val="auto"/>
                <w:highlight w:val="none"/>
                <w:vertAlign w:val="baseline"/>
              </w:rPr>
            </w:pPr>
          </w:p>
        </w:tc>
        <w:tc>
          <w:tcPr>
            <w:tcW w:w="1584" w:type="dxa"/>
          </w:tcPr>
          <w:p w14:paraId="544ED074">
            <w:pPr>
              <w:widowControl w:val="0"/>
              <w:rPr>
                <w:color w:val="auto"/>
                <w:highlight w:val="none"/>
                <w:vertAlign w:val="baseline"/>
              </w:rPr>
            </w:pPr>
          </w:p>
        </w:tc>
      </w:tr>
    </w:tbl>
    <w:p w14:paraId="5C36BDA2">
      <w:pPr>
        <w:rPr>
          <w:color w:val="auto"/>
          <w:highlight w:val="none"/>
        </w:rPr>
      </w:pPr>
    </w:p>
    <w:p w14:paraId="19F2D90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01061A6B">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43FDC8B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0024AEBF">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eastAsia="zh-CN"/>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lang w:eastAsia="zh-CN"/>
        </w:rPr>
        <w:t>请按照</w:t>
      </w:r>
      <w:r>
        <w:rPr>
          <w:rFonts w:hint="eastAsia" w:ascii="宋体" w:hAnsi="宋体" w:eastAsia="宋体" w:cs="宋体"/>
          <w:b/>
          <w:bCs/>
          <w:color w:val="auto"/>
          <w:szCs w:val="21"/>
          <w:highlight w:val="none"/>
          <w:lang w:val="en-US" w:eastAsia="zh-CN"/>
        </w:rPr>
        <w:t>检测项目填写试剂</w:t>
      </w:r>
      <w:r>
        <w:rPr>
          <w:rFonts w:hint="eastAsia" w:ascii="宋体" w:hAnsi="宋体" w:eastAsia="宋体" w:cs="宋体"/>
          <w:b/>
          <w:bCs/>
          <w:color w:val="auto"/>
          <w:szCs w:val="21"/>
          <w:highlight w:val="none"/>
          <w:lang w:eastAsia="zh-CN"/>
        </w:rPr>
        <w:t>。</w:t>
      </w:r>
    </w:p>
    <w:p w14:paraId="0D7F79A7">
      <w:pPr>
        <w:keepNext w:val="0"/>
        <w:keepLines w:val="0"/>
        <w:pageBreakBefore w:val="0"/>
        <w:widowControl/>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2.试剂以“每人份”为单位进行报价。</w:t>
      </w:r>
    </w:p>
    <w:p w14:paraId="6A023997">
      <w:pPr>
        <w:keepNext w:val="0"/>
        <w:keepLines w:val="0"/>
        <w:pageBreakBefore w:val="0"/>
        <w:widowControl/>
        <w:suppressLineNumbers w:val="0"/>
        <w:wordWrap/>
        <w:overflowPunct/>
        <w:topLinePunct w:val="0"/>
        <w:bidi w:val="0"/>
        <w:spacing w:line="400" w:lineRule="exact"/>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备注</w:t>
      </w:r>
      <w:r>
        <w:rPr>
          <w:rFonts w:hint="eastAsia" w:ascii="宋体" w:hAnsi="宋体" w:cs="宋体"/>
          <w:b/>
          <w:bCs/>
          <w:snapToGrid w:val="0"/>
          <w:color w:val="auto"/>
          <w:kern w:val="0"/>
          <w:sz w:val="24"/>
          <w:szCs w:val="24"/>
          <w:highlight w:val="none"/>
          <w:lang w:val="en-US" w:eastAsia="zh-CN" w:bidi="ar"/>
        </w:rPr>
        <w:t>：</w:t>
      </w:r>
      <w:r>
        <w:rPr>
          <w:rFonts w:hint="eastAsia" w:ascii="宋体" w:hAnsi="宋体" w:eastAsia="宋体" w:cs="宋体"/>
          <w:b/>
          <w:bCs/>
          <w:snapToGrid w:val="0"/>
          <w:color w:val="auto"/>
          <w:kern w:val="0"/>
          <w:sz w:val="24"/>
          <w:szCs w:val="24"/>
          <w:highlight w:val="none"/>
          <w:lang w:val="en-US" w:eastAsia="zh-CN" w:bidi="ar"/>
        </w:rPr>
        <w:t xml:space="preserve"> 此表为产品配套试剂报价表，如没有，无需制作</w:t>
      </w:r>
      <w:r>
        <w:rPr>
          <w:rFonts w:hint="eastAsia" w:ascii="宋体" w:hAnsi="宋体" w:cs="宋体"/>
          <w:b/>
          <w:bCs/>
          <w:snapToGrid w:val="0"/>
          <w:color w:val="auto"/>
          <w:kern w:val="0"/>
          <w:sz w:val="24"/>
          <w:szCs w:val="24"/>
          <w:highlight w:val="none"/>
          <w:lang w:val="en-US" w:eastAsia="zh-CN" w:bidi="ar"/>
        </w:rPr>
        <w:t>，可自行删除</w:t>
      </w:r>
      <w:r>
        <w:rPr>
          <w:rFonts w:hint="eastAsia" w:ascii="宋体" w:hAnsi="宋体" w:eastAsia="宋体" w:cs="宋体"/>
          <w:b/>
          <w:bCs/>
          <w:snapToGrid w:val="0"/>
          <w:color w:val="auto"/>
          <w:kern w:val="0"/>
          <w:sz w:val="24"/>
          <w:szCs w:val="24"/>
          <w:highlight w:val="none"/>
          <w:lang w:val="en-US" w:eastAsia="zh-CN" w:bidi="ar"/>
        </w:rPr>
        <w:t>。</w:t>
      </w:r>
    </w:p>
    <w:p w14:paraId="3C312762">
      <w:pPr>
        <w:pStyle w:val="24"/>
        <w:rPr>
          <w:rFonts w:hint="eastAsia" w:ascii="宋体" w:hAnsi="宋体" w:cs="宋体"/>
          <w:color w:val="auto"/>
          <w:kern w:val="0"/>
          <w:sz w:val="24"/>
          <w:highlight w:val="none"/>
        </w:rPr>
      </w:pPr>
    </w:p>
    <w:p w14:paraId="5E4799AD">
      <w:pPr>
        <w:pStyle w:val="24"/>
        <w:rPr>
          <w:rFonts w:hint="eastAsia" w:ascii="宋体" w:hAnsi="宋体" w:cs="宋体"/>
          <w:color w:val="auto"/>
          <w:kern w:val="0"/>
          <w:sz w:val="24"/>
          <w:highlight w:val="none"/>
        </w:rPr>
        <w:sectPr>
          <w:pgSz w:w="16838" w:h="11906" w:orient="landscape"/>
          <w:pgMar w:top="1474" w:right="1417" w:bottom="1474" w:left="1417" w:header="851" w:footer="624" w:gutter="0"/>
          <w:pgNumType w:fmt="decimal"/>
          <w:cols w:space="720" w:num="1"/>
          <w:docGrid w:type="lines" w:linePitch="319" w:charSpace="0"/>
        </w:sectPr>
      </w:pPr>
    </w:p>
    <w:p w14:paraId="4DAB2F81">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4.2 配套耗材报价一览表（格式，如有）</w:t>
      </w:r>
    </w:p>
    <w:p w14:paraId="34968220">
      <w:pPr>
        <w:bidi w:val="0"/>
        <w:rPr>
          <w:color w:val="auto"/>
          <w:highlight w:val="none"/>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185"/>
        <w:gridCol w:w="1185"/>
        <w:gridCol w:w="1200"/>
        <w:gridCol w:w="1134"/>
        <w:gridCol w:w="986"/>
        <w:gridCol w:w="986"/>
        <w:gridCol w:w="986"/>
        <w:gridCol w:w="708"/>
        <w:gridCol w:w="1125"/>
        <w:gridCol w:w="1275"/>
        <w:gridCol w:w="1500"/>
        <w:gridCol w:w="1405"/>
      </w:tblGrid>
      <w:tr w14:paraId="09DE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Align w:val="center"/>
          </w:tcPr>
          <w:p w14:paraId="446D7DBC">
            <w:pPr>
              <w:widowControl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1185" w:type="dxa"/>
            <w:vAlign w:val="center"/>
          </w:tcPr>
          <w:p w14:paraId="3CC43DE8">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185" w:type="dxa"/>
            <w:vAlign w:val="center"/>
          </w:tcPr>
          <w:p w14:paraId="601779BC">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商品名（通用名）</w:t>
            </w:r>
          </w:p>
        </w:tc>
        <w:tc>
          <w:tcPr>
            <w:tcW w:w="1200" w:type="dxa"/>
            <w:vAlign w:val="center"/>
          </w:tcPr>
          <w:p w14:paraId="32F79E07">
            <w:pPr>
              <w:keepNext w:val="0"/>
              <w:keepLines w:val="0"/>
              <w:widowControl/>
              <w:suppressLineNumbers w:val="0"/>
              <w:jc w:val="center"/>
              <w:rPr>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投标产</w:t>
            </w:r>
          </w:p>
          <w:p w14:paraId="451D1B1F">
            <w:pPr>
              <w:keepNext w:val="0"/>
              <w:keepLines w:val="0"/>
              <w:widowControl/>
              <w:suppressLineNumbers w:val="0"/>
              <w:jc w:val="center"/>
              <w:rPr>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品注册</w:t>
            </w:r>
          </w:p>
          <w:p w14:paraId="2F5AB844">
            <w:pPr>
              <w:keepNext w:val="0"/>
              <w:keepLines w:val="0"/>
              <w:widowControl/>
              <w:suppressLineNumbers w:val="0"/>
              <w:jc w:val="center"/>
              <w:rPr>
                <w:rFonts w:hint="default"/>
                <w:b/>
                <w:bCs/>
                <w:color w:val="auto"/>
                <w:sz w:val="21"/>
                <w:szCs w:val="21"/>
                <w:highlight w:val="none"/>
                <w:vertAlign w:val="baseline"/>
                <w:lang w:val="en-US"/>
              </w:rPr>
            </w:pPr>
            <w:r>
              <w:rPr>
                <w:rFonts w:hint="eastAsia" w:ascii="宋体" w:hAnsi="宋体" w:eastAsia="宋体" w:cs="宋体"/>
                <w:b/>
                <w:bCs/>
                <w:snapToGrid w:val="0"/>
                <w:color w:val="auto"/>
                <w:kern w:val="0"/>
                <w:sz w:val="21"/>
                <w:szCs w:val="21"/>
                <w:highlight w:val="none"/>
                <w:lang w:val="en-US" w:eastAsia="zh-CN" w:bidi="ar"/>
              </w:rPr>
              <w:t>证名称</w:t>
            </w:r>
            <w:r>
              <w:rPr>
                <w:rFonts w:hint="eastAsia" w:ascii="宋体" w:hAnsi="宋体" w:cs="宋体"/>
                <w:b/>
                <w:bCs/>
                <w:snapToGrid w:val="0"/>
                <w:color w:val="auto"/>
                <w:kern w:val="0"/>
                <w:sz w:val="21"/>
                <w:szCs w:val="21"/>
                <w:highlight w:val="none"/>
                <w:lang w:val="en-US" w:eastAsia="zh-CN" w:bidi="ar"/>
              </w:rPr>
              <w:t>及注册证号</w:t>
            </w:r>
          </w:p>
        </w:tc>
        <w:tc>
          <w:tcPr>
            <w:tcW w:w="1134" w:type="dxa"/>
            <w:vAlign w:val="center"/>
          </w:tcPr>
          <w:p w14:paraId="3EA06616">
            <w:pPr>
              <w:keepNext w:val="0"/>
              <w:keepLines w:val="0"/>
              <w:widowControl/>
              <w:suppressLineNumbers w:val="0"/>
              <w:jc w:val="center"/>
              <w:rPr>
                <w:rFonts w:hint="eastAsia" w:asciiTheme="minorEastAsia" w:hAnsiTheme="minorEastAsia"/>
                <w:b/>
                <w:bCs/>
                <w:szCs w:val="21"/>
                <w:highlight w:val="none"/>
              </w:rPr>
            </w:pPr>
            <w:r>
              <w:rPr>
                <w:rFonts w:hint="eastAsia" w:asciiTheme="minorEastAsia" w:hAnsiTheme="minorEastAsia"/>
                <w:b/>
                <w:bCs/>
                <w:szCs w:val="21"/>
                <w:highlight w:val="none"/>
              </w:rPr>
              <w:t>规格型号</w:t>
            </w:r>
          </w:p>
          <w:p w14:paraId="1BA4FA70">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Theme="minorEastAsia" w:hAnsiTheme="minorEastAsia"/>
                <w:b/>
                <w:bCs/>
                <w:szCs w:val="21"/>
                <w:highlight w:val="none"/>
                <w:lang w:eastAsia="zh-CN"/>
              </w:rPr>
              <w:t>（</w:t>
            </w:r>
            <w:r>
              <w:rPr>
                <w:rFonts w:hint="eastAsia" w:cs="宋体" w:asciiTheme="minorEastAsia" w:hAnsiTheme="minorEastAsia"/>
                <w:b/>
                <w:bCs/>
                <w:szCs w:val="21"/>
                <w:highlight w:val="none"/>
              </w:rPr>
              <w:t>按注册证规格型号填写</w:t>
            </w:r>
            <w:r>
              <w:rPr>
                <w:rFonts w:hint="eastAsia" w:asciiTheme="minorEastAsia" w:hAnsiTheme="minorEastAsia"/>
                <w:b/>
                <w:bCs/>
                <w:szCs w:val="21"/>
                <w:highlight w:val="none"/>
                <w:lang w:eastAsia="zh-CN"/>
              </w:rPr>
              <w:t>）</w:t>
            </w:r>
          </w:p>
        </w:tc>
        <w:tc>
          <w:tcPr>
            <w:tcW w:w="986" w:type="dxa"/>
            <w:vAlign w:val="center"/>
          </w:tcPr>
          <w:p w14:paraId="6334D0FF">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生产企业</w:t>
            </w:r>
          </w:p>
        </w:tc>
        <w:tc>
          <w:tcPr>
            <w:tcW w:w="986" w:type="dxa"/>
            <w:vAlign w:val="center"/>
          </w:tcPr>
          <w:p w14:paraId="472F7579">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品牌</w:t>
            </w:r>
          </w:p>
        </w:tc>
        <w:tc>
          <w:tcPr>
            <w:tcW w:w="986" w:type="dxa"/>
            <w:vAlign w:val="center"/>
          </w:tcPr>
          <w:p w14:paraId="18B1749A">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产地</w:t>
            </w:r>
          </w:p>
        </w:tc>
        <w:tc>
          <w:tcPr>
            <w:tcW w:w="708" w:type="dxa"/>
            <w:vAlign w:val="center"/>
          </w:tcPr>
          <w:p w14:paraId="14110869">
            <w:pPr>
              <w:keepNext w:val="0"/>
              <w:keepLines w:val="0"/>
              <w:widowControl/>
              <w:suppressLineNumbers w:val="0"/>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计价单位</w:t>
            </w:r>
          </w:p>
        </w:tc>
        <w:tc>
          <w:tcPr>
            <w:tcW w:w="1125" w:type="dxa"/>
            <w:vAlign w:val="center"/>
          </w:tcPr>
          <w:p w14:paraId="53A80B95">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投标单价</w:t>
            </w:r>
          </w:p>
          <w:p w14:paraId="4B956310">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（元/单位）</w:t>
            </w:r>
          </w:p>
        </w:tc>
        <w:tc>
          <w:tcPr>
            <w:tcW w:w="1275" w:type="dxa"/>
            <w:vAlign w:val="center"/>
          </w:tcPr>
          <w:p w14:paraId="59672E7B">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网采号</w:t>
            </w:r>
          </w:p>
        </w:tc>
        <w:tc>
          <w:tcPr>
            <w:tcW w:w="1500" w:type="dxa"/>
            <w:vAlign w:val="center"/>
          </w:tcPr>
          <w:p w14:paraId="5AC485E5">
            <w:pPr>
              <w:widowControl w:val="0"/>
              <w:spacing w:line="320" w:lineRule="exact"/>
              <w:jc w:val="center"/>
              <w:outlineLvl w:val="0"/>
              <w:rPr>
                <w:rFonts w:hint="eastAsia"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收费项目名称</w:t>
            </w:r>
          </w:p>
        </w:tc>
        <w:tc>
          <w:tcPr>
            <w:tcW w:w="1405" w:type="dxa"/>
            <w:vAlign w:val="center"/>
          </w:tcPr>
          <w:p w14:paraId="41A0E20A">
            <w:pPr>
              <w:widowControl w:val="0"/>
              <w:spacing w:line="320" w:lineRule="exact"/>
              <w:jc w:val="center"/>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收费编码、</w:t>
            </w:r>
          </w:p>
          <w:p w14:paraId="750DD40B">
            <w:pPr>
              <w:widowControl w:val="0"/>
              <w:spacing w:line="320" w:lineRule="exact"/>
              <w:jc w:val="center"/>
              <w:outlineLvl w:val="0"/>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color w:val="auto"/>
                <w:sz w:val="21"/>
                <w:szCs w:val="21"/>
                <w:highlight w:val="none"/>
                <w:lang w:val="en-US" w:eastAsia="zh-CN"/>
              </w:rPr>
              <w:t>收费金额</w:t>
            </w:r>
          </w:p>
        </w:tc>
      </w:tr>
      <w:tr w14:paraId="1DEE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restart"/>
            <w:vAlign w:val="center"/>
          </w:tcPr>
          <w:p w14:paraId="2E41F0A7">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w:t>
            </w:r>
          </w:p>
        </w:tc>
        <w:tc>
          <w:tcPr>
            <w:tcW w:w="1185" w:type="dxa"/>
            <w:vMerge w:val="restart"/>
          </w:tcPr>
          <w:p w14:paraId="2078D575">
            <w:pPr>
              <w:widowControl w:val="0"/>
              <w:rPr>
                <w:color w:val="auto"/>
                <w:highlight w:val="none"/>
                <w:vertAlign w:val="baseline"/>
              </w:rPr>
            </w:pPr>
          </w:p>
        </w:tc>
        <w:tc>
          <w:tcPr>
            <w:tcW w:w="1185" w:type="dxa"/>
          </w:tcPr>
          <w:p w14:paraId="0F341263">
            <w:pPr>
              <w:widowControl w:val="0"/>
              <w:rPr>
                <w:color w:val="auto"/>
                <w:highlight w:val="none"/>
                <w:vertAlign w:val="baseline"/>
              </w:rPr>
            </w:pPr>
          </w:p>
        </w:tc>
        <w:tc>
          <w:tcPr>
            <w:tcW w:w="1200" w:type="dxa"/>
          </w:tcPr>
          <w:p w14:paraId="5E2811FC">
            <w:pPr>
              <w:widowControl w:val="0"/>
              <w:rPr>
                <w:color w:val="auto"/>
                <w:highlight w:val="none"/>
                <w:vertAlign w:val="baseline"/>
              </w:rPr>
            </w:pPr>
          </w:p>
        </w:tc>
        <w:tc>
          <w:tcPr>
            <w:tcW w:w="1134" w:type="dxa"/>
          </w:tcPr>
          <w:p w14:paraId="4138DDFD">
            <w:pPr>
              <w:widowControl w:val="0"/>
              <w:rPr>
                <w:color w:val="auto"/>
                <w:highlight w:val="none"/>
                <w:vertAlign w:val="baseline"/>
              </w:rPr>
            </w:pPr>
          </w:p>
        </w:tc>
        <w:tc>
          <w:tcPr>
            <w:tcW w:w="986" w:type="dxa"/>
          </w:tcPr>
          <w:p w14:paraId="6406ADBC">
            <w:pPr>
              <w:widowControl w:val="0"/>
              <w:rPr>
                <w:color w:val="auto"/>
                <w:highlight w:val="none"/>
                <w:vertAlign w:val="baseline"/>
              </w:rPr>
            </w:pPr>
          </w:p>
        </w:tc>
        <w:tc>
          <w:tcPr>
            <w:tcW w:w="986" w:type="dxa"/>
          </w:tcPr>
          <w:p w14:paraId="23110391">
            <w:pPr>
              <w:widowControl w:val="0"/>
              <w:rPr>
                <w:color w:val="auto"/>
                <w:highlight w:val="none"/>
                <w:vertAlign w:val="baseline"/>
              </w:rPr>
            </w:pPr>
          </w:p>
        </w:tc>
        <w:tc>
          <w:tcPr>
            <w:tcW w:w="986" w:type="dxa"/>
          </w:tcPr>
          <w:p w14:paraId="403934A1">
            <w:pPr>
              <w:widowControl w:val="0"/>
              <w:rPr>
                <w:color w:val="auto"/>
                <w:highlight w:val="none"/>
                <w:vertAlign w:val="baseline"/>
              </w:rPr>
            </w:pPr>
          </w:p>
        </w:tc>
        <w:tc>
          <w:tcPr>
            <w:tcW w:w="708" w:type="dxa"/>
          </w:tcPr>
          <w:p w14:paraId="542CE9FA">
            <w:pPr>
              <w:widowControl w:val="0"/>
              <w:rPr>
                <w:color w:val="auto"/>
                <w:highlight w:val="none"/>
                <w:vertAlign w:val="baseline"/>
              </w:rPr>
            </w:pPr>
          </w:p>
        </w:tc>
        <w:tc>
          <w:tcPr>
            <w:tcW w:w="1125" w:type="dxa"/>
          </w:tcPr>
          <w:p w14:paraId="1C229079">
            <w:pPr>
              <w:widowControl w:val="0"/>
              <w:rPr>
                <w:color w:val="auto"/>
                <w:highlight w:val="none"/>
                <w:vertAlign w:val="baseline"/>
              </w:rPr>
            </w:pPr>
          </w:p>
        </w:tc>
        <w:tc>
          <w:tcPr>
            <w:tcW w:w="1275" w:type="dxa"/>
          </w:tcPr>
          <w:p w14:paraId="0535F847">
            <w:pPr>
              <w:widowControl w:val="0"/>
              <w:rPr>
                <w:color w:val="auto"/>
                <w:highlight w:val="none"/>
                <w:vertAlign w:val="baseline"/>
              </w:rPr>
            </w:pPr>
          </w:p>
        </w:tc>
        <w:tc>
          <w:tcPr>
            <w:tcW w:w="1500" w:type="dxa"/>
          </w:tcPr>
          <w:p w14:paraId="2034F975">
            <w:pPr>
              <w:widowControl w:val="0"/>
              <w:rPr>
                <w:color w:val="auto"/>
                <w:highlight w:val="none"/>
                <w:vertAlign w:val="baseline"/>
              </w:rPr>
            </w:pPr>
          </w:p>
        </w:tc>
        <w:tc>
          <w:tcPr>
            <w:tcW w:w="1405" w:type="dxa"/>
          </w:tcPr>
          <w:p w14:paraId="04DE4CC0">
            <w:pPr>
              <w:widowControl w:val="0"/>
              <w:rPr>
                <w:color w:val="auto"/>
                <w:highlight w:val="none"/>
                <w:vertAlign w:val="baseline"/>
              </w:rPr>
            </w:pPr>
          </w:p>
        </w:tc>
      </w:tr>
      <w:tr w14:paraId="0B52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continue"/>
            <w:vAlign w:val="center"/>
          </w:tcPr>
          <w:p w14:paraId="0981A58C">
            <w:pPr>
              <w:widowControl w:val="0"/>
              <w:jc w:val="center"/>
              <w:rPr>
                <w:rFonts w:hint="eastAsia" w:ascii="宋体" w:hAnsi="宋体" w:eastAsia="宋体" w:cs="宋体"/>
                <w:color w:val="auto"/>
                <w:highlight w:val="none"/>
                <w:vertAlign w:val="baseline"/>
              </w:rPr>
            </w:pPr>
          </w:p>
        </w:tc>
        <w:tc>
          <w:tcPr>
            <w:tcW w:w="1185" w:type="dxa"/>
            <w:vMerge w:val="continue"/>
          </w:tcPr>
          <w:p w14:paraId="1629D171">
            <w:pPr>
              <w:widowControl w:val="0"/>
              <w:rPr>
                <w:color w:val="auto"/>
                <w:highlight w:val="none"/>
                <w:vertAlign w:val="baseline"/>
              </w:rPr>
            </w:pPr>
          </w:p>
        </w:tc>
        <w:tc>
          <w:tcPr>
            <w:tcW w:w="1185" w:type="dxa"/>
          </w:tcPr>
          <w:p w14:paraId="6F728AC8">
            <w:pPr>
              <w:widowControl w:val="0"/>
              <w:rPr>
                <w:color w:val="auto"/>
                <w:highlight w:val="none"/>
                <w:vertAlign w:val="baseline"/>
              </w:rPr>
            </w:pPr>
          </w:p>
        </w:tc>
        <w:tc>
          <w:tcPr>
            <w:tcW w:w="1200" w:type="dxa"/>
          </w:tcPr>
          <w:p w14:paraId="5DC1D47F">
            <w:pPr>
              <w:widowControl w:val="0"/>
              <w:rPr>
                <w:color w:val="auto"/>
                <w:highlight w:val="none"/>
                <w:vertAlign w:val="baseline"/>
              </w:rPr>
            </w:pPr>
          </w:p>
        </w:tc>
        <w:tc>
          <w:tcPr>
            <w:tcW w:w="1134" w:type="dxa"/>
          </w:tcPr>
          <w:p w14:paraId="0736C76F">
            <w:pPr>
              <w:widowControl w:val="0"/>
              <w:rPr>
                <w:color w:val="auto"/>
                <w:highlight w:val="none"/>
                <w:vertAlign w:val="baseline"/>
              </w:rPr>
            </w:pPr>
          </w:p>
        </w:tc>
        <w:tc>
          <w:tcPr>
            <w:tcW w:w="986" w:type="dxa"/>
          </w:tcPr>
          <w:p w14:paraId="4A635A5B">
            <w:pPr>
              <w:widowControl w:val="0"/>
              <w:rPr>
                <w:color w:val="auto"/>
                <w:highlight w:val="none"/>
                <w:vertAlign w:val="baseline"/>
              </w:rPr>
            </w:pPr>
          </w:p>
        </w:tc>
        <w:tc>
          <w:tcPr>
            <w:tcW w:w="986" w:type="dxa"/>
          </w:tcPr>
          <w:p w14:paraId="41FF43D8">
            <w:pPr>
              <w:widowControl w:val="0"/>
              <w:rPr>
                <w:color w:val="auto"/>
                <w:highlight w:val="none"/>
                <w:vertAlign w:val="baseline"/>
              </w:rPr>
            </w:pPr>
          </w:p>
        </w:tc>
        <w:tc>
          <w:tcPr>
            <w:tcW w:w="986" w:type="dxa"/>
          </w:tcPr>
          <w:p w14:paraId="739BF70B">
            <w:pPr>
              <w:widowControl w:val="0"/>
              <w:rPr>
                <w:color w:val="auto"/>
                <w:highlight w:val="none"/>
                <w:vertAlign w:val="baseline"/>
              </w:rPr>
            </w:pPr>
          </w:p>
        </w:tc>
        <w:tc>
          <w:tcPr>
            <w:tcW w:w="708" w:type="dxa"/>
          </w:tcPr>
          <w:p w14:paraId="21217D12">
            <w:pPr>
              <w:widowControl w:val="0"/>
              <w:rPr>
                <w:color w:val="auto"/>
                <w:highlight w:val="none"/>
                <w:vertAlign w:val="baseline"/>
              </w:rPr>
            </w:pPr>
          </w:p>
        </w:tc>
        <w:tc>
          <w:tcPr>
            <w:tcW w:w="1125" w:type="dxa"/>
          </w:tcPr>
          <w:p w14:paraId="2D25857A">
            <w:pPr>
              <w:widowControl w:val="0"/>
              <w:rPr>
                <w:color w:val="auto"/>
                <w:highlight w:val="none"/>
                <w:vertAlign w:val="baseline"/>
              </w:rPr>
            </w:pPr>
          </w:p>
        </w:tc>
        <w:tc>
          <w:tcPr>
            <w:tcW w:w="1275" w:type="dxa"/>
          </w:tcPr>
          <w:p w14:paraId="4976030C">
            <w:pPr>
              <w:widowControl w:val="0"/>
              <w:rPr>
                <w:color w:val="auto"/>
                <w:highlight w:val="none"/>
                <w:vertAlign w:val="baseline"/>
              </w:rPr>
            </w:pPr>
          </w:p>
        </w:tc>
        <w:tc>
          <w:tcPr>
            <w:tcW w:w="1500" w:type="dxa"/>
          </w:tcPr>
          <w:p w14:paraId="5664F5DB">
            <w:pPr>
              <w:widowControl w:val="0"/>
              <w:rPr>
                <w:color w:val="auto"/>
                <w:highlight w:val="none"/>
                <w:vertAlign w:val="baseline"/>
              </w:rPr>
            </w:pPr>
          </w:p>
        </w:tc>
        <w:tc>
          <w:tcPr>
            <w:tcW w:w="1405" w:type="dxa"/>
          </w:tcPr>
          <w:p w14:paraId="366DE966">
            <w:pPr>
              <w:widowControl w:val="0"/>
              <w:rPr>
                <w:color w:val="auto"/>
                <w:highlight w:val="none"/>
                <w:vertAlign w:val="baseline"/>
              </w:rPr>
            </w:pPr>
          </w:p>
        </w:tc>
      </w:tr>
      <w:tr w14:paraId="5D6A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restart"/>
            <w:vAlign w:val="center"/>
          </w:tcPr>
          <w:p w14:paraId="71CC3CC9">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w:t>
            </w:r>
          </w:p>
        </w:tc>
        <w:tc>
          <w:tcPr>
            <w:tcW w:w="1185" w:type="dxa"/>
            <w:vMerge w:val="restart"/>
          </w:tcPr>
          <w:p w14:paraId="5F7F009A">
            <w:pPr>
              <w:widowControl w:val="0"/>
              <w:rPr>
                <w:color w:val="auto"/>
                <w:highlight w:val="none"/>
                <w:vertAlign w:val="baseline"/>
              </w:rPr>
            </w:pPr>
          </w:p>
        </w:tc>
        <w:tc>
          <w:tcPr>
            <w:tcW w:w="1185" w:type="dxa"/>
          </w:tcPr>
          <w:p w14:paraId="0D8A01B7">
            <w:pPr>
              <w:widowControl w:val="0"/>
              <w:rPr>
                <w:color w:val="auto"/>
                <w:highlight w:val="none"/>
                <w:vertAlign w:val="baseline"/>
              </w:rPr>
            </w:pPr>
          </w:p>
        </w:tc>
        <w:tc>
          <w:tcPr>
            <w:tcW w:w="1200" w:type="dxa"/>
          </w:tcPr>
          <w:p w14:paraId="5D2869C6">
            <w:pPr>
              <w:widowControl w:val="0"/>
              <w:rPr>
                <w:color w:val="auto"/>
                <w:highlight w:val="none"/>
                <w:vertAlign w:val="baseline"/>
              </w:rPr>
            </w:pPr>
          </w:p>
        </w:tc>
        <w:tc>
          <w:tcPr>
            <w:tcW w:w="1134" w:type="dxa"/>
          </w:tcPr>
          <w:p w14:paraId="1AA351AF">
            <w:pPr>
              <w:widowControl w:val="0"/>
              <w:rPr>
                <w:color w:val="auto"/>
                <w:highlight w:val="none"/>
                <w:vertAlign w:val="baseline"/>
              </w:rPr>
            </w:pPr>
          </w:p>
        </w:tc>
        <w:tc>
          <w:tcPr>
            <w:tcW w:w="986" w:type="dxa"/>
          </w:tcPr>
          <w:p w14:paraId="709D356D">
            <w:pPr>
              <w:widowControl w:val="0"/>
              <w:rPr>
                <w:color w:val="auto"/>
                <w:highlight w:val="none"/>
                <w:vertAlign w:val="baseline"/>
              </w:rPr>
            </w:pPr>
          </w:p>
        </w:tc>
        <w:tc>
          <w:tcPr>
            <w:tcW w:w="986" w:type="dxa"/>
          </w:tcPr>
          <w:p w14:paraId="140B3B78">
            <w:pPr>
              <w:widowControl w:val="0"/>
              <w:rPr>
                <w:color w:val="auto"/>
                <w:highlight w:val="none"/>
                <w:vertAlign w:val="baseline"/>
              </w:rPr>
            </w:pPr>
          </w:p>
        </w:tc>
        <w:tc>
          <w:tcPr>
            <w:tcW w:w="986" w:type="dxa"/>
          </w:tcPr>
          <w:p w14:paraId="7187B6F3">
            <w:pPr>
              <w:widowControl w:val="0"/>
              <w:rPr>
                <w:color w:val="auto"/>
                <w:highlight w:val="none"/>
                <w:vertAlign w:val="baseline"/>
              </w:rPr>
            </w:pPr>
          </w:p>
        </w:tc>
        <w:tc>
          <w:tcPr>
            <w:tcW w:w="708" w:type="dxa"/>
          </w:tcPr>
          <w:p w14:paraId="782C0C79">
            <w:pPr>
              <w:widowControl w:val="0"/>
              <w:rPr>
                <w:color w:val="auto"/>
                <w:highlight w:val="none"/>
                <w:vertAlign w:val="baseline"/>
              </w:rPr>
            </w:pPr>
          </w:p>
        </w:tc>
        <w:tc>
          <w:tcPr>
            <w:tcW w:w="1125" w:type="dxa"/>
          </w:tcPr>
          <w:p w14:paraId="3BA3AD13">
            <w:pPr>
              <w:widowControl w:val="0"/>
              <w:rPr>
                <w:color w:val="auto"/>
                <w:highlight w:val="none"/>
                <w:vertAlign w:val="baseline"/>
              </w:rPr>
            </w:pPr>
          </w:p>
        </w:tc>
        <w:tc>
          <w:tcPr>
            <w:tcW w:w="1275" w:type="dxa"/>
          </w:tcPr>
          <w:p w14:paraId="3F864AE3">
            <w:pPr>
              <w:widowControl w:val="0"/>
              <w:rPr>
                <w:color w:val="auto"/>
                <w:highlight w:val="none"/>
                <w:vertAlign w:val="baseline"/>
              </w:rPr>
            </w:pPr>
          </w:p>
        </w:tc>
        <w:tc>
          <w:tcPr>
            <w:tcW w:w="1500" w:type="dxa"/>
          </w:tcPr>
          <w:p w14:paraId="6D48088E">
            <w:pPr>
              <w:widowControl w:val="0"/>
              <w:rPr>
                <w:color w:val="auto"/>
                <w:highlight w:val="none"/>
                <w:vertAlign w:val="baseline"/>
              </w:rPr>
            </w:pPr>
          </w:p>
        </w:tc>
        <w:tc>
          <w:tcPr>
            <w:tcW w:w="1405" w:type="dxa"/>
          </w:tcPr>
          <w:p w14:paraId="09F3E95E">
            <w:pPr>
              <w:widowControl w:val="0"/>
              <w:rPr>
                <w:color w:val="auto"/>
                <w:highlight w:val="none"/>
                <w:vertAlign w:val="baseline"/>
              </w:rPr>
            </w:pPr>
          </w:p>
        </w:tc>
      </w:tr>
      <w:tr w14:paraId="27E7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continue"/>
          </w:tcPr>
          <w:p w14:paraId="4AD2190F">
            <w:pPr>
              <w:widowControl w:val="0"/>
              <w:rPr>
                <w:color w:val="auto"/>
                <w:highlight w:val="none"/>
                <w:vertAlign w:val="baseline"/>
              </w:rPr>
            </w:pPr>
          </w:p>
        </w:tc>
        <w:tc>
          <w:tcPr>
            <w:tcW w:w="1185" w:type="dxa"/>
            <w:vMerge w:val="continue"/>
          </w:tcPr>
          <w:p w14:paraId="4D0CA1FD">
            <w:pPr>
              <w:widowControl w:val="0"/>
              <w:rPr>
                <w:color w:val="auto"/>
                <w:highlight w:val="none"/>
                <w:vertAlign w:val="baseline"/>
              </w:rPr>
            </w:pPr>
          </w:p>
        </w:tc>
        <w:tc>
          <w:tcPr>
            <w:tcW w:w="1185" w:type="dxa"/>
          </w:tcPr>
          <w:p w14:paraId="23AB6B66">
            <w:pPr>
              <w:widowControl w:val="0"/>
              <w:rPr>
                <w:color w:val="auto"/>
                <w:highlight w:val="none"/>
                <w:vertAlign w:val="baseline"/>
              </w:rPr>
            </w:pPr>
          </w:p>
        </w:tc>
        <w:tc>
          <w:tcPr>
            <w:tcW w:w="1200" w:type="dxa"/>
          </w:tcPr>
          <w:p w14:paraId="6B29D694">
            <w:pPr>
              <w:widowControl w:val="0"/>
              <w:rPr>
                <w:color w:val="auto"/>
                <w:highlight w:val="none"/>
                <w:vertAlign w:val="baseline"/>
              </w:rPr>
            </w:pPr>
          </w:p>
        </w:tc>
        <w:tc>
          <w:tcPr>
            <w:tcW w:w="1134" w:type="dxa"/>
          </w:tcPr>
          <w:p w14:paraId="424656BF">
            <w:pPr>
              <w:widowControl w:val="0"/>
              <w:rPr>
                <w:color w:val="auto"/>
                <w:highlight w:val="none"/>
                <w:vertAlign w:val="baseline"/>
              </w:rPr>
            </w:pPr>
          </w:p>
        </w:tc>
        <w:tc>
          <w:tcPr>
            <w:tcW w:w="986" w:type="dxa"/>
          </w:tcPr>
          <w:p w14:paraId="7D39357A">
            <w:pPr>
              <w:widowControl w:val="0"/>
              <w:rPr>
                <w:color w:val="auto"/>
                <w:highlight w:val="none"/>
                <w:vertAlign w:val="baseline"/>
              </w:rPr>
            </w:pPr>
          </w:p>
        </w:tc>
        <w:tc>
          <w:tcPr>
            <w:tcW w:w="986" w:type="dxa"/>
          </w:tcPr>
          <w:p w14:paraId="747DFEFE">
            <w:pPr>
              <w:widowControl w:val="0"/>
              <w:rPr>
                <w:color w:val="auto"/>
                <w:highlight w:val="none"/>
                <w:vertAlign w:val="baseline"/>
              </w:rPr>
            </w:pPr>
          </w:p>
        </w:tc>
        <w:tc>
          <w:tcPr>
            <w:tcW w:w="986" w:type="dxa"/>
          </w:tcPr>
          <w:p w14:paraId="3CDE67A2">
            <w:pPr>
              <w:widowControl w:val="0"/>
              <w:rPr>
                <w:color w:val="auto"/>
                <w:highlight w:val="none"/>
                <w:vertAlign w:val="baseline"/>
              </w:rPr>
            </w:pPr>
          </w:p>
        </w:tc>
        <w:tc>
          <w:tcPr>
            <w:tcW w:w="708" w:type="dxa"/>
          </w:tcPr>
          <w:p w14:paraId="5D8AC925">
            <w:pPr>
              <w:widowControl w:val="0"/>
              <w:rPr>
                <w:color w:val="auto"/>
                <w:highlight w:val="none"/>
                <w:vertAlign w:val="baseline"/>
              </w:rPr>
            </w:pPr>
          </w:p>
        </w:tc>
        <w:tc>
          <w:tcPr>
            <w:tcW w:w="1125" w:type="dxa"/>
          </w:tcPr>
          <w:p w14:paraId="3D2C7340">
            <w:pPr>
              <w:widowControl w:val="0"/>
              <w:rPr>
                <w:color w:val="auto"/>
                <w:highlight w:val="none"/>
                <w:vertAlign w:val="baseline"/>
              </w:rPr>
            </w:pPr>
          </w:p>
        </w:tc>
        <w:tc>
          <w:tcPr>
            <w:tcW w:w="1275" w:type="dxa"/>
          </w:tcPr>
          <w:p w14:paraId="4A016A1F">
            <w:pPr>
              <w:widowControl w:val="0"/>
              <w:rPr>
                <w:color w:val="auto"/>
                <w:highlight w:val="none"/>
                <w:vertAlign w:val="baseline"/>
              </w:rPr>
            </w:pPr>
          </w:p>
        </w:tc>
        <w:tc>
          <w:tcPr>
            <w:tcW w:w="1500" w:type="dxa"/>
          </w:tcPr>
          <w:p w14:paraId="6AA74C35">
            <w:pPr>
              <w:widowControl w:val="0"/>
              <w:rPr>
                <w:color w:val="auto"/>
                <w:highlight w:val="none"/>
                <w:vertAlign w:val="baseline"/>
              </w:rPr>
            </w:pPr>
          </w:p>
        </w:tc>
        <w:tc>
          <w:tcPr>
            <w:tcW w:w="1405" w:type="dxa"/>
          </w:tcPr>
          <w:p w14:paraId="091E8271">
            <w:pPr>
              <w:widowControl w:val="0"/>
              <w:rPr>
                <w:color w:val="auto"/>
                <w:highlight w:val="none"/>
                <w:vertAlign w:val="baseline"/>
              </w:rPr>
            </w:pPr>
          </w:p>
        </w:tc>
      </w:tr>
    </w:tbl>
    <w:p w14:paraId="367C1593">
      <w:pPr>
        <w:rPr>
          <w:color w:val="auto"/>
          <w:highlight w:val="none"/>
        </w:rPr>
      </w:pPr>
    </w:p>
    <w:p w14:paraId="5F948E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5CB6035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F3401C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05393A2A">
      <w:pPr>
        <w:keepNext w:val="0"/>
        <w:keepLines w:val="0"/>
        <w:pageBreakBefore w:val="0"/>
        <w:widowControl/>
        <w:suppressLineNumbers w:val="0"/>
        <w:kinsoku w:val="0"/>
        <w:wordWrap/>
        <w:overflowPunct/>
        <w:topLinePunct w:val="0"/>
        <w:autoSpaceDE w:val="0"/>
        <w:autoSpaceDN w:val="0"/>
        <w:bidi w:val="0"/>
        <w:adjustRightInd w:val="0"/>
        <w:snapToGrid w:val="0"/>
        <w:ind w:firstLine="482" w:firstLineChars="200"/>
        <w:jc w:val="left"/>
        <w:textAlignment w:val="baseline"/>
        <w:rPr>
          <w:rFonts w:hint="eastAsia" w:ascii="宋体" w:hAnsi="宋体" w:eastAsia="宋体" w:cs="宋体"/>
          <w:b/>
          <w:bCs/>
          <w:snapToGrid w:val="0"/>
          <w:color w:val="auto"/>
          <w:kern w:val="0"/>
          <w:sz w:val="24"/>
          <w:szCs w:val="24"/>
          <w:highlight w:val="none"/>
          <w:lang w:val="en-US" w:eastAsia="zh-CN" w:bidi="ar"/>
        </w:rPr>
      </w:pPr>
    </w:p>
    <w:p w14:paraId="5A6344A3">
      <w:pPr>
        <w:keepNext w:val="0"/>
        <w:keepLines w:val="0"/>
        <w:widowControl/>
        <w:suppressLineNumbers w:val="0"/>
        <w:ind w:firstLine="482" w:firstLineChars="200"/>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备注</w:t>
      </w:r>
      <w:r>
        <w:rPr>
          <w:rFonts w:hint="eastAsia" w:ascii="宋体" w:hAnsi="宋体" w:cs="宋体"/>
          <w:b/>
          <w:bCs/>
          <w:snapToGrid w:val="0"/>
          <w:color w:val="auto"/>
          <w:kern w:val="0"/>
          <w:sz w:val="24"/>
          <w:szCs w:val="24"/>
          <w:highlight w:val="none"/>
          <w:lang w:val="en-US" w:eastAsia="zh-CN" w:bidi="ar"/>
        </w:rPr>
        <w:t>：</w:t>
      </w:r>
      <w:r>
        <w:rPr>
          <w:rFonts w:hint="eastAsia" w:ascii="宋体" w:hAnsi="宋体" w:eastAsia="宋体" w:cs="宋体"/>
          <w:b/>
          <w:bCs/>
          <w:snapToGrid w:val="0"/>
          <w:color w:val="auto"/>
          <w:kern w:val="0"/>
          <w:sz w:val="24"/>
          <w:szCs w:val="24"/>
          <w:highlight w:val="none"/>
          <w:lang w:val="en-US" w:eastAsia="zh-CN" w:bidi="ar"/>
        </w:rPr>
        <w:t xml:space="preserve"> 此表为产品配套耗材报价表，如没有，无需制作</w:t>
      </w:r>
      <w:r>
        <w:rPr>
          <w:rFonts w:hint="eastAsia" w:ascii="宋体" w:hAnsi="宋体" w:cs="宋体"/>
          <w:b/>
          <w:bCs/>
          <w:snapToGrid w:val="0"/>
          <w:color w:val="auto"/>
          <w:kern w:val="0"/>
          <w:sz w:val="24"/>
          <w:szCs w:val="24"/>
          <w:highlight w:val="none"/>
          <w:lang w:val="en-US" w:eastAsia="zh-CN" w:bidi="ar"/>
        </w:rPr>
        <w:t>，可自行删除</w:t>
      </w:r>
      <w:r>
        <w:rPr>
          <w:rFonts w:hint="eastAsia" w:ascii="宋体" w:hAnsi="宋体" w:eastAsia="宋体" w:cs="宋体"/>
          <w:b/>
          <w:bCs/>
          <w:snapToGrid w:val="0"/>
          <w:color w:val="auto"/>
          <w:kern w:val="0"/>
          <w:sz w:val="24"/>
          <w:szCs w:val="24"/>
          <w:highlight w:val="none"/>
          <w:lang w:val="en-US" w:eastAsia="zh-CN" w:bidi="ar"/>
        </w:rPr>
        <w:t>。</w:t>
      </w:r>
    </w:p>
    <w:p w14:paraId="66DBF250">
      <w:pPr>
        <w:pStyle w:val="24"/>
        <w:rPr>
          <w:rFonts w:hint="eastAsia" w:ascii="宋体" w:hAnsi="宋体" w:cs="宋体"/>
          <w:color w:val="auto"/>
          <w:kern w:val="0"/>
          <w:sz w:val="24"/>
          <w:highlight w:val="none"/>
        </w:rPr>
      </w:pPr>
    </w:p>
    <w:p w14:paraId="02699B8D">
      <w:pPr>
        <w:pStyle w:val="24"/>
        <w:rPr>
          <w:rFonts w:hint="eastAsia" w:ascii="宋体" w:hAnsi="宋体" w:cs="宋体"/>
          <w:color w:val="auto"/>
          <w:kern w:val="0"/>
          <w:sz w:val="24"/>
          <w:highlight w:val="none"/>
        </w:rPr>
        <w:sectPr>
          <w:pgSz w:w="16838" w:h="11906" w:orient="landscape"/>
          <w:pgMar w:top="1474" w:right="1417" w:bottom="1474" w:left="1417" w:header="851" w:footer="624" w:gutter="0"/>
          <w:pgNumType w:fmt="decimal"/>
          <w:cols w:space="720" w:num="1"/>
          <w:docGrid w:type="lines" w:linePitch="319" w:charSpace="0"/>
        </w:sectPr>
      </w:pPr>
    </w:p>
    <w:p w14:paraId="5986FE19">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4.3 产品配置清单一览表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676"/>
        <w:gridCol w:w="1238"/>
        <w:gridCol w:w="1238"/>
        <w:gridCol w:w="1238"/>
        <w:gridCol w:w="1023"/>
        <w:gridCol w:w="1800"/>
      </w:tblGrid>
      <w:tr w14:paraId="4672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3830D71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序号</w:t>
            </w:r>
          </w:p>
        </w:tc>
        <w:tc>
          <w:tcPr>
            <w:tcW w:w="1676" w:type="dxa"/>
            <w:vAlign w:val="center"/>
          </w:tcPr>
          <w:p w14:paraId="69DBD13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货物名称</w:t>
            </w:r>
          </w:p>
        </w:tc>
        <w:tc>
          <w:tcPr>
            <w:tcW w:w="1238" w:type="dxa"/>
            <w:vAlign w:val="center"/>
          </w:tcPr>
          <w:p w14:paraId="35843AC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品牌</w:t>
            </w:r>
          </w:p>
        </w:tc>
        <w:tc>
          <w:tcPr>
            <w:tcW w:w="1238" w:type="dxa"/>
            <w:vAlign w:val="center"/>
          </w:tcPr>
          <w:p w14:paraId="295A1D23">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产地</w:t>
            </w:r>
          </w:p>
        </w:tc>
        <w:tc>
          <w:tcPr>
            <w:tcW w:w="1238" w:type="dxa"/>
            <w:vAlign w:val="center"/>
          </w:tcPr>
          <w:p w14:paraId="29752C26">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型号规格</w:t>
            </w:r>
          </w:p>
        </w:tc>
        <w:tc>
          <w:tcPr>
            <w:tcW w:w="1023" w:type="dxa"/>
            <w:vAlign w:val="center"/>
          </w:tcPr>
          <w:p w14:paraId="545160AD">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单位</w:t>
            </w:r>
          </w:p>
        </w:tc>
        <w:tc>
          <w:tcPr>
            <w:tcW w:w="1800" w:type="dxa"/>
            <w:vAlign w:val="center"/>
          </w:tcPr>
          <w:p w14:paraId="6CD84A93">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数量</w:t>
            </w:r>
          </w:p>
        </w:tc>
      </w:tr>
      <w:tr w14:paraId="450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134B0D6">
            <w:pPr>
              <w:widowControl w:val="0"/>
              <w:jc w:val="center"/>
              <w:rPr>
                <w:rFonts w:hint="default"/>
                <w:color w:val="auto"/>
                <w:highlight w:val="none"/>
                <w:vertAlign w:val="baseline"/>
                <w:lang w:val="en-US" w:eastAsia="zh-CN"/>
              </w:rPr>
            </w:pPr>
          </w:p>
        </w:tc>
        <w:tc>
          <w:tcPr>
            <w:tcW w:w="1676" w:type="dxa"/>
            <w:vAlign w:val="center"/>
          </w:tcPr>
          <w:p w14:paraId="2B2FB324">
            <w:pPr>
              <w:widowControl w:val="0"/>
              <w:jc w:val="center"/>
              <w:rPr>
                <w:rFonts w:hint="default"/>
                <w:color w:val="auto"/>
                <w:highlight w:val="none"/>
                <w:vertAlign w:val="baseline"/>
                <w:lang w:val="en-US" w:eastAsia="zh-CN"/>
              </w:rPr>
            </w:pPr>
          </w:p>
        </w:tc>
        <w:tc>
          <w:tcPr>
            <w:tcW w:w="1238" w:type="dxa"/>
            <w:vAlign w:val="center"/>
          </w:tcPr>
          <w:p w14:paraId="3FFED3C5">
            <w:pPr>
              <w:widowControl w:val="0"/>
              <w:jc w:val="center"/>
              <w:rPr>
                <w:rFonts w:hint="default"/>
                <w:color w:val="auto"/>
                <w:highlight w:val="none"/>
                <w:vertAlign w:val="baseline"/>
                <w:lang w:val="en-US" w:eastAsia="zh-CN"/>
              </w:rPr>
            </w:pPr>
          </w:p>
        </w:tc>
        <w:tc>
          <w:tcPr>
            <w:tcW w:w="1238" w:type="dxa"/>
            <w:vAlign w:val="center"/>
          </w:tcPr>
          <w:p w14:paraId="1FC676C2">
            <w:pPr>
              <w:widowControl w:val="0"/>
              <w:jc w:val="center"/>
              <w:rPr>
                <w:rFonts w:hint="default"/>
                <w:color w:val="auto"/>
                <w:highlight w:val="none"/>
                <w:vertAlign w:val="baseline"/>
                <w:lang w:val="en-US" w:eastAsia="zh-CN"/>
              </w:rPr>
            </w:pPr>
          </w:p>
        </w:tc>
        <w:tc>
          <w:tcPr>
            <w:tcW w:w="1238" w:type="dxa"/>
            <w:vAlign w:val="center"/>
          </w:tcPr>
          <w:p w14:paraId="25AACED3">
            <w:pPr>
              <w:widowControl w:val="0"/>
              <w:jc w:val="center"/>
              <w:rPr>
                <w:rFonts w:hint="default"/>
                <w:color w:val="auto"/>
                <w:highlight w:val="none"/>
                <w:vertAlign w:val="baseline"/>
                <w:lang w:val="en-US" w:eastAsia="zh-CN"/>
              </w:rPr>
            </w:pPr>
          </w:p>
        </w:tc>
        <w:tc>
          <w:tcPr>
            <w:tcW w:w="1023" w:type="dxa"/>
            <w:vAlign w:val="center"/>
          </w:tcPr>
          <w:p w14:paraId="749D014C">
            <w:pPr>
              <w:widowControl w:val="0"/>
              <w:jc w:val="center"/>
              <w:rPr>
                <w:rFonts w:hint="default"/>
                <w:color w:val="auto"/>
                <w:highlight w:val="none"/>
                <w:vertAlign w:val="baseline"/>
                <w:lang w:val="en-US" w:eastAsia="zh-CN"/>
              </w:rPr>
            </w:pPr>
          </w:p>
        </w:tc>
        <w:tc>
          <w:tcPr>
            <w:tcW w:w="1800" w:type="dxa"/>
            <w:vAlign w:val="center"/>
          </w:tcPr>
          <w:p w14:paraId="05134611">
            <w:pPr>
              <w:widowControl w:val="0"/>
              <w:jc w:val="center"/>
              <w:rPr>
                <w:rFonts w:hint="default"/>
                <w:color w:val="auto"/>
                <w:highlight w:val="none"/>
                <w:vertAlign w:val="baseline"/>
                <w:lang w:val="en-US" w:eastAsia="zh-CN"/>
              </w:rPr>
            </w:pPr>
          </w:p>
        </w:tc>
      </w:tr>
      <w:tr w14:paraId="6D38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17326070">
            <w:pPr>
              <w:widowControl w:val="0"/>
              <w:jc w:val="center"/>
              <w:rPr>
                <w:rFonts w:hint="default"/>
                <w:color w:val="auto"/>
                <w:highlight w:val="none"/>
                <w:vertAlign w:val="baseline"/>
                <w:lang w:val="en-US" w:eastAsia="zh-CN"/>
              </w:rPr>
            </w:pPr>
          </w:p>
        </w:tc>
        <w:tc>
          <w:tcPr>
            <w:tcW w:w="1676" w:type="dxa"/>
            <w:vAlign w:val="center"/>
          </w:tcPr>
          <w:p w14:paraId="31FB795C">
            <w:pPr>
              <w:widowControl w:val="0"/>
              <w:jc w:val="center"/>
              <w:rPr>
                <w:rFonts w:hint="default"/>
                <w:color w:val="auto"/>
                <w:highlight w:val="none"/>
                <w:vertAlign w:val="baseline"/>
                <w:lang w:val="en-US" w:eastAsia="zh-CN"/>
              </w:rPr>
            </w:pPr>
          </w:p>
        </w:tc>
        <w:tc>
          <w:tcPr>
            <w:tcW w:w="1238" w:type="dxa"/>
            <w:vAlign w:val="center"/>
          </w:tcPr>
          <w:p w14:paraId="3DDF1F3E">
            <w:pPr>
              <w:widowControl w:val="0"/>
              <w:jc w:val="center"/>
              <w:rPr>
                <w:rFonts w:hint="default"/>
                <w:color w:val="auto"/>
                <w:highlight w:val="none"/>
                <w:vertAlign w:val="baseline"/>
                <w:lang w:val="en-US" w:eastAsia="zh-CN"/>
              </w:rPr>
            </w:pPr>
          </w:p>
        </w:tc>
        <w:tc>
          <w:tcPr>
            <w:tcW w:w="1238" w:type="dxa"/>
            <w:vAlign w:val="center"/>
          </w:tcPr>
          <w:p w14:paraId="1AE826AF">
            <w:pPr>
              <w:widowControl w:val="0"/>
              <w:jc w:val="center"/>
              <w:rPr>
                <w:rFonts w:hint="default"/>
                <w:color w:val="auto"/>
                <w:highlight w:val="none"/>
                <w:vertAlign w:val="baseline"/>
                <w:lang w:val="en-US" w:eastAsia="zh-CN"/>
              </w:rPr>
            </w:pPr>
          </w:p>
        </w:tc>
        <w:tc>
          <w:tcPr>
            <w:tcW w:w="1238" w:type="dxa"/>
            <w:vAlign w:val="center"/>
          </w:tcPr>
          <w:p w14:paraId="439C5F96">
            <w:pPr>
              <w:widowControl w:val="0"/>
              <w:jc w:val="center"/>
              <w:rPr>
                <w:rFonts w:hint="default"/>
                <w:color w:val="auto"/>
                <w:highlight w:val="none"/>
                <w:vertAlign w:val="baseline"/>
                <w:lang w:val="en-US" w:eastAsia="zh-CN"/>
              </w:rPr>
            </w:pPr>
          </w:p>
        </w:tc>
        <w:tc>
          <w:tcPr>
            <w:tcW w:w="1023" w:type="dxa"/>
            <w:vAlign w:val="center"/>
          </w:tcPr>
          <w:p w14:paraId="674CDC80">
            <w:pPr>
              <w:widowControl w:val="0"/>
              <w:jc w:val="center"/>
              <w:rPr>
                <w:rFonts w:hint="default"/>
                <w:color w:val="auto"/>
                <w:highlight w:val="none"/>
                <w:vertAlign w:val="baseline"/>
                <w:lang w:val="en-US" w:eastAsia="zh-CN"/>
              </w:rPr>
            </w:pPr>
          </w:p>
        </w:tc>
        <w:tc>
          <w:tcPr>
            <w:tcW w:w="1800" w:type="dxa"/>
            <w:vAlign w:val="center"/>
          </w:tcPr>
          <w:p w14:paraId="1CB5057F">
            <w:pPr>
              <w:widowControl w:val="0"/>
              <w:jc w:val="center"/>
              <w:rPr>
                <w:rFonts w:hint="default"/>
                <w:color w:val="auto"/>
                <w:highlight w:val="none"/>
                <w:vertAlign w:val="baseline"/>
                <w:lang w:val="en-US" w:eastAsia="zh-CN"/>
              </w:rPr>
            </w:pPr>
          </w:p>
        </w:tc>
      </w:tr>
      <w:tr w14:paraId="1D3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0A3433ED">
            <w:pPr>
              <w:widowControl w:val="0"/>
              <w:jc w:val="center"/>
              <w:rPr>
                <w:rFonts w:hint="default"/>
                <w:color w:val="auto"/>
                <w:highlight w:val="none"/>
                <w:vertAlign w:val="baseline"/>
                <w:lang w:val="en-US" w:eastAsia="zh-CN"/>
              </w:rPr>
            </w:pPr>
          </w:p>
        </w:tc>
        <w:tc>
          <w:tcPr>
            <w:tcW w:w="1676" w:type="dxa"/>
            <w:vAlign w:val="center"/>
          </w:tcPr>
          <w:p w14:paraId="4953F941">
            <w:pPr>
              <w:widowControl w:val="0"/>
              <w:jc w:val="center"/>
              <w:rPr>
                <w:rFonts w:hint="default"/>
                <w:color w:val="auto"/>
                <w:highlight w:val="none"/>
                <w:vertAlign w:val="baseline"/>
                <w:lang w:val="en-US" w:eastAsia="zh-CN"/>
              </w:rPr>
            </w:pPr>
          </w:p>
        </w:tc>
        <w:tc>
          <w:tcPr>
            <w:tcW w:w="1238" w:type="dxa"/>
            <w:vAlign w:val="center"/>
          </w:tcPr>
          <w:p w14:paraId="60D4163C">
            <w:pPr>
              <w:widowControl w:val="0"/>
              <w:jc w:val="center"/>
              <w:rPr>
                <w:rFonts w:hint="default"/>
                <w:color w:val="auto"/>
                <w:highlight w:val="none"/>
                <w:vertAlign w:val="baseline"/>
                <w:lang w:val="en-US" w:eastAsia="zh-CN"/>
              </w:rPr>
            </w:pPr>
          </w:p>
        </w:tc>
        <w:tc>
          <w:tcPr>
            <w:tcW w:w="1238" w:type="dxa"/>
            <w:vAlign w:val="center"/>
          </w:tcPr>
          <w:p w14:paraId="7F5D0506">
            <w:pPr>
              <w:widowControl w:val="0"/>
              <w:jc w:val="center"/>
              <w:rPr>
                <w:rFonts w:hint="default"/>
                <w:color w:val="auto"/>
                <w:highlight w:val="none"/>
                <w:vertAlign w:val="baseline"/>
                <w:lang w:val="en-US" w:eastAsia="zh-CN"/>
              </w:rPr>
            </w:pPr>
          </w:p>
        </w:tc>
        <w:tc>
          <w:tcPr>
            <w:tcW w:w="1238" w:type="dxa"/>
            <w:vAlign w:val="center"/>
          </w:tcPr>
          <w:p w14:paraId="72E86AD5">
            <w:pPr>
              <w:widowControl w:val="0"/>
              <w:jc w:val="center"/>
              <w:rPr>
                <w:rFonts w:hint="default"/>
                <w:color w:val="auto"/>
                <w:highlight w:val="none"/>
                <w:vertAlign w:val="baseline"/>
                <w:lang w:val="en-US" w:eastAsia="zh-CN"/>
              </w:rPr>
            </w:pPr>
          </w:p>
        </w:tc>
        <w:tc>
          <w:tcPr>
            <w:tcW w:w="1023" w:type="dxa"/>
            <w:vAlign w:val="center"/>
          </w:tcPr>
          <w:p w14:paraId="7134BF0D">
            <w:pPr>
              <w:widowControl w:val="0"/>
              <w:jc w:val="center"/>
              <w:rPr>
                <w:rFonts w:hint="default"/>
                <w:color w:val="auto"/>
                <w:highlight w:val="none"/>
                <w:vertAlign w:val="baseline"/>
                <w:lang w:val="en-US" w:eastAsia="zh-CN"/>
              </w:rPr>
            </w:pPr>
          </w:p>
        </w:tc>
        <w:tc>
          <w:tcPr>
            <w:tcW w:w="1800" w:type="dxa"/>
            <w:vAlign w:val="center"/>
          </w:tcPr>
          <w:p w14:paraId="0EB3CD05">
            <w:pPr>
              <w:widowControl w:val="0"/>
              <w:jc w:val="center"/>
              <w:rPr>
                <w:rFonts w:hint="default"/>
                <w:color w:val="auto"/>
                <w:highlight w:val="none"/>
                <w:vertAlign w:val="baseline"/>
                <w:lang w:val="en-US" w:eastAsia="zh-CN"/>
              </w:rPr>
            </w:pPr>
          </w:p>
        </w:tc>
      </w:tr>
      <w:tr w14:paraId="6CA6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4607775A">
            <w:pPr>
              <w:widowControl w:val="0"/>
              <w:jc w:val="center"/>
              <w:rPr>
                <w:rFonts w:hint="default"/>
                <w:color w:val="auto"/>
                <w:highlight w:val="none"/>
                <w:vertAlign w:val="baseline"/>
                <w:lang w:val="en-US" w:eastAsia="zh-CN"/>
              </w:rPr>
            </w:pPr>
          </w:p>
        </w:tc>
        <w:tc>
          <w:tcPr>
            <w:tcW w:w="1676" w:type="dxa"/>
            <w:vAlign w:val="center"/>
          </w:tcPr>
          <w:p w14:paraId="3A245A35">
            <w:pPr>
              <w:widowControl w:val="0"/>
              <w:jc w:val="center"/>
              <w:rPr>
                <w:rFonts w:hint="default"/>
                <w:color w:val="auto"/>
                <w:highlight w:val="none"/>
                <w:vertAlign w:val="baseline"/>
                <w:lang w:val="en-US" w:eastAsia="zh-CN"/>
              </w:rPr>
            </w:pPr>
          </w:p>
        </w:tc>
        <w:tc>
          <w:tcPr>
            <w:tcW w:w="1238" w:type="dxa"/>
            <w:vAlign w:val="center"/>
          </w:tcPr>
          <w:p w14:paraId="6D057E85">
            <w:pPr>
              <w:widowControl w:val="0"/>
              <w:jc w:val="center"/>
              <w:rPr>
                <w:rFonts w:hint="default"/>
                <w:color w:val="auto"/>
                <w:highlight w:val="none"/>
                <w:vertAlign w:val="baseline"/>
                <w:lang w:val="en-US" w:eastAsia="zh-CN"/>
              </w:rPr>
            </w:pPr>
          </w:p>
        </w:tc>
        <w:tc>
          <w:tcPr>
            <w:tcW w:w="1238" w:type="dxa"/>
            <w:vAlign w:val="center"/>
          </w:tcPr>
          <w:p w14:paraId="515422B7">
            <w:pPr>
              <w:widowControl w:val="0"/>
              <w:jc w:val="center"/>
              <w:rPr>
                <w:rFonts w:hint="default"/>
                <w:color w:val="auto"/>
                <w:highlight w:val="none"/>
                <w:vertAlign w:val="baseline"/>
                <w:lang w:val="en-US" w:eastAsia="zh-CN"/>
              </w:rPr>
            </w:pPr>
          </w:p>
        </w:tc>
        <w:tc>
          <w:tcPr>
            <w:tcW w:w="1238" w:type="dxa"/>
            <w:vAlign w:val="center"/>
          </w:tcPr>
          <w:p w14:paraId="161FB83F">
            <w:pPr>
              <w:widowControl w:val="0"/>
              <w:jc w:val="center"/>
              <w:rPr>
                <w:rFonts w:hint="default"/>
                <w:color w:val="auto"/>
                <w:highlight w:val="none"/>
                <w:vertAlign w:val="baseline"/>
                <w:lang w:val="en-US" w:eastAsia="zh-CN"/>
              </w:rPr>
            </w:pPr>
          </w:p>
        </w:tc>
        <w:tc>
          <w:tcPr>
            <w:tcW w:w="1023" w:type="dxa"/>
            <w:vAlign w:val="center"/>
          </w:tcPr>
          <w:p w14:paraId="77DF5323">
            <w:pPr>
              <w:widowControl w:val="0"/>
              <w:jc w:val="center"/>
              <w:rPr>
                <w:rFonts w:hint="default"/>
                <w:color w:val="auto"/>
                <w:highlight w:val="none"/>
                <w:vertAlign w:val="baseline"/>
                <w:lang w:val="en-US" w:eastAsia="zh-CN"/>
              </w:rPr>
            </w:pPr>
          </w:p>
        </w:tc>
        <w:tc>
          <w:tcPr>
            <w:tcW w:w="1800" w:type="dxa"/>
            <w:vAlign w:val="center"/>
          </w:tcPr>
          <w:p w14:paraId="1D8AAC89">
            <w:pPr>
              <w:widowControl w:val="0"/>
              <w:jc w:val="center"/>
              <w:rPr>
                <w:rFonts w:hint="default"/>
                <w:color w:val="auto"/>
                <w:highlight w:val="none"/>
                <w:vertAlign w:val="baseline"/>
                <w:lang w:val="en-US" w:eastAsia="zh-CN"/>
              </w:rPr>
            </w:pPr>
          </w:p>
        </w:tc>
      </w:tr>
      <w:tr w14:paraId="07F7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E7A2E37">
            <w:pPr>
              <w:widowControl w:val="0"/>
              <w:jc w:val="center"/>
              <w:rPr>
                <w:rFonts w:hint="default"/>
                <w:color w:val="auto"/>
                <w:highlight w:val="none"/>
                <w:vertAlign w:val="baseline"/>
                <w:lang w:val="en-US" w:eastAsia="zh-CN"/>
              </w:rPr>
            </w:pPr>
          </w:p>
        </w:tc>
        <w:tc>
          <w:tcPr>
            <w:tcW w:w="1676" w:type="dxa"/>
            <w:vAlign w:val="center"/>
          </w:tcPr>
          <w:p w14:paraId="6E777249">
            <w:pPr>
              <w:widowControl w:val="0"/>
              <w:jc w:val="center"/>
              <w:rPr>
                <w:rFonts w:hint="default"/>
                <w:color w:val="auto"/>
                <w:highlight w:val="none"/>
                <w:vertAlign w:val="baseline"/>
                <w:lang w:val="en-US" w:eastAsia="zh-CN"/>
              </w:rPr>
            </w:pPr>
          </w:p>
        </w:tc>
        <w:tc>
          <w:tcPr>
            <w:tcW w:w="1238" w:type="dxa"/>
            <w:vAlign w:val="center"/>
          </w:tcPr>
          <w:p w14:paraId="4DE2A82B">
            <w:pPr>
              <w:widowControl w:val="0"/>
              <w:jc w:val="center"/>
              <w:rPr>
                <w:rFonts w:hint="default"/>
                <w:color w:val="auto"/>
                <w:highlight w:val="none"/>
                <w:vertAlign w:val="baseline"/>
                <w:lang w:val="en-US" w:eastAsia="zh-CN"/>
              </w:rPr>
            </w:pPr>
          </w:p>
        </w:tc>
        <w:tc>
          <w:tcPr>
            <w:tcW w:w="1238" w:type="dxa"/>
            <w:vAlign w:val="center"/>
          </w:tcPr>
          <w:p w14:paraId="7C5B0392">
            <w:pPr>
              <w:widowControl w:val="0"/>
              <w:jc w:val="center"/>
              <w:rPr>
                <w:rFonts w:hint="default"/>
                <w:color w:val="auto"/>
                <w:highlight w:val="none"/>
                <w:vertAlign w:val="baseline"/>
                <w:lang w:val="en-US" w:eastAsia="zh-CN"/>
              </w:rPr>
            </w:pPr>
          </w:p>
        </w:tc>
        <w:tc>
          <w:tcPr>
            <w:tcW w:w="1238" w:type="dxa"/>
            <w:vAlign w:val="center"/>
          </w:tcPr>
          <w:p w14:paraId="17137530">
            <w:pPr>
              <w:widowControl w:val="0"/>
              <w:jc w:val="center"/>
              <w:rPr>
                <w:rFonts w:hint="default"/>
                <w:color w:val="auto"/>
                <w:highlight w:val="none"/>
                <w:vertAlign w:val="baseline"/>
                <w:lang w:val="en-US" w:eastAsia="zh-CN"/>
              </w:rPr>
            </w:pPr>
          </w:p>
        </w:tc>
        <w:tc>
          <w:tcPr>
            <w:tcW w:w="1023" w:type="dxa"/>
            <w:vAlign w:val="center"/>
          </w:tcPr>
          <w:p w14:paraId="1138018C">
            <w:pPr>
              <w:widowControl w:val="0"/>
              <w:jc w:val="center"/>
              <w:rPr>
                <w:rFonts w:hint="default"/>
                <w:color w:val="auto"/>
                <w:highlight w:val="none"/>
                <w:vertAlign w:val="baseline"/>
                <w:lang w:val="en-US" w:eastAsia="zh-CN"/>
              </w:rPr>
            </w:pPr>
          </w:p>
        </w:tc>
        <w:tc>
          <w:tcPr>
            <w:tcW w:w="1800" w:type="dxa"/>
            <w:vAlign w:val="center"/>
          </w:tcPr>
          <w:p w14:paraId="4CA32857">
            <w:pPr>
              <w:widowControl w:val="0"/>
              <w:jc w:val="center"/>
              <w:rPr>
                <w:rFonts w:hint="default"/>
                <w:color w:val="auto"/>
                <w:highlight w:val="none"/>
                <w:vertAlign w:val="baseline"/>
                <w:lang w:val="en-US" w:eastAsia="zh-CN"/>
              </w:rPr>
            </w:pPr>
          </w:p>
        </w:tc>
      </w:tr>
    </w:tbl>
    <w:p w14:paraId="4690C867">
      <w:pPr>
        <w:rPr>
          <w:rFonts w:hint="default"/>
          <w:color w:val="auto"/>
          <w:highlight w:val="none"/>
          <w:lang w:val="en-US" w:eastAsia="zh-CN"/>
        </w:rPr>
      </w:pPr>
    </w:p>
    <w:p w14:paraId="708C5B50">
      <w:pPr>
        <w:bidi w:val="0"/>
        <w:rPr>
          <w:rFonts w:hint="default"/>
          <w:color w:val="auto"/>
          <w:highlight w:val="none"/>
          <w:lang w:val="en-US" w:eastAsia="zh-CN"/>
        </w:rPr>
      </w:pPr>
    </w:p>
    <w:p w14:paraId="255DC18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2C4A13A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13A98344">
      <w:pPr>
        <w:bidi w:val="0"/>
        <w:rPr>
          <w:rFonts w:hint="eastAsia"/>
          <w:color w:val="auto"/>
          <w:highlight w:val="none"/>
          <w:lang w:val="en-US" w:eastAsia="zh-CN"/>
        </w:rPr>
      </w:pPr>
    </w:p>
    <w:p w14:paraId="57412C83">
      <w:pPr>
        <w:rPr>
          <w:rFonts w:hint="eastAsia" w:ascii="宋体" w:hAnsi="宋体" w:cs="宋体"/>
          <w:color w:val="auto"/>
          <w:sz w:val="24"/>
          <w:szCs w:val="24"/>
          <w:highlight w:val="none"/>
          <w:lang w:val="en-US" w:eastAsia="zh-CN"/>
        </w:rPr>
      </w:pPr>
    </w:p>
    <w:p w14:paraId="4D0AC012">
      <w:pPr>
        <w:bidi w:val="0"/>
        <w:rPr>
          <w:rFonts w:hint="eastAsia"/>
          <w:color w:val="auto"/>
          <w:highlight w:val="none"/>
          <w:lang w:val="en-US" w:eastAsia="zh-CN"/>
        </w:rPr>
      </w:pPr>
    </w:p>
    <w:p w14:paraId="591F39DF">
      <w:pPr>
        <w:pStyle w:val="24"/>
        <w:rPr>
          <w:rFonts w:hint="eastAsia" w:ascii="宋体" w:hAnsi="宋体" w:cs="宋体"/>
          <w:color w:val="auto"/>
          <w:kern w:val="0"/>
          <w:sz w:val="24"/>
          <w:highlight w:val="none"/>
          <w:lang w:val="en-US" w:eastAsia="zh-CN"/>
        </w:rPr>
      </w:pPr>
    </w:p>
    <w:p w14:paraId="0C409640">
      <w:pPr>
        <w:pStyle w:val="24"/>
        <w:rPr>
          <w:rFonts w:hint="eastAsia" w:ascii="宋体" w:hAnsi="宋体" w:cs="宋体"/>
          <w:color w:val="auto"/>
          <w:kern w:val="0"/>
          <w:sz w:val="24"/>
          <w:highlight w:val="none"/>
          <w:lang w:val="en-US" w:eastAsia="zh-CN"/>
        </w:rPr>
      </w:pPr>
    </w:p>
    <w:p w14:paraId="1C9EAA97">
      <w:pPr>
        <w:pStyle w:val="24"/>
        <w:rPr>
          <w:rFonts w:hint="eastAsia" w:ascii="宋体" w:hAnsi="宋体" w:cs="宋体"/>
          <w:color w:val="auto"/>
          <w:kern w:val="0"/>
          <w:sz w:val="24"/>
          <w:highlight w:val="none"/>
          <w:lang w:val="en-US" w:eastAsia="zh-CN"/>
        </w:rPr>
      </w:pPr>
    </w:p>
    <w:p w14:paraId="21B00144">
      <w:pPr>
        <w:pStyle w:val="24"/>
        <w:rPr>
          <w:rFonts w:hint="eastAsia" w:ascii="宋体" w:hAnsi="宋体" w:cs="宋体"/>
          <w:color w:val="auto"/>
          <w:kern w:val="0"/>
          <w:sz w:val="24"/>
          <w:highlight w:val="none"/>
          <w:lang w:val="en-US" w:eastAsia="zh-CN"/>
        </w:rPr>
      </w:pPr>
    </w:p>
    <w:p w14:paraId="2A74BFB0">
      <w:pPr>
        <w:pStyle w:val="24"/>
        <w:rPr>
          <w:rFonts w:hint="eastAsia" w:ascii="宋体" w:hAnsi="宋体" w:cs="宋体"/>
          <w:color w:val="auto"/>
          <w:kern w:val="0"/>
          <w:sz w:val="24"/>
          <w:highlight w:val="none"/>
          <w:lang w:val="en-US" w:eastAsia="zh-CN"/>
        </w:rPr>
      </w:pPr>
    </w:p>
    <w:p w14:paraId="3EF3AB43">
      <w:pPr>
        <w:pStyle w:val="24"/>
        <w:rPr>
          <w:rFonts w:hint="eastAsia" w:ascii="宋体" w:hAnsi="宋体" w:cs="宋体"/>
          <w:color w:val="auto"/>
          <w:kern w:val="0"/>
          <w:sz w:val="24"/>
          <w:highlight w:val="none"/>
          <w:lang w:val="en-US" w:eastAsia="zh-CN"/>
        </w:rPr>
      </w:pPr>
    </w:p>
    <w:p w14:paraId="4AAC2649">
      <w:pPr>
        <w:pStyle w:val="24"/>
        <w:rPr>
          <w:rFonts w:hint="default" w:ascii="宋体" w:hAnsi="宋体" w:cs="宋体"/>
          <w:color w:val="auto"/>
          <w:kern w:val="0"/>
          <w:sz w:val="24"/>
          <w:highlight w:val="none"/>
          <w:lang w:val="en-US" w:eastAsia="zh-CN"/>
        </w:rPr>
      </w:pPr>
    </w:p>
    <w:p w14:paraId="5C2F6EBC">
      <w:pPr>
        <w:pStyle w:val="24"/>
        <w:rPr>
          <w:rFonts w:hint="default" w:ascii="宋体" w:hAnsi="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030750C">
      <w:pPr>
        <w:pStyle w:val="24"/>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4.4 质保期满后易损件、配件一览表</w:t>
      </w:r>
    </w:p>
    <w:p w14:paraId="366976F4">
      <w:pPr>
        <w:pStyle w:val="24"/>
        <w:rPr>
          <w:rFonts w:hint="default" w:ascii="宋体" w:hAnsi="宋体" w:cs="宋体"/>
          <w:color w:val="auto"/>
          <w:kern w:val="0"/>
          <w:sz w:val="24"/>
          <w:highlight w:val="none"/>
          <w:lang w:val="en-US"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946"/>
        <w:gridCol w:w="1306"/>
        <w:gridCol w:w="1306"/>
        <w:gridCol w:w="1339"/>
        <w:gridCol w:w="1306"/>
        <w:gridCol w:w="1306"/>
      </w:tblGrid>
      <w:tr w14:paraId="50E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516A41BE">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946" w:type="dxa"/>
            <w:vAlign w:val="center"/>
          </w:tcPr>
          <w:p w14:paraId="1506BE1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配件名称</w:t>
            </w:r>
          </w:p>
        </w:tc>
        <w:tc>
          <w:tcPr>
            <w:tcW w:w="1306" w:type="dxa"/>
            <w:vAlign w:val="center"/>
          </w:tcPr>
          <w:p w14:paraId="6270A4AB">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规格型号</w:t>
            </w:r>
          </w:p>
        </w:tc>
        <w:tc>
          <w:tcPr>
            <w:tcW w:w="1306" w:type="dxa"/>
            <w:vAlign w:val="center"/>
          </w:tcPr>
          <w:p w14:paraId="52395D0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生产企业</w:t>
            </w:r>
          </w:p>
        </w:tc>
        <w:tc>
          <w:tcPr>
            <w:tcW w:w="1339" w:type="dxa"/>
            <w:vAlign w:val="center"/>
          </w:tcPr>
          <w:p w14:paraId="567EFC44">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306" w:type="dxa"/>
            <w:vAlign w:val="center"/>
          </w:tcPr>
          <w:p w14:paraId="2AAC2CF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306" w:type="dxa"/>
            <w:vAlign w:val="center"/>
          </w:tcPr>
          <w:p w14:paraId="1C1F947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单价（元）</w:t>
            </w:r>
          </w:p>
        </w:tc>
      </w:tr>
      <w:tr w14:paraId="6883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299AB04">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045DD21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775D23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shd w:val="clear" w:color="auto" w:fill="auto"/>
            <w:vAlign w:val="center"/>
          </w:tcPr>
          <w:p w14:paraId="79742F46">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39" w:type="dxa"/>
            <w:shd w:val="clear" w:color="auto" w:fill="auto"/>
            <w:vAlign w:val="center"/>
          </w:tcPr>
          <w:p w14:paraId="69D63A93">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06" w:type="dxa"/>
            <w:vAlign w:val="center"/>
          </w:tcPr>
          <w:p w14:paraId="1E839A5D">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928B2AE">
            <w:pPr>
              <w:widowControl w:val="0"/>
              <w:jc w:val="center"/>
              <w:rPr>
                <w:rFonts w:hint="eastAsia" w:ascii="宋体" w:hAnsi="宋体" w:eastAsia="宋体" w:cs="宋体"/>
                <w:color w:val="auto"/>
                <w:sz w:val="24"/>
                <w:szCs w:val="24"/>
                <w:highlight w:val="none"/>
                <w:vertAlign w:val="baseline"/>
                <w:lang w:val="en-US" w:eastAsia="zh-CN"/>
              </w:rPr>
            </w:pPr>
          </w:p>
        </w:tc>
      </w:tr>
      <w:tr w14:paraId="0123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EB9D0C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2004B7E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D2A3AF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241B5F7">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03210F93">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564D1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C4CE146">
            <w:pPr>
              <w:widowControl w:val="0"/>
              <w:jc w:val="center"/>
              <w:rPr>
                <w:rFonts w:hint="eastAsia" w:ascii="宋体" w:hAnsi="宋体" w:eastAsia="宋体" w:cs="宋体"/>
                <w:color w:val="auto"/>
                <w:sz w:val="24"/>
                <w:szCs w:val="24"/>
                <w:highlight w:val="none"/>
                <w:vertAlign w:val="baseline"/>
                <w:lang w:val="en-US" w:eastAsia="zh-CN"/>
              </w:rPr>
            </w:pPr>
          </w:p>
        </w:tc>
      </w:tr>
      <w:tr w14:paraId="199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022C7985">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3CDC713A">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703C708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56BA7F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5B64B6C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34B6F9B">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1A1313">
            <w:pPr>
              <w:widowControl w:val="0"/>
              <w:jc w:val="center"/>
              <w:rPr>
                <w:rFonts w:hint="eastAsia" w:ascii="宋体" w:hAnsi="宋体" w:eastAsia="宋体" w:cs="宋体"/>
                <w:color w:val="auto"/>
                <w:sz w:val="24"/>
                <w:szCs w:val="24"/>
                <w:highlight w:val="none"/>
                <w:vertAlign w:val="baseline"/>
                <w:lang w:val="en-US" w:eastAsia="zh-CN"/>
              </w:rPr>
            </w:pPr>
          </w:p>
        </w:tc>
      </w:tr>
      <w:tr w14:paraId="7F3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293BFDCC">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40159A2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7C87378">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1F86AFF">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40C380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0CCF08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EC386C9">
            <w:pPr>
              <w:widowControl w:val="0"/>
              <w:jc w:val="center"/>
              <w:rPr>
                <w:rFonts w:hint="eastAsia" w:ascii="宋体" w:hAnsi="宋体" w:eastAsia="宋体" w:cs="宋体"/>
                <w:color w:val="auto"/>
                <w:sz w:val="24"/>
                <w:szCs w:val="24"/>
                <w:highlight w:val="none"/>
                <w:vertAlign w:val="baseline"/>
                <w:lang w:val="en-US" w:eastAsia="zh-CN"/>
              </w:rPr>
            </w:pPr>
          </w:p>
        </w:tc>
      </w:tr>
      <w:tr w14:paraId="54B0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1D8B13A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6013EDF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E696D7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05F7360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2546BE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3E2DC407">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C14623F">
            <w:pPr>
              <w:widowControl w:val="0"/>
              <w:jc w:val="center"/>
              <w:rPr>
                <w:rFonts w:hint="eastAsia" w:ascii="宋体" w:hAnsi="宋体" w:eastAsia="宋体" w:cs="宋体"/>
                <w:color w:val="auto"/>
                <w:sz w:val="24"/>
                <w:szCs w:val="24"/>
                <w:highlight w:val="none"/>
                <w:vertAlign w:val="baseline"/>
                <w:lang w:val="en-US" w:eastAsia="zh-CN"/>
              </w:rPr>
            </w:pPr>
          </w:p>
        </w:tc>
      </w:tr>
    </w:tbl>
    <w:p w14:paraId="5AC55FA2">
      <w:pPr>
        <w:rPr>
          <w:rFonts w:hint="default" w:ascii="宋体" w:hAnsi="宋体" w:cs="宋体"/>
          <w:color w:val="auto"/>
          <w:sz w:val="24"/>
          <w:szCs w:val="24"/>
          <w:highlight w:val="none"/>
          <w:lang w:val="en-US" w:eastAsia="zh-CN"/>
        </w:rPr>
      </w:pPr>
    </w:p>
    <w:p w14:paraId="0F50ACC9">
      <w:pPr>
        <w:bidi w:val="0"/>
        <w:rPr>
          <w:rFonts w:hint="eastAsia"/>
          <w:color w:val="auto"/>
          <w:highlight w:val="none"/>
          <w:lang w:val="en-US" w:eastAsia="zh-CN"/>
        </w:rPr>
      </w:pPr>
    </w:p>
    <w:p w14:paraId="3711163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98618D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4E1A15E">
      <w:pPr>
        <w:pStyle w:val="24"/>
        <w:rPr>
          <w:rFonts w:hint="default" w:ascii="宋体" w:hAnsi="宋体" w:cs="宋体"/>
          <w:color w:val="auto"/>
          <w:kern w:val="0"/>
          <w:sz w:val="24"/>
          <w:highlight w:val="none"/>
          <w:lang w:val="en-US" w:eastAsia="zh-CN"/>
        </w:rPr>
      </w:pPr>
    </w:p>
    <w:p w14:paraId="1C27DB87">
      <w:pPr>
        <w:pStyle w:val="24"/>
        <w:rPr>
          <w:rFonts w:hint="default" w:ascii="宋体" w:hAnsi="宋体" w:cs="宋体"/>
          <w:color w:val="auto"/>
          <w:kern w:val="0"/>
          <w:sz w:val="24"/>
          <w:highlight w:val="none"/>
          <w:lang w:val="en-US" w:eastAsia="zh-CN"/>
        </w:rPr>
      </w:pPr>
    </w:p>
    <w:p w14:paraId="43E68354">
      <w:pPr>
        <w:pStyle w:val="24"/>
        <w:rPr>
          <w:rFonts w:hint="default" w:ascii="宋体" w:hAnsi="宋体" w:cs="宋体"/>
          <w:color w:val="auto"/>
          <w:kern w:val="0"/>
          <w:sz w:val="24"/>
          <w:highlight w:val="none"/>
          <w:lang w:val="en-US" w:eastAsia="zh-CN"/>
        </w:rPr>
      </w:pPr>
    </w:p>
    <w:p w14:paraId="0647EFB8">
      <w:pPr>
        <w:pStyle w:val="24"/>
        <w:rPr>
          <w:rFonts w:hint="default" w:ascii="宋体" w:hAnsi="宋体" w:cs="宋体"/>
          <w:color w:val="auto"/>
          <w:kern w:val="0"/>
          <w:sz w:val="24"/>
          <w:highlight w:val="none"/>
          <w:lang w:val="en-US" w:eastAsia="zh-CN"/>
        </w:rPr>
      </w:pPr>
    </w:p>
    <w:p w14:paraId="5A5A959A">
      <w:pPr>
        <w:pStyle w:val="24"/>
        <w:rPr>
          <w:rFonts w:hint="default" w:ascii="宋体" w:hAnsi="宋体" w:cs="宋体"/>
          <w:color w:val="auto"/>
          <w:kern w:val="0"/>
          <w:sz w:val="24"/>
          <w:highlight w:val="none"/>
          <w:lang w:val="en-US" w:eastAsia="zh-CN"/>
        </w:rPr>
      </w:pPr>
    </w:p>
    <w:p w14:paraId="650115AD">
      <w:pPr>
        <w:pStyle w:val="24"/>
        <w:rPr>
          <w:rFonts w:hint="default" w:ascii="宋体" w:hAnsi="宋体" w:cs="宋体"/>
          <w:color w:val="auto"/>
          <w:kern w:val="0"/>
          <w:sz w:val="24"/>
          <w:highlight w:val="none"/>
          <w:lang w:val="en-US" w:eastAsia="zh-CN"/>
        </w:rPr>
      </w:pPr>
    </w:p>
    <w:p w14:paraId="4A359505">
      <w:pPr>
        <w:pStyle w:val="24"/>
        <w:rPr>
          <w:rFonts w:hint="default" w:ascii="宋体" w:hAnsi="宋体" w:cs="宋体"/>
          <w:color w:val="auto"/>
          <w:kern w:val="0"/>
          <w:sz w:val="24"/>
          <w:highlight w:val="none"/>
          <w:lang w:val="en-US" w:eastAsia="zh-CN"/>
        </w:rPr>
      </w:pPr>
    </w:p>
    <w:p w14:paraId="40B7289D">
      <w:pPr>
        <w:pStyle w:val="24"/>
        <w:rPr>
          <w:rFonts w:hint="default" w:ascii="宋体" w:hAnsi="宋体" w:cs="宋体"/>
          <w:color w:val="auto"/>
          <w:kern w:val="0"/>
          <w:sz w:val="24"/>
          <w:highlight w:val="none"/>
          <w:lang w:val="en-US" w:eastAsia="zh-CN"/>
        </w:rPr>
      </w:pPr>
    </w:p>
    <w:p w14:paraId="1B505EE5">
      <w:pPr>
        <w:pStyle w:val="24"/>
        <w:rPr>
          <w:rFonts w:hint="default" w:ascii="宋体" w:hAnsi="宋体" w:cs="宋体"/>
          <w:color w:val="auto"/>
          <w:kern w:val="0"/>
          <w:sz w:val="24"/>
          <w:highlight w:val="none"/>
          <w:lang w:val="en-US" w:eastAsia="zh-CN"/>
        </w:rPr>
      </w:pPr>
    </w:p>
    <w:p w14:paraId="4CA18EFC">
      <w:pPr>
        <w:pStyle w:val="24"/>
        <w:rPr>
          <w:rFonts w:hint="default" w:ascii="宋体" w:hAnsi="宋体" w:cs="宋体"/>
          <w:color w:val="auto"/>
          <w:kern w:val="0"/>
          <w:sz w:val="24"/>
          <w:highlight w:val="none"/>
          <w:lang w:val="en-US" w:eastAsia="zh-CN"/>
        </w:rPr>
      </w:pPr>
    </w:p>
    <w:p w14:paraId="56E07BAF">
      <w:pPr>
        <w:pStyle w:val="24"/>
        <w:rPr>
          <w:rFonts w:hint="default" w:ascii="宋体" w:hAnsi="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68848E2">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3"/>
      <w:bookmarkEnd w:id="64"/>
      <w:r>
        <w:rPr>
          <w:rFonts w:hint="eastAsia" w:ascii="宋体" w:hAnsi="宋体" w:eastAsia="宋体" w:cs="宋体"/>
          <w:color w:val="auto"/>
          <w:sz w:val="28"/>
          <w:szCs w:val="28"/>
          <w:highlight w:val="none"/>
          <w:lang w:val="en-US" w:eastAsia="zh-CN"/>
        </w:rPr>
        <w:t xml:space="preserve">  技术响应表（格式）</w:t>
      </w:r>
    </w:p>
    <w:tbl>
      <w:tblPr>
        <w:tblStyle w:val="91"/>
        <w:tblW w:w="9675" w:type="dxa"/>
        <w:tblInd w:w="-33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0"/>
        <w:gridCol w:w="1830"/>
        <w:gridCol w:w="2190"/>
        <w:gridCol w:w="1860"/>
        <w:gridCol w:w="1560"/>
        <w:gridCol w:w="1575"/>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660"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830"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货物名称</w:t>
            </w:r>
          </w:p>
        </w:tc>
        <w:tc>
          <w:tcPr>
            <w:tcW w:w="219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w:t>
            </w:r>
          </w:p>
        </w:tc>
        <w:tc>
          <w:tcPr>
            <w:tcW w:w="1860"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文件响应</w:t>
            </w:r>
          </w:p>
        </w:tc>
        <w:tc>
          <w:tcPr>
            <w:tcW w:w="1560"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c>
          <w:tcPr>
            <w:tcW w:w="1575" w:type="dxa"/>
            <w:noWrap w:val="0"/>
            <w:vAlign w:val="center"/>
          </w:tcPr>
          <w:p w14:paraId="3BB47D6A">
            <w:pPr>
              <w:pageBreakBefore w:val="0"/>
              <w:widowControl/>
              <w:wordWrap/>
              <w:overflowPunct/>
              <w:topLinePunct w:val="0"/>
              <w:bidi w:val="0"/>
              <w:spacing w:line="360" w:lineRule="auto"/>
              <w:jc w:val="center"/>
              <w:textAlignment w:val="baseline"/>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证明材料在响应文件的页码</w:t>
            </w:r>
          </w:p>
          <w:p w14:paraId="0737D617">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（每条参数需做标记）</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660"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0"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660"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0"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660"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0"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69257B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b/>
          <w:bCs/>
          <w:color w:val="auto"/>
          <w:sz w:val="24"/>
          <w:szCs w:val="32"/>
          <w:highlight w:val="none"/>
          <w:lang w:val="en-US" w:eastAsia="zh-CN"/>
        </w:rPr>
      </w:pPr>
      <w:r>
        <w:rPr>
          <w:rFonts w:hint="eastAsia" w:asciiTheme="minorEastAsia" w:hAnsiTheme="minorEastAsia"/>
          <w:b/>
          <w:bCs/>
          <w:color w:val="auto"/>
          <w:sz w:val="24"/>
          <w:szCs w:val="32"/>
          <w:highlight w:val="none"/>
          <w:lang w:val="en-US" w:eastAsia="zh-CN"/>
        </w:rPr>
        <w:t>注：</w:t>
      </w:r>
    </w:p>
    <w:p w14:paraId="26579E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b w:val="0"/>
          <w:bCs w:val="0"/>
          <w:color w:val="auto"/>
          <w:sz w:val="24"/>
          <w:szCs w:val="32"/>
          <w:highlight w:val="none"/>
        </w:rPr>
      </w:pPr>
      <w:r>
        <w:rPr>
          <w:rFonts w:hint="eastAsia" w:asciiTheme="minorEastAsia" w:hAnsiTheme="minorEastAsia"/>
          <w:b w:val="0"/>
          <w:bCs w:val="0"/>
          <w:color w:val="auto"/>
          <w:sz w:val="24"/>
          <w:szCs w:val="32"/>
          <w:highlight w:val="none"/>
          <w:lang w:val="en-US" w:eastAsia="zh-CN"/>
        </w:rPr>
        <w:t>1.</w:t>
      </w:r>
      <w:r>
        <w:rPr>
          <w:rFonts w:hint="eastAsia" w:asciiTheme="minorEastAsia" w:hAnsiTheme="minorEastAsia"/>
          <w:b w:val="0"/>
          <w:bCs w:val="0"/>
          <w:color w:val="auto"/>
          <w:sz w:val="24"/>
          <w:szCs w:val="32"/>
          <w:highlight w:val="none"/>
        </w:rPr>
        <w:t>本表中“偏离</w:t>
      </w:r>
      <w:r>
        <w:rPr>
          <w:rFonts w:hint="eastAsia" w:asciiTheme="minorEastAsia" w:hAnsiTheme="minorEastAsia"/>
          <w:b w:val="0"/>
          <w:bCs w:val="0"/>
          <w:color w:val="auto"/>
          <w:sz w:val="24"/>
          <w:szCs w:val="32"/>
          <w:highlight w:val="none"/>
          <w:lang w:val="en-US" w:eastAsia="zh-CN"/>
        </w:rPr>
        <w:t>情况</w:t>
      </w:r>
      <w:r>
        <w:rPr>
          <w:rFonts w:hint="eastAsia" w:asciiTheme="minorEastAsia" w:hAnsiTheme="minorEastAsia"/>
          <w:b w:val="0"/>
          <w:bCs w:val="0"/>
          <w:color w:val="auto"/>
          <w:sz w:val="24"/>
          <w:szCs w:val="32"/>
          <w:highlight w:val="none"/>
        </w:rPr>
        <w:t>”只有三种状态（正偏离、无偏离、负偏离）</w:t>
      </w:r>
    </w:p>
    <w:p w14:paraId="13E353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b w:val="0"/>
          <w:bCs w:val="0"/>
          <w:color w:val="auto"/>
          <w:sz w:val="24"/>
          <w:szCs w:val="32"/>
          <w:highlight w:val="none"/>
          <w:lang w:val="en-US" w:eastAsia="zh-CN"/>
        </w:rPr>
      </w:pPr>
      <w:r>
        <w:rPr>
          <w:rFonts w:hint="eastAsia" w:asciiTheme="minorEastAsia" w:hAnsiTheme="minorEastAsia"/>
          <w:b w:val="0"/>
          <w:bCs w:val="0"/>
          <w:color w:val="auto"/>
          <w:sz w:val="24"/>
          <w:szCs w:val="32"/>
          <w:highlight w:val="none"/>
          <w:lang w:val="en-US" w:eastAsia="zh-CN"/>
        </w:rPr>
        <w:t>2.评审专家逐项核对技术偏离表及证明材料，评审结合证明材料，若填写“无偏离或正偏离”但证明材料不满足或低于采购文件要求，则视为负偏离，做扣分处理。</w:t>
      </w:r>
    </w:p>
    <w:p w14:paraId="5D4048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b w:val="0"/>
          <w:bCs w:val="0"/>
          <w:color w:val="auto"/>
          <w:sz w:val="24"/>
          <w:szCs w:val="32"/>
          <w:highlight w:val="none"/>
          <w:lang w:val="en-US" w:eastAsia="zh-CN"/>
        </w:rPr>
      </w:pPr>
      <w:r>
        <w:rPr>
          <w:rFonts w:hint="eastAsia" w:asciiTheme="minorEastAsia" w:hAnsiTheme="minorEastAsia"/>
          <w:b w:val="0"/>
          <w:bCs w:val="0"/>
          <w:color w:val="auto"/>
          <w:sz w:val="24"/>
          <w:szCs w:val="32"/>
          <w:highlight w:val="none"/>
          <w:lang w:val="en-US" w:eastAsia="zh-CN"/>
        </w:rPr>
        <w:t>3.验收以“技术偏离表+投标文件证明材料+设备实际功能”为依据进行逐条验收，信息不一致则验收不通过。</w:t>
      </w:r>
    </w:p>
    <w:p w14:paraId="799040F8">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0AFB6FBD">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27B52C9A">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b/>
          <w:bCs w:val="0"/>
          <w:color w:val="auto"/>
          <w:sz w:val="24"/>
          <w:szCs w:val="24"/>
          <w:highlight w:val="none"/>
        </w:rPr>
      </w:pPr>
      <w:r>
        <w:rPr>
          <w:rFonts w:hint="eastAsia" w:cs="宋体"/>
          <w:b/>
          <w:bCs/>
          <w:color w:val="auto"/>
          <w:sz w:val="24"/>
          <w:szCs w:val="24"/>
          <w:highlight w:val="none"/>
          <w:lang w:val="en-US" w:eastAsia="zh-CN"/>
        </w:rPr>
        <w:t>5.1</w:t>
      </w:r>
      <w:r>
        <w:rPr>
          <w:rFonts w:hint="eastAsia" w:ascii="宋体" w:hAnsi="宋体" w:eastAsia="宋体" w:cs="宋体"/>
          <w:b/>
          <w:bCs/>
          <w:color w:val="auto"/>
          <w:sz w:val="24"/>
          <w:szCs w:val="24"/>
          <w:highlight w:val="none"/>
          <w:lang w:val="en-US" w:eastAsia="zh-CN"/>
        </w:rPr>
        <w:t>按照采购文件“第二章 采购需求 二、技术要求”及“评分标准”中的要求提供产品技术</w:t>
      </w:r>
      <w:r>
        <w:rPr>
          <w:rFonts w:hint="eastAsia" w:cs="宋体"/>
          <w:b/>
          <w:bCs/>
          <w:color w:val="auto"/>
          <w:sz w:val="24"/>
          <w:szCs w:val="24"/>
          <w:highlight w:val="none"/>
          <w:lang w:val="en-US" w:eastAsia="zh-CN"/>
        </w:rPr>
        <w:t>参数</w:t>
      </w:r>
      <w:r>
        <w:rPr>
          <w:rFonts w:hint="eastAsia" w:ascii="宋体" w:hAnsi="宋体" w:eastAsia="宋体" w:cs="宋体"/>
          <w:b/>
          <w:bCs/>
          <w:color w:val="auto"/>
          <w:sz w:val="24"/>
          <w:szCs w:val="24"/>
          <w:highlight w:val="none"/>
          <w:lang w:val="en-US" w:eastAsia="zh-CN"/>
        </w:rPr>
        <w:t>证明文件。</w:t>
      </w:r>
    </w:p>
    <w:p w14:paraId="4FA89A61">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3C754F10">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5" w:name="_Toc24168"/>
      <w:bookmarkStart w:id="66" w:name="_Toc20420"/>
      <w:bookmarkStart w:id="67" w:name="_Toc29960"/>
      <w:r>
        <w:rPr>
          <w:rFonts w:hint="eastAsia" w:ascii="宋体" w:hAnsi="宋体" w:eastAsia="宋体" w:cs="宋体"/>
          <w:color w:val="auto"/>
          <w:sz w:val="28"/>
          <w:szCs w:val="28"/>
          <w:highlight w:val="none"/>
          <w:lang w:val="en-US" w:eastAsia="zh-CN"/>
        </w:rPr>
        <w:t>附件6            商务响应</w:t>
      </w:r>
      <w:bookmarkEnd w:id="65"/>
      <w:bookmarkEnd w:id="66"/>
      <w:bookmarkEnd w:id="67"/>
      <w:r>
        <w:rPr>
          <w:rFonts w:hint="eastAsia" w:ascii="宋体" w:hAnsi="宋体" w:eastAsia="宋体" w:cs="宋体"/>
          <w:color w:val="auto"/>
          <w:sz w:val="28"/>
          <w:szCs w:val="28"/>
          <w:highlight w:val="none"/>
          <w:lang w:val="en-US" w:eastAsia="zh-CN"/>
        </w:rPr>
        <w:t>表（格式）</w:t>
      </w:r>
    </w:p>
    <w:p w14:paraId="6D8CC24E">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1"/>
                <w:szCs w:val="21"/>
                <w:highlight w:val="none"/>
                <w:lang w:val="en-US" w:eastAsia="zh-CN"/>
              </w:rPr>
            </w:pPr>
            <w:r>
              <w:rPr>
                <w:rFonts w:hint="eastAsia" w:ascii="仿宋_GB2312" w:hAnsi="宋体" w:cs="宋体"/>
                <w:color w:val="auto"/>
                <w:kern w:val="0"/>
                <w:sz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1"/>
                <w:szCs w:val="21"/>
                <w:highlight w:val="none"/>
                <w:lang w:val="en-US" w:eastAsia="zh-CN"/>
              </w:rPr>
            </w:pPr>
            <w:r>
              <w:rPr>
                <w:rFonts w:hint="eastAsia" w:ascii="仿宋_GB2312" w:hAnsi="宋体" w:cs="宋体"/>
                <w:color w:val="auto"/>
                <w:kern w:val="0"/>
                <w:sz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highlight w:val="none"/>
                <w:lang w:val="en-US" w:eastAsia="zh-CN"/>
              </w:rPr>
            </w:pPr>
            <w:r>
              <w:rPr>
                <w:rFonts w:hint="eastAsia" w:ascii="仿宋_GB2312" w:hAnsi="宋体" w:cs="宋体"/>
                <w:color w:val="auto"/>
                <w:kern w:val="0"/>
                <w:sz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301" w:type="dxa"/>
            <w:noWrap w:val="0"/>
            <w:vAlign w:val="center"/>
          </w:tcPr>
          <w:p w14:paraId="6DC2849E">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0472149B">
            <w:pPr>
              <w:pStyle w:val="7"/>
              <w:ind w:left="0" w:leftChars="0"/>
              <w:jc w:val="center"/>
              <w:rPr>
                <w:rFonts w:hint="eastAsia" w:ascii="宋体" w:hAnsi="宋体" w:eastAsia="宋体" w:cs="宋体"/>
                <w:color w:val="auto"/>
                <w:sz w:val="21"/>
                <w:szCs w:val="21"/>
                <w:highlight w:val="none"/>
                <w:lang w:val="en-US" w:eastAsia="zh-CN"/>
              </w:rPr>
            </w:pP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eastAsia="zh-CN"/>
              </w:rPr>
            </w:pPr>
          </w:p>
        </w:tc>
        <w:tc>
          <w:tcPr>
            <w:tcW w:w="2301" w:type="dxa"/>
            <w:noWrap w:val="0"/>
            <w:vAlign w:val="center"/>
          </w:tcPr>
          <w:p w14:paraId="50BB9001">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6182A3E4">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C43BD33">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6FFBDC6">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3BA649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8" w:name="_Toc31526"/>
      <w:bookmarkStart w:id="69" w:name="_Toc28621"/>
      <w:r>
        <w:rPr>
          <w:rFonts w:hint="eastAsia" w:ascii="宋体" w:hAnsi="宋体" w:eastAsia="宋体" w:cs="宋体"/>
          <w:b/>
          <w:color w:val="auto"/>
          <w:sz w:val="28"/>
          <w:highlight w:val="none"/>
        </w:rPr>
        <w:br w:type="page"/>
      </w:r>
    </w:p>
    <w:p w14:paraId="40257B9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0" w:name="_Toc29406"/>
      <w:r>
        <w:rPr>
          <w:rFonts w:hint="eastAsia" w:ascii="宋体" w:hAnsi="宋体" w:eastAsia="宋体" w:cs="宋体"/>
          <w:color w:val="auto"/>
          <w:sz w:val="28"/>
          <w:szCs w:val="28"/>
          <w:highlight w:val="none"/>
          <w:lang w:val="en-US" w:eastAsia="zh-CN"/>
        </w:rPr>
        <w:t>附件7         法定代表人身份证明（格式）</w:t>
      </w:r>
      <w:bookmarkEnd w:id="68"/>
      <w:bookmarkEnd w:id="69"/>
      <w:bookmarkEnd w:id="70"/>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12939"/>
      <w:bookmarkStart w:id="72" w:name="_Toc13976"/>
      <w:bookmarkStart w:id="73" w:name="_Toc30519"/>
      <w:r>
        <w:rPr>
          <w:rFonts w:hint="eastAsia" w:ascii="宋体" w:hAnsi="宋体" w:eastAsia="宋体" w:cs="宋体"/>
          <w:color w:val="auto"/>
          <w:sz w:val="28"/>
          <w:szCs w:val="28"/>
          <w:highlight w:val="none"/>
          <w:lang w:val="en-US" w:eastAsia="zh-CN"/>
        </w:rPr>
        <w:t>附件8         法定代表人授权书（格式）</w:t>
      </w:r>
      <w:bookmarkEnd w:id="71"/>
      <w:bookmarkEnd w:id="72"/>
      <w:bookmarkEnd w:id="73"/>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4" w:name="_Toc18105"/>
      <w:bookmarkStart w:id="75" w:name="_Toc3342"/>
      <w:bookmarkStart w:id="76" w:name="_Toc24693"/>
      <w:r>
        <w:rPr>
          <w:rFonts w:hint="eastAsia" w:ascii="宋体" w:hAnsi="宋体" w:eastAsia="宋体" w:cs="宋体"/>
          <w:color w:val="auto"/>
          <w:sz w:val="28"/>
          <w:szCs w:val="28"/>
          <w:highlight w:val="none"/>
          <w:lang w:val="en-US" w:eastAsia="zh-CN"/>
        </w:rPr>
        <w:t>附件9          证明文件</w:t>
      </w:r>
      <w:bookmarkEnd w:id="74"/>
      <w:bookmarkEnd w:id="75"/>
      <w:bookmarkEnd w:id="76"/>
    </w:p>
    <w:p w14:paraId="61593FAD">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3BF5E483">
      <w:pPr>
        <w:pStyle w:val="13"/>
        <w:spacing w:beforeAutospacing="0" w:afterAutospacing="0" w:line="480" w:lineRule="auto"/>
        <w:jc w:val="both"/>
        <w:rPr>
          <w:rFonts w:hint="eastAsia" w:cs="宋体"/>
          <w:b/>
          <w:bCs w:val="0"/>
          <w:color w:val="auto"/>
          <w:sz w:val="24"/>
          <w:szCs w:val="24"/>
          <w:highlight w:val="none"/>
          <w:lang w:val="en-US" w:eastAsia="zh-CN"/>
        </w:rPr>
      </w:pPr>
    </w:p>
    <w:p w14:paraId="56887408">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 xml:space="preserve">9.2 </w:t>
      </w:r>
      <w:r>
        <w:rPr>
          <w:rFonts w:hint="eastAsia" w:ascii="宋体" w:hAnsi="宋体" w:eastAsia="宋体" w:cs="宋体"/>
          <w:b/>
          <w:bCs/>
          <w:color w:val="auto"/>
          <w:sz w:val="24"/>
          <w:szCs w:val="24"/>
          <w:highlight w:val="none"/>
          <w:lang w:val="en-US" w:eastAsia="zh-CN"/>
        </w:rPr>
        <w:t>投标产品技术</w:t>
      </w:r>
      <w:r>
        <w:rPr>
          <w:rFonts w:hint="eastAsia" w:cs="宋体"/>
          <w:b/>
          <w:bCs/>
          <w:color w:val="auto"/>
          <w:sz w:val="24"/>
          <w:szCs w:val="24"/>
          <w:highlight w:val="none"/>
          <w:lang w:val="en-US" w:eastAsia="zh-CN"/>
        </w:rPr>
        <w:t>参数证明</w:t>
      </w:r>
      <w:r>
        <w:rPr>
          <w:rFonts w:hint="eastAsia" w:ascii="宋体" w:hAnsi="宋体" w:eastAsia="宋体" w:cs="宋体"/>
          <w:b/>
          <w:bCs/>
          <w:color w:val="auto"/>
          <w:sz w:val="24"/>
          <w:szCs w:val="24"/>
          <w:highlight w:val="none"/>
          <w:lang w:val="en-US" w:eastAsia="zh-CN"/>
        </w:rPr>
        <w:t>资料：</w:t>
      </w:r>
    </w:p>
    <w:p w14:paraId="5FD496FA">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2" w:firstLineChars="200"/>
        <w:jc w:val="both"/>
        <w:textAlignment w:val="auto"/>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所投产品的医疗器械注册证【含附件：产品技术要求（如有）】或医疗器械备案凭证</w:t>
      </w:r>
      <w:r>
        <w:rPr>
          <w:rFonts w:hint="eastAsia" w:cs="宋体"/>
          <w:b/>
          <w:bCs/>
          <w:color w:val="auto"/>
          <w:sz w:val="24"/>
          <w:szCs w:val="24"/>
          <w:highlight w:val="none"/>
          <w:lang w:val="en-US" w:eastAsia="zh-CN"/>
        </w:rPr>
        <w:t>；</w:t>
      </w:r>
    </w:p>
    <w:p w14:paraId="1E3431F2">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both"/>
        <w:textAlignment w:val="auto"/>
        <w:rPr>
          <w:rFonts w:hint="default" w:cs="宋体"/>
          <w:b w:val="0"/>
          <w:bCs/>
          <w:color w:val="auto"/>
          <w:sz w:val="24"/>
          <w:szCs w:val="24"/>
          <w:highlight w:val="none"/>
          <w:lang w:val="en-US" w:eastAsia="zh-CN"/>
        </w:rPr>
      </w:pPr>
      <w:r>
        <w:rPr>
          <w:rFonts w:hint="eastAsia" w:cs="宋体"/>
          <w:b w:val="0"/>
          <w:bCs/>
          <w:color w:val="auto"/>
          <w:sz w:val="24"/>
          <w:szCs w:val="24"/>
          <w:highlight w:val="none"/>
          <w:lang w:val="en-US" w:eastAsia="zh-CN"/>
        </w:rPr>
        <w:t>注：</w:t>
      </w:r>
      <w:r>
        <w:rPr>
          <w:rFonts w:hint="eastAsia" w:ascii="宋体" w:hAnsi="宋体" w:eastAsia="宋体" w:cs="宋体"/>
          <w:b w:val="0"/>
          <w:bCs/>
          <w:color w:val="auto"/>
          <w:sz w:val="24"/>
          <w:szCs w:val="24"/>
          <w:highlight w:val="none"/>
          <w:lang w:val="en-US" w:eastAsia="zh-CN"/>
        </w:rPr>
        <w:t>医疗器械注册证【含附件：产品技术要求（如有）】</w:t>
      </w:r>
      <w:r>
        <w:rPr>
          <w:rFonts w:hint="eastAsia" w:cs="宋体"/>
          <w:b w:val="0"/>
          <w:bCs/>
          <w:color w:val="auto"/>
          <w:sz w:val="24"/>
          <w:szCs w:val="24"/>
          <w:highlight w:val="none"/>
          <w:lang w:val="en-US" w:eastAsia="zh-CN"/>
        </w:rPr>
        <w:t>是指医疗器械注册证上附件如写产品技术要求，则需同步提供完整版产品技术要求相关的证明材料。</w:t>
      </w:r>
    </w:p>
    <w:p w14:paraId="608EB127">
      <w:pPr>
        <w:pStyle w:val="13"/>
        <w:keepNext w:val="0"/>
        <w:keepLines w:val="0"/>
        <w:pageBreakBefore w:val="0"/>
        <w:widowControl/>
        <w:kinsoku/>
        <w:wordWrap/>
        <w:overflowPunct/>
        <w:topLinePunct w:val="0"/>
        <w:autoSpaceDE/>
        <w:autoSpaceDN/>
        <w:bidi w:val="0"/>
        <w:adjustRightInd/>
        <w:snapToGrid/>
        <w:spacing w:beforeAutospacing="0" w:afterAutospacing="0" w:line="560" w:lineRule="exact"/>
        <w:ind w:firstLine="537" w:firstLineChars="224"/>
        <w:jc w:val="both"/>
        <w:textAlignment w:val="auto"/>
        <w:rPr>
          <w:rFonts w:hint="default" w:cs="宋体"/>
          <w:b w:val="0"/>
          <w:bCs/>
          <w:color w:val="auto"/>
          <w:sz w:val="24"/>
          <w:szCs w:val="24"/>
          <w:highlight w:val="none"/>
          <w:lang w:val="en-US" w:eastAsia="zh-CN"/>
        </w:rPr>
      </w:pPr>
    </w:p>
    <w:p w14:paraId="44E82C90">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52799A6F">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9.3评分标准中需提供的证明材料（除技术参数要求外）</w:t>
      </w:r>
    </w:p>
    <w:p w14:paraId="2F51F77D">
      <w:pPr>
        <w:pStyle w:val="13"/>
        <w:spacing w:beforeAutospacing="0" w:afterAutospacing="0" w:line="480" w:lineRule="auto"/>
        <w:jc w:val="both"/>
        <w:rPr>
          <w:rFonts w:hint="default" w:cs="宋体"/>
          <w:b/>
          <w:bCs w:val="0"/>
          <w:color w:val="auto"/>
          <w:sz w:val="24"/>
          <w:szCs w:val="24"/>
          <w:highlight w:val="none"/>
          <w:lang w:val="en-US" w:eastAsia="zh-CN"/>
        </w:rPr>
      </w:pPr>
    </w:p>
    <w:p w14:paraId="44D2F11A">
      <w:pPr>
        <w:pStyle w:val="13"/>
        <w:spacing w:beforeAutospacing="0" w:afterAutospacing="0" w:line="480" w:lineRule="auto"/>
        <w:ind w:firstLine="540" w:firstLineChars="224"/>
        <w:jc w:val="both"/>
        <w:rPr>
          <w:rFonts w:cs="Arial" w:asciiTheme="minorEastAsia" w:hAnsiTheme="minorEastAsia"/>
          <w:color w:val="auto"/>
          <w:sz w:val="24"/>
          <w:szCs w:val="24"/>
          <w:highlight w:val="none"/>
        </w:rPr>
      </w:pPr>
      <w:bookmarkStart w:id="77" w:name="_Toc17966"/>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4</w:t>
      </w:r>
      <w:r>
        <w:rPr>
          <w:rFonts w:cs="Arial" w:asciiTheme="minorEastAsia" w:hAnsiTheme="minorEastAsia"/>
          <w:b/>
          <w:color w:val="auto"/>
          <w:sz w:val="24"/>
          <w:szCs w:val="24"/>
          <w:highlight w:val="none"/>
        </w:rPr>
        <w:t>销售业绩</w:t>
      </w:r>
    </w:p>
    <w:tbl>
      <w:tblPr>
        <w:tblStyle w:val="34"/>
        <w:tblW w:w="94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470"/>
        <w:gridCol w:w="1365"/>
        <w:gridCol w:w="1365"/>
        <w:gridCol w:w="1395"/>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6432738">
            <w:pPr>
              <w:spacing w:before="120"/>
              <w:jc w:val="center"/>
              <w:rPr>
                <w:rFonts w:hint="eastAsia" w:eastAsia="宋体"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序号</w:t>
            </w:r>
          </w:p>
        </w:tc>
        <w:tc>
          <w:tcPr>
            <w:tcW w:w="1392" w:type="dxa"/>
            <w:vAlign w:val="center"/>
          </w:tcPr>
          <w:p w14:paraId="5D77AEB6">
            <w:pPr>
              <w:spacing w:before="120"/>
              <w:jc w:val="center"/>
              <w:rPr>
                <w:rFonts w:cs="Arial" w:asciiTheme="minorEastAsia" w:hAnsiTheme="minorEastAsia"/>
                <w:color w:val="auto"/>
                <w:sz w:val="24"/>
                <w:highlight w:val="none"/>
              </w:rPr>
            </w:pPr>
            <w:r>
              <w:rPr>
                <w:rFonts w:cs="Arial" w:asciiTheme="minorEastAsia" w:hAnsiTheme="minorEastAsia"/>
                <w:color w:val="auto"/>
                <w:sz w:val="24"/>
                <w:highlight w:val="none"/>
              </w:rPr>
              <w:t>销售用户</w:t>
            </w:r>
          </w:p>
        </w:tc>
        <w:tc>
          <w:tcPr>
            <w:tcW w:w="1485" w:type="dxa"/>
            <w:vAlign w:val="center"/>
          </w:tcPr>
          <w:p w14:paraId="4E9B63B6">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rPr>
              <w:t>产品名称</w:t>
            </w:r>
          </w:p>
        </w:tc>
        <w:tc>
          <w:tcPr>
            <w:tcW w:w="1470" w:type="dxa"/>
            <w:vAlign w:val="center"/>
          </w:tcPr>
          <w:p w14:paraId="38187210">
            <w:pPr>
              <w:spacing w:before="120"/>
              <w:jc w:val="center"/>
              <w:rPr>
                <w:rFonts w:hint="default" w:eastAsia="宋体"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品牌</w:t>
            </w:r>
          </w:p>
        </w:tc>
        <w:tc>
          <w:tcPr>
            <w:tcW w:w="1365" w:type="dxa"/>
            <w:vAlign w:val="center"/>
          </w:tcPr>
          <w:p w14:paraId="02D23B7A">
            <w:pPr>
              <w:spacing w:before="120"/>
              <w:jc w:val="center"/>
              <w:rPr>
                <w:rFonts w:hint="default"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型号</w:t>
            </w:r>
          </w:p>
        </w:tc>
        <w:tc>
          <w:tcPr>
            <w:tcW w:w="1365" w:type="dxa"/>
            <w:vAlign w:val="center"/>
          </w:tcPr>
          <w:p w14:paraId="788302A4">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lang w:val="en-US" w:eastAsia="zh-CN"/>
              </w:rPr>
              <w:t>联系人及</w:t>
            </w:r>
            <w:r>
              <w:rPr>
                <w:rFonts w:cs="Arial" w:asciiTheme="minorEastAsia" w:hAnsiTheme="minorEastAsia"/>
                <w:color w:val="auto"/>
                <w:sz w:val="24"/>
                <w:highlight w:val="none"/>
              </w:rPr>
              <w:t>联系</w:t>
            </w:r>
            <w:r>
              <w:rPr>
                <w:rFonts w:hint="eastAsia" w:cs="Arial" w:asciiTheme="minorEastAsia" w:hAnsiTheme="minorEastAsia"/>
                <w:color w:val="auto"/>
                <w:sz w:val="24"/>
                <w:highlight w:val="none"/>
              </w:rPr>
              <w:t>电话</w:t>
            </w:r>
          </w:p>
        </w:tc>
        <w:tc>
          <w:tcPr>
            <w:tcW w:w="1395" w:type="dxa"/>
            <w:vAlign w:val="center"/>
          </w:tcPr>
          <w:p w14:paraId="0CD37DB9">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rPr>
              <w:t>销售年份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92D7448">
            <w:pPr>
              <w:spacing w:before="120"/>
              <w:jc w:val="center"/>
              <w:rPr>
                <w:rFonts w:cs="Arial" w:asciiTheme="minorEastAsia" w:hAnsiTheme="minorEastAsia"/>
                <w:color w:val="auto"/>
                <w:highlight w:val="none"/>
              </w:rPr>
            </w:pPr>
          </w:p>
        </w:tc>
        <w:tc>
          <w:tcPr>
            <w:tcW w:w="1392" w:type="dxa"/>
            <w:vAlign w:val="center"/>
          </w:tcPr>
          <w:p w14:paraId="0B354FD7">
            <w:pPr>
              <w:spacing w:before="120"/>
              <w:jc w:val="center"/>
              <w:rPr>
                <w:rFonts w:cs="Arial" w:asciiTheme="minorEastAsia" w:hAnsiTheme="minorEastAsia"/>
                <w:color w:val="auto"/>
                <w:highlight w:val="none"/>
              </w:rPr>
            </w:pPr>
          </w:p>
        </w:tc>
        <w:tc>
          <w:tcPr>
            <w:tcW w:w="1485" w:type="dxa"/>
            <w:vAlign w:val="center"/>
          </w:tcPr>
          <w:p w14:paraId="37AC1C1D">
            <w:pPr>
              <w:spacing w:before="120"/>
              <w:jc w:val="center"/>
              <w:rPr>
                <w:rFonts w:cs="Arial" w:asciiTheme="minorEastAsia" w:hAnsiTheme="minorEastAsia"/>
                <w:color w:val="auto"/>
                <w:highlight w:val="none"/>
              </w:rPr>
            </w:pPr>
          </w:p>
        </w:tc>
        <w:tc>
          <w:tcPr>
            <w:tcW w:w="1470" w:type="dxa"/>
            <w:vAlign w:val="center"/>
          </w:tcPr>
          <w:p w14:paraId="281E28E4">
            <w:pPr>
              <w:spacing w:before="120"/>
              <w:jc w:val="center"/>
              <w:rPr>
                <w:rFonts w:cs="Arial" w:asciiTheme="minorEastAsia" w:hAnsiTheme="minorEastAsia"/>
                <w:color w:val="auto"/>
                <w:highlight w:val="none"/>
              </w:rPr>
            </w:pPr>
          </w:p>
        </w:tc>
        <w:tc>
          <w:tcPr>
            <w:tcW w:w="1365" w:type="dxa"/>
            <w:vAlign w:val="center"/>
          </w:tcPr>
          <w:p w14:paraId="771BD6AB">
            <w:pPr>
              <w:spacing w:before="120"/>
              <w:jc w:val="center"/>
              <w:rPr>
                <w:rFonts w:cs="Arial" w:asciiTheme="minorEastAsia" w:hAnsiTheme="minorEastAsia"/>
                <w:color w:val="auto"/>
                <w:highlight w:val="none"/>
              </w:rPr>
            </w:pPr>
          </w:p>
        </w:tc>
        <w:tc>
          <w:tcPr>
            <w:tcW w:w="1365" w:type="dxa"/>
            <w:vAlign w:val="center"/>
          </w:tcPr>
          <w:p w14:paraId="61E60ADA">
            <w:pPr>
              <w:spacing w:before="120"/>
              <w:jc w:val="center"/>
              <w:rPr>
                <w:rFonts w:cs="Arial" w:asciiTheme="minorEastAsia" w:hAnsiTheme="minorEastAsia"/>
                <w:color w:val="auto"/>
                <w:highlight w:val="none"/>
              </w:rPr>
            </w:pPr>
          </w:p>
        </w:tc>
        <w:tc>
          <w:tcPr>
            <w:tcW w:w="1395" w:type="dxa"/>
            <w:vAlign w:val="center"/>
          </w:tcPr>
          <w:p w14:paraId="04447730">
            <w:pPr>
              <w:spacing w:before="120"/>
              <w:jc w:val="center"/>
              <w:rPr>
                <w:rFonts w:cs="Arial" w:asciiTheme="minorEastAsia" w:hAnsiTheme="minorEastAsia"/>
                <w:color w:val="auto"/>
                <w:highlight w:val="none"/>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B8AF551">
            <w:pPr>
              <w:spacing w:before="120"/>
              <w:jc w:val="center"/>
              <w:rPr>
                <w:rFonts w:cs="Arial" w:asciiTheme="minorEastAsia" w:hAnsiTheme="minorEastAsia"/>
                <w:color w:val="auto"/>
                <w:highlight w:val="none"/>
              </w:rPr>
            </w:pPr>
          </w:p>
        </w:tc>
        <w:tc>
          <w:tcPr>
            <w:tcW w:w="1392" w:type="dxa"/>
            <w:vAlign w:val="center"/>
          </w:tcPr>
          <w:p w14:paraId="2DA219B5">
            <w:pPr>
              <w:spacing w:before="120"/>
              <w:jc w:val="center"/>
              <w:rPr>
                <w:rFonts w:cs="Arial" w:asciiTheme="minorEastAsia" w:hAnsiTheme="minorEastAsia"/>
                <w:color w:val="auto"/>
                <w:highlight w:val="none"/>
              </w:rPr>
            </w:pPr>
          </w:p>
        </w:tc>
        <w:tc>
          <w:tcPr>
            <w:tcW w:w="1485" w:type="dxa"/>
            <w:vAlign w:val="center"/>
          </w:tcPr>
          <w:p w14:paraId="60964CDB">
            <w:pPr>
              <w:spacing w:before="120"/>
              <w:jc w:val="center"/>
              <w:rPr>
                <w:rFonts w:cs="Arial" w:asciiTheme="minorEastAsia" w:hAnsiTheme="minorEastAsia"/>
                <w:color w:val="auto"/>
                <w:highlight w:val="none"/>
              </w:rPr>
            </w:pPr>
          </w:p>
        </w:tc>
        <w:tc>
          <w:tcPr>
            <w:tcW w:w="1470" w:type="dxa"/>
            <w:vAlign w:val="center"/>
          </w:tcPr>
          <w:p w14:paraId="61B640D0">
            <w:pPr>
              <w:spacing w:before="120"/>
              <w:jc w:val="center"/>
              <w:rPr>
                <w:rFonts w:cs="Arial" w:asciiTheme="minorEastAsia" w:hAnsiTheme="minorEastAsia"/>
                <w:color w:val="auto"/>
                <w:highlight w:val="none"/>
              </w:rPr>
            </w:pPr>
          </w:p>
        </w:tc>
        <w:tc>
          <w:tcPr>
            <w:tcW w:w="1365" w:type="dxa"/>
            <w:vAlign w:val="center"/>
          </w:tcPr>
          <w:p w14:paraId="536881BB">
            <w:pPr>
              <w:spacing w:before="120"/>
              <w:jc w:val="center"/>
              <w:rPr>
                <w:rFonts w:cs="Arial" w:asciiTheme="minorEastAsia" w:hAnsiTheme="minorEastAsia"/>
                <w:color w:val="auto"/>
                <w:highlight w:val="none"/>
              </w:rPr>
            </w:pPr>
          </w:p>
        </w:tc>
        <w:tc>
          <w:tcPr>
            <w:tcW w:w="1365" w:type="dxa"/>
            <w:vAlign w:val="center"/>
          </w:tcPr>
          <w:p w14:paraId="2C3F9359">
            <w:pPr>
              <w:spacing w:before="120"/>
              <w:jc w:val="center"/>
              <w:rPr>
                <w:rFonts w:cs="Arial" w:asciiTheme="minorEastAsia" w:hAnsiTheme="minorEastAsia"/>
                <w:color w:val="auto"/>
                <w:highlight w:val="none"/>
              </w:rPr>
            </w:pPr>
          </w:p>
        </w:tc>
        <w:tc>
          <w:tcPr>
            <w:tcW w:w="1395" w:type="dxa"/>
            <w:vAlign w:val="center"/>
          </w:tcPr>
          <w:p w14:paraId="104FB69F">
            <w:pPr>
              <w:spacing w:before="120"/>
              <w:jc w:val="center"/>
              <w:rPr>
                <w:rFonts w:cs="Arial" w:asciiTheme="minorEastAsia" w:hAnsiTheme="minorEastAsia"/>
                <w:color w:val="auto"/>
                <w:highlight w:val="none"/>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237FDB6">
            <w:pPr>
              <w:spacing w:before="120"/>
              <w:jc w:val="center"/>
              <w:rPr>
                <w:rFonts w:cs="Arial" w:asciiTheme="minorEastAsia" w:hAnsiTheme="minorEastAsia"/>
                <w:color w:val="auto"/>
                <w:highlight w:val="none"/>
              </w:rPr>
            </w:pPr>
          </w:p>
        </w:tc>
        <w:tc>
          <w:tcPr>
            <w:tcW w:w="1392" w:type="dxa"/>
            <w:vAlign w:val="center"/>
          </w:tcPr>
          <w:p w14:paraId="0EC68B0F">
            <w:pPr>
              <w:spacing w:before="120"/>
              <w:jc w:val="center"/>
              <w:rPr>
                <w:rFonts w:cs="Arial" w:asciiTheme="minorEastAsia" w:hAnsiTheme="minorEastAsia"/>
                <w:color w:val="auto"/>
                <w:highlight w:val="none"/>
              </w:rPr>
            </w:pPr>
          </w:p>
        </w:tc>
        <w:tc>
          <w:tcPr>
            <w:tcW w:w="1485" w:type="dxa"/>
            <w:vAlign w:val="center"/>
          </w:tcPr>
          <w:p w14:paraId="6264E41A">
            <w:pPr>
              <w:spacing w:before="120"/>
              <w:jc w:val="center"/>
              <w:rPr>
                <w:rFonts w:cs="Arial" w:asciiTheme="minorEastAsia" w:hAnsiTheme="minorEastAsia"/>
                <w:color w:val="auto"/>
                <w:highlight w:val="none"/>
              </w:rPr>
            </w:pPr>
          </w:p>
        </w:tc>
        <w:tc>
          <w:tcPr>
            <w:tcW w:w="1470" w:type="dxa"/>
            <w:vAlign w:val="center"/>
          </w:tcPr>
          <w:p w14:paraId="07450E34">
            <w:pPr>
              <w:spacing w:before="120"/>
              <w:jc w:val="center"/>
              <w:rPr>
                <w:rFonts w:cs="Arial" w:asciiTheme="minorEastAsia" w:hAnsiTheme="minorEastAsia"/>
                <w:color w:val="auto"/>
                <w:highlight w:val="none"/>
              </w:rPr>
            </w:pPr>
          </w:p>
        </w:tc>
        <w:tc>
          <w:tcPr>
            <w:tcW w:w="1365" w:type="dxa"/>
            <w:vAlign w:val="center"/>
          </w:tcPr>
          <w:p w14:paraId="4C553C60">
            <w:pPr>
              <w:spacing w:before="120"/>
              <w:jc w:val="center"/>
              <w:rPr>
                <w:rFonts w:cs="Arial" w:asciiTheme="minorEastAsia" w:hAnsiTheme="minorEastAsia"/>
                <w:color w:val="auto"/>
                <w:highlight w:val="none"/>
              </w:rPr>
            </w:pPr>
          </w:p>
        </w:tc>
        <w:tc>
          <w:tcPr>
            <w:tcW w:w="1365" w:type="dxa"/>
            <w:vAlign w:val="center"/>
          </w:tcPr>
          <w:p w14:paraId="1A92A840">
            <w:pPr>
              <w:spacing w:before="120"/>
              <w:jc w:val="center"/>
              <w:rPr>
                <w:rFonts w:cs="Arial" w:asciiTheme="minorEastAsia" w:hAnsiTheme="minorEastAsia"/>
                <w:color w:val="auto"/>
                <w:highlight w:val="none"/>
              </w:rPr>
            </w:pPr>
          </w:p>
        </w:tc>
        <w:tc>
          <w:tcPr>
            <w:tcW w:w="1395" w:type="dxa"/>
            <w:vAlign w:val="center"/>
          </w:tcPr>
          <w:p w14:paraId="4ED4F07A">
            <w:pPr>
              <w:spacing w:before="120"/>
              <w:jc w:val="center"/>
              <w:rPr>
                <w:rFonts w:cs="Arial" w:asciiTheme="minorEastAsia" w:hAnsiTheme="minorEastAsia"/>
                <w:color w:val="auto"/>
                <w:highlight w:val="none"/>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CBAE2E1">
            <w:pPr>
              <w:spacing w:before="120"/>
              <w:jc w:val="center"/>
              <w:rPr>
                <w:rFonts w:cs="Arial" w:asciiTheme="minorEastAsia" w:hAnsiTheme="minorEastAsia"/>
                <w:color w:val="auto"/>
                <w:highlight w:val="none"/>
              </w:rPr>
            </w:pPr>
          </w:p>
        </w:tc>
        <w:tc>
          <w:tcPr>
            <w:tcW w:w="1392" w:type="dxa"/>
            <w:vAlign w:val="center"/>
          </w:tcPr>
          <w:p w14:paraId="1B2F6ED2">
            <w:pPr>
              <w:spacing w:before="120"/>
              <w:jc w:val="center"/>
              <w:rPr>
                <w:rFonts w:cs="Arial" w:asciiTheme="minorEastAsia" w:hAnsiTheme="minorEastAsia"/>
                <w:color w:val="auto"/>
                <w:highlight w:val="none"/>
              </w:rPr>
            </w:pPr>
          </w:p>
        </w:tc>
        <w:tc>
          <w:tcPr>
            <w:tcW w:w="1485" w:type="dxa"/>
            <w:vAlign w:val="center"/>
          </w:tcPr>
          <w:p w14:paraId="2D2D2FEC">
            <w:pPr>
              <w:spacing w:before="120"/>
              <w:jc w:val="center"/>
              <w:rPr>
                <w:rFonts w:cs="Arial" w:asciiTheme="minorEastAsia" w:hAnsiTheme="minorEastAsia"/>
                <w:color w:val="auto"/>
                <w:highlight w:val="none"/>
              </w:rPr>
            </w:pPr>
          </w:p>
        </w:tc>
        <w:tc>
          <w:tcPr>
            <w:tcW w:w="1470" w:type="dxa"/>
            <w:vAlign w:val="center"/>
          </w:tcPr>
          <w:p w14:paraId="190C8459">
            <w:pPr>
              <w:spacing w:before="120"/>
              <w:jc w:val="center"/>
              <w:rPr>
                <w:rFonts w:cs="Arial" w:asciiTheme="minorEastAsia" w:hAnsiTheme="minorEastAsia"/>
                <w:color w:val="auto"/>
                <w:highlight w:val="none"/>
              </w:rPr>
            </w:pPr>
          </w:p>
        </w:tc>
        <w:tc>
          <w:tcPr>
            <w:tcW w:w="1365" w:type="dxa"/>
            <w:vAlign w:val="center"/>
          </w:tcPr>
          <w:p w14:paraId="5C1E72EF">
            <w:pPr>
              <w:spacing w:before="120"/>
              <w:jc w:val="center"/>
              <w:rPr>
                <w:rFonts w:cs="Arial" w:asciiTheme="minorEastAsia" w:hAnsiTheme="minorEastAsia"/>
                <w:color w:val="auto"/>
                <w:highlight w:val="none"/>
              </w:rPr>
            </w:pPr>
          </w:p>
        </w:tc>
        <w:tc>
          <w:tcPr>
            <w:tcW w:w="1365" w:type="dxa"/>
            <w:vAlign w:val="center"/>
          </w:tcPr>
          <w:p w14:paraId="5A6E5E8B">
            <w:pPr>
              <w:spacing w:before="120"/>
              <w:jc w:val="center"/>
              <w:rPr>
                <w:rFonts w:cs="Arial" w:asciiTheme="minorEastAsia" w:hAnsiTheme="minorEastAsia"/>
                <w:color w:val="auto"/>
                <w:highlight w:val="none"/>
              </w:rPr>
            </w:pPr>
          </w:p>
        </w:tc>
        <w:tc>
          <w:tcPr>
            <w:tcW w:w="1395" w:type="dxa"/>
            <w:vAlign w:val="center"/>
          </w:tcPr>
          <w:p w14:paraId="2D89B567">
            <w:pPr>
              <w:spacing w:before="120"/>
              <w:jc w:val="center"/>
              <w:rPr>
                <w:rFonts w:cs="Arial" w:asciiTheme="minorEastAsia" w:hAnsiTheme="minorEastAsia"/>
                <w:color w:val="auto"/>
                <w:highlight w:val="none"/>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43FA176">
            <w:pPr>
              <w:spacing w:before="120"/>
              <w:jc w:val="center"/>
              <w:rPr>
                <w:rFonts w:cs="Arial" w:asciiTheme="minorEastAsia" w:hAnsiTheme="minorEastAsia"/>
                <w:color w:val="auto"/>
                <w:highlight w:val="none"/>
              </w:rPr>
            </w:pPr>
          </w:p>
        </w:tc>
        <w:tc>
          <w:tcPr>
            <w:tcW w:w="1392" w:type="dxa"/>
            <w:vAlign w:val="center"/>
          </w:tcPr>
          <w:p w14:paraId="6EC5F5FE">
            <w:pPr>
              <w:spacing w:before="120"/>
              <w:jc w:val="center"/>
              <w:rPr>
                <w:rFonts w:cs="Arial" w:asciiTheme="minorEastAsia" w:hAnsiTheme="minorEastAsia"/>
                <w:color w:val="auto"/>
                <w:highlight w:val="none"/>
              </w:rPr>
            </w:pPr>
          </w:p>
        </w:tc>
        <w:tc>
          <w:tcPr>
            <w:tcW w:w="1485" w:type="dxa"/>
            <w:vAlign w:val="center"/>
          </w:tcPr>
          <w:p w14:paraId="1226E7A2">
            <w:pPr>
              <w:spacing w:before="120"/>
              <w:jc w:val="center"/>
              <w:rPr>
                <w:rFonts w:cs="Arial" w:asciiTheme="minorEastAsia" w:hAnsiTheme="minorEastAsia"/>
                <w:color w:val="auto"/>
                <w:highlight w:val="none"/>
              </w:rPr>
            </w:pPr>
          </w:p>
        </w:tc>
        <w:tc>
          <w:tcPr>
            <w:tcW w:w="1470" w:type="dxa"/>
            <w:vAlign w:val="center"/>
          </w:tcPr>
          <w:p w14:paraId="4369E923">
            <w:pPr>
              <w:spacing w:before="120"/>
              <w:jc w:val="center"/>
              <w:rPr>
                <w:rFonts w:cs="Arial" w:asciiTheme="minorEastAsia" w:hAnsiTheme="minorEastAsia"/>
                <w:color w:val="auto"/>
                <w:highlight w:val="none"/>
              </w:rPr>
            </w:pPr>
          </w:p>
        </w:tc>
        <w:tc>
          <w:tcPr>
            <w:tcW w:w="1365" w:type="dxa"/>
            <w:vAlign w:val="center"/>
          </w:tcPr>
          <w:p w14:paraId="06A63D0D">
            <w:pPr>
              <w:spacing w:before="120"/>
              <w:jc w:val="center"/>
              <w:rPr>
                <w:rFonts w:cs="Arial" w:asciiTheme="minorEastAsia" w:hAnsiTheme="minorEastAsia"/>
                <w:color w:val="auto"/>
                <w:highlight w:val="none"/>
              </w:rPr>
            </w:pPr>
          </w:p>
        </w:tc>
        <w:tc>
          <w:tcPr>
            <w:tcW w:w="1365" w:type="dxa"/>
            <w:vAlign w:val="center"/>
          </w:tcPr>
          <w:p w14:paraId="2EE9EADA">
            <w:pPr>
              <w:spacing w:before="120"/>
              <w:jc w:val="center"/>
              <w:rPr>
                <w:rFonts w:cs="Arial" w:asciiTheme="minorEastAsia" w:hAnsiTheme="minorEastAsia"/>
                <w:color w:val="auto"/>
                <w:highlight w:val="none"/>
              </w:rPr>
            </w:pPr>
          </w:p>
        </w:tc>
        <w:tc>
          <w:tcPr>
            <w:tcW w:w="1395" w:type="dxa"/>
            <w:vAlign w:val="center"/>
          </w:tcPr>
          <w:p w14:paraId="2827C9D7">
            <w:pPr>
              <w:spacing w:before="120"/>
              <w:jc w:val="center"/>
              <w:rPr>
                <w:rFonts w:cs="Arial" w:asciiTheme="minorEastAsia" w:hAnsiTheme="minorEastAsia"/>
                <w:color w:val="auto"/>
                <w:highlight w:val="none"/>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3627E7B">
            <w:pPr>
              <w:spacing w:before="120"/>
              <w:jc w:val="center"/>
              <w:rPr>
                <w:rFonts w:cs="Arial" w:asciiTheme="minorEastAsia" w:hAnsiTheme="minorEastAsia"/>
                <w:color w:val="auto"/>
                <w:highlight w:val="none"/>
              </w:rPr>
            </w:pPr>
          </w:p>
        </w:tc>
        <w:tc>
          <w:tcPr>
            <w:tcW w:w="1392" w:type="dxa"/>
            <w:vAlign w:val="center"/>
          </w:tcPr>
          <w:p w14:paraId="3904317C">
            <w:pPr>
              <w:spacing w:before="120"/>
              <w:jc w:val="center"/>
              <w:rPr>
                <w:rFonts w:cs="Arial" w:asciiTheme="minorEastAsia" w:hAnsiTheme="minorEastAsia"/>
                <w:color w:val="auto"/>
                <w:highlight w:val="none"/>
              </w:rPr>
            </w:pPr>
          </w:p>
        </w:tc>
        <w:tc>
          <w:tcPr>
            <w:tcW w:w="1485" w:type="dxa"/>
            <w:vAlign w:val="center"/>
          </w:tcPr>
          <w:p w14:paraId="2B41D14C">
            <w:pPr>
              <w:spacing w:before="120"/>
              <w:jc w:val="center"/>
              <w:rPr>
                <w:rFonts w:cs="Arial" w:asciiTheme="minorEastAsia" w:hAnsiTheme="minorEastAsia"/>
                <w:color w:val="auto"/>
                <w:highlight w:val="none"/>
              </w:rPr>
            </w:pPr>
          </w:p>
        </w:tc>
        <w:tc>
          <w:tcPr>
            <w:tcW w:w="1470" w:type="dxa"/>
            <w:vAlign w:val="center"/>
          </w:tcPr>
          <w:p w14:paraId="45CFC41B">
            <w:pPr>
              <w:spacing w:before="120"/>
              <w:jc w:val="center"/>
              <w:rPr>
                <w:rFonts w:cs="Arial" w:asciiTheme="minorEastAsia" w:hAnsiTheme="minorEastAsia"/>
                <w:color w:val="auto"/>
                <w:highlight w:val="none"/>
              </w:rPr>
            </w:pPr>
          </w:p>
        </w:tc>
        <w:tc>
          <w:tcPr>
            <w:tcW w:w="1365" w:type="dxa"/>
            <w:vAlign w:val="center"/>
          </w:tcPr>
          <w:p w14:paraId="32CFA217">
            <w:pPr>
              <w:spacing w:before="120"/>
              <w:jc w:val="center"/>
              <w:rPr>
                <w:rFonts w:cs="Arial" w:asciiTheme="minorEastAsia" w:hAnsiTheme="minorEastAsia"/>
                <w:color w:val="auto"/>
                <w:highlight w:val="none"/>
              </w:rPr>
            </w:pPr>
          </w:p>
        </w:tc>
        <w:tc>
          <w:tcPr>
            <w:tcW w:w="1365" w:type="dxa"/>
            <w:vAlign w:val="center"/>
          </w:tcPr>
          <w:p w14:paraId="3797DB3D">
            <w:pPr>
              <w:spacing w:before="120"/>
              <w:jc w:val="center"/>
              <w:rPr>
                <w:rFonts w:cs="Arial" w:asciiTheme="minorEastAsia" w:hAnsiTheme="minorEastAsia"/>
                <w:color w:val="auto"/>
                <w:highlight w:val="none"/>
              </w:rPr>
            </w:pPr>
          </w:p>
        </w:tc>
        <w:tc>
          <w:tcPr>
            <w:tcW w:w="1395" w:type="dxa"/>
            <w:vAlign w:val="center"/>
          </w:tcPr>
          <w:p w14:paraId="54B94AE8">
            <w:pPr>
              <w:spacing w:before="120"/>
              <w:jc w:val="center"/>
              <w:rPr>
                <w:rFonts w:cs="Arial" w:asciiTheme="minorEastAsia" w:hAnsiTheme="minorEastAsia"/>
                <w:color w:val="auto"/>
                <w:highlight w:val="none"/>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7DE1F7E">
            <w:pPr>
              <w:spacing w:before="120"/>
              <w:jc w:val="center"/>
              <w:rPr>
                <w:rFonts w:cs="Arial" w:asciiTheme="minorEastAsia" w:hAnsiTheme="minorEastAsia"/>
                <w:color w:val="auto"/>
                <w:highlight w:val="none"/>
              </w:rPr>
            </w:pPr>
          </w:p>
        </w:tc>
        <w:tc>
          <w:tcPr>
            <w:tcW w:w="1392" w:type="dxa"/>
            <w:vAlign w:val="center"/>
          </w:tcPr>
          <w:p w14:paraId="1313E78D">
            <w:pPr>
              <w:spacing w:before="120"/>
              <w:jc w:val="center"/>
              <w:rPr>
                <w:rFonts w:cs="Arial" w:asciiTheme="minorEastAsia" w:hAnsiTheme="minorEastAsia"/>
                <w:color w:val="auto"/>
                <w:highlight w:val="none"/>
              </w:rPr>
            </w:pPr>
          </w:p>
        </w:tc>
        <w:tc>
          <w:tcPr>
            <w:tcW w:w="1485" w:type="dxa"/>
            <w:vAlign w:val="center"/>
          </w:tcPr>
          <w:p w14:paraId="1B7314DE">
            <w:pPr>
              <w:spacing w:before="120"/>
              <w:jc w:val="center"/>
              <w:rPr>
                <w:rFonts w:cs="Arial" w:asciiTheme="minorEastAsia" w:hAnsiTheme="minorEastAsia"/>
                <w:color w:val="auto"/>
                <w:highlight w:val="none"/>
              </w:rPr>
            </w:pPr>
          </w:p>
        </w:tc>
        <w:tc>
          <w:tcPr>
            <w:tcW w:w="1470" w:type="dxa"/>
            <w:vAlign w:val="center"/>
          </w:tcPr>
          <w:p w14:paraId="3DF6CFC0">
            <w:pPr>
              <w:spacing w:before="120"/>
              <w:jc w:val="center"/>
              <w:rPr>
                <w:rFonts w:cs="Arial" w:asciiTheme="minorEastAsia" w:hAnsiTheme="minorEastAsia"/>
                <w:color w:val="auto"/>
                <w:highlight w:val="none"/>
              </w:rPr>
            </w:pPr>
          </w:p>
        </w:tc>
        <w:tc>
          <w:tcPr>
            <w:tcW w:w="1365" w:type="dxa"/>
            <w:vAlign w:val="center"/>
          </w:tcPr>
          <w:p w14:paraId="755F2A9A">
            <w:pPr>
              <w:spacing w:before="120"/>
              <w:jc w:val="center"/>
              <w:rPr>
                <w:rFonts w:cs="Arial" w:asciiTheme="minorEastAsia" w:hAnsiTheme="minorEastAsia"/>
                <w:color w:val="auto"/>
                <w:highlight w:val="none"/>
              </w:rPr>
            </w:pPr>
          </w:p>
        </w:tc>
        <w:tc>
          <w:tcPr>
            <w:tcW w:w="1365" w:type="dxa"/>
            <w:vAlign w:val="center"/>
          </w:tcPr>
          <w:p w14:paraId="2E509206">
            <w:pPr>
              <w:spacing w:before="120"/>
              <w:jc w:val="center"/>
              <w:rPr>
                <w:rFonts w:cs="Arial" w:asciiTheme="minorEastAsia" w:hAnsiTheme="minorEastAsia"/>
                <w:color w:val="auto"/>
                <w:highlight w:val="none"/>
              </w:rPr>
            </w:pPr>
          </w:p>
        </w:tc>
        <w:tc>
          <w:tcPr>
            <w:tcW w:w="1395" w:type="dxa"/>
            <w:vAlign w:val="center"/>
          </w:tcPr>
          <w:p w14:paraId="79E06EF4">
            <w:pPr>
              <w:spacing w:before="120"/>
              <w:jc w:val="center"/>
              <w:rPr>
                <w:rFonts w:cs="Arial" w:asciiTheme="minorEastAsia" w:hAnsiTheme="minorEastAsia"/>
                <w:color w:val="auto"/>
                <w:highlight w:val="none"/>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62B57E21">
            <w:pPr>
              <w:spacing w:before="120"/>
              <w:jc w:val="center"/>
              <w:rPr>
                <w:rFonts w:cs="Arial" w:asciiTheme="minorEastAsia" w:hAnsiTheme="minorEastAsia"/>
                <w:color w:val="auto"/>
                <w:highlight w:val="none"/>
              </w:rPr>
            </w:pPr>
          </w:p>
        </w:tc>
        <w:tc>
          <w:tcPr>
            <w:tcW w:w="1392" w:type="dxa"/>
            <w:vAlign w:val="center"/>
          </w:tcPr>
          <w:p w14:paraId="561AB2CF">
            <w:pPr>
              <w:spacing w:before="120"/>
              <w:jc w:val="center"/>
              <w:rPr>
                <w:rFonts w:cs="Arial" w:asciiTheme="minorEastAsia" w:hAnsiTheme="minorEastAsia"/>
                <w:color w:val="auto"/>
                <w:highlight w:val="none"/>
              </w:rPr>
            </w:pPr>
          </w:p>
        </w:tc>
        <w:tc>
          <w:tcPr>
            <w:tcW w:w="1485" w:type="dxa"/>
            <w:vAlign w:val="center"/>
          </w:tcPr>
          <w:p w14:paraId="4DC497D5">
            <w:pPr>
              <w:spacing w:before="120"/>
              <w:jc w:val="center"/>
              <w:rPr>
                <w:rFonts w:cs="Arial" w:asciiTheme="minorEastAsia" w:hAnsiTheme="minorEastAsia"/>
                <w:color w:val="auto"/>
                <w:highlight w:val="none"/>
              </w:rPr>
            </w:pPr>
          </w:p>
        </w:tc>
        <w:tc>
          <w:tcPr>
            <w:tcW w:w="1470" w:type="dxa"/>
            <w:vAlign w:val="center"/>
          </w:tcPr>
          <w:p w14:paraId="6F07EB69">
            <w:pPr>
              <w:spacing w:before="120"/>
              <w:jc w:val="center"/>
              <w:rPr>
                <w:rFonts w:cs="Arial" w:asciiTheme="minorEastAsia" w:hAnsiTheme="minorEastAsia"/>
                <w:color w:val="auto"/>
                <w:highlight w:val="none"/>
              </w:rPr>
            </w:pPr>
          </w:p>
        </w:tc>
        <w:tc>
          <w:tcPr>
            <w:tcW w:w="1365" w:type="dxa"/>
            <w:vAlign w:val="center"/>
          </w:tcPr>
          <w:p w14:paraId="67F571B3">
            <w:pPr>
              <w:spacing w:before="120"/>
              <w:jc w:val="center"/>
              <w:rPr>
                <w:rFonts w:cs="Arial" w:asciiTheme="minorEastAsia" w:hAnsiTheme="minorEastAsia"/>
                <w:color w:val="auto"/>
                <w:highlight w:val="none"/>
              </w:rPr>
            </w:pPr>
          </w:p>
        </w:tc>
        <w:tc>
          <w:tcPr>
            <w:tcW w:w="1365" w:type="dxa"/>
            <w:vAlign w:val="center"/>
          </w:tcPr>
          <w:p w14:paraId="0E56BECE">
            <w:pPr>
              <w:spacing w:before="120"/>
              <w:jc w:val="center"/>
              <w:rPr>
                <w:rFonts w:cs="Arial" w:asciiTheme="minorEastAsia" w:hAnsiTheme="minorEastAsia"/>
                <w:color w:val="auto"/>
                <w:highlight w:val="none"/>
              </w:rPr>
            </w:pPr>
          </w:p>
        </w:tc>
        <w:tc>
          <w:tcPr>
            <w:tcW w:w="1395" w:type="dxa"/>
            <w:vAlign w:val="center"/>
          </w:tcPr>
          <w:p w14:paraId="4147F08F">
            <w:pPr>
              <w:spacing w:before="120"/>
              <w:jc w:val="center"/>
              <w:rPr>
                <w:rFonts w:cs="Arial" w:asciiTheme="minorEastAsia" w:hAnsiTheme="minorEastAsia"/>
                <w:color w:val="auto"/>
                <w:highlight w:val="none"/>
              </w:rPr>
            </w:pPr>
          </w:p>
        </w:tc>
      </w:tr>
    </w:tbl>
    <w:p w14:paraId="5016CED6">
      <w:pPr>
        <w:spacing w:line="380" w:lineRule="exact"/>
        <w:rPr>
          <w:rFonts w:hint="default" w:eastAsia="宋体" w:asciiTheme="minorEastAsia" w:hAnsiTheme="minorEastAsia"/>
          <w:b/>
          <w:color w:val="auto"/>
          <w:szCs w:val="21"/>
          <w:highlight w:val="none"/>
          <w:lang w:val="en-US" w:eastAsia="zh-CN"/>
        </w:rPr>
      </w:pPr>
      <w:r>
        <w:rPr>
          <w:rFonts w:hint="eastAsia" w:asciiTheme="minorEastAsia" w:hAnsiTheme="minorEastAsia"/>
          <w:b/>
          <w:color w:val="auto"/>
          <w:szCs w:val="21"/>
          <w:highlight w:val="none"/>
        </w:rPr>
        <w:t>注：供应商需在本表后附</w:t>
      </w:r>
      <w:r>
        <w:rPr>
          <w:rFonts w:hint="eastAsia" w:asciiTheme="minorEastAsia" w:hAnsiTheme="minorEastAsia"/>
          <w:b/>
          <w:color w:val="auto"/>
          <w:szCs w:val="21"/>
          <w:highlight w:val="none"/>
          <w:lang w:val="en-US" w:eastAsia="zh-CN"/>
        </w:rPr>
        <w:t>销售业绩</w:t>
      </w:r>
      <w:r>
        <w:rPr>
          <w:rFonts w:hint="eastAsia" w:asciiTheme="minorEastAsia" w:hAnsiTheme="minorEastAsia"/>
          <w:b/>
          <w:color w:val="auto"/>
          <w:szCs w:val="21"/>
          <w:highlight w:val="none"/>
        </w:rPr>
        <w:t>合同</w:t>
      </w:r>
      <w:r>
        <w:rPr>
          <w:rFonts w:hint="eastAsia" w:asciiTheme="minorEastAsia" w:hAnsiTheme="minorEastAsia"/>
          <w:b/>
          <w:color w:val="auto"/>
          <w:szCs w:val="21"/>
          <w:highlight w:val="none"/>
          <w:lang w:val="en-US" w:eastAsia="zh-CN"/>
        </w:rPr>
        <w:t>。</w:t>
      </w:r>
    </w:p>
    <w:p w14:paraId="017273DD">
      <w:pPr>
        <w:pStyle w:val="13"/>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p>
    <w:p w14:paraId="335E608E">
      <w:pPr>
        <w:pStyle w:val="13"/>
        <w:spacing w:beforeAutospacing="0" w:afterAutospacing="0" w:line="480" w:lineRule="auto"/>
        <w:ind w:firstLine="495" w:firstLineChars="224"/>
        <w:jc w:val="both"/>
        <w:rPr>
          <w:rFonts w:hint="eastAsia" w:ascii="宋体" w:hAnsi="宋体" w:eastAsia="宋体" w:cs="宋体"/>
          <w:b/>
          <w:bCs/>
          <w:color w:val="auto"/>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5</w:t>
      </w:r>
      <w:r>
        <w:rPr>
          <w:rFonts w:hint="eastAsia" w:ascii="宋体" w:hAnsi="宋体" w:eastAsia="宋体" w:cs="宋体"/>
          <w:b/>
          <w:bCs w:val="0"/>
          <w:color w:val="auto"/>
          <w:sz w:val="22"/>
          <w:szCs w:val="22"/>
          <w:highlight w:val="none"/>
          <w:lang w:val="en-US" w:eastAsia="zh-CN"/>
        </w:rPr>
        <w:t xml:space="preserve"> 供应商认为其他应提供的证明材料</w:t>
      </w:r>
      <w:bookmarkEnd w:id="77"/>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55C69E9-4B52-4E67-A436-B73B9A0C0FA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2" w:fontKey="{DCC96E43-DE59-4B31-97F2-C106690EF4AB}"/>
  </w:font>
  <w:font w:name="仿宋">
    <w:panose1 w:val="02010609060101010101"/>
    <w:charset w:val="86"/>
    <w:family w:val="auto"/>
    <w:pitch w:val="default"/>
    <w:sig w:usb0="800002BF" w:usb1="38CF7CFA" w:usb2="00000016" w:usb3="00000000" w:csb0="00040001" w:csb1="00000000"/>
    <w:embedRegular r:id="rId3" w:fontKey="{60A58F87-4A39-4416-9AD7-2BBD83373FC3}"/>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2B8204B9-421A-464A-B77F-904F955A71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驻马店市中心医院电动站立病床采购项目采购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1E276"/>
    <w:multiLevelType w:val="singleLevel"/>
    <w:tmpl w:val="AC41E276"/>
    <w:lvl w:ilvl="0" w:tentative="0">
      <w:start w:val="5"/>
      <w:numFmt w:val="chineseCounting"/>
      <w:suff w:val="nothing"/>
      <w:lvlText w:val="%1、"/>
      <w:lvlJc w:val="left"/>
      <w:rPr>
        <w:rFonts w:hint="eastAsia"/>
      </w:rPr>
    </w:lvl>
  </w:abstractNum>
  <w:abstractNum w:abstractNumId="1">
    <w:nsid w:val="B9423D7D"/>
    <w:multiLevelType w:val="singleLevel"/>
    <w:tmpl w:val="B9423D7D"/>
    <w:lvl w:ilvl="0" w:tentative="0">
      <w:start w:val="2"/>
      <w:numFmt w:val="chineseCounting"/>
      <w:suff w:val="nothing"/>
      <w:lvlText w:val="%1、"/>
      <w:lvlJc w:val="left"/>
      <w:rPr>
        <w:rFonts w:hint="eastAsia"/>
      </w:rPr>
    </w:lvl>
  </w:abstractNum>
  <w:abstractNum w:abstractNumId="2">
    <w:nsid w:val="CA829215"/>
    <w:multiLevelType w:val="singleLevel"/>
    <w:tmpl w:val="CA829215"/>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376D8"/>
    <w:rsid w:val="01976717"/>
    <w:rsid w:val="019F1377"/>
    <w:rsid w:val="01D715BE"/>
    <w:rsid w:val="01EB45BC"/>
    <w:rsid w:val="01F04981"/>
    <w:rsid w:val="01F9035B"/>
    <w:rsid w:val="01FA63A5"/>
    <w:rsid w:val="02011C7D"/>
    <w:rsid w:val="02035523"/>
    <w:rsid w:val="021653B1"/>
    <w:rsid w:val="02184C85"/>
    <w:rsid w:val="021B0444"/>
    <w:rsid w:val="021C6E40"/>
    <w:rsid w:val="02222FF2"/>
    <w:rsid w:val="023615AF"/>
    <w:rsid w:val="02384FF4"/>
    <w:rsid w:val="023D0B8F"/>
    <w:rsid w:val="023F67A9"/>
    <w:rsid w:val="0247575A"/>
    <w:rsid w:val="025235B1"/>
    <w:rsid w:val="0261030A"/>
    <w:rsid w:val="0262674D"/>
    <w:rsid w:val="02747B01"/>
    <w:rsid w:val="027619AC"/>
    <w:rsid w:val="02890D36"/>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42E37DB"/>
    <w:rsid w:val="04416C20"/>
    <w:rsid w:val="04732647"/>
    <w:rsid w:val="047968B1"/>
    <w:rsid w:val="04870542"/>
    <w:rsid w:val="04B30F7A"/>
    <w:rsid w:val="04CD61FB"/>
    <w:rsid w:val="050E236F"/>
    <w:rsid w:val="0512137B"/>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AC22B4"/>
    <w:rsid w:val="05B93D6B"/>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A7CAA"/>
    <w:rsid w:val="066E164D"/>
    <w:rsid w:val="068E7B23"/>
    <w:rsid w:val="06983B20"/>
    <w:rsid w:val="069A3B66"/>
    <w:rsid w:val="06A869D6"/>
    <w:rsid w:val="06A9264E"/>
    <w:rsid w:val="06B31420"/>
    <w:rsid w:val="06B91765"/>
    <w:rsid w:val="06CA2AD2"/>
    <w:rsid w:val="06CB0D68"/>
    <w:rsid w:val="06CD24E2"/>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510CB"/>
    <w:rsid w:val="07CD6512"/>
    <w:rsid w:val="07CE3FA1"/>
    <w:rsid w:val="07EC2ECB"/>
    <w:rsid w:val="07FE66CB"/>
    <w:rsid w:val="080B4D47"/>
    <w:rsid w:val="08144141"/>
    <w:rsid w:val="081B727D"/>
    <w:rsid w:val="081D2FF5"/>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57AEC"/>
    <w:rsid w:val="0A3E6D2E"/>
    <w:rsid w:val="0A4232E4"/>
    <w:rsid w:val="0A4F145F"/>
    <w:rsid w:val="0A8455AD"/>
    <w:rsid w:val="0A8729A8"/>
    <w:rsid w:val="0ABA2D7D"/>
    <w:rsid w:val="0AD13A85"/>
    <w:rsid w:val="0AE0655C"/>
    <w:rsid w:val="0AEF568C"/>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C4D10"/>
    <w:rsid w:val="0CC53C5B"/>
    <w:rsid w:val="0CC72121"/>
    <w:rsid w:val="0CEE5A21"/>
    <w:rsid w:val="0D05268E"/>
    <w:rsid w:val="0D0646E7"/>
    <w:rsid w:val="0D0C38CA"/>
    <w:rsid w:val="0D206810"/>
    <w:rsid w:val="0D4861FD"/>
    <w:rsid w:val="0D735465"/>
    <w:rsid w:val="0D9D0734"/>
    <w:rsid w:val="0DC577E0"/>
    <w:rsid w:val="0DDC6319"/>
    <w:rsid w:val="0DE1181F"/>
    <w:rsid w:val="0DFA5B87"/>
    <w:rsid w:val="0DFE4F67"/>
    <w:rsid w:val="0E0C0D4C"/>
    <w:rsid w:val="0E115DA1"/>
    <w:rsid w:val="0E1409F6"/>
    <w:rsid w:val="0E162D6D"/>
    <w:rsid w:val="0E460DCC"/>
    <w:rsid w:val="0E4B63E2"/>
    <w:rsid w:val="0E541CA2"/>
    <w:rsid w:val="0E576B35"/>
    <w:rsid w:val="0E594756"/>
    <w:rsid w:val="0E95596D"/>
    <w:rsid w:val="0EAE6205"/>
    <w:rsid w:val="0EAE6579"/>
    <w:rsid w:val="0EAF71BF"/>
    <w:rsid w:val="0ECE6257"/>
    <w:rsid w:val="0EE24651"/>
    <w:rsid w:val="0EE4129D"/>
    <w:rsid w:val="0F171032"/>
    <w:rsid w:val="0F1D7D7F"/>
    <w:rsid w:val="0F335E69"/>
    <w:rsid w:val="0F372614"/>
    <w:rsid w:val="0F3D59C9"/>
    <w:rsid w:val="0F515A6B"/>
    <w:rsid w:val="0F516D5A"/>
    <w:rsid w:val="0F565B36"/>
    <w:rsid w:val="0F684933"/>
    <w:rsid w:val="0F6E2388"/>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D0051"/>
    <w:rsid w:val="12413D84"/>
    <w:rsid w:val="126D16E4"/>
    <w:rsid w:val="127A7D1C"/>
    <w:rsid w:val="12836D8B"/>
    <w:rsid w:val="12993BC0"/>
    <w:rsid w:val="12AB0349"/>
    <w:rsid w:val="12B66520"/>
    <w:rsid w:val="12CD57F1"/>
    <w:rsid w:val="12CE5941"/>
    <w:rsid w:val="12CE7AFA"/>
    <w:rsid w:val="12D67466"/>
    <w:rsid w:val="12DA08F3"/>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B7B45"/>
    <w:rsid w:val="14627FE2"/>
    <w:rsid w:val="14717443"/>
    <w:rsid w:val="14825F8A"/>
    <w:rsid w:val="148C70AD"/>
    <w:rsid w:val="148D52E3"/>
    <w:rsid w:val="14992B90"/>
    <w:rsid w:val="149F10C7"/>
    <w:rsid w:val="14AF1856"/>
    <w:rsid w:val="14AF19A3"/>
    <w:rsid w:val="14B22D17"/>
    <w:rsid w:val="14B53957"/>
    <w:rsid w:val="14BF5DB6"/>
    <w:rsid w:val="14C53ECE"/>
    <w:rsid w:val="14CF6CB0"/>
    <w:rsid w:val="14D10E8D"/>
    <w:rsid w:val="14DB04C0"/>
    <w:rsid w:val="14DC5FE6"/>
    <w:rsid w:val="14E002E6"/>
    <w:rsid w:val="14FC36BD"/>
    <w:rsid w:val="14FF5EA7"/>
    <w:rsid w:val="15127C5A"/>
    <w:rsid w:val="15192D96"/>
    <w:rsid w:val="151E3A0F"/>
    <w:rsid w:val="152534E9"/>
    <w:rsid w:val="152A4FA3"/>
    <w:rsid w:val="153A36AA"/>
    <w:rsid w:val="15477903"/>
    <w:rsid w:val="1557566D"/>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AEF"/>
    <w:rsid w:val="16B74615"/>
    <w:rsid w:val="16C872D5"/>
    <w:rsid w:val="16D54FA3"/>
    <w:rsid w:val="16D84D9F"/>
    <w:rsid w:val="16E94D3E"/>
    <w:rsid w:val="16EB279A"/>
    <w:rsid w:val="170D06E0"/>
    <w:rsid w:val="17233E03"/>
    <w:rsid w:val="17263548"/>
    <w:rsid w:val="17332185"/>
    <w:rsid w:val="1746570F"/>
    <w:rsid w:val="17475951"/>
    <w:rsid w:val="175B7696"/>
    <w:rsid w:val="175C542D"/>
    <w:rsid w:val="175D0ED4"/>
    <w:rsid w:val="1767428D"/>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D81468"/>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C002CEE"/>
    <w:rsid w:val="1C180F75"/>
    <w:rsid w:val="1C27223D"/>
    <w:rsid w:val="1C3861F8"/>
    <w:rsid w:val="1C4032FE"/>
    <w:rsid w:val="1C424981"/>
    <w:rsid w:val="1C4E77C9"/>
    <w:rsid w:val="1C555978"/>
    <w:rsid w:val="1C6554A1"/>
    <w:rsid w:val="1C705992"/>
    <w:rsid w:val="1C7971B7"/>
    <w:rsid w:val="1C8036FB"/>
    <w:rsid w:val="1C8409D2"/>
    <w:rsid w:val="1C917D91"/>
    <w:rsid w:val="1CAB1D11"/>
    <w:rsid w:val="1CAB2820"/>
    <w:rsid w:val="1CBA4E5F"/>
    <w:rsid w:val="1CD402EC"/>
    <w:rsid w:val="1CDF6F49"/>
    <w:rsid w:val="1CED16EF"/>
    <w:rsid w:val="1CF02333"/>
    <w:rsid w:val="1D036806"/>
    <w:rsid w:val="1D047E88"/>
    <w:rsid w:val="1D0C33A2"/>
    <w:rsid w:val="1D0C4F8F"/>
    <w:rsid w:val="1D113E6E"/>
    <w:rsid w:val="1D114E5E"/>
    <w:rsid w:val="1D1F0050"/>
    <w:rsid w:val="1D214EDE"/>
    <w:rsid w:val="1D2222DC"/>
    <w:rsid w:val="1D3544E5"/>
    <w:rsid w:val="1D5144F7"/>
    <w:rsid w:val="1D5B3CDE"/>
    <w:rsid w:val="1D5D0701"/>
    <w:rsid w:val="1D6E2950"/>
    <w:rsid w:val="1D79298C"/>
    <w:rsid w:val="1D98209B"/>
    <w:rsid w:val="1DA23746"/>
    <w:rsid w:val="1DAA14B9"/>
    <w:rsid w:val="1DD04513"/>
    <w:rsid w:val="1DD8524D"/>
    <w:rsid w:val="1DDD2BCB"/>
    <w:rsid w:val="1DE101C9"/>
    <w:rsid w:val="1E0345E3"/>
    <w:rsid w:val="1E04324C"/>
    <w:rsid w:val="1E1B7B7F"/>
    <w:rsid w:val="1E443370"/>
    <w:rsid w:val="1E546BED"/>
    <w:rsid w:val="1E656063"/>
    <w:rsid w:val="1E6B06A5"/>
    <w:rsid w:val="1E7554E1"/>
    <w:rsid w:val="1E7F7D9E"/>
    <w:rsid w:val="1E840DA4"/>
    <w:rsid w:val="1E9B2A6E"/>
    <w:rsid w:val="1EA00084"/>
    <w:rsid w:val="1EA5444C"/>
    <w:rsid w:val="1EA5569B"/>
    <w:rsid w:val="1EB350EF"/>
    <w:rsid w:val="1EC21749"/>
    <w:rsid w:val="1EEB7C4E"/>
    <w:rsid w:val="1EFE0DA3"/>
    <w:rsid w:val="1F072441"/>
    <w:rsid w:val="1F171B83"/>
    <w:rsid w:val="1F2D4691"/>
    <w:rsid w:val="1F2D491A"/>
    <w:rsid w:val="1F354D1B"/>
    <w:rsid w:val="1F3F789D"/>
    <w:rsid w:val="1F4E5D32"/>
    <w:rsid w:val="1F503858"/>
    <w:rsid w:val="1F66355F"/>
    <w:rsid w:val="1F6B41EE"/>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9263AA"/>
    <w:rsid w:val="219E5782"/>
    <w:rsid w:val="21A41C3A"/>
    <w:rsid w:val="21C1459A"/>
    <w:rsid w:val="21D10545"/>
    <w:rsid w:val="21E72B0B"/>
    <w:rsid w:val="21E76A4A"/>
    <w:rsid w:val="21EE607E"/>
    <w:rsid w:val="21F229A5"/>
    <w:rsid w:val="21F66F4C"/>
    <w:rsid w:val="221F2D96"/>
    <w:rsid w:val="22246DB1"/>
    <w:rsid w:val="223034CD"/>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D97444"/>
    <w:rsid w:val="22F06957"/>
    <w:rsid w:val="23057681"/>
    <w:rsid w:val="23122833"/>
    <w:rsid w:val="23137077"/>
    <w:rsid w:val="231D4917"/>
    <w:rsid w:val="23223458"/>
    <w:rsid w:val="23225D32"/>
    <w:rsid w:val="23357BE6"/>
    <w:rsid w:val="2342574E"/>
    <w:rsid w:val="2355143D"/>
    <w:rsid w:val="236D1BFA"/>
    <w:rsid w:val="236D331D"/>
    <w:rsid w:val="2377331D"/>
    <w:rsid w:val="237D43DE"/>
    <w:rsid w:val="23940114"/>
    <w:rsid w:val="239A1546"/>
    <w:rsid w:val="23AE4FF1"/>
    <w:rsid w:val="23B57016"/>
    <w:rsid w:val="23C16AD3"/>
    <w:rsid w:val="23C4797E"/>
    <w:rsid w:val="23CD5478"/>
    <w:rsid w:val="23D4764B"/>
    <w:rsid w:val="23E66539"/>
    <w:rsid w:val="23EC3718"/>
    <w:rsid w:val="23EE304F"/>
    <w:rsid w:val="23FD7010"/>
    <w:rsid w:val="240243FC"/>
    <w:rsid w:val="24044EF2"/>
    <w:rsid w:val="2407139D"/>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4D10"/>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B0BA4"/>
    <w:rsid w:val="264F4111"/>
    <w:rsid w:val="26527EB6"/>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4E2228"/>
    <w:rsid w:val="27517A93"/>
    <w:rsid w:val="27565784"/>
    <w:rsid w:val="275E53AF"/>
    <w:rsid w:val="27606603"/>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C23DF"/>
    <w:rsid w:val="283D69F1"/>
    <w:rsid w:val="283F090E"/>
    <w:rsid w:val="284C16F5"/>
    <w:rsid w:val="28570AB5"/>
    <w:rsid w:val="285F2CDC"/>
    <w:rsid w:val="28622C36"/>
    <w:rsid w:val="2869172C"/>
    <w:rsid w:val="288C2D07"/>
    <w:rsid w:val="289E7E22"/>
    <w:rsid w:val="28C2534B"/>
    <w:rsid w:val="28C5525A"/>
    <w:rsid w:val="28D14B96"/>
    <w:rsid w:val="28D472A8"/>
    <w:rsid w:val="28DC7F0B"/>
    <w:rsid w:val="28E60D8A"/>
    <w:rsid w:val="29020C46"/>
    <w:rsid w:val="290240C7"/>
    <w:rsid w:val="291713AF"/>
    <w:rsid w:val="291A2B97"/>
    <w:rsid w:val="29244880"/>
    <w:rsid w:val="29274EE0"/>
    <w:rsid w:val="294F692F"/>
    <w:rsid w:val="295029E3"/>
    <w:rsid w:val="29543A59"/>
    <w:rsid w:val="29670ED3"/>
    <w:rsid w:val="2969197F"/>
    <w:rsid w:val="29746E87"/>
    <w:rsid w:val="297939AC"/>
    <w:rsid w:val="297C03C2"/>
    <w:rsid w:val="299573AB"/>
    <w:rsid w:val="29B05804"/>
    <w:rsid w:val="29BD1AEA"/>
    <w:rsid w:val="29BE5BD0"/>
    <w:rsid w:val="29C01572"/>
    <w:rsid w:val="29C25353"/>
    <w:rsid w:val="29C966E1"/>
    <w:rsid w:val="29CA4207"/>
    <w:rsid w:val="29D82DC8"/>
    <w:rsid w:val="29DA08EE"/>
    <w:rsid w:val="29DB6414"/>
    <w:rsid w:val="29E74CE2"/>
    <w:rsid w:val="2A133E00"/>
    <w:rsid w:val="2A236931"/>
    <w:rsid w:val="2A241B69"/>
    <w:rsid w:val="2A2B114A"/>
    <w:rsid w:val="2A306A36"/>
    <w:rsid w:val="2A457300"/>
    <w:rsid w:val="2A5372C6"/>
    <w:rsid w:val="2A5A558B"/>
    <w:rsid w:val="2A5B03D8"/>
    <w:rsid w:val="2A6F6D07"/>
    <w:rsid w:val="2A852253"/>
    <w:rsid w:val="2A882500"/>
    <w:rsid w:val="2AA35184"/>
    <w:rsid w:val="2AAB228B"/>
    <w:rsid w:val="2AAB4E76"/>
    <w:rsid w:val="2AB63ABC"/>
    <w:rsid w:val="2AB63D0A"/>
    <w:rsid w:val="2AC31382"/>
    <w:rsid w:val="2AC74DCD"/>
    <w:rsid w:val="2AD0584D"/>
    <w:rsid w:val="2AD549F8"/>
    <w:rsid w:val="2ADD6D4E"/>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D373E"/>
    <w:rsid w:val="2B9E4F56"/>
    <w:rsid w:val="2BD96984"/>
    <w:rsid w:val="2BDB5A88"/>
    <w:rsid w:val="2BDB6BA0"/>
    <w:rsid w:val="2BE91C37"/>
    <w:rsid w:val="2BEC3F72"/>
    <w:rsid w:val="2C083572"/>
    <w:rsid w:val="2C185F94"/>
    <w:rsid w:val="2C1F1AC4"/>
    <w:rsid w:val="2C2945BA"/>
    <w:rsid w:val="2C2E71FC"/>
    <w:rsid w:val="2C3167C0"/>
    <w:rsid w:val="2C3F3A41"/>
    <w:rsid w:val="2C4431C4"/>
    <w:rsid w:val="2C55747C"/>
    <w:rsid w:val="2C62059F"/>
    <w:rsid w:val="2C6634FA"/>
    <w:rsid w:val="2C7566AC"/>
    <w:rsid w:val="2C7843EE"/>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9077CD"/>
    <w:rsid w:val="2E9574DA"/>
    <w:rsid w:val="2E9A689E"/>
    <w:rsid w:val="2ED61D9E"/>
    <w:rsid w:val="2EDC2A13"/>
    <w:rsid w:val="2EFD7DB9"/>
    <w:rsid w:val="2F1A081D"/>
    <w:rsid w:val="2F1C72B3"/>
    <w:rsid w:val="2F1E1306"/>
    <w:rsid w:val="2F1E3DC0"/>
    <w:rsid w:val="2F2D326E"/>
    <w:rsid w:val="2F3112DE"/>
    <w:rsid w:val="2F3B6922"/>
    <w:rsid w:val="2F3D7B25"/>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BB6DE3"/>
    <w:rsid w:val="32D22AAA"/>
    <w:rsid w:val="32D3237F"/>
    <w:rsid w:val="32DC63A0"/>
    <w:rsid w:val="32E429C1"/>
    <w:rsid w:val="330503EE"/>
    <w:rsid w:val="33274478"/>
    <w:rsid w:val="333948D8"/>
    <w:rsid w:val="333E1EEE"/>
    <w:rsid w:val="334045BE"/>
    <w:rsid w:val="334A3B2A"/>
    <w:rsid w:val="334E5EA9"/>
    <w:rsid w:val="335133F7"/>
    <w:rsid w:val="3365592E"/>
    <w:rsid w:val="336A31F3"/>
    <w:rsid w:val="336F5D12"/>
    <w:rsid w:val="336F6533"/>
    <w:rsid w:val="337E5E2F"/>
    <w:rsid w:val="3384610D"/>
    <w:rsid w:val="33886F33"/>
    <w:rsid w:val="33AA5979"/>
    <w:rsid w:val="33C03E90"/>
    <w:rsid w:val="33C96649"/>
    <w:rsid w:val="33CC3D88"/>
    <w:rsid w:val="33D939C5"/>
    <w:rsid w:val="33DD0306"/>
    <w:rsid w:val="33FD3B57"/>
    <w:rsid w:val="33FD722F"/>
    <w:rsid w:val="3400362D"/>
    <w:rsid w:val="340B09C5"/>
    <w:rsid w:val="341E4CAB"/>
    <w:rsid w:val="34205B4A"/>
    <w:rsid w:val="342235BE"/>
    <w:rsid w:val="34346E4D"/>
    <w:rsid w:val="34584EE2"/>
    <w:rsid w:val="347A1C51"/>
    <w:rsid w:val="347D373F"/>
    <w:rsid w:val="34922A93"/>
    <w:rsid w:val="34956481"/>
    <w:rsid w:val="34A35871"/>
    <w:rsid w:val="34AB66CA"/>
    <w:rsid w:val="34C06C9D"/>
    <w:rsid w:val="34C71A6F"/>
    <w:rsid w:val="34C93A39"/>
    <w:rsid w:val="34DF24AE"/>
    <w:rsid w:val="351C4931"/>
    <w:rsid w:val="351C4EAC"/>
    <w:rsid w:val="351D4C26"/>
    <w:rsid w:val="351F3659"/>
    <w:rsid w:val="352B46F4"/>
    <w:rsid w:val="352E7D40"/>
    <w:rsid w:val="353510CF"/>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E0457"/>
    <w:rsid w:val="365B4B65"/>
    <w:rsid w:val="36687282"/>
    <w:rsid w:val="368F65D6"/>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B90F0B"/>
    <w:rsid w:val="37BA1D5F"/>
    <w:rsid w:val="37CD3F98"/>
    <w:rsid w:val="37DF75BA"/>
    <w:rsid w:val="37E148E2"/>
    <w:rsid w:val="37F34577"/>
    <w:rsid w:val="37F848EE"/>
    <w:rsid w:val="37F912FC"/>
    <w:rsid w:val="37FB65FF"/>
    <w:rsid w:val="380D59EE"/>
    <w:rsid w:val="38304889"/>
    <w:rsid w:val="3836588A"/>
    <w:rsid w:val="38382675"/>
    <w:rsid w:val="383B7B0D"/>
    <w:rsid w:val="3848553B"/>
    <w:rsid w:val="3851700B"/>
    <w:rsid w:val="385246B6"/>
    <w:rsid w:val="385E6B8E"/>
    <w:rsid w:val="3876113B"/>
    <w:rsid w:val="38A53DB7"/>
    <w:rsid w:val="38BF3388"/>
    <w:rsid w:val="38CC268D"/>
    <w:rsid w:val="38DF1FDA"/>
    <w:rsid w:val="38EC2960"/>
    <w:rsid w:val="390069DD"/>
    <w:rsid w:val="3902603A"/>
    <w:rsid w:val="39030CF9"/>
    <w:rsid w:val="39091F35"/>
    <w:rsid w:val="392536E2"/>
    <w:rsid w:val="393D0552"/>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9A304E"/>
    <w:rsid w:val="3AA50E25"/>
    <w:rsid w:val="3AC566E3"/>
    <w:rsid w:val="3AD6747A"/>
    <w:rsid w:val="3AD95C48"/>
    <w:rsid w:val="3ADF5D0A"/>
    <w:rsid w:val="3B0F23C2"/>
    <w:rsid w:val="3B1D4ADF"/>
    <w:rsid w:val="3B312338"/>
    <w:rsid w:val="3B3C5B77"/>
    <w:rsid w:val="3B3D0FF2"/>
    <w:rsid w:val="3B44206B"/>
    <w:rsid w:val="3B501351"/>
    <w:rsid w:val="3B521A18"/>
    <w:rsid w:val="3B741699"/>
    <w:rsid w:val="3B8D2B96"/>
    <w:rsid w:val="3B90705F"/>
    <w:rsid w:val="3B923660"/>
    <w:rsid w:val="3BB16FD5"/>
    <w:rsid w:val="3BCA44BE"/>
    <w:rsid w:val="3C017F5D"/>
    <w:rsid w:val="3C061F3A"/>
    <w:rsid w:val="3C0A04F9"/>
    <w:rsid w:val="3C1C6B44"/>
    <w:rsid w:val="3C491519"/>
    <w:rsid w:val="3C495480"/>
    <w:rsid w:val="3C4C3A42"/>
    <w:rsid w:val="3C557EA4"/>
    <w:rsid w:val="3C6F0167"/>
    <w:rsid w:val="3C71667B"/>
    <w:rsid w:val="3C7C75E3"/>
    <w:rsid w:val="3C914F3B"/>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C5F4C"/>
    <w:rsid w:val="3D8E5820"/>
    <w:rsid w:val="3D931088"/>
    <w:rsid w:val="3D942E29"/>
    <w:rsid w:val="3DA53531"/>
    <w:rsid w:val="3DA70690"/>
    <w:rsid w:val="3DB039E8"/>
    <w:rsid w:val="3DB54E0C"/>
    <w:rsid w:val="3DB900C1"/>
    <w:rsid w:val="3DE03BA2"/>
    <w:rsid w:val="3DE51866"/>
    <w:rsid w:val="3DE91725"/>
    <w:rsid w:val="3DF159B1"/>
    <w:rsid w:val="3E135D25"/>
    <w:rsid w:val="3E1A106E"/>
    <w:rsid w:val="3E36303B"/>
    <w:rsid w:val="3E526044"/>
    <w:rsid w:val="3E5A3954"/>
    <w:rsid w:val="3E5C591E"/>
    <w:rsid w:val="3E6C2B3A"/>
    <w:rsid w:val="3E832EAB"/>
    <w:rsid w:val="3E8C5311"/>
    <w:rsid w:val="3E8E7E55"/>
    <w:rsid w:val="3EB61473"/>
    <w:rsid w:val="3EC66011"/>
    <w:rsid w:val="3ED25BE0"/>
    <w:rsid w:val="3ED75B7F"/>
    <w:rsid w:val="3EF9316D"/>
    <w:rsid w:val="3F222DB1"/>
    <w:rsid w:val="3F315E6B"/>
    <w:rsid w:val="3F5175E2"/>
    <w:rsid w:val="3F56276A"/>
    <w:rsid w:val="3F6C10E0"/>
    <w:rsid w:val="3F9410E8"/>
    <w:rsid w:val="3F963015"/>
    <w:rsid w:val="3F964D35"/>
    <w:rsid w:val="3FA327ED"/>
    <w:rsid w:val="3FB11738"/>
    <w:rsid w:val="3FB5581B"/>
    <w:rsid w:val="3FC33D05"/>
    <w:rsid w:val="3FF46B18"/>
    <w:rsid w:val="3FF74A2E"/>
    <w:rsid w:val="3FFC36E2"/>
    <w:rsid w:val="4005572D"/>
    <w:rsid w:val="402833BA"/>
    <w:rsid w:val="40283C2B"/>
    <w:rsid w:val="40394FD1"/>
    <w:rsid w:val="403A3A3D"/>
    <w:rsid w:val="403C77B5"/>
    <w:rsid w:val="40425879"/>
    <w:rsid w:val="405C1C05"/>
    <w:rsid w:val="405E3BCF"/>
    <w:rsid w:val="406B3DDC"/>
    <w:rsid w:val="40765D15"/>
    <w:rsid w:val="407B4FC1"/>
    <w:rsid w:val="407F2DE9"/>
    <w:rsid w:val="40866C82"/>
    <w:rsid w:val="40920B61"/>
    <w:rsid w:val="40953369"/>
    <w:rsid w:val="40991379"/>
    <w:rsid w:val="409B3C3D"/>
    <w:rsid w:val="409F1D81"/>
    <w:rsid w:val="40A35A86"/>
    <w:rsid w:val="40E66965"/>
    <w:rsid w:val="40F701DF"/>
    <w:rsid w:val="40FC3D9D"/>
    <w:rsid w:val="40FD480A"/>
    <w:rsid w:val="411B59C4"/>
    <w:rsid w:val="412A32F8"/>
    <w:rsid w:val="417F433E"/>
    <w:rsid w:val="418A1D66"/>
    <w:rsid w:val="418A4550"/>
    <w:rsid w:val="419C4043"/>
    <w:rsid w:val="41B7239D"/>
    <w:rsid w:val="41C95079"/>
    <w:rsid w:val="41D852BC"/>
    <w:rsid w:val="41DF2AEE"/>
    <w:rsid w:val="41EC6FB9"/>
    <w:rsid w:val="41FF3845"/>
    <w:rsid w:val="420A743F"/>
    <w:rsid w:val="420E33D3"/>
    <w:rsid w:val="42101488"/>
    <w:rsid w:val="421104A9"/>
    <w:rsid w:val="42143B88"/>
    <w:rsid w:val="42164586"/>
    <w:rsid w:val="422936B2"/>
    <w:rsid w:val="422E75D1"/>
    <w:rsid w:val="424566C9"/>
    <w:rsid w:val="42475850"/>
    <w:rsid w:val="424C7A58"/>
    <w:rsid w:val="424E1A22"/>
    <w:rsid w:val="425B5DD1"/>
    <w:rsid w:val="4260300C"/>
    <w:rsid w:val="42621029"/>
    <w:rsid w:val="42755200"/>
    <w:rsid w:val="42772802"/>
    <w:rsid w:val="427C799E"/>
    <w:rsid w:val="427F607F"/>
    <w:rsid w:val="42800B9B"/>
    <w:rsid w:val="4281223D"/>
    <w:rsid w:val="428E1E1E"/>
    <w:rsid w:val="428E62C2"/>
    <w:rsid w:val="42A06B6C"/>
    <w:rsid w:val="42A27996"/>
    <w:rsid w:val="42A45E72"/>
    <w:rsid w:val="42AA04E2"/>
    <w:rsid w:val="42C972FA"/>
    <w:rsid w:val="42D737C5"/>
    <w:rsid w:val="42EA5650"/>
    <w:rsid w:val="431408DA"/>
    <w:rsid w:val="431B7C78"/>
    <w:rsid w:val="4331401E"/>
    <w:rsid w:val="433805EC"/>
    <w:rsid w:val="433B0F29"/>
    <w:rsid w:val="43486FC5"/>
    <w:rsid w:val="43526885"/>
    <w:rsid w:val="43591DDA"/>
    <w:rsid w:val="435A0DF2"/>
    <w:rsid w:val="436C42E1"/>
    <w:rsid w:val="437102E7"/>
    <w:rsid w:val="437C210F"/>
    <w:rsid w:val="43847F02"/>
    <w:rsid w:val="438F113C"/>
    <w:rsid w:val="439E7EFB"/>
    <w:rsid w:val="43B1568A"/>
    <w:rsid w:val="43B64E08"/>
    <w:rsid w:val="43BD7F58"/>
    <w:rsid w:val="43D43ECA"/>
    <w:rsid w:val="43D60064"/>
    <w:rsid w:val="43DD452F"/>
    <w:rsid w:val="43DE6CD4"/>
    <w:rsid w:val="43E51150"/>
    <w:rsid w:val="43EF28BB"/>
    <w:rsid w:val="43EF56D3"/>
    <w:rsid w:val="43F47D80"/>
    <w:rsid w:val="43F565F9"/>
    <w:rsid w:val="43F62371"/>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FB1C9C"/>
    <w:rsid w:val="45014B29"/>
    <w:rsid w:val="450C05A0"/>
    <w:rsid w:val="45392A13"/>
    <w:rsid w:val="453E3FCF"/>
    <w:rsid w:val="454F1836"/>
    <w:rsid w:val="45637592"/>
    <w:rsid w:val="45887B45"/>
    <w:rsid w:val="458B66DF"/>
    <w:rsid w:val="45940F0E"/>
    <w:rsid w:val="45AC5DBA"/>
    <w:rsid w:val="45C647AF"/>
    <w:rsid w:val="45CF3374"/>
    <w:rsid w:val="45DD529D"/>
    <w:rsid w:val="45E57886"/>
    <w:rsid w:val="45E945CC"/>
    <w:rsid w:val="46003076"/>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741AB6"/>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03433"/>
    <w:rsid w:val="4AE104D6"/>
    <w:rsid w:val="4AE724D1"/>
    <w:rsid w:val="4AE77140"/>
    <w:rsid w:val="4AEA4061"/>
    <w:rsid w:val="4AEB3612"/>
    <w:rsid w:val="4AED707B"/>
    <w:rsid w:val="4AFA2F07"/>
    <w:rsid w:val="4AFE2517"/>
    <w:rsid w:val="4B015D61"/>
    <w:rsid w:val="4B0B7979"/>
    <w:rsid w:val="4B1530DD"/>
    <w:rsid w:val="4B3D2633"/>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0513A3"/>
    <w:rsid w:val="4C1C2A09"/>
    <w:rsid w:val="4C284AD9"/>
    <w:rsid w:val="4C423098"/>
    <w:rsid w:val="4C694192"/>
    <w:rsid w:val="4C7964D9"/>
    <w:rsid w:val="4C8229F4"/>
    <w:rsid w:val="4C891FD4"/>
    <w:rsid w:val="4C8C5620"/>
    <w:rsid w:val="4C9269F6"/>
    <w:rsid w:val="4CB75F07"/>
    <w:rsid w:val="4CC4733F"/>
    <w:rsid w:val="4CC84335"/>
    <w:rsid w:val="4CD22B0F"/>
    <w:rsid w:val="4CDA3E72"/>
    <w:rsid w:val="4CE4545C"/>
    <w:rsid w:val="4CE9350A"/>
    <w:rsid w:val="4D014937"/>
    <w:rsid w:val="4D027691"/>
    <w:rsid w:val="4D1E2466"/>
    <w:rsid w:val="4D2256CD"/>
    <w:rsid w:val="4D225F85"/>
    <w:rsid w:val="4D297BF3"/>
    <w:rsid w:val="4D2D0EAF"/>
    <w:rsid w:val="4D795A49"/>
    <w:rsid w:val="4D7F0082"/>
    <w:rsid w:val="4D910B7E"/>
    <w:rsid w:val="4D952FD9"/>
    <w:rsid w:val="4D970662"/>
    <w:rsid w:val="4D9A1FBF"/>
    <w:rsid w:val="4D9F40B3"/>
    <w:rsid w:val="4DB33393"/>
    <w:rsid w:val="4DB90B8C"/>
    <w:rsid w:val="4DBC3CE3"/>
    <w:rsid w:val="4DCB51C5"/>
    <w:rsid w:val="4DCF1E0D"/>
    <w:rsid w:val="4DD632D9"/>
    <w:rsid w:val="4DD94895"/>
    <w:rsid w:val="4DDA2B8C"/>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661F8"/>
    <w:rsid w:val="4EF27A04"/>
    <w:rsid w:val="4F0773B4"/>
    <w:rsid w:val="4F0C69BB"/>
    <w:rsid w:val="4F241019"/>
    <w:rsid w:val="4F307BB1"/>
    <w:rsid w:val="4F336227"/>
    <w:rsid w:val="4F3C3EF2"/>
    <w:rsid w:val="4F3D562D"/>
    <w:rsid w:val="4F5C4EE0"/>
    <w:rsid w:val="4F681AF1"/>
    <w:rsid w:val="4F6E1972"/>
    <w:rsid w:val="4F943166"/>
    <w:rsid w:val="4F9C19A5"/>
    <w:rsid w:val="4FB01203"/>
    <w:rsid w:val="4FBA02A1"/>
    <w:rsid w:val="4FC275AB"/>
    <w:rsid w:val="4FD86DCF"/>
    <w:rsid w:val="4FE7106E"/>
    <w:rsid w:val="4FF82FCD"/>
    <w:rsid w:val="4FFC288D"/>
    <w:rsid w:val="50053943"/>
    <w:rsid w:val="50260569"/>
    <w:rsid w:val="50374A3C"/>
    <w:rsid w:val="5039786D"/>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4229EF"/>
    <w:rsid w:val="515B06D0"/>
    <w:rsid w:val="51764AF1"/>
    <w:rsid w:val="51996737"/>
    <w:rsid w:val="51B408B8"/>
    <w:rsid w:val="51B80848"/>
    <w:rsid w:val="51CC0868"/>
    <w:rsid w:val="51D5340F"/>
    <w:rsid w:val="52287B99"/>
    <w:rsid w:val="52382F2A"/>
    <w:rsid w:val="52386E3D"/>
    <w:rsid w:val="523A7DD1"/>
    <w:rsid w:val="523B7711"/>
    <w:rsid w:val="5257222D"/>
    <w:rsid w:val="5271774C"/>
    <w:rsid w:val="527A416D"/>
    <w:rsid w:val="528D5323"/>
    <w:rsid w:val="528D7B65"/>
    <w:rsid w:val="5299416C"/>
    <w:rsid w:val="52AA11D3"/>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6C61AC"/>
    <w:rsid w:val="537155BE"/>
    <w:rsid w:val="53757C6B"/>
    <w:rsid w:val="537E1075"/>
    <w:rsid w:val="538452A3"/>
    <w:rsid w:val="539A4AC7"/>
    <w:rsid w:val="53A44D07"/>
    <w:rsid w:val="53A46AC8"/>
    <w:rsid w:val="53AB7F1F"/>
    <w:rsid w:val="53AC6F7B"/>
    <w:rsid w:val="53C01F4F"/>
    <w:rsid w:val="53C421A6"/>
    <w:rsid w:val="53E15798"/>
    <w:rsid w:val="53EB297B"/>
    <w:rsid w:val="53EC4BF7"/>
    <w:rsid w:val="53F671DE"/>
    <w:rsid w:val="53F758A1"/>
    <w:rsid w:val="540D5A7F"/>
    <w:rsid w:val="542E2BC2"/>
    <w:rsid w:val="54352A96"/>
    <w:rsid w:val="54447390"/>
    <w:rsid w:val="544B514D"/>
    <w:rsid w:val="545E1D01"/>
    <w:rsid w:val="54674051"/>
    <w:rsid w:val="54705828"/>
    <w:rsid w:val="5472334E"/>
    <w:rsid w:val="54935B8F"/>
    <w:rsid w:val="54996B2C"/>
    <w:rsid w:val="549D3677"/>
    <w:rsid w:val="54B03E76"/>
    <w:rsid w:val="54BB2F47"/>
    <w:rsid w:val="54BF230B"/>
    <w:rsid w:val="54CC6227"/>
    <w:rsid w:val="54D10F9B"/>
    <w:rsid w:val="54D97871"/>
    <w:rsid w:val="54DB4AA8"/>
    <w:rsid w:val="54DC4C6B"/>
    <w:rsid w:val="550B5550"/>
    <w:rsid w:val="551D586C"/>
    <w:rsid w:val="55200298"/>
    <w:rsid w:val="55335E1B"/>
    <w:rsid w:val="5536079B"/>
    <w:rsid w:val="554B7EF0"/>
    <w:rsid w:val="55627866"/>
    <w:rsid w:val="556F3D99"/>
    <w:rsid w:val="556F788D"/>
    <w:rsid w:val="55720837"/>
    <w:rsid w:val="55860894"/>
    <w:rsid w:val="558F6181"/>
    <w:rsid w:val="55B02DF1"/>
    <w:rsid w:val="55C4407D"/>
    <w:rsid w:val="55D47A00"/>
    <w:rsid w:val="55D5456D"/>
    <w:rsid w:val="55DC290C"/>
    <w:rsid w:val="55E71B19"/>
    <w:rsid w:val="55EA5D64"/>
    <w:rsid w:val="55F01FA1"/>
    <w:rsid w:val="55FC19B9"/>
    <w:rsid w:val="56130B60"/>
    <w:rsid w:val="56234F28"/>
    <w:rsid w:val="562C1C22"/>
    <w:rsid w:val="564E71EA"/>
    <w:rsid w:val="56513437"/>
    <w:rsid w:val="56586573"/>
    <w:rsid w:val="56666B5B"/>
    <w:rsid w:val="56717635"/>
    <w:rsid w:val="56764C4B"/>
    <w:rsid w:val="56990B7C"/>
    <w:rsid w:val="569E1126"/>
    <w:rsid w:val="56A8690E"/>
    <w:rsid w:val="56B51C18"/>
    <w:rsid w:val="56B679AB"/>
    <w:rsid w:val="56B80DEB"/>
    <w:rsid w:val="56D976B4"/>
    <w:rsid w:val="56DB709E"/>
    <w:rsid w:val="56E0560F"/>
    <w:rsid w:val="56E06E61"/>
    <w:rsid w:val="56E9366F"/>
    <w:rsid w:val="56EF3C74"/>
    <w:rsid w:val="56F653FE"/>
    <w:rsid w:val="57007337"/>
    <w:rsid w:val="57272B15"/>
    <w:rsid w:val="574448FC"/>
    <w:rsid w:val="57561D39"/>
    <w:rsid w:val="575B7AFD"/>
    <w:rsid w:val="576176AA"/>
    <w:rsid w:val="57660D3F"/>
    <w:rsid w:val="5774562F"/>
    <w:rsid w:val="5785783C"/>
    <w:rsid w:val="578F06BB"/>
    <w:rsid w:val="57A469A0"/>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F56D8"/>
    <w:rsid w:val="58D31010"/>
    <w:rsid w:val="58D6741E"/>
    <w:rsid w:val="58DA5965"/>
    <w:rsid w:val="58DB0535"/>
    <w:rsid w:val="58E467E4"/>
    <w:rsid w:val="58E62E0E"/>
    <w:rsid w:val="58EA3D0E"/>
    <w:rsid w:val="58F24A5D"/>
    <w:rsid w:val="58F71269"/>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292701"/>
    <w:rsid w:val="5A323A44"/>
    <w:rsid w:val="5A395E66"/>
    <w:rsid w:val="5A476FBE"/>
    <w:rsid w:val="5A484352"/>
    <w:rsid w:val="5A5321A5"/>
    <w:rsid w:val="5A783688"/>
    <w:rsid w:val="5A845B89"/>
    <w:rsid w:val="5A8734AF"/>
    <w:rsid w:val="5A955FE8"/>
    <w:rsid w:val="5A9D3E45"/>
    <w:rsid w:val="5AA4101D"/>
    <w:rsid w:val="5AB17576"/>
    <w:rsid w:val="5ABA59C8"/>
    <w:rsid w:val="5ABD68E6"/>
    <w:rsid w:val="5ABF73D2"/>
    <w:rsid w:val="5ACB3D8A"/>
    <w:rsid w:val="5ACE32A8"/>
    <w:rsid w:val="5AE12FDB"/>
    <w:rsid w:val="5AE1508F"/>
    <w:rsid w:val="5AF80256"/>
    <w:rsid w:val="5B110CC9"/>
    <w:rsid w:val="5B136165"/>
    <w:rsid w:val="5B1851F5"/>
    <w:rsid w:val="5B1F7B5D"/>
    <w:rsid w:val="5B24736C"/>
    <w:rsid w:val="5B585171"/>
    <w:rsid w:val="5B585B78"/>
    <w:rsid w:val="5B6D62B9"/>
    <w:rsid w:val="5B746CFA"/>
    <w:rsid w:val="5B9A2B59"/>
    <w:rsid w:val="5BA652E6"/>
    <w:rsid w:val="5BB406F0"/>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700ABB"/>
    <w:rsid w:val="5CBB7F6F"/>
    <w:rsid w:val="5CC248CE"/>
    <w:rsid w:val="5CC826A5"/>
    <w:rsid w:val="5CF1327E"/>
    <w:rsid w:val="5D042FB1"/>
    <w:rsid w:val="5D3A2E77"/>
    <w:rsid w:val="5D442CB4"/>
    <w:rsid w:val="5D4C6846"/>
    <w:rsid w:val="5D7C3F11"/>
    <w:rsid w:val="5D971C5A"/>
    <w:rsid w:val="5D9D49E0"/>
    <w:rsid w:val="5DA01E9E"/>
    <w:rsid w:val="5DAD3649"/>
    <w:rsid w:val="5DC310BE"/>
    <w:rsid w:val="5DC32E6C"/>
    <w:rsid w:val="5DDF1821"/>
    <w:rsid w:val="5DE2656A"/>
    <w:rsid w:val="5DEA2F91"/>
    <w:rsid w:val="5DF94AE0"/>
    <w:rsid w:val="5DFA5883"/>
    <w:rsid w:val="5E224037"/>
    <w:rsid w:val="5E3146A3"/>
    <w:rsid w:val="5E442F62"/>
    <w:rsid w:val="5E6C2C5B"/>
    <w:rsid w:val="5E6E2DD8"/>
    <w:rsid w:val="5E7251A2"/>
    <w:rsid w:val="5E7C3591"/>
    <w:rsid w:val="5E8A637B"/>
    <w:rsid w:val="5E9842F9"/>
    <w:rsid w:val="5E9D0E18"/>
    <w:rsid w:val="5EA26F25"/>
    <w:rsid w:val="5EA341D7"/>
    <w:rsid w:val="5EA755DE"/>
    <w:rsid w:val="5EAE7678"/>
    <w:rsid w:val="5ED35F0E"/>
    <w:rsid w:val="5EDF7832"/>
    <w:rsid w:val="5EE66E12"/>
    <w:rsid w:val="5EFC1390"/>
    <w:rsid w:val="5EFC3EB6"/>
    <w:rsid w:val="5F00622C"/>
    <w:rsid w:val="5F03335D"/>
    <w:rsid w:val="5F0368C7"/>
    <w:rsid w:val="5F1544E7"/>
    <w:rsid w:val="5F197EE8"/>
    <w:rsid w:val="5F2E5CDC"/>
    <w:rsid w:val="5F312D8D"/>
    <w:rsid w:val="5F3C4923"/>
    <w:rsid w:val="5F4160B0"/>
    <w:rsid w:val="5F426012"/>
    <w:rsid w:val="5F557AF4"/>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4B1BEB"/>
    <w:rsid w:val="60522285"/>
    <w:rsid w:val="605D2617"/>
    <w:rsid w:val="60616CDC"/>
    <w:rsid w:val="60624E53"/>
    <w:rsid w:val="606319E5"/>
    <w:rsid w:val="607A77D8"/>
    <w:rsid w:val="607B3C50"/>
    <w:rsid w:val="60820DBC"/>
    <w:rsid w:val="608B6567"/>
    <w:rsid w:val="60902A4E"/>
    <w:rsid w:val="60AA3E6F"/>
    <w:rsid w:val="60BB607C"/>
    <w:rsid w:val="60FF21D9"/>
    <w:rsid w:val="610C0686"/>
    <w:rsid w:val="611063C8"/>
    <w:rsid w:val="611E37D0"/>
    <w:rsid w:val="613021B3"/>
    <w:rsid w:val="61306A6A"/>
    <w:rsid w:val="613253FD"/>
    <w:rsid w:val="61421F29"/>
    <w:rsid w:val="61521F2D"/>
    <w:rsid w:val="615F221E"/>
    <w:rsid w:val="61637D56"/>
    <w:rsid w:val="61712185"/>
    <w:rsid w:val="618B7207"/>
    <w:rsid w:val="61907E69"/>
    <w:rsid w:val="61A90D68"/>
    <w:rsid w:val="61B43A15"/>
    <w:rsid w:val="61DA0425"/>
    <w:rsid w:val="62015D11"/>
    <w:rsid w:val="62065A1D"/>
    <w:rsid w:val="6213792C"/>
    <w:rsid w:val="621775E2"/>
    <w:rsid w:val="621C0D9D"/>
    <w:rsid w:val="622F7552"/>
    <w:rsid w:val="6250406E"/>
    <w:rsid w:val="626369CC"/>
    <w:rsid w:val="6267666C"/>
    <w:rsid w:val="627D6831"/>
    <w:rsid w:val="62811B1C"/>
    <w:rsid w:val="62900B2E"/>
    <w:rsid w:val="62A20409"/>
    <w:rsid w:val="62AC0373"/>
    <w:rsid w:val="62B54B44"/>
    <w:rsid w:val="62CE02E9"/>
    <w:rsid w:val="62E045DA"/>
    <w:rsid w:val="62E23D94"/>
    <w:rsid w:val="62E454A1"/>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D622D"/>
    <w:rsid w:val="64177A6E"/>
    <w:rsid w:val="641F42FB"/>
    <w:rsid w:val="643F32F9"/>
    <w:rsid w:val="64582686"/>
    <w:rsid w:val="64673C87"/>
    <w:rsid w:val="64852C29"/>
    <w:rsid w:val="64877733"/>
    <w:rsid w:val="64925346"/>
    <w:rsid w:val="64A170D2"/>
    <w:rsid w:val="64A251DD"/>
    <w:rsid w:val="64BC182A"/>
    <w:rsid w:val="64F46001"/>
    <w:rsid w:val="650242F0"/>
    <w:rsid w:val="651C3CE5"/>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B45A48"/>
    <w:rsid w:val="66CE1E80"/>
    <w:rsid w:val="66E362F9"/>
    <w:rsid w:val="66E47FD9"/>
    <w:rsid w:val="66E520A5"/>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7FA61C2"/>
    <w:rsid w:val="68016A6B"/>
    <w:rsid w:val="680201B7"/>
    <w:rsid w:val="68040309"/>
    <w:rsid w:val="68060525"/>
    <w:rsid w:val="682D7E43"/>
    <w:rsid w:val="68362BFB"/>
    <w:rsid w:val="683D085A"/>
    <w:rsid w:val="683F1130"/>
    <w:rsid w:val="684456A1"/>
    <w:rsid w:val="684C2838"/>
    <w:rsid w:val="685E1363"/>
    <w:rsid w:val="687731D1"/>
    <w:rsid w:val="6878475E"/>
    <w:rsid w:val="688B4E68"/>
    <w:rsid w:val="688E1089"/>
    <w:rsid w:val="68993219"/>
    <w:rsid w:val="689E250C"/>
    <w:rsid w:val="689E42BA"/>
    <w:rsid w:val="68A026F3"/>
    <w:rsid w:val="68AF6C13"/>
    <w:rsid w:val="68F25680"/>
    <w:rsid w:val="68FB795E"/>
    <w:rsid w:val="69074555"/>
    <w:rsid w:val="690E07C7"/>
    <w:rsid w:val="69140A20"/>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325601"/>
    <w:rsid w:val="6A3C6480"/>
    <w:rsid w:val="6A417049"/>
    <w:rsid w:val="6A4B221F"/>
    <w:rsid w:val="6A576E16"/>
    <w:rsid w:val="6A7903E5"/>
    <w:rsid w:val="6A8219B9"/>
    <w:rsid w:val="6A822A1B"/>
    <w:rsid w:val="6A8641F2"/>
    <w:rsid w:val="6A8B6AC0"/>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D28F8"/>
    <w:rsid w:val="6C573E9C"/>
    <w:rsid w:val="6C5C23DC"/>
    <w:rsid w:val="6C6D1126"/>
    <w:rsid w:val="6C7672FB"/>
    <w:rsid w:val="6C7D71C3"/>
    <w:rsid w:val="6C986334"/>
    <w:rsid w:val="6C9C4FB4"/>
    <w:rsid w:val="6CA35B3A"/>
    <w:rsid w:val="6CA41A5D"/>
    <w:rsid w:val="6CA479DF"/>
    <w:rsid w:val="6CAF588C"/>
    <w:rsid w:val="6CB4638E"/>
    <w:rsid w:val="6CBF3C6A"/>
    <w:rsid w:val="6CBF5306"/>
    <w:rsid w:val="6CD7423E"/>
    <w:rsid w:val="6CD930DF"/>
    <w:rsid w:val="6CDC1854"/>
    <w:rsid w:val="6CE70FA1"/>
    <w:rsid w:val="6CF05300"/>
    <w:rsid w:val="6CFA6351"/>
    <w:rsid w:val="6CFC3C40"/>
    <w:rsid w:val="6D231231"/>
    <w:rsid w:val="6D266F73"/>
    <w:rsid w:val="6D2F6F7D"/>
    <w:rsid w:val="6D480984"/>
    <w:rsid w:val="6D8079F9"/>
    <w:rsid w:val="6D8C5028"/>
    <w:rsid w:val="6D9B526C"/>
    <w:rsid w:val="6DB13E57"/>
    <w:rsid w:val="6DC245A2"/>
    <w:rsid w:val="6DC71662"/>
    <w:rsid w:val="6DCD5126"/>
    <w:rsid w:val="6DDB6CB0"/>
    <w:rsid w:val="6DE21877"/>
    <w:rsid w:val="6DE52ACD"/>
    <w:rsid w:val="6DF36E56"/>
    <w:rsid w:val="6DFC0B44"/>
    <w:rsid w:val="6E0458E7"/>
    <w:rsid w:val="6E212037"/>
    <w:rsid w:val="6E25722B"/>
    <w:rsid w:val="6E263D90"/>
    <w:rsid w:val="6E3B221B"/>
    <w:rsid w:val="6E475779"/>
    <w:rsid w:val="6E51424D"/>
    <w:rsid w:val="6E663C68"/>
    <w:rsid w:val="6E7764EF"/>
    <w:rsid w:val="6E8403F6"/>
    <w:rsid w:val="6E952B9A"/>
    <w:rsid w:val="6EA75E92"/>
    <w:rsid w:val="6EAD447C"/>
    <w:rsid w:val="6EAE5472"/>
    <w:rsid w:val="6EBC069A"/>
    <w:rsid w:val="6ECD7F59"/>
    <w:rsid w:val="6ECF449B"/>
    <w:rsid w:val="6ED975CA"/>
    <w:rsid w:val="6EED7C80"/>
    <w:rsid w:val="6EF03395"/>
    <w:rsid w:val="6EF773A4"/>
    <w:rsid w:val="6F03756C"/>
    <w:rsid w:val="6F174DC6"/>
    <w:rsid w:val="6F1E2E65"/>
    <w:rsid w:val="6F26325B"/>
    <w:rsid w:val="6F286FD3"/>
    <w:rsid w:val="6F2F2D9E"/>
    <w:rsid w:val="6F3A05FC"/>
    <w:rsid w:val="6F4147D9"/>
    <w:rsid w:val="6F455D89"/>
    <w:rsid w:val="6F5002D8"/>
    <w:rsid w:val="6F581F47"/>
    <w:rsid w:val="6F5B0D5A"/>
    <w:rsid w:val="6F5C35EA"/>
    <w:rsid w:val="6F63625D"/>
    <w:rsid w:val="6F6B6A15"/>
    <w:rsid w:val="6F947E4B"/>
    <w:rsid w:val="6F9957DB"/>
    <w:rsid w:val="6FA30BDA"/>
    <w:rsid w:val="6FB21D4C"/>
    <w:rsid w:val="6FB80698"/>
    <w:rsid w:val="6FFD5E0F"/>
    <w:rsid w:val="70076BE8"/>
    <w:rsid w:val="701021F4"/>
    <w:rsid w:val="701C29A6"/>
    <w:rsid w:val="7024611F"/>
    <w:rsid w:val="702F7EED"/>
    <w:rsid w:val="7038498C"/>
    <w:rsid w:val="703F45D4"/>
    <w:rsid w:val="7053576D"/>
    <w:rsid w:val="70637B96"/>
    <w:rsid w:val="70797317"/>
    <w:rsid w:val="707E201F"/>
    <w:rsid w:val="7099044B"/>
    <w:rsid w:val="709A06E1"/>
    <w:rsid w:val="709D518F"/>
    <w:rsid w:val="709E387E"/>
    <w:rsid w:val="70B76860"/>
    <w:rsid w:val="70C268FE"/>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6B1D9A"/>
    <w:rsid w:val="71764F23"/>
    <w:rsid w:val="71881188"/>
    <w:rsid w:val="71946576"/>
    <w:rsid w:val="71967E84"/>
    <w:rsid w:val="7197629F"/>
    <w:rsid w:val="71A61873"/>
    <w:rsid w:val="71AF4936"/>
    <w:rsid w:val="71B12351"/>
    <w:rsid w:val="71BB4E1E"/>
    <w:rsid w:val="71CD79BE"/>
    <w:rsid w:val="71D07496"/>
    <w:rsid w:val="71D75D0F"/>
    <w:rsid w:val="71F437A4"/>
    <w:rsid w:val="721919B3"/>
    <w:rsid w:val="721A6098"/>
    <w:rsid w:val="721D18D3"/>
    <w:rsid w:val="72310D1A"/>
    <w:rsid w:val="7252306F"/>
    <w:rsid w:val="725D6B54"/>
    <w:rsid w:val="7294672D"/>
    <w:rsid w:val="7295497F"/>
    <w:rsid w:val="72986FA0"/>
    <w:rsid w:val="729B7ABC"/>
    <w:rsid w:val="72A17C99"/>
    <w:rsid w:val="72A2709C"/>
    <w:rsid w:val="72A5093A"/>
    <w:rsid w:val="72AD7197"/>
    <w:rsid w:val="72AF6F7E"/>
    <w:rsid w:val="72B15531"/>
    <w:rsid w:val="72BD2C86"/>
    <w:rsid w:val="72CD226C"/>
    <w:rsid w:val="72D27981"/>
    <w:rsid w:val="73047407"/>
    <w:rsid w:val="73047904"/>
    <w:rsid w:val="731A4E85"/>
    <w:rsid w:val="73253EFA"/>
    <w:rsid w:val="73353A6C"/>
    <w:rsid w:val="734C1A6A"/>
    <w:rsid w:val="73555EBD"/>
    <w:rsid w:val="735663B7"/>
    <w:rsid w:val="735C5949"/>
    <w:rsid w:val="73671287"/>
    <w:rsid w:val="736D1458"/>
    <w:rsid w:val="73737DA5"/>
    <w:rsid w:val="73740A39"/>
    <w:rsid w:val="73783823"/>
    <w:rsid w:val="73887B3E"/>
    <w:rsid w:val="73892412"/>
    <w:rsid w:val="738E13CF"/>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51309"/>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224E5"/>
    <w:rsid w:val="76360227"/>
    <w:rsid w:val="76366479"/>
    <w:rsid w:val="76393874"/>
    <w:rsid w:val="763F09AA"/>
    <w:rsid w:val="764F12E9"/>
    <w:rsid w:val="764F3FCC"/>
    <w:rsid w:val="7650339F"/>
    <w:rsid w:val="76595CC4"/>
    <w:rsid w:val="76603C9A"/>
    <w:rsid w:val="766B00E5"/>
    <w:rsid w:val="7680773A"/>
    <w:rsid w:val="76832D41"/>
    <w:rsid w:val="768B2C28"/>
    <w:rsid w:val="76BB1CAB"/>
    <w:rsid w:val="76C04050"/>
    <w:rsid w:val="76D67314"/>
    <w:rsid w:val="76E00193"/>
    <w:rsid w:val="76E65049"/>
    <w:rsid w:val="76F854F0"/>
    <w:rsid w:val="76FA74A7"/>
    <w:rsid w:val="77076007"/>
    <w:rsid w:val="770F77AA"/>
    <w:rsid w:val="77183DD1"/>
    <w:rsid w:val="771A36A5"/>
    <w:rsid w:val="772B3B04"/>
    <w:rsid w:val="77413F7E"/>
    <w:rsid w:val="77464076"/>
    <w:rsid w:val="7758241F"/>
    <w:rsid w:val="777A7D22"/>
    <w:rsid w:val="777E28EC"/>
    <w:rsid w:val="77835654"/>
    <w:rsid w:val="7797109C"/>
    <w:rsid w:val="779A2A38"/>
    <w:rsid w:val="77B4450A"/>
    <w:rsid w:val="77B46E73"/>
    <w:rsid w:val="77E37A12"/>
    <w:rsid w:val="77F42148"/>
    <w:rsid w:val="77FE3468"/>
    <w:rsid w:val="780B1240"/>
    <w:rsid w:val="782347DB"/>
    <w:rsid w:val="78250553"/>
    <w:rsid w:val="783B17B1"/>
    <w:rsid w:val="783B7D77"/>
    <w:rsid w:val="784E2046"/>
    <w:rsid w:val="78546F0C"/>
    <w:rsid w:val="786778FE"/>
    <w:rsid w:val="786F5A4D"/>
    <w:rsid w:val="789D588A"/>
    <w:rsid w:val="78A53442"/>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F76C5"/>
    <w:rsid w:val="79BF417E"/>
    <w:rsid w:val="79C25EE1"/>
    <w:rsid w:val="79CE2967"/>
    <w:rsid w:val="79E30EE8"/>
    <w:rsid w:val="79E34934"/>
    <w:rsid w:val="79EA664C"/>
    <w:rsid w:val="79F9627A"/>
    <w:rsid w:val="79FC3536"/>
    <w:rsid w:val="79FF6948"/>
    <w:rsid w:val="7A044199"/>
    <w:rsid w:val="7A0657CF"/>
    <w:rsid w:val="7A2F3BBF"/>
    <w:rsid w:val="7A2F459A"/>
    <w:rsid w:val="7A322A39"/>
    <w:rsid w:val="7A51702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CD518A"/>
    <w:rsid w:val="7BD04C7A"/>
    <w:rsid w:val="7BE35E2A"/>
    <w:rsid w:val="7BF538C2"/>
    <w:rsid w:val="7BF66C24"/>
    <w:rsid w:val="7BFA1CC7"/>
    <w:rsid w:val="7BFB70B3"/>
    <w:rsid w:val="7C0251DA"/>
    <w:rsid w:val="7C0C0E4A"/>
    <w:rsid w:val="7C0E41D1"/>
    <w:rsid w:val="7C1052F2"/>
    <w:rsid w:val="7C21292C"/>
    <w:rsid w:val="7C2154D6"/>
    <w:rsid w:val="7C2668D9"/>
    <w:rsid w:val="7C32497F"/>
    <w:rsid w:val="7C3C69AE"/>
    <w:rsid w:val="7C43544C"/>
    <w:rsid w:val="7C631577"/>
    <w:rsid w:val="7C691974"/>
    <w:rsid w:val="7C8A6570"/>
    <w:rsid w:val="7C8B7390"/>
    <w:rsid w:val="7C9B0D0E"/>
    <w:rsid w:val="7CA42B03"/>
    <w:rsid w:val="7CBB76D8"/>
    <w:rsid w:val="7CC55E61"/>
    <w:rsid w:val="7CCC5441"/>
    <w:rsid w:val="7CD2318A"/>
    <w:rsid w:val="7CD2702A"/>
    <w:rsid w:val="7CD34C42"/>
    <w:rsid w:val="7CD46B29"/>
    <w:rsid w:val="7CDE3FF9"/>
    <w:rsid w:val="7CE26EBF"/>
    <w:rsid w:val="7CEE3130"/>
    <w:rsid w:val="7CFC08E8"/>
    <w:rsid w:val="7D0448EF"/>
    <w:rsid w:val="7D0E5A5A"/>
    <w:rsid w:val="7D1E1A15"/>
    <w:rsid w:val="7D1F6674"/>
    <w:rsid w:val="7D475E29"/>
    <w:rsid w:val="7D480B34"/>
    <w:rsid w:val="7D741635"/>
    <w:rsid w:val="7D777A3E"/>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54211"/>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8">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autoRedefine/>
    <w:qFormat/>
    <w:uiPriority w:val="0"/>
    <w:pPr>
      <w:keepNext/>
      <w:keepLines/>
      <w:spacing w:before="260" w:after="260" w:line="416" w:lineRule="auto"/>
      <w:outlineLvl w:val="2"/>
    </w:pPr>
    <w:rPr>
      <w:b/>
      <w:bCs/>
      <w:sz w:val="32"/>
      <w:szCs w:val="32"/>
    </w:rPr>
  </w:style>
  <w:style w:type="paragraph" w:styleId="10">
    <w:name w:val="heading 4"/>
    <w:basedOn w:val="1"/>
    <w:next w:val="1"/>
    <w:autoRedefine/>
    <w:qFormat/>
    <w:uiPriority w:val="0"/>
    <w:pPr>
      <w:keepNext/>
      <w:keepLines/>
      <w:spacing w:line="360" w:lineRule="auto"/>
      <w:outlineLvl w:val="3"/>
    </w:pPr>
    <w:rPr>
      <w:rFonts w:ascii="Arial" w:hAnsi="Arial"/>
      <w:b/>
      <w:bCs/>
      <w:szCs w:val="28"/>
    </w:rPr>
  </w:style>
  <w:style w:type="paragraph" w:styleId="11">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6"/>
    <w:autoRedefine/>
    <w:qFormat/>
    <w:uiPriority w:val="0"/>
    <w:pPr>
      <w:widowControl/>
      <w:spacing w:beforeAutospacing="1" w:afterAutospacing="1"/>
      <w:jc w:val="left"/>
    </w:pPr>
    <w:rPr>
      <w:rFonts w:ascii="宋体" w:hAnsi="宋体" w:cs="宋体"/>
      <w:kern w:val="0"/>
      <w:sz w:val="24"/>
    </w:rPr>
  </w:style>
  <w:style w:type="paragraph" w:styleId="12">
    <w:name w:val="List Number"/>
    <w:basedOn w:val="1"/>
    <w:autoRedefine/>
    <w:qFormat/>
    <w:uiPriority w:val="0"/>
    <w:pPr>
      <w:widowControl/>
      <w:spacing w:beforeAutospacing="1" w:afterAutospacing="1"/>
      <w:jc w:val="left"/>
    </w:pPr>
    <w:rPr>
      <w:rFonts w:ascii="宋体" w:hAnsi="宋体" w:cs="宋体"/>
      <w:kern w:val="0"/>
      <w:sz w:val="24"/>
    </w:rPr>
  </w:style>
  <w:style w:type="paragraph" w:styleId="13">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4">
    <w:name w:val="Document Map"/>
    <w:basedOn w:val="1"/>
    <w:link w:val="77"/>
    <w:autoRedefine/>
    <w:qFormat/>
    <w:uiPriority w:val="0"/>
    <w:rPr>
      <w:rFonts w:ascii="宋体" w:hAnsi="Calibri"/>
      <w:sz w:val="18"/>
      <w:szCs w:val="18"/>
    </w:rPr>
  </w:style>
  <w:style w:type="paragraph" w:styleId="15">
    <w:name w:val="annotation text"/>
    <w:basedOn w:val="1"/>
    <w:autoRedefine/>
    <w:qFormat/>
    <w:uiPriority w:val="0"/>
    <w:pPr>
      <w:jc w:val="left"/>
    </w:pPr>
  </w:style>
  <w:style w:type="paragraph" w:styleId="16">
    <w:name w:val="Body Text 3"/>
    <w:basedOn w:val="1"/>
    <w:autoRedefine/>
    <w:qFormat/>
    <w:uiPriority w:val="0"/>
    <w:rPr>
      <w:sz w:val="16"/>
      <w:szCs w:val="16"/>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4"/>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92b95bac-b77a-4cde-a94b-66b70930446e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440F3ACB</paraID>
      <start>0</start>
      <end>2</end>
      <status>unmodified</status>
      <modifiedWord/>
      <trackRevisions>false</trackRevisions>
    </reviewItem>
    <reviewItem>
      <errorID>4e547321-9a62-4e28-8277-487166c2a0d7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642E45D6</paraID>
      <start>0</start>
      <end>2</end>
      <status>unmodified</status>
      <modifiedWord/>
      <trackRevisions>false</trackRevisions>
    </reviewItem>
    <reviewItem>
      <errorID>67d52568-b7d4-48a1-b8b6-8f21259ec06f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4E6B5DBD</paraID>
      <start>0</start>
      <end>2</end>
      <status>unmodified</status>
      <modifiedWord/>
      <trackRevisions>false</trackRevisions>
    </reviewItem>
    <reviewItem>
      <errorID>b991f124-732c-408e-8aed-83a8b3c76f00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4E639B98</paraID>
      <start>0</start>
      <end>2</end>
      <status>unmodified</status>
      <modifiedWord/>
      <trackRevisions>false</trackRevisions>
    </reviewItem>
    <reviewItem>
      <errorID>5b1d79a9-e5f9-49c3-9774-fe78c965998f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740DCAF2</paraID>
      <start>0</start>
      <end>2</end>
      <status>unmodified</status>
      <modifiedWord/>
      <trackRevisions>false</trackRevisions>
    </reviewItem>
    <reviewItem>
      <errorID>645d068d-baa3-44ac-8455-a465d7661f55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6722F338</paraID>
      <start>0</start>
      <end>2</end>
      <status>unmodified</status>
      <modifiedWord/>
      <trackRevisions>false</trackRevisions>
    </reviewItem>
    <reviewItem>
      <errorID>4402d2e8-5c81-4a4a-bab6-b129b8bbda95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65E6AB11</paraID>
      <start>0</start>
      <end>2</end>
      <status>unmodified</status>
      <modifiedWord/>
      <trackRevisions>false</trackRevisions>
    </reviewItem>
    <reviewItem>
      <errorID>24ee5635-7e6f-4bfa-ad9a-5b2fa43331b6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11E7EC9</paraID>
      <start>0</start>
      <end>2</end>
      <status>unmodified</status>
      <modifiedWord/>
      <trackRevisions>false</trackRevisions>
    </reviewItem>
    <reviewItem>
      <errorID>17a7d417-9f37-4e3e-804a-02c83aa43887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218C98F6</paraID>
      <start>0</start>
      <end>2</end>
      <status>unmodified</status>
      <modifiedWord/>
      <trackRevisions>false</trackRevisions>
    </reviewItem>
    <reviewItem>
      <errorID>dc5c00fd-3461-40fc-b0ee-2ae5bceb9938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3F8D40C9</paraID>
      <start>0</start>
      <end>2</end>
      <status>unmodified</status>
      <modifiedWord/>
      <trackRevisions>false</trackRevisions>
    </reviewItem>
    <reviewItem>
      <errorID>1605fb59-3ba3-463a-8adf-34abae41b88c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3F8D40C9</paraID>
      <start>114</start>
      <end>117</end>
      <status>unmodified</status>
      <modifiedWord/>
      <trackRevisions>false</trackRevisions>
    </reviewItem>
    <reviewItem>
      <errorID>f7ff2acc-f728-4cff-a833-335d3626a490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18218AED</paraID>
      <start>0</start>
      <end>2</end>
      <status>unmodified</status>
      <modifiedWord/>
      <trackRevisions>false</trackRevisions>
    </reviewItem>
    <reviewItem>
      <errorID>5ec82d98-879a-42e4-9cb4-5f4a2a83ca16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3199F9F5</paraID>
      <start>0</start>
      <end>2</end>
      <status>unmodified</status>
      <modifiedWord/>
      <trackRevisions>false</trackRevisions>
    </reviewItem>
    <reviewItem>
      <errorID>8c95ba6d-4497-42a7-86ae-88ece372b078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523822FE</paraID>
      <start>0</start>
      <end>2</end>
      <status>unmodified</status>
      <modifiedWord/>
      <trackRevisions>false</trackRevisions>
    </reviewItem>
    <reviewItem>
      <errorID>bf791c27-02a1-495d-ab68-2bd4f8679677</errorID>
      <errorWord>下午17:30</errorWord>
      <group>L1_Knowledge</group>
      <groupName>知识性问题</groupName>
      <ability>L2_Time</ability>
      <abilityName>日期时间</abilityName>
      <candidateList>
        <item>17:30</item>
      </candidateList>
      <explain>24小时制的时间，不需要强调“下午”。</explain>
      <paraID>638A410B</paraID>
      <start>50</start>
      <end>57</end>
      <status>unmodified</status>
      <modifiedWord/>
      <trackRevisions>false</trackRevisions>
    </reviewItem>
    <reviewItem>
      <errorID>8a8d8688-e476-4e4a-a98c-dc8a2337ad96</errorID>
      <errorWord>电动垂直升降</errorWord>
      <group>L1_Knowledge</group>
      <groupName>知识性问题</groupName>
      <ability>L2_Knowledge</ability>
      <abilityName>其他知识</abilityName>
      <candidateList>
        <item>电动垂直起降</item>
      </candidateList>
      <explain/>
      <paraID>6D503C30</paraID>
      <start>5</start>
      <end>11</end>
      <status>unmodified</status>
      <modifiedWord/>
      <trackRevisions>false</trackRevisions>
    </reviewItem>
    <reviewItem>
      <errorID>75a453b0-52fd-455d-9dfb-b7236bccc7c2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5680CAE6</paraID>
      <start>0</start>
      <end>2</end>
      <status>unmodified</status>
      <modifiedWord/>
      <trackRevisions>false</trackRevisions>
    </reviewItem>
    <reviewItem>
      <errorID>32810a72-7d50-4690-95f0-d0b08d69bb03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BBE2AC5</paraID>
      <start>0</start>
      <end>2</end>
      <status>unmodified</status>
      <modifiedWord/>
      <trackRevisions>false</trackRevisions>
    </reviewItem>
    <reviewItem>
      <errorID>c0928de2-73fe-42e4-ae79-c12ab9d1eca6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4CE131CB</paraID>
      <start>0</start>
      <end>2</end>
      <status>unmodified</status>
      <modifiedWord/>
      <trackRevisions>false</trackRevisions>
    </reviewItem>
    <reviewItem>
      <errorID>d0439024-74e7-4901-be33-99ff4b6317f7</errorID>
      <errorWord>应当应</errorWord>
      <group>L1_Word</group>
      <groupName>字词问题</groupName>
      <ability>L2_Typo</ability>
      <abilityName>字词错误</abilityName>
      <candidateList>
        <item>应当</item>
      </candidateList>
      <explain/>
      <paraID>4CE131CB</paraID>
      <start>5</start>
      <end>8</end>
      <status>unmodified</status>
      <modifiedWord/>
      <trackRevisions>false</trackRevisions>
    </reviewItem>
    <reviewItem>
      <errorID>a1891f01-f008-4223-9fcf-c3cbb471f7a2</errorID>
      <errorWord>,</errorWord>
      <group>L1_Format</group>
      <groupName>格式问题</groupName>
      <ability>L2_HalfPunc_CN</ability>
      <abilityName>全半角问题</abilityName>
      <candidateList>
        <item>，</item>
      </candidateList>
      <explain>文本全半角错误。</explain>
      <paraID>4CE131CB</paraID>
      <start>24</start>
      <end>25</end>
      <status>unmodified</status>
      <modifiedWord/>
      <trackRevisions>false</trackRevisions>
    </reviewItem>
    <reviewItem>
      <errorID>582ef379-95e8-4a12-b9ae-cbf670d950be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37D3DA05</paraID>
      <start>0</start>
      <end>2</end>
      <status>unmodified</status>
      <modifiedWord/>
      <trackRevisions>false</trackRevisions>
    </reviewItem>
    <reviewItem>
      <errorID>edb19c8a-aa01-443b-9b13-9ac58886034e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3B06D72C</paraID>
      <start>0</start>
      <end>2</end>
      <status>unmodified</status>
      <modifiedWord/>
      <trackRevisions>false</trackRevisions>
    </reviewItem>
    <reviewItem>
      <errorID>60eb0620-bd52-44e7-93b9-51def2c511ce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6E8CFB69</paraID>
      <start>0</start>
      <end>2</end>
      <status>unmodified</status>
      <modifiedWord/>
      <trackRevisions>false</trackRevisions>
    </reviewItem>
    <reviewItem>
      <errorID>55890685-5d99-413b-a28d-a85c7ada7fb6</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6E8CFB69</paraID>
      <start>15</start>
      <end>27</end>
      <status>unmodified</status>
      <modifiedWord/>
      <trackRevisions>false</trackRevisions>
    </reviewItem>
    <reviewItem>
      <errorID>fe2dcbda-3f5a-4ffe-b95e-4780fcf4d832</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528DF638</paraID>
      <start>0</start>
      <end>2</end>
      <status>unmodified</status>
      <modifiedWord/>
      <trackRevisions>false</trackRevisions>
    </reviewItem>
    <reviewItem>
      <errorID>034a9dd4-db0b-4858-9bd8-1e16e233905e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62D90186</paraID>
      <start>0</start>
      <end>2</end>
      <status>unmodified</status>
      <modifiedWord/>
      <trackRevisions>false</trackRevisions>
    </reviewItem>
    <reviewItem>
      <errorID>2308be9f-aa61-4577-8c15-6c57b390eefe</errorID>
      <errorWord>,</errorWord>
      <group>L1_Format</group>
      <groupName>格式问题</groupName>
      <ability>L2_HalfPunc_CN</ability>
      <abilityName>全半角问题</abilityName>
      <candidateList>
        <item>，</item>
      </candidateList>
      <explain>文本全半角错误。</explain>
      <paraID>204B6284</paraID>
      <start>104</start>
      <end>105</end>
      <status>unmodified</status>
      <modifiedWord/>
      <trackRevisions>false</trackRevisions>
    </reviewItem>
    <reviewItem>
      <errorID>331d80ad-009a-4a8b-84b7-68bab6ce27e6</errorID>
      <errorWord>具有有</errorWord>
      <group>L1_Word</group>
      <groupName>字词问题</groupName>
      <ability>L2_Typo</ability>
      <abilityName>字词错误</abilityName>
      <candidateList>
        <item>具有</item>
      </candidateList>
      <explain/>
      <paraID>7E6169D9</paraID>
      <start>254</start>
      <end>257</end>
      <status>unmodified</status>
      <modifiedWord/>
      <trackRevisions>false</trackRevisions>
    </reviewItem>
    <reviewItem>
      <errorID>fc5e9343-1369-4206-9223-94a83e9925f4</errorID>
      <errorWord>其它</errorWord>
      <group>L1_Word</group>
      <groupName>字词问题</groupName>
      <ability>L2_Alias</ability>
      <abilityName>也作/曾用词</abilityName>
      <candidateList>
        <item>其他</item>
      </candidateList>
      <explain>词汇[其它]为不规范表述或旧称，其规范书面表述为[其他]。</explain>
      <paraID>56290533</paraID>
      <start>64</start>
      <end>66</end>
      <status>unmodified</status>
      <modifiedWord/>
      <trackRevisions>false</trackRevisions>
    </reviewItem>
    <reviewItem>
      <errorID>ff385d79-1a50-41b4-9900-7f39f9644967</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784FE4B9</paraID>
      <start>47</start>
      <end>52</end>
      <status>unmodified</status>
      <modifiedWord/>
      <trackRevisions>false</trackRevisions>
    </reviewItem>
    <reviewItem>
      <errorID>da696fee-a8b9-4ea3-a89e-d5e2e19b5f0a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18593BC4</paraID>
      <start>115</start>
      <end>118</end>
      <status>unmodified</status>
      <modifiedWord/>
      <trackRevisions>false</trackRevisions>
    </reviewItem>
    <reviewItem>
      <errorID>5eb1c2dd-22bc-40b7-bab5-458e74a9c859</errorID>
      <errorWord>做为</errorWord>
      <group>L1_Word</group>
      <groupName>字词问题</groupName>
      <ability>L2_Typo</ability>
      <abilityName>字词错误</abilityName>
      <candidateList>
        <item>作为</item>
      </candidateList>
      <explain/>
      <paraID>18593BC4</paraID>
      <start>248</start>
      <end>250</end>
      <status>unmodified</status>
      <modifiedWord/>
      <trackRevisions>false</trackRevisions>
    </reviewItem>
    <reviewItem>
      <errorID>68b386f4-28e6-48c1-b201-1f26c14fa168</errorID>
      <errorWord>,</errorWord>
      <group>L1_Format</group>
      <groupName>格式问题</groupName>
      <ability>L2_HalfPunc_CN</ability>
      <abilityName>全半角问题</abilityName>
      <candidateList>
        <item>，</item>
      </candidateList>
      <explain>文本全半角错误。</explain>
      <paraID>511BE383</paraID>
      <start>15</start>
      <end>16</end>
      <status>unmodified</status>
      <modifiedWord/>
      <trackRevisions>false</trackRevisions>
    </reviewItem>
    <reviewItem>
      <errorID>ca3a4974-555e-4525-9111-5e11c710736d</errorID>
      <errorWord>,</errorWord>
      <group>L1_Format</group>
      <groupName>格式问题</groupName>
      <ability>L2_HalfPunc_CN</ability>
      <abilityName>全半角问题</abilityName>
      <candidateList>
        <item>，</item>
      </candidateList>
      <explain>文本全半角错误。</explain>
      <paraID>43287587</paraID>
      <start>9</start>
      <end>10</end>
      <status>unmodified</status>
      <modifiedWord/>
      <trackRevisions>false</trackRevisions>
    </reviewItem>
    <reviewItem>
      <errorID>15da78c2-9aff-4b04-99b2-4621eeb73c1e</errorID>
      <errorWord>&lt;</errorWord>
      <group>L1_Format</group>
      <groupName>格式问题</groupName>
      <ability>L2_HalfPunc_CN</ability>
      <abilityName>全半角问题</abilityName>
      <candidateList>
        <item>〈</item>
      </candidateList>
      <explain>文本全半角错误。</explain>
      <paraID>4AA06270</paraID>
      <start>142</start>
      <end>143</end>
      <status>unmodified</status>
      <modifiedWord/>
      <trackRevisions>false</trackRevisions>
    </reviewItem>
    <reviewItem>
      <errorID>0bf558a0-eddc-4837-a198-826aa5985ec7</errorID>
      <errorWord>&gt;</errorWord>
      <group>L1_Format</group>
      <groupName>格式问题</groupName>
      <ability>L2_HalfPunc_CN</ability>
      <abilityName>全半角问题</abilityName>
      <candidateList>
        <item>〉</item>
      </candidateList>
      <explain>文本全半角错误。</explain>
      <paraID>4AA06270</paraID>
      <start>159</start>
      <end>160</end>
      <status>unmodified</status>
      <modifiedWord/>
      <trackRevisions>false</trackRevisions>
    </reviewItem>
    <reviewItem>
      <errorID>11a0eeb2-a332-459e-987e-f4496eaccedd</errorID>
      <errorWord>,</errorWord>
      <group>L1_Format</group>
      <groupName>格式问题</groupName>
      <ability>L2_HalfPunc_CN</ability>
      <abilityName>全半角问题</abilityName>
      <candidateList>
        <item>，</item>
      </candidateList>
      <explain>文本全半角错误。</explain>
      <paraID>2827C549</paraID>
      <start>28</start>
      <end>29</end>
      <status>unmodified</status>
      <modifiedWord/>
      <trackRevisions>false</trackRevisions>
    </reviewItem>
    <reviewItem>
      <errorID>e83db297-b514-45c7-9c03-c743b8ff5378</errorID>
      <errorWord>(</errorWord>
      <group>L1_Format</group>
      <groupName>格式问题</groupName>
      <ability>L2_HalfPunc_CN</ability>
      <abilityName>全半角问题</abilityName>
      <candidateList>
        <item>（</item>
      </candidateList>
      <explain>文本全半角错误。</explain>
      <paraID> C544B71</paraID>
      <start>40</start>
      <end>41</end>
      <status>unmodified</status>
      <modifiedWord/>
      <trackRevisions>false</trackRevisions>
    </reviewItem>
    <reviewItem>
      <errorID>66c62cac-7354-4fe6-82a6-4844f48a1b8f</errorID>
      <errorWord>)</errorWord>
      <group>L1_Format</group>
      <groupName>格式问题</groupName>
      <ability>L2_HalfPunc_CN</ability>
      <abilityName>全半角问题</abilityName>
      <candidateList>
        <item>）</item>
      </candidateList>
      <explain>文本全半角错误。</explain>
      <paraID> C544B71</paraID>
      <start>50</start>
      <end>51</end>
      <status>unmodified</status>
      <modifiedWord/>
      <trackRevisions>false</trackRevisions>
    </reviewItem>
    <reviewItem>
      <errorID>9e7527fb-5441-4fb5-b593-654b9bc25228</errorID>
      <errorWord>,</errorWord>
      <group>L1_Format</group>
      <groupName>格式问题</groupName>
      <ability>L2_HalfPunc_CN</ability>
      <abilityName>全半角问题</abilityName>
      <candidateList>
        <item>，</item>
      </candidateList>
      <explain>文本全半角错误。</explain>
      <paraID> C544B71</paraID>
      <start>132</start>
      <end>133</end>
      <status>unmodified</status>
      <modifiedWord/>
      <trackRevisions>false</trackRevisions>
    </reviewItem>
    <reviewItem>
      <errorID>97a9911c-d106-4bc8-b9e2-40f184381220</errorID>
      <errorWord>,</errorWord>
      <group>L1_Format</group>
      <groupName>格式问题</groupName>
      <ability>L2_HalfPunc_CN</ability>
      <abilityName>全半角问题</abilityName>
      <candidateList>
        <item>，</item>
      </candidateList>
      <explain>文本全半角错误。</explain>
      <paraID> C544B71</paraID>
      <start>176</start>
      <end>177</end>
      <status>unmodified</status>
      <modifiedWord/>
      <trackRevisions>false</trackRevisions>
    </reviewItem>
    <reviewItem>
      <errorID>a77289d7-05a4-433e-8d82-5f6605847756</errorID>
      <errorWord>(</errorWord>
      <group>L1_Format</group>
      <groupName>格式问题</groupName>
      <ability>L2_HalfPunc_CN</ability>
      <abilityName>全半角问题</abilityName>
      <candidateList>
        <item>（</item>
      </candidateList>
      <explain>文本全半角错误。</explain>
      <paraID>10D8338E</paraID>
      <start>6</start>
      <end>7</end>
      <status>unmodified</status>
      <modifiedWord/>
      <trackRevisions>false</trackRevisions>
    </reviewItem>
    <reviewItem>
      <errorID>51fd808b-3229-4763-a677-731c67fc99c2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27845DD2</paraID>
      <start>15</start>
      <end>18</end>
      <status>unmodified</status>
      <modifiedWord/>
      <trackRevisions>false</trackRevisions>
    </reviewItem>
    <reviewItem>
      <errorID>3fc65406-3bad-42bc-aaef-8eaac0a4c69c</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27845DD2</paraID>
      <start>149</start>
      <end>154</end>
      <status>unmodified</status>
      <modifiedWord/>
      <trackRevisions>false</trackRevisions>
    </reviewItem>
    <reviewItem>
      <errorID>37dfe80d-a7f6-434f-9973-66c20d1c5c72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33381398</paraID>
      <start>0</start>
      <end>2</end>
      <status>unmodified</status>
      <modifiedWord/>
      <trackRevisions>false</trackRevisions>
    </reviewItem>
    <reviewItem>
      <errorID>3292f055-92c5-427b-b13d-8b9cfcc53d38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3ACB097F</paraID>
      <start>0</start>
      <end>2</end>
      <status>unmodified</status>
      <modifiedWord/>
      <trackRevisions>false</trackRevisions>
    </reviewItem>
    <reviewItem>
      <errorID>f0cdce8f-ab32-446f-a1b3-bb6de8188e48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67A65ABA</paraID>
      <start>0</start>
      <end>2</end>
      <status>unmodified</status>
      <modifiedWord/>
      <trackRevisions>false</trackRevisions>
    </reviewItem>
    <reviewItem>
      <errorID>fa2c6255-ac58-4313-b4f9-002264017ce7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AC5D7C5</paraID>
      <start>0</start>
      <end>2</end>
      <status>unmodified</status>
      <modifiedWord/>
      <trackRevisions>false</trackRevisions>
    </reviewItem>
    <reviewItem>
      <errorID>f9a8dd68-6e78-4853-9099-dd9647c94a8c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222FB33F</paraID>
      <start>0</start>
      <end>2</end>
      <status>unmodified</status>
      <modifiedWord/>
      <trackRevisions>false</trackRevisions>
    </reviewItem>
    <reviewItem>
      <errorID>58216801-4fee-4044-8a8e-9a1a8d43bc45</errorID>
      <errorWord>必须要</errorWord>
      <group>L1_Word</group>
      <groupName>字词问题</groupName>
      <ability>L2_Typo</ability>
      <abilityName>字词错误</abilityName>
      <candidateList>
        <item>必须</item>
      </candidateList>
      <explain/>
      <paraID>222FB33F</paraID>
      <start>108</start>
      <end>111</end>
      <status>unmodified</status>
      <modifiedWord/>
      <trackRevisions>false</trackRevisions>
    </reviewItem>
    <reviewItem>
      <errorID>997792af-5270-482b-8164-12f47f45d6bf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2F555B21</paraID>
      <start>0</start>
      <end>2</end>
      <status>unmodified</status>
      <modifiedWord/>
      <trackRevisions>false</trackRevisions>
    </reviewItem>
    <reviewItem>
      <errorID>b5744eae-520e-4cd3-8186-2a55709ad7eb</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1E3D576F</paraID>
      <start>26</start>
      <end>29</end>
      <status>unmodified</status>
      <modifiedWord/>
      <trackRevisions>false</trackRevisions>
    </reviewItem>
    <reviewItem>
      <errorID>83f0d26e-85d4-44ac-b5aa-4c72b7fab3fe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2A181BDE</paraID>
      <start>0</start>
      <end>2</end>
      <status>unmodified</status>
      <modifiedWord/>
      <trackRevisions>false</trackRevisions>
    </reviewItem>
    <reviewItem>
      <errorID>70a464de-a63e-471b-8e21-78248a2296d2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79BEA18E</paraID>
      <start>0</start>
      <end>2</end>
      <status>unmodified</status>
      <modifiedWord/>
      <trackRevisions>false</trackRevisions>
    </reviewItem>
    <reviewItem>
      <errorID>4e721cbe-7c3b-4de1-8eed-03b100de848a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6DEA8070</paraID>
      <start>0</start>
      <end>2</end>
      <status>unmodified</status>
      <modifiedWord/>
      <trackRevisions>false</trackRevisions>
    </reviewItem>
    <reviewItem>
      <errorID>23547d6e-dc8d-4cd2-963a-da249bb11dcc</errorID>
      <errorWord>,</errorWord>
      <group>L1_Format</group>
      <groupName>格式问题</groupName>
      <ability>L2_HalfPunc_CN</ability>
      <abilityName>全半角问题</abilityName>
      <candidateList>
        <item>，</item>
      </candidateList>
      <explain>文本全半角错误。</explain>
      <paraID>6DEA8070</paraID>
      <start>49</start>
      <end>50</end>
      <status>unmodified</status>
      <modifiedWord/>
      <trackRevisions>false</trackRevisions>
    </reviewItem>
    <reviewItem>
      <errorID>74fced4a-d56f-4b58-bdb3-d545fd6b5810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39A9B4C1</paraID>
      <start>0</start>
      <end>2</end>
      <status>unmodified</status>
      <modifiedWord/>
      <trackRevisions>false</trackRevisions>
    </reviewItem>
    <reviewItem>
      <errorID>6bb533d9-cb0c-4254-b6ac-5d93bc517e24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BF6AE7</paraID>
      <start>0</start>
      <end>2</end>
      <status>unmodified</status>
      <modifiedWord/>
      <trackRevisions>false</trackRevisions>
    </reviewItem>
    <reviewItem>
      <errorID>f77843b3-0017-46f1-a71d-861a560b1ff1</errorID>
      <errorWord>,</errorWord>
      <group>L1_Format</group>
      <groupName>格式问题</groupName>
      <ability>L2_HalfPunc_CN</ability>
      <abilityName>全半角问题</abilityName>
      <candidateList>
        <item>，</item>
      </candidateList>
      <explain>文本全半角错误。</explain>
      <paraID>  BF6AE7</paraID>
      <start>79</start>
      <end>80</end>
      <status>unmodified</status>
      <modifiedWord/>
      <trackRevisions>false</trackRevisions>
    </reviewItem>
    <reviewItem>
      <errorID>64200012-0fb5-480b-9c71-44b23b6d241e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1FB152CC</paraID>
      <start>0</start>
      <end>2</end>
      <status>unmodified</status>
      <modifiedWord/>
      <trackRevisions>false</trackRevisions>
    </reviewItem>
    <reviewItem>
      <errorID>f8788574-49ec-4842-9c80-38f31baa92ae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3A111393</paraID>
      <start>0</start>
      <end>2</end>
      <status>unmodified</status>
      <modifiedWord/>
      <trackRevisions>false</trackRevisions>
    </reviewItem>
    <reviewItem>
      <errorID>0c31606e-2505-4a2b-9934-da2435a33076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6EF03825</paraID>
      <start>0</start>
      <end>2</end>
      <status>unmodified</status>
      <modifiedWord/>
      <trackRevisions>false</trackRevisions>
    </reviewItem>
    <reviewItem>
      <errorID>bc10bffd-fd65-407d-9259-d8a877a24405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1C86877D</paraID>
      <start>0</start>
      <end>2</end>
      <status>unmodified</status>
      <modifiedWord/>
      <trackRevisions>false</trackRevisions>
    </reviewItem>
    <reviewItem>
      <errorID>b1b7cdcb-284d-4f90-89b6-56dc5dafd2ed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70DE7D94</paraID>
      <start>0</start>
      <end>2</end>
      <status>unmodified</status>
      <modifiedWord/>
      <trackRevisions>false</trackRevisions>
    </reviewItem>
    <reviewItem>
      <errorID>225f0321-c438-4ba6-9f63-a748379eebed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6FE73926</paraID>
      <start>0</start>
      <end>2</end>
      <status>unmodified</status>
      <modifiedWord/>
      <trackRevisions>false</trackRevisions>
    </reviewItem>
    <reviewItem>
      <errorID>74aba8d7-88ef-47ae-b0c9-d48ba319fb92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7D99794B</paraID>
      <start>0</start>
      <end>2</end>
      <status>unmodified</status>
      <modifiedWord/>
      <trackRevisions>false</trackRevisions>
    </reviewItem>
    <reviewItem>
      <errorID>00264b59-9cb9-4b9d-89c2-b34760a0538f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3A30DD16</paraID>
      <start>0</start>
      <end>2</end>
      <status>unmodified</status>
      <modifiedWord/>
      <trackRevisions>false</trackRevisions>
    </reviewItem>
    <reviewItem>
      <errorID>33c4e39f-192e-41c9-b62c-13cb44d3ecda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1F37D73C</paraID>
      <start>0</start>
      <end>2</end>
      <status>unmodified</status>
      <modifiedWord/>
      <trackRevisions>false</trackRevisions>
    </reviewItem>
    <reviewItem>
      <errorID>6376675c-db63-4657-8e88-55ee64fca5a7</errorID>
      <errorWord>法律、法规</errorWord>
      <group>L1_Word</group>
      <groupName>字词问题</groupName>
      <ability>L2_Typo</ability>
      <abilityName>字词错误</abilityName>
      <candidateList>
        <item>法律法规</item>
      </candidateList>
      <explain/>
      <paraID> EAA1E80</paraID>
      <start>13</start>
      <end>18</end>
      <status>unmodified</status>
      <modifiedWord/>
      <trackRevisions>false</trackRevisions>
    </reviewItem>
    <reviewItem>
      <errorID>5ccaf07f-11e0-4745-b29c-f3d1d496a216</errorID>
      <errorWord>，也</errorWord>
      <group>L1_Word</group>
      <groupName>字词问题</groupName>
      <ability>L2_Typo</ability>
      <abilityName>字词错误</abilityName>
      <candidateList>
        <item>，</item>
      </candidateList>
      <explain/>
      <paraID>6693DEE5</paraID>
      <start>87</start>
      <end>89</end>
      <status>unmodified</status>
      <modifiedWord/>
      <trackRevisions>false</trackRevisions>
    </reviewItem>
    <reviewItem>
      <errorID>0d7081e9-6016-4467-a450-25bd925460fa</errorID>
      <errorWord>(</errorWord>
      <group>L1_Format</group>
      <groupName>格式问题</groupName>
      <ability>L2_HalfPunc_CN</ability>
      <abilityName>全半角问题</abilityName>
      <candidateList>
        <item>（</item>
      </candidateList>
      <explain>文本全半角错误。</explain>
      <paraID>54D2D730</paraID>
      <start>4</start>
      <end>5</end>
      <status>unmodified</status>
      <modifiedWord/>
      <trackRevisions>false</trackRevisions>
    </reviewItem>
    <reviewItem>
      <errorID>74bf36b0-dfb1-4019-8330-a75d61783f57</errorID>
      <errorWord>)</errorWord>
      <group>L1_Format</group>
      <groupName>格式问题</groupName>
      <ability>L2_HalfPunc_CN</ability>
      <abilityName>全半角问题</abilityName>
      <candidateList>
        <item>）</item>
      </candidateList>
      <explain>文本全半角错误。</explain>
      <paraID>54D2D730</paraID>
      <start>7</start>
      <end>8</end>
      <status>unmodified</status>
      <modifiedWord/>
      <trackRevisions>false</trackRevisions>
    </reviewItem>
    <reviewItem>
      <errorID>530e534b-ccaf-4667-9f15-282bcde5024c</errorID>
      <errorWord>(</errorWord>
      <group>L1_Format</group>
      <groupName>格式问题</groupName>
      <ability>L2_HalfPunc_CN</ability>
      <abilityName>全半角问题</abilityName>
      <candidateList>
        <item>（</item>
      </candidateList>
      <explain>文本全半角错误。</explain>
      <paraID>4C900395</paraID>
      <start>2</start>
      <end>3</end>
      <status>unmodified</status>
      <modifiedWord/>
      <trackRevisions>false</trackRevisions>
    </reviewItem>
    <reviewItem>
      <errorID>b21091fb-77e7-43b0-9dce-504b03cdb3dc</errorID>
      <errorWord>)</errorWord>
      <group>L1_Format</group>
      <groupName>格式问题</groupName>
      <ability>L2_HalfPunc_CN</ability>
      <abilityName>全半角问题</abilityName>
      <candidateList>
        <item>）</item>
      </candidateList>
      <explain>文本全半角错误。</explain>
      <paraID>4C900395</paraID>
      <start>5</start>
      <end>6</end>
      <status>unmodified</status>
      <modifiedWord/>
      <trackRevisions>false</trackRevisions>
    </reviewItem>
    <reviewItem>
      <errorID>4589f83a-fbdd-456a-9d20-72ca7fbb2ccf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7E5AA8C1</paraID>
      <start>0</start>
      <end>2</end>
      <status>unmodified</status>
      <modifiedWord/>
      <trackRevisions>false</trackRevisions>
    </reviewItem>
    <reviewItem>
      <errorID>36248d7a-d43a-4fe5-951d-5fd783fa00fa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7F75A6D4</paraID>
      <start>0</start>
      <end>2</end>
      <status>unmodified</status>
      <modifiedWord/>
      <trackRevisions>false</trackRevisions>
    </reviewItem>
    <reviewItem>
      <errorID>0ef8b7e0-80b0-415f-b17f-a2991c864cec</errorID>
      <errorWord>，和</errorWord>
      <group>L1_Word</group>
      <groupName>字词问题</groupName>
      <ability>L2_Typo</ability>
      <abilityName>字词错误</abilityName>
      <candidateList>
        <item>，</item>
      </candidateList>
      <explain/>
      <paraID>7F75A6D4</paraID>
      <start>104</start>
      <end>106</end>
      <status>unmodified</status>
      <modifiedWord/>
      <trackRevisions>false</trackRevisions>
    </reviewItem>
    <reviewItem>
      <errorID>66754665-ed33-4b6a-a3f3-a685460624c1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50B14548</paraID>
      <start>0</start>
      <end>2</end>
      <status>unmodified</status>
      <modifiedWord/>
      <trackRevisions>false</trackRevisions>
    </reviewItem>
    <reviewItem>
      <errorID>c6ac959d-2ae5-4db1-a645-6b780b5272fd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57AA5607</paraID>
      <start>0</start>
      <end>2</end>
      <status>unmodified</status>
      <modifiedWord/>
      <trackRevisions>false</trackRevisions>
    </reviewItem>
    <reviewItem>
      <errorID>823a1984-274a-4ec1-b0ae-8d0c7a556ea9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5BEECCD7</paraID>
      <start>0</start>
      <end>2</end>
      <status>unmodified</status>
      <modifiedWord/>
      <trackRevisions>false</trackRevisions>
    </reviewItem>
    <reviewItem>
      <errorID>e97dbbe9-e774-4b57-bae8-4fe486dee8a5</errorID>
      <errorWord>，</errorWord>
      <group>L1_Word</group>
      <groupName>字词问题</groupName>
      <ability>L2_Typo</ability>
      <abilityName>字词错误</abilityName>
      <candidateList>
        <item>，对</item>
      </candidateList>
      <explain/>
      <paraID>5BEECCD7</paraID>
      <start>27</start>
      <end>28</end>
      <status>unmodified</status>
      <modifiedWord/>
      <trackRevisions>false</trackRevisions>
    </reviewItem>
    <reviewItem>
      <errorID>1447e302-450b-4061-8287-5f7f0ff62470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20A3F44E</paraID>
      <start>0</start>
      <end>2</end>
      <status>unmodified</status>
      <modifiedWord/>
      <trackRevisions>false</trackRevisions>
    </reviewItem>
    <reviewItem>
      <errorID>5ac0ad34-5706-4e37-a4b2-2bb07193acd8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7262BF00</paraID>
      <start>0</start>
      <end>2</end>
      <status>unmodified</status>
      <modifiedWord/>
      <trackRevisions>false</trackRevisions>
    </reviewItem>
    <reviewItem>
      <errorID>7465e06b-4cc1-4d9f-ad06-0874138361e0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7FC61E7A</paraID>
      <start>0</start>
      <end>2</end>
      <status>unmodified</status>
      <modifiedWord/>
      <trackRevisions>false</trackRevisions>
    </reviewItem>
    <reviewItem>
      <errorID>1c87da9f-ad21-4b02-b831-e3f18544da14</errorID>
      <errorWord>:</errorWord>
      <group>L1_Format</group>
      <groupName>格式问题</groupName>
      <ability>L2_HalfPunc_CN</ability>
      <abilityName>全半角问题</abilityName>
      <candidateList>
        <item>：</item>
      </candidateList>
      <explain>文本全半角错误。</explain>
      <paraID>719699C1</paraID>
      <start>77</start>
      <end>78</end>
      <status>unmodified</status>
      <modifiedWord/>
      <trackRevisions>false</trackRevisions>
    </reviewItem>
    <reviewItem>
      <errorID>946a8207-197d-4fe0-b703-340b1830234e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3D38FEFB</paraID>
      <start>0</start>
      <end>2</end>
      <status>unmodified</status>
      <modifiedWord/>
      <trackRevisions>false</trackRevisions>
    </reviewItem>
    <reviewItem>
      <errorID>44ed7f6c-912c-4808-aae9-9a5eb0e75a62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77530AF8</paraID>
      <start>0</start>
      <end>2</end>
      <status>unmodified</status>
      <modifiedWord/>
      <trackRevisions>false</trackRevisions>
    </reviewItem>
    <reviewItem>
      <errorID>616710d7-8592-4b04-8bd7-3225f5265e78</errorID>
      <errorWord>我方我方</errorWord>
      <group>L1_Word</group>
      <groupName>字词问题</groupName>
      <ability>L2_Typo</ability>
      <abilityName>字词错误</abilityName>
      <candidateList>
        <item>我方</item>
      </candidateList>
      <explain/>
      <paraID>77530AF8</paraID>
      <start>2</start>
      <end>4</end>
      <status>modified</status>
      <modifiedWord>我方</modifiedWord>
      <trackRevisions>false</trackRevisions>
    </reviewItem>
    <reviewItem>
      <errorID>ed0b04c7-1088-4016-9bd7-4fb627fffa2a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98DA809</paraID>
      <start>0</start>
      <end>2</end>
      <status>unmodified</status>
      <modifiedWord/>
      <trackRevisions>false</trackRevisions>
    </reviewItem>
    <reviewItem>
      <errorID>8599c243-b253-4d7e-81e1-273ea757451d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2BF7D37</paraID>
      <start>0</start>
      <end>2</end>
      <status>unmodified</status>
      <modifiedWord/>
      <trackRevisions>false</trackRevisions>
    </reviewItem>
    <reviewItem>
      <errorID>e7ef2505-b48c-40d1-b6e9-33dc55ff1358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16EBA839</paraID>
      <start>0</start>
      <end>2</end>
      <status>unmodified</status>
      <modifiedWord/>
      <trackRevisions>false</trackRevisions>
    </reviewItem>
    <reviewItem>
      <errorID>d853567f-ad0f-4e96-a48c-2a97e919672b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3B795BEB</paraID>
      <start>0</start>
      <end>2</end>
      <status>unmodified</status>
      <modifiedWord/>
      <trackRevisions>false</trackRevisions>
    </reviewItem>
    <reviewItem>
      <errorID>95253969-d42f-48f7-9a0c-bc4ab9e750e1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D90ED5A</paraID>
      <start>0</start>
      <end>2</end>
      <status>unmodified</status>
      <modifiedWord/>
      <trackRevisions>false</trackRevisions>
    </reviewItem>
    <reviewItem>
      <errorID>7e53cd74-30f9-4096-aae1-429f5744c5f3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2AA43C61</paraID>
      <start>0</start>
      <end>2</end>
      <status>unmodified</status>
      <modifiedWord/>
      <trackRevisions>false</trackRevisions>
    </reviewItem>
    <reviewItem>
      <errorID>ca5a934f-bff0-4f3c-8d6f-ff88304c7025</errorID>
      <errorWord>(</errorWord>
      <group>L1_Format</group>
      <groupName>格式问题</groupName>
      <ability>L2_HalfPunc_CN</ability>
      <abilityName>全半角问题</abilityName>
      <candidateList>
        <item>（</item>
      </candidateList>
      <explain>文本全半角错误。</explain>
      <paraID>7E402CB3</paraID>
      <start>4</start>
      <end>5</end>
      <status>unmodified</status>
      <modifiedWord/>
      <trackRevisions>false</trackRevisions>
    </reviewItem>
    <reviewItem>
      <errorID>ff795051-3ea1-4d48-ac03-53b9666e1ba0</errorID>
      <errorWord>)</errorWord>
      <group>L1_Format</group>
      <groupName>格式问题</groupName>
      <ability>L2_HalfPunc_CN</ability>
      <abilityName>全半角问题</abilityName>
      <candidateList>
        <item>）</item>
      </candidateList>
      <explain>文本全半角错误。</explain>
      <paraID>7E402CB3</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26f8f4-85a9-4644-9c6a-bd645705c62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43</Pages>
  <Words>15811</Words>
  <Characters>16439</Characters>
  <Lines>50</Lines>
  <Paragraphs>68</Paragraphs>
  <TotalTime>1</TotalTime>
  <ScaleCrop>false</ScaleCrop>
  <LinksUpToDate>false</LinksUpToDate>
  <CharactersWithSpaces>17224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2026-08-04T08:08:33Z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