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r>
        <w:rPr>
          <w:rFonts w:hint="eastAsia" w:cs="宋体"/>
          <w:b/>
          <w:bCs/>
          <w:color w:val="auto"/>
          <w:sz w:val="48"/>
          <w:szCs w:val="48"/>
          <w:highlight w:val="none"/>
          <w:lang w:val="en-US" w:eastAsia="zh-CN"/>
        </w:rPr>
        <w:t>康复分院南楼辅房北立面玻璃幕墙改造采购项目</w:t>
      </w:r>
    </w:p>
    <w:p w14:paraId="43B7407E">
      <w:pPr>
        <w:pStyle w:val="19"/>
        <w:bidi w:val="0"/>
        <w:jc w:val="center"/>
        <w:rPr>
          <w:rStyle w:val="43"/>
          <w:rFonts w:hint="eastAsia" w:cs="宋体"/>
          <w:b/>
          <w:bCs/>
          <w:color w:val="auto"/>
          <w:sz w:val="44"/>
          <w:szCs w:val="44"/>
          <w:highlight w:val="none"/>
          <w:lang w:val="en-US" w:eastAsia="zh-CN"/>
        </w:rPr>
      </w:pPr>
    </w:p>
    <w:p w14:paraId="3041D311">
      <w:pPr>
        <w:pStyle w:val="19"/>
        <w:bidi w:val="0"/>
        <w:jc w:val="center"/>
        <w:rPr>
          <w:rStyle w:val="43"/>
          <w:rFonts w:hint="eastAsia" w:cs="宋体"/>
          <w:b/>
          <w:bCs/>
          <w:color w:val="auto"/>
          <w:sz w:val="44"/>
          <w:szCs w:val="44"/>
          <w:highlight w:val="none"/>
          <w:lang w:val="en-US" w:eastAsia="zh-CN"/>
        </w:rPr>
      </w:pPr>
    </w:p>
    <w:p w14:paraId="72164425">
      <w:pPr>
        <w:pStyle w:val="19"/>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河南隆祥建设实业有限公司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7</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康复分院南楼辅房北立面玻璃幕墙改造采购项目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康复分院南楼辅房北立面玻璃幕墙改造采购项目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康复分院南楼辅房北立面玻璃幕墙改造采购项目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：具体详见详见图纸及工程量清单；</w:t>
      </w:r>
    </w:p>
    <w:p w14:paraId="374006CC">
      <w:pPr>
        <w:widowControl/>
        <w:tabs>
          <w:tab w:val="left" w:pos="840"/>
        </w:tabs>
        <w:snapToGrid w:val="0"/>
        <w:spacing w:line="324" w:lineRule="auto"/>
        <w:ind w:firstLine="480" w:firstLineChars="200"/>
        <w:jc w:val="left"/>
        <w:rPr>
          <w:rFonts w:hint="eastAsia" w:ascii="宋体" w:hAnsi="宋体" w:eastAsia="宋体" w:cs="宋体"/>
          <w:sz w:val="24"/>
          <w:highlight w:val="none"/>
          <w:shd w:val="clear" w:color="auto" w:fill="FFFFFF"/>
          <w:lang w:eastAsia="zh-CN"/>
        </w:rPr>
      </w:pPr>
      <w:bookmarkStart w:id="3" w:name="_Toc26725"/>
      <w:bookmarkStart w:id="4" w:name="_Toc16639"/>
      <w:bookmarkStart w:id="5" w:name="_Toc18607"/>
      <w:bookmarkStart w:id="6" w:name="_Toc27704"/>
      <w:bookmarkStart w:id="7" w:name="_Toc23626"/>
      <w:r>
        <w:rPr>
          <w:rFonts w:hint="eastAsia" w:ascii="宋体" w:hAnsi="宋体" w:cs="宋体"/>
          <w:sz w:val="24"/>
          <w:highlight w:val="none"/>
          <w:shd w:val="clear" w:color="auto" w:fill="FFFFFF"/>
        </w:rPr>
        <w:t>3、预算金额：</w:t>
      </w:r>
      <w:r>
        <w:rPr>
          <w:rFonts w:hint="eastAsia" w:ascii="宋体" w:hAnsi="宋体" w:cs="宋体"/>
          <w:sz w:val="24"/>
          <w:highlight w:val="none"/>
          <w:shd w:val="clear" w:color="auto" w:fill="FFFFFF"/>
          <w:lang w:val="en-US" w:eastAsia="zh-CN"/>
        </w:rPr>
        <w:t>52200</w:t>
      </w:r>
      <w:r>
        <w:rPr>
          <w:rFonts w:hint="eastAsia" w:ascii="宋体" w:hAnsi="宋体" w:cs="宋体"/>
          <w:sz w:val="24"/>
          <w:highlight w:val="none"/>
          <w:shd w:val="clear" w:color="auto" w:fill="FFFFFF"/>
        </w:rPr>
        <w:t>元</w:t>
      </w:r>
      <w:r>
        <w:rPr>
          <w:rFonts w:hint="eastAsia" w:ascii="宋体" w:hAnsi="宋体" w:cs="宋体"/>
          <w:sz w:val="24"/>
          <w:highlight w:val="none"/>
          <w:shd w:val="clear" w:color="auto" w:fill="FFFFFF"/>
          <w:lang w:eastAsia="zh-CN"/>
        </w:rPr>
        <w:t>；</w:t>
      </w:r>
    </w:p>
    <w:p w14:paraId="5F1E3379">
      <w:pPr>
        <w:widowControl/>
        <w:tabs>
          <w:tab w:val="left" w:pos="840"/>
        </w:tabs>
        <w:snapToGrid w:val="0"/>
        <w:spacing w:line="324" w:lineRule="auto"/>
        <w:ind w:firstLine="480" w:firstLineChars="200"/>
        <w:jc w:val="left"/>
        <w:rPr>
          <w:rFonts w:hint="default"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rPr>
        <w:t>4、工期：</w:t>
      </w:r>
      <w:r>
        <w:rPr>
          <w:rFonts w:hint="eastAsia" w:ascii="宋体" w:hAnsi="宋体" w:cs="宋体"/>
          <w:sz w:val="24"/>
          <w:highlight w:val="none"/>
          <w:shd w:val="clear" w:color="auto" w:fill="FFFFFF"/>
          <w:lang w:val="en-US" w:eastAsia="zh-CN"/>
        </w:rPr>
        <w:t>合同签订后20日历天内；</w:t>
      </w:r>
    </w:p>
    <w:p w14:paraId="121B021F">
      <w:pPr>
        <w:widowControl/>
        <w:tabs>
          <w:tab w:val="left" w:pos="840"/>
        </w:tabs>
        <w:snapToGrid w:val="0"/>
        <w:spacing w:line="324" w:lineRule="auto"/>
        <w:ind w:firstLine="480" w:firstLineChars="200"/>
        <w:jc w:val="left"/>
        <w:rPr>
          <w:rFonts w:hint="default"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rPr>
        <w:t>5、质量要求：</w:t>
      </w:r>
      <w:r>
        <w:rPr>
          <w:rFonts w:hint="eastAsia" w:ascii="宋体" w:hAnsi="宋体" w:cs="宋体"/>
          <w:sz w:val="24"/>
          <w:highlight w:val="none"/>
          <w:shd w:val="clear" w:color="auto" w:fill="FFFFFF"/>
          <w:lang w:val="en-US" w:eastAsia="zh-CN"/>
        </w:rPr>
        <w:t>合格。</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7823"/>
      <w:bookmarkStart w:id="10" w:name="_Toc9562"/>
      <w:bookmarkStart w:id="11" w:name="_Toc30643"/>
      <w:bookmarkStart w:id="12" w:name="_Toc23395"/>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B42522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6FA70A07">
      <w:pPr>
        <w:widowControl/>
        <w:tabs>
          <w:tab w:val="left" w:pos="840"/>
        </w:tabs>
        <w:snapToGrid w:val="0"/>
        <w:spacing w:line="324" w:lineRule="auto"/>
        <w:ind w:firstLine="480" w:firstLineChars="200"/>
        <w:jc w:val="left"/>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8.1</w:t>
      </w:r>
      <w:r>
        <w:rPr>
          <w:rFonts w:hint="eastAsia" w:ascii="宋体" w:hAnsi="宋体" w:cs="宋体"/>
          <w:sz w:val="24"/>
          <w:highlight w:val="none"/>
          <w:shd w:val="clear" w:color="auto" w:fill="FFFFFF"/>
        </w:rPr>
        <w:t>供应商须具有建设行政主管部门颁发的建筑装饰装修工程专业承包贰级及以上（含贰级），具有有效的企业安全生产许可证；</w:t>
      </w:r>
    </w:p>
    <w:p w14:paraId="6BC4CB0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8.2</w:t>
      </w:r>
      <w:r>
        <w:rPr>
          <w:rFonts w:hint="eastAsia" w:ascii="宋体" w:hAnsi="宋体" w:cs="宋体"/>
          <w:sz w:val="24"/>
          <w:highlight w:val="none"/>
          <w:shd w:val="clear" w:color="auto" w:fill="FFFFFF"/>
        </w:rPr>
        <w:t>拟派项目</w:t>
      </w:r>
      <w:r>
        <w:rPr>
          <w:rFonts w:hint="eastAsia" w:ascii="宋体" w:hAnsi="宋体" w:cs="宋体"/>
          <w:sz w:val="24"/>
          <w:highlight w:val="none"/>
          <w:shd w:val="clear" w:color="auto" w:fill="FFFFFF"/>
          <w:lang w:val="en-US" w:eastAsia="zh-CN"/>
        </w:rPr>
        <w:t>经理</w:t>
      </w:r>
      <w:r>
        <w:rPr>
          <w:rFonts w:hint="eastAsia" w:ascii="宋体" w:hAnsi="宋体" w:cs="宋体"/>
          <w:sz w:val="24"/>
          <w:highlight w:val="none"/>
          <w:shd w:val="clear" w:color="auto" w:fill="FFFFFF"/>
        </w:rPr>
        <w:t>须具有贰级及以上（含贰级）建筑工程专业注册建造师资格，且具备有效的安全生产考核合格证书</w:t>
      </w:r>
      <w:r>
        <w:rPr>
          <w:rFonts w:hint="eastAsia" w:ascii="宋体" w:hAnsi="宋体" w:eastAsia="宋体" w:cs="宋体"/>
          <w:sz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 7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kern w:val="0"/>
          <w:sz w:val="24"/>
          <w:highlight w:val="none"/>
          <w:shd w:val="clear" w:color="auto" w:fill="FFFFFF"/>
          <w:lang w:val="en-US" w:eastAsia="zh-CN"/>
        </w:rPr>
        <w:t>hnlxjssyyxgs@163.c</w:t>
      </w:r>
      <w:bookmarkStart w:id="79" w:name="_GoBack"/>
      <w:bookmarkEnd w:id="79"/>
      <w:r>
        <w:rPr>
          <w:rFonts w:hint="eastAsia" w:ascii="宋体" w:hAnsi="宋体" w:cs="宋体"/>
          <w:kern w:val="0"/>
          <w:sz w:val="24"/>
          <w:highlight w:val="none"/>
          <w:shd w:val="clear" w:color="auto" w:fill="FFFFFF"/>
          <w:lang w:val="en-US" w:eastAsia="zh-CN"/>
        </w:rPr>
        <w:t>om</w:t>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5869"/>
      <w:bookmarkStart w:id="14" w:name="_Toc15135"/>
      <w:bookmarkStart w:id="15" w:name="_Toc10738"/>
      <w:bookmarkStart w:id="16" w:name="_Toc15111"/>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16291"/>
      <w:bookmarkStart w:id="26" w:name="_Toc27370"/>
      <w:bookmarkStart w:id="27" w:name="_Toc31928"/>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104D296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2.采购代理机构：河南隆祥建设实业有限公司  </w:t>
      </w:r>
    </w:p>
    <w:p w14:paraId="0177B64E">
      <w:pPr>
        <w:widowControl/>
        <w:snapToGrid w:val="0"/>
        <w:spacing w:before="0" w:beforeAutospacing="0" w:after="0" w:afterAutospacing="0" w:line="360" w:lineRule="auto"/>
        <w:ind w:firstLine="480" w:firstLineChars="200"/>
        <w:jc w:val="left"/>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地址：驻马店市置地华庭B座3单元</w:t>
      </w:r>
    </w:p>
    <w:p w14:paraId="54B861F9">
      <w:pPr>
        <w:widowControl/>
        <w:snapToGrid w:val="0"/>
        <w:spacing w:before="0" w:beforeAutospacing="0" w:after="0" w:afterAutospacing="0" w:line="360" w:lineRule="auto"/>
        <w:ind w:firstLine="480" w:firstLineChars="200"/>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联系人：胡女士</w:t>
      </w:r>
    </w:p>
    <w:p w14:paraId="4DAF3532">
      <w:pPr>
        <w:widowControl/>
        <w:snapToGrid w:val="0"/>
        <w:spacing w:before="0" w:beforeAutospacing="0" w:after="0" w:afterAutospacing="0" w:line="360" w:lineRule="auto"/>
        <w:ind w:firstLine="480" w:firstLineChars="200"/>
        <w:jc w:val="left"/>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联系方式：0396-3209190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康复分院南楼辅房北立面玻璃幕墙改造采购项目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3"/>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982"/>
        <w:gridCol w:w="1640"/>
        <w:gridCol w:w="186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92"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982"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1640" w:type="dxa"/>
            <w:vAlign w:val="center"/>
          </w:tcPr>
          <w:p w14:paraId="665A7C5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869" w:type="dxa"/>
            <w:vAlign w:val="center"/>
          </w:tcPr>
          <w:p w14:paraId="0C32BA6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392"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982"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i w:val="0"/>
                <w:iCs/>
                <w:color w:val="auto"/>
                <w:sz w:val="24"/>
                <w:szCs w:val="24"/>
                <w:highlight w:val="none"/>
                <w:u w:val="none"/>
                <w:lang w:val="en-US" w:eastAsia="zh-CN"/>
              </w:rPr>
              <w:t>康复分院南楼辅房北立面玻璃幕墙改造</w:t>
            </w:r>
          </w:p>
        </w:tc>
        <w:tc>
          <w:tcPr>
            <w:tcW w:w="1640"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5.22</w:t>
            </w:r>
            <w:r>
              <w:rPr>
                <w:rFonts w:hint="eastAsia" w:ascii="宋体" w:hAnsi="宋体" w:eastAsia="宋体" w:cs="宋体"/>
                <w:sz w:val="24"/>
                <w:highlight w:val="none"/>
                <w:shd w:val="clear" w:color="auto" w:fill="FFFFFF"/>
                <w:lang w:val="en-US" w:eastAsia="zh-CN"/>
              </w:rPr>
              <w:t>万元</w:t>
            </w:r>
          </w:p>
        </w:tc>
        <w:tc>
          <w:tcPr>
            <w:tcW w:w="1869"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自筹</w:t>
            </w:r>
          </w:p>
        </w:tc>
      </w:tr>
      <w:tr w14:paraId="1193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92" w:type="dxa"/>
            <w:shd w:val="clear" w:color="auto" w:fill="auto"/>
            <w:vAlign w:val="center"/>
          </w:tcPr>
          <w:p w14:paraId="7C8ABF4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备注</w:t>
            </w:r>
          </w:p>
        </w:tc>
        <w:tc>
          <w:tcPr>
            <w:tcW w:w="6491" w:type="dxa"/>
            <w:gridSpan w:val="3"/>
            <w:shd w:val="clear" w:color="auto" w:fill="auto"/>
            <w:vAlign w:val="center"/>
          </w:tcPr>
          <w:p w14:paraId="0F2DD4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工程量清单、图纸另行发送</w:t>
            </w:r>
          </w:p>
        </w:tc>
      </w:tr>
    </w:tbl>
    <w:p w14:paraId="6A7BCB11">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3F18349F">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78C4701F">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1.供应商要做好施工组织，保证安全生产和成品保护。</w:t>
      </w:r>
    </w:p>
    <w:p w14:paraId="7394880E">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2.在合同履约期中发生意外事故和成品破坏所引起的经济和法律责任，均由供应商承担全部责任。</w:t>
      </w:r>
    </w:p>
    <w:p w14:paraId="2E45DD2F">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3.必须服从采购单位统一管理，施工过程中密切配合采购单位后勤管理部门和相关职能部门的日常工作。</w:t>
      </w:r>
    </w:p>
    <w:p w14:paraId="354584E6">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4.供应商应指定项目经理。项目经理负责项目统筹、协调和管理，须配备认真负责、业务熟练的施工员及各专业技术工人。</w:t>
      </w:r>
    </w:p>
    <w:p w14:paraId="4F4FB62C">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5.材料要求：根据工程量清单，部分要求为防火玻璃，暂按乙级定。施工使用的工程材料，需要经采购人认可。施工前报样板给采购人选定，采购人认可后方可使用，所选购的材料须有产品合格证、生产许可证等证明材料。</w:t>
      </w:r>
    </w:p>
    <w:p w14:paraId="42B405BF">
      <w:pPr>
        <w:pStyle w:val="50"/>
        <w:rPr>
          <w:rFonts w:hint="eastAsia" w:ascii="宋体" w:hAnsi="宋体" w:cs="宋体"/>
          <w:sz w:val="24"/>
          <w:highlight w:val="none"/>
          <w:shd w:val="clear" w:color="auto" w:fill="FFFFFF"/>
          <w:lang w:val="en-US" w:eastAsia="zh-CN"/>
        </w:rPr>
      </w:pPr>
    </w:p>
    <w:p w14:paraId="378D87D4">
      <w:pPr>
        <w:pStyle w:val="50"/>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73"/>
        <w:gridCol w:w="7813"/>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6E0195EC">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工期要求</w:t>
            </w:r>
          </w:p>
        </w:tc>
        <w:tc>
          <w:tcPr>
            <w:tcW w:w="7813" w:type="dxa"/>
            <w:tcBorders>
              <w:top w:val="single" w:color="auto" w:sz="4" w:space="0"/>
              <w:left w:val="single" w:color="auto" w:sz="4" w:space="0"/>
              <w:bottom w:val="single" w:color="auto" w:sz="4" w:space="0"/>
              <w:right w:val="single" w:color="auto" w:sz="4" w:space="0"/>
            </w:tcBorders>
            <w:noWrap/>
            <w:vAlign w:val="center"/>
          </w:tcPr>
          <w:p w14:paraId="6A337923">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20日历天，起止时间按照合同约定。</w:t>
            </w:r>
          </w:p>
        </w:tc>
      </w:tr>
      <w:tr w14:paraId="6C432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05B51782">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default"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工程验收标准</w:t>
            </w:r>
          </w:p>
        </w:tc>
        <w:tc>
          <w:tcPr>
            <w:tcW w:w="7813" w:type="dxa"/>
            <w:tcBorders>
              <w:top w:val="single" w:color="auto" w:sz="4" w:space="0"/>
              <w:left w:val="single" w:color="auto" w:sz="4" w:space="0"/>
              <w:bottom w:val="single" w:color="auto" w:sz="4" w:space="0"/>
              <w:right w:val="single" w:color="auto" w:sz="4" w:space="0"/>
            </w:tcBorders>
            <w:noWrap/>
            <w:vAlign w:val="center"/>
          </w:tcPr>
          <w:p w14:paraId="66688AD5">
            <w:pPr>
              <w:pStyle w:val="50"/>
              <w:ind w:left="0" w:leftChars="0" w:firstLine="0" w:firstLineChars="0"/>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工程严格按照国家现行有关施工及验收规范、技术标准进行施工和验收。</w:t>
            </w:r>
          </w:p>
        </w:tc>
      </w:tr>
      <w:tr w14:paraId="68E02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3AC9C01C">
            <w:pPr>
              <w:pStyle w:val="14"/>
              <w:ind w:left="0" w:leftChars="0"/>
              <w:jc w:val="center"/>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工程质量要求</w:t>
            </w:r>
          </w:p>
        </w:tc>
        <w:tc>
          <w:tcPr>
            <w:tcW w:w="7813" w:type="dxa"/>
            <w:tcBorders>
              <w:top w:val="single" w:color="auto" w:sz="4" w:space="0"/>
              <w:left w:val="single" w:color="auto" w:sz="4" w:space="0"/>
              <w:bottom w:val="single" w:color="auto" w:sz="4" w:space="0"/>
              <w:right w:val="single" w:color="auto" w:sz="4" w:space="0"/>
            </w:tcBorders>
            <w:noWrap/>
            <w:vAlign w:val="center"/>
          </w:tcPr>
          <w:p w14:paraId="430B0148">
            <w:pPr>
              <w:pStyle w:val="14"/>
              <w:ind w:left="0" w:leftChars="0"/>
              <w:jc w:val="left"/>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工程质量必须达到合格。</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701C2F15">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Theme="minorEastAsia" w:hAnsiTheme="minorEastAsia" w:eastAsiaTheme="minorEastAsia" w:cstheme="minorEastAsia"/>
                <w:i w:val="0"/>
                <w:iCs/>
                <w:sz w:val="24"/>
                <w:szCs w:val="24"/>
                <w:highlight w:val="none"/>
                <w:u w:val="none"/>
                <w:lang w:val="en-US" w:eastAsia="zh-CN"/>
              </w:rPr>
              <w:t>支付方式</w:t>
            </w:r>
          </w:p>
        </w:tc>
        <w:tc>
          <w:tcPr>
            <w:tcW w:w="7813" w:type="dxa"/>
            <w:tcBorders>
              <w:top w:val="single" w:color="auto" w:sz="4" w:space="0"/>
              <w:left w:val="single" w:color="auto" w:sz="4" w:space="0"/>
              <w:bottom w:val="single" w:color="auto" w:sz="4" w:space="0"/>
              <w:right w:val="single" w:color="auto" w:sz="4" w:space="0"/>
            </w:tcBorders>
            <w:noWrap/>
            <w:vAlign w:val="center"/>
          </w:tcPr>
          <w:p w14:paraId="25DB0019">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Theme="minorEastAsia" w:hAnsiTheme="minorEastAsia" w:eastAsiaTheme="minorEastAsia" w:cstheme="minorEastAsia"/>
                <w:i w:val="0"/>
                <w:iCs/>
                <w:sz w:val="24"/>
                <w:szCs w:val="24"/>
                <w:highlight w:val="none"/>
                <w:u w:val="none"/>
                <w:lang w:val="en-US" w:eastAsia="zh-CN"/>
              </w:rPr>
              <w:t>按合同约定执行。</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689A1A7B">
            <w:pPr>
              <w:pStyle w:val="14"/>
              <w:ind w:left="0" w:leftChars="0"/>
              <w:jc w:val="center"/>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工程质保期</w:t>
            </w:r>
          </w:p>
        </w:tc>
        <w:tc>
          <w:tcPr>
            <w:tcW w:w="7813" w:type="dxa"/>
            <w:tcBorders>
              <w:top w:val="single" w:color="auto" w:sz="4" w:space="0"/>
              <w:left w:val="single" w:color="auto" w:sz="4" w:space="0"/>
              <w:bottom w:val="single" w:color="auto" w:sz="4" w:space="0"/>
              <w:right w:val="single" w:color="auto" w:sz="4" w:space="0"/>
            </w:tcBorders>
            <w:noWrap/>
            <w:vAlign w:val="center"/>
          </w:tcPr>
          <w:p w14:paraId="1B9F81A9">
            <w:pPr>
              <w:pStyle w:val="50"/>
              <w:ind w:left="0" w:leftChars="0" w:firstLine="0" w:firstLineChars="0"/>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维修项目自验收之日起，工程质保期两年，防水工程质保期五年。国家有强制质保标准的按照国家标准执行，质保期自验收合格之日起计，如需整改或翻修的，自翻修或整改之日起重新计算维保期。</w:t>
            </w:r>
          </w:p>
        </w:tc>
      </w:tr>
    </w:tbl>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73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5.22万元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5.22万元</w:t>
            </w:r>
            <w:r>
              <w:rPr>
                <w:rFonts w:hint="eastAsia" w:ascii="宋体" w:hAnsi="宋体" w:cs="宋体"/>
                <w:color w:val="auto"/>
                <w:sz w:val="24"/>
                <w:szCs w:val="32"/>
                <w:highlight w:val="none"/>
                <w:lang w:val="en-US" w:eastAsia="zh-CN"/>
              </w:rPr>
              <w:t>。</w:t>
            </w:r>
          </w:p>
          <w:p w14:paraId="7AFDFAB9">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B439291">
            <w:pPr>
              <w:pStyle w:val="2"/>
              <w:pageBreakBefore w:val="0"/>
              <w:kinsoku/>
              <w:wordWrap/>
              <w:overflowPunct/>
              <w:topLinePunct w:val="0"/>
              <w:autoSpaceDE/>
              <w:autoSpaceDN/>
              <w:bidi w:val="0"/>
              <w:adjustRightInd/>
              <w:snapToGrid/>
              <w:spacing w:before="0" w:after="0"/>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1.3本项目由成交供应商支付工程造价咨询服务费用。</w:t>
            </w:r>
          </w:p>
          <w:p w14:paraId="2834DD74">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287655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22.65pt;height:22.5pt;width:66.65pt;z-index:251660288;mso-width-relative:page;mso-height-relative:page;" fillcolor="#FFFFFF [3201]" filled="t" stroked="f" coordsize="21600,21600" o:gfxdata="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O2CF7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1053465</wp:posOffset>
                            </wp:positionH>
                            <wp:positionV relativeFrom="paragraph">
                              <wp:posOffset>13970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95pt;margin-top:1.1pt;height:24.05pt;width:76.4pt;z-index:251659264;mso-width-relative:page;mso-height-relative:page;" fillcolor="#FFFFFF [3201]" filled="t" stroked="f" coordsize="21600,21600" o:gfxdata="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wskh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驻马店市中心医院采购的工程项目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07EBC4BD">
      <w:pPr>
        <w:widowControl/>
        <w:tabs>
          <w:tab w:val="left" w:pos="840"/>
        </w:tabs>
        <w:snapToGrid w:val="0"/>
        <w:spacing w:line="324" w:lineRule="auto"/>
        <w:ind w:firstLine="480" w:firstLineChars="200"/>
        <w:jc w:val="left"/>
        <w:rPr>
          <w:rFonts w:hint="eastAsia" w:ascii="宋体" w:hAnsi="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3.8.1</w:t>
      </w:r>
      <w:r>
        <w:rPr>
          <w:rFonts w:hint="eastAsia" w:ascii="宋体" w:hAnsi="宋体" w:cs="宋体"/>
          <w:sz w:val="24"/>
          <w:highlight w:val="none"/>
          <w:shd w:val="clear" w:color="auto" w:fill="FFFFFF"/>
        </w:rPr>
        <w:t>供应商须具有建设行政主管部门颁发的建筑装饰装修工程专业承包贰级及以上（含贰级），具有有效的企业安全生产许可证；</w:t>
      </w:r>
    </w:p>
    <w:p w14:paraId="4632475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sz w:val="24"/>
          <w:highlight w:val="none"/>
          <w:shd w:val="clear" w:color="auto" w:fill="FFFFFF"/>
          <w:lang w:val="en-US" w:eastAsia="zh-CN"/>
        </w:rPr>
        <w:t>3.</w:t>
      </w:r>
      <w:r>
        <w:rPr>
          <w:rFonts w:hint="eastAsia" w:ascii="宋体" w:hAnsi="宋体" w:eastAsia="宋体" w:cs="宋体"/>
          <w:sz w:val="24"/>
          <w:highlight w:val="none"/>
          <w:shd w:val="clear" w:color="auto" w:fill="FFFFFF"/>
          <w:lang w:val="en-US" w:eastAsia="zh-CN"/>
        </w:rPr>
        <w:t>8.2</w:t>
      </w:r>
      <w:r>
        <w:rPr>
          <w:rFonts w:hint="eastAsia" w:ascii="宋体" w:hAnsi="宋体" w:cs="宋体"/>
          <w:sz w:val="24"/>
          <w:highlight w:val="none"/>
          <w:shd w:val="clear" w:color="auto" w:fill="FFFFFF"/>
        </w:rPr>
        <w:t>拟派项目</w:t>
      </w:r>
      <w:r>
        <w:rPr>
          <w:rFonts w:hint="eastAsia" w:ascii="宋体" w:hAnsi="宋体" w:cs="宋体"/>
          <w:sz w:val="24"/>
          <w:highlight w:val="none"/>
          <w:shd w:val="clear" w:color="auto" w:fill="FFFFFF"/>
          <w:lang w:val="en-US" w:eastAsia="zh-CN"/>
        </w:rPr>
        <w:t>经理</w:t>
      </w:r>
      <w:r>
        <w:rPr>
          <w:rFonts w:hint="eastAsia" w:ascii="宋体" w:hAnsi="宋体" w:cs="宋体"/>
          <w:sz w:val="24"/>
          <w:highlight w:val="none"/>
          <w:shd w:val="clear" w:color="auto" w:fill="FFFFFF"/>
        </w:rPr>
        <w:t>须具有贰级及以上（含贰级）建筑工程专业注册建造师资格，且具备有效的安全生产考核合格证书</w:t>
      </w:r>
      <w:r>
        <w:rPr>
          <w:rFonts w:hint="eastAsia" w:ascii="宋体" w:hAnsi="宋体" w:eastAsia="宋体" w:cs="宋体"/>
          <w:sz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1663F9F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26076C7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13.3</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响应表</w:t>
      </w:r>
    </w:p>
    <w:p w14:paraId="56F4E6F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val="en-US" w:eastAsia="zh-CN"/>
        </w:rPr>
        <w:t>13.4</w:t>
      </w:r>
      <w:r>
        <w:rPr>
          <w:rFonts w:hint="eastAsia" w:ascii="宋体" w:hAnsi="宋体" w:eastAsia="宋体" w:cs="宋体"/>
          <w:color w:val="auto"/>
          <w:sz w:val="24"/>
          <w:highlight w:val="none"/>
        </w:rPr>
        <w:t>商务</w:t>
      </w:r>
      <w:r>
        <w:rPr>
          <w:rFonts w:hint="eastAsia" w:ascii="宋体" w:hAnsi="宋体" w:eastAsia="宋体" w:cs="宋体"/>
          <w:color w:val="auto"/>
          <w:sz w:val="24"/>
          <w:highlight w:val="none"/>
          <w:lang w:val="en-US" w:eastAsia="zh-CN"/>
        </w:rPr>
        <w:t>响应表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sz w:val="24"/>
          <w:highlight w:val="none"/>
          <w:lang w:val="en-US" w:eastAsia="zh-CN"/>
        </w:rPr>
        <w:t>项目预算书</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6施工组织设计</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F03DB92">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64205C1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14:paraId="200D5060">
      <w:pPr>
        <w:rPr>
          <w:rFonts w:hint="eastAsia" w:ascii="宋体" w:hAnsi="宋体" w:eastAsia="宋体" w:cs="宋体"/>
          <w:b/>
          <w:color w:val="auto"/>
          <w:highlight w:val="none"/>
        </w:rPr>
      </w:pP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9D3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23106BDB">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评审内容</w:t>
            </w:r>
          </w:p>
        </w:tc>
      </w:tr>
      <w:tr w14:paraId="47AF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006A08E7">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价格标部分 (3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8243" w:type="dxa"/>
            <w:gridSpan w:val="2"/>
            <w:noWrap w:val="0"/>
            <w:vAlign w:val="center"/>
          </w:tcPr>
          <w:p w14:paraId="0712BA8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说明：当</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发现</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的</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报价，使其</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报价可能低于其个别成本的，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可对其质询，并要求该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不能合理说明或提供证明材料的，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应按无效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处理。</w:t>
            </w:r>
          </w:p>
          <w:p w14:paraId="31C25CF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4"/>
                <w:szCs w:val="24"/>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p>
          <w:p w14:paraId="0029C55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14:textFill>
                  <w14:solidFill>
                    <w14:schemeClr w14:val="tx1"/>
                  </w14:solidFill>
                </w14:textFill>
              </w:rPr>
              <w:t>文件要求且</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价格最低的有效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报价为评标基准价。</w:t>
            </w:r>
          </w:p>
          <w:p w14:paraId="13AD81F4">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报价）×3</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r>
      <w:tr w14:paraId="58A7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0741D7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技术部分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noWrap w:val="0"/>
            <w:vAlign w:val="center"/>
          </w:tcPr>
          <w:p w14:paraId="5BC215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质量管理措施（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419C246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技术组织措施切实可行，确保工程质量的技术组织措施先进合理，质量控制程序及质量保证体系完整，岗位职责分明得 10 分；</w:t>
            </w:r>
          </w:p>
          <w:p w14:paraId="20CC027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技术组织措施基本可行，确保工程质量的技术组织措施基本 合理得 7分；</w:t>
            </w:r>
          </w:p>
          <w:p w14:paraId="13AB29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技术组织措施、工程质量保障措施有待提升得4分；</w:t>
            </w:r>
          </w:p>
          <w:p w14:paraId="688068F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组织机构形式不合理，工程质量保证措施不可行得 1 分。</w:t>
            </w:r>
          </w:p>
          <w:p w14:paraId="7FB9903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缺项得 0 分。</w:t>
            </w:r>
          </w:p>
        </w:tc>
      </w:tr>
      <w:tr w14:paraId="10F4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39" w:type="dxa"/>
            <w:vMerge w:val="continue"/>
            <w:noWrap w:val="0"/>
            <w:vAlign w:val="center"/>
          </w:tcPr>
          <w:p w14:paraId="3D43B1A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16DE75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53917CE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供应商应根据采购需求编制安全管理体系与措施、文明及环境保护管理体系与措施方案，包含但不限于：</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.施工现场安全控制；</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文明施工措施；</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环保施工措施。</w:t>
            </w:r>
          </w:p>
          <w:p w14:paraId="238F122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方案完整科学、合理、实用，并具有针对性，得1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内容不全、技术措施有所欠缺得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4B92E4E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5BB4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5DB6044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1A9FF0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资源配备计划（</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5CAA61C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拟投入的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人员、机械设备、物资投入计划综合对比。</w:t>
            </w:r>
            <w:r>
              <w:rPr>
                <w:rFonts w:hint="eastAsia" w:ascii="宋体" w:hAnsi="宋体" w:eastAsia="宋体" w:cs="宋体"/>
                <w:sz w:val="24"/>
                <w:szCs w:val="24"/>
                <w:highlight w:val="none"/>
                <w:lang w:val="en-US" w:eastAsia="zh-CN"/>
              </w:rPr>
              <w:t>包含但不限于：1.施工人员配备计划；2.机械、设备配备计划；3.材料质量保障措施等。</w:t>
            </w:r>
          </w:p>
          <w:p w14:paraId="027D2B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50F083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2A4F15A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7440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4EEA1F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30983F8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工程进度计划</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35C505D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供应商应根据采购需求编制完整、详细的工程进度计划与措施方案，包含但不限于：1.关键节点控制；2.工序衔接计划；3.进度管控机制等。</w:t>
            </w:r>
          </w:p>
          <w:p w14:paraId="067920E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计划和措施较为完整、合理、实用，得7分；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313F97F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内容不全、有所欠缺得1分；</w:t>
            </w: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014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5BF01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商务评价</w:t>
            </w:r>
          </w:p>
          <w:p w14:paraId="13DB69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409877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1.类似业绩（</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FE4475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分。（注：以上业绩以合同为准）。</w:t>
            </w:r>
          </w:p>
        </w:tc>
      </w:tr>
      <w:tr w14:paraId="35D1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EDF74A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1CE83606">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2.管理人员配备（10分）</w:t>
            </w:r>
          </w:p>
        </w:tc>
        <w:tc>
          <w:tcPr>
            <w:tcW w:w="6770" w:type="dxa"/>
            <w:noWrap w:val="0"/>
            <w:vAlign w:val="center"/>
          </w:tcPr>
          <w:p w14:paraId="29758F8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2C7053F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注：提供有效证件及本单位近半年以来任意一个月为其缴纳社保证明材料，新入职的从入职当月起算。</w:t>
            </w:r>
          </w:p>
        </w:tc>
      </w:tr>
      <w:tr w14:paraId="49B9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9" w:type="dxa"/>
            <w:vMerge w:val="continue"/>
            <w:noWrap w:val="0"/>
            <w:vAlign w:val="center"/>
          </w:tcPr>
          <w:p w14:paraId="54F917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782DB89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.售后服务</w:t>
            </w:r>
          </w:p>
          <w:p w14:paraId="6E7DAC8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CEB62F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sz w:val="24"/>
                <w:szCs w:val="24"/>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AD9123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DCA95E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w:t>
            </w:r>
            <w:r>
              <w:rPr>
                <w:rFonts w:hint="eastAsia" w:ascii="宋体" w:hAnsi="宋体" w:cs="宋体"/>
                <w:color w:val="000000" w:themeColor="text1"/>
                <w:sz w:val="24"/>
                <w:szCs w:val="24"/>
                <w:highlight w:val="none"/>
                <w:lang w:val="en-US" w:eastAsia="zh-CN"/>
                <w14:textFill>
                  <w14:solidFill>
                    <w14:schemeClr w14:val="tx1"/>
                  </w14:solidFill>
                </w14:textFill>
              </w:rPr>
              <w:t>较强</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9CEED1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承诺基本全面，合理、可行性程度一般得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3863B3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承诺不全面，合理、可行性程度差得1分。</w:t>
            </w:r>
          </w:p>
          <w:p w14:paraId="14A67A6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缺项得0分。</w:t>
            </w:r>
          </w:p>
        </w:tc>
      </w:tr>
      <w:tr w14:paraId="38A8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55F72FC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得分的计算</w:t>
            </w:r>
          </w:p>
        </w:tc>
        <w:tc>
          <w:tcPr>
            <w:tcW w:w="8243" w:type="dxa"/>
            <w:gridSpan w:val="2"/>
            <w:noWrap w:val="0"/>
            <w:vAlign w:val="center"/>
          </w:tcPr>
          <w:p w14:paraId="231849E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成员评分=各项评分因素的汇总得分。</w:t>
            </w:r>
          </w:p>
          <w:p w14:paraId="2206F8F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评标总得分=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所有成员合计评分/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组成人员数。</w:t>
            </w:r>
          </w:p>
        </w:tc>
      </w:tr>
    </w:tbl>
    <w:p w14:paraId="09CBADFF">
      <w:pPr>
        <w:rPr>
          <w:rFonts w:hint="eastAsia" w:ascii="宋体" w:hAnsi="宋体" w:eastAsia="宋体" w:cs="宋体"/>
          <w:b/>
          <w:color w:val="auto"/>
          <w:highlight w:val="none"/>
        </w:rPr>
      </w:pPr>
    </w:p>
    <w:p w14:paraId="06CC58A8">
      <w:pPr>
        <w:rPr>
          <w:rFonts w:hint="eastAsia" w:ascii="宋体" w:hAnsi="宋体" w:eastAsia="宋体" w:cs="宋体"/>
          <w:b/>
          <w:color w:val="auto"/>
          <w:highlight w:val="none"/>
        </w:rPr>
      </w:pPr>
    </w:p>
    <w:p w14:paraId="3904FE8C">
      <w:pPr>
        <w:rPr>
          <w:rFonts w:hint="eastAsia" w:ascii="宋体" w:hAnsi="宋体" w:eastAsia="宋体" w:cs="宋体"/>
          <w:b/>
          <w:color w:val="auto"/>
          <w:highlight w:val="none"/>
        </w:rPr>
      </w:pPr>
    </w:p>
    <w:p w14:paraId="3D5B8373">
      <w:pPr>
        <w:rPr>
          <w:rFonts w:hint="eastAsia" w:ascii="宋体" w:hAnsi="宋体" w:eastAsia="宋体" w:cs="宋体"/>
          <w:b/>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bookmarkEnd w:id="37"/>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39" w:name="_Toc11904"/>
      <w:bookmarkStart w:id="40" w:name="_Toc1947"/>
      <w:bookmarkStart w:id="41" w:name="_Toc1482"/>
      <w:bookmarkStart w:id="42" w:name="_Toc256519703"/>
      <w:bookmarkStart w:id="43" w:name="_Toc326786897"/>
      <w:r>
        <w:rPr>
          <w:rFonts w:hint="eastAsia" w:ascii="宋体" w:hAnsi="宋体" w:eastAsia="宋体" w:cs="宋体"/>
          <w:color w:val="auto"/>
          <w:sz w:val="28"/>
          <w:szCs w:val="28"/>
          <w:highlight w:val="none"/>
        </w:rPr>
        <w:t>第五章  采购合同</w:t>
      </w:r>
      <w:bookmarkEnd w:id="3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5"/>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7650D7E0">
      <w:pPr>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7B25B65A">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bookmarkStart w:id="48"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22E4500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9"/>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4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0" w:name="_Toc6234"/>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50"/>
      <w:r>
        <w:rPr>
          <w:rFonts w:hint="eastAsia" w:ascii="宋体" w:hAnsi="宋体" w:eastAsia="宋体" w:cs="宋体"/>
          <w:color w:val="auto"/>
          <w:sz w:val="24"/>
          <w:highlight w:val="none"/>
          <w:lang w:val="en-US" w:eastAsia="zh-CN"/>
        </w:rPr>
        <w:t>响应表（格式）</w:t>
      </w:r>
    </w:p>
    <w:p w14:paraId="664616E1">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w:t>
      </w:r>
      <w:bookmarkEnd w:id="48"/>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项目预算书</w:t>
      </w:r>
    </w:p>
    <w:p w14:paraId="5653197F">
      <w:pPr>
        <w:snapToGrid w:val="0"/>
        <w:spacing w:line="360" w:lineRule="auto"/>
        <w:ind w:firstLine="480" w:firstLineChars="200"/>
        <w:rPr>
          <w:rFonts w:hint="eastAsia" w:ascii="宋体" w:hAnsi="宋体" w:eastAsia="宋体" w:cs="宋体"/>
          <w:color w:val="auto"/>
          <w:sz w:val="24"/>
          <w:highlight w:val="none"/>
          <w:lang w:val="en-US"/>
        </w:rPr>
      </w:pPr>
      <w:bookmarkStart w:id="51" w:name="_Toc28392"/>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bookmarkEnd w:id="51"/>
      <w:r>
        <w:rPr>
          <w:rFonts w:hint="eastAsia" w:ascii="宋体" w:hAnsi="宋体" w:cs="宋体"/>
          <w:color w:val="auto"/>
          <w:kern w:val="0"/>
          <w:sz w:val="24"/>
          <w:szCs w:val="24"/>
          <w:highlight w:val="none"/>
          <w:lang w:val="en-US" w:eastAsia="zh-CN"/>
        </w:rPr>
        <w:t>施工组织设计</w:t>
      </w:r>
    </w:p>
    <w:p w14:paraId="568B10EB">
      <w:pPr>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5269207A">
      <w:pPr>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129C7AC3">
      <w:pPr>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 xml:space="preserve"> 证明文件</w:t>
      </w:r>
      <w:bookmarkEnd w:id="54"/>
    </w:p>
    <w:p w14:paraId="25F055C2">
      <w:pPr>
        <w:snapToGrid w:val="0"/>
        <w:spacing w:line="360" w:lineRule="auto"/>
        <w:rPr>
          <w:rFonts w:hint="eastAsia" w:ascii="宋体" w:hAnsi="宋体" w:eastAsia="宋体" w:cs="宋体"/>
          <w:color w:val="auto"/>
          <w:sz w:val="24"/>
          <w:highlight w:val="none"/>
          <w:lang w:val="en-US" w:eastAsia="zh-CN"/>
        </w:rPr>
      </w:pPr>
    </w:p>
    <w:p w14:paraId="63BA1F9E">
      <w:pPr>
        <w:pStyle w:val="5"/>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（详见项目预算书）</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项目经理</w:t>
            </w:r>
          </w:p>
        </w:tc>
        <w:tc>
          <w:tcPr>
            <w:tcW w:w="7708" w:type="dxa"/>
            <w:noWrap/>
            <w:vAlign w:val="center"/>
          </w:tcPr>
          <w:p w14:paraId="4B58382D">
            <w:pPr>
              <w:pStyle w:val="20"/>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u w:val="none"/>
                <w:lang w:val="en-US" w:eastAsia="zh-CN"/>
              </w:rPr>
              <w:t>证书等级及编号</w:t>
            </w:r>
          </w:p>
        </w:tc>
        <w:tc>
          <w:tcPr>
            <w:tcW w:w="7708" w:type="dxa"/>
            <w:noWrap/>
            <w:vAlign w:val="center"/>
          </w:tcPr>
          <w:p w14:paraId="04F7CB98">
            <w:pPr>
              <w:pStyle w:val="20"/>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1D583CCC">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2"/>
    <w:bookmarkEnd w:id="43"/>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62"/>
    <w:bookmarkEnd w:id="63"/>
    <w:p w14:paraId="2FAF47B0">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09AAD1EC">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附件4        技术响应表（格式）</w:t>
      </w:r>
    </w:p>
    <w:p w14:paraId="49434A79">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3E79141">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BCE290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0420"/>
      <w:bookmarkStart w:id="65" w:name="_Toc24168"/>
      <w:bookmarkStart w:id="66" w:name="_Toc2996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            商务响应</w:t>
      </w:r>
      <w:bookmarkEnd w:id="64"/>
      <w:bookmarkEnd w:id="65"/>
      <w:bookmarkEnd w:id="66"/>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5"/>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FFA02EF">
      <w:pPr>
        <w:widowControl/>
        <w:wordWrap w:val="0"/>
        <w:spacing w:line="460" w:lineRule="exact"/>
        <w:ind w:firstLine="1440" w:firstLineChars="6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w:t>
      </w:r>
    </w:p>
    <w:p w14:paraId="500D17E7">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w:t>
      </w:r>
      <w:r>
        <w:rPr>
          <w:rFonts w:hint="eastAsia" w:ascii="宋体" w:hAnsi="宋体" w:cs="宋体"/>
          <w:b/>
          <w:bCs/>
          <w:color w:val="auto"/>
          <w:kern w:val="2"/>
          <w:sz w:val="28"/>
          <w:szCs w:val="28"/>
          <w:highlight w:val="none"/>
          <w:lang w:val="en-US" w:eastAsia="zh-CN" w:bidi="ar-SA"/>
        </w:rPr>
        <w:t>6</w:t>
      </w:r>
      <w:r>
        <w:rPr>
          <w:rFonts w:hint="eastAsia" w:ascii="宋体" w:hAnsi="宋体" w:eastAsia="宋体" w:cs="宋体"/>
          <w:b/>
          <w:bCs/>
          <w:color w:val="auto"/>
          <w:kern w:val="2"/>
          <w:sz w:val="28"/>
          <w:szCs w:val="28"/>
          <w:highlight w:val="none"/>
          <w:lang w:val="en-US" w:eastAsia="zh-CN" w:bidi="ar-SA"/>
        </w:rPr>
        <w:t xml:space="preserve">              项目预算书</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bookmarkStart w:id="67" w:name="_Toc15804"/>
      <w:bookmarkStart w:id="68" w:name="_Toc226"/>
      <w:r>
        <w:rPr>
          <w:rFonts w:hint="eastAsia" w:ascii="宋体" w:hAnsi="宋体" w:eastAsia="宋体" w:cs="宋体"/>
          <w:b/>
          <w:bCs/>
          <w:color w:val="auto"/>
          <w:kern w:val="2"/>
          <w:sz w:val="28"/>
          <w:szCs w:val="28"/>
          <w:highlight w:val="none"/>
          <w:lang w:val="en-US" w:eastAsia="zh-CN" w:bidi="ar-SA"/>
        </w:rPr>
        <w:t>附件</w:t>
      </w:r>
      <w:r>
        <w:rPr>
          <w:rFonts w:hint="eastAsia" w:ascii="宋体" w:hAnsi="宋体" w:cs="宋体"/>
          <w:b/>
          <w:bCs/>
          <w:color w:val="auto"/>
          <w:kern w:val="2"/>
          <w:sz w:val="28"/>
          <w:szCs w:val="28"/>
          <w:highlight w:val="none"/>
          <w:lang w:val="en-US" w:eastAsia="zh-CN" w:bidi="ar-SA"/>
        </w:rPr>
        <w:t>7</w:t>
      </w:r>
      <w:r>
        <w:rPr>
          <w:rFonts w:hint="eastAsia" w:ascii="宋体" w:hAnsi="宋体" w:eastAsia="宋体" w:cs="宋体"/>
          <w:b/>
          <w:bCs/>
          <w:color w:val="auto"/>
          <w:kern w:val="2"/>
          <w:sz w:val="28"/>
          <w:szCs w:val="28"/>
          <w:highlight w:val="none"/>
          <w:lang w:val="en-US" w:eastAsia="zh-CN" w:bidi="ar-SA"/>
        </w:rPr>
        <w:t xml:space="preserve">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lang w:val="en-US" w:eastAsia="zh-CN"/>
        </w:rPr>
        <w:t xml:space="preserve"> </w:t>
      </w:r>
      <w:r>
        <w:rPr>
          <w:rFonts w:hint="eastAsia" w:ascii="宋体" w:hAnsi="宋体" w:eastAsia="宋体"/>
          <w:b/>
          <w:bCs/>
          <w:color w:val="auto"/>
          <w:kern w:val="0"/>
          <w:sz w:val="28"/>
          <w:szCs w:val="28"/>
          <w:highlight w:val="none"/>
        </w:rPr>
        <w:t>（格式自拟）</w:t>
      </w:r>
    </w:p>
    <w:p w14:paraId="78DCA7E3">
      <w:pPr>
        <w:pStyle w:val="23"/>
        <w:rPr>
          <w:rFonts w:hint="default" w:ascii="宋体" w:hAnsi="宋体" w:cs="宋体"/>
          <w:color w:val="auto"/>
          <w:kern w:val="0"/>
          <w:sz w:val="24"/>
          <w:highlight w:val="none"/>
          <w:lang w:val="en-US" w:eastAsia="zh-CN"/>
        </w:rPr>
      </w:pPr>
    </w:p>
    <w:p w14:paraId="1C27DB87">
      <w:pPr>
        <w:pStyle w:val="23"/>
        <w:rPr>
          <w:rFonts w:hint="default" w:ascii="宋体" w:hAnsi="宋体" w:cs="宋体"/>
          <w:color w:val="auto"/>
          <w:kern w:val="0"/>
          <w:sz w:val="24"/>
          <w:highlight w:val="none"/>
          <w:lang w:val="en-US" w:eastAsia="zh-CN"/>
        </w:rPr>
      </w:pPr>
    </w:p>
    <w:p w14:paraId="43E68354">
      <w:pPr>
        <w:pStyle w:val="23"/>
        <w:rPr>
          <w:rFonts w:hint="default" w:ascii="宋体" w:hAnsi="宋体" w:cs="宋体"/>
          <w:color w:val="auto"/>
          <w:kern w:val="0"/>
          <w:sz w:val="24"/>
          <w:highlight w:val="none"/>
          <w:lang w:val="en-US" w:eastAsia="zh-CN"/>
        </w:rPr>
      </w:pPr>
    </w:p>
    <w:p w14:paraId="0647EFB8">
      <w:pPr>
        <w:pStyle w:val="23"/>
        <w:rPr>
          <w:rFonts w:hint="default" w:ascii="宋体" w:hAnsi="宋体" w:cs="宋体"/>
          <w:color w:val="auto"/>
          <w:kern w:val="0"/>
          <w:sz w:val="24"/>
          <w:highlight w:val="none"/>
          <w:lang w:val="en-US" w:eastAsia="zh-CN"/>
        </w:rPr>
      </w:pPr>
    </w:p>
    <w:p w14:paraId="5A5A959A">
      <w:pPr>
        <w:pStyle w:val="23"/>
        <w:rPr>
          <w:rFonts w:hint="default" w:ascii="宋体" w:hAnsi="宋体" w:cs="宋体"/>
          <w:color w:val="auto"/>
          <w:kern w:val="0"/>
          <w:sz w:val="24"/>
          <w:highlight w:val="none"/>
          <w:lang w:val="en-US" w:eastAsia="zh-CN"/>
        </w:rPr>
      </w:pPr>
    </w:p>
    <w:p w14:paraId="650115AD">
      <w:pPr>
        <w:pStyle w:val="23"/>
        <w:rPr>
          <w:rFonts w:hint="default" w:ascii="宋体" w:hAnsi="宋体" w:cs="宋体"/>
          <w:color w:val="auto"/>
          <w:kern w:val="0"/>
          <w:sz w:val="24"/>
          <w:highlight w:val="none"/>
          <w:lang w:val="en-US" w:eastAsia="zh-CN"/>
        </w:rPr>
      </w:pPr>
    </w:p>
    <w:p w14:paraId="4A359505">
      <w:pPr>
        <w:pStyle w:val="23"/>
        <w:rPr>
          <w:rFonts w:hint="default" w:ascii="宋体" w:hAnsi="宋体" w:cs="宋体"/>
          <w:color w:val="auto"/>
          <w:kern w:val="0"/>
          <w:sz w:val="24"/>
          <w:highlight w:val="none"/>
          <w:lang w:val="en-US" w:eastAsia="zh-CN"/>
        </w:rPr>
      </w:pPr>
    </w:p>
    <w:p w14:paraId="40B7289D">
      <w:pPr>
        <w:pStyle w:val="23"/>
        <w:rPr>
          <w:rFonts w:hint="default" w:ascii="宋体" w:hAnsi="宋体" w:cs="宋体"/>
          <w:color w:val="auto"/>
          <w:kern w:val="0"/>
          <w:sz w:val="24"/>
          <w:highlight w:val="none"/>
          <w:lang w:val="en-US" w:eastAsia="zh-CN"/>
        </w:rPr>
      </w:pPr>
    </w:p>
    <w:p w14:paraId="1B505EE5">
      <w:pPr>
        <w:pStyle w:val="23"/>
        <w:rPr>
          <w:rFonts w:hint="default" w:ascii="宋体" w:hAnsi="宋体" w:cs="宋体"/>
          <w:color w:val="auto"/>
          <w:kern w:val="0"/>
          <w:sz w:val="24"/>
          <w:highlight w:val="none"/>
          <w:lang w:val="en-US" w:eastAsia="zh-CN"/>
        </w:rPr>
      </w:pPr>
    </w:p>
    <w:p w14:paraId="4CA18EFC">
      <w:pPr>
        <w:pStyle w:val="23"/>
        <w:rPr>
          <w:rFonts w:hint="default" w:ascii="宋体" w:hAnsi="宋体" w:cs="宋体"/>
          <w:color w:val="auto"/>
          <w:kern w:val="0"/>
          <w:sz w:val="24"/>
          <w:highlight w:val="none"/>
          <w:lang w:val="en-US" w:eastAsia="zh-CN"/>
        </w:rPr>
      </w:pPr>
    </w:p>
    <w:p w14:paraId="56E07BAF">
      <w:pPr>
        <w:pStyle w:val="23"/>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bookmarkEnd w:id="67"/>
    <w:bookmarkEnd w:id="68"/>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29406"/>
      <w:bookmarkStart w:id="70" w:name="_Toc31526"/>
      <w:bookmarkStart w:id="71" w:name="_Toc28621"/>
      <w:r>
        <w:rPr>
          <w:rFonts w:hint="eastAsia" w:ascii="宋体" w:hAnsi="宋体" w:eastAsia="宋体" w:cs="宋体"/>
          <w:color w:val="auto"/>
          <w:sz w:val="28"/>
          <w:szCs w:val="28"/>
          <w:highlight w:val="none"/>
          <w:lang w:val="en-US" w:eastAsia="zh-CN"/>
        </w:rPr>
        <w:t>附件8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13976"/>
      <w:bookmarkStart w:id="74" w:name="_Toc30519"/>
      <w:r>
        <w:rPr>
          <w:rFonts w:hint="eastAsia" w:ascii="宋体" w:hAnsi="宋体" w:eastAsia="宋体" w:cs="宋体"/>
          <w:color w:val="auto"/>
          <w:sz w:val="28"/>
          <w:szCs w:val="28"/>
          <w:highlight w:val="none"/>
          <w:lang w:val="en-US" w:eastAsia="zh-CN"/>
        </w:rPr>
        <w:t>附件9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3342"/>
      <w:bookmarkStart w:id="77" w:name="_Toc18105"/>
      <w:r>
        <w:rPr>
          <w:rFonts w:hint="eastAsia" w:ascii="宋体" w:hAnsi="宋体" w:eastAsia="宋体" w:cs="宋体"/>
          <w:color w:val="auto"/>
          <w:sz w:val="28"/>
          <w:szCs w:val="28"/>
          <w:highlight w:val="none"/>
          <w:lang w:val="en-US" w:eastAsia="zh-CN"/>
        </w:rPr>
        <w:t>附件10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579486B2">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bookmarkStart w:id="78" w:name="_Toc17966"/>
    </w:p>
    <w:p w14:paraId="6A0AB418">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7C3CA99D">
      <w:pPr>
        <w:pStyle w:val="10"/>
        <w:spacing w:beforeAutospacing="0" w:afterAutospacing="0" w:line="480" w:lineRule="auto"/>
        <w:ind w:firstLine="540" w:firstLineChars="224"/>
        <w:jc w:val="both"/>
        <w:rPr>
          <w:rFonts w:hint="default" w:cs="宋体"/>
          <w:b/>
          <w:bCs w:val="0"/>
          <w:color w:val="auto"/>
          <w:sz w:val="24"/>
          <w:szCs w:val="24"/>
          <w:highlight w:val="none"/>
          <w:lang w:val="en-US" w:eastAsia="zh-CN"/>
        </w:rPr>
      </w:pPr>
      <w:r>
        <w:rPr>
          <w:rFonts w:hint="eastAsia" w:cs="宋体"/>
          <w:b/>
          <w:bCs w:val="0"/>
          <w:color w:val="auto"/>
          <w:sz w:val="24"/>
          <w:szCs w:val="24"/>
          <w:highlight w:val="none"/>
          <w:lang w:val="en-US" w:eastAsia="zh-CN"/>
        </w:rPr>
        <w:t>10.2评分标准需提供得证明材料</w:t>
      </w:r>
    </w:p>
    <w:p w14:paraId="2EEB5952">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2F5C5496">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615549B2">
      <w:pPr>
        <w:pStyle w:val="10"/>
        <w:spacing w:beforeAutospacing="0" w:afterAutospacing="0" w:line="480" w:lineRule="auto"/>
        <w:jc w:val="both"/>
        <w:rPr>
          <w:rFonts w:hint="eastAsia" w:ascii="宋体" w:hAnsi="宋体" w:eastAsia="宋体" w:cs="宋体"/>
          <w:b/>
          <w:bCs/>
          <w:color w:val="auto"/>
          <w:highlight w:val="none"/>
        </w:rPr>
      </w:pPr>
    </w:p>
    <w:p w14:paraId="38E4D5A2">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rPr>
        <w:t>.</w:t>
      </w:r>
      <w:r>
        <w:rPr>
          <w:rFonts w:hint="eastAsia"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 xml:space="preserve"> 供应商认为其他应提供的证明材料</w:t>
      </w:r>
    </w:p>
    <w:p w14:paraId="4034FCD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bookmarkEnd w:id="78"/>
    <w:p w14:paraId="335E608E">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8A81F772-9EAF-4E68-A066-C665999584CA}"/>
  </w:font>
  <w:font w:name="仿宋_GB2312">
    <w:panose1 w:val="02010609030101010101"/>
    <w:charset w:val="86"/>
    <w:family w:val="auto"/>
    <w:pitch w:val="default"/>
    <w:sig w:usb0="00000001" w:usb1="080E0000" w:usb2="00000000" w:usb3="00000000" w:csb0="00040000" w:csb1="00000000"/>
    <w:embedRegular r:id="rId2" w:fontKey="{12568E7C-2B8B-4CF6-8339-CAE1126D2C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center"/>
      <w:rPr>
        <w:rFonts w:hint="eastAsia"/>
      </w:rPr>
    </w:pPr>
    <w:r>
      <w:rPr>
        <w:rFonts w:hint="eastAsia" w:ascii="宋体" w:hAnsi="宋体" w:cs="宋体"/>
        <w:color w:val="auto"/>
        <w:szCs w:val="21"/>
        <w:highlight w:val="none"/>
        <w:u w:val="none"/>
        <w:shd w:val="clear" w:color="auto" w:fill="FFFFFF"/>
        <w:lang w:val="en-US" w:eastAsia="zh-CN"/>
      </w:rPr>
      <w:t xml:space="preserve">                                 驻马店市中心医院康复分院南楼辅房北立面玻璃幕墙改造采购项目采购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27F0"/>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244D"/>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D7ADD"/>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72A03"/>
    <w:rsid w:val="011E110B"/>
    <w:rsid w:val="01525212"/>
    <w:rsid w:val="01564054"/>
    <w:rsid w:val="015C0A67"/>
    <w:rsid w:val="01626374"/>
    <w:rsid w:val="01745FBF"/>
    <w:rsid w:val="017E6D95"/>
    <w:rsid w:val="018D0058"/>
    <w:rsid w:val="01976717"/>
    <w:rsid w:val="019F1377"/>
    <w:rsid w:val="01A249E9"/>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11F45"/>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473600"/>
    <w:rsid w:val="04732647"/>
    <w:rsid w:val="047968B1"/>
    <w:rsid w:val="04870542"/>
    <w:rsid w:val="04B30F7A"/>
    <w:rsid w:val="050E236F"/>
    <w:rsid w:val="05121E5F"/>
    <w:rsid w:val="05453FE3"/>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0A2B37"/>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E710CA"/>
    <w:rsid w:val="06FB0AC5"/>
    <w:rsid w:val="06FE7278"/>
    <w:rsid w:val="070D2D5D"/>
    <w:rsid w:val="07104A12"/>
    <w:rsid w:val="07111B8D"/>
    <w:rsid w:val="071F7584"/>
    <w:rsid w:val="07260519"/>
    <w:rsid w:val="072916E2"/>
    <w:rsid w:val="072C5514"/>
    <w:rsid w:val="0734267F"/>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57E18"/>
    <w:rsid w:val="083D5C91"/>
    <w:rsid w:val="0847191F"/>
    <w:rsid w:val="08591DC3"/>
    <w:rsid w:val="085B58CB"/>
    <w:rsid w:val="08672793"/>
    <w:rsid w:val="08695E80"/>
    <w:rsid w:val="087C4541"/>
    <w:rsid w:val="087E5595"/>
    <w:rsid w:val="088569E8"/>
    <w:rsid w:val="08955281"/>
    <w:rsid w:val="08A454C4"/>
    <w:rsid w:val="08BC0A60"/>
    <w:rsid w:val="08C52D6F"/>
    <w:rsid w:val="08E42BE4"/>
    <w:rsid w:val="08EB30F3"/>
    <w:rsid w:val="08EF0201"/>
    <w:rsid w:val="08F41DE8"/>
    <w:rsid w:val="093D1475"/>
    <w:rsid w:val="094840A2"/>
    <w:rsid w:val="09491BC8"/>
    <w:rsid w:val="09644C54"/>
    <w:rsid w:val="09737462"/>
    <w:rsid w:val="098B21E0"/>
    <w:rsid w:val="099156C3"/>
    <w:rsid w:val="099A0675"/>
    <w:rsid w:val="099E3CC2"/>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9442B5"/>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7A075E"/>
    <w:rsid w:val="0B8B471A"/>
    <w:rsid w:val="0B924545"/>
    <w:rsid w:val="0B9F3D21"/>
    <w:rsid w:val="0BAC324F"/>
    <w:rsid w:val="0BB40DF1"/>
    <w:rsid w:val="0BC11EE9"/>
    <w:rsid w:val="0BCC62FA"/>
    <w:rsid w:val="0BF16C73"/>
    <w:rsid w:val="0BF72F1E"/>
    <w:rsid w:val="0BF9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F171032"/>
    <w:rsid w:val="0F335E69"/>
    <w:rsid w:val="0F372614"/>
    <w:rsid w:val="0F3D59C9"/>
    <w:rsid w:val="0F515A6B"/>
    <w:rsid w:val="0F516D5A"/>
    <w:rsid w:val="0F565B36"/>
    <w:rsid w:val="0F684933"/>
    <w:rsid w:val="0F6E2388"/>
    <w:rsid w:val="0F751969"/>
    <w:rsid w:val="0F821E7D"/>
    <w:rsid w:val="0FB3423F"/>
    <w:rsid w:val="0FC91CB4"/>
    <w:rsid w:val="0FCA42ED"/>
    <w:rsid w:val="0FDB5F4F"/>
    <w:rsid w:val="0FE7592C"/>
    <w:rsid w:val="0FFC17A5"/>
    <w:rsid w:val="0FFD20F0"/>
    <w:rsid w:val="100226CA"/>
    <w:rsid w:val="10142F30"/>
    <w:rsid w:val="10352857"/>
    <w:rsid w:val="103E6E57"/>
    <w:rsid w:val="1041497B"/>
    <w:rsid w:val="10425FF6"/>
    <w:rsid w:val="105C6685"/>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6E6670"/>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2E53C86"/>
    <w:rsid w:val="13036052"/>
    <w:rsid w:val="130C439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92D96"/>
    <w:rsid w:val="151C63E2"/>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E56E12"/>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BE143E"/>
    <w:rsid w:val="16C872D5"/>
    <w:rsid w:val="16D54FA3"/>
    <w:rsid w:val="16D84D9F"/>
    <w:rsid w:val="16E94D3E"/>
    <w:rsid w:val="170D06E0"/>
    <w:rsid w:val="17233E03"/>
    <w:rsid w:val="17332185"/>
    <w:rsid w:val="17475951"/>
    <w:rsid w:val="175B7696"/>
    <w:rsid w:val="175C542D"/>
    <w:rsid w:val="175D0ED4"/>
    <w:rsid w:val="1767428D"/>
    <w:rsid w:val="17793FC0"/>
    <w:rsid w:val="17885FB1"/>
    <w:rsid w:val="179D33A9"/>
    <w:rsid w:val="179F2E61"/>
    <w:rsid w:val="17A06264"/>
    <w:rsid w:val="17BE19D3"/>
    <w:rsid w:val="17C227C0"/>
    <w:rsid w:val="17D66D7C"/>
    <w:rsid w:val="17DE0EDF"/>
    <w:rsid w:val="17EE5BFF"/>
    <w:rsid w:val="17F11DA8"/>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9CC03D7"/>
    <w:rsid w:val="1A125525"/>
    <w:rsid w:val="1A4A57A0"/>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70C88"/>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F4C0C"/>
    <w:rsid w:val="1D5144F7"/>
    <w:rsid w:val="1D5B3CDE"/>
    <w:rsid w:val="1D5D0701"/>
    <w:rsid w:val="1D6E2950"/>
    <w:rsid w:val="1D79298C"/>
    <w:rsid w:val="1D98209B"/>
    <w:rsid w:val="1DA23746"/>
    <w:rsid w:val="1DAA14B9"/>
    <w:rsid w:val="1DD04513"/>
    <w:rsid w:val="1DD8524D"/>
    <w:rsid w:val="1DDD2BCB"/>
    <w:rsid w:val="1DE71C83"/>
    <w:rsid w:val="1E0345E3"/>
    <w:rsid w:val="1E1B7B7F"/>
    <w:rsid w:val="1E214A6A"/>
    <w:rsid w:val="1E443370"/>
    <w:rsid w:val="1E55658F"/>
    <w:rsid w:val="1E656063"/>
    <w:rsid w:val="1E6B06A5"/>
    <w:rsid w:val="1E7554E1"/>
    <w:rsid w:val="1E7F7D9E"/>
    <w:rsid w:val="1E840DA4"/>
    <w:rsid w:val="1EA00084"/>
    <w:rsid w:val="1EA5444C"/>
    <w:rsid w:val="1EA5569B"/>
    <w:rsid w:val="1EB350EF"/>
    <w:rsid w:val="1EC21749"/>
    <w:rsid w:val="1EEB7C4E"/>
    <w:rsid w:val="1EFE0DA3"/>
    <w:rsid w:val="1F072441"/>
    <w:rsid w:val="1F171B83"/>
    <w:rsid w:val="1F293DB9"/>
    <w:rsid w:val="1F2D4691"/>
    <w:rsid w:val="1F2D491A"/>
    <w:rsid w:val="1F3F789D"/>
    <w:rsid w:val="1F4E5D32"/>
    <w:rsid w:val="1F503858"/>
    <w:rsid w:val="1F66355F"/>
    <w:rsid w:val="1F7369C7"/>
    <w:rsid w:val="1F751511"/>
    <w:rsid w:val="1F7F5EEC"/>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4C004F"/>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2F95FB5"/>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2E3B0A"/>
    <w:rsid w:val="25302410"/>
    <w:rsid w:val="253D03DB"/>
    <w:rsid w:val="255120D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5FC2044"/>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950FE"/>
    <w:rsid w:val="277E30D2"/>
    <w:rsid w:val="27803F2A"/>
    <w:rsid w:val="278A18D2"/>
    <w:rsid w:val="27983FEE"/>
    <w:rsid w:val="27A34941"/>
    <w:rsid w:val="27A97FAA"/>
    <w:rsid w:val="27B6443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CD4916"/>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15D21"/>
    <w:rsid w:val="2BD96984"/>
    <w:rsid w:val="2BDB5A88"/>
    <w:rsid w:val="2BDB6BA0"/>
    <w:rsid w:val="2BE91C37"/>
    <w:rsid w:val="2BEC3F72"/>
    <w:rsid w:val="2C083572"/>
    <w:rsid w:val="2C185F94"/>
    <w:rsid w:val="2C1F1AC4"/>
    <w:rsid w:val="2C2945BA"/>
    <w:rsid w:val="2C2E71FC"/>
    <w:rsid w:val="2C3167C0"/>
    <w:rsid w:val="2C3F3A41"/>
    <w:rsid w:val="2C4431C4"/>
    <w:rsid w:val="2C46226B"/>
    <w:rsid w:val="2C55747C"/>
    <w:rsid w:val="2C62059F"/>
    <w:rsid w:val="2C6634FA"/>
    <w:rsid w:val="2C7566AC"/>
    <w:rsid w:val="2C7843EE"/>
    <w:rsid w:val="2C9C00DD"/>
    <w:rsid w:val="2CA25191"/>
    <w:rsid w:val="2CAC022C"/>
    <w:rsid w:val="2CB82A3D"/>
    <w:rsid w:val="2CC11807"/>
    <w:rsid w:val="2CC66CD6"/>
    <w:rsid w:val="2CCA2E9C"/>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41E6C"/>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37C88"/>
    <w:rsid w:val="2F3B6922"/>
    <w:rsid w:val="2F3D7B25"/>
    <w:rsid w:val="2F480119"/>
    <w:rsid w:val="2F506C6D"/>
    <w:rsid w:val="2F512253"/>
    <w:rsid w:val="2F51291F"/>
    <w:rsid w:val="2F55758A"/>
    <w:rsid w:val="2F68074A"/>
    <w:rsid w:val="2F7F15AE"/>
    <w:rsid w:val="2F912594"/>
    <w:rsid w:val="2FA54796"/>
    <w:rsid w:val="2FA674E2"/>
    <w:rsid w:val="2FA774C5"/>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70A02"/>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326DEE"/>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E1EEE"/>
    <w:rsid w:val="334045BE"/>
    <w:rsid w:val="334A3B2A"/>
    <w:rsid w:val="334E5EA9"/>
    <w:rsid w:val="335133F7"/>
    <w:rsid w:val="3365592E"/>
    <w:rsid w:val="336A31F3"/>
    <w:rsid w:val="336F5D12"/>
    <w:rsid w:val="336F6533"/>
    <w:rsid w:val="337E5E2F"/>
    <w:rsid w:val="3384610D"/>
    <w:rsid w:val="33886F33"/>
    <w:rsid w:val="33A9069D"/>
    <w:rsid w:val="33AA5979"/>
    <w:rsid w:val="33AB32FB"/>
    <w:rsid w:val="33C03E90"/>
    <w:rsid w:val="33C96649"/>
    <w:rsid w:val="33CC3D88"/>
    <w:rsid w:val="33D939C5"/>
    <w:rsid w:val="33DD0306"/>
    <w:rsid w:val="33FD3B57"/>
    <w:rsid w:val="33FD722F"/>
    <w:rsid w:val="3400362D"/>
    <w:rsid w:val="340B09C5"/>
    <w:rsid w:val="341E4CAB"/>
    <w:rsid w:val="34205B4A"/>
    <w:rsid w:val="34584EE2"/>
    <w:rsid w:val="347A1C51"/>
    <w:rsid w:val="347D373F"/>
    <w:rsid w:val="34922A93"/>
    <w:rsid w:val="34956481"/>
    <w:rsid w:val="34A35871"/>
    <w:rsid w:val="34C06C9D"/>
    <w:rsid w:val="34C71A6F"/>
    <w:rsid w:val="34C93A39"/>
    <w:rsid w:val="34DF24AE"/>
    <w:rsid w:val="34E97C37"/>
    <w:rsid w:val="351C4931"/>
    <w:rsid w:val="351C4EAC"/>
    <w:rsid w:val="351D4C26"/>
    <w:rsid w:val="351F3659"/>
    <w:rsid w:val="352B46F4"/>
    <w:rsid w:val="352E7D40"/>
    <w:rsid w:val="35361A77"/>
    <w:rsid w:val="35461A22"/>
    <w:rsid w:val="35481956"/>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C380B"/>
    <w:rsid w:val="38A53DB7"/>
    <w:rsid w:val="38BF3388"/>
    <w:rsid w:val="38CC268D"/>
    <w:rsid w:val="38DF1FDA"/>
    <w:rsid w:val="38EC2960"/>
    <w:rsid w:val="38EE7F12"/>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BC7B9C"/>
    <w:rsid w:val="3AC566E3"/>
    <w:rsid w:val="3AD6747A"/>
    <w:rsid w:val="3AD95C48"/>
    <w:rsid w:val="3ADF5D0A"/>
    <w:rsid w:val="3B0F23C2"/>
    <w:rsid w:val="3B312338"/>
    <w:rsid w:val="3B3C5B77"/>
    <w:rsid w:val="3B3D0FF2"/>
    <w:rsid w:val="3B44206B"/>
    <w:rsid w:val="3B501351"/>
    <w:rsid w:val="3B521A18"/>
    <w:rsid w:val="3B741699"/>
    <w:rsid w:val="3B8D2B96"/>
    <w:rsid w:val="3B90705F"/>
    <w:rsid w:val="3B923660"/>
    <w:rsid w:val="3B9C3C56"/>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070A9"/>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6F78D3"/>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6F44"/>
    <w:rsid w:val="40FD480A"/>
    <w:rsid w:val="41176A48"/>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4F0B49"/>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027FD"/>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40308"/>
    <w:rsid w:val="44BC0BEE"/>
    <w:rsid w:val="44BF6C07"/>
    <w:rsid w:val="44C24001"/>
    <w:rsid w:val="44C55A88"/>
    <w:rsid w:val="44FB1C9C"/>
    <w:rsid w:val="450C05A0"/>
    <w:rsid w:val="45392A13"/>
    <w:rsid w:val="453E3FCF"/>
    <w:rsid w:val="454F1836"/>
    <w:rsid w:val="45617CBE"/>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380A1F"/>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6A20B3"/>
    <w:rsid w:val="48895289"/>
    <w:rsid w:val="48A16B62"/>
    <w:rsid w:val="48AE0D54"/>
    <w:rsid w:val="48BC6222"/>
    <w:rsid w:val="48C245E9"/>
    <w:rsid w:val="48DB312A"/>
    <w:rsid w:val="48DF49D9"/>
    <w:rsid w:val="490E3CB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1D6435"/>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74F4D"/>
    <w:rsid w:val="4CE9350A"/>
    <w:rsid w:val="4D014937"/>
    <w:rsid w:val="4D1E2466"/>
    <w:rsid w:val="4D2256CD"/>
    <w:rsid w:val="4D225F85"/>
    <w:rsid w:val="4D297BF3"/>
    <w:rsid w:val="4D2D0EAF"/>
    <w:rsid w:val="4D333CEE"/>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133F60"/>
    <w:rsid w:val="4E2423AC"/>
    <w:rsid w:val="4E261AA5"/>
    <w:rsid w:val="4E287F63"/>
    <w:rsid w:val="4E304B5D"/>
    <w:rsid w:val="4E3F66C2"/>
    <w:rsid w:val="4E611B8B"/>
    <w:rsid w:val="4E6279D7"/>
    <w:rsid w:val="4E682F8C"/>
    <w:rsid w:val="4E6A7BB7"/>
    <w:rsid w:val="4E6C5D89"/>
    <w:rsid w:val="4E9133C2"/>
    <w:rsid w:val="4EB23220"/>
    <w:rsid w:val="4EC2357B"/>
    <w:rsid w:val="4EC866B8"/>
    <w:rsid w:val="4ED46303"/>
    <w:rsid w:val="4EE661F8"/>
    <w:rsid w:val="4EF27A04"/>
    <w:rsid w:val="4F0773B4"/>
    <w:rsid w:val="4F0973FC"/>
    <w:rsid w:val="4F0C69BB"/>
    <w:rsid w:val="4F241019"/>
    <w:rsid w:val="4F307BB1"/>
    <w:rsid w:val="4F336227"/>
    <w:rsid w:val="4F3C3EF2"/>
    <w:rsid w:val="4F3D562D"/>
    <w:rsid w:val="4F4E6C44"/>
    <w:rsid w:val="4F552641"/>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1E31B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06410"/>
    <w:rsid w:val="538452A3"/>
    <w:rsid w:val="539A4AC7"/>
    <w:rsid w:val="53A44D07"/>
    <w:rsid w:val="53A46AC8"/>
    <w:rsid w:val="53AB7F1F"/>
    <w:rsid w:val="53AC6F7B"/>
    <w:rsid w:val="53C01F4F"/>
    <w:rsid w:val="53C421A6"/>
    <w:rsid w:val="53EB297B"/>
    <w:rsid w:val="53EC4BF7"/>
    <w:rsid w:val="53F671DE"/>
    <w:rsid w:val="53F758A1"/>
    <w:rsid w:val="540D5A7F"/>
    <w:rsid w:val="542E2BC2"/>
    <w:rsid w:val="54352A96"/>
    <w:rsid w:val="54447390"/>
    <w:rsid w:val="544B514D"/>
    <w:rsid w:val="545E1D01"/>
    <w:rsid w:val="54674051"/>
    <w:rsid w:val="546747BE"/>
    <w:rsid w:val="5472334E"/>
    <w:rsid w:val="54935B8F"/>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64C4B"/>
    <w:rsid w:val="56837A94"/>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5C2093"/>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AE691E"/>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23DF0"/>
    <w:rsid w:val="59790BDB"/>
    <w:rsid w:val="597E3F42"/>
    <w:rsid w:val="598653AC"/>
    <w:rsid w:val="59AC10B0"/>
    <w:rsid w:val="59AC3C86"/>
    <w:rsid w:val="59B461B6"/>
    <w:rsid w:val="59B817D3"/>
    <w:rsid w:val="59C11856"/>
    <w:rsid w:val="59C153AB"/>
    <w:rsid w:val="59D10B16"/>
    <w:rsid w:val="59D42FDA"/>
    <w:rsid w:val="59D70DF6"/>
    <w:rsid w:val="59DA4E01"/>
    <w:rsid w:val="59E01141"/>
    <w:rsid w:val="59F64E82"/>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1230F"/>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838CB"/>
    <w:rsid w:val="615F221E"/>
    <w:rsid w:val="61637D56"/>
    <w:rsid w:val="61712185"/>
    <w:rsid w:val="618B7207"/>
    <w:rsid w:val="61907E69"/>
    <w:rsid w:val="61A90D68"/>
    <w:rsid w:val="61B43A15"/>
    <w:rsid w:val="61DA0425"/>
    <w:rsid w:val="62065A1D"/>
    <w:rsid w:val="6213792C"/>
    <w:rsid w:val="621775E2"/>
    <w:rsid w:val="621C0D9D"/>
    <w:rsid w:val="622F7552"/>
    <w:rsid w:val="6250406E"/>
    <w:rsid w:val="625D6ED0"/>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556314"/>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A23AF2"/>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9701A5"/>
    <w:rsid w:val="6AA03032"/>
    <w:rsid w:val="6AA86FEC"/>
    <w:rsid w:val="6AB06526"/>
    <w:rsid w:val="6ACB20F7"/>
    <w:rsid w:val="6AD54E94"/>
    <w:rsid w:val="6ADA6AC4"/>
    <w:rsid w:val="6ADB11D6"/>
    <w:rsid w:val="6B0E5024"/>
    <w:rsid w:val="6B1A2C3C"/>
    <w:rsid w:val="6B221F4E"/>
    <w:rsid w:val="6B31644D"/>
    <w:rsid w:val="6B486C86"/>
    <w:rsid w:val="6B546244"/>
    <w:rsid w:val="6B554C72"/>
    <w:rsid w:val="6B560C49"/>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078F9"/>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A311E"/>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A6664"/>
    <w:rsid w:val="6F1E2E65"/>
    <w:rsid w:val="6F26325B"/>
    <w:rsid w:val="6F286FD3"/>
    <w:rsid w:val="6F2F2D9E"/>
    <w:rsid w:val="6F3A05FC"/>
    <w:rsid w:val="6F4147D9"/>
    <w:rsid w:val="6F581F47"/>
    <w:rsid w:val="6F5B0D5A"/>
    <w:rsid w:val="6F5C35EA"/>
    <w:rsid w:val="6F63625D"/>
    <w:rsid w:val="6F6B6A15"/>
    <w:rsid w:val="6F947E4B"/>
    <w:rsid w:val="6F9957DB"/>
    <w:rsid w:val="6FA30BDA"/>
    <w:rsid w:val="6FB21D4C"/>
    <w:rsid w:val="6FB80698"/>
    <w:rsid w:val="6FDE7692"/>
    <w:rsid w:val="6FFD5E0F"/>
    <w:rsid w:val="70076BE8"/>
    <w:rsid w:val="701021F4"/>
    <w:rsid w:val="701C29A6"/>
    <w:rsid w:val="7024611F"/>
    <w:rsid w:val="702F7EED"/>
    <w:rsid w:val="70370356"/>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C7408"/>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D2C86"/>
    <w:rsid w:val="72CD226C"/>
    <w:rsid w:val="72D27981"/>
    <w:rsid w:val="73047407"/>
    <w:rsid w:val="73047904"/>
    <w:rsid w:val="73132E9B"/>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52EE8"/>
    <w:rsid w:val="759926FC"/>
    <w:rsid w:val="75A24276"/>
    <w:rsid w:val="75AA231D"/>
    <w:rsid w:val="75AD6340"/>
    <w:rsid w:val="75B90985"/>
    <w:rsid w:val="75DF5F11"/>
    <w:rsid w:val="75E8633A"/>
    <w:rsid w:val="75ED062E"/>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059BB"/>
    <w:rsid w:val="777A7D22"/>
    <w:rsid w:val="777E28EC"/>
    <w:rsid w:val="77835654"/>
    <w:rsid w:val="7797109C"/>
    <w:rsid w:val="779A2A38"/>
    <w:rsid w:val="77B4450A"/>
    <w:rsid w:val="77B46E73"/>
    <w:rsid w:val="77E37A12"/>
    <w:rsid w:val="77F04406"/>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2F0F5E"/>
    <w:rsid w:val="79345B6A"/>
    <w:rsid w:val="79424F6E"/>
    <w:rsid w:val="794F33AE"/>
    <w:rsid w:val="795310F0"/>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CC115A"/>
    <w:rsid w:val="7AD60EB8"/>
    <w:rsid w:val="7ADA73A4"/>
    <w:rsid w:val="7AE55396"/>
    <w:rsid w:val="7AE66B99"/>
    <w:rsid w:val="7AF34646"/>
    <w:rsid w:val="7AFE508C"/>
    <w:rsid w:val="7B0A3BCA"/>
    <w:rsid w:val="7B1C0EF4"/>
    <w:rsid w:val="7B1E510C"/>
    <w:rsid w:val="7B212805"/>
    <w:rsid w:val="7B234AF2"/>
    <w:rsid w:val="7B2E5971"/>
    <w:rsid w:val="7B31720F"/>
    <w:rsid w:val="7B345AA9"/>
    <w:rsid w:val="7B3559DB"/>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72E8E"/>
    <w:rsid w:val="7C8A6570"/>
    <w:rsid w:val="7C8B7390"/>
    <w:rsid w:val="7C9B0D0E"/>
    <w:rsid w:val="7CA42B03"/>
    <w:rsid w:val="7CC55E61"/>
    <w:rsid w:val="7CCB71F0"/>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E9455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styleId="5">
    <w:name w:val="Body Text First Indent"/>
    <w:basedOn w:val="4"/>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11522</Words>
  <Characters>12070</Characters>
  <Lines>50</Lines>
  <Paragraphs>68</Paragraphs>
  <TotalTime>0</TotalTime>
  <ScaleCrop>false</ScaleCrop>
  <LinksUpToDate>false</LinksUpToDate>
  <CharactersWithSpaces>12999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2026-07-08T01:09:21Z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