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FF560">
      <w:pPr>
        <w:pStyle w:val="12"/>
        <w:jc w:val="center"/>
        <w:rPr>
          <w:b/>
          <w:bCs/>
          <w:sz w:val="40"/>
          <w:szCs w:val="40"/>
          <w:highlight w:val="none"/>
        </w:rPr>
      </w:pPr>
    </w:p>
    <w:p w14:paraId="45601A83">
      <w:pPr>
        <w:pStyle w:val="12"/>
        <w:jc w:val="center"/>
        <w:rPr>
          <w:b/>
          <w:bCs/>
          <w:sz w:val="40"/>
          <w:szCs w:val="40"/>
          <w:highlight w:val="none"/>
        </w:rPr>
      </w:pPr>
    </w:p>
    <w:p w14:paraId="04BABAF0">
      <w:pPr>
        <w:pStyle w:val="12"/>
        <w:jc w:val="center"/>
        <w:rPr>
          <w:rFonts w:hint="eastAsia" w:hAnsi="宋体" w:cs="宋体"/>
          <w:b/>
          <w:kern w:val="0"/>
          <w:sz w:val="48"/>
          <w:szCs w:val="52"/>
          <w:highlight w:val="none"/>
          <w:lang w:eastAsia="zh-CN"/>
        </w:rPr>
      </w:pPr>
      <w:r>
        <w:rPr>
          <w:rFonts w:hint="eastAsia" w:hAnsi="宋体" w:cs="宋体"/>
          <w:b/>
          <w:kern w:val="0"/>
          <w:sz w:val="48"/>
          <w:szCs w:val="52"/>
          <w:highlight w:val="none"/>
          <w:lang w:eastAsia="zh-CN"/>
        </w:rPr>
        <w:t>驻马店市中心医院</w:t>
      </w:r>
    </w:p>
    <w:p w14:paraId="23DE4E79">
      <w:pPr>
        <w:pStyle w:val="12"/>
        <w:jc w:val="center"/>
        <w:rPr>
          <w:rStyle w:val="35"/>
          <w:rFonts w:hint="eastAsia" w:hAnsi="宋体" w:eastAsia="宋体" w:cs="宋体"/>
          <w:b/>
          <w:bCs/>
          <w:color w:val="auto"/>
          <w:sz w:val="56"/>
          <w:szCs w:val="56"/>
          <w:highlight w:val="none"/>
          <w:lang w:eastAsia="zh-CN"/>
        </w:rPr>
      </w:pPr>
      <w:r>
        <w:rPr>
          <w:rFonts w:hint="eastAsia" w:hAnsi="宋体" w:cs="宋体"/>
          <w:b/>
          <w:kern w:val="0"/>
          <w:sz w:val="48"/>
          <w:szCs w:val="52"/>
          <w:highlight w:val="none"/>
          <w:lang w:eastAsia="zh-CN"/>
        </w:rPr>
        <w:t>无水乙醇、二甲苯等耗材采购项目</w:t>
      </w:r>
    </w:p>
    <w:p w14:paraId="4AA2FC8D">
      <w:pPr>
        <w:pStyle w:val="12"/>
        <w:jc w:val="center"/>
        <w:rPr>
          <w:rStyle w:val="35"/>
          <w:rFonts w:hAnsi="宋体" w:cs="宋体"/>
          <w:b/>
          <w:bCs/>
          <w:color w:val="auto"/>
          <w:sz w:val="48"/>
          <w:szCs w:val="48"/>
          <w:highlight w:val="none"/>
        </w:rPr>
      </w:pPr>
    </w:p>
    <w:p w14:paraId="6899C64B">
      <w:pPr>
        <w:pStyle w:val="12"/>
        <w:jc w:val="center"/>
        <w:rPr>
          <w:rStyle w:val="35"/>
          <w:rFonts w:hAnsi="宋体" w:cs="宋体"/>
          <w:b/>
          <w:bCs/>
          <w:color w:val="auto"/>
          <w:sz w:val="48"/>
          <w:szCs w:val="48"/>
          <w:highlight w:val="none"/>
        </w:rPr>
      </w:pPr>
    </w:p>
    <w:p w14:paraId="6A200F4C">
      <w:pPr>
        <w:pStyle w:val="12"/>
        <w:jc w:val="center"/>
        <w:rPr>
          <w:rStyle w:val="35"/>
          <w:rFonts w:hAnsi="宋体" w:cs="宋体"/>
          <w:b/>
          <w:bCs/>
          <w:color w:val="auto"/>
          <w:sz w:val="52"/>
          <w:szCs w:val="52"/>
          <w:highlight w:val="none"/>
        </w:rPr>
      </w:pPr>
      <w:r>
        <w:rPr>
          <w:rStyle w:val="35"/>
          <w:rFonts w:hint="eastAsia" w:hAnsi="宋体" w:cs="宋体"/>
          <w:b/>
          <w:bCs/>
          <w:color w:val="auto"/>
          <w:sz w:val="52"/>
          <w:szCs w:val="52"/>
          <w:highlight w:val="none"/>
        </w:rPr>
        <w:t>竞争性谈判文件</w:t>
      </w:r>
    </w:p>
    <w:p w14:paraId="12C28488">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highlight w:val="none"/>
        </w:rPr>
      </w:pPr>
    </w:p>
    <w:p w14:paraId="3D5F0484">
      <w:pPr>
        <w:snapToGrid w:val="0"/>
        <w:spacing w:line="380" w:lineRule="exact"/>
        <w:jc w:val="center"/>
        <w:rPr>
          <w:rFonts w:ascii="宋体" w:hAnsi="宋体" w:cs="宋体"/>
          <w:b/>
          <w:sz w:val="32"/>
          <w:szCs w:val="32"/>
          <w:highlight w:val="none"/>
        </w:rPr>
      </w:pPr>
    </w:p>
    <w:p w14:paraId="570B174E">
      <w:pPr>
        <w:pStyle w:val="23"/>
        <w:ind w:firstLine="280"/>
        <w:rPr>
          <w:rFonts w:ascii="宋体" w:hAnsi="宋体" w:cs="宋体"/>
          <w:highlight w:val="none"/>
        </w:rPr>
      </w:pPr>
    </w:p>
    <w:p w14:paraId="4AF56FCC">
      <w:pPr>
        <w:pStyle w:val="63"/>
        <w:rPr>
          <w:rFonts w:ascii="宋体" w:hAnsi="宋体" w:cs="宋体"/>
          <w:bCs/>
          <w:sz w:val="2"/>
          <w:szCs w:val="2"/>
          <w:highlight w:val="none"/>
        </w:rPr>
      </w:pPr>
    </w:p>
    <w:p w14:paraId="54377D64">
      <w:pPr>
        <w:rPr>
          <w:rFonts w:ascii="宋体" w:hAnsi="宋体" w:cs="宋体"/>
          <w:bCs/>
          <w:sz w:val="2"/>
          <w:szCs w:val="2"/>
          <w:highlight w:val="none"/>
        </w:rPr>
      </w:pPr>
    </w:p>
    <w:p w14:paraId="68083B2F">
      <w:pPr>
        <w:spacing w:line="20" w:lineRule="exact"/>
        <w:rPr>
          <w:rFonts w:ascii="宋体" w:hAnsi="宋体" w:cs="宋体"/>
          <w:bCs/>
          <w:sz w:val="2"/>
          <w:szCs w:val="2"/>
          <w:highlight w:val="none"/>
        </w:rPr>
      </w:pPr>
    </w:p>
    <w:p w14:paraId="475F827F">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5217BC74">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highlight w:val="none"/>
        </w:rPr>
      </w:pPr>
    </w:p>
    <w:p w14:paraId="0132AAE7">
      <w:pPr>
        <w:tabs>
          <w:tab w:val="left" w:pos="2700"/>
          <w:tab w:val="left" w:pos="2880"/>
          <w:tab w:val="left" w:pos="3060"/>
          <w:tab w:val="left" w:pos="7560"/>
        </w:tabs>
        <w:snapToGrid w:val="0"/>
        <w:spacing w:line="480" w:lineRule="auto"/>
        <w:jc w:val="center"/>
        <w:rPr>
          <w:rFonts w:ascii="宋体" w:hAnsi="宋体" w:cs="宋体"/>
          <w:b/>
          <w:bCs/>
          <w:spacing w:val="-10"/>
          <w:sz w:val="34"/>
          <w:szCs w:val="34"/>
          <w:highlight w:val="none"/>
        </w:rPr>
      </w:pPr>
    </w:p>
    <w:p w14:paraId="01977176">
      <w:pPr>
        <w:tabs>
          <w:tab w:val="left" w:pos="2700"/>
          <w:tab w:val="left" w:pos="2880"/>
          <w:tab w:val="left" w:pos="3060"/>
          <w:tab w:val="left" w:pos="7560"/>
        </w:tabs>
        <w:snapToGrid w:val="0"/>
        <w:spacing w:line="480" w:lineRule="auto"/>
        <w:ind w:firstLine="683" w:firstLineChars="200"/>
        <w:rPr>
          <w:rFonts w:ascii="宋体" w:hAnsi="宋体" w:cs="宋体"/>
          <w:b/>
          <w:bCs/>
          <w:spacing w:val="-10"/>
          <w:sz w:val="36"/>
          <w:szCs w:val="36"/>
          <w:highlight w:val="none"/>
        </w:rPr>
      </w:pPr>
      <w:r>
        <w:rPr>
          <w:rFonts w:hint="eastAsia" w:ascii="宋体" w:hAnsi="宋体" w:cs="宋体"/>
          <w:b/>
          <w:bCs/>
          <w:spacing w:val="-10"/>
          <w:sz w:val="36"/>
          <w:szCs w:val="36"/>
          <w:highlight w:val="none"/>
        </w:rPr>
        <w:t>采   购   人：驻马店市中心医院</w:t>
      </w:r>
    </w:p>
    <w:p w14:paraId="1C7692AC">
      <w:pPr>
        <w:tabs>
          <w:tab w:val="left" w:pos="2700"/>
          <w:tab w:val="left" w:pos="2880"/>
          <w:tab w:val="left" w:pos="3060"/>
          <w:tab w:val="left" w:pos="7560"/>
        </w:tabs>
        <w:snapToGrid w:val="0"/>
        <w:spacing w:line="480" w:lineRule="auto"/>
        <w:ind w:firstLine="683" w:firstLineChars="200"/>
        <w:rPr>
          <w:rFonts w:hint="default" w:ascii="宋体" w:hAnsi="宋体" w:eastAsia="宋体" w:cs="宋体"/>
          <w:b/>
          <w:bCs/>
          <w:spacing w:val="-10"/>
          <w:sz w:val="36"/>
          <w:szCs w:val="36"/>
          <w:highlight w:val="none"/>
          <w:lang w:val="en-US" w:eastAsia="zh-CN"/>
        </w:rPr>
      </w:pPr>
      <w:r>
        <w:rPr>
          <w:rFonts w:hint="eastAsia" w:ascii="宋体" w:hAnsi="宋体" w:cs="宋体"/>
          <w:b/>
          <w:bCs/>
          <w:spacing w:val="-10"/>
          <w:sz w:val="36"/>
          <w:szCs w:val="36"/>
          <w:highlight w:val="none"/>
        </w:rPr>
        <w:t>采购代理机构：</w:t>
      </w:r>
      <w:r>
        <w:rPr>
          <w:rFonts w:hint="eastAsia" w:ascii="宋体" w:hAnsi="宋体" w:cs="宋体"/>
          <w:b/>
          <w:bCs/>
          <w:spacing w:val="-10"/>
          <w:sz w:val="36"/>
          <w:szCs w:val="36"/>
          <w:highlight w:val="none"/>
          <w:lang w:val="en-US" w:eastAsia="zh-CN"/>
        </w:rPr>
        <w:t>中信诚项目管理有限公司</w:t>
      </w:r>
    </w:p>
    <w:p w14:paraId="039C2899">
      <w:pPr>
        <w:tabs>
          <w:tab w:val="left" w:pos="2700"/>
          <w:tab w:val="left" w:pos="2880"/>
          <w:tab w:val="left" w:pos="3060"/>
          <w:tab w:val="left" w:pos="7560"/>
        </w:tabs>
        <w:snapToGrid w:val="0"/>
        <w:spacing w:line="480" w:lineRule="auto"/>
        <w:ind w:firstLine="683" w:firstLineChars="200"/>
        <w:rPr>
          <w:rFonts w:ascii="宋体" w:hAnsi="宋体" w:cs="宋体"/>
          <w:b/>
          <w:bCs/>
          <w:spacing w:val="-10"/>
          <w:sz w:val="36"/>
          <w:szCs w:val="36"/>
          <w:highlight w:val="none"/>
        </w:rPr>
      </w:pPr>
      <w:r>
        <w:rPr>
          <w:rFonts w:hint="eastAsia" w:ascii="宋体" w:hAnsi="宋体" w:cs="宋体"/>
          <w:b/>
          <w:bCs/>
          <w:spacing w:val="-10"/>
          <w:sz w:val="36"/>
          <w:szCs w:val="36"/>
          <w:highlight w:val="none"/>
        </w:rPr>
        <w:t>日        期：2026年</w:t>
      </w:r>
      <w:r>
        <w:rPr>
          <w:rFonts w:hint="eastAsia" w:ascii="宋体" w:hAnsi="宋体" w:cs="宋体"/>
          <w:b/>
          <w:bCs/>
          <w:spacing w:val="-10"/>
          <w:sz w:val="36"/>
          <w:szCs w:val="36"/>
          <w:highlight w:val="none"/>
          <w:lang w:val="en-US" w:eastAsia="zh-CN"/>
        </w:rPr>
        <w:t>6</w:t>
      </w:r>
      <w:r>
        <w:rPr>
          <w:rFonts w:hint="eastAsia" w:ascii="宋体" w:hAnsi="宋体" w:cs="宋体"/>
          <w:b/>
          <w:bCs/>
          <w:spacing w:val="-10"/>
          <w:sz w:val="36"/>
          <w:szCs w:val="36"/>
          <w:highlight w:val="none"/>
        </w:rPr>
        <w:t>月</w:t>
      </w:r>
    </w:p>
    <w:p w14:paraId="1469DC1A">
      <w:pPr>
        <w:pStyle w:val="19"/>
        <w:tabs>
          <w:tab w:val="right" w:leader="dot" w:pos="8640"/>
        </w:tabs>
        <w:snapToGrid w:val="0"/>
        <w:jc w:val="center"/>
        <w:textAlignment w:val="baseline"/>
        <w:rPr>
          <w:rFonts w:ascii="宋体" w:hAnsi="宋体" w:cs="宋体"/>
          <w:b/>
          <w:bCs/>
          <w:sz w:val="44"/>
          <w:szCs w:val="44"/>
          <w:highlight w:val="none"/>
        </w:rPr>
        <w:sectPr>
          <w:headerReference r:id="rId3" w:type="default"/>
          <w:pgSz w:w="12240" w:h="15840"/>
          <w:pgMar w:top="1440" w:right="1800" w:bottom="1440" w:left="1800" w:header="850" w:footer="992" w:gutter="0"/>
          <w:pgBorders>
            <w:top w:val="none" w:sz="0" w:space="0"/>
            <w:left w:val="none" w:sz="0" w:space="0"/>
            <w:bottom w:val="none" w:sz="0" w:space="0"/>
            <w:right w:val="none" w:sz="0" w:space="0"/>
          </w:pgBorders>
          <w:cols w:space="0" w:num="1"/>
          <w:docGrid w:linePitch="312" w:charSpace="0"/>
        </w:sectPr>
      </w:pPr>
    </w:p>
    <w:p w14:paraId="40363B36">
      <w:pPr>
        <w:pStyle w:val="19"/>
        <w:tabs>
          <w:tab w:val="right" w:leader="dot" w:pos="8640"/>
        </w:tabs>
        <w:snapToGrid w:val="0"/>
        <w:jc w:val="center"/>
        <w:textAlignment w:val="baseline"/>
        <w:rPr>
          <w:rFonts w:ascii="宋体" w:hAnsi="宋体" w:cs="宋体"/>
          <w:b/>
          <w:bCs/>
          <w:sz w:val="44"/>
          <w:szCs w:val="44"/>
          <w:highlight w:val="none"/>
        </w:rPr>
      </w:pPr>
      <w:r>
        <w:rPr>
          <w:rFonts w:hint="eastAsia" w:ascii="宋体" w:hAnsi="宋体" w:cs="宋体"/>
          <w:b/>
          <w:bCs/>
          <w:sz w:val="44"/>
          <w:szCs w:val="44"/>
          <w:highlight w:val="none"/>
        </w:rPr>
        <w:t>目录</w:t>
      </w:r>
    </w:p>
    <w:p w14:paraId="0863635B">
      <w:pPr>
        <w:pStyle w:val="19"/>
        <w:tabs>
          <w:tab w:val="right" w:leader="dot" w:pos="8640"/>
        </w:tabs>
        <w:spacing w:line="480" w:lineRule="auto"/>
        <w:rPr>
          <w:rFonts w:ascii="宋体" w:hAnsi="宋体" w:cs="宋体"/>
          <w:sz w:val="24"/>
          <w:szCs w:val="24"/>
          <w:highlight w:val="none"/>
        </w:rPr>
      </w:pPr>
      <w:r>
        <w:rPr>
          <w:rFonts w:hint="eastAsia" w:ascii="宋体" w:hAnsi="宋体" w:cs="宋体"/>
          <w:sz w:val="20"/>
          <w:highlight w:val="none"/>
        </w:rPr>
        <w:fldChar w:fldCharType="begin"/>
      </w:r>
      <w:r>
        <w:rPr>
          <w:rFonts w:hint="eastAsia" w:ascii="宋体" w:hAnsi="宋体" w:cs="宋体"/>
          <w:sz w:val="20"/>
          <w:highlight w:val="none"/>
        </w:rPr>
        <w:instrText xml:space="preserve">TOC \o "1-1" \h \u </w:instrText>
      </w:r>
      <w:r>
        <w:rPr>
          <w:rFonts w:hint="eastAsia" w:ascii="宋体" w:hAnsi="宋体" w:cs="宋体"/>
          <w:sz w:val="20"/>
          <w:highlight w:val="none"/>
        </w:rPr>
        <w:fldChar w:fldCharType="separate"/>
      </w:r>
      <w:r>
        <w:rPr>
          <w:highlight w:val="none"/>
        </w:rPr>
        <w:fldChar w:fldCharType="begin"/>
      </w:r>
      <w:r>
        <w:rPr>
          <w:highlight w:val="none"/>
        </w:rPr>
        <w:instrText xml:space="preserve"> HYPERLINK \l "_Toc4398" </w:instrText>
      </w:r>
      <w:r>
        <w:rPr>
          <w:highlight w:val="none"/>
        </w:rPr>
        <w:fldChar w:fldCharType="separate"/>
      </w:r>
      <w:r>
        <w:rPr>
          <w:rFonts w:hint="eastAsia" w:ascii="宋体" w:hAnsi="宋体" w:cs="宋体"/>
          <w:bCs/>
          <w:sz w:val="24"/>
          <w:szCs w:val="24"/>
          <w:highlight w:val="none"/>
        </w:rPr>
        <w:t>第一章  竞争性谈判公告</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_Toc4398 \h </w:instrText>
      </w:r>
      <w:r>
        <w:rPr>
          <w:rFonts w:hint="eastAsia" w:ascii="宋体" w:hAnsi="宋体" w:cs="宋体"/>
          <w:sz w:val="24"/>
          <w:szCs w:val="24"/>
          <w:highlight w:val="none"/>
        </w:rPr>
        <w:fldChar w:fldCharType="separate"/>
      </w:r>
      <w:r>
        <w:rPr>
          <w:rFonts w:ascii="宋体" w:hAnsi="宋体" w:cs="宋体"/>
          <w:sz w:val="24"/>
          <w:szCs w:val="24"/>
          <w:highlight w:val="none"/>
        </w:rPr>
        <w:t>1</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530AC5B8">
      <w:pPr>
        <w:pStyle w:val="19"/>
        <w:tabs>
          <w:tab w:val="right" w:leader="dot" w:pos="8640"/>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"_Toc14134" </w:instrText>
      </w:r>
      <w:r>
        <w:rPr>
          <w:highlight w:val="none"/>
        </w:rPr>
        <w:fldChar w:fldCharType="separate"/>
      </w:r>
      <w:r>
        <w:rPr>
          <w:rFonts w:hint="eastAsia" w:ascii="宋体" w:hAnsi="宋体" w:cs="宋体"/>
          <w:bCs/>
          <w:sz w:val="24"/>
          <w:szCs w:val="24"/>
          <w:highlight w:val="none"/>
        </w:rPr>
        <w:t>第二章 采购需求</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_Toc14134 \h </w:instrText>
      </w:r>
      <w:r>
        <w:rPr>
          <w:rFonts w:hint="eastAsia" w:ascii="宋体" w:hAnsi="宋体" w:cs="宋体"/>
          <w:sz w:val="24"/>
          <w:szCs w:val="24"/>
          <w:highlight w:val="none"/>
        </w:rPr>
        <w:fldChar w:fldCharType="separate"/>
      </w:r>
      <w:r>
        <w:rPr>
          <w:rFonts w:ascii="宋体" w:hAnsi="宋体" w:cs="宋体"/>
          <w:sz w:val="24"/>
          <w:szCs w:val="24"/>
          <w:highlight w:val="none"/>
        </w:rPr>
        <w:t>4</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36B4F6BA">
      <w:pPr>
        <w:pStyle w:val="19"/>
        <w:tabs>
          <w:tab w:val="right" w:leader="dot" w:pos="8640"/>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"_Toc9859" </w:instrText>
      </w:r>
      <w:r>
        <w:rPr>
          <w:highlight w:val="none"/>
        </w:rPr>
        <w:fldChar w:fldCharType="separate"/>
      </w:r>
      <w:r>
        <w:rPr>
          <w:rFonts w:hint="eastAsia" w:ascii="宋体" w:hAnsi="宋体" w:cs="宋体"/>
          <w:bCs/>
          <w:sz w:val="24"/>
          <w:szCs w:val="24"/>
          <w:highlight w:val="none"/>
        </w:rPr>
        <w:t>第三章  供应商须知</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_Toc9859 \h </w:instrText>
      </w:r>
      <w:r>
        <w:rPr>
          <w:rFonts w:hint="eastAsia" w:ascii="宋体" w:hAnsi="宋体" w:cs="宋体"/>
          <w:sz w:val="24"/>
          <w:szCs w:val="24"/>
          <w:highlight w:val="none"/>
        </w:rPr>
        <w:fldChar w:fldCharType="separate"/>
      </w:r>
      <w:r>
        <w:rPr>
          <w:rFonts w:ascii="宋体" w:hAnsi="宋体" w:cs="宋体"/>
          <w:sz w:val="24"/>
          <w:szCs w:val="24"/>
          <w:highlight w:val="none"/>
        </w:rPr>
        <w:t>6</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306E7D75">
      <w:pPr>
        <w:pStyle w:val="19"/>
        <w:tabs>
          <w:tab w:val="right" w:leader="dot" w:pos="8640"/>
        </w:tabs>
        <w:spacing w:line="480" w:lineRule="auto"/>
        <w:rPr>
          <w:rFonts w:ascii="宋体" w:hAnsi="宋体" w:cs="宋体"/>
          <w:sz w:val="24"/>
          <w:szCs w:val="24"/>
          <w:highlight w:val="none"/>
        </w:rPr>
      </w:pPr>
      <w:r>
        <w:rPr>
          <w:highlight w:val="none"/>
        </w:rPr>
        <w:fldChar w:fldCharType="begin"/>
      </w:r>
      <w:r>
        <w:rPr>
          <w:highlight w:val="none"/>
        </w:rPr>
        <w:instrText xml:space="preserve"> HYPERLINK \l "_Toc2714" </w:instrText>
      </w:r>
      <w:r>
        <w:rPr>
          <w:highlight w:val="none"/>
        </w:rPr>
        <w:fldChar w:fldCharType="separate"/>
      </w:r>
      <w:r>
        <w:rPr>
          <w:rFonts w:hint="eastAsia" w:ascii="宋体" w:hAnsi="宋体" w:cs="宋体"/>
          <w:bCs/>
          <w:sz w:val="24"/>
          <w:szCs w:val="24"/>
          <w:highlight w:val="none"/>
        </w:rPr>
        <w:t>第四章  政府采购合同（主要条款）</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_Toc2714 \h </w:instrText>
      </w:r>
      <w:r>
        <w:rPr>
          <w:rFonts w:hint="eastAsia" w:ascii="宋体" w:hAnsi="宋体" w:cs="宋体"/>
          <w:sz w:val="24"/>
          <w:szCs w:val="24"/>
          <w:highlight w:val="none"/>
        </w:rPr>
        <w:fldChar w:fldCharType="separate"/>
      </w:r>
      <w:r>
        <w:rPr>
          <w:rFonts w:ascii="宋体" w:hAnsi="宋体" w:cs="宋体"/>
          <w:sz w:val="24"/>
          <w:szCs w:val="24"/>
          <w:highlight w:val="none"/>
        </w:rPr>
        <w:t>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785339E2">
      <w:pPr>
        <w:pStyle w:val="19"/>
        <w:tabs>
          <w:tab w:val="right" w:leader="dot" w:pos="8640"/>
        </w:tabs>
        <w:spacing w:line="480" w:lineRule="auto"/>
        <w:rPr>
          <w:highlight w:val="none"/>
        </w:rPr>
      </w:pPr>
      <w:r>
        <w:rPr>
          <w:highlight w:val="none"/>
        </w:rPr>
        <w:fldChar w:fldCharType="begin"/>
      </w:r>
      <w:r>
        <w:rPr>
          <w:highlight w:val="none"/>
        </w:rPr>
        <w:instrText xml:space="preserve"> HYPERLINK \l "_Toc13353" </w:instrText>
      </w:r>
      <w:r>
        <w:rPr>
          <w:highlight w:val="none"/>
        </w:rPr>
        <w:fldChar w:fldCharType="separate"/>
      </w:r>
      <w:r>
        <w:rPr>
          <w:rFonts w:hint="eastAsia" w:ascii="宋体" w:hAnsi="宋体" w:cs="宋体"/>
          <w:bCs/>
          <w:sz w:val="24"/>
          <w:szCs w:val="24"/>
          <w:highlight w:val="none"/>
        </w:rPr>
        <w:t>第五章  谈判响应文件格式</w:t>
      </w:r>
      <w:r>
        <w:rPr>
          <w:rFonts w:hint="eastAsia" w:ascii="宋体" w:hAnsi="宋体" w:cs="宋体"/>
          <w:sz w:val="24"/>
          <w:szCs w:val="24"/>
          <w:highlight w:val="none"/>
        </w:rPr>
        <w:tab/>
      </w: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PAGEREF _Toc13353 \h </w:instrText>
      </w:r>
      <w:r>
        <w:rPr>
          <w:rFonts w:hint="eastAsia" w:ascii="宋体" w:hAnsi="宋体" w:cs="宋体"/>
          <w:sz w:val="24"/>
          <w:szCs w:val="24"/>
          <w:highlight w:val="none"/>
        </w:rPr>
        <w:fldChar w:fldCharType="separate"/>
      </w:r>
      <w:r>
        <w:rPr>
          <w:rFonts w:ascii="宋体" w:hAnsi="宋体" w:cs="宋体"/>
          <w:sz w:val="24"/>
          <w:szCs w:val="24"/>
          <w:highlight w:val="none"/>
        </w:rPr>
        <w:t>8</w:t>
      </w:r>
      <w:r>
        <w:rPr>
          <w:rFonts w:hint="eastAsia" w:ascii="宋体" w:hAnsi="宋体" w:cs="宋体"/>
          <w:sz w:val="24"/>
          <w:szCs w:val="24"/>
          <w:highlight w:val="none"/>
        </w:rPr>
        <w:fldChar w:fldCharType="end"/>
      </w:r>
      <w:r>
        <w:rPr>
          <w:rFonts w:hint="eastAsia" w:ascii="宋体" w:hAnsi="宋体" w:cs="宋体"/>
          <w:sz w:val="24"/>
          <w:szCs w:val="24"/>
          <w:highlight w:val="none"/>
        </w:rPr>
        <w:fldChar w:fldCharType="end"/>
      </w:r>
    </w:p>
    <w:p w14:paraId="7A6179E7">
      <w:pPr>
        <w:pStyle w:val="19"/>
        <w:tabs>
          <w:tab w:val="right" w:leader="dot" w:pos="8640"/>
        </w:tabs>
        <w:rPr>
          <w:highlight w:val="none"/>
        </w:rPr>
      </w:pPr>
    </w:p>
    <w:p w14:paraId="6501198A">
      <w:pPr>
        <w:pStyle w:val="47"/>
        <w:tabs>
          <w:tab w:val="center" w:pos="4320"/>
        </w:tabs>
        <w:snapToGrid w:val="0"/>
        <w:spacing w:line="560" w:lineRule="exact"/>
        <w:textAlignment w:val="baseline"/>
        <w:rPr>
          <w:rFonts w:ascii="宋体" w:hAnsi="宋体" w:cs="宋体"/>
          <w:highlight w:val="none"/>
        </w:rPr>
      </w:pPr>
      <w:r>
        <w:rPr>
          <w:rFonts w:hint="eastAsia" w:ascii="宋体" w:hAnsi="宋体" w:cs="宋体"/>
          <w:highlight w:val="none"/>
        </w:rPr>
        <w:fldChar w:fldCharType="end"/>
      </w:r>
      <w:r>
        <w:rPr>
          <w:rFonts w:hint="eastAsia" w:ascii="宋体" w:hAnsi="宋体" w:cs="宋体"/>
          <w:highlight w:val="none"/>
        </w:rPr>
        <w:tab/>
      </w:r>
    </w:p>
    <w:p w14:paraId="0C5A3C3F">
      <w:pPr>
        <w:pStyle w:val="47"/>
        <w:snapToGrid w:val="0"/>
        <w:jc w:val="center"/>
        <w:textAlignment w:val="baseline"/>
        <w:outlineLvl w:val="0"/>
        <w:rPr>
          <w:rFonts w:ascii="宋体" w:hAnsi="宋体" w:cs="宋体"/>
          <w:b/>
          <w:bCs/>
          <w:sz w:val="36"/>
          <w:szCs w:val="24"/>
          <w:highlight w:val="none"/>
        </w:rPr>
        <w:sectPr>
          <w:footerReference r:id="rId4" w:type="default"/>
          <w:pgSz w:w="12240" w:h="15840"/>
          <w:pgMar w:top="1440" w:right="1800" w:bottom="1440" w:left="1800" w:header="850" w:footer="992" w:gutter="0"/>
          <w:pgBorders>
            <w:top w:val="none" w:sz="0" w:space="0"/>
            <w:left w:val="none" w:sz="0" w:space="0"/>
            <w:bottom w:val="none" w:sz="0" w:space="0"/>
            <w:right w:val="none" w:sz="0" w:space="0"/>
          </w:pgBorders>
          <w:pgNumType w:fmt="decimal" w:start="1"/>
          <w:cols w:space="0" w:num="1"/>
          <w:docGrid w:linePitch="312" w:charSpace="0"/>
        </w:sectPr>
      </w:pPr>
    </w:p>
    <w:p w14:paraId="7B21AA2D">
      <w:pPr>
        <w:pStyle w:val="47"/>
        <w:snapToGrid w:val="0"/>
        <w:spacing w:beforeLines="100" w:afterLines="100" w:line="500" w:lineRule="exact"/>
        <w:jc w:val="center"/>
        <w:textAlignment w:val="baseline"/>
        <w:outlineLvl w:val="0"/>
        <w:rPr>
          <w:rFonts w:ascii="宋体" w:hAnsi="宋体" w:cs="宋体"/>
          <w:b/>
          <w:bCs/>
          <w:sz w:val="36"/>
          <w:szCs w:val="24"/>
          <w:highlight w:val="none"/>
        </w:rPr>
      </w:pPr>
      <w:bookmarkStart w:id="0" w:name="_Toc4398"/>
      <w:r>
        <w:rPr>
          <w:rFonts w:hint="eastAsia" w:ascii="宋体" w:hAnsi="宋体" w:cs="宋体"/>
          <w:b/>
          <w:bCs/>
          <w:sz w:val="36"/>
          <w:szCs w:val="24"/>
          <w:highlight w:val="none"/>
        </w:rPr>
        <w:t>第一章  竞争性谈判公告</w:t>
      </w:r>
      <w:bookmarkEnd w:id="0"/>
    </w:p>
    <w:p w14:paraId="3AB01922">
      <w:pPr>
        <w:widowControl/>
        <w:adjustRightInd w:val="0"/>
        <w:snapToGrid w:val="0"/>
        <w:spacing w:line="460" w:lineRule="exact"/>
        <w:jc w:val="center"/>
        <w:rPr>
          <w:rFonts w:ascii="宋体" w:hAnsi="宋体" w:cs="宋体"/>
          <w:b/>
          <w:kern w:val="0"/>
          <w:szCs w:val="28"/>
          <w:highlight w:val="none"/>
        </w:rPr>
      </w:pPr>
      <w:r>
        <w:rPr>
          <w:rFonts w:hint="eastAsia" w:ascii="宋体" w:hAnsi="宋体" w:cs="宋体"/>
          <w:b/>
          <w:kern w:val="0"/>
          <w:szCs w:val="28"/>
          <w:highlight w:val="none"/>
          <w:lang w:eastAsia="zh-CN"/>
        </w:rPr>
        <w:t>驻马店市中心医院无水乙醇、二甲苯等耗材采购项目</w:t>
      </w:r>
      <w:r>
        <w:rPr>
          <w:rFonts w:hint="eastAsia" w:ascii="宋体" w:hAnsi="宋体" w:cs="宋体"/>
          <w:b/>
          <w:kern w:val="0"/>
          <w:szCs w:val="28"/>
          <w:highlight w:val="none"/>
        </w:rPr>
        <w:t>竞争性谈判公告</w:t>
      </w:r>
    </w:p>
    <w:p w14:paraId="7D47B3E1">
      <w:pPr>
        <w:keepNext w:val="0"/>
        <w:keepLines w:val="0"/>
        <w:pageBreakBefore w:val="0"/>
        <w:kinsoku/>
        <w:overflowPunct/>
        <w:topLinePunct w:val="0"/>
        <w:autoSpaceDE/>
        <w:autoSpaceDN/>
        <w:bidi w:val="0"/>
        <w:snapToGrid w:val="0"/>
        <w:spacing w:line="380" w:lineRule="exact"/>
        <w:ind w:firstLine="420" w:firstLineChars="200"/>
        <w:textAlignment w:val="auto"/>
        <w:rPr>
          <w:rFonts w:ascii="宋体" w:hAnsi="宋体" w:cs="宋体"/>
          <w:sz w:val="21"/>
          <w:szCs w:val="21"/>
          <w:highlight w:val="none"/>
        </w:rPr>
      </w:pPr>
      <w:r>
        <w:rPr>
          <w:rFonts w:hint="eastAsia" w:ascii="宋体" w:hAnsi="宋体" w:cs="宋体"/>
          <w:sz w:val="21"/>
          <w:highlight w:val="none"/>
        </w:rPr>
        <w:t>驻马店市中心医院无水乙醇、二甲苯等耗材采购项目</w:t>
      </w:r>
      <w:r>
        <w:rPr>
          <w:rFonts w:hint="eastAsia" w:ascii="宋体" w:hAnsi="宋体" w:cs="宋体"/>
          <w:sz w:val="21"/>
          <w:szCs w:val="21"/>
          <w:highlight w:val="none"/>
        </w:rPr>
        <w:t>进行院内竞争性谈判采购，欢迎符合资格条件的供应商前来报名并获取采购文件。</w:t>
      </w:r>
    </w:p>
    <w:p w14:paraId="74D35F36">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shd w:val="clear" w:color="auto" w:fill="FFFFFF"/>
        </w:rPr>
      </w:pPr>
      <w:r>
        <w:rPr>
          <w:rFonts w:hint="eastAsia" w:ascii="宋体" w:hAnsi="宋体" w:cs="宋体"/>
          <w:b/>
          <w:bCs/>
          <w:sz w:val="21"/>
          <w:szCs w:val="21"/>
          <w:highlight w:val="none"/>
          <w:shd w:val="clear" w:color="auto" w:fill="FFFFFF"/>
        </w:rPr>
        <w:t>一、项目基本情况</w:t>
      </w:r>
    </w:p>
    <w:p w14:paraId="16A933C8">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lang w:eastAsia="zh-CN"/>
        </w:rPr>
      </w:pPr>
      <w:r>
        <w:rPr>
          <w:rFonts w:hint="eastAsia" w:ascii="宋体" w:hAnsi="宋体" w:cs="宋体"/>
          <w:sz w:val="21"/>
          <w:szCs w:val="21"/>
          <w:highlight w:val="none"/>
          <w:shd w:val="clear" w:color="auto" w:fill="FFFFFF"/>
        </w:rPr>
        <w:t>1、采购项目名称：</w:t>
      </w:r>
      <w:r>
        <w:rPr>
          <w:rFonts w:hint="eastAsia" w:ascii="宋体" w:hAnsi="宋体" w:cs="宋体"/>
          <w:sz w:val="21"/>
          <w:szCs w:val="21"/>
          <w:highlight w:val="none"/>
          <w:shd w:val="clear" w:color="auto" w:fill="FFFFFF"/>
          <w:lang w:eastAsia="zh-CN"/>
        </w:rPr>
        <w:t>驻马店市中心医院无水乙醇、二甲苯等耗材采购项目</w:t>
      </w:r>
    </w:p>
    <w:p w14:paraId="36AC7B2A">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2、采购需求：详见第二章采购需求</w:t>
      </w:r>
    </w:p>
    <w:p w14:paraId="2348A2DD">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bookmarkStart w:id="1" w:name="_Toc26725"/>
      <w:r>
        <w:rPr>
          <w:rFonts w:hint="eastAsia" w:ascii="宋体" w:hAnsi="宋体" w:cs="宋体"/>
          <w:sz w:val="21"/>
          <w:szCs w:val="21"/>
          <w:highlight w:val="none"/>
          <w:shd w:val="clear" w:color="auto" w:fill="FFFFFF"/>
        </w:rPr>
        <w:t>3、预算金额：</w:t>
      </w:r>
      <w:r>
        <w:rPr>
          <w:rFonts w:hint="eastAsia" w:ascii="宋体" w:hAnsi="宋体" w:cs="宋体"/>
          <w:sz w:val="21"/>
          <w:szCs w:val="21"/>
          <w:highlight w:val="none"/>
          <w:shd w:val="clear" w:color="auto" w:fill="FFFFFF"/>
          <w:lang w:val="en-US" w:eastAsia="zh-CN"/>
        </w:rPr>
        <w:t>16万</w:t>
      </w:r>
      <w:r>
        <w:rPr>
          <w:rFonts w:hint="eastAsia" w:ascii="宋体" w:hAnsi="宋体" w:cs="宋体"/>
          <w:sz w:val="21"/>
          <w:szCs w:val="21"/>
          <w:highlight w:val="none"/>
          <w:shd w:val="clear" w:color="auto" w:fill="FFFFFF"/>
        </w:rPr>
        <w:t>元</w:t>
      </w:r>
    </w:p>
    <w:p w14:paraId="68F4BB17">
      <w:pPr>
        <w:keepNext w:val="0"/>
        <w:keepLines w:val="0"/>
        <w:pageBreakBefore w:val="0"/>
        <w:widowControl/>
        <w:numPr>
          <w:ilvl w:val="0"/>
          <w:numId w:val="1"/>
        </w:numPr>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bookmarkStart w:id="2" w:name="_Toc27704"/>
      <w:bookmarkStart w:id="3" w:name="_Toc23626"/>
      <w:bookmarkStart w:id="4" w:name="_Toc16639"/>
      <w:bookmarkStart w:id="5" w:name="_Toc18607"/>
      <w:r>
        <w:rPr>
          <w:rFonts w:hint="eastAsia" w:ascii="宋体" w:hAnsi="宋体" w:cs="宋体"/>
          <w:sz w:val="21"/>
          <w:szCs w:val="21"/>
          <w:highlight w:val="none"/>
          <w:shd w:val="clear" w:color="auto" w:fill="FFFFFF"/>
        </w:rPr>
        <w:t>合同期限：一年</w:t>
      </w:r>
    </w:p>
    <w:p w14:paraId="33DA29ED">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color w:val="000000" w:themeColor="text1"/>
          <w:sz w:val="21"/>
          <w:szCs w:val="21"/>
          <w:highlight w:val="none"/>
          <w:shd w:val="clear" w:color="auto" w:fill="FFFFFF"/>
        </w:rPr>
      </w:pPr>
      <w:r>
        <w:rPr>
          <w:rFonts w:hint="eastAsia" w:ascii="宋体" w:hAnsi="宋体" w:cs="宋体"/>
          <w:b/>
          <w:bCs/>
          <w:color w:val="000000" w:themeColor="text1"/>
          <w:sz w:val="21"/>
          <w:szCs w:val="21"/>
          <w:highlight w:val="none"/>
          <w:shd w:val="clear" w:color="auto" w:fill="FFFFFF"/>
        </w:rPr>
        <w:t>二、</w:t>
      </w:r>
      <w:bookmarkEnd w:id="1"/>
      <w:bookmarkEnd w:id="2"/>
      <w:bookmarkEnd w:id="3"/>
      <w:bookmarkEnd w:id="4"/>
      <w:bookmarkEnd w:id="5"/>
      <w:r>
        <w:rPr>
          <w:rFonts w:hint="eastAsia" w:ascii="宋体" w:hAnsi="宋体" w:cs="宋体"/>
          <w:b/>
          <w:bCs/>
          <w:color w:val="000000" w:themeColor="text1"/>
          <w:sz w:val="21"/>
          <w:szCs w:val="21"/>
          <w:highlight w:val="none"/>
          <w:shd w:val="clear" w:color="auto" w:fill="FFFFFF"/>
        </w:rPr>
        <w:t>供应商资格要求：</w:t>
      </w:r>
    </w:p>
    <w:p w14:paraId="44D35596">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bookmarkStart w:id="6" w:name="_Toc23395"/>
      <w:bookmarkStart w:id="7" w:name="_Toc9562"/>
      <w:bookmarkStart w:id="8" w:name="_Toc7823"/>
      <w:bookmarkStart w:id="9" w:name="_Toc30971"/>
      <w:bookmarkStart w:id="10" w:name="_Toc30643"/>
      <w:r>
        <w:rPr>
          <w:rFonts w:hint="eastAsia" w:ascii="宋体" w:hAnsi="宋体" w:cs="宋体"/>
          <w:sz w:val="21"/>
          <w:szCs w:val="21"/>
          <w:highlight w:val="none"/>
          <w:shd w:val="clear" w:color="auto" w:fill="FFFFFF"/>
        </w:rPr>
        <w:t>1、具有独立承担民事责任的能力（提供营业执照或其他证明材料）；</w:t>
      </w:r>
    </w:p>
    <w:p w14:paraId="0912E82D">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2、具有良好的商业信誉和健全的财务会计制度（提供经审计的2024年或2025年度财务报告或者其基本开户银行出具的资信证明）；</w:t>
      </w:r>
    </w:p>
    <w:p w14:paraId="77DBAA00">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EA6820C">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4、具有履行合同所必需的设备和专业技术能力（提供书面承诺函）；</w:t>
      </w:r>
    </w:p>
    <w:p w14:paraId="3914C8AE">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5、参加本采购活动前三年内，在经营活动中没有重大违法记录（提供书面承诺函）；</w:t>
      </w:r>
    </w:p>
    <w:p w14:paraId="5FF0F6D9">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w:t>
      </w:r>
      <w:r>
        <w:rPr>
          <w:rFonts w:hint="eastAsia" w:ascii="宋体" w:hAnsi="宋体" w:cs="宋体"/>
          <w:sz w:val="21"/>
          <w:szCs w:val="21"/>
          <w:highlight w:val="none"/>
          <w:shd w:val="clear" w:color="auto" w:fill="FFFFFF"/>
          <w:lang w:eastAsia="zh-CN"/>
        </w:rPr>
        <w:t>谈判</w:t>
      </w:r>
      <w:r>
        <w:rPr>
          <w:rFonts w:hint="eastAsia" w:ascii="宋体" w:hAnsi="宋体" w:cs="宋体"/>
          <w:sz w:val="21"/>
          <w:szCs w:val="21"/>
          <w:highlight w:val="none"/>
          <w:shd w:val="clear" w:color="auto" w:fill="FFFFFF"/>
        </w:rPr>
        <w:t>活动）；供应商提供的仅做为信用参考，以采购人或采购代理机构查询结果为准。</w:t>
      </w:r>
    </w:p>
    <w:p w14:paraId="5736F4EC">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7、单位负责人为同一人或者存在直接控股、管理关系的不同供应商，不得参加同一合同项下的</w:t>
      </w:r>
      <w:r>
        <w:rPr>
          <w:rFonts w:hint="eastAsia" w:ascii="宋体" w:hAnsi="宋体" w:cs="宋体"/>
          <w:sz w:val="21"/>
          <w:szCs w:val="21"/>
          <w:highlight w:val="none"/>
          <w:shd w:val="clear" w:color="auto" w:fill="FFFFFF"/>
          <w:lang w:eastAsia="zh-CN"/>
        </w:rPr>
        <w:t>谈判</w:t>
      </w:r>
      <w:r>
        <w:rPr>
          <w:rFonts w:hint="eastAsia" w:ascii="宋体" w:hAnsi="宋体" w:cs="宋体"/>
          <w:sz w:val="21"/>
          <w:szCs w:val="21"/>
          <w:highlight w:val="none"/>
          <w:shd w:val="clear" w:color="auto" w:fill="FFFFFF"/>
        </w:rPr>
        <w:t>（提供承诺函）。</w:t>
      </w:r>
    </w:p>
    <w:p w14:paraId="2D04B9B4">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8、本项目特定资格要求：投标人若为产品制造商的须具备相关部门核发的危险化学品生产许可证、道路危险货物运输许可证，投标人若为产品经销商的应具备相关部门核发的危险化学品经营许可证。</w:t>
      </w:r>
    </w:p>
    <w:p w14:paraId="7F0AA5F7">
      <w:pPr>
        <w:keepNext w:val="0"/>
        <w:keepLines w:val="0"/>
        <w:pageBreakBefore w:val="0"/>
        <w:widowControl/>
        <w:tabs>
          <w:tab w:val="left" w:pos="840"/>
        </w:tabs>
        <w:kinsoku/>
        <w:overflowPunct/>
        <w:topLinePunct w:val="0"/>
        <w:autoSpaceDE/>
        <w:autoSpaceDN/>
        <w:bidi w:val="0"/>
        <w:snapToGrid w:val="0"/>
        <w:spacing w:line="380" w:lineRule="exact"/>
        <w:ind w:firstLine="420" w:firstLineChars="200"/>
        <w:jc w:val="left"/>
        <w:textAlignment w:val="auto"/>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9、不接受联合体谈判。</w:t>
      </w:r>
    </w:p>
    <w:p w14:paraId="3A30FCAA">
      <w:pPr>
        <w:keepNext w:val="0"/>
        <w:keepLines w:val="0"/>
        <w:pageBreakBefore w:val="0"/>
        <w:widowControl/>
        <w:tabs>
          <w:tab w:val="center" w:pos="4320"/>
        </w:tabs>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rPr>
      </w:pPr>
      <w:r>
        <w:rPr>
          <w:rFonts w:hint="eastAsia" w:ascii="宋体" w:hAnsi="宋体" w:cs="宋体"/>
          <w:b/>
          <w:bCs/>
          <w:sz w:val="21"/>
          <w:szCs w:val="21"/>
          <w:highlight w:val="none"/>
        </w:rPr>
        <w:t>三、获取采购文件</w:t>
      </w:r>
      <w:bookmarkEnd w:id="6"/>
      <w:bookmarkEnd w:id="7"/>
      <w:bookmarkEnd w:id="8"/>
      <w:bookmarkEnd w:id="9"/>
      <w:bookmarkEnd w:id="10"/>
      <w:r>
        <w:rPr>
          <w:rFonts w:ascii="宋体" w:hAnsi="宋体" w:cs="宋体"/>
          <w:b/>
          <w:bCs/>
          <w:sz w:val="21"/>
          <w:szCs w:val="21"/>
          <w:highlight w:val="none"/>
        </w:rPr>
        <w:tab/>
      </w:r>
    </w:p>
    <w:p w14:paraId="35C83F5F">
      <w:pPr>
        <w:keepNext w:val="0"/>
        <w:keepLines w:val="0"/>
        <w:pageBreakBefore w:val="0"/>
        <w:widowControl/>
        <w:kinsoku/>
        <w:overflowPunct/>
        <w:topLinePunct w:val="0"/>
        <w:autoSpaceDE/>
        <w:autoSpaceDN/>
        <w:bidi w:val="0"/>
        <w:adjustRightInd w:val="0"/>
        <w:snapToGrid w:val="0"/>
        <w:spacing w:line="380" w:lineRule="exact"/>
        <w:ind w:firstLine="420" w:firstLineChars="200"/>
        <w:jc w:val="left"/>
        <w:textAlignment w:val="auto"/>
        <w:rPr>
          <w:rFonts w:hint="eastAsia" w:ascii="宋体" w:hAnsi="宋体" w:cs="宋体"/>
          <w:sz w:val="21"/>
          <w:szCs w:val="21"/>
          <w:highlight w:val="none"/>
          <w:shd w:val="clear" w:color="auto" w:fill="FFFFFF"/>
        </w:rPr>
        <w:sectPr>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pPr>
    </w:p>
    <w:p w14:paraId="16879BA4">
      <w:pPr>
        <w:keepNext w:val="0"/>
        <w:keepLines w:val="0"/>
        <w:pageBreakBefore w:val="0"/>
        <w:widowControl/>
        <w:kinsoku/>
        <w:overflowPunct/>
        <w:topLinePunct w:val="0"/>
        <w:autoSpaceDE/>
        <w:autoSpaceDN/>
        <w:bidi w:val="0"/>
        <w:adjustRightInd w:val="0"/>
        <w:snapToGrid w:val="0"/>
        <w:spacing w:line="380" w:lineRule="exact"/>
        <w:ind w:firstLine="420" w:firstLineChars="200"/>
        <w:jc w:val="left"/>
        <w:textAlignment w:val="auto"/>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1.</w:t>
      </w:r>
      <w:r>
        <w:rPr>
          <w:rFonts w:hint="eastAsia" w:ascii="宋体" w:hAnsi="宋体" w:cs="宋体"/>
          <w:color w:val="000000" w:themeColor="text1"/>
          <w:sz w:val="21"/>
          <w:szCs w:val="21"/>
          <w:highlight w:val="none"/>
          <w:shd w:val="clear" w:color="auto" w:fill="FFFFFF"/>
        </w:rPr>
        <w:t>报名时间：</w:t>
      </w:r>
      <w:r>
        <w:rPr>
          <w:rFonts w:hint="eastAsia" w:ascii="宋体" w:hAnsi="宋体" w:cs="宋体"/>
          <w:sz w:val="21"/>
          <w:szCs w:val="21"/>
          <w:highlight w:val="none"/>
          <w:shd w:val="clear" w:color="auto" w:fill="FFFFFF"/>
        </w:rPr>
        <w:t>2026年</w:t>
      </w:r>
      <w:r>
        <w:rPr>
          <w:rFonts w:hint="eastAsia" w:ascii="宋体" w:hAnsi="宋体" w:cs="宋体"/>
          <w:sz w:val="21"/>
          <w:szCs w:val="21"/>
          <w:highlight w:val="none"/>
          <w:shd w:val="clear" w:color="auto" w:fill="FFFFFF"/>
          <w:lang w:val="en-US" w:eastAsia="zh-CN"/>
        </w:rPr>
        <w:t>6</w:t>
      </w:r>
      <w:r>
        <w:rPr>
          <w:rFonts w:hint="eastAsia" w:ascii="宋体" w:hAnsi="宋体" w:cs="宋体"/>
          <w:sz w:val="21"/>
          <w:szCs w:val="21"/>
          <w:highlight w:val="none"/>
          <w:shd w:val="clear" w:color="auto" w:fill="FFFFFF"/>
        </w:rPr>
        <w:t>月</w:t>
      </w:r>
      <w:r>
        <w:rPr>
          <w:rFonts w:hint="eastAsia" w:ascii="宋体" w:hAnsi="宋体" w:cs="宋体"/>
          <w:sz w:val="21"/>
          <w:szCs w:val="21"/>
          <w:highlight w:val="none"/>
          <w:shd w:val="clear" w:color="auto" w:fill="FFFFFF"/>
          <w:lang w:val="en-US" w:eastAsia="zh-CN"/>
        </w:rPr>
        <w:t>5</w:t>
      </w:r>
      <w:r>
        <w:rPr>
          <w:rFonts w:hint="eastAsia" w:ascii="宋体" w:hAnsi="宋体" w:cs="宋体"/>
          <w:sz w:val="21"/>
          <w:szCs w:val="21"/>
          <w:highlight w:val="none"/>
          <w:shd w:val="clear" w:color="auto" w:fill="FFFFFF"/>
        </w:rPr>
        <w:t>日-2026年</w:t>
      </w:r>
      <w:r>
        <w:rPr>
          <w:rFonts w:hint="eastAsia" w:ascii="宋体" w:hAnsi="宋体" w:cs="宋体"/>
          <w:sz w:val="21"/>
          <w:szCs w:val="21"/>
          <w:highlight w:val="none"/>
          <w:shd w:val="clear" w:color="auto" w:fill="FFFFFF"/>
          <w:lang w:val="en-US" w:eastAsia="zh-CN"/>
        </w:rPr>
        <w:t>6</w:t>
      </w:r>
      <w:r>
        <w:rPr>
          <w:rFonts w:hint="eastAsia" w:ascii="宋体" w:hAnsi="宋体" w:cs="宋体"/>
          <w:sz w:val="21"/>
          <w:szCs w:val="21"/>
          <w:highlight w:val="none"/>
          <w:shd w:val="clear" w:color="auto" w:fill="FFFFFF"/>
        </w:rPr>
        <w:t>月</w:t>
      </w:r>
      <w:r>
        <w:rPr>
          <w:rFonts w:hint="eastAsia" w:ascii="宋体" w:hAnsi="宋体" w:cs="宋体"/>
          <w:sz w:val="21"/>
          <w:szCs w:val="21"/>
          <w:highlight w:val="none"/>
          <w:shd w:val="clear" w:color="auto" w:fill="FFFFFF"/>
          <w:lang w:val="en-US" w:eastAsia="zh-CN"/>
        </w:rPr>
        <w:t>9</w:t>
      </w:r>
      <w:r>
        <w:rPr>
          <w:rFonts w:hint="eastAsia" w:ascii="宋体" w:hAnsi="宋体" w:cs="宋体"/>
          <w:sz w:val="21"/>
          <w:szCs w:val="21"/>
          <w:highlight w:val="none"/>
          <w:shd w:val="clear" w:color="auto" w:fill="FFFFFF"/>
        </w:rPr>
        <w:t>日，上午08：00-下午17:30（北京时间，法定节假日除外）。</w:t>
      </w:r>
    </w:p>
    <w:p w14:paraId="340D3670">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rPr>
      </w:pPr>
      <w:r>
        <w:rPr>
          <w:rFonts w:hint="eastAsia" w:ascii="宋体" w:hAnsi="宋体" w:cs="宋体"/>
          <w:kern w:val="0"/>
          <w:sz w:val="21"/>
          <w:szCs w:val="21"/>
          <w:highlight w:val="none"/>
          <w:shd w:val="clear" w:color="auto" w:fill="FFFFFF"/>
        </w:rPr>
        <w:t>2.凡报名成功的供应商无故不来参与投标的，列入我院黑名单，一年内不得参与我院任何采购活动。</w:t>
      </w:r>
    </w:p>
    <w:p w14:paraId="5CFF08B0">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3. 采购文件获取方式：供应商须把填写完整的报名登记表及本谈判公告第二项供应商资格要求中需提供加盖单位公章的相关资料扫描件按</w:t>
      </w:r>
      <w:bookmarkStart w:id="111" w:name="_GoBack"/>
      <w:bookmarkEnd w:id="111"/>
      <w:r>
        <w:rPr>
          <w:rFonts w:hint="eastAsia" w:ascii="宋体" w:hAnsi="宋体" w:cs="宋体"/>
          <w:kern w:val="0"/>
          <w:sz w:val="21"/>
          <w:szCs w:val="21"/>
          <w:highlight w:val="none"/>
          <w:shd w:val="clear" w:color="auto" w:fill="FFFFFF"/>
        </w:rPr>
        <w:t>序排版为PDF格式文件，发送至以下邮箱：zxcxmglyxgs@163.com,并标明“XX公司XX项目+联系人及电话”</w:t>
      </w:r>
    </w:p>
    <w:p w14:paraId="27684400">
      <w:pPr>
        <w:keepNext w:val="0"/>
        <w:keepLines w:val="0"/>
        <w:pageBreakBefore w:val="0"/>
        <w:widowControl/>
        <w:kinsoku/>
        <w:wordWrap w:val="0"/>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rPr>
      </w:pPr>
      <w:r>
        <w:rPr>
          <w:rFonts w:hint="eastAsia" w:ascii="宋体" w:hAnsi="宋体" w:cs="宋体"/>
          <w:kern w:val="0"/>
          <w:sz w:val="21"/>
          <w:szCs w:val="21"/>
          <w:highlight w:val="none"/>
          <w:shd w:val="clear" w:color="auto" w:fill="FFFFFF"/>
        </w:rPr>
        <w:t>4.报名登记表：请从附件中下载。</w:t>
      </w:r>
    </w:p>
    <w:p w14:paraId="46AEDADF">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rPr>
      </w:pPr>
      <w:bookmarkStart w:id="11" w:name="_Toc25869"/>
      <w:bookmarkStart w:id="12" w:name="_Toc10738"/>
      <w:bookmarkStart w:id="13" w:name="_Toc15135"/>
      <w:bookmarkStart w:id="14" w:name="_Toc27480"/>
      <w:bookmarkStart w:id="15" w:name="_Toc15111"/>
      <w:r>
        <w:rPr>
          <w:rFonts w:hint="eastAsia" w:ascii="宋体" w:hAnsi="宋体" w:cs="宋体"/>
          <w:b/>
          <w:bCs/>
          <w:sz w:val="21"/>
          <w:szCs w:val="21"/>
          <w:highlight w:val="none"/>
          <w:shd w:val="clear" w:color="auto" w:fill="FFFFFF"/>
        </w:rPr>
        <w:t>四、谈判截止时间及地点</w:t>
      </w:r>
      <w:bookmarkEnd w:id="11"/>
      <w:bookmarkEnd w:id="12"/>
      <w:bookmarkEnd w:id="13"/>
      <w:bookmarkEnd w:id="14"/>
      <w:bookmarkEnd w:id="15"/>
    </w:p>
    <w:p w14:paraId="7AE69B36">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rPr>
      </w:pPr>
      <w:r>
        <w:rPr>
          <w:rFonts w:hint="eastAsia" w:ascii="宋体" w:hAnsi="宋体" w:cs="宋体"/>
          <w:kern w:val="0"/>
          <w:sz w:val="21"/>
          <w:szCs w:val="21"/>
          <w:highlight w:val="none"/>
          <w:shd w:val="clear" w:color="auto" w:fill="FFFFFF"/>
        </w:rPr>
        <w:t>1.时间：</w:t>
      </w:r>
      <w:r>
        <w:rPr>
          <w:rFonts w:hint="eastAsia" w:ascii="宋体" w:hAnsi="宋体" w:cs="宋体"/>
          <w:sz w:val="21"/>
          <w:szCs w:val="21"/>
          <w:highlight w:val="none"/>
        </w:rPr>
        <w:t>另行通知</w:t>
      </w:r>
      <w:r>
        <w:rPr>
          <w:rFonts w:hint="eastAsia" w:ascii="宋体" w:hAnsi="宋体" w:cs="宋体"/>
          <w:kern w:val="0"/>
          <w:sz w:val="21"/>
          <w:szCs w:val="21"/>
          <w:highlight w:val="none"/>
          <w:shd w:val="clear" w:color="auto" w:fill="FFFFFF"/>
        </w:rPr>
        <w:t>。</w:t>
      </w:r>
    </w:p>
    <w:p w14:paraId="53775B6E">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2.地点：</w:t>
      </w:r>
      <w:r>
        <w:rPr>
          <w:rFonts w:hint="eastAsia" w:ascii="宋体" w:hAnsi="宋体" w:cs="宋体"/>
          <w:sz w:val="21"/>
          <w:szCs w:val="21"/>
          <w:highlight w:val="none"/>
        </w:rPr>
        <w:t>另行通知</w:t>
      </w:r>
      <w:r>
        <w:rPr>
          <w:rFonts w:hint="eastAsia" w:ascii="宋体" w:hAnsi="宋体" w:cs="宋体"/>
          <w:kern w:val="0"/>
          <w:sz w:val="21"/>
          <w:szCs w:val="21"/>
          <w:highlight w:val="none"/>
          <w:shd w:val="clear" w:color="auto" w:fill="FFFFFF"/>
        </w:rPr>
        <w:t>。</w:t>
      </w:r>
    </w:p>
    <w:p w14:paraId="30D23DC0">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rPr>
      </w:pPr>
      <w:r>
        <w:rPr>
          <w:rFonts w:hint="eastAsia" w:ascii="宋体" w:hAnsi="宋体" w:cs="宋体"/>
          <w:b/>
          <w:bCs/>
          <w:sz w:val="21"/>
          <w:szCs w:val="21"/>
          <w:highlight w:val="none"/>
          <w:shd w:val="clear" w:color="auto" w:fill="FFFFFF"/>
        </w:rPr>
        <w:t>五、谈判时间及地点</w:t>
      </w:r>
    </w:p>
    <w:p w14:paraId="0F70E69C">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rPr>
      </w:pPr>
      <w:r>
        <w:rPr>
          <w:rFonts w:hint="eastAsia" w:ascii="宋体" w:hAnsi="宋体" w:cs="宋体"/>
          <w:kern w:val="0"/>
          <w:sz w:val="21"/>
          <w:szCs w:val="21"/>
          <w:highlight w:val="none"/>
          <w:shd w:val="clear" w:color="auto" w:fill="FFFFFF"/>
        </w:rPr>
        <w:t>1.时间：</w:t>
      </w:r>
      <w:r>
        <w:rPr>
          <w:rFonts w:hint="eastAsia" w:ascii="宋体" w:hAnsi="宋体" w:cs="宋体"/>
          <w:sz w:val="21"/>
          <w:szCs w:val="21"/>
          <w:highlight w:val="none"/>
        </w:rPr>
        <w:t>另行通知</w:t>
      </w:r>
      <w:r>
        <w:rPr>
          <w:rFonts w:hint="eastAsia" w:ascii="宋体" w:hAnsi="宋体" w:cs="宋体"/>
          <w:kern w:val="0"/>
          <w:sz w:val="21"/>
          <w:szCs w:val="21"/>
          <w:highlight w:val="none"/>
          <w:shd w:val="clear" w:color="auto" w:fill="FFFFFF"/>
        </w:rPr>
        <w:t>。</w:t>
      </w:r>
    </w:p>
    <w:p w14:paraId="6A3C1820">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2.地点：</w:t>
      </w:r>
      <w:r>
        <w:rPr>
          <w:rFonts w:hint="eastAsia" w:ascii="宋体" w:hAnsi="宋体" w:cs="宋体"/>
          <w:sz w:val="21"/>
          <w:szCs w:val="21"/>
          <w:highlight w:val="none"/>
        </w:rPr>
        <w:t>另行通知</w:t>
      </w:r>
      <w:r>
        <w:rPr>
          <w:rFonts w:hint="eastAsia" w:ascii="宋体" w:hAnsi="宋体" w:cs="宋体"/>
          <w:kern w:val="0"/>
          <w:sz w:val="21"/>
          <w:szCs w:val="21"/>
          <w:highlight w:val="none"/>
          <w:shd w:val="clear" w:color="auto" w:fill="FFFFFF"/>
        </w:rPr>
        <w:t>。</w:t>
      </w:r>
    </w:p>
    <w:p w14:paraId="1A81C588">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rPr>
      </w:pPr>
      <w:bookmarkStart w:id="16" w:name="_Toc6523"/>
      <w:bookmarkStart w:id="17" w:name="_Toc30918"/>
      <w:bookmarkStart w:id="18" w:name="_Toc29784"/>
      <w:bookmarkStart w:id="19" w:name="_Toc20287"/>
      <w:r>
        <w:rPr>
          <w:rFonts w:hint="eastAsia" w:ascii="宋体" w:hAnsi="宋体" w:cs="宋体"/>
          <w:b/>
          <w:bCs/>
          <w:sz w:val="21"/>
          <w:szCs w:val="21"/>
          <w:highlight w:val="none"/>
          <w:shd w:val="clear" w:color="auto" w:fill="FFFFFF"/>
        </w:rPr>
        <w:t>六、发布公告的媒介及</w:t>
      </w:r>
      <w:r>
        <w:rPr>
          <w:rFonts w:hint="eastAsia" w:ascii="宋体" w:hAnsi="宋体" w:cs="宋体"/>
          <w:b/>
          <w:bCs/>
          <w:sz w:val="21"/>
          <w:szCs w:val="21"/>
          <w:highlight w:val="none"/>
        </w:rPr>
        <w:t>采购</w:t>
      </w:r>
      <w:r>
        <w:rPr>
          <w:rFonts w:hint="eastAsia" w:ascii="宋体" w:hAnsi="宋体" w:cs="宋体"/>
          <w:b/>
          <w:bCs/>
          <w:sz w:val="21"/>
          <w:szCs w:val="21"/>
          <w:highlight w:val="none"/>
          <w:shd w:val="clear" w:color="auto" w:fill="FFFFFF"/>
        </w:rPr>
        <w:t>公告期限</w:t>
      </w:r>
      <w:bookmarkEnd w:id="16"/>
      <w:bookmarkEnd w:id="17"/>
      <w:bookmarkEnd w:id="18"/>
      <w:bookmarkEnd w:id="19"/>
    </w:p>
    <w:p w14:paraId="0368BA9C">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ascii="宋体" w:hAnsi="宋体" w:cs="宋体"/>
          <w:kern w:val="0"/>
          <w:sz w:val="21"/>
          <w:szCs w:val="21"/>
          <w:highlight w:val="none"/>
          <w:shd w:val="clear" w:color="auto" w:fill="FFFFFF"/>
        </w:rPr>
      </w:pPr>
      <w:r>
        <w:rPr>
          <w:rFonts w:hint="eastAsia" w:ascii="宋体" w:hAnsi="宋体" w:cs="宋体"/>
          <w:kern w:val="0"/>
          <w:sz w:val="21"/>
          <w:szCs w:val="21"/>
          <w:highlight w:val="none"/>
          <w:shd w:val="clear" w:color="auto" w:fill="FFFFFF"/>
        </w:rPr>
        <w:t>本次</w:t>
      </w:r>
      <w:r>
        <w:rPr>
          <w:rFonts w:hint="eastAsia" w:ascii="宋体" w:hAnsi="宋体" w:cs="宋体"/>
          <w:sz w:val="21"/>
          <w:szCs w:val="21"/>
          <w:highlight w:val="none"/>
        </w:rPr>
        <w:t>采购</w:t>
      </w:r>
      <w:r>
        <w:rPr>
          <w:rFonts w:hint="eastAsia" w:ascii="宋体" w:hAnsi="宋体" w:cs="宋体"/>
          <w:kern w:val="0"/>
          <w:sz w:val="21"/>
          <w:szCs w:val="21"/>
          <w:highlight w:val="none"/>
          <w:shd w:val="clear" w:color="auto" w:fill="FFFFFF"/>
        </w:rPr>
        <w:t>公告在《驻马店市中心医院》院内网</w:t>
      </w:r>
      <w:r>
        <w:rPr>
          <w:rFonts w:hint="eastAsia" w:ascii="宋体" w:hAnsi="宋体" w:cs="宋体"/>
          <w:sz w:val="21"/>
          <w:szCs w:val="21"/>
          <w:highlight w:val="none"/>
        </w:rPr>
        <w:t>上发布，采购公告期限为三个工作日</w:t>
      </w:r>
      <w:r>
        <w:rPr>
          <w:rFonts w:hint="eastAsia" w:ascii="宋体" w:hAnsi="宋体" w:cs="宋体"/>
          <w:kern w:val="0"/>
          <w:sz w:val="21"/>
          <w:szCs w:val="21"/>
          <w:highlight w:val="none"/>
          <w:shd w:val="clear" w:color="auto" w:fill="FFFFFF"/>
        </w:rPr>
        <w:t>。</w:t>
      </w:r>
      <w:bookmarkStart w:id="20" w:name="_Toc35393626"/>
      <w:bookmarkStart w:id="21" w:name="_Toc35393795"/>
    </w:p>
    <w:bookmarkEnd w:id="20"/>
    <w:bookmarkEnd w:id="21"/>
    <w:p w14:paraId="1FF0F6F6">
      <w:pPr>
        <w:keepNext w:val="0"/>
        <w:keepLines w:val="0"/>
        <w:pageBreakBefore w:val="0"/>
        <w:widowControl/>
        <w:kinsoku/>
        <w:overflowPunct/>
        <w:topLinePunct w:val="0"/>
        <w:autoSpaceDE/>
        <w:autoSpaceDN/>
        <w:bidi w:val="0"/>
        <w:snapToGrid w:val="0"/>
        <w:spacing w:line="380" w:lineRule="exact"/>
        <w:jc w:val="left"/>
        <w:textAlignment w:val="auto"/>
        <w:outlineLvl w:val="1"/>
        <w:rPr>
          <w:rFonts w:ascii="宋体" w:hAnsi="宋体" w:cs="宋体"/>
          <w:b/>
          <w:bCs/>
          <w:sz w:val="21"/>
          <w:szCs w:val="21"/>
          <w:highlight w:val="none"/>
        </w:rPr>
      </w:pPr>
      <w:bookmarkStart w:id="22" w:name="_Toc27370"/>
      <w:bookmarkStart w:id="23" w:name="_Toc3604"/>
      <w:bookmarkStart w:id="24" w:name="_Toc16291"/>
      <w:bookmarkStart w:id="25" w:name="_Toc24274"/>
      <w:bookmarkStart w:id="26" w:name="_Toc31928"/>
      <w:r>
        <w:rPr>
          <w:rFonts w:hint="eastAsia" w:ascii="宋体" w:hAnsi="宋体" w:cs="宋体"/>
          <w:b/>
          <w:bCs/>
          <w:sz w:val="21"/>
          <w:szCs w:val="21"/>
          <w:highlight w:val="none"/>
          <w:shd w:val="clear" w:color="auto" w:fill="FFFFFF"/>
        </w:rPr>
        <w:t>七、</w:t>
      </w:r>
      <w:bookmarkEnd w:id="22"/>
      <w:bookmarkEnd w:id="23"/>
      <w:bookmarkEnd w:id="24"/>
      <w:bookmarkEnd w:id="25"/>
      <w:bookmarkEnd w:id="26"/>
      <w:r>
        <w:rPr>
          <w:rFonts w:hint="eastAsia" w:ascii="宋体" w:hAnsi="宋体" w:cs="宋体"/>
          <w:b/>
          <w:bCs/>
          <w:sz w:val="21"/>
          <w:szCs w:val="21"/>
          <w:highlight w:val="none"/>
          <w:shd w:val="clear" w:color="auto" w:fill="FFFFFF"/>
        </w:rPr>
        <w:t>凡对本次采购提出询问，请按照以下方式联系</w:t>
      </w:r>
    </w:p>
    <w:p w14:paraId="1CB2A25C">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1.采购人：驻马店市中心医院</w:t>
      </w:r>
    </w:p>
    <w:p w14:paraId="1B66C747">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地址：驻马店市中华大道747号</w:t>
      </w:r>
    </w:p>
    <w:p w14:paraId="4CCCD574">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联系人：陈先生</w:t>
      </w:r>
    </w:p>
    <w:p w14:paraId="6A3F76AD">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电话：0396-2726379</w:t>
      </w:r>
    </w:p>
    <w:p w14:paraId="715C349C">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2.采购代理机构：中信诚项目管理有限公司</w:t>
      </w:r>
    </w:p>
    <w:p w14:paraId="364C0AE6">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地址：驻马店市置地华庭B座</w:t>
      </w:r>
    </w:p>
    <w:p w14:paraId="7BD7CEFF">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联系人：李女士</w:t>
      </w:r>
    </w:p>
    <w:p w14:paraId="1E18BE6C">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联系方式：0396-3676106</w:t>
      </w:r>
    </w:p>
    <w:p w14:paraId="3A9AF79B">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3.监督部门：驻马店市中心医院纪检监察室</w:t>
      </w:r>
    </w:p>
    <w:p w14:paraId="1E3FB36D">
      <w:pPr>
        <w:keepNext w:val="0"/>
        <w:keepLines w:val="0"/>
        <w:pageBreakBefore w:val="0"/>
        <w:widowControl/>
        <w:kinsoku/>
        <w:overflowPunct/>
        <w:topLinePunct w:val="0"/>
        <w:autoSpaceDE/>
        <w:autoSpaceDN/>
        <w:bidi w:val="0"/>
        <w:snapToGrid w:val="0"/>
        <w:spacing w:line="380" w:lineRule="exact"/>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监督电话：0396-2726678</w:t>
      </w:r>
    </w:p>
    <w:p w14:paraId="29F29B86">
      <w:pPr>
        <w:keepNext w:val="0"/>
        <w:keepLines w:val="0"/>
        <w:pageBreakBefore w:val="0"/>
        <w:widowControl/>
        <w:kinsoku/>
        <w:overflowPunct/>
        <w:topLinePunct w:val="0"/>
        <w:autoSpaceDE/>
        <w:autoSpaceDN/>
        <w:bidi w:val="0"/>
        <w:snapToGrid w:val="0"/>
        <w:spacing w:line="380" w:lineRule="exact"/>
        <w:ind w:firstLine="420" w:firstLineChars="200"/>
        <w:jc w:val="right"/>
        <w:textAlignment w:val="auto"/>
        <w:rPr>
          <w:rFonts w:ascii="宋体" w:hAnsi="宋体" w:cs="宋体"/>
          <w:kern w:val="0"/>
          <w:sz w:val="21"/>
          <w:szCs w:val="21"/>
          <w:highlight w:val="none"/>
          <w:shd w:val="clear" w:color="auto" w:fill="FFFFFF"/>
        </w:rPr>
      </w:pPr>
    </w:p>
    <w:p w14:paraId="31A0BF47">
      <w:pPr>
        <w:keepNext w:val="0"/>
        <w:keepLines w:val="0"/>
        <w:pageBreakBefore w:val="0"/>
        <w:widowControl/>
        <w:kinsoku/>
        <w:overflowPunct/>
        <w:topLinePunct w:val="0"/>
        <w:autoSpaceDE/>
        <w:autoSpaceDN/>
        <w:bidi w:val="0"/>
        <w:snapToGrid w:val="0"/>
        <w:spacing w:line="380" w:lineRule="exact"/>
        <w:jc w:val="right"/>
        <w:textAlignment w:val="auto"/>
        <w:rPr>
          <w:rFonts w:ascii="宋体" w:hAnsi="宋体" w:cs="宋体"/>
          <w:color w:val="000000" w:themeColor="text1"/>
          <w:kern w:val="0"/>
          <w:sz w:val="21"/>
          <w:szCs w:val="21"/>
          <w:highlight w:val="none"/>
          <w:shd w:val="clear" w:color="auto" w:fill="FFFFFF"/>
        </w:rPr>
      </w:pPr>
      <w:r>
        <w:rPr>
          <w:rFonts w:hint="eastAsia" w:ascii="宋体" w:hAnsi="宋体" w:cs="宋体"/>
          <w:kern w:val="0"/>
          <w:sz w:val="21"/>
          <w:szCs w:val="21"/>
          <w:highlight w:val="none"/>
          <w:shd w:val="clear" w:color="auto" w:fill="FFFFFF"/>
        </w:rPr>
        <w:t>驻马</w:t>
      </w:r>
      <w:r>
        <w:rPr>
          <w:rFonts w:hint="eastAsia" w:ascii="宋体" w:hAnsi="宋体" w:cs="宋体"/>
          <w:color w:val="000000" w:themeColor="text1"/>
          <w:kern w:val="0"/>
          <w:sz w:val="21"/>
          <w:szCs w:val="21"/>
          <w:highlight w:val="none"/>
          <w:shd w:val="clear" w:color="auto" w:fill="FFFFFF"/>
        </w:rPr>
        <w:t>店市中心医院采购科</w:t>
      </w:r>
    </w:p>
    <w:p w14:paraId="55394A59">
      <w:pPr>
        <w:pStyle w:val="22"/>
        <w:keepNext w:val="0"/>
        <w:keepLines w:val="0"/>
        <w:pageBreakBefore w:val="0"/>
        <w:kinsoku/>
        <w:overflowPunct/>
        <w:topLinePunct w:val="0"/>
        <w:autoSpaceDE/>
        <w:autoSpaceDN/>
        <w:bidi w:val="0"/>
        <w:snapToGrid w:val="0"/>
        <w:spacing w:before="0" w:beforeAutospacing="0" w:after="0" w:afterAutospacing="0" w:line="380" w:lineRule="exact"/>
        <w:ind w:firstLine="420" w:firstLineChars="200"/>
        <w:jc w:val="center"/>
        <w:textAlignment w:val="auto"/>
        <w:rPr>
          <w:rFonts w:ascii="宋体" w:hAnsi="宋体" w:eastAsia="宋体" w:cs="宋体"/>
          <w:color w:val="FF0000"/>
          <w:sz w:val="21"/>
          <w:szCs w:val="21"/>
          <w:highlight w:val="none"/>
          <w:shd w:val="clear" w:color="auto" w:fill="FFFFFF"/>
        </w:rPr>
      </w:pPr>
      <w:r>
        <w:rPr>
          <w:rFonts w:hint="eastAsia" w:ascii="宋体" w:hAnsi="宋体" w:eastAsia="宋体" w:cs="宋体"/>
          <w:sz w:val="21"/>
          <w:szCs w:val="21"/>
          <w:highlight w:val="none"/>
          <w:shd w:val="clear" w:color="auto" w:fill="FFFFFF"/>
        </w:rPr>
        <w:t xml:space="preserve">                                                       2026年</w:t>
      </w:r>
      <w:r>
        <w:rPr>
          <w:rFonts w:hint="eastAsia" w:ascii="宋体" w:hAnsi="宋体" w:eastAsia="宋体" w:cs="宋体"/>
          <w:sz w:val="21"/>
          <w:szCs w:val="21"/>
          <w:highlight w:val="none"/>
          <w:shd w:val="clear" w:color="auto" w:fill="FFFFFF"/>
          <w:lang w:val="en-US" w:eastAsia="zh-CN"/>
        </w:rPr>
        <w:t>6</w:t>
      </w:r>
      <w:r>
        <w:rPr>
          <w:rFonts w:hint="eastAsia" w:ascii="宋体" w:hAnsi="宋体" w:eastAsia="宋体" w:cs="宋体"/>
          <w:sz w:val="21"/>
          <w:szCs w:val="21"/>
          <w:highlight w:val="none"/>
          <w:shd w:val="clear" w:color="auto" w:fill="FFFFFF"/>
        </w:rPr>
        <w:t>月</w:t>
      </w:r>
      <w:r>
        <w:rPr>
          <w:rFonts w:hint="eastAsia" w:ascii="宋体" w:hAnsi="宋体" w:eastAsia="宋体" w:cs="宋体"/>
          <w:sz w:val="21"/>
          <w:szCs w:val="21"/>
          <w:highlight w:val="none"/>
          <w:shd w:val="clear" w:color="auto" w:fill="FFFFFF"/>
          <w:lang w:val="en-US" w:eastAsia="zh-CN"/>
        </w:rPr>
        <w:t>4</w:t>
      </w:r>
      <w:r>
        <w:rPr>
          <w:rFonts w:hint="eastAsia" w:ascii="宋体" w:hAnsi="宋体" w:eastAsia="宋体" w:cs="宋体"/>
          <w:sz w:val="21"/>
          <w:szCs w:val="21"/>
          <w:highlight w:val="none"/>
          <w:shd w:val="clear" w:color="auto" w:fill="FFFFFF"/>
        </w:rPr>
        <w:t>日</w:t>
      </w:r>
    </w:p>
    <w:p w14:paraId="6EDF1786">
      <w:pPr>
        <w:pStyle w:val="14"/>
        <w:rPr>
          <w:highlight w:val="none"/>
        </w:rPr>
        <w:sectPr>
          <w:footerReference r:id="rId5" w:type="default"/>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pPr>
    </w:p>
    <w:p w14:paraId="62789A7B">
      <w:pPr>
        <w:widowControl/>
        <w:snapToGrid w:val="0"/>
        <w:spacing w:beforeLines="50" w:line="360" w:lineRule="auto"/>
        <w:jc w:val="center"/>
        <w:outlineLvl w:val="0"/>
        <w:rPr>
          <w:rFonts w:ascii="宋体" w:hAnsi="宋体" w:cs="宋体"/>
          <w:b/>
          <w:bCs/>
          <w:sz w:val="36"/>
          <w:szCs w:val="24"/>
          <w:highlight w:val="none"/>
        </w:rPr>
      </w:pPr>
      <w:bookmarkStart w:id="27" w:name="_Toc14134"/>
      <w:r>
        <w:rPr>
          <w:rFonts w:hint="eastAsia" w:ascii="宋体" w:hAnsi="宋体" w:cs="宋体"/>
          <w:b/>
          <w:bCs/>
          <w:sz w:val="36"/>
          <w:szCs w:val="24"/>
          <w:highlight w:val="none"/>
        </w:rPr>
        <w:t>第二章 采购需求</w:t>
      </w:r>
      <w:bookmarkEnd w:id="27"/>
    </w:p>
    <w:p w14:paraId="37AF701B">
      <w:pPr>
        <w:pStyle w:val="14"/>
        <w:rPr>
          <w:rFonts w:hint="eastAsia"/>
          <w:highlight w:val="none"/>
          <w:lang w:eastAsia="zh-CN"/>
        </w:rPr>
      </w:pPr>
      <w:r>
        <w:rPr>
          <w:rFonts w:hint="eastAsia"/>
          <w:bCs/>
          <w:szCs w:val="21"/>
          <w:highlight w:val="none"/>
        </w:rPr>
        <w:t>项目名称</w:t>
      </w:r>
      <w:r>
        <w:rPr>
          <w:rFonts w:hint="eastAsia"/>
          <w:szCs w:val="21"/>
          <w:highlight w:val="none"/>
        </w:rPr>
        <w:t>：</w:t>
      </w:r>
      <w:r>
        <w:rPr>
          <w:rFonts w:hint="eastAsia"/>
          <w:highlight w:val="none"/>
          <w:lang w:eastAsia="zh-CN"/>
        </w:rPr>
        <w:t>驻马店市中心医院无水乙醇、二甲苯等耗材采购项目</w:t>
      </w:r>
    </w:p>
    <w:p w14:paraId="421073DA">
      <w:pPr>
        <w:pStyle w:val="14"/>
        <w:rPr>
          <w:rFonts w:hint="eastAsia"/>
          <w:highlight w:val="none"/>
        </w:rPr>
      </w:pPr>
      <w:r>
        <w:rPr>
          <w:rFonts w:hint="eastAsia"/>
          <w:highlight w:val="none"/>
          <w:lang w:val="en-US" w:eastAsia="zh-CN"/>
        </w:rPr>
        <w:t>一、</w:t>
      </w:r>
      <w:r>
        <w:rPr>
          <w:rFonts w:hint="eastAsia"/>
          <w:highlight w:val="none"/>
        </w:rPr>
        <w:t>采购标的清单：</w:t>
      </w:r>
    </w:p>
    <w:tbl>
      <w:tblPr>
        <w:tblStyle w:val="25"/>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672"/>
        <w:gridCol w:w="2769"/>
        <w:gridCol w:w="836"/>
        <w:gridCol w:w="781"/>
        <w:gridCol w:w="1247"/>
        <w:gridCol w:w="1249"/>
        <w:gridCol w:w="1325"/>
      </w:tblGrid>
      <w:tr w14:paraId="7B14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72" w:type="dxa"/>
            <w:vAlign w:val="center"/>
          </w:tcPr>
          <w:p w14:paraId="3348A661">
            <w:pPr>
              <w:pStyle w:val="10"/>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包号</w:t>
            </w:r>
          </w:p>
        </w:tc>
        <w:tc>
          <w:tcPr>
            <w:tcW w:w="672" w:type="dxa"/>
            <w:vAlign w:val="center"/>
          </w:tcPr>
          <w:p w14:paraId="7E2F9A2E">
            <w:pPr>
              <w:pStyle w:val="10"/>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序号</w:t>
            </w:r>
          </w:p>
        </w:tc>
        <w:tc>
          <w:tcPr>
            <w:tcW w:w="2769" w:type="dxa"/>
            <w:vAlign w:val="center"/>
          </w:tcPr>
          <w:p w14:paraId="024C8B70">
            <w:pPr>
              <w:pStyle w:val="10"/>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标的名称</w:t>
            </w:r>
          </w:p>
        </w:tc>
        <w:tc>
          <w:tcPr>
            <w:tcW w:w="836" w:type="dxa"/>
            <w:vAlign w:val="center"/>
          </w:tcPr>
          <w:p w14:paraId="53683AA4">
            <w:pPr>
              <w:pStyle w:val="10"/>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单位</w:t>
            </w:r>
          </w:p>
        </w:tc>
        <w:tc>
          <w:tcPr>
            <w:tcW w:w="781" w:type="dxa"/>
            <w:vAlign w:val="center"/>
          </w:tcPr>
          <w:p w14:paraId="267C3A76">
            <w:pPr>
              <w:pStyle w:val="10"/>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数量</w:t>
            </w:r>
          </w:p>
        </w:tc>
        <w:tc>
          <w:tcPr>
            <w:tcW w:w="1247" w:type="dxa"/>
            <w:vAlign w:val="center"/>
          </w:tcPr>
          <w:p w14:paraId="7663DE5D">
            <w:pPr>
              <w:pStyle w:val="10"/>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控制单价（元）</w:t>
            </w:r>
          </w:p>
        </w:tc>
        <w:tc>
          <w:tcPr>
            <w:tcW w:w="1249" w:type="dxa"/>
            <w:vAlign w:val="center"/>
          </w:tcPr>
          <w:p w14:paraId="3F2D6217">
            <w:pPr>
              <w:pStyle w:val="10"/>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资金性质</w:t>
            </w:r>
          </w:p>
        </w:tc>
        <w:tc>
          <w:tcPr>
            <w:tcW w:w="1325" w:type="dxa"/>
            <w:vAlign w:val="center"/>
          </w:tcPr>
          <w:p w14:paraId="7E96DE0A">
            <w:pPr>
              <w:pStyle w:val="10"/>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国产/进口</w:t>
            </w:r>
          </w:p>
        </w:tc>
      </w:tr>
      <w:tr w14:paraId="385B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72" w:type="dxa"/>
            <w:vMerge w:val="restart"/>
            <w:shd w:val="clear" w:color="auto" w:fill="auto"/>
            <w:vAlign w:val="center"/>
          </w:tcPr>
          <w:p w14:paraId="3690BD1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672" w:type="dxa"/>
            <w:shd w:val="clear" w:color="auto" w:fill="auto"/>
            <w:vAlign w:val="center"/>
          </w:tcPr>
          <w:p w14:paraId="075B4D5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1</w:t>
            </w:r>
          </w:p>
        </w:tc>
        <w:tc>
          <w:tcPr>
            <w:tcW w:w="2769" w:type="dxa"/>
            <w:shd w:val="clear" w:color="auto" w:fill="auto"/>
            <w:vAlign w:val="center"/>
          </w:tcPr>
          <w:p w14:paraId="01E4E75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无水乙醇（2500ML ）</w:t>
            </w:r>
          </w:p>
        </w:tc>
        <w:tc>
          <w:tcPr>
            <w:tcW w:w="836" w:type="dxa"/>
            <w:shd w:val="clear" w:color="auto" w:fill="auto"/>
            <w:vAlign w:val="center"/>
          </w:tcPr>
          <w:p w14:paraId="233A1B7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瓶</w:t>
            </w:r>
          </w:p>
        </w:tc>
        <w:tc>
          <w:tcPr>
            <w:tcW w:w="781" w:type="dxa"/>
            <w:shd w:val="clear" w:color="auto" w:fill="auto"/>
            <w:vAlign w:val="center"/>
          </w:tcPr>
          <w:p w14:paraId="50C4F29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1</w:t>
            </w:r>
          </w:p>
        </w:tc>
        <w:tc>
          <w:tcPr>
            <w:tcW w:w="1247" w:type="dxa"/>
            <w:shd w:val="clear" w:color="auto" w:fill="auto"/>
            <w:vAlign w:val="center"/>
          </w:tcPr>
          <w:p w14:paraId="0810B01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50.00</w:t>
            </w:r>
          </w:p>
        </w:tc>
        <w:tc>
          <w:tcPr>
            <w:tcW w:w="1249" w:type="dxa"/>
            <w:vMerge w:val="restart"/>
            <w:shd w:val="clear" w:color="auto" w:fill="auto"/>
            <w:vAlign w:val="center"/>
          </w:tcPr>
          <w:p w14:paraId="009AA41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sz w:val="24"/>
                <w:szCs w:val="24"/>
                <w:highlight w:val="none"/>
                <w:u w:val="none"/>
                <w:vertAlign w:val="baseline"/>
                <w:lang w:val="en-US" w:eastAsia="zh-CN"/>
              </w:rPr>
              <w:t>自筹</w:t>
            </w:r>
          </w:p>
        </w:tc>
        <w:tc>
          <w:tcPr>
            <w:tcW w:w="1325" w:type="dxa"/>
            <w:vMerge w:val="restart"/>
            <w:shd w:val="clear" w:color="auto" w:fill="auto"/>
            <w:vAlign w:val="center"/>
          </w:tcPr>
          <w:p w14:paraId="2A11E7C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国产</w:t>
            </w:r>
          </w:p>
        </w:tc>
      </w:tr>
      <w:tr w14:paraId="3F64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72" w:type="dxa"/>
            <w:vMerge w:val="continue"/>
            <w:shd w:val="clear" w:color="auto" w:fill="auto"/>
            <w:vAlign w:val="center"/>
          </w:tcPr>
          <w:p w14:paraId="7E3414F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cs="宋体"/>
                <w:color w:val="auto"/>
                <w:sz w:val="24"/>
                <w:szCs w:val="24"/>
                <w:highlight w:val="none"/>
                <w:vertAlign w:val="baseline"/>
                <w:lang w:val="en-US" w:eastAsia="zh-CN"/>
              </w:rPr>
            </w:pPr>
          </w:p>
        </w:tc>
        <w:tc>
          <w:tcPr>
            <w:tcW w:w="672" w:type="dxa"/>
            <w:shd w:val="clear" w:color="auto" w:fill="auto"/>
            <w:vAlign w:val="center"/>
          </w:tcPr>
          <w:p w14:paraId="38B7670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2</w:t>
            </w:r>
          </w:p>
        </w:tc>
        <w:tc>
          <w:tcPr>
            <w:tcW w:w="2769" w:type="dxa"/>
            <w:shd w:val="clear" w:color="auto" w:fill="auto"/>
            <w:vAlign w:val="center"/>
          </w:tcPr>
          <w:p w14:paraId="029B482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无水乙醇（500ML）</w:t>
            </w:r>
          </w:p>
        </w:tc>
        <w:tc>
          <w:tcPr>
            <w:tcW w:w="836" w:type="dxa"/>
            <w:shd w:val="clear" w:color="auto" w:fill="auto"/>
            <w:vAlign w:val="center"/>
          </w:tcPr>
          <w:p w14:paraId="11569D9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瓶</w:t>
            </w:r>
          </w:p>
        </w:tc>
        <w:tc>
          <w:tcPr>
            <w:tcW w:w="781" w:type="dxa"/>
            <w:shd w:val="clear" w:color="auto" w:fill="auto"/>
            <w:vAlign w:val="center"/>
          </w:tcPr>
          <w:p w14:paraId="7873DAF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1</w:t>
            </w:r>
          </w:p>
        </w:tc>
        <w:tc>
          <w:tcPr>
            <w:tcW w:w="1247" w:type="dxa"/>
            <w:shd w:val="clear" w:color="auto" w:fill="auto"/>
            <w:vAlign w:val="center"/>
          </w:tcPr>
          <w:p w14:paraId="7D598AE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15.00</w:t>
            </w:r>
          </w:p>
        </w:tc>
        <w:tc>
          <w:tcPr>
            <w:tcW w:w="1249" w:type="dxa"/>
            <w:vMerge w:val="continue"/>
            <w:shd w:val="clear" w:color="auto" w:fill="auto"/>
            <w:vAlign w:val="center"/>
          </w:tcPr>
          <w:p w14:paraId="7DA9ABE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rPr>
            </w:pPr>
          </w:p>
        </w:tc>
        <w:tc>
          <w:tcPr>
            <w:tcW w:w="1325" w:type="dxa"/>
            <w:vMerge w:val="continue"/>
            <w:shd w:val="clear" w:color="auto" w:fill="auto"/>
            <w:vAlign w:val="center"/>
          </w:tcPr>
          <w:p w14:paraId="6DA702A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rPr>
            </w:pPr>
          </w:p>
        </w:tc>
      </w:tr>
      <w:tr w14:paraId="3D0A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2" w:type="dxa"/>
            <w:vMerge w:val="continue"/>
            <w:shd w:val="clear" w:color="auto" w:fill="auto"/>
            <w:vAlign w:val="center"/>
          </w:tcPr>
          <w:p w14:paraId="69CCC87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cs="宋体"/>
                <w:color w:val="auto"/>
                <w:sz w:val="24"/>
                <w:szCs w:val="24"/>
                <w:highlight w:val="none"/>
                <w:vertAlign w:val="baseline"/>
                <w:lang w:val="en-US" w:eastAsia="zh-CN"/>
              </w:rPr>
            </w:pPr>
          </w:p>
        </w:tc>
        <w:tc>
          <w:tcPr>
            <w:tcW w:w="672" w:type="dxa"/>
            <w:shd w:val="clear" w:color="auto" w:fill="auto"/>
            <w:vAlign w:val="center"/>
          </w:tcPr>
          <w:p w14:paraId="4C118FF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3</w:t>
            </w:r>
          </w:p>
        </w:tc>
        <w:tc>
          <w:tcPr>
            <w:tcW w:w="2769" w:type="dxa"/>
            <w:shd w:val="clear" w:color="auto" w:fill="auto"/>
            <w:vAlign w:val="center"/>
          </w:tcPr>
          <w:p w14:paraId="27850BD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二甲苯（500ML）</w:t>
            </w:r>
          </w:p>
        </w:tc>
        <w:tc>
          <w:tcPr>
            <w:tcW w:w="836" w:type="dxa"/>
            <w:shd w:val="clear" w:color="auto" w:fill="auto"/>
            <w:vAlign w:val="center"/>
          </w:tcPr>
          <w:p w14:paraId="2D68726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瓶</w:t>
            </w:r>
          </w:p>
        </w:tc>
        <w:tc>
          <w:tcPr>
            <w:tcW w:w="781" w:type="dxa"/>
            <w:shd w:val="clear" w:color="auto" w:fill="auto"/>
            <w:vAlign w:val="center"/>
          </w:tcPr>
          <w:p w14:paraId="49E0148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1</w:t>
            </w:r>
          </w:p>
        </w:tc>
        <w:tc>
          <w:tcPr>
            <w:tcW w:w="1247" w:type="dxa"/>
            <w:shd w:val="clear" w:color="auto" w:fill="auto"/>
            <w:vAlign w:val="center"/>
          </w:tcPr>
          <w:p w14:paraId="4F7907F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15.00</w:t>
            </w:r>
          </w:p>
        </w:tc>
        <w:tc>
          <w:tcPr>
            <w:tcW w:w="1249" w:type="dxa"/>
            <w:vMerge w:val="continue"/>
            <w:shd w:val="clear" w:color="auto" w:fill="auto"/>
            <w:vAlign w:val="center"/>
          </w:tcPr>
          <w:p w14:paraId="6154E0C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rPr>
            </w:pPr>
          </w:p>
        </w:tc>
        <w:tc>
          <w:tcPr>
            <w:tcW w:w="1325" w:type="dxa"/>
            <w:vMerge w:val="continue"/>
            <w:shd w:val="clear" w:color="auto" w:fill="auto"/>
            <w:vAlign w:val="center"/>
          </w:tcPr>
          <w:p w14:paraId="54756FD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rPr>
            </w:pPr>
          </w:p>
        </w:tc>
      </w:tr>
      <w:tr w14:paraId="5687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72" w:type="dxa"/>
            <w:vMerge w:val="continue"/>
            <w:shd w:val="clear" w:color="auto" w:fill="auto"/>
            <w:vAlign w:val="center"/>
          </w:tcPr>
          <w:p w14:paraId="4DEA818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cs="宋体"/>
                <w:color w:val="auto"/>
                <w:sz w:val="24"/>
                <w:szCs w:val="24"/>
                <w:highlight w:val="none"/>
                <w:vertAlign w:val="baseline"/>
                <w:lang w:val="en-US" w:eastAsia="zh-CN"/>
              </w:rPr>
            </w:pPr>
          </w:p>
        </w:tc>
        <w:tc>
          <w:tcPr>
            <w:tcW w:w="672" w:type="dxa"/>
            <w:shd w:val="clear" w:color="auto" w:fill="auto"/>
            <w:vAlign w:val="center"/>
          </w:tcPr>
          <w:p w14:paraId="37CEBEC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4</w:t>
            </w:r>
          </w:p>
        </w:tc>
        <w:tc>
          <w:tcPr>
            <w:tcW w:w="2769" w:type="dxa"/>
            <w:shd w:val="clear" w:color="auto" w:fill="auto"/>
            <w:vAlign w:val="center"/>
          </w:tcPr>
          <w:p w14:paraId="130FE32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无水甲醇（500ML）</w:t>
            </w:r>
          </w:p>
        </w:tc>
        <w:tc>
          <w:tcPr>
            <w:tcW w:w="836" w:type="dxa"/>
            <w:shd w:val="clear" w:color="auto" w:fill="auto"/>
            <w:vAlign w:val="center"/>
          </w:tcPr>
          <w:p w14:paraId="56D482A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瓶</w:t>
            </w:r>
          </w:p>
        </w:tc>
        <w:tc>
          <w:tcPr>
            <w:tcW w:w="781" w:type="dxa"/>
            <w:shd w:val="clear" w:color="auto" w:fill="auto"/>
            <w:vAlign w:val="center"/>
          </w:tcPr>
          <w:p w14:paraId="75FCD15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1</w:t>
            </w:r>
          </w:p>
        </w:tc>
        <w:tc>
          <w:tcPr>
            <w:tcW w:w="1247" w:type="dxa"/>
            <w:shd w:val="clear" w:color="auto" w:fill="auto"/>
            <w:vAlign w:val="center"/>
          </w:tcPr>
          <w:p w14:paraId="07D5320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15.00</w:t>
            </w:r>
          </w:p>
        </w:tc>
        <w:tc>
          <w:tcPr>
            <w:tcW w:w="1249" w:type="dxa"/>
            <w:vMerge w:val="continue"/>
            <w:shd w:val="clear" w:color="auto" w:fill="auto"/>
            <w:vAlign w:val="center"/>
          </w:tcPr>
          <w:p w14:paraId="1CA6E72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rPr>
            </w:pPr>
          </w:p>
        </w:tc>
        <w:tc>
          <w:tcPr>
            <w:tcW w:w="1325" w:type="dxa"/>
            <w:vMerge w:val="continue"/>
            <w:shd w:val="clear" w:color="auto" w:fill="auto"/>
            <w:vAlign w:val="center"/>
          </w:tcPr>
          <w:p w14:paraId="1FA9237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rPr>
            </w:pPr>
          </w:p>
        </w:tc>
      </w:tr>
      <w:tr w14:paraId="54E1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2" w:type="dxa"/>
            <w:vMerge w:val="continue"/>
            <w:shd w:val="clear" w:color="auto" w:fill="auto"/>
            <w:vAlign w:val="center"/>
          </w:tcPr>
          <w:p w14:paraId="736B807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cs="宋体"/>
                <w:color w:val="auto"/>
                <w:sz w:val="24"/>
                <w:szCs w:val="24"/>
                <w:highlight w:val="none"/>
                <w:vertAlign w:val="baseline"/>
                <w:lang w:val="en-US" w:eastAsia="zh-CN"/>
              </w:rPr>
            </w:pPr>
          </w:p>
        </w:tc>
        <w:tc>
          <w:tcPr>
            <w:tcW w:w="672" w:type="dxa"/>
            <w:shd w:val="clear" w:color="auto" w:fill="auto"/>
            <w:vAlign w:val="center"/>
          </w:tcPr>
          <w:p w14:paraId="5D76FF2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5</w:t>
            </w:r>
          </w:p>
        </w:tc>
        <w:tc>
          <w:tcPr>
            <w:tcW w:w="2769" w:type="dxa"/>
            <w:shd w:val="clear" w:color="auto" w:fill="auto"/>
            <w:vAlign w:val="center"/>
          </w:tcPr>
          <w:p w14:paraId="0C7ADF3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冰乙酸（500ML）</w:t>
            </w:r>
          </w:p>
        </w:tc>
        <w:tc>
          <w:tcPr>
            <w:tcW w:w="836" w:type="dxa"/>
            <w:shd w:val="clear" w:color="auto" w:fill="auto"/>
            <w:vAlign w:val="center"/>
          </w:tcPr>
          <w:p w14:paraId="792482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瓶</w:t>
            </w:r>
          </w:p>
        </w:tc>
        <w:tc>
          <w:tcPr>
            <w:tcW w:w="781" w:type="dxa"/>
            <w:shd w:val="clear" w:color="auto" w:fill="auto"/>
            <w:vAlign w:val="center"/>
          </w:tcPr>
          <w:p w14:paraId="7A560AC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1</w:t>
            </w:r>
          </w:p>
        </w:tc>
        <w:tc>
          <w:tcPr>
            <w:tcW w:w="1247" w:type="dxa"/>
            <w:shd w:val="clear" w:color="auto" w:fill="auto"/>
            <w:vAlign w:val="center"/>
          </w:tcPr>
          <w:p w14:paraId="7DBED99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20.00</w:t>
            </w:r>
          </w:p>
        </w:tc>
        <w:tc>
          <w:tcPr>
            <w:tcW w:w="1249" w:type="dxa"/>
            <w:vMerge w:val="continue"/>
            <w:shd w:val="clear" w:color="auto" w:fill="auto"/>
            <w:vAlign w:val="center"/>
          </w:tcPr>
          <w:p w14:paraId="07578B0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lang w:val="en-US" w:eastAsia="zh-CN"/>
              </w:rPr>
            </w:pPr>
          </w:p>
        </w:tc>
        <w:tc>
          <w:tcPr>
            <w:tcW w:w="1325" w:type="dxa"/>
            <w:vMerge w:val="continue"/>
            <w:shd w:val="clear" w:color="auto" w:fill="auto"/>
            <w:vAlign w:val="center"/>
          </w:tcPr>
          <w:p w14:paraId="39D7918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lang w:val="en-US" w:eastAsia="zh-CN"/>
              </w:rPr>
            </w:pPr>
          </w:p>
        </w:tc>
      </w:tr>
      <w:tr w14:paraId="35C1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2" w:type="dxa"/>
            <w:vMerge w:val="continue"/>
            <w:shd w:val="clear" w:color="auto" w:fill="auto"/>
            <w:vAlign w:val="center"/>
          </w:tcPr>
          <w:p w14:paraId="133175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cs="宋体"/>
                <w:color w:val="auto"/>
                <w:sz w:val="24"/>
                <w:szCs w:val="24"/>
                <w:highlight w:val="none"/>
                <w:vertAlign w:val="baseline"/>
                <w:lang w:val="en-US" w:eastAsia="zh-CN"/>
              </w:rPr>
            </w:pPr>
          </w:p>
        </w:tc>
        <w:tc>
          <w:tcPr>
            <w:tcW w:w="672" w:type="dxa"/>
            <w:shd w:val="clear" w:color="auto" w:fill="auto"/>
            <w:vAlign w:val="center"/>
          </w:tcPr>
          <w:p w14:paraId="3EB38A0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6</w:t>
            </w:r>
          </w:p>
        </w:tc>
        <w:tc>
          <w:tcPr>
            <w:tcW w:w="2769" w:type="dxa"/>
            <w:shd w:val="clear" w:color="auto" w:fill="auto"/>
            <w:vAlign w:val="center"/>
          </w:tcPr>
          <w:p w14:paraId="275AB96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丙三醇（500ML）</w:t>
            </w:r>
          </w:p>
        </w:tc>
        <w:tc>
          <w:tcPr>
            <w:tcW w:w="836" w:type="dxa"/>
            <w:shd w:val="clear" w:color="auto" w:fill="auto"/>
            <w:vAlign w:val="center"/>
          </w:tcPr>
          <w:p w14:paraId="75AC382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瓶</w:t>
            </w:r>
          </w:p>
        </w:tc>
        <w:tc>
          <w:tcPr>
            <w:tcW w:w="781" w:type="dxa"/>
            <w:shd w:val="clear" w:color="auto" w:fill="auto"/>
            <w:vAlign w:val="center"/>
          </w:tcPr>
          <w:p w14:paraId="0ED0514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1</w:t>
            </w:r>
          </w:p>
        </w:tc>
        <w:tc>
          <w:tcPr>
            <w:tcW w:w="1247" w:type="dxa"/>
            <w:shd w:val="clear" w:color="auto" w:fill="auto"/>
            <w:vAlign w:val="center"/>
          </w:tcPr>
          <w:p w14:paraId="2793CA6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21.00</w:t>
            </w:r>
          </w:p>
        </w:tc>
        <w:tc>
          <w:tcPr>
            <w:tcW w:w="1249" w:type="dxa"/>
            <w:vMerge w:val="continue"/>
            <w:shd w:val="clear" w:color="auto" w:fill="auto"/>
            <w:vAlign w:val="center"/>
          </w:tcPr>
          <w:p w14:paraId="5BDCC3B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lang w:val="en-US" w:eastAsia="zh-CN"/>
              </w:rPr>
            </w:pPr>
          </w:p>
        </w:tc>
        <w:tc>
          <w:tcPr>
            <w:tcW w:w="1325" w:type="dxa"/>
            <w:vMerge w:val="continue"/>
            <w:shd w:val="clear" w:color="auto" w:fill="auto"/>
            <w:vAlign w:val="center"/>
          </w:tcPr>
          <w:p w14:paraId="1E96973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val="0"/>
                <w:bCs w:val="0"/>
                <w:sz w:val="24"/>
                <w:szCs w:val="24"/>
                <w:highlight w:val="none"/>
                <w:lang w:val="en-US" w:eastAsia="zh-CN"/>
              </w:rPr>
            </w:pPr>
          </w:p>
        </w:tc>
      </w:tr>
      <w:tr w14:paraId="0364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2" w:type="dxa"/>
            <w:vMerge w:val="continue"/>
            <w:shd w:val="clear" w:color="auto" w:fill="auto"/>
            <w:vAlign w:val="center"/>
          </w:tcPr>
          <w:p w14:paraId="50FA758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cs="宋体"/>
                <w:color w:val="auto"/>
                <w:sz w:val="24"/>
                <w:szCs w:val="24"/>
                <w:highlight w:val="none"/>
                <w:vertAlign w:val="baseline"/>
                <w:lang w:val="en-US" w:eastAsia="zh-CN"/>
              </w:rPr>
            </w:pPr>
          </w:p>
        </w:tc>
        <w:tc>
          <w:tcPr>
            <w:tcW w:w="672" w:type="dxa"/>
            <w:shd w:val="clear" w:color="auto" w:fill="auto"/>
            <w:vAlign w:val="center"/>
          </w:tcPr>
          <w:p w14:paraId="5716DF9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7</w:t>
            </w:r>
          </w:p>
        </w:tc>
        <w:tc>
          <w:tcPr>
            <w:tcW w:w="2769" w:type="dxa"/>
            <w:shd w:val="clear" w:color="auto" w:fill="auto"/>
            <w:vAlign w:val="center"/>
          </w:tcPr>
          <w:p w14:paraId="55BEB04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异丙醇（500ML）</w:t>
            </w:r>
          </w:p>
        </w:tc>
        <w:tc>
          <w:tcPr>
            <w:tcW w:w="836" w:type="dxa"/>
            <w:shd w:val="clear" w:color="auto" w:fill="auto"/>
            <w:vAlign w:val="center"/>
          </w:tcPr>
          <w:p w14:paraId="12AA01D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瓶</w:t>
            </w:r>
          </w:p>
        </w:tc>
        <w:tc>
          <w:tcPr>
            <w:tcW w:w="781" w:type="dxa"/>
            <w:shd w:val="clear" w:color="auto" w:fill="auto"/>
            <w:vAlign w:val="center"/>
          </w:tcPr>
          <w:p w14:paraId="586AFC2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1</w:t>
            </w:r>
          </w:p>
        </w:tc>
        <w:tc>
          <w:tcPr>
            <w:tcW w:w="1247" w:type="dxa"/>
            <w:shd w:val="clear" w:color="auto" w:fill="auto"/>
            <w:vAlign w:val="center"/>
          </w:tcPr>
          <w:p w14:paraId="3EAAE8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21.00</w:t>
            </w:r>
          </w:p>
        </w:tc>
        <w:tc>
          <w:tcPr>
            <w:tcW w:w="1249" w:type="dxa"/>
            <w:vMerge w:val="continue"/>
            <w:shd w:val="clear" w:color="auto" w:fill="auto"/>
            <w:vAlign w:val="center"/>
          </w:tcPr>
          <w:p w14:paraId="2F1DAF1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p>
        </w:tc>
        <w:tc>
          <w:tcPr>
            <w:tcW w:w="1325" w:type="dxa"/>
            <w:vMerge w:val="continue"/>
            <w:shd w:val="clear" w:color="auto" w:fill="auto"/>
            <w:vAlign w:val="center"/>
          </w:tcPr>
          <w:p w14:paraId="19E41F5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p>
        </w:tc>
      </w:tr>
      <w:tr w14:paraId="5A30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72" w:type="dxa"/>
            <w:vMerge w:val="continue"/>
            <w:shd w:val="clear" w:color="auto" w:fill="auto"/>
            <w:vAlign w:val="center"/>
          </w:tcPr>
          <w:p w14:paraId="0E8D5F9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cs="宋体"/>
                <w:color w:val="auto"/>
                <w:sz w:val="24"/>
                <w:szCs w:val="24"/>
                <w:highlight w:val="none"/>
                <w:vertAlign w:val="baseline"/>
                <w:lang w:val="en-US" w:eastAsia="zh-CN"/>
              </w:rPr>
            </w:pPr>
          </w:p>
        </w:tc>
        <w:tc>
          <w:tcPr>
            <w:tcW w:w="672" w:type="dxa"/>
            <w:shd w:val="clear" w:color="auto" w:fill="auto"/>
            <w:vAlign w:val="center"/>
          </w:tcPr>
          <w:p w14:paraId="7FBEE2F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8</w:t>
            </w:r>
          </w:p>
        </w:tc>
        <w:tc>
          <w:tcPr>
            <w:tcW w:w="2769" w:type="dxa"/>
            <w:shd w:val="clear" w:color="auto" w:fill="auto"/>
            <w:vAlign w:val="center"/>
          </w:tcPr>
          <w:p w14:paraId="19676D1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中性树胶（500ML）</w:t>
            </w:r>
          </w:p>
        </w:tc>
        <w:tc>
          <w:tcPr>
            <w:tcW w:w="836" w:type="dxa"/>
            <w:shd w:val="clear" w:color="auto" w:fill="auto"/>
            <w:vAlign w:val="center"/>
          </w:tcPr>
          <w:p w14:paraId="3005610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瓶</w:t>
            </w:r>
          </w:p>
        </w:tc>
        <w:tc>
          <w:tcPr>
            <w:tcW w:w="781" w:type="dxa"/>
            <w:shd w:val="clear" w:color="auto" w:fill="auto"/>
            <w:vAlign w:val="center"/>
          </w:tcPr>
          <w:p w14:paraId="60A7B77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1</w:t>
            </w:r>
          </w:p>
        </w:tc>
        <w:tc>
          <w:tcPr>
            <w:tcW w:w="1247" w:type="dxa"/>
            <w:shd w:val="clear" w:color="auto" w:fill="auto"/>
            <w:vAlign w:val="center"/>
          </w:tcPr>
          <w:p w14:paraId="6F9A498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60.00</w:t>
            </w:r>
          </w:p>
        </w:tc>
        <w:tc>
          <w:tcPr>
            <w:tcW w:w="1249" w:type="dxa"/>
            <w:vMerge w:val="continue"/>
            <w:shd w:val="clear" w:color="auto" w:fill="auto"/>
            <w:vAlign w:val="center"/>
          </w:tcPr>
          <w:p w14:paraId="0AF0BC4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p>
        </w:tc>
        <w:tc>
          <w:tcPr>
            <w:tcW w:w="1325" w:type="dxa"/>
            <w:vMerge w:val="continue"/>
            <w:shd w:val="clear" w:color="auto" w:fill="auto"/>
            <w:vAlign w:val="center"/>
          </w:tcPr>
          <w:p w14:paraId="60AC0A4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4"/>
                <w:szCs w:val="24"/>
                <w:highlight w:val="none"/>
                <w:u w:val="none"/>
                <w:vertAlign w:val="baseline"/>
                <w:lang w:val="en-US" w:eastAsia="zh-CN"/>
              </w:rPr>
            </w:pPr>
          </w:p>
        </w:tc>
      </w:tr>
      <w:tr w14:paraId="1528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44" w:type="dxa"/>
            <w:gridSpan w:val="2"/>
            <w:vAlign w:val="center"/>
          </w:tcPr>
          <w:p w14:paraId="26DA333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8207" w:type="dxa"/>
            <w:gridSpan w:val="6"/>
            <w:vAlign w:val="center"/>
          </w:tcPr>
          <w:p w14:paraId="048FCEE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cs="宋体"/>
                <w:b w:val="0"/>
                <w:bCs w:val="0"/>
                <w:color w:val="auto"/>
                <w:sz w:val="24"/>
                <w:szCs w:val="24"/>
                <w:highlight w:val="none"/>
                <w:vertAlign w:val="baseline"/>
                <w:lang w:val="en-US" w:eastAsia="zh-CN"/>
              </w:rPr>
            </w:pPr>
            <w:r>
              <w:rPr>
                <w:rFonts w:hint="eastAsia" w:ascii="宋体" w:hAnsi="宋体" w:cs="宋体"/>
                <w:b w:val="0"/>
                <w:bCs w:val="0"/>
                <w:color w:val="auto"/>
                <w:sz w:val="24"/>
                <w:szCs w:val="24"/>
                <w:highlight w:val="none"/>
                <w:vertAlign w:val="baseline"/>
                <w:lang w:val="en-US" w:eastAsia="zh-CN"/>
              </w:rPr>
              <w:t>16万元</w:t>
            </w:r>
          </w:p>
        </w:tc>
      </w:tr>
      <w:tr w14:paraId="1817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344" w:type="dxa"/>
            <w:gridSpan w:val="2"/>
            <w:vAlign w:val="center"/>
          </w:tcPr>
          <w:p w14:paraId="2A99557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c>
          <w:tcPr>
            <w:tcW w:w="8207" w:type="dxa"/>
            <w:gridSpan w:val="6"/>
            <w:vAlign w:val="center"/>
          </w:tcPr>
          <w:p w14:paraId="7EFCA9D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sz w:val="24"/>
                <w:szCs w:val="24"/>
                <w:highlight w:val="none"/>
                <w:u w:val="none"/>
                <w:vertAlign w:val="baseline"/>
                <w:lang w:val="en-US" w:eastAsia="zh-CN"/>
              </w:rPr>
              <w:t>招供货商，</w:t>
            </w:r>
            <w:r>
              <w:rPr>
                <w:rFonts w:hint="default" w:ascii="宋体" w:hAnsi="宋体" w:eastAsia="宋体" w:cs="宋体"/>
                <w:b w:val="0"/>
                <w:bCs w:val="0"/>
                <w:sz w:val="24"/>
                <w:szCs w:val="24"/>
                <w:highlight w:val="none"/>
                <w:u w:val="none"/>
                <w:vertAlign w:val="baseline"/>
                <w:lang w:val="en-US" w:eastAsia="zh-CN"/>
              </w:rPr>
              <w:t>供货期一年，实际用量据实结算</w:t>
            </w:r>
          </w:p>
        </w:tc>
      </w:tr>
    </w:tbl>
    <w:p w14:paraId="574CF409">
      <w:pPr>
        <w:pStyle w:val="14"/>
        <w:rPr>
          <w:rFonts w:hint="eastAsia"/>
          <w:highlight w:val="none"/>
        </w:rPr>
      </w:pPr>
    </w:p>
    <w:p w14:paraId="61920E5F">
      <w:pPr>
        <w:pStyle w:val="14"/>
        <w:rPr>
          <w:rFonts w:hint="eastAsia"/>
          <w:highlight w:val="none"/>
        </w:rPr>
        <w:sectPr>
          <w:footerReference r:id="rId6" w:type="default"/>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pPr>
    </w:p>
    <w:p w14:paraId="78E539D6">
      <w:pPr>
        <w:pStyle w:val="14"/>
        <w:rPr>
          <w:highlight w:val="none"/>
        </w:rPr>
      </w:pPr>
      <w:r>
        <w:rPr>
          <w:rFonts w:hint="eastAsia"/>
          <w:highlight w:val="none"/>
        </w:rPr>
        <w:t xml:space="preserve"> </w:t>
      </w:r>
    </w:p>
    <w:p w14:paraId="48B47889">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2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43A166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59788ED6">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i w:val="0"/>
                <w:iCs w:val="0"/>
                <w:color w:val="000000"/>
                <w:kern w:val="0"/>
                <w:sz w:val="24"/>
                <w:szCs w:val="24"/>
                <w:highlight w:val="none"/>
                <w:u w:val="none"/>
                <w:lang w:val="en-US" w:eastAsia="zh-CN" w:bidi="ar"/>
              </w:rPr>
              <w:t>合同履行期限</w:t>
            </w:r>
          </w:p>
        </w:tc>
        <w:tc>
          <w:tcPr>
            <w:tcW w:w="7354" w:type="dxa"/>
            <w:tcBorders>
              <w:top w:val="single" w:color="auto" w:sz="4" w:space="0"/>
              <w:left w:val="single" w:color="auto" w:sz="4" w:space="0"/>
              <w:bottom w:val="single" w:color="auto" w:sz="4" w:space="0"/>
              <w:right w:val="single" w:color="auto" w:sz="4" w:space="0"/>
            </w:tcBorders>
            <w:vAlign w:val="center"/>
          </w:tcPr>
          <w:p w14:paraId="2F445EAB">
            <w:pPr>
              <w:keepNext w:val="0"/>
              <w:keepLines w:val="0"/>
              <w:widowControl/>
              <w:suppressLineNumbers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cs="宋体"/>
                <w:i w:val="0"/>
                <w:iCs w:val="0"/>
                <w:color w:val="000000"/>
                <w:kern w:val="0"/>
                <w:sz w:val="24"/>
                <w:szCs w:val="24"/>
                <w:highlight w:val="none"/>
                <w:u w:val="none"/>
                <w:lang w:val="en-US" w:eastAsia="zh-CN" w:bidi="ar"/>
              </w:rPr>
              <w:t>一年</w:t>
            </w:r>
          </w:p>
        </w:tc>
      </w:tr>
      <w:tr w14:paraId="3F7DB3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4F9C6564">
            <w:pPr>
              <w:pStyle w:val="10"/>
              <w:ind w:left="0" w:leftChars="0"/>
              <w:jc w:val="center"/>
              <w:outlineLvl w:val="9"/>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质量要求</w:t>
            </w:r>
          </w:p>
        </w:tc>
        <w:tc>
          <w:tcPr>
            <w:tcW w:w="7354" w:type="dxa"/>
            <w:tcBorders>
              <w:top w:val="single" w:color="auto" w:sz="4" w:space="0"/>
              <w:left w:val="single" w:color="auto" w:sz="4" w:space="0"/>
              <w:bottom w:val="single" w:color="auto" w:sz="4" w:space="0"/>
              <w:right w:val="single" w:color="auto" w:sz="4" w:space="0"/>
            </w:tcBorders>
            <w:vAlign w:val="center"/>
          </w:tcPr>
          <w:p w14:paraId="654F9FC3">
            <w:pPr>
              <w:pStyle w:val="10"/>
              <w:ind w:left="0" w:leftChars="0"/>
              <w:jc w:val="left"/>
              <w:outlineLvl w:val="9"/>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符合国家现行标准要求。</w:t>
            </w:r>
          </w:p>
        </w:tc>
      </w:tr>
      <w:tr w14:paraId="279C2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41AF1DC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交货地点</w:t>
            </w:r>
          </w:p>
        </w:tc>
        <w:tc>
          <w:tcPr>
            <w:tcW w:w="7354" w:type="dxa"/>
            <w:tcBorders>
              <w:top w:val="single" w:color="auto" w:sz="4" w:space="0"/>
              <w:left w:val="single" w:color="auto" w:sz="4" w:space="0"/>
              <w:bottom w:val="single" w:color="auto" w:sz="4" w:space="0"/>
              <w:right w:val="single" w:color="auto" w:sz="4" w:space="0"/>
            </w:tcBorders>
            <w:vAlign w:val="center"/>
          </w:tcPr>
          <w:p w14:paraId="4B79EEF3">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医院指定地点。           </w:t>
            </w:r>
          </w:p>
        </w:tc>
      </w:tr>
      <w:tr w14:paraId="2818D5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33EA32A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交货方法</w:t>
            </w:r>
          </w:p>
        </w:tc>
        <w:tc>
          <w:tcPr>
            <w:tcW w:w="7354" w:type="dxa"/>
            <w:tcBorders>
              <w:top w:val="single" w:color="auto" w:sz="4" w:space="0"/>
              <w:left w:val="single" w:color="auto" w:sz="4" w:space="0"/>
              <w:bottom w:val="single" w:color="auto" w:sz="4" w:space="0"/>
              <w:right w:val="single" w:color="auto" w:sz="4" w:space="0"/>
            </w:tcBorders>
            <w:vAlign w:val="center"/>
          </w:tcPr>
          <w:p w14:paraId="569E9953">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送货上门，运费由供应商承担</w:t>
            </w:r>
            <w:r>
              <w:rPr>
                <w:rFonts w:hint="eastAsia" w:ascii="宋体" w:hAnsi="宋体" w:cs="宋体"/>
                <w:i w:val="0"/>
                <w:iCs w:val="0"/>
                <w:color w:val="000000"/>
                <w:kern w:val="0"/>
                <w:sz w:val="24"/>
                <w:szCs w:val="24"/>
                <w:highlight w:val="none"/>
                <w:u w:val="none"/>
                <w:lang w:val="en-US" w:eastAsia="zh-CN" w:bidi="ar"/>
              </w:rPr>
              <w:t>。</w:t>
            </w:r>
          </w:p>
        </w:tc>
      </w:tr>
      <w:tr w14:paraId="533681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vAlign w:val="center"/>
          </w:tcPr>
          <w:p w14:paraId="4B15765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支付方式</w:t>
            </w:r>
          </w:p>
        </w:tc>
        <w:tc>
          <w:tcPr>
            <w:tcW w:w="7354" w:type="dxa"/>
            <w:tcBorders>
              <w:top w:val="single" w:color="auto" w:sz="4" w:space="0"/>
              <w:left w:val="single" w:color="auto" w:sz="4" w:space="0"/>
              <w:bottom w:val="single" w:color="auto" w:sz="4" w:space="0"/>
              <w:right w:val="single" w:color="auto" w:sz="4" w:space="0"/>
            </w:tcBorders>
            <w:vAlign w:val="center"/>
          </w:tcPr>
          <w:p w14:paraId="47653E5B">
            <w:pPr>
              <w:keepNext w:val="0"/>
              <w:keepLines w:val="0"/>
              <w:widowControl/>
              <w:suppressLineNumbers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据实结算，具体以合同签订为准。</w:t>
            </w:r>
          </w:p>
        </w:tc>
      </w:tr>
    </w:tbl>
    <w:p w14:paraId="6B239006">
      <w:pPr>
        <w:pStyle w:val="14"/>
        <w:rPr>
          <w:highlight w:val="none"/>
        </w:rPr>
        <w:sectPr>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pPr>
    </w:p>
    <w:p w14:paraId="6425C98F">
      <w:pPr>
        <w:pStyle w:val="47"/>
        <w:snapToGrid w:val="0"/>
        <w:spacing w:beforeLines="100" w:line="460" w:lineRule="exact"/>
        <w:jc w:val="center"/>
        <w:textAlignment w:val="baseline"/>
        <w:outlineLvl w:val="0"/>
        <w:rPr>
          <w:rFonts w:ascii="宋体" w:hAnsi="宋体" w:cs="宋体"/>
          <w:b/>
          <w:bCs/>
          <w:sz w:val="36"/>
          <w:szCs w:val="24"/>
          <w:highlight w:val="none"/>
        </w:rPr>
      </w:pPr>
      <w:bookmarkStart w:id="28" w:name="_Toc9859"/>
      <w:r>
        <w:rPr>
          <w:rFonts w:hint="eastAsia" w:ascii="宋体" w:hAnsi="宋体" w:cs="宋体"/>
          <w:b/>
          <w:bCs/>
          <w:sz w:val="36"/>
          <w:szCs w:val="24"/>
          <w:highlight w:val="none"/>
        </w:rPr>
        <w:t>第三章  供应商须知</w:t>
      </w:r>
      <w:bookmarkEnd w:id="28"/>
    </w:p>
    <w:p w14:paraId="6B5BF5B5">
      <w:pPr>
        <w:pStyle w:val="3"/>
        <w:snapToGrid w:val="0"/>
        <w:spacing w:before="0" w:after="0" w:line="360" w:lineRule="auto"/>
        <w:jc w:val="center"/>
        <w:textAlignment w:val="baseline"/>
        <w:rPr>
          <w:rFonts w:ascii="宋体" w:hAnsi="宋体" w:eastAsia="宋体" w:cs="宋体"/>
          <w:sz w:val="24"/>
          <w:szCs w:val="24"/>
          <w:highlight w:val="none"/>
        </w:rPr>
      </w:pPr>
      <w:bookmarkStart w:id="29" w:name="_Toc26269"/>
      <w:bookmarkStart w:id="30" w:name="_Toc32463"/>
      <w:bookmarkStart w:id="31" w:name="_Toc8327"/>
      <w:bookmarkStart w:id="32" w:name="_Toc12095"/>
      <w:r>
        <w:rPr>
          <w:rFonts w:hint="eastAsia" w:ascii="宋体" w:hAnsi="宋体" w:eastAsia="宋体" w:cs="宋体"/>
          <w:sz w:val="24"/>
          <w:szCs w:val="24"/>
          <w:highlight w:val="none"/>
        </w:rPr>
        <w:t>&lt;供应商须知前附表&gt;</w:t>
      </w:r>
      <w:bookmarkEnd w:id="29"/>
      <w:bookmarkEnd w:id="30"/>
      <w:bookmarkEnd w:id="31"/>
      <w:bookmarkEnd w:id="32"/>
    </w:p>
    <w:tbl>
      <w:tblPr>
        <w:tblStyle w:val="24"/>
        <w:tblW w:w="9840" w:type="dxa"/>
        <w:jc w:val="center"/>
        <w:tblLayout w:type="fixed"/>
        <w:tblCellMar>
          <w:top w:w="0" w:type="dxa"/>
          <w:left w:w="0" w:type="dxa"/>
          <w:bottom w:w="0" w:type="dxa"/>
          <w:right w:w="0" w:type="dxa"/>
        </w:tblCellMar>
      </w:tblPr>
      <w:tblGrid>
        <w:gridCol w:w="926"/>
        <w:gridCol w:w="8914"/>
      </w:tblGrid>
      <w:tr w14:paraId="6A9F2D42">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14:paraId="03F8FC77">
            <w:pPr>
              <w:widowControl/>
              <w:jc w:val="center"/>
              <w:rPr>
                <w:rFonts w:ascii="宋体" w:hAnsi="宋体" w:cs="宋体"/>
                <w:kern w:val="0"/>
                <w:sz w:val="21"/>
                <w:szCs w:val="21"/>
                <w:highlight w:val="none"/>
              </w:rPr>
            </w:pPr>
            <w:bookmarkStart w:id="33" w:name="_Toc269470294"/>
            <w:bookmarkStart w:id="34" w:name="_Toc9382"/>
            <w:bookmarkStart w:id="35" w:name="_Toc270604575"/>
            <w:r>
              <w:rPr>
                <w:rFonts w:hint="eastAsia" w:ascii="宋体" w:hAnsi="宋体" w:cs="宋体"/>
                <w:kern w:val="0"/>
                <w:sz w:val="21"/>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14:paraId="670810D2">
            <w:pPr>
              <w:widowControl/>
              <w:jc w:val="center"/>
              <w:rPr>
                <w:rFonts w:ascii="宋体" w:hAnsi="宋体" w:cs="宋体"/>
                <w:kern w:val="0"/>
                <w:sz w:val="21"/>
                <w:szCs w:val="21"/>
                <w:highlight w:val="none"/>
              </w:rPr>
            </w:pPr>
            <w:r>
              <w:rPr>
                <w:rFonts w:hint="eastAsia" w:ascii="宋体" w:hAnsi="宋体" w:cs="宋体"/>
                <w:kern w:val="0"/>
                <w:sz w:val="21"/>
                <w:szCs w:val="21"/>
                <w:highlight w:val="none"/>
              </w:rPr>
              <w:t>内容、要求</w:t>
            </w:r>
          </w:p>
        </w:tc>
      </w:tr>
      <w:tr w14:paraId="1DF26BC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01FDEDFA">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5D8710B8">
            <w:pPr>
              <w:widowControl/>
              <w:snapToGrid w:val="0"/>
              <w:spacing w:line="440" w:lineRule="exact"/>
              <w:jc w:val="left"/>
              <w:outlineLvl w:val="0"/>
              <w:rPr>
                <w:rFonts w:hint="eastAsia" w:ascii="宋体" w:hAnsi="宋体" w:cs="宋体"/>
                <w:sz w:val="21"/>
                <w:highlight w:val="none"/>
                <w:lang w:eastAsia="zh-CN"/>
              </w:rPr>
            </w:pPr>
            <w:bookmarkStart w:id="36" w:name="_Toc31727"/>
            <w:bookmarkStart w:id="37" w:name="_Toc9566"/>
            <w:bookmarkStart w:id="38" w:name="_Toc27817"/>
            <w:bookmarkStart w:id="39" w:name="_Toc26910"/>
            <w:bookmarkStart w:id="40" w:name="_Toc22577"/>
            <w:bookmarkStart w:id="41" w:name="_Toc24968"/>
            <w:bookmarkStart w:id="42" w:name="_Toc27740"/>
            <w:bookmarkStart w:id="43" w:name="_Toc30169"/>
            <w:bookmarkStart w:id="44" w:name="_Toc21083"/>
            <w:bookmarkStart w:id="45" w:name="_Toc21994"/>
            <w:bookmarkStart w:id="46" w:name="_Toc31122"/>
            <w:bookmarkStart w:id="47" w:name="_Toc11080"/>
            <w:bookmarkStart w:id="48" w:name="_Toc9357"/>
            <w:r>
              <w:rPr>
                <w:rFonts w:hint="eastAsia" w:ascii="宋体" w:hAnsi="宋体" w:cs="宋体"/>
                <w:sz w:val="21"/>
                <w:szCs w:val="21"/>
                <w:highlight w:val="none"/>
              </w:rPr>
              <w:t>1.1项目名称：</w:t>
            </w:r>
            <w:bookmarkEnd w:id="36"/>
            <w:bookmarkEnd w:id="37"/>
            <w:bookmarkEnd w:id="38"/>
            <w:bookmarkEnd w:id="39"/>
            <w:bookmarkEnd w:id="40"/>
            <w:bookmarkEnd w:id="41"/>
            <w:bookmarkEnd w:id="42"/>
            <w:bookmarkEnd w:id="43"/>
            <w:bookmarkEnd w:id="44"/>
            <w:bookmarkEnd w:id="45"/>
            <w:bookmarkEnd w:id="46"/>
            <w:bookmarkEnd w:id="47"/>
            <w:bookmarkStart w:id="49" w:name="_Toc28320"/>
            <w:bookmarkStart w:id="50" w:name="_Toc29400"/>
            <w:bookmarkStart w:id="51" w:name="_Toc23424"/>
            <w:bookmarkStart w:id="52" w:name="_Toc16110"/>
            <w:bookmarkStart w:id="53" w:name="_Toc29895"/>
            <w:bookmarkStart w:id="54" w:name="_Toc17150"/>
            <w:bookmarkStart w:id="55" w:name="_Toc31384"/>
            <w:bookmarkStart w:id="56" w:name="_Toc21372"/>
            <w:bookmarkStart w:id="57" w:name="_Toc32551"/>
            <w:bookmarkStart w:id="58" w:name="_Toc13960"/>
            <w:bookmarkStart w:id="59" w:name="_Toc4542"/>
            <w:bookmarkStart w:id="60" w:name="_Toc9342"/>
            <w:r>
              <w:rPr>
                <w:rFonts w:hint="eastAsia" w:ascii="宋体" w:hAnsi="宋体" w:cs="宋体"/>
                <w:sz w:val="21"/>
                <w:highlight w:val="none"/>
                <w:lang w:eastAsia="zh-CN"/>
              </w:rPr>
              <w:t>驻马店市中心医院无水乙醇、二甲苯等耗材采购项目</w:t>
            </w:r>
          </w:p>
          <w:p w14:paraId="6D6C20A1">
            <w:pPr>
              <w:widowControl/>
              <w:snapToGrid w:val="0"/>
              <w:spacing w:line="440" w:lineRule="exact"/>
              <w:jc w:val="left"/>
              <w:outlineLvl w:val="0"/>
              <w:rPr>
                <w:rFonts w:ascii="宋体" w:hAnsi="宋体" w:cs="宋体"/>
                <w:sz w:val="21"/>
                <w:szCs w:val="21"/>
                <w:highlight w:val="none"/>
              </w:rPr>
            </w:pPr>
            <w:r>
              <w:rPr>
                <w:rFonts w:hint="eastAsia" w:ascii="宋体" w:hAnsi="宋体" w:cs="宋体"/>
                <w:sz w:val="21"/>
                <w:szCs w:val="21"/>
                <w:highlight w:val="none"/>
              </w:rPr>
              <w:t>1.2采购人名称：</w:t>
            </w:r>
            <w:bookmarkEnd w:id="49"/>
            <w:bookmarkEnd w:id="50"/>
            <w:bookmarkEnd w:id="51"/>
            <w:r>
              <w:rPr>
                <w:rFonts w:hint="eastAsia" w:ascii="宋体" w:hAnsi="宋体" w:cs="宋体"/>
                <w:sz w:val="21"/>
                <w:szCs w:val="21"/>
                <w:highlight w:val="none"/>
              </w:rPr>
              <w:t>驻马店市中心医院</w:t>
            </w:r>
            <w:bookmarkEnd w:id="48"/>
            <w:bookmarkEnd w:id="52"/>
            <w:bookmarkEnd w:id="53"/>
            <w:bookmarkEnd w:id="54"/>
            <w:bookmarkEnd w:id="55"/>
            <w:bookmarkEnd w:id="56"/>
            <w:bookmarkEnd w:id="57"/>
            <w:bookmarkEnd w:id="58"/>
            <w:bookmarkEnd w:id="59"/>
            <w:bookmarkEnd w:id="60"/>
          </w:p>
          <w:p w14:paraId="198331D7">
            <w:pPr>
              <w:widowControl/>
              <w:snapToGrid w:val="0"/>
              <w:spacing w:line="440" w:lineRule="exact"/>
              <w:jc w:val="left"/>
              <w:outlineLvl w:val="0"/>
              <w:rPr>
                <w:rFonts w:ascii="宋体" w:hAnsi="宋体" w:cs="宋体"/>
                <w:sz w:val="21"/>
                <w:szCs w:val="21"/>
                <w:highlight w:val="none"/>
              </w:rPr>
            </w:pPr>
            <w:bookmarkStart w:id="61" w:name="_Toc27606"/>
            <w:bookmarkStart w:id="62" w:name="_Toc9778"/>
            <w:bookmarkStart w:id="63" w:name="_Toc11639"/>
            <w:bookmarkStart w:id="64" w:name="_Toc5153"/>
            <w:bookmarkStart w:id="65" w:name="_Toc8379"/>
            <w:bookmarkStart w:id="66" w:name="_Toc12440"/>
            <w:bookmarkStart w:id="67" w:name="_Toc3148"/>
            <w:bookmarkStart w:id="68" w:name="_Toc29780"/>
            <w:bookmarkStart w:id="69" w:name="_Toc1096"/>
            <w:bookmarkStart w:id="70" w:name="_Toc22834"/>
            <w:bookmarkStart w:id="71" w:name="_Toc26199"/>
            <w:bookmarkStart w:id="72" w:name="_Toc24541"/>
            <w:bookmarkStart w:id="73" w:name="_Toc4944"/>
            <w:r>
              <w:rPr>
                <w:rFonts w:hint="eastAsia" w:ascii="宋体" w:hAnsi="宋体" w:cs="宋体"/>
                <w:sz w:val="21"/>
                <w:szCs w:val="21"/>
                <w:highlight w:val="none"/>
              </w:rPr>
              <w:t>1.3采购范围：详见第二章采购需求</w:t>
            </w:r>
            <w:bookmarkEnd w:id="61"/>
            <w:bookmarkEnd w:id="62"/>
            <w:bookmarkEnd w:id="63"/>
            <w:bookmarkEnd w:id="64"/>
            <w:bookmarkEnd w:id="65"/>
            <w:bookmarkEnd w:id="66"/>
            <w:bookmarkEnd w:id="67"/>
            <w:bookmarkEnd w:id="68"/>
            <w:bookmarkEnd w:id="69"/>
            <w:bookmarkEnd w:id="70"/>
            <w:bookmarkEnd w:id="71"/>
            <w:bookmarkEnd w:id="72"/>
            <w:bookmarkEnd w:id="73"/>
          </w:p>
        </w:tc>
      </w:tr>
      <w:tr w14:paraId="2575D50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7A2A2A1A">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2</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2134E636">
            <w:pPr>
              <w:widowControl/>
              <w:spacing w:line="440" w:lineRule="exact"/>
              <w:rPr>
                <w:rFonts w:ascii="宋体" w:hAnsi="宋体" w:cs="宋体"/>
                <w:kern w:val="0"/>
                <w:sz w:val="21"/>
                <w:szCs w:val="21"/>
                <w:highlight w:val="none"/>
              </w:rPr>
            </w:pPr>
            <w:r>
              <w:rPr>
                <w:rFonts w:hint="eastAsia" w:ascii="宋体" w:hAnsi="宋体" w:cs="宋体"/>
                <w:kern w:val="0"/>
                <w:sz w:val="21"/>
                <w:szCs w:val="21"/>
                <w:highlight w:val="none"/>
              </w:rPr>
              <w:t>合格供应商：具备采购公告第二项规定的条件。</w:t>
            </w:r>
          </w:p>
        </w:tc>
      </w:tr>
      <w:tr w14:paraId="614CD127">
        <w:tblPrEx>
          <w:tblCellMar>
            <w:top w:w="0" w:type="dxa"/>
            <w:left w:w="0" w:type="dxa"/>
            <w:bottom w:w="0" w:type="dxa"/>
            <w:right w:w="0" w:type="dxa"/>
          </w:tblCellMar>
        </w:tblPrEx>
        <w:trPr>
          <w:trHeight w:val="3875"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06D9BEF3">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3</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60471BE5">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cs="宋体"/>
                <w:color w:val="auto"/>
                <w:kern w:val="0"/>
                <w:sz w:val="24"/>
                <w:szCs w:val="24"/>
                <w:highlight w:val="none"/>
                <w:lang w:val="en-US" w:eastAsia="zh-CN"/>
              </w:rPr>
              <w:t xml:space="preserve">16万元 </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:详见第二章采购清单</w:t>
            </w:r>
            <w:r>
              <w:rPr>
                <w:rFonts w:hint="eastAsia" w:ascii="宋体" w:hAnsi="宋体" w:cs="宋体"/>
                <w:color w:val="auto"/>
                <w:sz w:val="24"/>
                <w:szCs w:val="32"/>
                <w:highlight w:val="none"/>
                <w:lang w:val="en-US" w:eastAsia="zh-CN"/>
              </w:rPr>
              <w:t>。</w:t>
            </w:r>
          </w:p>
          <w:p w14:paraId="09C54AC8">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cs="宋体"/>
                <w:color w:val="auto"/>
                <w:kern w:val="0"/>
                <w:sz w:val="24"/>
                <w:szCs w:val="24"/>
                <w:highlight w:val="none"/>
                <w:lang w:val="en-US" w:eastAsia="zh-CN"/>
              </w:rPr>
              <w:t>谈判</w:t>
            </w:r>
            <w:r>
              <w:rPr>
                <w:rFonts w:hint="eastAsia" w:ascii="宋体" w:hAnsi="宋体" w:cs="宋体"/>
                <w:color w:val="auto"/>
                <w:kern w:val="0"/>
                <w:sz w:val="24"/>
                <w:szCs w:val="24"/>
                <w:highlight w:val="none"/>
              </w:rPr>
              <w:t>以</w:t>
            </w:r>
            <w:r>
              <w:rPr>
                <w:rFonts w:hint="eastAsia" w:ascii="宋体" w:hAnsi="宋体" w:cs="宋体"/>
                <w:color w:val="auto"/>
                <w:sz w:val="24"/>
                <w:highlight w:val="none"/>
                <w:lang w:val="en-US" w:eastAsia="zh-CN"/>
              </w:rPr>
              <w:t>综合折扣率</w:t>
            </w:r>
            <w:r>
              <w:rPr>
                <w:rFonts w:hint="eastAsia" w:ascii="宋体" w:hAnsi="宋体" w:cs="宋体"/>
                <w:color w:val="auto"/>
                <w:kern w:val="0"/>
                <w:sz w:val="24"/>
                <w:szCs w:val="24"/>
                <w:highlight w:val="none"/>
              </w:rPr>
              <w:t>报价</w:t>
            </w:r>
            <w:r>
              <w:rPr>
                <w:rFonts w:hint="eastAsia" w:ascii="宋体" w:hAnsi="宋体" w:eastAsia="宋体" w:cs="宋体"/>
                <w:color w:val="auto"/>
                <w:kern w:val="0"/>
                <w:sz w:val="24"/>
                <w:szCs w:val="24"/>
                <w:highlight w:val="none"/>
              </w:rPr>
              <w:t>。</w:t>
            </w:r>
          </w:p>
          <w:p w14:paraId="4E935C34">
            <w:pPr>
              <w:widowControl/>
              <w:snapToGrid w:val="0"/>
              <w:spacing w:line="440" w:lineRule="exact"/>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注：供应商投标报价以采购</w:t>
            </w:r>
            <w:r>
              <w:rPr>
                <w:rFonts w:hint="eastAsia" w:ascii="宋体" w:hAnsi="宋体" w:cs="宋体"/>
                <w:b/>
                <w:bCs/>
                <w:color w:val="auto"/>
                <w:sz w:val="21"/>
                <w:szCs w:val="21"/>
                <w:highlight w:val="none"/>
                <w:lang w:val="en-US" w:eastAsia="zh-CN"/>
              </w:rPr>
              <w:t>标的</w:t>
            </w:r>
            <w:r>
              <w:rPr>
                <w:rFonts w:hint="eastAsia" w:ascii="宋体" w:hAnsi="宋体" w:eastAsia="宋体" w:cs="宋体"/>
                <w:b/>
                <w:bCs/>
                <w:color w:val="auto"/>
                <w:sz w:val="21"/>
                <w:szCs w:val="21"/>
                <w:highlight w:val="none"/>
                <w:lang w:val="en-US" w:eastAsia="zh-CN"/>
              </w:rPr>
              <w:t>清单中控制单价为基准价格，整体报出综合折扣率。供应商所报综合折扣率不得大于100%，否则将被作为无效响应；</w:t>
            </w:r>
          </w:p>
          <w:p w14:paraId="675B5AFE">
            <w:pPr>
              <w:widowControl/>
              <w:snapToGrid w:val="0"/>
              <w:spacing w:line="440" w:lineRule="exact"/>
              <w:ind w:firstLine="42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sz w:val="21"/>
                <w:szCs w:val="21"/>
                <w:highlight w:val="none"/>
                <w:lang w:val="en-US" w:eastAsia="zh-CN"/>
              </w:rPr>
              <w:t>合同价格计算方法：各单项产品合同价格=采购</w:t>
            </w:r>
            <w:r>
              <w:rPr>
                <w:rFonts w:hint="eastAsia" w:ascii="宋体" w:hAnsi="宋体" w:cs="宋体"/>
                <w:b/>
                <w:bCs/>
                <w:color w:val="auto"/>
                <w:sz w:val="21"/>
                <w:szCs w:val="21"/>
                <w:highlight w:val="none"/>
                <w:lang w:val="en-US" w:eastAsia="zh-CN"/>
              </w:rPr>
              <w:t>标的</w:t>
            </w:r>
            <w:r>
              <w:rPr>
                <w:rFonts w:hint="eastAsia" w:ascii="宋体" w:hAnsi="宋体" w:eastAsia="宋体" w:cs="宋体"/>
                <w:b/>
                <w:bCs/>
                <w:color w:val="auto"/>
                <w:sz w:val="21"/>
                <w:szCs w:val="21"/>
                <w:highlight w:val="none"/>
                <w:lang w:val="en-US" w:eastAsia="zh-CN"/>
              </w:rPr>
              <w:t>清单对应的控制单价×综合折扣率。举例如：综合折扣率报价为90％，清单序号1“无水乙醇（2500ML ）”控制单价为</w:t>
            </w:r>
            <w:r>
              <w:rPr>
                <w:rFonts w:hint="eastAsia" w:ascii="宋体" w:hAnsi="宋体" w:cs="宋体"/>
                <w:b/>
                <w:bCs/>
                <w:color w:val="auto"/>
                <w:sz w:val="21"/>
                <w:szCs w:val="21"/>
                <w:highlight w:val="none"/>
                <w:lang w:val="en-US" w:eastAsia="zh-CN"/>
              </w:rPr>
              <w:t>50元</w:t>
            </w:r>
            <w:r>
              <w:rPr>
                <w:rFonts w:hint="eastAsia" w:ascii="宋体" w:hAnsi="宋体" w:eastAsia="宋体" w:cs="宋体"/>
                <w:b/>
                <w:bCs/>
                <w:color w:val="auto"/>
                <w:sz w:val="21"/>
                <w:szCs w:val="21"/>
                <w:highlight w:val="none"/>
                <w:lang w:val="en-US" w:eastAsia="zh-CN"/>
              </w:rPr>
              <w:t>，则其合同价格为</w:t>
            </w:r>
            <w:r>
              <w:rPr>
                <w:rFonts w:hint="eastAsia" w:ascii="宋体" w:hAnsi="宋体" w:cs="宋体"/>
                <w:b/>
                <w:bCs/>
                <w:color w:val="auto"/>
                <w:sz w:val="21"/>
                <w:szCs w:val="21"/>
                <w:highlight w:val="none"/>
                <w:lang w:val="en-US" w:eastAsia="zh-CN"/>
              </w:rPr>
              <w:t>50元</w:t>
            </w:r>
            <w:r>
              <w:rPr>
                <w:rFonts w:hint="eastAsia" w:ascii="宋体" w:hAnsi="宋体" w:eastAsia="宋体" w:cs="宋体"/>
                <w:b/>
                <w:bCs/>
                <w:color w:val="auto"/>
                <w:sz w:val="21"/>
                <w:szCs w:val="21"/>
                <w:highlight w:val="none"/>
                <w:lang w:val="en-US" w:eastAsia="zh-CN"/>
              </w:rPr>
              <w:t>×90％=</w:t>
            </w:r>
            <w:r>
              <w:rPr>
                <w:rFonts w:hint="eastAsia" w:ascii="宋体" w:hAnsi="宋体" w:cs="宋体"/>
                <w:b/>
                <w:bCs/>
                <w:color w:val="auto"/>
                <w:sz w:val="21"/>
                <w:szCs w:val="21"/>
                <w:highlight w:val="none"/>
                <w:lang w:val="en-US" w:eastAsia="zh-CN"/>
              </w:rPr>
              <w:t>45</w:t>
            </w:r>
            <w:r>
              <w:rPr>
                <w:rFonts w:hint="eastAsia" w:ascii="宋体" w:hAnsi="宋体" w:eastAsia="宋体" w:cs="宋体"/>
                <w:b/>
                <w:bCs/>
                <w:color w:val="auto"/>
                <w:sz w:val="21"/>
                <w:szCs w:val="21"/>
                <w:highlight w:val="none"/>
                <w:lang w:val="en-US" w:eastAsia="zh-CN"/>
              </w:rPr>
              <w:t>元（四舍五入保留两位小数），以此类推。</w:t>
            </w:r>
          </w:p>
          <w:p w14:paraId="2275388A">
            <w:pPr>
              <w:widowControl/>
              <w:snapToGrid w:val="0"/>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3.2 供应商的报价超过采购预算，采购人不能支付的，按废标处理。</w:t>
            </w:r>
          </w:p>
          <w:p w14:paraId="01EC76FB">
            <w:pPr>
              <w:widowControl/>
              <w:snapToGrid w:val="0"/>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3.3 本项目由成交供应商缴纳招标代理服务费。</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305"/>
              <w:gridCol w:w="1586"/>
              <w:gridCol w:w="1403"/>
            </w:tblGrid>
            <w:tr w14:paraId="7204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2946" w:type="dxa"/>
                </w:tcPr>
                <w:p w14:paraId="79F1B7C9">
                  <w:pPr>
                    <w:widowControl/>
                    <w:snapToGrid w:val="0"/>
                    <w:rPr>
                      <w:rFonts w:ascii="宋体" w:hAnsi="宋体" w:cs="宋体"/>
                      <w:b/>
                      <w:bCs/>
                      <w:kern w:val="0"/>
                      <w:sz w:val="24"/>
                      <w:szCs w:val="21"/>
                      <w:highlight w:val="none"/>
                    </w:rPr>
                  </w:pPr>
                  <w:r>
                    <w:rPr>
                      <w:b/>
                      <w:bCs/>
                      <w:sz w:val="24"/>
                      <w:szCs w:val="24"/>
                      <w:highlight w:val="none"/>
                    </w:rPr>
                    <w:pict>
                      <v:shape id="_x0000_s2053" o:spid="_x0000_s2053" o:spt="202" type="#_x0000_t202" style="position:absolute;left:0pt;margin-left:54.8pt;margin-top:13.5pt;height:24.05pt;width:76.4pt;z-index:251661312;mso-width-relative:page;mso-height-relative:page;"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AA&#10;">
                        <v:path/>
                        <v:fill focussize="0,0"/>
                        <v:stroke on="f" weight="0.5pt" joinstyle="miter"/>
                        <v:imagedata o:title=""/>
                        <o:lock v:ext="edit"/>
                        <v:textbox>
                          <w:txbxContent>
                            <w:p w14:paraId="30DDBE39">
                              <w:r>
                                <w:rPr>
                                  <w:rFonts w:hint="eastAsia"/>
                                  <w:b/>
                                  <w:bCs/>
                                </w:rPr>
                                <w:t>服务费率类</w:t>
                              </w:r>
                              <w:r>
                                <w:rPr>
                                  <w:rFonts w:hint="eastAsia"/>
                                </w:rPr>
                                <w:t>型</w:t>
                              </w:r>
                            </w:p>
                          </w:txbxContent>
                        </v:textbox>
                      </v:shape>
                    </w:pict>
                  </w:r>
                </w:p>
                <w:p w14:paraId="7D4A5DCC">
                  <w:pPr>
                    <w:widowControl/>
                    <w:snapToGrid w:val="0"/>
                    <w:spacing w:line="440" w:lineRule="exact"/>
                    <w:jc w:val="center"/>
                    <w:rPr>
                      <w:rFonts w:ascii="宋体" w:hAnsi="宋体" w:cs="宋体"/>
                      <w:b/>
                      <w:bCs/>
                      <w:kern w:val="0"/>
                      <w:sz w:val="24"/>
                      <w:szCs w:val="21"/>
                      <w:highlight w:val="none"/>
                    </w:rPr>
                  </w:pPr>
                  <w:bookmarkStart w:id="74" w:name="_Toc22804073"/>
                  <w:bookmarkEnd w:id="74"/>
                  <w:bookmarkStart w:id="75" w:name="_Toc22953395"/>
                  <w:bookmarkEnd w:id="75"/>
                  <w:r>
                    <w:rPr>
                      <w:b/>
                      <w:bCs/>
                      <w:sz w:val="24"/>
                      <w:szCs w:val="24"/>
                      <w:highlight w:val="none"/>
                    </w:rPr>
                    <w:pict>
                      <v:shape id="_x0000_s2054" o:spid="_x0000_s2054" o:spt="202" type="#_x0000_t202" style="position:absolute;left:0pt;margin-left:0.7pt;margin-top:36.7pt;height:22.5pt;width:96.6pt;z-index:251660288;mso-width-relative:page;mso-height-relative:page;" fillcolor="#FFFFFF"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path/>
                        <v:fill on="t" color2="#FFFFFF" focussize="0,0"/>
                        <v:stroke on="f" weight="0.5pt"/>
                        <v:imagedata o:title=""/>
                        <o:lock v:ext="edit" aspectratio="f"/>
                        <v:textbox>
                          <w:txbxContent>
                            <w:p w14:paraId="1E9E4695">
                              <w:pPr>
                                <w:rPr>
                                  <w:b/>
                                  <w:bCs/>
                                </w:rPr>
                              </w:pPr>
                              <w:r>
                                <w:rPr>
                                  <w:rFonts w:hint="eastAsia"/>
                                  <w:b/>
                                  <w:bCs/>
                                </w:rPr>
                                <w:t>中标</w:t>
                              </w:r>
                              <w:r>
                                <w:rPr>
                                  <w:rFonts w:hint="eastAsia"/>
                                  <w:b/>
                                  <w:bCs/>
                                  <w:lang w:val="en-US" w:eastAsia="zh-CN"/>
                                </w:rPr>
                                <w:t>金额</w:t>
                              </w:r>
                            </w:p>
                          </w:txbxContent>
                        </v:textbox>
                      </v:shape>
                    </w:pict>
                  </w:r>
                </w:p>
              </w:tc>
              <w:tc>
                <w:tcPr>
                  <w:tcW w:w="2305" w:type="dxa"/>
                  <w:vAlign w:val="center"/>
                </w:tcPr>
                <w:p w14:paraId="6115EC35">
                  <w:pPr>
                    <w:widowControl/>
                    <w:snapToGrid w:val="0"/>
                    <w:spacing w:line="440" w:lineRule="exact"/>
                    <w:jc w:val="center"/>
                    <w:rPr>
                      <w:rFonts w:ascii="宋体" w:hAnsi="宋体" w:cs="宋体"/>
                      <w:b/>
                      <w:bCs/>
                      <w:kern w:val="0"/>
                      <w:sz w:val="24"/>
                      <w:szCs w:val="21"/>
                      <w:highlight w:val="none"/>
                    </w:rPr>
                  </w:pPr>
                  <w:r>
                    <w:rPr>
                      <w:rFonts w:hint="eastAsia" w:ascii="宋体" w:hAnsi="宋体" w:cs="宋体"/>
                      <w:b/>
                      <w:bCs/>
                      <w:kern w:val="0"/>
                      <w:sz w:val="24"/>
                      <w:szCs w:val="21"/>
                      <w:highlight w:val="none"/>
                    </w:rPr>
                    <w:t>货物招标</w:t>
                  </w:r>
                </w:p>
              </w:tc>
              <w:tc>
                <w:tcPr>
                  <w:tcW w:w="1586" w:type="dxa"/>
                  <w:vAlign w:val="center"/>
                </w:tcPr>
                <w:p w14:paraId="18C0B82B">
                  <w:pPr>
                    <w:widowControl/>
                    <w:snapToGrid w:val="0"/>
                    <w:spacing w:line="440" w:lineRule="exact"/>
                    <w:jc w:val="center"/>
                    <w:rPr>
                      <w:rFonts w:ascii="宋体" w:hAnsi="宋体" w:cs="宋体"/>
                      <w:b/>
                      <w:bCs/>
                      <w:kern w:val="0"/>
                      <w:sz w:val="24"/>
                      <w:szCs w:val="21"/>
                      <w:highlight w:val="none"/>
                    </w:rPr>
                  </w:pPr>
                  <w:r>
                    <w:rPr>
                      <w:rFonts w:hint="eastAsia" w:ascii="宋体" w:hAnsi="宋体" w:cs="宋体"/>
                      <w:b/>
                      <w:bCs/>
                      <w:kern w:val="0"/>
                      <w:sz w:val="24"/>
                      <w:szCs w:val="21"/>
                      <w:highlight w:val="none"/>
                    </w:rPr>
                    <w:t>服务招标</w:t>
                  </w:r>
                </w:p>
              </w:tc>
              <w:tc>
                <w:tcPr>
                  <w:tcW w:w="1403" w:type="dxa"/>
                  <w:vAlign w:val="center"/>
                </w:tcPr>
                <w:p w14:paraId="17FD6839">
                  <w:pPr>
                    <w:widowControl/>
                    <w:snapToGrid w:val="0"/>
                    <w:spacing w:line="440" w:lineRule="exact"/>
                    <w:jc w:val="center"/>
                    <w:rPr>
                      <w:rFonts w:ascii="宋体" w:hAnsi="宋体" w:cs="宋体"/>
                      <w:b/>
                      <w:bCs/>
                      <w:kern w:val="0"/>
                      <w:sz w:val="24"/>
                      <w:szCs w:val="21"/>
                      <w:highlight w:val="none"/>
                    </w:rPr>
                  </w:pPr>
                  <w:r>
                    <w:rPr>
                      <w:rFonts w:hint="eastAsia" w:ascii="宋体" w:hAnsi="宋体" w:cs="宋体"/>
                      <w:b/>
                      <w:bCs/>
                      <w:kern w:val="0"/>
                      <w:sz w:val="24"/>
                      <w:szCs w:val="21"/>
                      <w:highlight w:val="none"/>
                    </w:rPr>
                    <w:t>工程招标</w:t>
                  </w:r>
                </w:p>
              </w:tc>
            </w:tr>
            <w:tr w14:paraId="5733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946" w:type="dxa"/>
                  <w:vAlign w:val="center"/>
                </w:tcPr>
                <w:p w14:paraId="0CC9D519">
                  <w:pPr>
                    <w:widowControl/>
                    <w:snapToGrid w:val="0"/>
                    <w:spacing w:line="440" w:lineRule="exact"/>
                    <w:jc w:val="center"/>
                    <w:rPr>
                      <w:rFonts w:ascii="宋体" w:hAnsi="宋体" w:cs="宋体"/>
                      <w:kern w:val="0"/>
                      <w:sz w:val="24"/>
                      <w:szCs w:val="21"/>
                      <w:highlight w:val="none"/>
                    </w:rPr>
                  </w:pPr>
                  <w:r>
                    <w:rPr>
                      <w:rFonts w:hint="eastAsia" w:ascii="宋体" w:hAnsi="宋体" w:cs="宋体"/>
                      <w:kern w:val="0"/>
                      <w:sz w:val="24"/>
                      <w:szCs w:val="21"/>
                      <w:highlight w:val="none"/>
                    </w:rPr>
                    <w:t>100万元以下</w:t>
                  </w:r>
                </w:p>
              </w:tc>
              <w:tc>
                <w:tcPr>
                  <w:tcW w:w="2305" w:type="dxa"/>
                  <w:vAlign w:val="center"/>
                </w:tcPr>
                <w:p w14:paraId="116EAFFD">
                  <w:pPr>
                    <w:widowControl/>
                    <w:snapToGrid w:val="0"/>
                    <w:spacing w:line="440" w:lineRule="exact"/>
                    <w:jc w:val="center"/>
                    <w:rPr>
                      <w:rFonts w:ascii="宋体" w:hAnsi="宋体" w:cs="宋体"/>
                      <w:kern w:val="0"/>
                      <w:sz w:val="24"/>
                      <w:szCs w:val="21"/>
                      <w:highlight w:val="none"/>
                    </w:rPr>
                  </w:pPr>
                  <w:r>
                    <w:rPr>
                      <w:rFonts w:hint="eastAsia" w:ascii="宋体" w:hAnsi="宋体" w:cs="宋体"/>
                      <w:kern w:val="0"/>
                      <w:sz w:val="24"/>
                      <w:szCs w:val="21"/>
                      <w:highlight w:val="none"/>
                    </w:rPr>
                    <w:t>1.5%</w:t>
                  </w:r>
                </w:p>
              </w:tc>
              <w:tc>
                <w:tcPr>
                  <w:tcW w:w="1586" w:type="dxa"/>
                  <w:vAlign w:val="center"/>
                </w:tcPr>
                <w:p w14:paraId="2C3EC842">
                  <w:pPr>
                    <w:widowControl/>
                    <w:snapToGrid w:val="0"/>
                    <w:spacing w:line="440" w:lineRule="exact"/>
                    <w:jc w:val="center"/>
                    <w:rPr>
                      <w:rFonts w:ascii="宋体" w:hAnsi="宋体" w:cs="宋体"/>
                      <w:kern w:val="0"/>
                      <w:sz w:val="24"/>
                      <w:szCs w:val="21"/>
                      <w:highlight w:val="none"/>
                    </w:rPr>
                  </w:pPr>
                  <w:r>
                    <w:rPr>
                      <w:rFonts w:hint="eastAsia" w:ascii="宋体" w:hAnsi="宋体" w:cs="宋体"/>
                      <w:kern w:val="0"/>
                      <w:sz w:val="24"/>
                      <w:szCs w:val="21"/>
                      <w:highlight w:val="none"/>
                    </w:rPr>
                    <w:t>1.5%</w:t>
                  </w:r>
                </w:p>
              </w:tc>
              <w:tc>
                <w:tcPr>
                  <w:tcW w:w="1403" w:type="dxa"/>
                  <w:vAlign w:val="center"/>
                </w:tcPr>
                <w:p w14:paraId="427A55C2">
                  <w:pPr>
                    <w:widowControl/>
                    <w:snapToGrid w:val="0"/>
                    <w:spacing w:line="440" w:lineRule="exact"/>
                    <w:jc w:val="center"/>
                    <w:rPr>
                      <w:rFonts w:ascii="宋体" w:hAnsi="宋体" w:cs="宋体"/>
                      <w:kern w:val="0"/>
                      <w:sz w:val="24"/>
                      <w:szCs w:val="21"/>
                      <w:highlight w:val="none"/>
                    </w:rPr>
                  </w:pPr>
                  <w:r>
                    <w:rPr>
                      <w:rFonts w:hint="eastAsia" w:ascii="宋体" w:hAnsi="宋体" w:cs="宋体"/>
                      <w:kern w:val="0"/>
                      <w:sz w:val="24"/>
                      <w:szCs w:val="21"/>
                      <w:highlight w:val="none"/>
                    </w:rPr>
                    <w:t>1.0%</w:t>
                  </w:r>
                </w:p>
              </w:tc>
            </w:tr>
          </w:tbl>
          <w:p w14:paraId="410F1C0F">
            <w:pPr>
              <w:widowControl/>
              <w:snapToGrid w:val="0"/>
              <w:spacing w:line="440" w:lineRule="exact"/>
              <w:jc w:val="left"/>
              <w:rPr>
                <w:rFonts w:ascii="宋体" w:hAnsi="宋体" w:cs="宋体"/>
                <w:kern w:val="0"/>
                <w:sz w:val="21"/>
                <w:szCs w:val="21"/>
                <w:highlight w:val="none"/>
              </w:rPr>
            </w:pPr>
          </w:p>
        </w:tc>
      </w:tr>
      <w:tr w14:paraId="3850AA0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390D52E4">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4</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47053717">
            <w:pPr>
              <w:widowControl/>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现场踏勘或标前答疑：本项目不组织现场踏勘或标前答疑会。</w:t>
            </w:r>
          </w:p>
        </w:tc>
      </w:tr>
      <w:tr w14:paraId="4ACF71A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40E4436E">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5</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68930485">
            <w:pPr>
              <w:widowControl/>
              <w:snapToGrid w:val="0"/>
              <w:spacing w:line="440" w:lineRule="exact"/>
              <w:jc w:val="left"/>
              <w:rPr>
                <w:rFonts w:ascii="宋体" w:hAnsi="宋体" w:cs="宋体"/>
                <w:sz w:val="21"/>
                <w:szCs w:val="21"/>
                <w:highlight w:val="none"/>
              </w:rPr>
            </w:pPr>
            <w:r>
              <w:rPr>
                <w:rFonts w:hint="eastAsia" w:ascii="宋体" w:hAnsi="宋体" w:cs="宋体"/>
                <w:sz w:val="21"/>
                <w:szCs w:val="21"/>
                <w:highlight w:val="none"/>
              </w:rPr>
              <w:t>响应文件组成：纸质响应文件正本1份、副本2份。</w:t>
            </w:r>
          </w:p>
        </w:tc>
      </w:tr>
      <w:tr w14:paraId="6AAFF0F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392DA57B">
            <w:pPr>
              <w:widowControl/>
              <w:snapToGrid w:val="0"/>
              <w:jc w:val="center"/>
              <w:rPr>
                <w:rFonts w:ascii="宋体" w:hAnsi="宋体" w:cs="宋体"/>
                <w:kern w:val="0"/>
                <w:sz w:val="21"/>
                <w:szCs w:val="21"/>
                <w:highlight w:val="none"/>
              </w:rPr>
            </w:pPr>
            <w:r>
              <w:rPr>
                <w:rFonts w:hint="eastAsia" w:ascii="宋体" w:hAnsi="宋体" w:cs="宋体"/>
                <w:kern w:val="0"/>
                <w:sz w:val="21"/>
                <w:szCs w:val="21"/>
                <w:highlight w:val="none"/>
              </w:rPr>
              <w:t>6</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01DFEFC5">
            <w:pPr>
              <w:widowControl/>
              <w:snapToGrid w:val="0"/>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谈判截止时间及开标时间：</w:t>
            </w:r>
            <w:r>
              <w:rPr>
                <w:rFonts w:hint="eastAsia" w:ascii="宋体" w:hAnsi="宋体" w:cs="宋体"/>
                <w:sz w:val="21"/>
                <w:szCs w:val="21"/>
                <w:highlight w:val="none"/>
              </w:rPr>
              <w:t>另行通知。</w:t>
            </w:r>
          </w:p>
          <w:p w14:paraId="4761016C">
            <w:pPr>
              <w:widowControl/>
              <w:snapToGrid w:val="0"/>
              <w:spacing w:line="440" w:lineRule="exact"/>
              <w:jc w:val="left"/>
              <w:rPr>
                <w:rFonts w:ascii="宋体" w:hAnsi="宋体" w:cs="宋体"/>
                <w:kern w:val="0"/>
                <w:sz w:val="21"/>
                <w:szCs w:val="21"/>
                <w:highlight w:val="none"/>
              </w:rPr>
            </w:pPr>
            <w:r>
              <w:rPr>
                <w:rFonts w:hint="eastAsia" w:ascii="宋体" w:hAnsi="宋体" w:cs="宋体"/>
                <w:kern w:val="0"/>
                <w:sz w:val="21"/>
                <w:szCs w:val="21"/>
                <w:highlight w:val="none"/>
              </w:rPr>
              <w:t>响应文件递交地点及开标地点：</w:t>
            </w:r>
            <w:r>
              <w:rPr>
                <w:rFonts w:hint="eastAsia" w:ascii="宋体" w:hAnsi="宋体" w:cs="宋体"/>
                <w:sz w:val="21"/>
                <w:szCs w:val="21"/>
                <w:highlight w:val="none"/>
              </w:rPr>
              <w:t>另行通知</w:t>
            </w:r>
            <w:r>
              <w:rPr>
                <w:rFonts w:hint="eastAsia" w:ascii="宋体" w:hAnsi="宋体" w:cs="宋体"/>
                <w:kern w:val="0"/>
                <w:sz w:val="21"/>
                <w:szCs w:val="21"/>
                <w:highlight w:val="none"/>
              </w:rPr>
              <w:t>。</w:t>
            </w:r>
          </w:p>
        </w:tc>
      </w:tr>
      <w:tr w14:paraId="7F1982F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479FB4FF">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7</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670C9FA9">
            <w:pPr>
              <w:spacing w:line="440" w:lineRule="exact"/>
              <w:rPr>
                <w:rFonts w:ascii="宋体" w:hAnsi="宋体" w:cs="宋体"/>
                <w:sz w:val="21"/>
                <w:szCs w:val="21"/>
                <w:highlight w:val="none"/>
              </w:rPr>
            </w:pPr>
            <w:r>
              <w:rPr>
                <w:rFonts w:hint="eastAsia" w:ascii="宋体" w:hAnsi="宋体" w:cs="宋体"/>
                <w:sz w:val="21"/>
                <w:szCs w:val="21"/>
                <w:highlight w:val="none"/>
              </w:rPr>
              <w:t>谈判小组成</w:t>
            </w:r>
            <w:r>
              <w:rPr>
                <w:rFonts w:hint="eastAsia" w:ascii="宋体" w:hAnsi="宋体" w:cs="宋体"/>
                <w:kern w:val="0"/>
                <w:sz w:val="21"/>
                <w:szCs w:val="21"/>
                <w:highlight w:val="none"/>
              </w:rPr>
              <w:t>员：</w:t>
            </w:r>
            <w:r>
              <w:rPr>
                <w:rFonts w:hint="eastAsia" w:ascii="宋体" w:hAnsi="宋体" w:cs="宋体"/>
                <w:sz w:val="21"/>
                <w:szCs w:val="21"/>
                <w:highlight w:val="none"/>
              </w:rPr>
              <w:t>3人及以上单数</w:t>
            </w:r>
            <w:r>
              <w:rPr>
                <w:rFonts w:hint="eastAsia" w:ascii="宋体" w:hAnsi="宋体" w:cs="宋体"/>
                <w:kern w:val="0"/>
                <w:sz w:val="21"/>
                <w:szCs w:val="21"/>
                <w:highlight w:val="none"/>
              </w:rPr>
              <w:t>。</w:t>
            </w:r>
          </w:p>
          <w:p w14:paraId="55C3BEDD">
            <w:pPr>
              <w:widowControl/>
              <w:spacing w:line="440" w:lineRule="exact"/>
              <w:jc w:val="left"/>
              <w:rPr>
                <w:rFonts w:ascii="宋体" w:hAnsi="宋体" w:cs="宋体"/>
                <w:kern w:val="0"/>
                <w:sz w:val="21"/>
                <w:szCs w:val="21"/>
                <w:highlight w:val="none"/>
              </w:rPr>
            </w:pPr>
            <w:r>
              <w:rPr>
                <w:rFonts w:hint="eastAsia" w:ascii="宋体" w:hAnsi="宋体" w:cs="宋体"/>
                <w:sz w:val="21"/>
                <w:szCs w:val="21"/>
                <w:highlight w:val="none"/>
              </w:rPr>
              <w:t>专家确定方式：</w:t>
            </w:r>
            <w:r>
              <w:rPr>
                <w:rFonts w:hint="eastAsia" w:ascii="宋体" w:hAnsi="宋体" w:cs="宋体"/>
                <w:kern w:val="0"/>
                <w:sz w:val="21"/>
                <w:szCs w:val="21"/>
                <w:highlight w:val="none"/>
              </w:rPr>
              <w:t>由评审专家、采购人代表组成。</w:t>
            </w:r>
          </w:p>
        </w:tc>
      </w:tr>
      <w:tr w14:paraId="2B6E888A">
        <w:tblPrEx>
          <w:tblCellMar>
            <w:top w:w="0" w:type="dxa"/>
            <w:left w:w="0" w:type="dxa"/>
            <w:bottom w:w="0" w:type="dxa"/>
            <w:right w:w="0" w:type="dxa"/>
          </w:tblCellMar>
        </w:tblPrEx>
        <w:trPr>
          <w:trHeight w:val="490"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097B18CB">
            <w:pPr>
              <w:widowControl/>
              <w:jc w:val="center"/>
              <w:rPr>
                <w:rFonts w:ascii="宋体" w:hAnsi="宋体" w:cs="宋体"/>
                <w:kern w:val="0"/>
                <w:sz w:val="21"/>
                <w:szCs w:val="21"/>
                <w:highlight w:val="none"/>
              </w:rPr>
            </w:pPr>
            <w:r>
              <w:rPr>
                <w:rFonts w:hint="eastAsia" w:ascii="宋体" w:hAnsi="宋体" w:cs="宋体"/>
                <w:kern w:val="0"/>
                <w:sz w:val="21"/>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00F8FF7B">
            <w:pPr>
              <w:rPr>
                <w:rFonts w:ascii="宋体" w:hAnsi="宋体" w:cs="宋体"/>
                <w:kern w:val="0"/>
                <w:sz w:val="21"/>
                <w:szCs w:val="21"/>
                <w:highlight w:val="none"/>
              </w:rPr>
            </w:pPr>
            <w:r>
              <w:rPr>
                <w:rFonts w:hint="eastAsia" w:ascii="宋体" w:hAnsi="宋体" w:cs="宋体"/>
                <w:sz w:val="21"/>
                <w:szCs w:val="21"/>
                <w:highlight w:val="none"/>
              </w:rPr>
              <w:t>评标办法：</w:t>
            </w:r>
            <w:r>
              <w:rPr>
                <w:rFonts w:hint="eastAsia" w:ascii="宋体" w:hAnsi="宋体" w:cs="宋体"/>
                <w:kern w:val="0"/>
                <w:sz w:val="21"/>
                <w:szCs w:val="21"/>
                <w:highlight w:val="none"/>
              </w:rPr>
              <w:t>本项目采用最低评审价法。</w:t>
            </w:r>
          </w:p>
        </w:tc>
      </w:tr>
      <w:tr w14:paraId="05E4F395">
        <w:tblPrEx>
          <w:tblCellMar>
            <w:top w:w="0" w:type="dxa"/>
            <w:left w:w="0" w:type="dxa"/>
            <w:bottom w:w="0" w:type="dxa"/>
            <w:right w:w="0" w:type="dxa"/>
          </w:tblCellMar>
        </w:tblPrEx>
        <w:trPr>
          <w:trHeight w:val="320"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55B02CA2">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9</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5480553E">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成交公告及成交通知书：由采购人授权谈判小组确定</w:t>
            </w:r>
            <w:r>
              <w:rPr>
                <w:rFonts w:hint="eastAsia" w:ascii="宋体" w:hAnsi="宋体" w:cs="宋体"/>
                <w:kern w:val="0"/>
                <w:sz w:val="21"/>
                <w:szCs w:val="21"/>
                <w:highlight w:val="none"/>
                <w:lang w:val="en-US" w:eastAsia="zh-CN"/>
              </w:rPr>
              <w:t>一</w:t>
            </w:r>
            <w:r>
              <w:rPr>
                <w:rFonts w:hint="eastAsia" w:ascii="宋体" w:hAnsi="宋体" w:cs="宋体"/>
                <w:kern w:val="0"/>
                <w:sz w:val="21"/>
                <w:szCs w:val="21"/>
                <w:highlight w:val="none"/>
              </w:rPr>
              <w:t>名成交供应商并推荐一名成交候选供应商</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供应商数量不足据实推荐。</w:t>
            </w:r>
            <w:r>
              <w:rPr>
                <w:rFonts w:hint="eastAsia" w:ascii="宋体" w:hAnsi="宋体" w:cs="宋体"/>
                <w:kern w:val="0"/>
                <w:sz w:val="21"/>
                <w:szCs w:val="21"/>
                <w:highlight w:val="none"/>
              </w:rPr>
              <w:t>评审结束后在《驻马店市中心医院》官网上发布成交公告，公示期结束后向成交供应商发出成交通知书。</w:t>
            </w:r>
          </w:p>
        </w:tc>
      </w:tr>
      <w:tr w14:paraId="4CD45C68">
        <w:tblPrEx>
          <w:tblCellMar>
            <w:top w:w="0" w:type="dxa"/>
            <w:left w:w="0" w:type="dxa"/>
            <w:bottom w:w="0" w:type="dxa"/>
            <w:right w:w="0" w:type="dxa"/>
          </w:tblCellMar>
        </w:tblPrEx>
        <w:trPr>
          <w:trHeight w:val="535"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53AE0B06">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10</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57606280">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签订合同：自成交通知书发出之日起30日内。</w:t>
            </w:r>
          </w:p>
        </w:tc>
      </w:tr>
      <w:tr w14:paraId="75F255AC">
        <w:tblPrEx>
          <w:tblCellMar>
            <w:top w:w="0" w:type="dxa"/>
            <w:left w:w="0" w:type="dxa"/>
            <w:bottom w:w="0" w:type="dxa"/>
            <w:right w:w="0" w:type="dxa"/>
          </w:tblCellMar>
        </w:tblPrEx>
        <w:trPr>
          <w:trHeight w:val="550"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25B24B8F">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11</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42F805A0">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采购资金来源：自筹资金。</w:t>
            </w:r>
          </w:p>
        </w:tc>
      </w:tr>
      <w:tr w14:paraId="5ED6A8A6">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073511B9">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12</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4F9285E7">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付款方式：详见第二章采购需求商务要求。</w:t>
            </w:r>
          </w:p>
        </w:tc>
      </w:tr>
      <w:tr w14:paraId="315DE846">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1611877A">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13</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253D3851">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响应文件有效期：响应文件递交截止期结束后60日。成交供应商的响应文件是合同的组成部分,有效期至合同完全履行止。 </w:t>
            </w:r>
          </w:p>
        </w:tc>
      </w:tr>
      <w:tr w14:paraId="271C3AF6">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4AD2691F">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14</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0239A7BE">
            <w:pPr>
              <w:widowControl/>
              <w:spacing w:line="440" w:lineRule="exact"/>
              <w:jc w:val="left"/>
              <w:textAlignment w:val="bottom"/>
              <w:rPr>
                <w:rFonts w:ascii="宋体" w:hAnsi="宋体" w:cs="宋体"/>
                <w:kern w:val="0"/>
                <w:sz w:val="21"/>
                <w:szCs w:val="21"/>
                <w:highlight w:val="none"/>
              </w:rPr>
            </w:pPr>
            <w:r>
              <w:rPr>
                <w:rFonts w:hint="eastAsia" w:ascii="宋体" w:hAnsi="宋体" w:cs="宋体"/>
                <w:kern w:val="0"/>
                <w:sz w:val="21"/>
                <w:szCs w:val="21"/>
                <w:highlight w:val="none"/>
              </w:rPr>
              <w:t>谈判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1B87480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52F4BD5C">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15</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39933C10">
            <w:pPr>
              <w:widowControl/>
              <w:spacing w:line="360" w:lineRule="auto"/>
              <w:jc w:val="left"/>
              <w:rPr>
                <w:rFonts w:ascii="宋体" w:hAnsi="宋体" w:cs="宋体"/>
                <w:kern w:val="0"/>
                <w:sz w:val="21"/>
                <w:szCs w:val="21"/>
                <w:highlight w:val="none"/>
              </w:rPr>
            </w:pPr>
            <w:r>
              <w:rPr>
                <w:rFonts w:hint="eastAsia" w:ascii="宋体" w:hAnsi="宋体" w:cs="宋体"/>
                <w:sz w:val="21"/>
                <w:szCs w:val="21"/>
                <w:highlight w:val="none"/>
              </w:rPr>
              <w:t>商品包装和快递包装应符合《商品包装政府采购需求标准（试行）》和《快递包装政府采购需求标准（试行）》规定。</w:t>
            </w:r>
          </w:p>
        </w:tc>
      </w:tr>
      <w:tr w14:paraId="3BFBD1BA">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387CE887">
            <w:pPr>
              <w:widowControl/>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16</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3FD7097F">
            <w:pPr>
              <w:spacing w:line="360" w:lineRule="auto"/>
              <w:rPr>
                <w:rFonts w:ascii="宋体" w:hAnsi="宋体" w:cs="宋体"/>
                <w:kern w:val="0"/>
                <w:sz w:val="21"/>
                <w:szCs w:val="21"/>
                <w:highlight w:val="none"/>
              </w:rPr>
            </w:pPr>
            <w:r>
              <w:rPr>
                <w:rFonts w:hint="eastAsia" w:ascii="宋体" w:hAnsi="宋体" w:cs="宋体"/>
                <w:bCs/>
                <w:kern w:val="0"/>
                <w:sz w:val="21"/>
                <w:szCs w:val="21"/>
                <w:highlight w:val="none"/>
              </w:rPr>
              <w:t>质疑和投诉：供应商认为采购文件使自己的合法权益受到损害的，</w:t>
            </w:r>
            <w:r>
              <w:rPr>
                <w:rFonts w:hint="eastAsia" w:ascii="宋体" w:hAnsi="宋体" w:cs="宋体"/>
                <w:kern w:val="0"/>
                <w:sz w:val="21"/>
                <w:szCs w:val="21"/>
                <w:highlight w:val="none"/>
              </w:rPr>
              <w:t>应当在采购公告期限届满之日(或收到采购文件之日)起3个工作日之内向</w:t>
            </w:r>
            <w:r>
              <w:rPr>
                <w:rFonts w:hint="eastAsia" w:ascii="宋体" w:hAnsi="宋体" w:cs="宋体"/>
                <w:bCs/>
                <w:kern w:val="0"/>
                <w:sz w:val="21"/>
                <w:szCs w:val="21"/>
                <w:highlight w:val="none"/>
              </w:rPr>
              <w:t>采购人提出质疑；供应商认为谈判过程和成交结果使自己的合法权益受到损害的，应当在知道或者应知其权益受到损害之日起3个工作日内提出质疑。</w:t>
            </w:r>
            <w:r>
              <w:rPr>
                <w:rFonts w:hint="eastAsia" w:ascii="宋体" w:hAnsi="宋体" w:cs="宋体"/>
                <w:kern w:val="0"/>
                <w:sz w:val="21"/>
                <w:szCs w:val="21"/>
                <w:highlight w:val="none"/>
              </w:rPr>
              <w:t>逾期不再受理,</w:t>
            </w:r>
            <w:r>
              <w:rPr>
                <w:rFonts w:hint="eastAsia" w:ascii="宋体" w:hAnsi="宋体" w:cs="宋体"/>
                <w:bCs/>
                <w:kern w:val="0"/>
                <w:sz w:val="21"/>
                <w:szCs w:val="21"/>
                <w:highlight w:val="none"/>
              </w:rPr>
              <w:t>供应商在法定质疑期内应一次性提出针对同一采购环节的质疑。</w:t>
            </w:r>
            <w:r>
              <w:rPr>
                <w:rFonts w:hint="eastAsia" w:ascii="宋体" w:hAnsi="宋体" w:cs="宋体"/>
                <w:kern w:val="0"/>
                <w:sz w:val="21"/>
                <w:szCs w:val="21"/>
                <w:highlight w:val="none"/>
              </w:rPr>
              <w:t>供应商对</w:t>
            </w: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的质疑答复不满意,或</w:t>
            </w: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未在规定时间内作出答复的，可以在答复期满后15个工作日内向医院纪检部门投诉。</w:t>
            </w:r>
          </w:p>
        </w:tc>
      </w:tr>
      <w:tr w14:paraId="4061A700">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3281BDF1">
            <w:pPr>
              <w:widowControl/>
              <w:spacing w:line="460" w:lineRule="atLeast"/>
              <w:jc w:val="center"/>
              <w:rPr>
                <w:rFonts w:ascii="宋体" w:hAnsi="宋体" w:cs="宋体"/>
                <w:kern w:val="0"/>
                <w:sz w:val="21"/>
                <w:szCs w:val="21"/>
                <w:highlight w:val="none"/>
              </w:rPr>
            </w:pPr>
            <w:r>
              <w:rPr>
                <w:rFonts w:hint="eastAsia" w:ascii="宋体" w:hAnsi="宋体" w:cs="宋体"/>
                <w:kern w:val="0"/>
                <w:sz w:val="21"/>
                <w:szCs w:val="21"/>
                <w:highlight w:val="none"/>
              </w:rPr>
              <w:t>17</w:t>
            </w:r>
          </w:p>
        </w:tc>
        <w:tc>
          <w:tcPr>
            <w:tcW w:w="8914"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14:paraId="27281E19">
            <w:pPr>
              <w:widowControl/>
              <w:spacing w:line="360" w:lineRule="auto"/>
              <w:jc w:val="left"/>
              <w:textAlignment w:val="bottom"/>
              <w:rPr>
                <w:rFonts w:ascii="宋体" w:hAnsi="宋体" w:cs="宋体"/>
                <w:sz w:val="21"/>
                <w:szCs w:val="21"/>
                <w:highlight w:val="none"/>
              </w:rPr>
            </w:pPr>
            <w:r>
              <w:rPr>
                <w:rFonts w:hint="eastAsia" w:ascii="宋体" w:hAnsi="宋体" w:cs="宋体"/>
                <w:sz w:val="21"/>
                <w:szCs w:val="21"/>
                <w:highlight w:val="none"/>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0CF5F714">
            <w:pPr>
              <w:widowControl/>
              <w:spacing w:line="360" w:lineRule="auto"/>
              <w:jc w:val="left"/>
              <w:textAlignment w:val="bottom"/>
              <w:rPr>
                <w:rFonts w:ascii="宋体" w:hAnsi="宋体" w:cs="宋体"/>
                <w:kern w:val="0"/>
                <w:sz w:val="21"/>
                <w:szCs w:val="21"/>
                <w:highlight w:val="none"/>
              </w:rPr>
            </w:pPr>
            <w:r>
              <w:rPr>
                <w:rFonts w:hint="eastAsia" w:ascii="宋体" w:hAnsi="宋体" w:cs="宋体"/>
                <w:sz w:val="21"/>
                <w:szCs w:val="21"/>
                <w:highlight w:val="none"/>
              </w:rPr>
              <w:t>2、本采购文件解释权归采购人。</w:t>
            </w:r>
          </w:p>
        </w:tc>
      </w:tr>
      <w:bookmarkEnd w:id="33"/>
      <w:bookmarkEnd w:id="34"/>
      <w:bookmarkEnd w:id="35"/>
    </w:tbl>
    <w:p w14:paraId="0A6B2230">
      <w:pPr>
        <w:snapToGrid w:val="0"/>
        <w:spacing w:line="360" w:lineRule="auto"/>
        <w:jc w:val="center"/>
        <w:outlineLvl w:val="1"/>
        <w:rPr>
          <w:rFonts w:hint="eastAsia" w:ascii="宋体" w:hAnsi="宋体" w:cs="宋体"/>
          <w:b/>
          <w:bCs/>
          <w:kern w:val="0"/>
          <w:szCs w:val="28"/>
          <w:highlight w:val="none"/>
        </w:rPr>
      </w:pPr>
      <w:bookmarkStart w:id="76" w:name="_Toc270604588"/>
      <w:bookmarkStart w:id="77" w:name="_Toc834"/>
    </w:p>
    <w:p w14:paraId="57FA3391">
      <w:pPr>
        <w:snapToGrid w:val="0"/>
        <w:spacing w:line="360" w:lineRule="auto"/>
        <w:jc w:val="center"/>
        <w:outlineLvl w:val="1"/>
        <w:rPr>
          <w:rFonts w:ascii="宋体" w:hAnsi="宋体" w:cs="宋体"/>
          <w:kern w:val="0"/>
          <w:sz w:val="24"/>
          <w:highlight w:val="none"/>
        </w:rPr>
      </w:pPr>
      <w:r>
        <w:rPr>
          <w:rFonts w:hint="eastAsia" w:ascii="宋体" w:hAnsi="宋体" w:cs="宋体"/>
          <w:b/>
          <w:bCs/>
          <w:kern w:val="0"/>
          <w:szCs w:val="28"/>
          <w:highlight w:val="none"/>
        </w:rPr>
        <w:t>一 、说 明</w:t>
      </w:r>
    </w:p>
    <w:p w14:paraId="08A87336">
      <w:pPr>
        <w:snapToGrid w:val="0"/>
        <w:spacing w:line="360" w:lineRule="auto"/>
        <w:ind w:firstLine="420"/>
        <w:jc w:val="left"/>
        <w:rPr>
          <w:rFonts w:ascii="宋体" w:hAnsi="宋体" w:cs="宋体"/>
          <w:b/>
          <w:bCs/>
          <w:kern w:val="0"/>
          <w:sz w:val="21"/>
          <w:szCs w:val="21"/>
          <w:highlight w:val="none"/>
        </w:rPr>
      </w:pPr>
      <w:r>
        <w:rPr>
          <w:rFonts w:hint="eastAsia" w:ascii="宋体" w:hAnsi="宋体" w:cs="宋体"/>
          <w:b/>
          <w:bCs/>
          <w:kern w:val="0"/>
          <w:sz w:val="21"/>
          <w:szCs w:val="21"/>
          <w:highlight w:val="none"/>
        </w:rPr>
        <w:t>1.适用范围</w:t>
      </w:r>
    </w:p>
    <w:p w14:paraId="0F0C3C1D">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本采购文件仅适用于采购公告中所叙述项目的货物采购。</w:t>
      </w:r>
    </w:p>
    <w:p w14:paraId="26E7F00F">
      <w:pPr>
        <w:snapToGrid w:val="0"/>
        <w:spacing w:line="360" w:lineRule="auto"/>
        <w:ind w:firstLine="420"/>
        <w:jc w:val="left"/>
        <w:rPr>
          <w:rFonts w:ascii="宋体" w:hAnsi="宋体" w:cs="宋体"/>
          <w:b/>
          <w:bCs/>
          <w:kern w:val="0"/>
          <w:sz w:val="21"/>
          <w:szCs w:val="21"/>
          <w:highlight w:val="none"/>
        </w:rPr>
      </w:pPr>
      <w:r>
        <w:rPr>
          <w:rFonts w:hint="eastAsia" w:ascii="宋体" w:hAnsi="宋体" w:cs="宋体"/>
          <w:b/>
          <w:bCs/>
          <w:kern w:val="0"/>
          <w:sz w:val="21"/>
          <w:szCs w:val="21"/>
          <w:highlight w:val="none"/>
        </w:rPr>
        <w:t>2.定义</w:t>
      </w:r>
    </w:p>
    <w:p w14:paraId="6AE682F6">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2.1 “采购人”系指驻马店市中心医院。</w:t>
      </w:r>
    </w:p>
    <w:p w14:paraId="4D1F2BDF">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2.2 “供应商”系指领取了本采购文件，且已经提交本次响应文件的供应商。</w:t>
      </w:r>
    </w:p>
    <w:p w14:paraId="0C54CBED">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2.3 “供应商代表”系指代表供应商参加本次采购活动的供应商的法定代表人或其委托代理人。</w:t>
      </w:r>
    </w:p>
    <w:p w14:paraId="1850002C">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2.4 “货物”系指供应商按采购文件规定向采购人提供的一切设备、机械、仪器仪表、备品备件、工具、手册及其它有关技术资料和材料。</w:t>
      </w:r>
    </w:p>
    <w:p w14:paraId="7F1283A4">
      <w:pPr>
        <w:widowControl/>
        <w:snapToGrid w:val="0"/>
        <w:spacing w:line="440" w:lineRule="exact"/>
        <w:ind w:firstLine="422" w:firstLineChars="200"/>
        <w:jc w:val="left"/>
        <w:rPr>
          <w:rFonts w:hint="default" w:ascii="宋体" w:hAnsi="宋体" w:eastAsia="宋体" w:cs="宋体"/>
          <w:kern w:val="0"/>
          <w:sz w:val="21"/>
          <w:szCs w:val="21"/>
          <w:highlight w:val="none"/>
          <w:lang w:val="en-US" w:eastAsia="zh-CN"/>
        </w:rPr>
      </w:pPr>
      <w:r>
        <w:rPr>
          <w:rFonts w:hint="eastAsia" w:ascii="宋体" w:hAnsi="宋体" w:cs="宋体"/>
          <w:b/>
          <w:kern w:val="0"/>
          <w:sz w:val="21"/>
          <w:szCs w:val="21"/>
          <w:highlight w:val="none"/>
        </w:rPr>
        <w:t>3.</w:t>
      </w:r>
      <w:r>
        <w:rPr>
          <w:rFonts w:hint="eastAsia" w:ascii="宋体" w:hAnsi="宋体" w:cs="宋体"/>
          <w:kern w:val="0"/>
          <w:sz w:val="21"/>
          <w:szCs w:val="21"/>
          <w:highlight w:val="none"/>
        </w:rPr>
        <w:t xml:space="preserve"> </w:t>
      </w:r>
      <w:r>
        <w:rPr>
          <w:rFonts w:hint="eastAsia" w:ascii="宋体" w:hAnsi="宋体" w:cs="宋体"/>
          <w:b/>
          <w:kern w:val="0"/>
          <w:sz w:val="21"/>
          <w:szCs w:val="21"/>
          <w:highlight w:val="none"/>
        </w:rPr>
        <w:t>采购预算：</w:t>
      </w:r>
      <w:r>
        <w:rPr>
          <w:rFonts w:hint="eastAsia" w:ascii="宋体" w:hAnsi="宋体" w:cs="宋体"/>
          <w:b/>
          <w:kern w:val="0"/>
          <w:sz w:val="21"/>
          <w:szCs w:val="21"/>
          <w:highlight w:val="none"/>
          <w:lang w:val="en-US" w:eastAsia="zh-CN"/>
        </w:rPr>
        <w:t>16万</w:t>
      </w:r>
      <w:r>
        <w:rPr>
          <w:rFonts w:hint="eastAsia" w:ascii="宋体" w:hAnsi="宋体" w:cs="宋体"/>
          <w:kern w:val="0"/>
          <w:sz w:val="21"/>
          <w:szCs w:val="21"/>
          <w:highlight w:val="none"/>
        </w:rPr>
        <w:t>元；</w:t>
      </w:r>
      <w:r>
        <w:rPr>
          <w:rFonts w:hint="eastAsia" w:ascii="宋体" w:hAnsi="宋体" w:cs="宋体"/>
          <w:b/>
          <w:kern w:val="0"/>
          <w:sz w:val="21"/>
          <w:szCs w:val="21"/>
          <w:highlight w:val="none"/>
        </w:rPr>
        <w:t>最高投标限价:</w:t>
      </w:r>
      <w:r>
        <w:rPr>
          <w:rFonts w:hint="eastAsia" w:ascii="宋体" w:hAnsi="宋体" w:cs="宋体"/>
          <w:b/>
          <w:kern w:val="0"/>
          <w:sz w:val="21"/>
          <w:szCs w:val="21"/>
          <w:highlight w:val="none"/>
          <w:lang w:val="en-US" w:eastAsia="zh-CN"/>
        </w:rPr>
        <w:t>详见第二章采购清单</w:t>
      </w:r>
    </w:p>
    <w:p w14:paraId="00E3DF66">
      <w:pPr>
        <w:snapToGrid w:val="0"/>
        <w:spacing w:line="360" w:lineRule="auto"/>
        <w:ind w:firstLine="422" w:firstLineChars="200"/>
        <w:jc w:val="left"/>
        <w:rPr>
          <w:rFonts w:ascii="宋体" w:hAnsi="宋体" w:cs="宋体"/>
          <w:sz w:val="21"/>
          <w:szCs w:val="21"/>
          <w:highlight w:val="none"/>
        </w:rPr>
      </w:pPr>
      <w:r>
        <w:rPr>
          <w:rFonts w:hint="eastAsia" w:ascii="宋体" w:hAnsi="宋体" w:cs="宋体"/>
          <w:b/>
          <w:bCs/>
          <w:kern w:val="0"/>
          <w:sz w:val="21"/>
          <w:szCs w:val="21"/>
          <w:highlight w:val="none"/>
        </w:rPr>
        <w:t>4.供应商应提交的证明文件</w:t>
      </w:r>
    </w:p>
    <w:p w14:paraId="25CAF65D">
      <w:pPr>
        <w:widowControl/>
        <w:tabs>
          <w:tab w:val="left" w:pos="840"/>
        </w:tabs>
        <w:snapToGrid w:val="0"/>
        <w:spacing w:line="324" w:lineRule="auto"/>
        <w:ind w:firstLine="420" w:firstLineChars="20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4.1、具有独立承担民事责任的能力（提供营业执照或其他证明材料）；</w:t>
      </w:r>
    </w:p>
    <w:p w14:paraId="4BC52A45">
      <w:pPr>
        <w:widowControl/>
        <w:tabs>
          <w:tab w:val="left" w:pos="840"/>
        </w:tabs>
        <w:snapToGrid w:val="0"/>
        <w:spacing w:line="324" w:lineRule="auto"/>
        <w:ind w:firstLine="420" w:firstLineChars="20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4.2、具有良好的商业信誉和健全的财务会计制度（提供经审计的2024年</w:t>
      </w:r>
      <w:r>
        <w:rPr>
          <w:rFonts w:hint="eastAsia" w:ascii="宋体" w:hAnsi="宋体" w:cs="宋体"/>
          <w:sz w:val="21"/>
          <w:szCs w:val="21"/>
          <w:highlight w:val="none"/>
          <w:shd w:val="clear" w:color="auto" w:fill="FFFFFF"/>
          <w:lang w:eastAsia="zh-CN"/>
        </w:rPr>
        <w:t>或2025年</w:t>
      </w:r>
      <w:r>
        <w:rPr>
          <w:rFonts w:hint="eastAsia" w:ascii="宋体" w:hAnsi="宋体" w:cs="宋体"/>
          <w:sz w:val="21"/>
          <w:szCs w:val="21"/>
          <w:highlight w:val="none"/>
          <w:shd w:val="clear" w:color="auto" w:fill="FFFFFF"/>
        </w:rPr>
        <w:t>度财务报告或者其基本开户银行出具的资信证明）；</w:t>
      </w:r>
    </w:p>
    <w:p w14:paraId="49DBEB71">
      <w:pPr>
        <w:widowControl/>
        <w:tabs>
          <w:tab w:val="left" w:pos="840"/>
        </w:tabs>
        <w:snapToGrid w:val="0"/>
        <w:spacing w:line="324" w:lineRule="auto"/>
        <w:ind w:firstLine="420" w:firstLineChars="20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0BC72476">
      <w:pPr>
        <w:widowControl/>
        <w:tabs>
          <w:tab w:val="left" w:pos="840"/>
        </w:tabs>
        <w:snapToGrid w:val="0"/>
        <w:spacing w:line="360" w:lineRule="auto"/>
        <w:ind w:firstLine="420" w:firstLineChars="20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4.4、具有履行合同所必需的设备和专业技术能力（提供书面承诺函）；</w:t>
      </w:r>
    </w:p>
    <w:p w14:paraId="431815CF">
      <w:pPr>
        <w:widowControl/>
        <w:tabs>
          <w:tab w:val="left" w:pos="840"/>
        </w:tabs>
        <w:snapToGrid w:val="0"/>
        <w:spacing w:line="360" w:lineRule="auto"/>
        <w:ind w:firstLine="420" w:firstLineChars="200"/>
        <w:jc w:val="left"/>
        <w:rPr>
          <w:sz w:val="21"/>
          <w:szCs w:val="24"/>
          <w:highlight w:val="none"/>
        </w:rPr>
      </w:pPr>
      <w:r>
        <w:rPr>
          <w:rFonts w:hint="eastAsia" w:ascii="宋体" w:hAnsi="宋体" w:cs="宋体"/>
          <w:sz w:val="21"/>
          <w:szCs w:val="21"/>
          <w:highlight w:val="none"/>
          <w:shd w:val="clear" w:color="auto" w:fill="FFFFFF"/>
        </w:rPr>
        <w:t>4.5、参加本采购活动前三年内，在经营活动中没有重大违法记录（提供书面承诺函）；</w:t>
      </w:r>
    </w:p>
    <w:p w14:paraId="1EEBE6A5">
      <w:pPr>
        <w:widowControl/>
        <w:tabs>
          <w:tab w:val="left" w:pos="840"/>
        </w:tabs>
        <w:snapToGrid w:val="0"/>
        <w:spacing w:line="324" w:lineRule="auto"/>
        <w:ind w:firstLine="420" w:firstLineChars="20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340BA148">
      <w:pPr>
        <w:widowControl/>
        <w:tabs>
          <w:tab w:val="left" w:pos="840"/>
        </w:tabs>
        <w:snapToGrid w:val="0"/>
        <w:spacing w:line="324" w:lineRule="auto"/>
        <w:ind w:firstLine="420" w:firstLineChars="200"/>
        <w:jc w:val="left"/>
        <w:rPr>
          <w:rFonts w:ascii="宋体" w:hAnsi="宋体" w:cs="宋体"/>
          <w:sz w:val="21"/>
          <w:szCs w:val="21"/>
          <w:highlight w:val="none"/>
          <w:shd w:val="clear" w:color="auto" w:fill="FFFFFF"/>
        </w:rPr>
      </w:pPr>
      <w:r>
        <w:rPr>
          <w:rFonts w:hint="eastAsia" w:ascii="宋体" w:hAnsi="宋体" w:cs="宋体"/>
          <w:sz w:val="21"/>
          <w:szCs w:val="21"/>
          <w:highlight w:val="none"/>
          <w:shd w:val="clear" w:color="auto" w:fill="FFFFFF"/>
        </w:rPr>
        <w:t>4.7、单位负责人为同一人或者存在直接控股、管理关系的不同供应商，不得参加同一合同项下的谈判（</w:t>
      </w:r>
      <w:r>
        <w:rPr>
          <w:rFonts w:hint="eastAsia" w:ascii="宋体" w:hAnsi="宋体" w:cs="宋体"/>
          <w:kern w:val="0"/>
          <w:sz w:val="21"/>
          <w:szCs w:val="21"/>
          <w:highlight w:val="none"/>
        </w:rPr>
        <w:t>提供在“国家企业信用信息公示系统”中查询的相关材料并加盖公章（需包含公司基本信息、股东信息及股权变更信息）或提供承诺函</w:t>
      </w:r>
      <w:r>
        <w:rPr>
          <w:rFonts w:hint="eastAsia" w:ascii="宋体" w:hAnsi="宋体" w:cs="宋体"/>
          <w:sz w:val="21"/>
          <w:szCs w:val="21"/>
          <w:highlight w:val="none"/>
          <w:shd w:val="clear" w:color="auto" w:fill="FFFFFF"/>
        </w:rPr>
        <w:t>）。</w:t>
      </w:r>
    </w:p>
    <w:p w14:paraId="0CFCB65A">
      <w:pPr>
        <w:widowControl/>
        <w:tabs>
          <w:tab w:val="left" w:pos="840"/>
        </w:tabs>
        <w:snapToGrid w:val="0"/>
        <w:spacing w:line="324" w:lineRule="auto"/>
        <w:ind w:firstLine="420" w:firstLineChars="200"/>
        <w:jc w:val="left"/>
        <w:rPr>
          <w:rFonts w:hint="eastAsia" w:ascii="宋体" w:hAnsi="宋体" w:cs="宋体"/>
          <w:kern w:val="0"/>
          <w:sz w:val="21"/>
          <w:szCs w:val="21"/>
          <w:highlight w:val="none"/>
        </w:rPr>
      </w:pPr>
      <w:r>
        <w:rPr>
          <w:rFonts w:hint="eastAsia" w:ascii="宋体" w:hAnsi="宋体" w:cs="宋体"/>
          <w:kern w:val="0"/>
          <w:sz w:val="21"/>
          <w:szCs w:val="21"/>
          <w:highlight w:val="none"/>
        </w:rPr>
        <w:t>4.8、特定资格要求：投标人若为产品制造商的须具备相关部门核发的危险化学品生产许可证、道路危险货物运输许可证，投标人若为产品经销商的应具备相关部门核发的危险化学品经营许可证。</w:t>
      </w:r>
    </w:p>
    <w:p w14:paraId="6A956BA3">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5.投标费用</w:t>
      </w:r>
    </w:p>
    <w:p w14:paraId="1E115B15">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不论投标结果如何，供应商均应自行承担所有与谈判有关的全部费用。</w:t>
      </w:r>
    </w:p>
    <w:p w14:paraId="036E4D13">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6.联合体投标：本项目不接受联合体投标。</w:t>
      </w:r>
    </w:p>
    <w:p w14:paraId="4116D6A1">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7.关联企业投标</w:t>
      </w:r>
    </w:p>
    <w:p w14:paraId="1B190CEA">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7.1 本采购文件所称关联企业,是指存在关联关系的企业。“关联关系”的界定适用《中华人民共和国公司法》第二百一十六条、《中华人民共和国政府采购法实施条例》第十八条之规定。</w:t>
      </w:r>
    </w:p>
    <w:p w14:paraId="61331132">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72A1DE1F">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8.转包与分包</w:t>
      </w:r>
    </w:p>
    <w:p w14:paraId="755B221D">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8.1本项目不允许采取转包方式履行合同。</w:t>
      </w:r>
    </w:p>
    <w:p w14:paraId="200FC549">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8.2本项目不允许采取分包方式履行合同。</w:t>
      </w:r>
    </w:p>
    <w:p w14:paraId="2A8D9DA8">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9.特别说明：</w:t>
      </w:r>
    </w:p>
    <w:p w14:paraId="74D4E50C">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9.1 供应商投标所使用的资格、信誉、荣誉、业绩与企业认证必须为本法人所拥有。  </w:t>
      </w:r>
    </w:p>
    <w:p w14:paraId="77C5976B">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9.2供应商代表只能接受一个供应商的委托参加投标。</w:t>
      </w:r>
    </w:p>
    <w:p w14:paraId="41804E44">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9.3《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12A5FA43">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9.4供应商在投标活动中提供虚假材料或从事其他违法活动的,其投标无效，由相关部门查处。</w:t>
      </w:r>
    </w:p>
    <w:p w14:paraId="2B0E90C7">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10.质疑和投诉</w:t>
      </w:r>
    </w:p>
    <w:p w14:paraId="357FB067">
      <w:pPr>
        <w:snapToGrid w:val="0"/>
        <w:spacing w:line="360" w:lineRule="auto"/>
        <w:ind w:firstLine="411" w:firstLineChars="196"/>
        <w:jc w:val="left"/>
        <w:rPr>
          <w:rFonts w:ascii="宋体" w:hAnsi="宋体" w:cs="宋体"/>
          <w:kern w:val="0"/>
          <w:sz w:val="21"/>
          <w:szCs w:val="21"/>
          <w:highlight w:val="none"/>
        </w:rPr>
      </w:pPr>
      <w:r>
        <w:rPr>
          <w:rFonts w:hint="eastAsia" w:ascii="宋体" w:hAnsi="宋体" w:cs="宋体"/>
          <w:kern w:val="0"/>
          <w:sz w:val="21"/>
          <w:szCs w:val="21"/>
          <w:highlight w:val="none"/>
        </w:rPr>
        <w:t>10.1</w:t>
      </w:r>
      <w:r>
        <w:rPr>
          <w:rFonts w:hint="eastAsia" w:ascii="宋体" w:hAnsi="宋体" w:cs="宋体"/>
          <w:bCs/>
          <w:kern w:val="0"/>
          <w:sz w:val="21"/>
          <w:szCs w:val="21"/>
          <w:highlight w:val="none"/>
        </w:rPr>
        <w:t>供应商认为采购文件使自己的合法权益受到损害的，</w:t>
      </w:r>
      <w:r>
        <w:rPr>
          <w:rFonts w:hint="eastAsia" w:ascii="宋体" w:hAnsi="宋体" w:cs="宋体"/>
          <w:kern w:val="0"/>
          <w:sz w:val="21"/>
          <w:szCs w:val="21"/>
          <w:highlight w:val="none"/>
        </w:rPr>
        <w:t>应当在采购公告期限届满之日(或收到采购文件之日)起3个工作日之内向</w:t>
      </w:r>
      <w:r>
        <w:rPr>
          <w:rFonts w:hint="eastAsia" w:ascii="宋体" w:hAnsi="宋体" w:cs="宋体"/>
          <w:bCs/>
          <w:kern w:val="0"/>
          <w:sz w:val="21"/>
          <w:szCs w:val="21"/>
          <w:highlight w:val="none"/>
        </w:rPr>
        <w:t>采购人提出质疑；供应商认为</w:t>
      </w:r>
      <w:r>
        <w:rPr>
          <w:rFonts w:hint="eastAsia" w:ascii="宋体" w:hAnsi="宋体" w:cs="宋体"/>
          <w:sz w:val="21"/>
          <w:szCs w:val="21"/>
          <w:highlight w:val="none"/>
        </w:rPr>
        <w:t>谈判</w:t>
      </w:r>
      <w:r>
        <w:rPr>
          <w:rFonts w:hint="eastAsia" w:ascii="宋体" w:hAnsi="宋体" w:cs="宋体"/>
          <w:bCs/>
          <w:kern w:val="0"/>
          <w:sz w:val="21"/>
          <w:szCs w:val="21"/>
          <w:highlight w:val="none"/>
        </w:rPr>
        <w:t>过程和成交结果使自己的合法权益受到损害的，应当在知道或者应知其权益受到损害之日起3个工作日内提出质疑。</w:t>
      </w:r>
      <w:r>
        <w:rPr>
          <w:rFonts w:hint="eastAsia" w:ascii="宋体" w:hAnsi="宋体" w:cs="宋体"/>
          <w:kern w:val="0"/>
          <w:sz w:val="21"/>
          <w:szCs w:val="21"/>
          <w:highlight w:val="none"/>
        </w:rPr>
        <w:t>逾期不再受理,</w:t>
      </w:r>
      <w:r>
        <w:rPr>
          <w:rFonts w:hint="eastAsia" w:ascii="宋体" w:hAnsi="宋体" w:cs="宋体"/>
          <w:bCs/>
          <w:kern w:val="0"/>
          <w:sz w:val="21"/>
          <w:szCs w:val="21"/>
          <w:highlight w:val="none"/>
        </w:rPr>
        <w:t>供应商在法定质疑期内应一次性提出针对同一采购环节的质疑。</w:t>
      </w:r>
      <w:r>
        <w:rPr>
          <w:rFonts w:hint="eastAsia" w:ascii="宋体" w:hAnsi="宋体" w:cs="宋体"/>
          <w:kern w:val="0"/>
          <w:sz w:val="21"/>
          <w:szCs w:val="21"/>
          <w:highlight w:val="none"/>
        </w:rPr>
        <w:t>供应商对</w:t>
      </w: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的质疑答复不满意,或</w:t>
      </w: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未在规定时间内作出答复的，可以在答复期满后15个工作日内向医院纪检部门投诉。</w:t>
      </w:r>
    </w:p>
    <w:p w14:paraId="511EB207">
      <w:pPr>
        <w:shd w:val="clear" w:color="auto" w:fill="FFFFFF"/>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10.2</w:t>
      </w:r>
      <w:r>
        <w:rPr>
          <w:rFonts w:hint="eastAsia" w:ascii="宋体" w:hAnsi="宋体" w:cs="宋体"/>
          <w:bCs/>
          <w:kern w:val="0"/>
          <w:sz w:val="21"/>
          <w:szCs w:val="21"/>
          <w:highlight w:val="none"/>
        </w:rPr>
        <w:t>质疑、投诉应当采用书面形式，质疑书、投诉书均应明确阐述采购文件、</w:t>
      </w:r>
      <w:r>
        <w:rPr>
          <w:rFonts w:hint="eastAsia" w:ascii="宋体" w:hAnsi="宋体" w:cs="宋体"/>
          <w:sz w:val="21"/>
          <w:szCs w:val="21"/>
          <w:highlight w:val="none"/>
        </w:rPr>
        <w:t>谈判</w:t>
      </w:r>
      <w:r>
        <w:rPr>
          <w:rFonts w:hint="eastAsia" w:ascii="宋体" w:hAnsi="宋体" w:cs="宋体"/>
          <w:bCs/>
          <w:kern w:val="0"/>
          <w:sz w:val="21"/>
          <w:szCs w:val="21"/>
          <w:highlight w:val="none"/>
        </w:rPr>
        <w:t>过程和成交结果中使自己合法权益受到损害的实质性内容，提供相关事实、依据和证据及其来源或线索，便于有关单位调查、答复和处理。</w:t>
      </w:r>
    </w:p>
    <w:p w14:paraId="405BAB56">
      <w:pPr>
        <w:snapToGrid w:val="0"/>
        <w:spacing w:line="360" w:lineRule="auto"/>
        <w:ind w:firstLine="420"/>
        <w:jc w:val="left"/>
        <w:rPr>
          <w:rFonts w:ascii="宋体" w:hAnsi="宋体" w:cs="宋体"/>
          <w:kern w:val="0"/>
          <w:sz w:val="21"/>
          <w:szCs w:val="21"/>
          <w:highlight w:val="none"/>
        </w:rPr>
      </w:pPr>
      <w:r>
        <w:rPr>
          <w:rFonts w:hint="eastAsia" w:ascii="宋体" w:hAnsi="宋体" w:cs="宋体"/>
          <w:b/>
          <w:bCs/>
          <w:kern w:val="0"/>
          <w:sz w:val="21"/>
          <w:szCs w:val="21"/>
          <w:highlight w:val="none"/>
        </w:rPr>
        <w:t>11.供应商的风险</w:t>
      </w:r>
    </w:p>
    <w:p w14:paraId="3D9FA645">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供应商没有按照采购文件要求提供全部资料，或者供应商没有对采购文件在各方面都作出实质性响应是供应商的风险，并可能导致其投标被拒绝。</w:t>
      </w:r>
    </w:p>
    <w:bookmarkEnd w:id="76"/>
    <w:bookmarkEnd w:id="77"/>
    <w:p w14:paraId="1E1FD1D4">
      <w:pPr>
        <w:snapToGrid w:val="0"/>
        <w:spacing w:line="360" w:lineRule="auto"/>
        <w:jc w:val="center"/>
        <w:outlineLvl w:val="1"/>
        <w:rPr>
          <w:rFonts w:ascii="宋体" w:hAnsi="宋体" w:cs="宋体"/>
          <w:b/>
          <w:bCs/>
          <w:kern w:val="0"/>
          <w:szCs w:val="28"/>
          <w:highlight w:val="none"/>
        </w:rPr>
      </w:pPr>
      <w:r>
        <w:rPr>
          <w:rFonts w:hint="eastAsia" w:ascii="宋体" w:hAnsi="宋体" w:cs="宋体"/>
          <w:b/>
          <w:bCs/>
          <w:kern w:val="0"/>
          <w:szCs w:val="28"/>
          <w:highlight w:val="none"/>
        </w:rPr>
        <w:t>二、采购文件</w:t>
      </w:r>
    </w:p>
    <w:p w14:paraId="13E61856">
      <w:pPr>
        <w:snapToGrid w:val="0"/>
        <w:spacing w:line="360" w:lineRule="auto"/>
        <w:ind w:firstLine="417" w:firstLineChars="198"/>
        <w:rPr>
          <w:rFonts w:ascii="宋体" w:hAnsi="宋体" w:cs="宋体"/>
          <w:kern w:val="0"/>
          <w:sz w:val="21"/>
          <w:szCs w:val="21"/>
          <w:highlight w:val="none"/>
        </w:rPr>
      </w:pPr>
      <w:r>
        <w:rPr>
          <w:rFonts w:hint="eastAsia" w:ascii="宋体" w:hAnsi="宋体" w:cs="宋体"/>
          <w:b/>
          <w:bCs/>
          <w:kern w:val="0"/>
          <w:sz w:val="21"/>
          <w:szCs w:val="21"/>
          <w:highlight w:val="none"/>
        </w:rPr>
        <w:t>12.采购文件的构成。本采购文件由以下部分组成：</w:t>
      </w:r>
    </w:p>
    <w:p w14:paraId="30F0AFBA">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12.1 竞争性谈判公告</w:t>
      </w:r>
    </w:p>
    <w:p w14:paraId="17E0E2E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12.2 采购需求</w:t>
      </w:r>
    </w:p>
    <w:p w14:paraId="4EA6344B">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12.3 供应商须知</w:t>
      </w:r>
    </w:p>
    <w:p w14:paraId="5C4C2A97">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12.4 合同主要条款</w:t>
      </w:r>
    </w:p>
    <w:p w14:paraId="1EA3C1D6">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12.5 响应文件格式</w:t>
      </w:r>
    </w:p>
    <w:p w14:paraId="607AADCC">
      <w:pPr>
        <w:snapToGrid w:val="0"/>
        <w:spacing w:line="360" w:lineRule="auto"/>
        <w:ind w:firstLine="417" w:firstLineChars="198"/>
        <w:rPr>
          <w:rFonts w:ascii="宋体" w:hAnsi="宋体" w:cs="宋体"/>
          <w:b/>
          <w:bCs/>
          <w:kern w:val="0"/>
          <w:sz w:val="21"/>
          <w:szCs w:val="21"/>
          <w:highlight w:val="none"/>
        </w:rPr>
      </w:pPr>
      <w:r>
        <w:rPr>
          <w:rFonts w:hint="eastAsia" w:ascii="宋体" w:hAnsi="宋体" w:cs="宋体"/>
          <w:b/>
          <w:bCs/>
          <w:kern w:val="0"/>
          <w:sz w:val="21"/>
          <w:szCs w:val="21"/>
          <w:highlight w:val="none"/>
        </w:rPr>
        <w:t>13.采购文件的澄清与修改</w:t>
      </w:r>
    </w:p>
    <w:p w14:paraId="4AE181C3">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13.1 采购人对已发出的采购文件进行必要澄清、修改或补充的，应当在采购文件要求提交响应文件截止时间3</w:t>
      </w:r>
      <w:r>
        <w:rPr>
          <w:rFonts w:hint="eastAsia" w:ascii="宋体" w:hAnsi="宋体" w:cs="宋体"/>
          <w:bCs/>
          <w:kern w:val="0"/>
          <w:sz w:val="21"/>
          <w:szCs w:val="21"/>
          <w:highlight w:val="none"/>
        </w:rPr>
        <w:t>日</w:t>
      </w:r>
      <w:r>
        <w:rPr>
          <w:rFonts w:hint="eastAsia" w:ascii="宋体" w:hAnsi="宋体" w:cs="宋体"/>
          <w:kern w:val="0"/>
          <w:sz w:val="21"/>
          <w:szCs w:val="21"/>
          <w:highlight w:val="none"/>
        </w:rPr>
        <w:t>前，在原采购公告发布相关媒体上发布更正公告或变更公告。采购文件公示期间对采购文件进行的澄清、修改或补充不受上述限制。</w:t>
      </w:r>
    </w:p>
    <w:p w14:paraId="6E86615B">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13.2 采购文件澄清、修改或补充的内容为采购文件的组成部分。</w:t>
      </w:r>
    </w:p>
    <w:p w14:paraId="0B647A9F">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13.3 采购文件的澄清、修改或补充都应以法定形式发布。采购人未对采购文件进行的澄清、修改或补充无效，评标时不予认可。</w:t>
      </w:r>
    </w:p>
    <w:p w14:paraId="74BD847D">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13.4 </w:t>
      </w: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可以视采购具体情况延长谈判截止时间和谈判时间，但至少应当在采购文件要求提交响应文件的截止时间3</w:t>
      </w:r>
      <w:r>
        <w:rPr>
          <w:rFonts w:hint="eastAsia" w:ascii="宋体" w:hAnsi="宋体" w:cs="宋体"/>
          <w:bCs/>
          <w:kern w:val="0"/>
          <w:sz w:val="21"/>
          <w:szCs w:val="21"/>
          <w:highlight w:val="none"/>
        </w:rPr>
        <w:t>日</w:t>
      </w:r>
      <w:r>
        <w:rPr>
          <w:rFonts w:hint="eastAsia" w:ascii="宋体" w:hAnsi="宋体" w:cs="宋体"/>
          <w:kern w:val="0"/>
          <w:sz w:val="21"/>
          <w:szCs w:val="21"/>
          <w:highlight w:val="none"/>
        </w:rPr>
        <w:t>前，将变更时间通知所有潜在供应商。</w:t>
      </w:r>
    </w:p>
    <w:p w14:paraId="177773A3">
      <w:pPr>
        <w:snapToGrid w:val="0"/>
        <w:spacing w:line="360" w:lineRule="auto"/>
        <w:jc w:val="center"/>
        <w:outlineLvl w:val="1"/>
        <w:rPr>
          <w:rFonts w:ascii="宋体" w:hAnsi="宋体" w:cs="宋体"/>
          <w:b/>
          <w:bCs/>
          <w:kern w:val="0"/>
          <w:sz w:val="21"/>
          <w:szCs w:val="21"/>
          <w:highlight w:val="none"/>
        </w:rPr>
      </w:pPr>
      <w:r>
        <w:rPr>
          <w:rFonts w:hint="eastAsia" w:ascii="宋体" w:hAnsi="宋体" w:cs="宋体"/>
          <w:b/>
          <w:bCs/>
          <w:kern w:val="0"/>
          <w:sz w:val="21"/>
          <w:szCs w:val="21"/>
          <w:highlight w:val="none"/>
        </w:rPr>
        <w:t>三、响应文件的编制</w:t>
      </w:r>
    </w:p>
    <w:p w14:paraId="49E37E80">
      <w:pPr>
        <w:snapToGrid w:val="0"/>
        <w:spacing w:line="360" w:lineRule="auto"/>
        <w:ind w:firstLine="417" w:firstLineChars="198"/>
        <w:rPr>
          <w:rFonts w:ascii="宋体" w:hAnsi="宋体" w:cs="宋体"/>
          <w:kern w:val="0"/>
          <w:sz w:val="21"/>
          <w:szCs w:val="21"/>
          <w:highlight w:val="none"/>
        </w:rPr>
      </w:pPr>
      <w:r>
        <w:rPr>
          <w:rFonts w:hint="eastAsia" w:ascii="宋体" w:hAnsi="宋体" w:cs="宋体"/>
          <w:b/>
          <w:bCs/>
          <w:kern w:val="0"/>
          <w:sz w:val="21"/>
          <w:szCs w:val="21"/>
          <w:highlight w:val="none"/>
        </w:rPr>
        <w:t>14.要求</w:t>
      </w:r>
    </w:p>
    <w:p w14:paraId="75CC0ED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w:t>
      </w:r>
      <w:r>
        <w:rPr>
          <w:rFonts w:hint="eastAsia" w:ascii="宋体" w:hAnsi="宋体" w:cs="宋体"/>
          <w:sz w:val="21"/>
          <w:szCs w:val="21"/>
          <w:highlight w:val="none"/>
        </w:rPr>
        <w:t>谈判</w:t>
      </w:r>
      <w:r>
        <w:rPr>
          <w:rFonts w:hint="eastAsia" w:ascii="宋体" w:hAnsi="宋体" w:cs="宋体"/>
          <w:kern w:val="0"/>
          <w:sz w:val="21"/>
          <w:szCs w:val="21"/>
          <w:highlight w:val="none"/>
        </w:rPr>
        <w:t>的要求），供应商对所提供的全部资料的合法性、真实性负责。</w:t>
      </w:r>
    </w:p>
    <w:p w14:paraId="4B932EEA">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14.2 供应商应完整签署响应文件格式附件中《竞争性谈判响应书》，不得增减或修改内容。否则视为对采购文件未作出实质性响应。</w:t>
      </w:r>
    </w:p>
    <w:p w14:paraId="092124AF">
      <w:pPr>
        <w:snapToGrid w:val="0"/>
        <w:spacing w:line="360" w:lineRule="auto"/>
        <w:ind w:firstLine="417" w:firstLineChars="198"/>
        <w:rPr>
          <w:rFonts w:ascii="宋体" w:hAnsi="宋体" w:cs="宋体"/>
          <w:kern w:val="0"/>
          <w:sz w:val="21"/>
          <w:szCs w:val="21"/>
          <w:highlight w:val="none"/>
        </w:rPr>
      </w:pPr>
      <w:r>
        <w:rPr>
          <w:rFonts w:hint="eastAsia" w:ascii="宋体" w:hAnsi="宋体" w:cs="宋体"/>
          <w:b/>
          <w:bCs/>
          <w:kern w:val="0"/>
          <w:sz w:val="21"/>
          <w:szCs w:val="21"/>
          <w:highlight w:val="none"/>
        </w:rPr>
        <w:t>15.响应文件的语言和计量单位</w:t>
      </w:r>
    </w:p>
    <w:p w14:paraId="660BF023">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15.1 响应文件以及供应商与采购人就有关谈判事宜的所有来往函电均应使用简体中文书写。</w:t>
      </w:r>
    </w:p>
    <w:p w14:paraId="2B1BD41D">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15.2关于计量单位，采购文件已有明确规定的，使用采购文件规定的计量单位；采购文件没有规定的，应采用中华人民共和国法定计量单位。否则视为对采购文件未作出实质性响应。</w:t>
      </w:r>
    </w:p>
    <w:p w14:paraId="3FC02593">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15.3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7B2DF8C8">
      <w:pPr>
        <w:snapToGrid w:val="0"/>
        <w:spacing w:line="360" w:lineRule="auto"/>
        <w:ind w:firstLine="417" w:firstLineChars="198"/>
        <w:rPr>
          <w:rFonts w:ascii="宋体" w:hAnsi="宋体" w:cs="宋体"/>
          <w:kern w:val="0"/>
          <w:sz w:val="21"/>
          <w:szCs w:val="21"/>
          <w:highlight w:val="none"/>
        </w:rPr>
      </w:pPr>
      <w:r>
        <w:rPr>
          <w:rFonts w:hint="eastAsia" w:ascii="宋体" w:hAnsi="宋体" w:cs="宋体"/>
          <w:b/>
          <w:bCs/>
          <w:kern w:val="0"/>
          <w:sz w:val="21"/>
          <w:szCs w:val="21"/>
          <w:highlight w:val="none"/>
        </w:rPr>
        <w:t>16.响应文件的组成</w:t>
      </w:r>
      <w:r>
        <w:rPr>
          <w:rFonts w:hint="eastAsia" w:ascii="宋体" w:hAnsi="宋体" w:cs="宋体"/>
          <w:kern w:val="0"/>
          <w:sz w:val="21"/>
          <w:szCs w:val="21"/>
          <w:highlight w:val="none"/>
        </w:rPr>
        <w:t>。</w:t>
      </w:r>
      <w:r>
        <w:rPr>
          <w:rFonts w:hint="eastAsia" w:ascii="宋体" w:hAnsi="宋体" w:cs="宋体"/>
          <w:b/>
          <w:bCs/>
          <w:kern w:val="0"/>
          <w:sz w:val="21"/>
          <w:szCs w:val="21"/>
          <w:highlight w:val="none"/>
        </w:rPr>
        <w:t>响应文件应包括下列部分：</w:t>
      </w:r>
    </w:p>
    <w:p w14:paraId="292383A2">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16.1、竞争性谈判响应书</w:t>
      </w:r>
    </w:p>
    <w:p w14:paraId="1939199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16.2、初次报价一览表</w:t>
      </w:r>
    </w:p>
    <w:p w14:paraId="19088EF4">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16.3、报价明细表</w:t>
      </w:r>
    </w:p>
    <w:p w14:paraId="5808CAD9">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w:t>
      </w:r>
      <w:r>
        <w:rPr>
          <w:rFonts w:hint="eastAsia" w:ascii="宋体" w:hAnsi="宋体" w:cs="宋体"/>
          <w:kern w:val="0"/>
          <w:sz w:val="21"/>
          <w:szCs w:val="21"/>
          <w:highlight w:val="none"/>
          <w:lang w:val="en-US" w:eastAsia="zh-CN"/>
        </w:rPr>
        <w:t>4</w:t>
      </w:r>
      <w:r>
        <w:rPr>
          <w:rFonts w:hint="eastAsia" w:ascii="宋体" w:hAnsi="宋体" w:cs="宋体"/>
          <w:kern w:val="0"/>
          <w:sz w:val="21"/>
          <w:szCs w:val="21"/>
          <w:highlight w:val="none"/>
        </w:rPr>
        <w:t>、商务响应表</w:t>
      </w:r>
    </w:p>
    <w:p w14:paraId="7BAC2927">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w:t>
      </w:r>
      <w:r>
        <w:rPr>
          <w:rFonts w:hint="eastAsia" w:ascii="宋体" w:hAnsi="宋体" w:cs="宋体"/>
          <w:kern w:val="0"/>
          <w:sz w:val="21"/>
          <w:szCs w:val="21"/>
          <w:highlight w:val="none"/>
          <w:lang w:val="en-US" w:eastAsia="zh-CN"/>
        </w:rPr>
        <w:t>5</w:t>
      </w:r>
      <w:r>
        <w:rPr>
          <w:rFonts w:hint="eastAsia" w:ascii="宋体" w:hAnsi="宋体" w:cs="宋体"/>
          <w:kern w:val="0"/>
          <w:sz w:val="21"/>
          <w:szCs w:val="21"/>
          <w:highlight w:val="none"/>
        </w:rPr>
        <w:t>、法定代表人身份证明</w:t>
      </w:r>
    </w:p>
    <w:p w14:paraId="1AC035D4">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w:t>
      </w:r>
      <w:r>
        <w:rPr>
          <w:rFonts w:hint="eastAsia" w:ascii="宋体" w:hAnsi="宋体" w:cs="宋体"/>
          <w:kern w:val="0"/>
          <w:sz w:val="21"/>
          <w:szCs w:val="21"/>
          <w:highlight w:val="none"/>
          <w:lang w:val="en-US" w:eastAsia="zh-CN"/>
        </w:rPr>
        <w:t>6</w:t>
      </w:r>
      <w:r>
        <w:rPr>
          <w:rFonts w:hint="eastAsia" w:ascii="宋体" w:hAnsi="宋体" w:cs="宋体"/>
          <w:kern w:val="0"/>
          <w:sz w:val="21"/>
          <w:szCs w:val="21"/>
          <w:highlight w:val="none"/>
        </w:rPr>
        <w:t>、法定代表人授权书</w:t>
      </w:r>
    </w:p>
    <w:p w14:paraId="737BB9BC">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w:t>
      </w:r>
      <w:r>
        <w:rPr>
          <w:rFonts w:hint="eastAsia" w:ascii="宋体" w:hAnsi="宋体" w:cs="宋体"/>
          <w:kern w:val="0"/>
          <w:sz w:val="21"/>
          <w:szCs w:val="21"/>
          <w:highlight w:val="none"/>
          <w:lang w:val="en-US" w:eastAsia="zh-CN"/>
        </w:rPr>
        <w:t>7</w:t>
      </w:r>
      <w:r>
        <w:rPr>
          <w:rFonts w:hint="eastAsia" w:ascii="宋体" w:hAnsi="宋体" w:cs="宋体"/>
          <w:kern w:val="0"/>
          <w:sz w:val="21"/>
          <w:szCs w:val="21"/>
          <w:highlight w:val="none"/>
        </w:rPr>
        <w:t>、证明文件</w:t>
      </w:r>
    </w:p>
    <w:p w14:paraId="1101E22A">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17.响应文件有效期</w:t>
      </w:r>
    </w:p>
    <w:p w14:paraId="76B31EF3">
      <w:pPr>
        <w:snapToGrid w:val="0"/>
        <w:spacing w:line="360" w:lineRule="auto"/>
        <w:ind w:firstLine="480"/>
        <w:jc w:val="left"/>
        <w:rPr>
          <w:rFonts w:ascii="宋体" w:hAnsi="宋体" w:cs="宋体"/>
          <w:kern w:val="0"/>
          <w:sz w:val="21"/>
          <w:szCs w:val="21"/>
          <w:highlight w:val="none"/>
        </w:rPr>
      </w:pPr>
      <w:r>
        <w:rPr>
          <w:rFonts w:hint="eastAsia" w:ascii="宋体" w:hAnsi="宋体" w:cs="宋体"/>
          <w:kern w:val="0"/>
          <w:sz w:val="21"/>
          <w:szCs w:val="21"/>
          <w:highlight w:val="none"/>
        </w:rPr>
        <w:t>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69ECF158">
      <w:pPr>
        <w:snapToGrid w:val="0"/>
        <w:spacing w:line="360" w:lineRule="auto"/>
        <w:ind w:firstLine="417" w:firstLineChars="198"/>
        <w:rPr>
          <w:rFonts w:ascii="宋体" w:hAnsi="宋体" w:cs="宋体"/>
          <w:kern w:val="0"/>
          <w:sz w:val="21"/>
          <w:szCs w:val="21"/>
          <w:highlight w:val="none"/>
        </w:rPr>
      </w:pPr>
      <w:r>
        <w:rPr>
          <w:rFonts w:hint="eastAsia" w:ascii="宋体" w:hAnsi="宋体" w:cs="宋体"/>
          <w:b/>
          <w:bCs/>
          <w:kern w:val="0"/>
          <w:sz w:val="21"/>
          <w:szCs w:val="21"/>
          <w:highlight w:val="none"/>
        </w:rPr>
        <w:t>18.投标报价</w:t>
      </w:r>
    </w:p>
    <w:p w14:paraId="2A2A34B6">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18.1 所有谈判报价均以人民币报价。</w:t>
      </w:r>
    </w:p>
    <w:p w14:paraId="79A18F36">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18.2 供应商要按初次报价一览表的内容填写。</w:t>
      </w:r>
    </w:p>
    <w:p w14:paraId="125D2DFB">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 xml:space="preserve">18.3 </w:t>
      </w:r>
      <w:r>
        <w:rPr>
          <w:rFonts w:hint="eastAsia" w:ascii="宋体" w:hAnsi="宋体" w:cs="宋体"/>
          <w:spacing w:val="10"/>
          <w:kern w:val="0"/>
          <w:sz w:val="21"/>
          <w:szCs w:val="21"/>
          <w:highlight w:val="none"/>
        </w:rPr>
        <w:t>供应商投报多标包的，应对每标包分别报价并分别填报</w:t>
      </w:r>
      <w:r>
        <w:rPr>
          <w:rFonts w:hint="eastAsia" w:ascii="宋体" w:hAnsi="宋体" w:cs="宋体"/>
          <w:kern w:val="0"/>
          <w:sz w:val="21"/>
          <w:szCs w:val="21"/>
          <w:highlight w:val="none"/>
        </w:rPr>
        <w:t>初次报价一览表</w:t>
      </w:r>
      <w:r>
        <w:rPr>
          <w:rFonts w:hint="eastAsia" w:ascii="宋体" w:hAnsi="宋体" w:cs="宋体"/>
          <w:spacing w:val="10"/>
          <w:kern w:val="0"/>
          <w:sz w:val="21"/>
          <w:szCs w:val="21"/>
          <w:highlight w:val="none"/>
        </w:rPr>
        <w:t>。</w:t>
      </w:r>
    </w:p>
    <w:p w14:paraId="0E804856">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18.4 成交供应商的最后一轮报价在政府采购合同执行过程中是固定不变的，供应商不得以任何理由予以变更。以可调整的价格提交的投标将被作为无效投标处理。</w:t>
      </w:r>
    </w:p>
    <w:p w14:paraId="45E8C33C">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18.5 采购人不接受可选择的投标报价。</w:t>
      </w:r>
    </w:p>
    <w:p w14:paraId="2D321C21">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18.6 对于供应商在初次报价一览表和响应文件中列出的赠送条款，在评审时不得作为价格评分因素或者调整评标价格的依据。</w:t>
      </w:r>
    </w:p>
    <w:p w14:paraId="2FD8B7AD">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19.保证金（无）</w:t>
      </w:r>
    </w:p>
    <w:p w14:paraId="46E13D5C">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20.</w:t>
      </w:r>
      <w:r>
        <w:rPr>
          <w:rFonts w:hint="eastAsia" w:ascii="宋体" w:hAnsi="宋体" w:cs="宋体"/>
          <w:b/>
          <w:bCs/>
          <w:kern w:val="0"/>
          <w:sz w:val="21"/>
          <w:szCs w:val="21"/>
          <w:highlight w:val="none"/>
        </w:rPr>
        <w:t>响应</w:t>
      </w:r>
      <w:r>
        <w:rPr>
          <w:rFonts w:hint="eastAsia" w:ascii="宋体" w:hAnsi="宋体" w:cs="宋体"/>
          <w:b/>
          <w:kern w:val="0"/>
          <w:sz w:val="21"/>
          <w:szCs w:val="21"/>
          <w:highlight w:val="none"/>
        </w:rPr>
        <w:t>文件的签署及其他规定</w:t>
      </w:r>
    </w:p>
    <w:p w14:paraId="6E6327F2">
      <w:pPr>
        <w:snapToGrid w:val="0"/>
        <w:spacing w:line="360" w:lineRule="auto"/>
        <w:ind w:firstLine="415" w:firstLineChars="198"/>
        <w:rPr>
          <w:rFonts w:ascii="宋体" w:hAnsi="宋体" w:cs="宋体"/>
          <w:kern w:val="0"/>
          <w:sz w:val="21"/>
          <w:szCs w:val="21"/>
          <w:highlight w:val="none"/>
        </w:rPr>
      </w:pPr>
      <w:r>
        <w:rPr>
          <w:rFonts w:hint="eastAsia" w:ascii="宋体" w:hAnsi="宋体" w:cs="宋体"/>
          <w:kern w:val="0"/>
          <w:sz w:val="21"/>
          <w:szCs w:val="21"/>
          <w:highlight w:val="none"/>
        </w:rPr>
        <w:t>20.1响应文件应按第</w:t>
      </w:r>
      <w:r>
        <w:rPr>
          <w:rFonts w:hint="eastAsia" w:ascii="宋体" w:hAnsi="宋体" w:cs="宋体"/>
          <w:kern w:val="0"/>
          <w:sz w:val="21"/>
          <w:szCs w:val="21"/>
          <w:highlight w:val="none"/>
          <w:lang w:val="en-US" w:eastAsia="zh-CN"/>
        </w:rPr>
        <w:t>五</w:t>
      </w:r>
      <w:r>
        <w:rPr>
          <w:rFonts w:hint="eastAsia" w:ascii="宋体" w:hAnsi="宋体" w:cs="宋体"/>
          <w:kern w:val="0"/>
          <w:sz w:val="21"/>
          <w:szCs w:val="21"/>
          <w:highlight w:val="none"/>
        </w:rPr>
        <w:t>章“响应文件格式”进行编写，如有必要，可以增加附页，作为响应文件的组成部分。其中，初次报价一览表在满足采购文件实质性要求的基础上，可以提出比采购文件要求更有利于采购人的承诺。</w:t>
      </w:r>
    </w:p>
    <w:p w14:paraId="2DFD0FB3">
      <w:pPr>
        <w:snapToGrid w:val="0"/>
        <w:spacing w:line="360" w:lineRule="auto"/>
        <w:ind w:firstLine="415" w:firstLineChars="198"/>
        <w:rPr>
          <w:rFonts w:ascii="宋体" w:hAnsi="宋体" w:cs="宋体"/>
          <w:kern w:val="0"/>
          <w:sz w:val="21"/>
          <w:szCs w:val="21"/>
          <w:highlight w:val="none"/>
        </w:rPr>
      </w:pPr>
      <w:r>
        <w:rPr>
          <w:rFonts w:hint="eastAsia" w:ascii="宋体" w:hAnsi="宋体" w:cs="宋体"/>
          <w:kern w:val="0"/>
          <w:sz w:val="21"/>
          <w:szCs w:val="21"/>
          <w:highlight w:val="none"/>
        </w:rPr>
        <w:t>20.2 响应文件应当对采购文件有关交货期、响应文件有效期、质量要求等实质性内容作出响应。</w:t>
      </w:r>
    </w:p>
    <w:p w14:paraId="4CDC22DC">
      <w:pPr>
        <w:snapToGrid w:val="0"/>
        <w:spacing w:line="360" w:lineRule="auto"/>
        <w:ind w:firstLine="415" w:firstLineChars="198"/>
        <w:rPr>
          <w:rFonts w:ascii="宋体" w:hAnsi="宋体" w:cs="宋体"/>
          <w:kern w:val="0"/>
          <w:sz w:val="21"/>
          <w:szCs w:val="21"/>
          <w:highlight w:val="none"/>
        </w:rPr>
      </w:pPr>
      <w:r>
        <w:rPr>
          <w:rFonts w:hint="eastAsia" w:ascii="宋体" w:hAnsi="宋体" w:cs="宋体"/>
          <w:kern w:val="0"/>
          <w:sz w:val="21"/>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102821AA">
      <w:pPr>
        <w:snapToGrid w:val="0"/>
        <w:spacing w:line="360" w:lineRule="auto"/>
        <w:ind w:firstLine="415" w:firstLineChars="198"/>
        <w:rPr>
          <w:rFonts w:ascii="宋体" w:hAnsi="宋体" w:cs="宋体"/>
          <w:kern w:val="0"/>
          <w:sz w:val="21"/>
          <w:szCs w:val="21"/>
          <w:highlight w:val="none"/>
        </w:rPr>
      </w:pPr>
      <w:r>
        <w:rPr>
          <w:rFonts w:hint="eastAsia" w:ascii="宋体" w:hAnsi="宋体" w:cs="宋体"/>
          <w:kern w:val="0"/>
          <w:sz w:val="21"/>
          <w:szCs w:val="21"/>
          <w:highlight w:val="none"/>
        </w:rPr>
        <w:t>20.4响应文件份数见供应商须知前附表。响应文件正本和副本的封面上应清楚地标记“正本”或“副本”的字样。</w:t>
      </w:r>
    </w:p>
    <w:p w14:paraId="68FB4B27">
      <w:pPr>
        <w:snapToGrid w:val="0"/>
        <w:spacing w:line="360" w:lineRule="auto"/>
        <w:ind w:firstLine="415" w:firstLineChars="198"/>
        <w:rPr>
          <w:rFonts w:ascii="宋体" w:hAnsi="宋体" w:cs="宋体"/>
          <w:kern w:val="0"/>
          <w:sz w:val="21"/>
          <w:szCs w:val="21"/>
          <w:highlight w:val="none"/>
        </w:rPr>
      </w:pPr>
      <w:r>
        <w:rPr>
          <w:rFonts w:hint="eastAsia" w:ascii="宋体" w:hAnsi="宋体" w:cs="宋体"/>
          <w:kern w:val="0"/>
          <w:sz w:val="21"/>
          <w:szCs w:val="21"/>
          <w:highlight w:val="none"/>
        </w:rPr>
        <w:t>20.5响应文件的具体装订要求见供应商须知前附表规定。</w:t>
      </w:r>
    </w:p>
    <w:p w14:paraId="5EEEE7BE">
      <w:pPr>
        <w:snapToGrid w:val="0"/>
        <w:spacing w:line="360" w:lineRule="auto"/>
        <w:jc w:val="center"/>
        <w:outlineLvl w:val="1"/>
        <w:rPr>
          <w:rFonts w:ascii="宋体" w:hAnsi="宋体" w:cs="宋体"/>
          <w:b/>
          <w:bCs/>
          <w:kern w:val="0"/>
          <w:sz w:val="21"/>
          <w:szCs w:val="21"/>
          <w:highlight w:val="none"/>
        </w:rPr>
      </w:pPr>
      <w:r>
        <w:rPr>
          <w:rFonts w:hint="eastAsia" w:ascii="宋体" w:hAnsi="宋体" w:cs="宋体"/>
          <w:b/>
          <w:bCs/>
          <w:kern w:val="0"/>
          <w:sz w:val="21"/>
          <w:szCs w:val="21"/>
          <w:highlight w:val="none"/>
        </w:rPr>
        <w:t>四、响应文件的递交</w:t>
      </w:r>
    </w:p>
    <w:p w14:paraId="4940A6A3">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21. 响应文件的密封、标记</w:t>
      </w:r>
    </w:p>
    <w:p w14:paraId="5F48F3DA">
      <w:pPr>
        <w:spacing w:line="360" w:lineRule="auto"/>
        <w:ind w:firstLine="424" w:firstLineChars="202"/>
        <w:rPr>
          <w:rFonts w:ascii="宋体" w:hAnsi="宋体" w:cs="宋体"/>
          <w:kern w:val="0"/>
          <w:sz w:val="21"/>
          <w:szCs w:val="21"/>
          <w:highlight w:val="none"/>
        </w:rPr>
      </w:pPr>
      <w:r>
        <w:rPr>
          <w:rFonts w:hint="eastAsia" w:ascii="宋体" w:hAnsi="宋体" w:cs="宋体"/>
          <w:kern w:val="0"/>
          <w:sz w:val="21"/>
          <w:szCs w:val="21"/>
          <w:highlight w:val="none"/>
        </w:rPr>
        <w:t>21.1</w:t>
      </w:r>
      <w:r>
        <w:rPr>
          <w:rFonts w:hint="eastAsia" w:ascii="宋体" w:hAnsi="宋体" w:cs="宋体"/>
          <w:sz w:val="21"/>
          <w:szCs w:val="21"/>
          <w:highlight w:val="none"/>
        </w:rPr>
        <w:t>响应文件应密封包装，并在封套的封口处加盖供应商单位章或由供应商的法定代表人（单位负责人）或其授权的代理人签字。</w:t>
      </w:r>
    </w:p>
    <w:p w14:paraId="5E330FEB">
      <w:pPr>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21.2 未按本章第21.1项要求密封的</w:t>
      </w:r>
      <w:r>
        <w:rPr>
          <w:rFonts w:hint="eastAsia" w:ascii="宋体" w:hAnsi="宋体" w:cs="宋体"/>
          <w:kern w:val="0"/>
          <w:sz w:val="21"/>
          <w:szCs w:val="21"/>
          <w:highlight w:val="none"/>
        </w:rPr>
        <w:t>响应</w:t>
      </w:r>
      <w:r>
        <w:rPr>
          <w:rFonts w:hint="eastAsia" w:ascii="宋体" w:hAnsi="宋体" w:cs="宋体"/>
          <w:sz w:val="21"/>
          <w:szCs w:val="21"/>
          <w:highlight w:val="none"/>
        </w:rPr>
        <w:t>文件，采购人不予受理。</w:t>
      </w:r>
    </w:p>
    <w:p w14:paraId="2D295C6E">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22. 响应文件的递交</w:t>
      </w:r>
    </w:p>
    <w:p w14:paraId="172142C6">
      <w:pPr>
        <w:autoSpaceDE w:val="0"/>
        <w:autoSpaceDN w:val="0"/>
        <w:adjustRightInd w:val="0"/>
        <w:snapToGrid w:val="0"/>
        <w:spacing w:line="360" w:lineRule="auto"/>
        <w:ind w:right="-45" w:rightChars="-16"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22.1 供应商应在规定的谈判截止时间前递交响应文件。</w:t>
      </w:r>
    </w:p>
    <w:p w14:paraId="71B87087">
      <w:pPr>
        <w:autoSpaceDE w:val="0"/>
        <w:autoSpaceDN w:val="0"/>
        <w:adjustRightInd w:val="0"/>
        <w:snapToGrid w:val="0"/>
        <w:spacing w:line="360" w:lineRule="auto"/>
        <w:ind w:right="-45" w:rightChars="-16"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22.2 供应商递交响应文件的地点：见供应商须知前附表。</w:t>
      </w:r>
    </w:p>
    <w:p w14:paraId="35A24EF3">
      <w:pPr>
        <w:autoSpaceDE w:val="0"/>
        <w:autoSpaceDN w:val="0"/>
        <w:adjustRightInd w:val="0"/>
        <w:snapToGrid w:val="0"/>
        <w:spacing w:line="360" w:lineRule="auto"/>
        <w:ind w:right="-45" w:rightChars="-16"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22.3 除供应商须知前附表另有规定外，供应商所递交的响应文件不予退还。</w:t>
      </w:r>
    </w:p>
    <w:p w14:paraId="44DA237B">
      <w:pPr>
        <w:autoSpaceDE w:val="0"/>
        <w:autoSpaceDN w:val="0"/>
        <w:adjustRightInd w:val="0"/>
        <w:snapToGrid w:val="0"/>
        <w:spacing w:line="360" w:lineRule="auto"/>
        <w:ind w:right="-45" w:rightChars="-16"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22.4 逾期送达的或者未送达指定地点的响应文件，采购人不予受理。</w:t>
      </w:r>
    </w:p>
    <w:p w14:paraId="6821E83F">
      <w:pPr>
        <w:snapToGrid w:val="0"/>
        <w:spacing w:line="360" w:lineRule="auto"/>
        <w:ind w:firstLine="417" w:firstLineChars="198"/>
        <w:rPr>
          <w:rFonts w:ascii="宋体" w:hAnsi="宋体" w:cs="宋体"/>
          <w:b/>
          <w:kern w:val="0"/>
          <w:sz w:val="21"/>
          <w:szCs w:val="21"/>
          <w:highlight w:val="none"/>
        </w:rPr>
      </w:pPr>
      <w:r>
        <w:rPr>
          <w:rFonts w:hint="eastAsia" w:ascii="宋体" w:hAnsi="宋体" w:cs="宋体"/>
          <w:b/>
          <w:kern w:val="0"/>
          <w:sz w:val="21"/>
          <w:szCs w:val="21"/>
          <w:highlight w:val="none"/>
        </w:rPr>
        <w:t>23. 响应文件的修改和撤回</w:t>
      </w:r>
    </w:p>
    <w:p w14:paraId="7050C24B">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1046E10E">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23.2 供应商在谈判截止期后不得修改、撤回响应文件。供应商在投标截止期后修改响应文件的，其投标将被拒绝。</w:t>
      </w:r>
    </w:p>
    <w:p w14:paraId="71347EAA">
      <w:pPr>
        <w:snapToGrid w:val="0"/>
        <w:spacing w:line="360" w:lineRule="auto"/>
        <w:jc w:val="center"/>
        <w:outlineLvl w:val="1"/>
        <w:rPr>
          <w:rFonts w:ascii="宋体" w:hAnsi="宋体" w:cs="宋体"/>
          <w:b/>
          <w:bCs/>
          <w:kern w:val="0"/>
          <w:sz w:val="21"/>
          <w:szCs w:val="21"/>
          <w:highlight w:val="none"/>
        </w:rPr>
      </w:pPr>
      <w:r>
        <w:rPr>
          <w:rFonts w:hint="eastAsia" w:ascii="宋体" w:hAnsi="宋体" w:cs="宋体"/>
          <w:b/>
          <w:bCs/>
          <w:kern w:val="0"/>
          <w:sz w:val="21"/>
          <w:szCs w:val="21"/>
          <w:highlight w:val="none"/>
        </w:rPr>
        <w:t>五、评标</w:t>
      </w:r>
    </w:p>
    <w:p w14:paraId="66A0E0EC">
      <w:pPr>
        <w:snapToGrid w:val="0"/>
        <w:spacing w:line="360" w:lineRule="auto"/>
        <w:ind w:firstLine="422" w:firstLineChars="200"/>
        <w:jc w:val="left"/>
        <w:rPr>
          <w:rFonts w:ascii="宋体" w:hAnsi="宋体" w:cs="宋体"/>
          <w:kern w:val="0"/>
          <w:sz w:val="21"/>
          <w:szCs w:val="21"/>
          <w:highlight w:val="none"/>
        </w:rPr>
      </w:pPr>
      <w:r>
        <w:rPr>
          <w:rFonts w:hint="eastAsia" w:ascii="宋体" w:hAnsi="宋体" w:cs="宋体"/>
          <w:b/>
          <w:bCs/>
          <w:kern w:val="0"/>
          <w:sz w:val="21"/>
          <w:szCs w:val="21"/>
          <w:highlight w:val="none"/>
        </w:rPr>
        <w:t>24. 组建谈判小组</w:t>
      </w:r>
    </w:p>
    <w:p w14:paraId="298936E1">
      <w:pPr>
        <w:snapToGrid w:val="0"/>
        <w:spacing w:line="360" w:lineRule="auto"/>
        <w:ind w:firstLine="420" w:firstLineChars="200"/>
        <w:rPr>
          <w:rFonts w:ascii="宋体" w:hAnsi="宋体" w:cs="宋体"/>
          <w:kern w:val="0"/>
          <w:sz w:val="21"/>
          <w:szCs w:val="21"/>
          <w:highlight w:val="none"/>
        </w:rPr>
      </w:pPr>
      <w:r>
        <w:rPr>
          <w:rFonts w:hint="eastAsia" w:ascii="宋体" w:hAnsi="宋体" w:cs="宋体"/>
          <w:kern w:val="0"/>
          <w:sz w:val="21"/>
          <w:szCs w:val="21"/>
          <w:highlight w:val="none"/>
        </w:rPr>
        <w:t>24.1 谈判小组由采购人代表和评审专家组成。成员由3人以上单数组成。</w:t>
      </w:r>
      <w:r>
        <w:rPr>
          <w:rFonts w:hint="eastAsia" w:ascii="宋体" w:hAnsi="宋体" w:cs="宋体"/>
          <w:sz w:val="21"/>
          <w:szCs w:val="21"/>
          <w:highlight w:val="none"/>
        </w:rPr>
        <w:t>在开标后由</w:t>
      </w:r>
      <w:r>
        <w:rPr>
          <w:rFonts w:hint="eastAsia" w:ascii="宋体" w:hAnsi="宋体" w:cs="宋体"/>
          <w:kern w:val="0"/>
          <w:sz w:val="21"/>
          <w:szCs w:val="21"/>
          <w:highlight w:val="none"/>
        </w:rPr>
        <w:t>谈判</w:t>
      </w:r>
      <w:r>
        <w:rPr>
          <w:rFonts w:hint="eastAsia" w:ascii="宋体" w:hAnsi="宋体" w:cs="宋体"/>
          <w:sz w:val="21"/>
          <w:szCs w:val="21"/>
          <w:highlight w:val="none"/>
        </w:rPr>
        <w:t>小组对</w:t>
      </w:r>
      <w:r>
        <w:rPr>
          <w:rFonts w:hint="eastAsia" w:ascii="宋体" w:hAnsi="宋体" w:cs="宋体"/>
          <w:kern w:val="0"/>
          <w:sz w:val="21"/>
          <w:szCs w:val="21"/>
          <w:highlight w:val="none"/>
        </w:rPr>
        <w:t>响应文件</w:t>
      </w:r>
      <w:r>
        <w:rPr>
          <w:rFonts w:hint="eastAsia" w:ascii="宋体" w:hAnsi="宋体" w:cs="宋体"/>
          <w:sz w:val="21"/>
          <w:szCs w:val="21"/>
          <w:highlight w:val="none"/>
        </w:rPr>
        <w:t>进行审查、质疑、评估和比较，并做合理的建议。</w:t>
      </w:r>
    </w:p>
    <w:p w14:paraId="42B74AD7">
      <w:pPr>
        <w:snapToGrid w:val="0"/>
        <w:spacing w:line="360" w:lineRule="auto"/>
        <w:ind w:firstLine="420" w:firstLineChars="200"/>
        <w:jc w:val="left"/>
        <w:rPr>
          <w:rFonts w:ascii="宋体" w:hAnsi="宋体" w:cs="宋体"/>
          <w:sz w:val="21"/>
          <w:szCs w:val="21"/>
          <w:highlight w:val="none"/>
        </w:rPr>
      </w:pPr>
      <w:r>
        <w:rPr>
          <w:rFonts w:hint="eastAsia" w:ascii="宋体" w:hAnsi="宋体" w:cs="宋体"/>
          <w:kern w:val="0"/>
          <w:sz w:val="21"/>
          <w:szCs w:val="21"/>
          <w:highlight w:val="none"/>
        </w:rPr>
        <w:t>24.2谈判小组成员要依法独立评审，并对评审意见承担个人责任。谈判</w:t>
      </w:r>
      <w:r>
        <w:rPr>
          <w:rFonts w:hint="eastAsia" w:ascii="宋体" w:hAnsi="宋体" w:cs="宋体"/>
          <w:sz w:val="21"/>
          <w:szCs w:val="21"/>
          <w:highlight w:val="none"/>
        </w:rPr>
        <w:t>小组成员对需要共同认定的事项存在争议的，按照少数服从多数的原则</w:t>
      </w:r>
      <w:r>
        <w:rPr>
          <w:rFonts w:hint="eastAsia" w:ascii="宋体" w:hAnsi="宋体" w:cs="宋体"/>
          <w:kern w:val="0"/>
          <w:sz w:val="21"/>
          <w:szCs w:val="21"/>
          <w:highlight w:val="none"/>
        </w:rPr>
        <w:t>做</w:t>
      </w:r>
      <w:r>
        <w:rPr>
          <w:rFonts w:hint="eastAsia" w:ascii="宋体" w:hAnsi="宋体" w:cs="宋体"/>
          <w:sz w:val="21"/>
          <w:szCs w:val="21"/>
          <w:highlight w:val="none"/>
        </w:rPr>
        <w:t>出结论。持不同意见的</w:t>
      </w:r>
      <w:r>
        <w:rPr>
          <w:rFonts w:hint="eastAsia" w:ascii="宋体" w:hAnsi="宋体" w:cs="宋体"/>
          <w:kern w:val="0"/>
          <w:sz w:val="21"/>
          <w:szCs w:val="21"/>
          <w:highlight w:val="none"/>
        </w:rPr>
        <w:t>谈判</w:t>
      </w:r>
      <w:r>
        <w:rPr>
          <w:rFonts w:hint="eastAsia" w:ascii="宋体" w:hAnsi="宋体" w:cs="宋体"/>
          <w:sz w:val="21"/>
          <w:szCs w:val="21"/>
          <w:highlight w:val="none"/>
        </w:rPr>
        <w:t>小组成员应当在评审报告上签署不同意见</w:t>
      </w:r>
      <w:r>
        <w:rPr>
          <w:rFonts w:hint="eastAsia" w:ascii="宋体" w:hAnsi="宋体" w:cs="宋体"/>
          <w:kern w:val="0"/>
          <w:sz w:val="21"/>
          <w:szCs w:val="21"/>
          <w:highlight w:val="none"/>
        </w:rPr>
        <w:t>并说明</w:t>
      </w:r>
      <w:r>
        <w:rPr>
          <w:rFonts w:hint="eastAsia" w:ascii="宋体" w:hAnsi="宋体" w:cs="宋体"/>
          <w:sz w:val="21"/>
          <w:szCs w:val="21"/>
          <w:highlight w:val="none"/>
        </w:rPr>
        <w:t>理由，否则视为同意。</w:t>
      </w:r>
    </w:p>
    <w:p w14:paraId="7BE1B18A">
      <w:pPr>
        <w:snapToGrid w:val="0"/>
        <w:spacing w:line="360" w:lineRule="auto"/>
        <w:ind w:firstLine="422" w:firstLineChars="200"/>
        <w:jc w:val="left"/>
        <w:rPr>
          <w:rFonts w:ascii="宋体" w:hAnsi="宋体" w:cs="宋体"/>
          <w:b/>
          <w:bCs/>
          <w:sz w:val="21"/>
          <w:szCs w:val="21"/>
          <w:highlight w:val="none"/>
        </w:rPr>
      </w:pPr>
      <w:r>
        <w:rPr>
          <w:rFonts w:hint="eastAsia" w:ascii="宋体" w:hAnsi="宋体" w:cs="宋体"/>
          <w:b/>
          <w:bCs/>
          <w:sz w:val="21"/>
          <w:szCs w:val="21"/>
          <w:highlight w:val="none"/>
        </w:rPr>
        <w:t xml:space="preserve">25. </w:t>
      </w:r>
      <w:r>
        <w:rPr>
          <w:rFonts w:hint="eastAsia" w:ascii="宋体" w:hAnsi="宋体" w:cs="宋体"/>
          <w:b/>
          <w:bCs/>
          <w:kern w:val="0"/>
          <w:sz w:val="21"/>
          <w:szCs w:val="21"/>
          <w:highlight w:val="none"/>
        </w:rPr>
        <w:t>响应</w:t>
      </w:r>
      <w:r>
        <w:rPr>
          <w:rFonts w:hint="eastAsia" w:ascii="宋体" w:hAnsi="宋体" w:cs="宋体"/>
          <w:b/>
          <w:bCs/>
          <w:sz w:val="21"/>
          <w:szCs w:val="21"/>
          <w:highlight w:val="none"/>
        </w:rPr>
        <w:t>文件的初审</w:t>
      </w:r>
    </w:p>
    <w:p w14:paraId="0F5632B3">
      <w:pPr>
        <w:pStyle w:val="22"/>
        <w:widowControl w:val="0"/>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25.1对所有供应商的评估，都采用相同的程序和标准。评标过程将严格按照采购文件的要求和条件进行。</w:t>
      </w:r>
    </w:p>
    <w:p w14:paraId="288D508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25.2 谈判小组将对响应文件进行检查，以确定响应文件是否完整、有无计算上的错误、文件是否已正确签署等。</w:t>
      </w:r>
    </w:p>
    <w:p w14:paraId="3271C545">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25.3 响应文件报价出现前后不一致的，除采购文件另有规定外，修正错误的原则如下：</w:t>
      </w:r>
    </w:p>
    <w:p w14:paraId="3E71E673">
      <w:pPr>
        <w:pStyle w:val="22"/>
        <w:widowControl w:val="0"/>
        <w:shd w:val="clear" w:color="auto" w:fill="FFFFFF"/>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25.3.1响应文件</w:t>
      </w:r>
      <w:r>
        <w:rPr>
          <w:rFonts w:hint="eastAsia" w:ascii="宋体" w:hAnsi="宋体" w:eastAsia="宋体" w:cs="宋体"/>
          <w:sz w:val="21"/>
          <w:szCs w:val="21"/>
          <w:highlight w:val="none"/>
          <w:shd w:val="clear" w:color="auto" w:fill="FFFFFF"/>
        </w:rPr>
        <w:t>初次报价一览表（报价表）内容与响应文件中相应内容不一致的，以初次报价一览表（报价表）为准；</w:t>
      </w:r>
    </w:p>
    <w:p w14:paraId="34ABA84F">
      <w:pPr>
        <w:pStyle w:val="22"/>
        <w:widowControl w:val="0"/>
        <w:shd w:val="clear" w:color="auto" w:fill="FFFFFF"/>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25.3.2</w:t>
      </w:r>
      <w:r>
        <w:rPr>
          <w:rFonts w:hint="eastAsia" w:ascii="宋体" w:hAnsi="宋体" w:eastAsia="宋体" w:cs="宋体"/>
          <w:sz w:val="21"/>
          <w:szCs w:val="21"/>
          <w:highlight w:val="none"/>
          <w:shd w:val="clear" w:color="auto" w:fill="FFFFFF"/>
        </w:rPr>
        <w:t>大写金额</w:t>
      </w:r>
      <w:r>
        <w:rPr>
          <w:rFonts w:hint="eastAsia" w:ascii="宋体" w:hAnsi="宋体" w:eastAsia="宋体" w:cs="宋体"/>
          <w:sz w:val="21"/>
          <w:szCs w:val="21"/>
          <w:highlight w:val="none"/>
        </w:rPr>
        <w:t>与</w:t>
      </w:r>
      <w:r>
        <w:rPr>
          <w:rFonts w:hint="eastAsia" w:ascii="宋体" w:hAnsi="宋体" w:eastAsia="宋体" w:cs="宋体"/>
          <w:sz w:val="21"/>
          <w:szCs w:val="21"/>
          <w:highlight w:val="none"/>
          <w:shd w:val="clear" w:color="auto" w:fill="FFFFFF"/>
        </w:rPr>
        <w:t>小写金额不一致的，以大写金额为准；</w:t>
      </w:r>
    </w:p>
    <w:p w14:paraId="2304AEA0">
      <w:pPr>
        <w:pStyle w:val="22"/>
        <w:widowControl w:val="0"/>
        <w:shd w:val="clear" w:color="auto" w:fill="FFFFFF"/>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25.3.3</w:t>
      </w:r>
      <w:r>
        <w:rPr>
          <w:rFonts w:hint="eastAsia" w:ascii="宋体" w:hAnsi="宋体" w:eastAsia="宋体" w:cs="宋体"/>
          <w:sz w:val="21"/>
          <w:szCs w:val="21"/>
          <w:highlight w:val="none"/>
          <w:shd w:val="clear" w:color="auto" w:fill="FFFFFF"/>
        </w:rPr>
        <w:t>单价金额小数点或者百分比有明显错位的，以初次报价一览表的总价为准，并修改单价；</w:t>
      </w:r>
    </w:p>
    <w:p w14:paraId="530CC44E">
      <w:pPr>
        <w:pStyle w:val="22"/>
        <w:widowControl w:val="0"/>
        <w:shd w:val="clear" w:color="auto" w:fill="FFFFFF"/>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25.3.4</w:t>
      </w:r>
      <w:r>
        <w:rPr>
          <w:rFonts w:hint="eastAsia" w:ascii="宋体" w:hAnsi="宋体" w:eastAsia="宋体" w:cs="宋体"/>
          <w:sz w:val="21"/>
          <w:szCs w:val="21"/>
          <w:highlight w:val="none"/>
          <w:shd w:val="clear" w:color="auto" w:fill="FFFFFF"/>
        </w:rPr>
        <w:t>总价金额与按单价汇总金额不一致的，以单价金额计算结果为准。</w:t>
      </w:r>
    </w:p>
    <w:p w14:paraId="3DFCB3A6">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25.3.5对不同文字文本响应文件的解释发生异议的，以中文文本为准。</w:t>
      </w:r>
    </w:p>
    <w:p w14:paraId="2013B9EE">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68F687BE">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25.4 资格性检查和符合性检查。</w:t>
      </w:r>
    </w:p>
    <w:p w14:paraId="2CC68EEE">
      <w:pPr>
        <w:snapToGrid w:val="0"/>
        <w:spacing w:line="360" w:lineRule="auto"/>
        <w:ind w:firstLine="420" w:firstLineChars="200"/>
        <w:jc w:val="left"/>
        <w:rPr>
          <w:rFonts w:hint="eastAsia" w:ascii="宋体" w:hAnsi="宋体" w:cs="宋体"/>
          <w:sz w:val="21"/>
          <w:szCs w:val="21"/>
          <w:highlight w:val="none"/>
        </w:rPr>
      </w:pPr>
      <w:r>
        <w:rPr>
          <w:rFonts w:hint="eastAsia" w:ascii="宋体" w:hAnsi="宋体" w:cs="宋体"/>
          <w:kern w:val="0"/>
          <w:sz w:val="21"/>
          <w:szCs w:val="21"/>
          <w:highlight w:val="none"/>
        </w:rPr>
        <w:t>25.4.1</w:t>
      </w:r>
      <w:r>
        <w:rPr>
          <w:rFonts w:hint="eastAsia" w:ascii="宋体" w:hAnsi="宋体" w:cs="宋体"/>
          <w:sz w:val="21"/>
          <w:szCs w:val="21"/>
          <w:highlight w:val="none"/>
        </w:rPr>
        <w:t>资格性检查。</w:t>
      </w:r>
    </w:p>
    <w:p w14:paraId="3A6113C4">
      <w:pPr>
        <w:snapToGrid w:val="0"/>
        <w:spacing w:line="360" w:lineRule="auto"/>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采购人委托代购代理机构按采购公告第二项和采购文件第三章3.供应商应提交的证明文件所述的资格标准对供应商进行资格审查,以确定其是否具备</w:t>
      </w:r>
      <w:r>
        <w:rPr>
          <w:rFonts w:hint="eastAsia" w:ascii="宋体" w:hAnsi="宋体" w:cs="宋体"/>
          <w:sz w:val="21"/>
          <w:szCs w:val="21"/>
          <w:highlight w:val="none"/>
          <w:lang w:val="en-US" w:eastAsia="zh-CN"/>
        </w:rPr>
        <w:t>谈判</w:t>
      </w:r>
      <w:r>
        <w:rPr>
          <w:rFonts w:hint="eastAsia" w:ascii="宋体" w:hAnsi="宋体" w:cs="宋体"/>
          <w:sz w:val="21"/>
          <w:szCs w:val="21"/>
          <w:highlight w:val="none"/>
        </w:rPr>
        <w:t>资格。如果供应商不具备</w:t>
      </w:r>
      <w:r>
        <w:rPr>
          <w:rFonts w:hint="eastAsia" w:ascii="宋体" w:hAnsi="宋体" w:cs="宋体"/>
          <w:sz w:val="21"/>
          <w:szCs w:val="21"/>
          <w:highlight w:val="none"/>
          <w:lang w:val="en-US" w:eastAsia="zh-CN"/>
        </w:rPr>
        <w:t>谈判</w:t>
      </w:r>
      <w:r>
        <w:rPr>
          <w:rFonts w:hint="eastAsia" w:ascii="宋体" w:hAnsi="宋体" w:cs="宋体"/>
          <w:sz w:val="21"/>
          <w:szCs w:val="21"/>
          <w:highlight w:val="none"/>
        </w:rPr>
        <w:t>资格、不满足采购文件所规定的资格标准或提供资格证明文件不全,其投标将被作为无效</w:t>
      </w:r>
      <w:r>
        <w:rPr>
          <w:rFonts w:hint="eastAsia" w:ascii="宋体" w:hAnsi="宋体" w:cs="宋体"/>
          <w:sz w:val="21"/>
          <w:szCs w:val="21"/>
          <w:highlight w:val="none"/>
          <w:lang w:val="en-US" w:eastAsia="zh-CN"/>
        </w:rPr>
        <w:t>谈判</w:t>
      </w:r>
      <w:r>
        <w:rPr>
          <w:rFonts w:hint="eastAsia" w:ascii="宋体" w:hAnsi="宋体" w:cs="宋体"/>
          <w:sz w:val="21"/>
          <w:szCs w:val="21"/>
          <w:highlight w:val="none"/>
        </w:rPr>
        <w:t>。</w:t>
      </w:r>
    </w:p>
    <w:p w14:paraId="519B6570">
      <w:pPr>
        <w:snapToGrid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25.4.2 资格审查后合格的供应商不足3家的，不得评标。</w:t>
      </w:r>
    </w:p>
    <w:p w14:paraId="6B4FABAA">
      <w:pPr>
        <w:snapToGrid w:val="0"/>
        <w:spacing w:line="360" w:lineRule="auto"/>
        <w:ind w:firstLine="420" w:firstLineChars="200"/>
        <w:jc w:val="left"/>
        <w:rPr>
          <w:rFonts w:ascii="宋体" w:hAnsi="宋体" w:cs="宋体"/>
          <w:sz w:val="21"/>
          <w:szCs w:val="21"/>
          <w:highlight w:val="none"/>
        </w:rPr>
      </w:pPr>
      <w:r>
        <w:rPr>
          <w:rFonts w:hint="eastAsia" w:ascii="宋体" w:hAnsi="宋体" w:cs="宋体"/>
          <w:kern w:val="0"/>
          <w:sz w:val="21"/>
          <w:szCs w:val="21"/>
          <w:highlight w:val="none"/>
        </w:rPr>
        <w:t>25.4.3 符合性检查。依据采购文件的规定，谈判小组将从</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的有效性、完整性和对采购文件的响应程度进行审查，以确定是否符合对采购文件的实质性要求作出响应。对没有实质性响应的响应文件将不进行评估，其投标被作为无效谈判。凡有下列情况之一者，响应文件也将被视为未实质性响应采购文件要求：</w:t>
      </w:r>
    </w:p>
    <w:p w14:paraId="2630F50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w:t>
      </w:r>
      <w:r>
        <w:rPr>
          <w:rFonts w:hint="eastAsia" w:ascii="宋体" w:hAnsi="宋体" w:eastAsia="宋体" w:cs="宋体"/>
          <w:b/>
          <w:bCs/>
          <w:color w:val="auto"/>
          <w:kern w:val="0"/>
          <w:sz w:val="21"/>
          <w:szCs w:val="21"/>
          <w:highlight w:val="none"/>
          <w:lang w:val="en-US" w:eastAsia="zh-CN"/>
        </w:rPr>
        <w:t>响应文件</w:t>
      </w:r>
      <w:r>
        <w:rPr>
          <w:rFonts w:hint="eastAsia" w:ascii="宋体" w:hAnsi="宋体" w:eastAsia="宋体" w:cs="宋体"/>
          <w:b/>
          <w:bCs/>
          <w:color w:val="auto"/>
          <w:kern w:val="0"/>
          <w:sz w:val="21"/>
          <w:szCs w:val="21"/>
          <w:highlight w:val="none"/>
        </w:rPr>
        <w:t>未按规定签字、盖章的。</w:t>
      </w:r>
    </w:p>
    <w:p w14:paraId="26BA623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未按</w:t>
      </w:r>
      <w:r>
        <w:rPr>
          <w:rFonts w:hint="eastAsia" w:ascii="宋体" w:hAnsi="宋体" w:eastAsia="宋体" w:cs="宋体"/>
          <w:b/>
          <w:bCs/>
          <w:color w:val="auto"/>
          <w:kern w:val="0"/>
          <w:sz w:val="21"/>
          <w:szCs w:val="21"/>
          <w:highlight w:val="none"/>
          <w:lang w:val="en-US" w:eastAsia="zh-CN"/>
        </w:rPr>
        <w:t>谈判</w:t>
      </w:r>
      <w:r>
        <w:rPr>
          <w:rFonts w:hint="eastAsia" w:ascii="宋体" w:hAnsi="宋体" w:eastAsia="宋体" w:cs="宋体"/>
          <w:b/>
          <w:bCs/>
          <w:color w:val="auto"/>
          <w:kern w:val="0"/>
          <w:sz w:val="21"/>
          <w:szCs w:val="21"/>
          <w:highlight w:val="none"/>
        </w:rPr>
        <w:t>文件规定报价，报价均超过采购预算或最高限价的。</w:t>
      </w:r>
    </w:p>
    <w:p w14:paraId="5D3F914F">
      <w:pPr>
        <w:tabs>
          <w:tab w:val="left" w:pos="0"/>
        </w:tabs>
        <w:snapToGrid w:val="0"/>
        <w:spacing w:line="360" w:lineRule="auto"/>
        <w:ind w:firstLine="422" w:firstLineChars="200"/>
        <w:contextualSpacing/>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）不符合</w:t>
      </w:r>
      <w:r>
        <w:rPr>
          <w:rFonts w:hint="eastAsia" w:ascii="宋体" w:hAnsi="宋体" w:eastAsia="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rPr>
        <w:t>文件中规定的其它实质性条款。</w:t>
      </w:r>
    </w:p>
    <w:p w14:paraId="1F0B9040">
      <w:pPr>
        <w:tabs>
          <w:tab w:val="left" w:pos="0"/>
        </w:tabs>
        <w:snapToGrid w:val="0"/>
        <w:spacing w:line="360" w:lineRule="auto"/>
        <w:ind w:firstLine="420" w:firstLineChars="200"/>
        <w:contextualSpacing/>
        <w:jc w:val="left"/>
        <w:rPr>
          <w:rFonts w:ascii="宋体" w:hAnsi="宋体" w:cs="宋体"/>
          <w:kern w:val="0"/>
          <w:sz w:val="21"/>
          <w:szCs w:val="21"/>
          <w:highlight w:val="none"/>
        </w:rPr>
      </w:pPr>
      <w:r>
        <w:rPr>
          <w:rFonts w:hint="eastAsia" w:ascii="宋体" w:hAnsi="宋体" w:cs="宋体"/>
          <w:kern w:val="0"/>
          <w:sz w:val="21"/>
          <w:szCs w:val="21"/>
          <w:highlight w:val="none"/>
        </w:rPr>
        <w:t>谈判小组决定投标的响应性只根据响应文件本身的内容，而不寻求其他的外部证据。</w:t>
      </w:r>
    </w:p>
    <w:p w14:paraId="2D13B4C5">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25.4.4 对资格性检查和符合性检查不合格的供应商，将</w:t>
      </w:r>
      <w:r>
        <w:rPr>
          <w:rFonts w:hint="eastAsia" w:ascii="宋体" w:hAnsi="宋体" w:cs="宋体"/>
          <w:kern w:val="0"/>
          <w:sz w:val="21"/>
          <w:szCs w:val="21"/>
          <w:highlight w:val="none"/>
          <w:lang w:val="en-US" w:eastAsia="zh-CN"/>
        </w:rPr>
        <w:t>当面</w:t>
      </w:r>
      <w:r>
        <w:rPr>
          <w:rFonts w:hint="eastAsia" w:ascii="宋体" w:hAnsi="宋体" w:cs="宋体"/>
          <w:kern w:val="0"/>
          <w:sz w:val="21"/>
          <w:szCs w:val="21"/>
          <w:highlight w:val="none"/>
        </w:rPr>
        <w:t>告知其理由。</w:t>
      </w:r>
    </w:p>
    <w:p w14:paraId="0FE271A3">
      <w:pPr>
        <w:pStyle w:val="22"/>
        <w:widowControl w:val="0"/>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25.5 在评审过程中，谈判小组发现供应商有下列情形之一的，视为供应商串通投标，其谈判无效：</w:t>
      </w:r>
    </w:p>
    <w:p w14:paraId="32D9C92A">
      <w:pPr>
        <w:tabs>
          <w:tab w:val="left" w:pos="0"/>
        </w:tabs>
        <w:snapToGrid w:val="0"/>
        <w:spacing w:line="360" w:lineRule="auto"/>
        <w:ind w:left="140" w:leftChars="50" w:firstLine="315" w:firstLineChars="150"/>
        <w:contextualSpacing/>
        <w:jc w:val="left"/>
        <w:rPr>
          <w:rFonts w:ascii="宋体" w:hAnsi="宋体" w:cs="宋体"/>
          <w:kern w:val="0"/>
          <w:sz w:val="21"/>
          <w:szCs w:val="21"/>
          <w:highlight w:val="none"/>
        </w:rPr>
      </w:pPr>
      <w:r>
        <w:rPr>
          <w:rFonts w:hint="eastAsia" w:ascii="宋体" w:hAnsi="宋体" w:cs="宋体"/>
          <w:kern w:val="0"/>
          <w:sz w:val="21"/>
          <w:szCs w:val="21"/>
          <w:highlight w:val="none"/>
        </w:rPr>
        <w:t>25.5.1不同供应商的</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异常一致。</w:t>
      </w:r>
    </w:p>
    <w:p w14:paraId="43157FB8">
      <w:pPr>
        <w:tabs>
          <w:tab w:val="left" w:pos="0"/>
        </w:tabs>
        <w:snapToGrid w:val="0"/>
        <w:spacing w:line="360" w:lineRule="auto"/>
        <w:ind w:left="140" w:leftChars="50" w:firstLine="315" w:firstLineChars="150"/>
        <w:contextualSpacing/>
        <w:jc w:val="left"/>
        <w:rPr>
          <w:rFonts w:ascii="宋体" w:hAnsi="宋体" w:cs="宋体"/>
          <w:sz w:val="21"/>
          <w:szCs w:val="21"/>
          <w:highlight w:val="none"/>
        </w:rPr>
      </w:pPr>
      <w:r>
        <w:rPr>
          <w:rFonts w:hint="eastAsia" w:ascii="宋体" w:hAnsi="宋体" w:cs="宋体"/>
          <w:sz w:val="21"/>
          <w:szCs w:val="21"/>
          <w:highlight w:val="none"/>
        </w:rPr>
        <w:t>25.5.2不同供应商的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由同一单位或者个人编制；</w:t>
      </w:r>
    </w:p>
    <w:p w14:paraId="34B630C8">
      <w:pPr>
        <w:tabs>
          <w:tab w:val="left" w:pos="0"/>
        </w:tabs>
        <w:snapToGrid w:val="0"/>
        <w:spacing w:line="360" w:lineRule="auto"/>
        <w:ind w:left="140" w:leftChars="50" w:firstLine="315" w:firstLineChars="150"/>
        <w:contextualSpacing/>
        <w:jc w:val="left"/>
        <w:rPr>
          <w:rFonts w:ascii="宋体" w:hAnsi="宋体" w:cs="宋体"/>
          <w:sz w:val="21"/>
          <w:szCs w:val="21"/>
          <w:highlight w:val="none"/>
        </w:rPr>
      </w:pPr>
      <w:r>
        <w:rPr>
          <w:rFonts w:hint="eastAsia" w:ascii="宋体" w:hAnsi="宋体" w:cs="宋体"/>
          <w:sz w:val="21"/>
          <w:szCs w:val="21"/>
          <w:highlight w:val="none"/>
        </w:rPr>
        <w:t>25.5.3不同供应商委托同一单位或者个人办理投标事宜；</w:t>
      </w:r>
    </w:p>
    <w:p w14:paraId="58E1344A">
      <w:pPr>
        <w:tabs>
          <w:tab w:val="left" w:pos="0"/>
        </w:tabs>
        <w:snapToGrid w:val="0"/>
        <w:spacing w:line="360" w:lineRule="auto"/>
        <w:ind w:left="140" w:leftChars="50" w:firstLine="315" w:firstLineChars="150"/>
        <w:contextualSpacing/>
        <w:jc w:val="left"/>
        <w:rPr>
          <w:rFonts w:ascii="宋体" w:hAnsi="宋体" w:cs="宋体"/>
          <w:sz w:val="21"/>
          <w:szCs w:val="21"/>
          <w:highlight w:val="none"/>
        </w:rPr>
      </w:pPr>
      <w:r>
        <w:rPr>
          <w:rFonts w:hint="eastAsia" w:ascii="宋体" w:hAnsi="宋体" w:cs="宋体"/>
          <w:sz w:val="21"/>
          <w:szCs w:val="21"/>
          <w:highlight w:val="none"/>
        </w:rPr>
        <w:t>25.5.4不同供应商的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载明的项目管理成员或者联系人员为同一人；　　</w:t>
      </w:r>
    </w:p>
    <w:p w14:paraId="21B34BE2">
      <w:pPr>
        <w:tabs>
          <w:tab w:val="left" w:pos="0"/>
        </w:tabs>
        <w:snapToGrid w:val="0"/>
        <w:spacing w:line="360" w:lineRule="auto"/>
        <w:ind w:left="140" w:leftChars="50" w:firstLine="315" w:firstLineChars="150"/>
        <w:contextualSpacing/>
        <w:jc w:val="left"/>
        <w:rPr>
          <w:rFonts w:ascii="宋体" w:hAnsi="宋体" w:cs="宋体"/>
          <w:sz w:val="21"/>
          <w:szCs w:val="21"/>
          <w:highlight w:val="none"/>
        </w:rPr>
      </w:pPr>
      <w:r>
        <w:rPr>
          <w:rFonts w:hint="eastAsia" w:ascii="宋体" w:hAnsi="宋体" w:cs="宋体"/>
          <w:sz w:val="21"/>
          <w:szCs w:val="21"/>
          <w:highlight w:val="none"/>
        </w:rPr>
        <w:t>25.5.5不同供应商的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相互混装；</w:t>
      </w:r>
    </w:p>
    <w:p w14:paraId="7ECC0FDF">
      <w:pPr>
        <w:tabs>
          <w:tab w:val="left" w:pos="0"/>
        </w:tabs>
        <w:snapToGrid w:val="0"/>
        <w:spacing w:line="360" w:lineRule="auto"/>
        <w:ind w:left="140" w:leftChars="50" w:firstLine="315" w:firstLineChars="150"/>
        <w:contextualSpacing/>
        <w:jc w:val="left"/>
        <w:rPr>
          <w:rFonts w:ascii="宋体" w:hAnsi="宋体" w:cs="宋体"/>
          <w:sz w:val="21"/>
          <w:szCs w:val="21"/>
          <w:highlight w:val="none"/>
        </w:rPr>
      </w:pPr>
      <w:r>
        <w:rPr>
          <w:rFonts w:hint="eastAsia" w:ascii="宋体" w:hAnsi="宋体" w:cs="宋体"/>
          <w:sz w:val="21"/>
          <w:szCs w:val="21"/>
          <w:highlight w:val="none"/>
        </w:rPr>
        <w:t>25.5.6不同供应商的投标保证金从同一单位或者个人的账户转出（若收取）。</w:t>
      </w:r>
    </w:p>
    <w:p w14:paraId="7BBFFCDB">
      <w:pPr>
        <w:adjustRightInd w:val="0"/>
        <w:snapToGrid w:val="0"/>
        <w:spacing w:line="360" w:lineRule="auto"/>
        <w:ind w:left="25" w:leftChars="9" w:firstLine="399" w:firstLineChars="190"/>
        <w:jc w:val="left"/>
        <w:textAlignment w:val="baseline"/>
        <w:rPr>
          <w:rFonts w:ascii="宋体" w:hAnsi="宋体" w:cs="宋体"/>
          <w:sz w:val="21"/>
          <w:szCs w:val="21"/>
          <w:highlight w:val="none"/>
        </w:rPr>
      </w:pPr>
      <w:r>
        <w:rPr>
          <w:rFonts w:hint="eastAsia" w:ascii="宋体" w:hAnsi="宋体" w:cs="宋体"/>
          <w:kern w:val="0"/>
          <w:sz w:val="21"/>
          <w:szCs w:val="21"/>
          <w:highlight w:val="none"/>
        </w:rPr>
        <w:t>25.5.7 有证据证明供应商串通投标的其他情形的；</w:t>
      </w:r>
    </w:p>
    <w:p w14:paraId="2DFB7605">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25.5.8 不同供应商的</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制作机器码一致；</w:t>
      </w:r>
    </w:p>
    <w:p w14:paraId="21D437F7">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25.5.9 谈判小组认定的其他串通投标情形。</w:t>
      </w:r>
    </w:p>
    <w:p w14:paraId="4DEE06CB">
      <w:pPr>
        <w:tabs>
          <w:tab w:val="left" w:pos="0"/>
        </w:tabs>
        <w:snapToGrid w:val="0"/>
        <w:spacing w:line="360" w:lineRule="auto"/>
        <w:ind w:left="140" w:leftChars="50" w:firstLine="316" w:firstLineChars="150"/>
        <w:contextualSpacing/>
        <w:jc w:val="left"/>
        <w:rPr>
          <w:rFonts w:ascii="宋体" w:hAnsi="宋体" w:cs="宋体"/>
          <w:b/>
          <w:bCs/>
          <w:sz w:val="21"/>
          <w:szCs w:val="21"/>
          <w:highlight w:val="none"/>
        </w:rPr>
      </w:pPr>
      <w:r>
        <w:rPr>
          <w:rFonts w:hint="eastAsia" w:ascii="宋体" w:hAnsi="宋体" w:cs="宋体"/>
          <w:b/>
          <w:bCs/>
          <w:sz w:val="21"/>
          <w:szCs w:val="21"/>
          <w:highlight w:val="none"/>
        </w:rPr>
        <w:t xml:space="preserve">25.6 </w:t>
      </w:r>
      <w:r>
        <w:rPr>
          <w:rFonts w:hint="eastAsia" w:ascii="宋体" w:hAnsi="宋体" w:cs="宋体"/>
          <w:b/>
          <w:bCs/>
          <w:kern w:val="0"/>
          <w:sz w:val="21"/>
          <w:szCs w:val="21"/>
          <w:highlight w:val="none"/>
        </w:rPr>
        <w:t>谈判</w:t>
      </w:r>
    </w:p>
    <w:p w14:paraId="20FA0F1A">
      <w:pPr>
        <w:widowControl/>
        <w:kinsoku w:val="0"/>
        <w:autoSpaceDE w:val="0"/>
        <w:autoSpaceDN w:val="0"/>
        <w:adjustRightInd w:val="0"/>
        <w:snapToGrid w:val="0"/>
        <w:spacing w:line="360" w:lineRule="auto"/>
        <w:ind w:firstLine="420" w:firstLineChars="200"/>
        <w:textAlignment w:val="baseline"/>
        <w:rPr>
          <w:rFonts w:ascii="宋体" w:hAnsi="宋体" w:cs="宋体"/>
          <w:b w:val="0"/>
          <w:bCs w:val="0"/>
          <w:sz w:val="21"/>
          <w:szCs w:val="21"/>
          <w:highlight w:val="none"/>
        </w:rPr>
      </w:pPr>
      <w:r>
        <w:rPr>
          <w:rFonts w:hint="eastAsia" w:ascii="宋体" w:hAnsi="宋体" w:cs="宋体"/>
          <w:b w:val="0"/>
          <w:bCs w:val="0"/>
          <w:sz w:val="21"/>
          <w:szCs w:val="21"/>
          <w:highlight w:val="none"/>
        </w:rPr>
        <w:t>对资格性检查和符合性检查合格的供应商，进入本次谈判程序。</w:t>
      </w:r>
    </w:p>
    <w:p w14:paraId="30FBC71E">
      <w:pPr>
        <w:widowControl/>
        <w:kinsoku w:val="0"/>
        <w:autoSpaceDE w:val="0"/>
        <w:autoSpaceDN w:val="0"/>
        <w:adjustRightInd w:val="0"/>
        <w:snapToGrid w:val="0"/>
        <w:spacing w:line="360" w:lineRule="auto"/>
        <w:ind w:firstLine="420" w:firstLineChars="200"/>
        <w:textAlignment w:val="baseline"/>
        <w:rPr>
          <w:rFonts w:ascii="宋体" w:hAnsi="宋体" w:cs="宋体"/>
          <w:b w:val="0"/>
          <w:bCs w:val="0"/>
          <w:sz w:val="21"/>
          <w:szCs w:val="21"/>
          <w:highlight w:val="none"/>
        </w:rPr>
      </w:pPr>
      <w:r>
        <w:rPr>
          <w:rFonts w:hint="eastAsia" w:ascii="宋体" w:hAnsi="宋体" w:cs="宋体"/>
          <w:b w:val="0"/>
          <w:bCs w:val="0"/>
          <w:sz w:val="21"/>
          <w:szCs w:val="21"/>
          <w:highlight w:val="none"/>
        </w:rPr>
        <w:t>25.6.1 谈判小组通过随机方式确定参加谈判供应商的谈判顺序，所有成员集中与供应商按照顺序分别单独进行谈判。在谈判中，谈判的任何一方不得透露与谈判有关的其他供应商的技术资料、价格和其他信息。在谈判过程中，谈判小组可以根据谈判文件和谈判情况实质性变动采购需求中的技术、服务要求及合同条款，但不得变动谈判文件的其他内容。实质性变动的内容须经采购人代表确认。谈判文件有实质性变动的，谈判小组应当以书面形式通知所有参加谈判供应商。</w:t>
      </w:r>
    </w:p>
    <w:p w14:paraId="659A50FF">
      <w:pPr>
        <w:widowControl/>
        <w:kinsoku w:val="0"/>
        <w:autoSpaceDE w:val="0"/>
        <w:autoSpaceDN w:val="0"/>
        <w:adjustRightInd w:val="0"/>
        <w:snapToGrid w:val="0"/>
        <w:spacing w:line="360" w:lineRule="auto"/>
        <w:ind w:firstLine="420" w:firstLineChars="200"/>
        <w:textAlignment w:val="baseline"/>
        <w:rPr>
          <w:rFonts w:ascii="宋体" w:hAnsi="宋体" w:cs="宋体"/>
          <w:b w:val="0"/>
          <w:bCs w:val="0"/>
          <w:sz w:val="21"/>
          <w:szCs w:val="21"/>
          <w:highlight w:val="none"/>
        </w:rPr>
      </w:pPr>
      <w:r>
        <w:rPr>
          <w:rFonts w:hint="eastAsia" w:ascii="宋体" w:hAnsi="宋体" w:cs="宋体"/>
          <w:b w:val="0"/>
          <w:bCs w:val="0"/>
          <w:sz w:val="21"/>
          <w:szCs w:val="21"/>
          <w:highlight w:val="none"/>
        </w:rPr>
        <w:t>25.6.2 本次竞争性谈判进行</w:t>
      </w:r>
      <w:r>
        <w:rPr>
          <w:rFonts w:hint="eastAsia" w:ascii="宋体" w:hAnsi="宋体" w:cs="宋体"/>
          <w:b w:val="0"/>
          <w:bCs w:val="0"/>
          <w:sz w:val="21"/>
          <w:szCs w:val="21"/>
          <w:highlight w:val="none"/>
          <w:u w:val="single"/>
        </w:rPr>
        <w:t xml:space="preserve"> 多 </w:t>
      </w:r>
      <w:r>
        <w:rPr>
          <w:rFonts w:hint="eastAsia" w:ascii="宋体" w:hAnsi="宋体" w:cs="宋体"/>
          <w:b w:val="0"/>
          <w:bCs w:val="0"/>
          <w:sz w:val="21"/>
          <w:szCs w:val="21"/>
          <w:highlight w:val="none"/>
        </w:rPr>
        <w:t>轮次报价（二次及以上），并给予每个供应商相同的机会。响应文件报价为第一轮报价，以后轮次报价不得高于上一轮次报价（除竞争性谈判文件有实质性变动外），否则将被视为未实质性响应竞争性谈判文件。谈判报价以供应商的最后一轮次报价为准。</w:t>
      </w:r>
    </w:p>
    <w:p w14:paraId="06582829">
      <w:pPr>
        <w:snapToGrid w:val="0"/>
        <w:spacing w:line="360" w:lineRule="auto"/>
        <w:ind w:firstLine="422" w:firstLineChars="200"/>
        <w:jc w:val="left"/>
        <w:rPr>
          <w:rFonts w:ascii="宋体" w:hAnsi="宋体" w:cs="宋体"/>
          <w:kern w:val="0"/>
          <w:sz w:val="21"/>
          <w:szCs w:val="21"/>
          <w:highlight w:val="none"/>
        </w:rPr>
      </w:pPr>
      <w:r>
        <w:rPr>
          <w:rFonts w:hint="eastAsia" w:ascii="宋体" w:hAnsi="宋体" w:cs="宋体"/>
          <w:b/>
          <w:bCs/>
          <w:kern w:val="0"/>
          <w:sz w:val="21"/>
          <w:szCs w:val="21"/>
          <w:highlight w:val="none"/>
        </w:rPr>
        <w:t>26.响应文件的澄清</w:t>
      </w:r>
    </w:p>
    <w:p w14:paraId="30D0E5C4">
      <w:pPr>
        <w:snapToGrid w:val="0"/>
        <w:spacing w:line="360" w:lineRule="auto"/>
        <w:ind w:firstLine="420" w:firstLineChars="200"/>
        <w:jc w:val="left"/>
        <w:rPr>
          <w:rFonts w:ascii="宋体" w:hAnsi="宋体" w:cs="宋体"/>
          <w:sz w:val="21"/>
          <w:szCs w:val="21"/>
          <w:highlight w:val="none"/>
        </w:rPr>
      </w:pPr>
      <w:r>
        <w:rPr>
          <w:rFonts w:hint="eastAsia" w:ascii="宋体" w:hAnsi="宋体" w:cs="宋体"/>
          <w:kern w:val="0"/>
          <w:sz w:val="21"/>
          <w:szCs w:val="21"/>
          <w:highlight w:val="none"/>
        </w:rPr>
        <w:t>对响应文件中含义不明确、同类问题表述不一致或者有明显文字和计算错误的内容，谈判小组可以书面形式要求供应商作出必要的澄清。供应商的澄清应当在谈判小组规定的时间内以书面形式作出，由其供应商代表签字。但澄清事项不得超出响应文件的范围，不得实质性改变响应文件的内容，不得通过澄清等方式对供应商实行差别对待。谈判小组不得接受供应商主动提出的澄清和解释。</w:t>
      </w:r>
    </w:p>
    <w:p w14:paraId="68994326">
      <w:pPr>
        <w:snapToGrid w:val="0"/>
        <w:spacing w:line="360" w:lineRule="auto"/>
        <w:ind w:firstLine="422" w:firstLineChars="200"/>
        <w:jc w:val="left"/>
        <w:rPr>
          <w:rFonts w:ascii="宋体" w:hAnsi="宋体" w:cs="宋体"/>
          <w:b/>
          <w:bCs/>
          <w:kern w:val="0"/>
          <w:sz w:val="21"/>
          <w:szCs w:val="21"/>
          <w:highlight w:val="none"/>
        </w:rPr>
      </w:pPr>
      <w:r>
        <w:rPr>
          <w:rFonts w:hint="eastAsia" w:ascii="宋体" w:hAnsi="宋体" w:cs="宋体"/>
          <w:b/>
          <w:bCs/>
          <w:kern w:val="0"/>
          <w:sz w:val="21"/>
          <w:szCs w:val="21"/>
          <w:highlight w:val="none"/>
        </w:rPr>
        <w:t>27.比较与评价</w:t>
      </w:r>
    </w:p>
    <w:p w14:paraId="596790F5">
      <w:pPr>
        <w:pStyle w:val="22"/>
        <w:widowControl w:val="0"/>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27.1 谈判小组将按本采购文件规定的评标方法与标准，对资格性检查和符合性检查合格的</w:t>
      </w:r>
      <w:r>
        <w:rPr>
          <w:rFonts w:hint="eastAsia" w:ascii="宋体" w:hAnsi="宋体" w:eastAsia="宋体" w:cs="宋体"/>
          <w:sz w:val="21"/>
          <w:szCs w:val="21"/>
          <w:highlight w:val="none"/>
          <w:shd w:val="clear" w:color="auto" w:fill="FFFFFF"/>
        </w:rPr>
        <w:t>响应文件</w:t>
      </w:r>
      <w:r>
        <w:rPr>
          <w:rFonts w:hint="eastAsia" w:ascii="宋体" w:hAnsi="宋体" w:eastAsia="宋体" w:cs="宋体"/>
          <w:sz w:val="21"/>
          <w:szCs w:val="21"/>
          <w:highlight w:val="none"/>
        </w:rPr>
        <w:t>进行商务和技术评估，综合比较与评价。</w:t>
      </w:r>
    </w:p>
    <w:p w14:paraId="7DC6FFB0">
      <w:pPr>
        <w:pStyle w:val="22"/>
        <w:widowControl w:val="0"/>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27.2对漏（缺）报项的处理：竞争性谈判文件中要求列入报价的费用，漏（缺）报的视同已含在投标总价中。</w:t>
      </w:r>
    </w:p>
    <w:p w14:paraId="286D1E3F">
      <w:pPr>
        <w:pStyle w:val="22"/>
        <w:widowControl w:val="0"/>
        <w:snapToGrid w:val="0"/>
        <w:spacing w:before="0" w:beforeAutospacing="0" w:after="0" w:afterAutospacing="0" w:line="360" w:lineRule="auto"/>
        <w:ind w:firstLine="420" w:firstLineChars="200"/>
        <w:jc w:val="both"/>
        <w:rPr>
          <w:rFonts w:ascii="宋体" w:hAnsi="宋体" w:eastAsia="宋体" w:cs="宋体"/>
          <w:sz w:val="21"/>
          <w:szCs w:val="21"/>
          <w:highlight w:val="none"/>
        </w:rPr>
      </w:pPr>
      <w:r>
        <w:rPr>
          <w:rFonts w:hint="eastAsia" w:ascii="宋体" w:hAnsi="宋体" w:eastAsia="宋体" w:cs="宋体"/>
          <w:sz w:val="21"/>
          <w:szCs w:val="21"/>
          <w:highlight w:val="none"/>
        </w:rPr>
        <w:t>27.3谈判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谈判小组应当将其作为无效投标处理。</w:t>
      </w:r>
    </w:p>
    <w:p w14:paraId="1DDCC0D0">
      <w:pPr>
        <w:snapToGrid w:val="0"/>
        <w:spacing w:line="360" w:lineRule="auto"/>
        <w:ind w:firstLine="422" w:firstLineChars="200"/>
        <w:jc w:val="left"/>
        <w:rPr>
          <w:rFonts w:ascii="宋体" w:hAnsi="宋体" w:cs="宋体"/>
          <w:kern w:val="0"/>
          <w:sz w:val="21"/>
          <w:szCs w:val="21"/>
          <w:highlight w:val="none"/>
        </w:rPr>
      </w:pPr>
      <w:r>
        <w:rPr>
          <w:rFonts w:hint="eastAsia" w:ascii="宋体" w:hAnsi="宋体" w:cs="宋体"/>
          <w:b/>
          <w:bCs/>
          <w:kern w:val="0"/>
          <w:sz w:val="21"/>
          <w:szCs w:val="21"/>
          <w:highlight w:val="none"/>
        </w:rPr>
        <w:t>28. 评标过程及保密原则</w:t>
      </w:r>
    </w:p>
    <w:p w14:paraId="4AF64FFB">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28.1 凡与本次采购有关人员对属于审查、澄清、评价和比较</w:t>
      </w:r>
      <w:r>
        <w:rPr>
          <w:rFonts w:hint="eastAsia" w:ascii="宋体" w:hAnsi="宋体" w:cs="宋体"/>
          <w:sz w:val="21"/>
          <w:szCs w:val="21"/>
          <w:highlight w:val="none"/>
        </w:rPr>
        <w:t>谈判</w:t>
      </w:r>
      <w:r>
        <w:rPr>
          <w:rFonts w:hint="eastAsia" w:ascii="宋体" w:hAnsi="宋体" w:cs="宋体"/>
          <w:kern w:val="0"/>
          <w:sz w:val="21"/>
          <w:szCs w:val="21"/>
          <w:highlight w:val="none"/>
        </w:rPr>
        <w:t>的有关资料以及定标意向等，均不得向供应商或其他人员透露。否则,将按有关规定追究相关人员的责任。</w:t>
      </w:r>
    </w:p>
    <w:p w14:paraId="083420F6">
      <w:pPr>
        <w:snapToGrid w:val="0"/>
        <w:spacing w:line="360" w:lineRule="auto"/>
        <w:ind w:firstLine="420" w:firstLineChars="200"/>
        <w:jc w:val="left"/>
        <w:rPr>
          <w:rFonts w:ascii="宋体" w:hAnsi="宋体" w:cs="宋体"/>
          <w:sz w:val="21"/>
          <w:szCs w:val="21"/>
          <w:highlight w:val="none"/>
        </w:rPr>
      </w:pPr>
      <w:r>
        <w:rPr>
          <w:rFonts w:hint="eastAsia" w:ascii="宋体" w:hAnsi="宋体" w:cs="宋体"/>
          <w:kern w:val="0"/>
          <w:sz w:val="21"/>
          <w:szCs w:val="21"/>
          <w:highlight w:val="none"/>
        </w:rPr>
        <w:t>28.2 在评标期间，供应商试图影响或干预评审的任何行为，将导致其</w:t>
      </w:r>
      <w:r>
        <w:rPr>
          <w:rFonts w:hint="eastAsia" w:ascii="宋体" w:hAnsi="宋体" w:cs="宋体"/>
          <w:sz w:val="21"/>
          <w:szCs w:val="21"/>
          <w:highlight w:val="none"/>
        </w:rPr>
        <w:t>谈判</w:t>
      </w:r>
      <w:r>
        <w:rPr>
          <w:rFonts w:hint="eastAsia" w:ascii="宋体" w:hAnsi="宋体" w:cs="宋体"/>
          <w:kern w:val="0"/>
          <w:sz w:val="21"/>
          <w:szCs w:val="21"/>
          <w:highlight w:val="none"/>
        </w:rPr>
        <w:t>被作为无效</w:t>
      </w:r>
      <w:r>
        <w:rPr>
          <w:rFonts w:hint="eastAsia" w:ascii="宋体" w:hAnsi="宋体" w:cs="宋体"/>
          <w:sz w:val="21"/>
          <w:szCs w:val="21"/>
          <w:highlight w:val="none"/>
        </w:rPr>
        <w:t>谈判</w:t>
      </w:r>
      <w:r>
        <w:rPr>
          <w:rFonts w:hint="eastAsia" w:ascii="宋体" w:hAnsi="宋体" w:cs="宋体"/>
          <w:kern w:val="0"/>
          <w:sz w:val="21"/>
          <w:szCs w:val="21"/>
          <w:highlight w:val="none"/>
        </w:rPr>
        <w:t>，并承担相应的法律责任。</w:t>
      </w:r>
    </w:p>
    <w:p w14:paraId="61C2571B">
      <w:pPr>
        <w:snapToGrid w:val="0"/>
        <w:spacing w:line="360" w:lineRule="auto"/>
        <w:ind w:firstLine="422" w:firstLineChars="200"/>
        <w:jc w:val="left"/>
        <w:rPr>
          <w:rFonts w:ascii="宋体" w:hAnsi="宋体" w:cs="宋体"/>
          <w:b/>
          <w:kern w:val="0"/>
          <w:sz w:val="21"/>
          <w:szCs w:val="21"/>
          <w:highlight w:val="none"/>
        </w:rPr>
      </w:pPr>
      <w:r>
        <w:rPr>
          <w:rFonts w:hint="eastAsia" w:ascii="宋体" w:hAnsi="宋体" w:cs="宋体"/>
          <w:b/>
          <w:kern w:val="0"/>
          <w:sz w:val="21"/>
          <w:szCs w:val="21"/>
          <w:highlight w:val="none"/>
        </w:rPr>
        <w:t>29.评标异议登记</w:t>
      </w:r>
    </w:p>
    <w:p w14:paraId="112A8F7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bCs/>
          <w:kern w:val="0"/>
          <w:sz w:val="21"/>
          <w:szCs w:val="21"/>
          <w:highlight w:val="none"/>
        </w:rPr>
        <w:t>采购人</w:t>
      </w:r>
      <w:r>
        <w:rPr>
          <w:rFonts w:hint="eastAsia" w:ascii="宋体" w:hAnsi="宋体" w:cs="宋体"/>
          <w:kern w:val="0"/>
          <w:sz w:val="21"/>
          <w:szCs w:val="21"/>
          <w:highlight w:val="none"/>
        </w:rPr>
        <w:t>工作人员对评审专家等相关人员在评审过程中发现、提出的异议进行逐项登记。</w:t>
      </w:r>
    </w:p>
    <w:p w14:paraId="2143AC74">
      <w:pPr>
        <w:snapToGrid w:val="0"/>
        <w:spacing w:line="360" w:lineRule="auto"/>
        <w:jc w:val="center"/>
        <w:outlineLvl w:val="1"/>
        <w:rPr>
          <w:rFonts w:ascii="宋体" w:hAnsi="宋体" w:cs="宋体"/>
          <w:b/>
          <w:bCs/>
          <w:kern w:val="0"/>
          <w:sz w:val="21"/>
          <w:szCs w:val="21"/>
          <w:highlight w:val="none"/>
        </w:rPr>
      </w:pPr>
      <w:r>
        <w:rPr>
          <w:rFonts w:hint="eastAsia" w:ascii="宋体" w:hAnsi="宋体" w:cs="宋体"/>
          <w:b/>
          <w:bCs/>
          <w:kern w:val="0"/>
          <w:sz w:val="21"/>
          <w:szCs w:val="21"/>
          <w:highlight w:val="none"/>
        </w:rPr>
        <w:t>六、定标</w:t>
      </w:r>
    </w:p>
    <w:p w14:paraId="43D68BBE">
      <w:pPr>
        <w:snapToGrid w:val="0"/>
        <w:spacing w:line="360" w:lineRule="auto"/>
        <w:ind w:firstLine="422" w:firstLineChars="200"/>
        <w:rPr>
          <w:rFonts w:ascii="宋体" w:hAnsi="宋体" w:cs="宋体"/>
          <w:kern w:val="0"/>
          <w:sz w:val="21"/>
          <w:szCs w:val="21"/>
          <w:highlight w:val="none"/>
        </w:rPr>
      </w:pPr>
      <w:r>
        <w:rPr>
          <w:rFonts w:hint="eastAsia" w:ascii="宋体" w:hAnsi="宋体" w:cs="宋体"/>
          <w:b/>
          <w:bCs/>
          <w:kern w:val="0"/>
          <w:sz w:val="21"/>
          <w:szCs w:val="21"/>
          <w:highlight w:val="none"/>
        </w:rPr>
        <w:t>30. 定标原则</w:t>
      </w:r>
    </w:p>
    <w:p w14:paraId="63FDC4CC">
      <w:pPr>
        <w:snapToGrid w:val="0"/>
        <w:spacing w:line="360" w:lineRule="auto"/>
        <w:ind w:firstLine="422" w:firstLineChars="200"/>
        <w:jc w:val="left"/>
        <w:rPr>
          <w:rFonts w:ascii="宋体" w:hAnsi="宋体" w:cs="宋体"/>
          <w:b/>
          <w:kern w:val="0"/>
          <w:sz w:val="21"/>
          <w:szCs w:val="21"/>
          <w:highlight w:val="none"/>
        </w:rPr>
      </w:pPr>
      <w:r>
        <w:rPr>
          <w:rFonts w:hint="eastAsia" w:ascii="宋体" w:hAnsi="宋体" w:cs="宋体"/>
          <w:b/>
          <w:kern w:val="0"/>
          <w:sz w:val="21"/>
          <w:szCs w:val="21"/>
          <w:highlight w:val="none"/>
        </w:rPr>
        <w:t>本次谈判将按照最低评标价法确定成交供应商，即在符合技术参数、质量和服务相等的前提下，以供应商最后一轮报价作为成交供应商的依据，按最终评定价由低到高排列。最终评定价相同的，按最后一轮报价由低到高排列。最终评定价与最后一轮的报价均相同的，按技术指标优劣排列。最终评定价、最后一轮报价与技术指标均相同的，按服务优劣排列。以上全部相同的，通过随机抽取产生。</w:t>
      </w:r>
    </w:p>
    <w:p w14:paraId="1617D32E">
      <w:pPr>
        <w:snapToGrid w:val="0"/>
        <w:spacing w:line="360" w:lineRule="auto"/>
        <w:ind w:firstLine="422" w:firstLineChars="200"/>
        <w:rPr>
          <w:rFonts w:ascii="宋体" w:hAnsi="宋体" w:cs="宋体"/>
          <w:kern w:val="0"/>
          <w:sz w:val="21"/>
          <w:szCs w:val="21"/>
          <w:highlight w:val="none"/>
        </w:rPr>
      </w:pPr>
      <w:r>
        <w:rPr>
          <w:rFonts w:hint="eastAsia" w:ascii="宋体" w:hAnsi="宋体" w:cs="宋体"/>
          <w:b/>
          <w:bCs/>
          <w:kern w:val="0"/>
          <w:sz w:val="21"/>
          <w:szCs w:val="21"/>
          <w:highlight w:val="none"/>
        </w:rPr>
        <w:t>31. 确定成交供应商和成交候选供应商</w:t>
      </w:r>
    </w:p>
    <w:p w14:paraId="0F3E9272">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bCs/>
          <w:kern w:val="0"/>
          <w:sz w:val="21"/>
          <w:szCs w:val="21"/>
          <w:highlight w:val="none"/>
        </w:rPr>
        <w:t>本项目由采购人授权谈判小组确定</w:t>
      </w:r>
      <w:r>
        <w:rPr>
          <w:rFonts w:hint="eastAsia" w:ascii="宋体" w:hAnsi="宋体" w:cs="宋体"/>
          <w:bCs/>
          <w:kern w:val="0"/>
          <w:sz w:val="21"/>
          <w:szCs w:val="21"/>
          <w:highlight w:val="none"/>
          <w:lang w:val="en-US" w:eastAsia="zh-CN"/>
        </w:rPr>
        <w:t>一</w:t>
      </w:r>
      <w:r>
        <w:rPr>
          <w:rFonts w:hint="eastAsia" w:ascii="宋体" w:hAnsi="宋体" w:cs="宋体"/>
          <w:bCs/>
          <w:kern w:val="0"/>
          <w:sz w:val="21"/>
          <w:szCs w:val="21"/>
          <w:highlight w:val="none"/>
        </w:rPr>
        <w:t>名成交供应商并推荐一名成交候选供应商</w:t>
      </w:r>
      <w:r>
        <w:rPr>
          <w:rFonts w:hint="eastAsia" w:ascii="宋体" w:hAnsi="宋体" w:cs="宋体"/>
          <w:kern w:val="0"/>
          <w:sz w:val="21"/>
          <w:szCs w:val="21"/>
          <w:highlight w:val="none"/>
          <w:lang w:eastAsia="zh-CN"/>
        </w:rPr>
        <w:t>，</w:t>
      </w:r>
      <w:r>
        <w:rPr>
          <w:rFonts w:hint="eastAsia" w:ascii="宋体" w:hAnsi="宋体" w:cs="宋体"/>
          <w:kern w:val="0"/>
          <w:sz w:val="21"/>
          <w:szCs w:val="21"/>
          <w:highlight w:val="none"/>
          <w:lang w:val="en-US" w:eastAsia="zh-CN"/>
        </w:rPr>
        <w:t>供应商数量不足据实推荐</w:t>
      </w:r>
      <w:r>
        <w:rPr>
          <w:rFonts w:hint="eastAsia" w:ascii="宋体" w:hAnsi="宋体" w:cs="宋体"/>
          <w:kern w:val="0"/>
          <w:sz w:val="21"/>
          <w:szCs w:val="21"/>
          <w:highlight w:val="none"/>
        </w:rPr>
        <w:t>。</w:t>
      </w:r>
    </w:p>
    <w:p w14:paraId="7C8F3539">
      <w:pPr>
        <w:snapToGrid w:val="0"/>
        <w:spacing w:line="360" w:lineRule="auto"/>
        <w:ind w:firstLine="422" w:firstLineChars="200"/>
        <w:rPr>
          <w:rFonts w:ascii="宋体" w:hAnsi="宋体" w:cs="宋体"/>
          <w:b/>
          <w:bCs/>
          <w:kern w:val="0"/>
          <w:sz w:val="21"/>
          <w:szCs w:val="21"/>
          <w:highlight w:val="none"/>
        </w:rPr>
      </w:pPr>
      <w:r>
        <w:rPr>
          <w:rFonts w:hint="eastAsia" w:ascii="宋体" w:hAnsi="宋体" w:cs="宋体"/>
          <w:b/>
          <w:bCs/>
          <w:kern w:val="0"/>
          <w:sz w:val="21"/>
          <w:szCs w:val="21"/>
          <w:highlight w:val="none"/>
        </w:rPr>
        <w:t>32. 成交通知书及成交结果公告</w:t>
      </w:r>
    </w:p>
    <w:p w14:paraId="3C836AC6">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32.1评审结束后，采购人将成交供应商的情况在本采购项目采购公告发布的同一媒介予以公示，公示期限1个工作日，公示期结束后向成交供应商发出成交通知书。</w:t>
      </w:r>
    </w:p>
    <w:p w14:paraId="51DB6F4B">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45A803F8">
      <w:pPr>
        <w:snapToGrid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56DB4621">
      <w:pPr>
        <w:snapToGrid w:val="0"/>
        <w:spacing w:line="360" w:lineRule="auto"/>
        <w:ind w:firstLine="420" w:firstLineChars="200"/>
        <w:jc w:val="left"/>
        <w:rPr>
          <w:rFonts w:ascii="宋体" w:hAnsi="宋体" w:cs="宋体"/>
          <w:bCs/>
          <w:kern w:val="0"/>
          <w:sz w:val="21"/>
          <w:szCs w:val="21"/>
          <w:highlight w:val="none"/>
        </w:rPr>
      </w:pPr>
      <w:r>
        <w:rPr>
          <w:rFonts w:hint="eastAsia" w:ascii="宋体" w:hAnsi="宋体" w:cs="宋体"/>
          <w:kern w:val="0"/>
          <w:sz w:val="21"/>
          <w:szCs w:val="21"/>
          <w:highlight w:val="none"/>
        </w:rPr>
        <w:t>32</w:t>
      </w:r>
      <w:r>
        <w:rPr>
          <w:rFonts w:hint="eastAsia" w:ascii="宋体" w:hAnsi="宋体" w:cs="宋体"/>
          <w:bCs/>
          <w:kern w:val="0"/>
          <w:sz w:val="21"/>
          <w:szCs w:val="21"/>
          <w:highlight w:val="none"/>
        </w:rPr>
        <w:t>.4成交通知书将作为签订合同的依据。合同签订后，成交通知书成为合同的一部分。</w:t>
      </w:r>
    </w:p>
    <w:p w14:paraId="7F55C063">
      <w:pPr>
        <w:snapToGrid w:val="0"/>
        <w:spacing w:line="360" w:lineRule="auto"/>
        <w:ind w:firstLine="422" w:firstLineChars="200"/>
        <w:rPr>
          <w:rFonts w:ascii="宋体" w:hAnsi="宋体" w:cs="宋体"/>
          <w:b/>
          <w:bCs/>
          <w:kern w:val="0"/>
          <w:sz w:val="21"/>
          <w:szCs w:val="21"/>
          <w:highlight w:val="none"/>
        </w:rPr>
      </w:pPr>
      <w:r>
        <w:rPr>
          <w:rFonts w:hint="eastAsia" w:ascii="宋体" w:hAnsi="宋体" w:cs="宋体"/>
          <w:b/>
          <w:bCs/>
          <w:kern w:val="0"/>
          <w:sz w:val="21"/>
          <w:szCs w:val="21"/>
          <w:highlight w:val="none"/>
        </w:rPr>
        <w:t>33. 采购人宣布废标的权利</w:t>
      </w:r>
    </w:p>
    <w:p w14:paraId="322F21D4">
      <w:pPr>
        <w:snapToGrid w:val="0"/>
        <w:spacing w:line="360" w:lineRule="auto"/>
        <w:ind w:firstLine="420" w:firstLineChars="200"/>
        <w:jc w:val="left"/>
        <w:rPr>
          <w:rFonts w:ascii="宋体" w:hAnsi="宋体" w:cs="宋体"/>
          <w:bCs/>
          <w:kern w:val="0"/>
          <w:sz w:val="21"/>
          <w:szCs w:val="21"/>
          <w:highlight w:val="none"/>
        </w:rPr>
      </w:pPr>
      <w:r>
        <w:rPr>
          <w:rFonts w:hint="eastAsia" w:ascii="宋体" w:hAnsi="宋体" w:cs="宋体"/>
          <w:bCs/>
          <w:kern w:val="0"/>
          <w:sz w:val="21"/>
          <w:szCs w:val="21"/>
          <w:highlight w:val="none"/>
        </w:rPr>
        <w:t>33.1出现下列情况之一时，采购人有权宣布废标，并将理由通知所有供应商：</w:t>
      </w:r>
    </w:p>
    <w:p w14:paraId="57FBAB0F">
      <w:pPr>
        <w:snapToGrid w:val="0"/>
        <w:spacing w:line="360" w:lineRule="auto"/>
        <w:ind w:firstLine="420" w:firstLineChars="200"/>
        <w:jc w:val="left"/>
        <w:rPr>
          <w:rFonts w:ascii="宋体" w:hAnsi="宋体" w:cs="宋体"/>
          <w:bCs/>
          <w:kern w:val="0"/>
          <w:sz w:val="21"/>
          <w:szCs w:val="21"/>
          <w:highlight w:val="none"/>
        </w:rPr>
      </w:pPr>
      <w:r>
        <w:rPr>
          <w:rFonts w:hint="eastAsia" w:ascii="宋体" w:hAnsi="宋体" w:cs="宋体"/>
          <w:bCs/>
          <w:kern w:val="0"/>
          <w:sz w:val="21"/>
          <w:szCs w:val="21"/>
          <w:highlight w:val="none"/>
        </w:rPr>
        <w:t>33.1.1出现影响采购公正的违法、违规行为的。</w:t>
      </w:r>
    </w:p>
    <w:p w14:paraId="765E8572">
      <w:pPr>
        <w:snapToGrid w:val="0"/>
        <w:spacing w:line="360" w:lineRule="auto"/>
        <w:ind w:firstLine="420" w:firstLineChars="200"/>
        <w:jc w:val="left"/>
        <w:rPr>
          <w:rFonts w:ascii="宋体" w:hAnsi="宋体" w:cs="宋体"/>
          <w:bCs/>
          <w:kern w:val="0"/>
          <w:sz w:val="21"/>
          <w:szCs w:val="21"/>
          <w:highlight w:val="none"/>
        </w:rPr>
      </w:pPr>
      <w:r>
        <w:rPr>
          <w:rFonts w:hint="eastAsia" w:ascii="宋体" w:hAnsi="宋体" w:cs="宋体"/>
          <w:bCs/>
          <w:kern w:val="0"/>
          <w:sz w:val="21"/>
          <w:szCs w:val="21"/>
          <w:highlight w:val="none"/>
        </w:rPr>
        <w:t>33.1.2供应商的报价均超过了采购预算金额，采购人不能支付的。</w:t>
      </w:r>
    </w:p>
    <w:p w14:paraId="60702F02">
      <w:pPr>
        <w:snapToGrid w:val="0"/>
        <w:spacing w:line="360" w:lineRule="auto"/>
        <w:ind w:firstLine="420" w:firstLineChars="200"/>
        <w:jc w:val="left"/>
        <w:rPr>
          <w:rFonts w:ascii="宋体" w:hAnsi="宋体" w:cs="宋体"/>
          <w:bCs/>
          <w:kern w:val="0"/>
          <w:sz w:val="21"/>
          <w:szCs w:val="21"/>
          <w:highlight w:val="none"/>
        </w:rPr>
      </w:pPr>
      <w:r>
        <w:rPr>
          <w:rFonts w:hint="eastAsia" w:ascii="宋体" w:hAnsi="宋体" w:cs="宋体"/>
          <w:bCs/>
          <w:kern w:val="0"/>
          <w:sz w:val="21"/>
          <w:szCs w:val="21"/>
          <w:highlight w:val="none"/>
        </w:rPr>
        <w:t>33.1.3因重大变故，采购任务取消的。</w:t>
      </w:r>
    </w:p>
    <w:p w14:paraId="65E0D71F">
      <w:pPr>
        <w:snapToGrid w:val="0"/>
        <w:spacing w:line="360" w:lineRule="auto"/>
        <w:ind w:firstLine="420" w:firstLineChars="200"/>
        <w:rPr>
          <w:rFonts w:ascii="宋体" w:hAnsi="宋体" w:cs="宋体"/>
          <w:sz w:val="21"/>
          <w:szCs w:val="21"/>
          <w:highlight w:val="none"/>
        </w:rPr>
      </w:pPr>
      <w:r>
        <w:rPr>
          <w:rFonts w:hint="eastAsia" w:ascii="宋体" w:hAnsi="宋体" w:cs="宋体"/>
          <w:bCs/>
          <w:kern w:val="0"/>
          <w:sz w:val="21"/>
          <w:szCs w:val="21"/>
          <w:highlight w:val="none"/>
        </w:rPr>
        <w:t>33</w:t>
      </w:r>
      <w:r>
        <w:rPr>
          <w:rFonts w:hint="eastAsia" w:ascii="宋体" w:hAnsi="宋体" w:cs="宋体"/>
          <w:kern w:val="0"/>
          <w:sz w:val="21"/>
          <w:szCs w:val="21"/>
          <w:highlight w:val="none"/>
        </w:rPr>
        <w:t xml:space="preserve">.2 </w:t>
      </w:r>
      <w:r>
        <w:rPr>
          <w:rFonts w:hint="eastAsia" w:ascii="宋体" w:hAnsi="宋体" w:cs="宋体"/>
          <w:sz w:val="21"/>
          <w:szCs w:val="21"/>
          <w:highlight w:val="none"/>
        </w:rPr>
        <w:t>投标截止后供应商不足3家或通过资格性检查或符合性检查的供应商不足3家的，除采购任务取消情形外，按照以下方式处理：</w:t>
      </w:r>
    </w:p>
    <w:p w14:paraId="02A067C9">
      <w:pPr>
        <w:numPr>
          <w:ilvl w:val="0"/>
          <w:numId w:val="2"/>
        </w:numPr>
        <w:snapToGrid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采购文件存在不合理条款或者招标程序不符合规定的，采购人正后依法重新招标；　</w:t>
      </w:r>
    </w:p>
    <w:p w14:paraId="49918EB9">
      <w:pPr>
        <w:snapToGrid w:val="0"/>
        <w:spacing w:line="360" w:lineRule="auto"/>
        <w:ind w:firstLine="420" w:firstLineChars="200"/>
        <w:rPr>
          <w:rFonts w:ascii="宋体" w:hAnsi="宋体" w:cs="宋体"/>
          <w:b/>
          <w:kern w:val="0"/>
          <w:sz w:val="21"/>
          <w:szCs w:val="21"/>
          <w:highlight w:val="none"/>
        </w:rPr>
      </w:pPr>
      <w:r>
        <w:rPr>
          <w:rFonts w:hint="eastAsia" w:ascii="宋体" w:hAnsi="宋体" w:cs="宋体"/>
          <w:sz w:val="21"/>
          <w:szCs w:val="21"/>
          <w:highlight w:val="none"/>
        </w:rPr>
        <w:t>（2）采购文件没有不合理条款、招标程序符合规定，需要采用其他采购方式采购的，采购人应当依法报财政部门批准。</w:t>
      </w:r>
    </w:p>
    <w:p w14:paraId="09C2F570">
      <w:pPr>
        <w:snapToGrid w:val="0"/>
        <w:spacing w:line="380" w:lineRule="exact"/>
        <w:jc w:val="center"/>
        <w:outlineLvl w:val="1"/>
        <w:rPr>
          <w:rFonts w:ascii="宋体" w:hAnsi="宋体" w:cs="宋体"/>
          <w:b/>
          <w:bCs/>
          <w:kern w:val="0"/>
          <w:sz w:val="21"/>
          <w:szCs w:val="21"/>
          <w:highlight w:val="none"/>
        </w:rPr>
      </w:pPr>
    </w:p>
    <w:p w14:paraId="433EB9D7">
      <w:pPr>
        <w:snapToGrid w:val="0"/>
        <w:spacing w:line="380" w:lineRule="exact"/>
        <w:jc w:val="center"/>
        <w:outlineLvl w:val="1"/>
        <w:rPr>
          <w:rFonts w:ascii="宋体" w:hAnsi="宋体" w:cs="宋体"/>
          <w:b/>
          <w:bCs/>
          <w:kern w:val="0"/>
          <w:sz w:val="21"/>
          <w:szCs w:val="21"/>
          <w:highlight w:val="none"/>
        </w:rPr>
      </w:pPr>
      <w:r>
        <w:rPr>
          <w:rFonts w:hint="eastAsia" w:ascii="宋体" w:hAnsi="宋体" w:cs="宋体"/>
          <w:b/>
          <w:bCs/>
          <w:kern w:val="0"/>
          <w:sz w:val="21"/>
          <w:szCs w:val="21"/>
          <w:highlight w:val="none"/>
        </w:rPr>
        <w:t>七、合同授予</w:t>
      </w:r>
    </w:p>
    <w:p w14:paraId="0A76CDEF">
      <w:pPr>
        <w:snapToGrid w:val="0"/>
        <w:spacing w:line="380" w:lineRule="exact"/>
        <w:ind w:firstLine="472" w:firstLineChars="224"/>
        <w:rPr>
          <w:rFonts w:ascii="宋体" w:hAnsi="宋体" w:cs="宋体"/>
          <w:kern w:val="0"/>
          <w:sz w:val="21"/>
          <w:szCs w:val="21"/>
          <w:highlight w:val="none"/>
        </w:rPr>
      </w:pPr>
      <w:r>
        <w:rPr>
          <w:rFonts w:hint="eastAsia" w:ascii="宋体" w:hAnsi="宋体" w:cs="宋体"/>
          <w:b/>
          <w:bCs/>
          <w:kern w:val="0"/>
          <w:sz w:val="21"/>
          <w:szCs w:val="21"/>
          <w:highlight w:val="none"/>
        </w:rPr>
        <w:t>34.合同签订</w:t>
      </w:r>
    </w:p>
    <w:p w14:paraId="4B5D63D8">
      <w:pPr>
        <w:snapToGrid w:val="0"/>
        <w:spacing w:line="38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34.1 采购人、成交供应商自成交通知书发出之日起，在采购文件第三章《供应商须知前附表》规定的时间内，根据采购文件确定的事项和成交供应商</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签订合同。双方所签订的合同不得对采购文件和成交供应商</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作实质性修改。</w:t>
      </w:r>
    </w:p>
    <w:p w14:paraId="4C935705">
      <w:pPr>
        <w:snapToGrid w:val="0"/>
        <w:spacing w:line="38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34.2 采购文件、采购文件的修改文件、成交供应商的</w:t>
      </w:r>
      <w:r>
        <w:rPr>
          <w:rFonts w:hint="eastAsia" w:ascii="宋体" w:hAnsi="宋体" w:cs="宋体"/>
          <w:sz w:val="21"/>
          <w:szCs w:val="21"/>
          <w:highlight w:val="none"/>
          <w:shd w:val="clear" w:color="auto" w:fill="FFFFFF"/>
        </w:rPr>
        <w:t>响应文件</w:t>
      </w:r>
      <w:r>
        <w:rPr>
          <w:rFonts w:hint="eastAsia" w:ascii="宋体" w:hAnsi="宋体" w:cs="宋体"/>
          <w:kern w:val="0"/>
          <w:sz w:val="21"/>
          <w:szCs w:val="21"/>
          <w:highlight w:val="none"/>
        </w:rPr>
        <w:t>、补充或修改的文件及澄清或承诺文件等，均为双方签订合同的组成部分，并与合同一并作为本采购文件所列采购项目的互补性法律文件，与合同具有同等法律效力。</w:t>
      </w:r>
    </w:p>
    <w:p w14:paraId="23021819">
      <w:pPr>
        <w:snapToGrid w:val="0"/>
        <w:spacing w:line="460" w:lineRule="exact"/>
        <w:ind w:firstLine="420" w:firstLineChars="200"/>
        <w:jc w:val="left"/>
        <w:textAlignment w:val="baseline"/>
        <w:rPr>
          <w:rFonts w:ascii="宋体" w:hAnsi="宋体" w:cs="宋体"/>
          <w:kern w:val="0"/>
          <w:sz w:val="21"/>
          <w:szCs w:val="21"/>
          <w:highlight w:val="none"/>
        </w:rPr>
      </w:pPr>
      <w:r>
        <w:rPr>
          <w:rFonts w:hint="eastAsia" w:ascii="宋体" w:hAnsi="宋体" w:cs="宋体"/>
          <w:kern w:val="0"/>
          <w:sz w:val="21"/>
          <w:szCs w:val="21"/>
          <w:highlight w:val="none"/>
        </w:rPr>
        <w:t>34.3 成交供应商放弃成交、因不可抗力不能履行合同、不按照采购文件要求提交履约保证金，或者被查实存在影响成交结果的违法行为等情形，不符合成交条件的，采购人可以按照谈判小组提出的成交候选供应商名单排序依次确定其他成交候选供应商为成交供应商，也可以重新招标。</w:t>
      </w:r>
    </w:p>
    <w:p w14:paraId="4B0D0CEF">
      <w:pPr>
        <w:pStyle w:val="47"/>
        <w:snapToGrid w:val="0"/>
        <w:jc w:val="center"/>
        <w:textAlignment w:val="baseline"/>
        <w:rPr>
          <w:rFonts w:ascii="宋体" w:hAnsi="宋体" w:cs="宋体"/>
          <w:b/>
          <w:bCs/>
          <w:sz w:val="32"/>
          <w:szCs w:val="32"/>
          <w:highlight w:val="none"/>
        </w:rPr>
      </w:pPr>
      <w:r>
        <w:rPr>
          <w:rFonts w:hint="eastAsia" w:ascii="宋体" w:hAnsi="宋体" w:cs="宋体"/>
          <w:b/>
          <w:bCs/>
          <w:sz w:val="36"/>
          <w:szCs w:val="24"/>
          <w:highlight w:val="none"/>
        </w:rPr>
        <w:br w:type="page"/>
      </w:r>
    </w:p>
    <w:p w14:paraId="6BD3FD7A">
      <w:pPr>
        <w:pStyle w:val="47"/>
        <w:snapToGrid w:val="0"/>
        <w:spacing w:beforeLines="100" w:afterLines="100" w:line="460" w:lineRule="exact"/>
        <w:jc w:val="center"/>
        <w:textAlignment w:val="baseline"/>
        <w:outlineLvl w:val="0"/>
        <w:rPr>
          <w:rFonts w:ascii="宋体" w:hAnsi="宋体" w:cs="宋体"/>
          <w:b/>
          <w:bCs/>
          <w:sz w:val="36"/>
          <w:szCs w:val="24"/>
          <w:highlight w:val="none"/>
        </w:rPr>
      </w:pPr>
      <w:bookmarkStart w:id="78" w:name="_Toc2714"/>
      <w:r>
        <w:rPr>
          <w:rFonts w:hint="eastAsia" w:ascii="宋体" w:hAnsi="宋体" w:cs="宋体"/>
          <w:b/>
          <w:bCs/>
          <w:sz w:val="36"/>
          <w:szCs w:val="24"/>
          <w:highlight w:val="none"/>
        </w:rPr>
        <w:t>第四章  合同（主要条款）</w:t>
      </w:r>
      <w:bookmarkEnd w:id="78"/>
    </w:p>
    <w:p w14:paraId="26AE43EE">
      <w:pPr>
        <w:snapToGrid w:val="0"/>
        <w:spacing w:line="360" w:lineRule="auto"/>
        <w:jc w:val="center"/>
        <w:rPr>
          <w:rFonts w:ascii="宋体" w:hAnsi="宋体" w:cs="宋体"/>
          <w:sz w:val="21"/>
          <w:szCs w:val="21"/>
          <w:highlight w:val="none"/>
        </w:rPr>
      </w:pPr>
      <w:r>
        <w:rPr>
          <w:rFonts w:hint="eastAsia" w:ascii="宋体" w:hAnsi="宋体" w:cs="宋体"/>
          <w:sz w:val="21"/>
          <w:szCs w:val="21"/>
          <w:highlight w:val="none"/>
        </w:rPr>
        <w:t>（以实际合同为准）</w:t>
      </w:r>
    </w:p>
    <w:p w14:paraId="28CCCC25">
      <w:pPr>
        <w:pStyle w:val="7"/>
        <w:snapToGrid w:val="0"/>
        <w:jc w:val="both"/>
        <w:textAlignment w:val="baseline"/>
        <w:rPr>
          <w:rFonts w:hAnsi="宋体"/>
          <w:highlight w:val="none"/>
        </w:rPr>
      </w:pPr>
    </w:p>
    <w:p w14:paraId="0177A17B">
      <w:pPr>
        <w:pStyle w:val="47"/>
        <w:snapToGrid w:val="0"/>
        <w:spacing w:beforeLines="100" w:afterLines="100" w:line="460" w:lineRule="exact"/>
        <w:jc w:val="center"/>
        <w:textAlignment w:val="baseline"/>
        <w:outlineLvl w:val="0"/>
        <w:rPr>
          <w:rFonts w:ascii="宋体" w:hAnsi="宋体" w:cs="宋体"/>
          <w:b/>
          <w:bCs/>
          <w:sz w:val="36"/>
          <w:szCs w:val="24"/>
          <w:highlight w:val="none"/>
        </w:rPr>
        <w:sectPr>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pPr>
    </w:p>
    <w:p w14:paraId="5D354E87">
      <w:pPr>
        <w:pStyle w:val="47"/>
        <w:snapToGrid w:val="0"/>
        <w:spacing w:beforeLines="100" w:afterLines="100" w:line="460" w:lineRule="exact"/>
        <w:jc w:val="center"/>
        <w:textAlignment w:val="baseline"/>
        <w:outlineLvl w:val="0"/>
        <w:rPr>
          <w:rFonts w:ascii="宋体" w:hAnsi="宋体" w:cs="宋体"/>
          <w:b/>
          <w:bCs/>
          <w:sz w:val="36"/>
          <w:szCs w:val="24"/>
          <w:highlight w:val="none"/>
        </w:rPr>
      </w:pPr>
      <w:bookmarkStart w:id="79" w:name="_Toc13353"/>
      <w:r>
        <w:rPr>
          <w:rFonts w:hint="eastAsia" w:ascii="宋体" w:hAnsi="宋体" w:cs="宋体"/>
          <w:b/>
          <w:bCs/>
          <w:sz w:val="36"/>
          <w:szCs w:val="24"/>
          <w:highlight w:val="none"/>
        </w:rPr>
        <w:t>第五章  响应文件格式</w:t>
      </w:r>
      <w:bookmarkEnd w:id="79"/>
    </w:p>
    <w:p w14:paraId="565C908F">
      <w:pPr>
        <w:pStyle w:val="47"/>
        <w:snapToGrid w:val="0"/>
        <w:textAlignment w:val="baseline"/>
        <w:rPr>
          <w:rFonts w:ascii="宋体" w:hAnsi="宋体" w:cs="宋体"/>
          <w:highlight w:val="none"/>
        </w:rPr>
      </w:pPr>
    </w:p>
    <w:p w14:paraId="2F0D65C9">
      <w:pPr>
        <w:snapToGrid w:val="0"/>
        <w:textAlignment w:val="baseline"/>
        <w:rPr>
          <w:rFonts w:ascii="宋体" w:hAnsi="宋体" w:cs="宋体"/>
          <w:sz w:val="20"/>
          <w:highlight w:val="none"/>
        </w:rPr>
      </w:pPr>
    </w:p>
    <w:p w14:paraId="0BF595DB">
      <w:pPr>
        <w:jc w:val="center"/>
        <w:rPr>
          <w:rFonts w:ascii="宋体" w:hAnsi="宋体" w:cs="宋体"/>
          <w:b/>
          <w:color w:val="000000"/>
          <w:szCs w:val="28"/>
          <w:highlight w:val="none"/>
        </w:rPr>
      </w:pPr>
      <w:r>
        <w:rPr>
          <w:rFonts w:hint="eastAsia" w:ascii="宋体" w:hAnsi="宋体" w:cs="宋体"/>
          <w:b/>
          <w:color w:val="000000"/>
          <w:szCs w:val="28"/>
          <w:highlight w:val="none"/>
        </w:rPr>
        <w:t>目     录</w:t>
      </w:r>
    </w:p>
    <w:p w14:paraId="0D91250A">
      <w:pPr>
        <w:pStyle w:val="3"/>
        <w:rPr>
          <w:highlight w:val="none"/>
        </w:rPr>
      </w:pPr>
    </w:p>
    <w:p w14:paraId="2BF69211">
      <w:pPr>
        <w:snapToGrid w:val="0"/>
        <w:spacing w:line="360" w:lineRule="auto"/>
        <w:ind w:firstLine="480" w:firstLineChars="200"/>
        <w:rPr>
          <w:rFonts w:ascii="宋体" w:hAnsi="宋体" w:cs="宋体"/>
          <w:sz w:val="24"/>
          <w:highlight w:val="none"/>
        </w:rPr>
      </w:pPr>
      <w:bookmarkStart w:id="80" w:name="_Toc11308"/>
      <w:r>
        <w:rPr>
          <w:rFonts w:hint="eastAsia" w:ascii="宋体" w:hAnsi="宋体" w:cs="宋体"/>
          <w:sz w:val="24"/>
          <w:highlight w:val="none"/>
        </w:rPr>
        <w:t>附件1封面（格式）</w:t>
      </w:r>
      <w:bookmarkEnd w:id="80"/>
    </w:p>
    <w:p w14:paraId="7867ABFE">
      <w:pPr>
        <w:snapToGrid w:val="0"/>
        <w:spacing w:line="360" w:lineRule="auto"/>
        <w:ind w:firstLine="480" w:firstLineChars="200"/>
        <w:rPr>
          <w:rFonts w:ascii="宋体" w:hAnsi="宋体" w:cs="宋体"/>
          <w:sz w:val="24"/>
          <w:highlight w:val="none"/>
        </w:rPr>
      </w:pPr>
      <w:bookmarkStart w:id="81" w:name="_Toc25345"/>
      <w:r>
        <w:rPr>
          <w:rFonts w:hint="eastAsia" w:ascii="宋体" w:hAnsi="宋体" w:cs="宋体"/>
          <w:sz w:val="24"/>
          <w:highlight w:val="none"/>
        </w:rPr>
        <w:t>附件2 竞争性谈判响应书（格式）</w:t>
      </w:r>
      <w:bookmarkEnd w:id="81"/>
    </w:p>
    <w:p w14:paraId="671FF79F">
      <w:pPr>
        <w:snapToGrid w:val="0"/>
        <w:spacing w:line="360" w:lineRule="auto"/>
        <w:ind w:firstLine="480" w:firstLineChars="200"/>
        <w:rPr>
          <w:rFonts w:ascii="宋体" w:hAnsi="宋体" w:cs="宋体"/>
          <w:sz w:val="24"/>
          <w:highlight w:val="none"/>
        </w:rPr>
      </w:pPr>
      <w:bookmarkStart w:id="82" w:name="_Toc10217"/>
      <w:r>
        <w:rPr>
          <w:rFonts w:hint="eastAsia" w:ascii="宋体" w:hAnsi="宋体" w:cs="宋体"/>
          <w:sz w:val="24"/>
          <w:highlight w:val="none"/>
        </w:rPr>
        <w:t>附件3 初次报价一览表（格式）</w:t>
      </w:r>
      <w:bookmarkEnd w:id="82"/>
    </w:p>
    <w:p w14:paraId="0F92A6F0">
      <w:pPr>
        <w:snapToGrid w:val="0"/>
        <w:spacing w:line="360" w:lineRule="auto"/>
        <w:ind w:firstLine="480" w:firstLineChars="200"/>
        <w:rPr>
          <w:rFonts w:hint="eastAsia" w:ascii="宋体" w:hAnsi="宋体" w:cs="宋体"/>
          <w:sz w:val="24"/>
          <w:highlight w:val="none"/>
        </w:rPr>
      </w:pPr>
      <w:bookmarkStart w:id="83" w:name="_Toc9579"/>
      <w:r>
        <w:rPr>
          <w:rFonts w:hint="eastAsia" w:ascii="宋体" w:hAnsi="宋体" w:cs="宋体"/>
          <w:sz w:val="24"/>
          <w:highlight w:val="none"/>
        </w:rPr>
        <w:t xml:space="preserve">附件4 </w:t>
      </w:r>
      <w:bookmarkEnd w:id="83"/>
      <w:r>
        <w:rPr>
          <w:rFonts w:hint="eastAsia" w:ascii="宋体" w:hAnsi="宋体" w:cs="宋体"/>
          <w:sz w:val="24"/>
          <w:highlight w:val="none"/>
        </w:rPr>
        <w:t>报价明细表（格式）</w:t>
      </w:r>
    </w:p>
    <w:p w14:paraId="799B67E0">
      <w:pPr>
        <w:snapToGrid w:val="0"/>
        <w:spacing w:line="360" w:lineRule="auto"/>
        <w:ind w:firstLine="480" w:firstLineChars="200"/>
        <w:rPr>
          <w:rFonts w:ascii="宋体" w:hAnsi="宋体" w:cs="宋体"/>
          <w:sz w:val="24"/>
          <w:highlight w:val="none"/>
        </w:rPr>
      </w:pPr>
      <w:bookmarkStart w:id="84" w:name="_Toc6234"/>
      <w:r>
        <w:rPr>
          <w:rFonts w:hint="eastAsia" w:ascii="宋体" w:hAnsi="宋体" w:cs="宋体"/>
          <w:sz w:val="24"/>
          <w:highlight w:val="none"/>
        </w:rPr>
        <w:t>附件</w:t>
      </w:r>
      <w:r>
        <w:rPr>
          <w:rFonts w:hint="eastAsia" w:ascii="宋体" w:hAnsi="宋体" w:cs="宋体"/>
          <w:sz w:val="24"/>
          <w:highlight w:val="none"/>
          <w:lang w:val="en-US" w:eastAsia="zh-CN"/>
        </w:rPr>
        <w:t>5</w:t>
      </w:r>
      <w:r>
        <w:rPr>
          <w:rFonts w:hint="eastAsia" w:ascii="宋体" w:hAnsi="宋体" w:cs="宋体"/>
          <w:sz w:val="24"/>
          <w:highlight w:val="none"/>
        </w:rPr>
        <w:t xml:space="preserve"> 商务</w:t>
      </w:r>
      <w:bookmarkEnd w:id="84"/>
      <w:r>
        <w:rPr>
          <w:rFonts w:hint="eastAsia" w:ascii="宋体" w:hAnsi="宋体" w:cs="宋体"/>
          <w:sz w:val="24"/>
          <w:highlight w:val="none"/>
        </w:rPr>
        <w:t>响应表（格式）</w:t>
      </w:r>
    </w:p>
    <w:p w14:paraId="4B109FC3">
      <w:pPr>
        <w:snapToGrid w:val="0"/>
        <w:spacing w:line="360" w:lineRule="auto"/>
        <w:ind w:firstLine="480" w:firstLineChars="200"/>
        <w:rPr>
          <w:rFonts w:ascii="宋体" w:hAnsi="宋体" w:cs="宋体"/>
          <w:sz w:val="24"/>
          <w:highlight w:val="none"/>
        </w:rPr>
      </w:pPr>
      <w:bookmarkStart w:id="85" w:name="_Toc26231"/>
      <w:r>
        <w:rPr>
          <w:rFonts w:hint="eastAsia" w:ascii="宋体" w:hAnsi="宋体" w:cs="宋体"/>
          <w:sz w:val="24"/>
          <w:highlight w:val="none"/>
        </w:rPr>
        <w:t>附件</w:t>
      </w:r>
      <w:r>
        <w:rPr>
          <w:rFonts w:hint="eastAsia" w:ascii="宋体" w:hAnsi="宋体" w:cs="宋体"/>
          <w:sz w:val="24"/>
          <w:highlight w:val="none"/>
          <w:lang w:val="en-US" w:eastAsia="zh-CN"/>
        </w:rPr>
        <w:t>6</w:t>
      </w:r>
      <w:r>
        <w:rPr>
          <w:rFonts w:hint="eastAsia" w:ascii="宋体" w:hAnsi="宋体" w:cs="宋体"/>
          <w:sz w:val="24"/>
          <w:highlight w:val="none"/>
        </w:rPr>
        <w:t>法定代表人身份证明（格式）</w:t>
      </w:r>
      <w:bookmarkEnd w:id="85"/>
    </w:p>
    <w:p w14:paraId="24E62C89">
      <w:pPr>
        <w:snapToGrid w:val="0"/>
        <w:spacing w:line="360" w:lineRule="auto"/>
        <w:ind w:firstLine="480" w:firstLineChars="200"/>
        <w:rPr>
          <w:rFonts w:ascii="宋体" w:hAnsi="宋体" w:cs="宋体"/>
          <w:sz w:val="24"/>
          <w:highlight w:val="none"/>
        </w:rPr>
      </w:pPr>
      <w:bookmarkStart w:id="86" w:name="_Toc18484"/>
      <w:r>
        <w:rPr>
          <w:rFonts w:hint="eastAsia" w:ascii="宋体" w:hAnsi="宋体" w:cs="宋体"/>
          <w:sz w:val="24"/>
          <w:highlight w:val="none"/>
        </w:rPr>
        <w:t>附件</w:t>
      </w:r>
      <w:r>
        <w:rPr>
          <w:rFonts w:hint="eastAsia" w:ascii="宋体" w:hAnsi="宋体" w:cs="宋体"/>
          <w:sz w:val="24"/>
          <w:highlight w:val="none"/>
          <w:lang w:val="en-US" w:eastAsia="zh-CN"/>
        </w:rPr>
        <w:t>7</w:t>
      </w:r>
      <w:r>
        <w:rPr>
          <w:rFonts w:hint="eastAsia" w:ascii="宋体" w:hAnsi="宋体" w:cs="宋体"/>
          <w:sz w:val="24"/>
          <w:highlight w:val="none"/>
        </w:rPr>
        <w:t>法定代表人授权书（格式）</w:t>
      </w:r>
      <w:bookmarkEnd w:id="86"/>
    </w:p>
    <w:p w14:paraId="49332662">
      <w:pPr>
        <w:snapToGrid w:val="0"/>
        <w:spacing w:line="360" w:lineRule="auto"/>
        <w:ind w:firstLine="480" w:firstLineChars="200"/>
        <w:rPr>
          <w:rFonts w:ascii="宋体" w:hAnsi="宋体" w:cs="宋体"/>
          <w:sz w:val="24"/>
          <w:highlight w:val="none"/>
        </w:rPr>
      </w:pPr>
      <w:bookmarkStart w:id="87" w:name="_Toc31857"/>
      <w:r>
        <w:rPr>
          <w:rFonts w:hint="eastAsia" w:ascii="宋体" w:hAnsi="宋体" w:cs="宋体"/>
          <w:sz w:val="24"/>
          <w:highlight w:val="none"/>
        </w:rPr>
        <w:t>附件</w:t>
      </w:r>
      <w:r>
        <w:rPr>
          <w:rFonts w:hint="eastAsia" w:ascii="宋体" w:hAnsi="宋体" w:cs="宋体"/>
          <w:sz w:val="24"/>
          <w:highlight w:val="none"/>
          <w:lang w:val="en-US" w:eastAsia="zh-CN"/>
        </w:rPr>
        <w:t>8</w:t>
      </w:r>
      <w:r>
        <w:rPr>
          <w:rFonts w:hint="eastAsia" w:ascii="宋体" w:hAnsi="宋体" w:cs="宋体"/>
          <w:sz w:val="24"/>
          <w:highlight w:val="none"/>
        </w:rPr>
        <w:t xml:space="preserve"> 证明文件</w:t>
      </w:r>
      <w:bookmarkEnd w:id="87"/>
    </w:p>
    <w:p w14:paraId="6592A0AE">
      <w:pPr>
        <w:pStyle w:val="12"/>
        <w:snapToGrid w:val="0"/>
        <w:spacing w:before="312" w:after="312" w:line="600" w:lineRule="exact"/>
        <w:jc w:val="center"/>
        <w:textAlignment w:val="baseline"/>
        <w:rPr>
          <w:rFonts w:hAnsi="宋体" w:cs="宋体"/>
          <w:b/>
          <w:snapToGrid w:val="0"/>
          <w:kern w:val="0"/>
          <w:sz w:val="44"/>
          <w:szCs w:val="44"/>
          <w:highlight w:val="none"/>
        </w:rPr>
      </w:pPr>
    </w:p>
    <w:p w14:paraId="5591B3F1">
      <w:pPr>
        <w:pStyle w:val="12"/>
        <w:snapToGrid w:val="0"/>
        <w:spacing w:before="312" w:after="312" w:line="600" w:lineRule="exact"/>
        <w:jc w:val="center"/>
        <w:textAlignment w:val="baseline"/>
        <w:rPr>
          <w:rFonts w:hAnsi="宋体" w:cs="宋体"/>
          <w:b/>
          <w:snapToGrid w:val="0"/>
          <w:kern w:val="0"/>
          <w:sz w:val="44"/>
          <w:szCs w:val="44"/>
          <w:highlight w:val="none"/>
        </w:rPr>
      </w:pPr>
    </w:p>
    <w:p w14:paraId="58D02DE9">
      <w:pPr>
        <w:pStyle w:val="12"/>
        <w:snapToGrid w:val="0"/>
        <w:spacing w:before="312" w:after="312" w:line="600" w:lineRule="exact"/>
        <w:jc w:val="center"/>
        <w:textAlignment w:val="baseline"/>
        <w:rPr>
          <w:rFonts w:hAnsi="宋体" w:cs="宋体"/>
          <w:b/>
          <w:snapToGrid w:val="0"/>
          <w:kern w:val="0"/>
          <w:sz w:val="44"/>
          <w:szCs w:val="44"/>
          <w:highlight w:val="none"/>
        </w:rPr>
      </w:pPr>
    </w:p>
    <w:p w14:paraId="69009839">
      <w:pPr>
        <w:pStyle w:val="12"/>
        <w:snapToGrid w:val="0"/>
        <w:spacing w:before="312" w:after="312" w:line="600" w:lineRule="exact"/>
        <w:jc w:val="center"/>
        <w:textAlignment w:val="baseline"/>
        <w:rPr>
          <w:rFonts w:hAnsi="宋体" w:cs="宋体"/>
          <w:b/>
          <w:snapToGrid w:val="0"/>
          <w:kern w:val="0"/>
          <w:sz w:val="44"/>
          <w:szCs w:val="44"/>
          <w:highlight w:val="none"/>
        </w:rPr>
      </w:pPr>
    </w:p>
    <w:p w14:paraId="069171EA">
      <w:pPr>
        <w:pStyle w:val="12"/>
        <w:snapToGrid w:val="0"/>
        <w:spacing w:before="312" w:after="312" w:line="600" w:lineRule="exact"/>
        <w:jc w:val="center"/>
        <w:textAlignment w:val="baseline"/>
        <w:rPr>
          <w:rFonts w:hAnsi="宋体" w:cs="宋体"/>
          <w:b/>
          <w:snapToGrid w:val="0"/>
          <w:kern w:val="0"/>
          <w:sz w:val="44"/>
          <w:szCs w:val="44"/>
          <w:highlight w:val="none"/>
        </w:rPr>
      </w:pPr>
    </w:p>
    <w:p w14:paraId="59572975">
      <w:pPr>
        <w:pStyle w:val="3"/>
        <w:snapToGrid w:val="0"/>
        <w:spacing w:before="20" w:after="20" w:line="360" w:lineRule="auto"/>
        <w:rPr>
          <w:rFonts w:ascii="宋体" w:hAnsi="宋体" w:eastAsia="宋体" w:cs="宋体"/>
          <w:sz w:val="28"/>
          <w:szCs w:val="28"/>
          <w:highlight w:val="none"/>
        </w:rPr>
      </w:pPr>
      <w:bookmarkStart w:id="88" w:name="_Toc24743"/>
      <w:bookmarkStart w:id="89" w:name="_Toc31798"/>
      <w:r>
        <w:rPr>
          <w:rFonts w:hint="eastAsia" w:ascii="宋体" w:hAnsi="宋体" w:eastAsia="宋体" w:cs="宋体"/>
          <w:sz w:val="28"/>
          <w:szCs w:val="28"/>
          <w:highlight w:val="none"/>
        </w:rPr>
        <w:t>附件1                 响应文件封面（格式）</w:t>
      </w:r>
      <w:bookmarkEnd w:id="88"/>
      <w:bookmarkEnd w:id="89"/>
    </w:p>
    <w:p w14:paraId="3067A835">
      <w:pPr>
        <w:pStyle w:val="12"/>
        <w:snapToGrid w:val="0"/>
        <w:spacing w:before="312" w:after="312" w:line="600" w:lineRule="exact"/>
        <w:jc w:val="center"/>
        <w:textAlignment w:val="baseline"/>
        <w:rPr>
          <w:rFonts w:hAnsi="宋体" w:cs="宋体"/>
          <w:b/>
          <w:snapToGrid w:val="0"/>
          <w:kern w:val="0"/>
          <w:sz w:val="44"/>
          <w:szCs w:val="44"/>
          <w:highlight w:val="none"/>
        </w:rPr>
      </w:pPr>
    </w:p>
    <w:p w14:paraId="15F235D8">
      <w:pPr>
        <w:pStyle w:val="12"/>
        <w:snapToGrid w:val="0"/>
        <w:spacing w:before="312" w:after="312" w:line="600" w:lineRule="exact"/>
        <w:jc w:val="center"/>
        <w:textAlignment w:val="baseline"/>
        <w:rPr>
          <w:rFonts w:hAnsi="宋体" w:cs="宋体"/>
          <w:b/>
          <w:bCs/>
          <w:sz w:val="32"/>
          <w:highlight w:val="none"/>
          <w:u w:val="single"/>
        </w:rPr>
      </w:pPr>
      <w:r>
        <w:rPr>
          <w:rFonts w:hint="eastAsia" w:hAnsi="宋体" w:cs="宋体"/>
          <w:b/>
          <w:snapToGrid w:val="0"/>
          <w:kern w:val="0"/>
          <w:sz w:val="44"/>
          <w:szCs w:val="44"/>
          <w:highlight w:val="none"/>
        </w:rPr>
        <w:t>驻马店市中心医院项目</w:t>
      </w:r>
    </w:p>
    <w:p w14:paraId="357F2AF5">
      <w:pPr>
        <w:pStyle w:val="12"/>
        <w:snapToGrid w:val="0"/>
        <w:spacing w:before="312" w:after="312"/>
        <w:jc w:val="center"/>
        <w:textAlignment w:val="baseline"/>
        <w:rPr>
          <w:rFonts w:hAnsi="宋体" w:cs="宋体"/>
          <w:b/>
          <w:bCs/>
          <w:sz w:val="52"/>
          <w:szCs w:val="52"/>
          <w:highlight w:val="none"/>
        </w:rPr>
      </w:pPr>
      <w:r>
        <w:rPr>
          <w:rFonts w:hint="eastAsia" w:hAnsi="宋体" w:cs="宋体"/>
          <w:b/>
          <w:bCs/>
          <w:sz w:val="52"/>
          <w:szCs w:val="52"/>
          <w:highlight w:val="none"/>
        </w:rPr>
        <w:t>响应文件</w:t>
      </w:r>
    </w:p>
    <w:p w14:paraId="1CA1DE28">
      <w:pPr>
        <w:pStyle w:val="12"/>
        <w:snapToGrid w:val="0"/>
        <w:spacing w:before="312" w:after="312" w:line="600" w:lineRule="exact"/>
        <w:jc w:val="center"/>
        <w:textAlignment w:val="baseline"/>
        <w:rPr>
          <w:rFonts w:hAnsi="宋体" w:cs="宋体"/>
          <w:b/>
          <w:bCs/>
          <w:sz w:val="32"/>
          <w:highlight w:val="none"/>
          <w:u w:val="single"/>
        </w:rPr>
      </w:pPr>
    </w:p>
    <w:p w14:paraId="0AF6FE44">
      <w:pPr>
        <w:pStyle w:val="12"/>
        <w:snapToGrid w:val="0"/>
        <w:spacing w:before="312" w:after="312" w:line="600" w:lineRule="exact"/>
        <w:textAlignment w:val="baseline"/>
        <w:rPr>
          <w:rFonts w:hAnsi="宋体" w:cs="宋体"/>
          <w:b/>
          <w:bCs/>
          <w:sz w:val="32"/>
          <w:highlight w:val="none"/>
          <w:u w:val="single"/>
        </w:rPr>
      </w:pPr>
    </w:p>
    <w:p w14:paraId="1C667C86">
      <w:pPr>
        <w:pStyle w:val="12"/>
        <w:snapToGrid w:val="0"/>
        <w:spacing w:before="312" w:after="312" w:line="600" w:lineRule="exact"/>
        <w:ind w:firstLine="1968" w:firstLineChars="700"/>
        <w:textAlignment w:val="baseline"/>
        <w:rPr>
          <w:rFonts w:hAnsi="宋体" w:cs="宋体"/>
          <w:b/>
          <w:bCs/>
          <w:szCs w:val="28"/>
          <w:highlight w:val="none"/>
        </w:rPr>
      </w:pPr>
    </w:p>
    <w:p w14:paraId="2C296E3C">
      <w:pPr>
        <w:pStyle w:val="12"/>
        <w:snapToGrid w:val="0"/>
        <w:spacing w:before="312" w:after="312" w:line="600" w:lineRule="exact"/>
        <w:ind w:firstLine="1968" w:firstLineChars="700"/>
        <w:textAlignment w:val="baseline"/>
        <w:rPr>
          <w:rFonts w:hAnsi="宋体" w:cs="宋体"/>
          <w:b/>
          <w:bCs/>
          <w:szCs w:val="28"/>
          <w:highlight w:val="none"/>
        </w:rPr>
      </w:pPr>
    </w:p>
    <w:p w14:paraId="59F0D7BF">
      <w:pPr>
        <w:pStyle w:val="12"/>
        <w:snapToGrid w:val="0"/>
        <w:spacing w:before="312" w:after="312" w:line="600" w:lineRule="exact"/>
        <w:ind w:firstLine="1405" w:firstLineChars="500"/>
        <w:textAlignment w:val="baseline"/>
        <w:rPr>
          <w:rFonts w:hAnsi="宋体" w:cs="宋体"/>
          <w:b/>
          <w:bCs/>
          <w:szCs w:val="28"/>
          <w:highlight w:val="none"/>
        </w:rPr>
      </w:pPr>
      <w:r>
        <w:rPr>
          <w:rFonts w:hint="eastAsia" w:hAnsi="宋体" w:cs="宋体"/>
          <w:b/>
          <w:bCs/>
          <w:szCs w:val="28"/>
          <w:highlight w:val="none"/>
        </w:rPr>
        <w:t>供应商</w:t>
      </w:r>
      <w:r>
        <w:rPr>
          <w:rFonts w:hint="eastAsia" w:hAnsi="宋体" w:cs="宋体"/>
          <w:b/>
          <w:bCs/>
          <w:szCs w:val="28"/>
          <w:highlight w:val="none"/>
          <w:u w:val="single"/>
        </w:rPr>
        <w:t xml:space="preserve">              </w:t>
      </w:r>
      <w:r>
        <w:rPr>
          <w:rFonts w:hint="eastAsia" w:hAnsi="宋体" w:cs="宋体"/>
          <w:b/>
          <w:bCs/>
          <w:szCs w:val="28"/>
          <w:highlight w:val="none"/>
        </w:rPr>
        <w:t>（全称并加盖单位公章）：</w:t>
      </w:r>
    </w:p>
    <w:p w14:paraId="1CCD3484">
      <w:pPr>
        <w:pStyle w:val="12"/>
        <w:snapToGrid w:val="0"/>
        <w:spacing w:before="312" w:after="312" w:line="600" w:lineRule="exact"/>
        <w:ind w:firstLine="1405" w:firstLineChars="500"/>
        <w:textAlignment w:val="baseline"/>
        <w:rPr>
          <w:rFonts w:hAnsi="宋体" w:cs="宋体"/>
          <w:b/>
          <w:bCs/>
          <w:szCs w:val="28"/>
          <w:highlight w:val="none"/>
        </w:rPr>
      </w:pPr>
      <w:r>
        <w:rPr>
          <w:rFonts w:hint="eastAsia" w:hAnsi="宋体" w:cs="宋体"/>
          <w:b/>
          <w:bCs/>
          <w:szCs w:val="28"/>
          <w:highlight w:val="none"/>
        </w:rPr>
        <w:t>法定代表人或其委托代理人（签字或盖章）：</w:t>
      </w:r>
    </w:p>
    <w:p w14:paraId="284D9AD9">
      <w:pPr>
        <w:pStyle w:val="11"/>
        <w:snapToGrid w:val="0"/>
        <w:spacing w:line="500" w:lineRule="exact"/>
        <w:ind w:left="1120" w:leftChars="400" w:firstLine="281" w:firstLineChars="100"/>
        <w:textAlignment w:val="baseline"/>
        <w:rPr>
          <w:rFonts w:ascii="宋体" w:hAnsi="宋体" w:cs="宋体"/>
          <w:b/>
          <w:bCs/>
          <w:szCs w:val="28"/>
          <w:highlight w:val="none"/>
        </w:rPr>
      </w:pPr>
      <w:r>
        <w:rPr>
          <w:rFonts w:hint="eastAsia" w:ascii="宋体" w:hAnsi="宋体" w:cs="宋体"/>
          <w:b/>
          <w:bCs/>
          <w:szCs w:val="28"/>
          <w:highlight w:val="none"/>
        </w:rPr>
        <w:t>日      期：  年   月  日</w:t>
      </w:r>
    </w:p>
    <w:p w14:paraId="0D30FA50">
      <w:pPr>
        <w:jc w:val="center"/>
        <w:rPr>
          <w:rFonts w:ascii="宋体" w:hAnsi="宋体" w:cs="宋体"/>
          <w:b/>
          <w:color w:val="000000"/>
          <w:szCs w:val="28"/>
          <w:highlight w:val="none"/>
        </w:rPr>
      </w:pPr>
      <w:bookmarkStart w:id="90" w:name="_Toc27059"/>
    </w:p>
    <w:p w14:paraId="7904B665">
      <w:pPr>
        <w:jc w:val="center"/>
        <w:rPr>
          <w:rFonts w:ascii="宋体" w:hAnsi="宋体" w:cs="宋体"/>
          <w:b/>
          <w:color w:val="000000"/>
          <w:szCs w:val="28"/>
          <w:highlight w:val="none"/>
        </w:rPr>
      </w:pPr>
    </w:p>
    <w:p w14:paraId="05382480">
      <w:pPr>
        <w:jc w:val="center"/>
        <w:rPr>
          <w:rFonts w:ascii="宋体" w:hAnsi="宋体" w:cs="宋体"/>
          <w:b/>
          <w:color w:val="000000"/>
          <w:szCs w:val="28"/>
          <w:highlight w:val="none"/>
        </w:rPr>
      </w:pPr>
    </w:p>
    <w:p w14:paraId="47371537">
      <w:pPr>
        <w:jc w:val="center"/>
        <w:rPr>
          <w:rFonts w:ascii="宋体" w:hAnsi="宋体" w:cs="宋体"/>
          <w:b/>
          <w:color w:val="000000"/>
          <w:szCs w:val="28"/>
          <w:highlight w:val="none"/>
        </w:rPr>
        <w:sectPr>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pPr>
    </w:p>
    <w:bookmarkEnd w:id="90"/>
    <w:p w14:paraId="2317B428">
      <w:pPr>
        <w:pStyle w:val="3"/>
        <w:keepNext w:val="0"/>
        <w:snapToGrid w:val="0"/>
        <w:spacing w:before="20" w:after="20" w:line="360" w:lineRule="auto"/>
        <w:jc w:val="center"/>
        <w:rPr>
          <w:rFonts w:ascii="宋体" w:hAnsi="宋体" w:eastAsia="宋体" w:cs="宋体"/>
          <w:sz w:val="28"/>
          <w:szCs w:val="28"/>
          <w:highlight w:val="none"/>
        </w:rPr>
      </w:pPr>
      <w:bookmarkStart w:id="91" w:name="_Toc8818"/>
      <w:bookmarkStart w:id="92" w:name="_Toc14560"/>
      <w:r>
        <w:rPr>
          <w:rFonts w:hint="eastAsia" w:ascii="宋体" w:hAnsi="宋体" w:eastAsia="宋体" w:cs="宋体"/>
          <w:sz w:val="28"/>
          <w:szCs w:val="28"/>
          <w:highlight w:val="none"/>
        </w:rPr>
        <w:t>附件2  竞争性谈判响应书（格式）</w:t>
      </w:r>
      <w:bookmarkEnd w:id="91"/>
      <w:bookmarkEnd w:id="92"/>
    </w:p>
    <w:p w14:paraId="16DD9841">
      <w:pPr>
        <w:wordWrap w:val="0"/>
        <w:snapToGrid w:val="0"/>
        <w:spacing w:line="460" w:lineRule="exact"/>
        <w:jc w:val="left"/>
        <w:rPr>
          <w:rFonts w:ascii="宋体" w:hAnsi="宋体" w:cs="宋体"/>
          <w:kern w:val="0"/>
          <w:sz w:val="21"/>
          <w:szCs w:val="21"/>
          <w:highlight w:val="none"/>
        </w:rPr>
      </w:pPr>
      <w:r>
        <w:rPr>
          <w:rFonts w:hint="eastAsia" w:ascii="宋体" w:hAnsi="宋体" w:cs="宋体"/>
          <w:kern w:val="0"/>
          <w:sz w:val="21"/>
          <w:szCs w:val="21"/>
          <w:highlight w:val="none"/>
        </w:rPr>
        <w:t>致：</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驻马店市中心医院</w:t>
      </w:r>
      <w:r>
        <w:rPr>
          <w:rFonts w:hint="eastAsia" w:ascii="宋体" w:hAnsi="宋体" w:cs="宋体"/>
          <w:kern w:val="0"/>
          <w:sz w:val="21"/>
          <w:szCs w:val="21"/>
          <w:highlight w:val="none"/>
        </w:rPr>
        <w:t>：</w:t>
      </w:r>
    </w:p>
    <w:p w14:paraId="730221F4">
      <w:pPr>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为便于贵方公正、择优地确定成交供应商，我方就本次投标有关事项郑重声明并宣布同意如下：</w:t>
      </w:r>
    </w:p>
    <w:p w14:paraId="05B9EB46">
      <w:pPr>
        <w:wordWrap w:val="0"/>
        <w:snapToGrid w:val="0"/>
        <w:spacing w:line="4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1、我方愿意向贵方提供任何与本项目有关的数据、情况和技术资料，并保证其真实、合法、有效</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lang w:val="en-US" w:eastAsia="zh-CN"/>
        </w:rPr>
        <w:t>完整</w:t>
      </w:r>
      <w:r>
        <w:rPr>
          <w:rFonts w:hint="eastAsia" w:ascii="宋体" w:hAnsi="宋体" w:eastAsia="宋体" w:cs="宋体"/>
          <w:kern w:val="0"/>
          <w:sz w:val="21"/>
          <w:szCs w:val="21"/>
          <w:highlight w:val="none"/>
        </w:rPr>
        <w:t>。</w:t>
      </w:r>
    </w:p>
    <w:p w14:paraId="39140ED9">
      <w:pPr>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2</w:t>
      </w:r>
      <w:r>
        <w:rPr>
          <w:rFonts w:hint="eastAsia" w:ascii="宋体" w:hAnsi="宋体" w:cs="宋体"/>
          <w:kern w:val="0"/>
          <w:sz w:val="21"/>
          <w:szCs w:val="21"/>
          <w:highlight w:val="none"/>
        </w:rPr>
        <w:t>、我方已详细审查全部采购文件，包括修改文件（如有的话）和有关附件，将自行承担因对全部采购文件理解不正确或误解而产生的相应后果。</w:t>
      </w:r>
    </w:p>
    <w:p w14:paraId="6ECCA82A">
      <w:pPr>
        <w:wordWrap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3</w:t>
      </w:r>
      <w:r>
        <w:rPr>
          <w:rFonts w:hint="eastAsia" w:ascii="宋体" w:hAnsi="宋体" w:cs="宋体"/>
          <w:kern w:val="0"/>
          <w:sz w:val="21"/>
          <w:szCs w:val="21"/>
          <w:highlight w:val="none"/>
        </w:rPr>
        <w:t>、我方保证尊重谈判小组的评审结果。</w:t>
      </w:r>
    </w:p>
    <w:p w14:paraId="1FD3F1DE">
      <w:pPr>
        <w:wordWrap w:val="0"/>
        <w:snapToGrid w:val="0"/>
        <w:spacing w:line="460" w:lineRule="exact"/>
        <w:ind w:firstLine="420" w:firstLineChars="200"/>
        <w:jc w:val="left"/>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4</w:t>
      </w:r>
      <w:r>
        <w:rPr>
          <w:rFonts w:hint="eastAsia" w:ascii="宋体" w:hAnsi="宋体" w:cs="宋体"/>
          <w:kern w:val="0"/>
          <w:sz w:val="21"/>
          <w:szCs w:val="21"/>
          <w:highlight w:val="none"/>
        </w:rPr>
        <w:t>、我方理解并遵守采购文件的全部规定，接受采购文件中政府采购合同的全部条款且无任何</w:t>
      </w:r>
      <w:r>
        <w:rPr>
          <w:rFonts w:hint="eastAsia" w:ascii="宋体" w:hAnsi="宋体" w:eastAsia="宋体" w:cs="宋体"/>
          <w:kern w:val="0"/>
          <w:sz w:val="21"/>
          <w:szCs w:val="21"/>
          <w:highlight w:val="none"/>
        </w:rPr>
        <w:t>异议。</w:t>
      </w:r>
    </w:p>
    <w:p w14:paraId="3435F487">
      <w:pPr>
        <w:wordWrap w:val="0"/>
        <w:snapToGrid w:val="0"/>
        <w:spacing w:line="4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、如果我方代表未按时参加开标的，视同放弃开标监督权利，认可开标结果。</w:t>
      </w:r>
    </w:p>
    <w:p w14:paraId="6EF798CA">
      <w:pPr>
        <w:wordWrap w:val="0"/>
        <w:snapToGrid w:val="0"/>
        <w:spacing w:line="460" w:lineRule="exact"/>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6、</w:t>
      </w:r>
      <w:r>
        <w:rPr>
          <w:rFonts w:hint="eastAsia" w:ascii="宋体" w:hAnsi="宋体" w:eastAsia="宋体" w:cs="宋体"/>
          <w:kern w:val="0"/>
          <w:sz w:val="21"/>
          <w:szCs w:val="21"/>
          <w:highlight w:val="none"/>
        </w:rPr>
        <w:t>我方我方响应文件有效期为自</w:t>
      </w:r>
      <w:r>
        <w:rPr>
          <w:rFonts w:hint="eastAsia" w:ascii="宋体" w:hAnsi="宋体" w:eastAsia="宋体" w:cs="宋体"/>
          <w:kern w:val="0"/>
          <w:sz w:val="21"/>
          <w:szCs w:val="21"/>
          <w:highlight w:val="none"/>
          <w:lang w:val="en-US" w:eastAsia="zh-CN"/>
        </w:rPr>
        <w:t>谈判</w:t>
      </w:r>
      <w:r>
        <w:rPr>
          <w:rFonts w:hint="eastAsia" w:ascii="宋体" w:hAnsi="宋体" w:eastAsia="宋体" w:cs="宋体"/>
          <w:kern w:val="0"/>
          <w:sz w:val="21"/>
          <w:szCs w:val="21"/>
          <w:highlight w:val="none"/>
        </w:rPr>
        <w:t>之日起</w:t>
      </w:r>
      <w:r>
        <w:rPr>
          <w:rFonts w:hint="eastAsia" w:ascii="宋体" w:hAnsi="宋体" w:eastAsia="宋体" w:cs="宋体"/>
          <w:kern w:val="0"/>
          <w:sz w:val="21"/>
          <w:szCs w:val="21"/>
          <w:highlight w:val="none"/>
          <w:lang w:val="en-US" w:eastAsia="zh-CN"/>
        </w:rPr>
        <w:t>60</w:t>
      </w:r>
      <w:r>
        <w:rPr>
          <w:rFonts w:hint="eastAsia" w:ascii="宋体" w:hAnsi="宋体" w:eastAsia="宋体" w:cs="宋体"/>
          <w:kern w:val="0"/>
          <w:sz w:val="21"/>
          <w:szCs w:val="21"/>
          <w:highlight w:val="none"/>
        </w:rPr>
        <w:t>天</w:t>
      </w:r>
      <w:r>
        <w:rPr>
          <w:rFonts w:hint="eastAsia" w:ascii="宋体" w:hAnsi="宋体" w:eastAsia="宋体" w:cs="宋体"/>
          <w:kern w:val="0"/>
          <w:sz w:val="21"/>
          <w:szCs w:val="21"/>
          <w:highlight w:val="none"/>
          <w:lang w:eastAsia="zh-CN"/>
        </w:rPr>
        <w:t>，</w:t>
      </w:r>
      <w:r>
        <w:rPr>
          <w:rFonts w:hint="eastAsia" w:ascii="宋体" w:hAnsi="宋体" w:eastAsia="宋体" w:cs="宋体"/>
          <w:kern w:val="0"/>
          <w:sz w:val="21"/>
          <w:szCs w:val="21"/>
          <w:highlight w:val="none"/>
        </w:rPr>
        <w:t>同意在</w:t>
      </w:r>
      <w:r>
        <w:rPr>
          <w:rFonts w:hint="eastAsia" w:ascii="宋体" w:hAnsi="宋体" w:eastAsia="宋体" w:cs="宋体"/>
          <w:kern w:val="0"/>
          <w:sz w:val="21"/>
          <w:szCs w:val="21"/>
          <w:highlight w:val="none"/>
          <w:lang w:val="en-US" w:eastAsia="zh-CN"/>
        </w:rPr>
        <w:t>响应</w:t>
      </w:r>
      <w:r>
        <w:rPr>
          <w:rFonts w:hint="eastAsia" w:ascii="宋体" w:hAnsi="宋体" w:eastAsia="宋体" w:cs="宋体"/>
          <w:kern w:val="0"/>
          <w:sz w:val="21"/>
          <w:szCs w:val="21"/>
          <w:highlight w:val="none"/>
        </w:rPr>
        <w:t>文件有效期内遵守本</w:t>
      </w:r>
      <w:r>
        <w:rPr>
          <w:rFonts w:hint="eastAsia" w:ascii="宋体" w:hAnsi="宋体" w:eastAsia="宋体" w:cs="宋体"/>
          <w:kern w:val="0"/>
          <w:sz w:val="21"/>
          <w:szCs w:val="21"/>
          <w:highlight w:val="none"/>
          <w:lang w:val="en-US" w:eastAsia="zh-CN"/>
        </w:rPr>
        <w:t>响应</w:t>
      </w:r>
      <w:r>
        <w:rPr>
          <w:rFonts w:hint="eastAsia" w:ascii="宋体" w:hAnsi="宋体" w:eastAsia="宋体" w:cs="宋体"/>
          <w:kern w:val="0"/>
          <w:sz w:val="21"/>
          <w:szCs w:val="21"/>
          <w:highlight w:val="none"/>
        </w:rPr>
        <w:t>文件中的承诺且在此期限期满之前均具有约束力。如果我方</w:t>
      </w:r>
      <w:r>
        <w:rPr>
          <w:rFonts w:hint="eastAsia" w:ascii="宋体" w:hAnsi="宋体" w:eastAsia="宋体" w:cs="宋体"/>
          <w:kern w:val="0"/>
          <w:sz w:val="21"/>
          <w:szCs w:val="21"/>
          <w:highlight w:val="none"/>
          <w:lang w:val="en-US" w:eastAsia="zh-CN"/>
        </w:rPr>
        <w:t>成交</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响应</w:t>
      </w:r>
      <w:r>
        <w:rPr>
          <w:rFonts w:hint="eastAsia" w:ascii="宋体" w:hAnsi="宋体" w:eastAsia="宋体" w:cs="宋体"/>
          <w:kern w:val="0"/>
          <w:sz w:val="21"/>
          <w:szCs w:val="21"/>
          <w:highlight w:val="none"/>
        </w:rPr>
        <w:t>文件有效期与合同履行期相同。</w:t>
      </w:r>
    </w:p>
    <w:p w14:paraId="041F554E">
      <w:pPr>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7</w:t>
      </w:r>
      <w:r>
        <w:rPr>
          <w:rFonts w:hint="eastAsia" w:ascii="宋体" w:hAnsi="宋体" w:cs="宋体"/>
          <w:kern w:val="0"/>
          <w:sz w:val="21"/>
          <w:szCs w:val="21"/>
          <w:highlight w:val="none"/>
        </w:rPr>
        <w:t>、如果被确定为成交供应商，我方同意按采购文件的规定领取成交通知书并缴纳服务费。否则，视为我方成交后自动放弃成交资格，承担由此引起的一切后果。</w:t>
      </w:r>
    </w:p>
    <w:p w14:paraId="6902A742">
      <w:pPr>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8</w:t>
      </w:r>
      <w:r>
        <w:rPr>
          <w:rFonts w:hint="eastAsia" w:ascii="宋体" w:hAnsi="宋体" w:cs="宋体"/>
          <w:kern w:val="0"/>
          <w:sz w:val="21"/>
          <w:szCs w:val="21"/>
          <w:highlight w:val="none"/>
        </w:rPr>
        <w:t>、如果被确定为成交供应商，我方同意在领取成交通知书之</w:t>
      </w:r>
      <w:r>
        <w:rPr>
          <w:rFonts w:hint="eastAsia" w:ascii="宋体" w:hAnsi="宋体" w:cs="宋体"/>
          <w:kern w:val="0"/>
          <w:sz w:val="21"/>
          <w:szCs w:val="21"/>
          <w:highlight w:val="none"/>
          <w:u w:val="none"/>
        </w:rPr>
        <w:t>日起</w:t>
      </w:r>
      <w:r>
        <w:rPr>
          <w:rFonts w:hint="eastAsia" w:ascii="宋体" w:hAnsi="宋体" w:cs="宋体"/>
          <w:kern w:val="0"/>
          <w:sz w:val="21"/>
          <w:szCs w:val="21"/>
          <w:highlight w:val="none"/>
          <w:u w:val="none"/>
          <w:lang w:val="en-US" w:eastAsia="zh-CN"/>
        </w:rPr>
        <w:t>30</w:t>
      </w:r>
      <w:r>
        <w:rPr>
          <w:rFonts w:hint="eastAsia" w:ascii="宋体" w:hAnsi="宋体" w:cs="宋体"/>
          <w:kern w:val="0"/>
          <w:sz w:val="21"/>
          <w:szCs w:val="21"/>
          <w:highlight w:val="none"/>
          <w:u w:val="none"/>
        </w:rPr>
        <w:t>日</w:t>
      </w:r>
      <w:r>
        <w:rPr>
          <w:rFonts w:hint="eastAsia" w:ascii="宋体" w:hAnsi="宋体" w:cs="宋体"/>
          <w:kern w:val="0"/>
          <w:sz w:val="21"/>
          <w:szCs w:val="21"/>
          <w:highlight w:val="none"/>
        </w:rPr>
        <w:t>内，按照采购文件的规定与采购人签订采购合同。否则，视为我方成交后无正当理由不与采购人签订合同并承担相应法律责任。</w:t>
      </w:r>
    </w:p>
    <w:p w14:paraId="282E9348">
      <w:pPr>
        <w:tabs>
          <w:tab w:val="left" w:pos="939"/>
        </w:tabs>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lang w:val="en-US" w:eastAsia="zh-CN"/>
        </w:rPr>
        <w:t>9</w:t>
      </w:r>
      <w:r>
        <w:rPr>
          <w:rFonts w:hint="eastAsia" w:ascii="宋体" w:hAnsi="宋体" w:cs="宋体"/>
          <w:kern w:val="0"/>
          <w:sz w:val="21"/>
          <w:szCs w:val="21"/>
          <w:highlight w:val="none"/>
        </w:rPr>
        <w:t>、以上事项如有虚假或隐瞒，我方愿意承担一切后果和责任。</w:t>
      </w:r>
    </w:p>
    <w:p w14:paraId="4A404036">
      <w:pPr>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w:t>
      </w:r>
      <w:r>
        <w:rPr>
          <w:rFonts w:hint="eastAsia" w:ascii="宋体" w:hAnsi="宋体" w:cs="宋体"/>
          <w:kern w:val="0"/>
          <w:sz w:val="21"/>
          <w:szCs w:val="21"/>
          <w:highlight w:val="none"/>
          <w:lang w:val="en-US" w:eastAsia="zh-CN"/>
        </w:rPr>
        <w:t>0</w:t>
      </w:r>
      <w:r>
        <w:rPr>
          <w:rFonts w:hint="eastAsia" w:ascii="宋体" w:hAnsi="宋体" w:cs="宋体"/>
          <w:kern w:val="0"/>
          <w:sz w:val="21"/>
          <w:szCs w:val="21"/>
          <w:highlight w:val="none"/>
        </w:rPr>
        <w:t>、与谈判有关的一切正式往来通讯请寄（地址电话必须为最新并可以联系到）：</w:t>
      </w:r>
    </w:p>
    <w:p w14:paraId="1C817BBA">
      <w:pPr>
        <w:wordWrap w:val="0"/>
        <w:spacing w:line="46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 xml:space="preserve">   地址：         邮编：</w:t>
      </w:r>
    </w:p>
    <w:p w14:paraId="6674D951">
      <w:pPr>
        <w:wordWrap w:val="0"/>
        <w:spacing w:line="46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 xml:space="preserve">   电话：         传真： </w:t>
      </w:r>
    </w:p>
    <w:p w14:paraId="57CABE42">
      <w:pPr>
        <w:wordWrap w:val="0"/>
        <w:spacing w:line="460" w:lineRule="exact"/>
        <w:ind w:firstLine="420" w:firstLineChars="200"/>
        <w:jc w:val="left"/>
        <w:rPr>
          <w:rFonts w:ascii="宋体" w:hAnsi="宋体" w:cs="宋体"/>
          <w:kern w:val="0"/>
          <w:sz w:val="21"/>
          <w:szCs w:val="21"/>
          <w:highlight w:val="none"/>
        </w:rPr>
      </w:pPr>
    </w:p>
    <w:p w14:paraId="4BF6BCC5">
      <w:pPr>
        <w:wordWrap w:val="0"/>
        <w:spacing w:line="460" w:lineRule="exact"/>
        <w:ind w:firstLine="735" w:firstLineChars="350"/>
        <w:jc w:val="left"/>
        <w:rPr>
          <w:rFonts w:ascii="宋体" w:hAnsi="宋体" w:cs="宋体"/>
          <w:kern w:val="0"/>
          <w:sz w:val="21"/>
          <w:szCs w:val="21"/>
          <w:highlight w:val="none"/>
          <w:u w:val="single"/>
        </w:rPr>
      </w:pPr>
      <w:r>
        <w:rPr>
          <w:rFonts w:hint="eastAsia" w:ascii="宋体" w:hAnsi="宋体" w:cs="宋体"/>
          <w:sz w:val="21"/>
          <w:szCs w:val="21"/>
          <w:highlight w:val="none"/>
        </w:rPr>
        <w:t>法定代表人或委托代理人（签字</w:t>
      </w:r>
      <w:r>
        <w:rPr>
          <w:rFonts w:hint="eastAsia" w:ascii="宋体" w:hAnsi="宋体" w:cs="宋体"/>
          <w:kern w:val="0"/>
          <w:sz w:val="21"/>
          <w:szCs w:val="21"/>
          <w:highlight w:val="none"/>
        </w:rPr>
        <w:t>或盖章</w:t>
      </w:r>
      <w:r>
        <w:rPr>
          <w:rFonts w:hint="eastAsia" w:ascii="宋体" w:hAnsi="宋体" w:cs="宋体"/>
          <w:sz w:val="21"/>
          <w:szCs w:val="21"/>
          <w:highlight w:val="none"/>
        </w:rPr>
        <w:t>）</w:t>
      </w:r>
      <w:r>
        <w:rPr>
          <w:rFonts w:hint="eastAsia" w:ascii="宋体" w:hAnsi="宋体" w:cs="宋体"/>
          <w:kern w:val="0"/>
          <w:sz w:val="21"/>
          <w:szCs w:val="21"/>
          <w:highlight w:val="none"/>
        </w:rPr>
        <w:t xml:space="preserve">： </w:t>
      </w:r>
    </w:p>
    <w:p w14:paraId="544EB42E">
      <w:pPr>
        <w:wordWrap w:val="0"/>
        <w:spacing w:line="460" w:lineRule="exact"/>
        <w:ind w:firstLine="630" w:firstLineChars="300"/>
        <w:jc w:val="left"/>
        <w:rPr>
          <w:rFonts w:ascii="宋体" w:hAnsi="宋体" w:cs="宋体"/>
          <w:kern w:val="0"/>
          <w:sz w:val="21"/>
          <w:szCs w:val="21"/>
          <w:highlight w:val="none"/>
        </w:rPr>
      </w:pPr>
      <w:r>
        <w:rPr>
          <w:rFonts w:hint="eastAsia" w:ascii="宋体" w:hAnsi="宋体" w:cs="宋体"/>
          <w:kern w:val="0"/>
          <w:sz w:val="21"/>
          <w:szCs w:val="21"/>
          <w:highlight w:val="none"/>
        </w:rPr>
        <w:t>供应商：</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（全称并加盖公章）</w:t>
      </w:r>
    </w:p>
    <w:p w14:paraId="3B8C53CD">
      <w:pPr>
        <w:snapToGrid w:val="0"/>
        <w:spacing w:line="460" w:lineRule="exact"/>
        <w:ind w:firstLine="1260" w:firstLineChars="600"/>
        <w:rPr>
          <w:rFonts w:ascii="宋体" w:hAnsi="宋体" w:cs="宋体"/>
          <w:kern w:val="0"/>
          <w:sz w:val="21"/>
          <w:szCs w:val="21"/>
          <w:highlight w:val="none"/>
        </w:rPr>
      </w:pPr>
      <w:r>
        <w:rPr>
          <w:rFonts w:hint="eastAsia" w:ascii="宋体" w:hAnsi="宋体" w:cs="宋体"/>
          <w:kern w:val="0"/>
          <w:sz w:val="21"/>
          <w:szCs w:val="21"/>
          <w:highlight w:val="none"/>
        </w:rPr>
        <w:t xml:space="preserve">年    月   日 </w:t>
      </w:r>
    </w:p>
    <w:p w14:paraId="729C2D25">
      <w:pPr>
        <w:widowControl/>
        <w:wordWrap w:val="0"/>
        <w:snapToGrid w:val="0"/>
        <w:spacing w:before="50" w:after="50" w:line="480" w:lineRule="auto"/>
        <w:jc w:val="left"/>
        <w:rPr>
          <w:rFonts w:ascii="宋体" w:hAnsi="宋体" w:cs="宋体"/>
          <w:b/>
          <w:kern w:val="0"/>
          <w:sz w:val="24"/>
          <w:highlight w:val="none"/>
        </w:rPr>
      </w:pPr>
    </w:p>
    <w:p w14:paraId="2E2C2D66">
      <w:pPr>
        <w:rPr>
          <w:rFonts w:ascii="宋体" w:hAnsi="宋体" w:cs="宋体"/>
          <w:szCs w:val="28"/>
          <w:highlight w:val="none"/>
        </w:rPr>
      </w:pPr>
      <w:r>
        <w:rPr>
          <w:rFonts w:hint="eastAsia" w:ascii="宋体" w:hAnsi="宋体" w:cs="宋体"/>
          <w:szCs w:val="28"/>
          <w:highlight w:val="none"/>
        </w:rPr>
        <w:br w:type="page"/>
      </w:r>
    </w:p>
    <w:p w14:paraId="7608847E">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3" w:name="_Toc7838"/>
      <w:bookmarkStart w:id="94" w:name="_Toc29960"/>
      <w:bookmarkStart w:id="95" w:name="_Toc24168"/>
      <w:bookmarkStart w:id="96" w:name="_Toc20420"/>
      <w:r>
        <w:rPr>
          <w:rFonts w:hint="eastAsia" w:ascii="宋体" w:hAnsi="宋体" w:eastAsia="宋体" w:cs="宋体"/>
          <w:color w:val="auto"/>
          <w:sz w:val="28"/>
          <w:szCs w:val="28"/>
          <w:highlight w:val="none"/>
          <w:lang w:val="en-US" w:eastAsia="zh-CN"/>
        </w:rPr>
        <w:t>附件3            初次报价一览表</w:t>
      </w:r>
      <w:bookmarkEnd w:id="93"/>
      <w:r>
        <w:rPr>
          <w:rFonts w:hint="eastAsia" w:ascii="宋体" w:hAnsi="宋体" w:eastAsia="宋体" w:cs="宋体"/>
          <w:color w:val="auto"/>
          <w:sz w:val="28"/>
          <w:szCs w:val="28"/>
          <w:highlight w:val="none"/>
          <w:lang w:val="en-US" w:eastAsia="zh-CN"/>
        </w:rPr>
        <w:t>（格式）</w:t>
      </w:r>
    </w:p>
    <w:p w14:paraId="5677C370">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w:t>
      </w:r>
      <w:r>
        <w:rPr>
          <w:rFonts w:hint="eastAsia" w:ascii="宋体" w:hAnsi="宋体" w:cs="宋体"/>
          <w:color w:val="auto"/>
          <w:sz w:val="24"/>
          <w:highlight w:val="none"/>
          <w:lang w:val="en-US" w:eastAsia="zh-CN"/>
        </w:rPr>
        <w:t>综合折扣率</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w:t>
      </w:r>
    </w:p>
    <w:p w14:paraId="550A354A">
      <w:pPr>
        <w:rPr>
          <w:rFonts w:hint="eastAsia" w:ascii="宋体" w:hAnsi="宋体" w:eastAsia="宋体" w:cs="宋体"/>
          <w:color w:val="auto"/>
          <w:highlight w:val="none"/>
        </w:rPr>
      </w:pPr>
    </w:p>
    <w:tbl>
      <w:tblPr>
        <w:tblStyle w:val="2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4C09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vAlign w:val="center"/>
          </w:tcPr>
          <w:p w14:paraId="098BA846">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vAlign w:val="center"/>
          </w:tcPr>
          <w:p w14:paraId="7CE68FDB">
            <w:pPr>
              <w:rPr>
                <w:rFonts w:hint="eastAsia" w:ascii="宋体" w:hAnsi="宋体" w:eastAsia="宋体" w:cs="宋体"/>
                <w:bCs/>
                <w:color w:val="auto"/>
                <w:sz w:val="24"/>
                <w:szCs w:val="24"/>
                <w:highlight w:val="none"/>
              </w:rPr>
            </w:pPr>
          </w:p>
        </w:tc>
      </w:tr>
      <w:tr w14:paraId="6DCF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vAlign w:val="center"/>
          </w:tcPr>
          <w:p w14:paraId="3569A5FE">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vAlign w:val="center"/>
          </w:tcPr>
          <w:p w14:paraId="09850C24">
            <w:pPr>
              <w:rPr>
                <w:rFonts w:hint="eastAsia" w:ascii="宋体" w:hAnsi="宋体" w:eastAsia="宋体" w:cs="宋体"/>
                <w:color w:val="auto"/>
                <w:sz w:val="24"/>
                <w:szCs w:val="24"/>
                <w:highlight w:val="none"/>
              </w:rPr>
            </w:pPr>
          </w:p>
        </w:tc>
      </w:tr>
      <w:tr w14:paraId="53F7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vAlign w:val="center"/>
          </w:tcPr>
          <w:p w14:paraId="08B53A89">
            <w:pPr>
              <w:jc w:val="center"/>
              <w:rPr>
                <w:rFonts w:hint="eastAsia" w:ascii="宋体" w:hAnsi="宋体" w:eastAsia="宋体" w:cs="宋体"/>
                <w:b/>
                <w:bCs/>
                <w:color w:val="auto"/>
                <w:spacing w:val="-20"/>
                <w:sz w:val="24"/>
                <w:szCs w:val="24"/>
                <w:highlight w:val="none"/>
                <w:lang w:eastAsia="zh-CN"/>
              </w:rPr>
            </w:pPr>
            <w:r>
              <w:rPr>
                <w:rFonts w:hint="eastAsia" w:ascii="宋体" w:hAnsi="宋体" w:cs="宋体"/>
                <w:b/>
                <w:bCs/>
                <w:color w:val="auto"/>
                <w:sz w:val="24"/>
                <w:szCs w:val="24"/>
                <w:highlight w:val="none"/>
                <w:lang w:val="en-US" w:eastAsia="zh-CN"/>
              </w:rPr>
              <w:t>谈判</w:t>
            </w:r>
            <w:r>
              <w:rPr>
                <w:rFonts w:hint="eastAsia" w:ascii="宋体" w:hAnsi="宋体" w:eastAsia="宋体" w:cs="宋体"/>
                <w:b/>
                <w:bCs/>
                <w:color w:val="auto"/>
                <w:sz w:val="24"/>
                <w:szCs w:val="24"/>
                <w:highlight w:val="none"/>
              </w:rPr>
              <w:t>报价</w:t>
            </w:r>
          </w:p>
        </w:tc>
        <w:tc>
          <w:tcPr>
            <w:tcW w:w="7708" w:type="dxa"/>
            <w:vAlign w:val="center"/>
          </w:tcPr>
          <w:p w14:paraId="2F75CF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27619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（详见报价明细表）</w:t>
            </w:r>
          </w:p>
        </w:tc>
      </w:tr>
      <w:tr w14:paraId="6F71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vAlign w:val="center"/>
          </w:tcPr>
          <w:p w14:paraId="461CCEC6">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vAlign w:val="center"/>
          </w:tcPr>
          <w:p w14:paraId="677B1F36">
            <w:pPr>
              <w:pStyle w:val="13"/>
              <w:ind w:left="0" w:leftChars="0"/>
              <w:rPr>
                <w:rFonts w:hint="eastAsia" w:ascii="宋体" w:hAnsi="宋体" w:eastAsia="宋体" w:cs="宋体"/>
                <w:color w:val="auto"/>
                <w:sz w:val="24"/>
                <w:szCs w:val="24"/>
                <w:highlight w:val="none"/>
              </w:rPr>
            </w:pPr>
          </w:p>
        </w:tc>
      </w:tr>
    </w:tbl>
    <w:p w14:paraId="1A0110C8">
      <w:pPr>
        <w:spacing w:line="360" w:lineRule="auto"/>
        <w:ind w:firstLine="560" w:firstLineChars="200"/>
        <w:jc w:val="center"/>
        <w:rPr>
          <w:rFonts w:hint="eastAsia" w:ascii="宋体" w:hAnsi="宋体" w:eastAsia="宋体" w:cs="宋体"/>
          <w:color w:val="auto"/>
          <w:szCs w:val="21"/>
          <w:highlight w:val="none"/>
          <w:lang w:eastAsia="zh-CN"/>
        </w:rPr>
      </w:pPr>
      <w:bookmarkStart w:id="97" w:name="_Toc20877"/>
      <w:bookmarkStart w:id="98" w:name="_Toc11620"/>
    </w:p>
    <w:bookmarkEnd w:id="97"/>
    <w:bookmarkEnd w:id="98"/>
    <w:p w14:paraId="7DC9F692">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E69475C">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C292DF6">
      <w:pP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p w14:paraId="189D33BA">
      <w:pPr>
        <w:spacing w:before="20" w:after="20"/>
        <w:outlineLvl w:val="9"/>
        <w:rPr>
          <w:rFonts w:hint="eastAsia" w:ascii="宋体" w:hAnsi="宋体" w:eastAsia="宋体" w:cs="宋体"/>
          <w:color w:val="auto"/>
          <w:highlight w:val="none"/>
          <w:lang w:eastAsia="zh-CN"/>
        </w:rPr>
      </w:pPr>
      <w:bookmarkStart w:id="99" w:name="_Toc22004"/>
      <w:bookmarkStart w:id="100" w:name="_Toc24984"/>
    </w:p>
    <w:p w14:paraId="714F2AED">
      <w:pPr>
        <w:outlineLvl w:val="9"/>
        <w:rPr>
          <w:rFonts w:hint="eastAsia" w:ascii="宋体" w:hAnsi="宋体" w:eastAsia="宋体" w:cs="宋体"/>
          <w:color w:val="auto"/>
          <w:highlight w:val="none"/>
          <w:lang w:eastAsia="zh-CN"/>
        </w:rPr>
      </w:pPr>
    </w:p>
    <w:p w14:paraId="5C32472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3A00B57">
      <w:pPr>
        <w:pStyle w:val="3"/>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99"/>
      <w:bookmarkEnd w:id="100"/>
      <w:r>
        <w:rPr>
          <w:rFonts w:hint="eastAsia" w:ascii="宋体" w:hAnsi="宋体" w:eastAsia="宋体" w:cs="宋体"/>
          <w:color w:val="auto"/>
          <w:sz w:val="28"/>
          <w:szCs w:val="28"/>
          <w:highlight w:val="none"/>
          <w:lang w:val="en-US" w:eastAsia="zh-CN"/>
        </w:rPr>
        <w:t>报价明细表（格式）</w:t>
      </w:r>
    </w:p>
    <w:p w14:paraId="068A4437">
      <w:pPr>
        <w:jc w:val="right"/>
        <w:rPr>
          <w:rFonts w:hint="eastAsia"/>
          <w:color w:val="auto"/>
          <w:highlight w:val="none"/>
          <w:lang w:val="en-US" w:eastAsia="zh-CN"/>
        </w:rPr>
      </w:pPr>
      <w:r>
        <w:rPr>
          <w:rFonts w:hint="eastAsia" w:ascii="宋体" w:hAnsi="宋体" w:cs="宋体"/>
          <w:color w:val="auto"/>
          <w:kern w:val="0"/>
          <w:sz w:val="24"/>
          <w:highlight w:val="none"/>
        </w:rPr>
        <w:t>单位：</w:t>
      </w:r>
      <w:r>
        <w:rPr>
          <w:rFonts w:hint="eastAsia" w:ascii="宋体" w:hAnsi="宋体" w:cs="宋体"/>
          <w:color w:val="auto"/>
          <w:kern w:val="0"/>
          <w:sz w:val="24"/>
          <w:highlight w:val="none"/>
          <w:lang w:val="en-US" w:eastAsia="zh-CN"/>
        </w:rPr>
        <w:t>综合折扣率</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w:t>
      </w:r>
    </w:p>
    <w:tbl>
      <w:tblPr>
        <w:tblStyle w:val="24"/>
        <w:tblW w:w="916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2624"/>
        <w:gridCol w:w="1319"/>
        <w:gridCol w:w="1681"/>
        <w:gridCol w:w="1215"/>
        <w:gridCol w:w="1590"/>
      </w:tblGrid>
      <w:tr w14:paraId="0CAC41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6" w:hRule="atLeast"/>
        </w:trPr>
        <w:tc>
          <w:tcPr>
            <w:tcW w:w="3357" w:type="dxa"/>
            <w:gridSpan w:val="2"/>
            <w:tcBorders>
              <w:top w:val="single" w:color="auto" w:sz="4" w:space="0"/>
              <w:left w:val="single" w:color="auto" w:sz="4" w:space="0"/>
              <w:bottom w:val="single" w:color="auto" w:sz="4" w:space="0"/>
              <w:right w:val="single" w:color="auto" w:sz="4" w:space="0"/>
            </w:tcBorders>
          </w:tcPr>
          <w:p w14:paraId="52C71D6B">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eastAsia="zh-CN"/>
              </w:rPr>
            </w:pPr>
            <w:r>
              <w:rPr>
                <w:rFonts w:hint="eastAsia" w:ascii="宋体" w:hAnsi="宋体" w:cs="宋体"/>
                <w:b/>
                <w:bCs/>
                <w:color w:val="auto"/>
                <w:sz w:val="24"/>
                <w:szCs w:val="24"/>
                <w:highlight w:val="none"/>
                <w:vertAlign w:val="baseline"/>
                <w:lang w:val="en-US" w:eastAsia="zh-CN"/>
              </w:rPr>
              <w:t>谈判</w:t>
            </w:r>
            <w:r>
              <w:rPr>
                <w:rFonts w:hint="eastAsia" w:ascii="宋体" w:hAnsi="宋体" w:eastAsia="宋体" w:cs="宋体"/>
                <w:b/>
                <w:bCs/>
                <w:color w:val="auto"/>
                <w:sz w:val="24"/>
                <w:szCs w:val="24"/>
                <w:highlight w:val="none"/>
                <w:vertAlign w:val="baseline"/>
                <w:lang w:eastAsia="zh-CN"/>
              </w:rPr>
              <w:t>报价</w:t>
            </w:r>
          </w:p>
          <w:p w14:paraId="01FF49B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rPr>
            </w:pPr>
            <w:r>
              <w:rPr>
                <w:rFonts w:hint="eastAsia" w:ascii="宋体" w:hAnsi="宋体" w:eastAsia="宋体" w:cs="宋体"/>
                <w:b/>
                <w:bCs/>
                <w:color w:val="auto"/>
                <w:sz w:val="24"/>
                <w:szCs w:val="24"/>
                <w:highlight w:val="none"/>
                <w:vertAlign w:val="baseline"/>
                <w:lang w:eastAsia="zh-CN"/>
              </w:rPr>
              <w:t>（综合折扣率）</w:t>
            </w:r>
          </w:p>
        </w:tc>
        <w:tc>
          <w:tcPr>
            <w:tcW w:w="5805" w:type="dxa"/>
            <w:gridSpan w:val="4"/>
            <w:tcBorders>
              <w:top w:val="single" w:color="auto" w:sz="4" w:space="0"/>
              <w:left w:val="single" w:color="auto" w:sz="4" w:space="0"/>
              <w:bottom w:val="single" w:color="auto" w:sz="4" w:space="0"/>
              <w:right w:val="single" w:color="auto" w:sz="4" w:space="0"/>
            </w:tcBorders>
          </w:tcPr>
          <w:p w14:paraId="60C7B0F1">
            <w:pPr>
              <w:pageBreakBefore w:val="0"/>
              <w:widowControl/>
              <w:wordWrap/>
              <w:overflowPunct/>
              <w:topLinePunct w:val="0"/>
              <w:bidi w:val="0"/>
              <w:spacing w:line="360" w:lineRule="auto"/>
              <w:jc w:val="both"/>
              <w:textAlignment w:val="baseline"/>
              <w:rPr>
                <w:rFonts w:hint="default" w:ascii="宋体" w:hAnsi="宋体" w:eastAsia="宋体" w:cs="宋体"/>
                <w:b/>
                <w:bCs/>
                <w:color w:val="auto"/>
                <w:sz w:val="24"/>
                <w:szCs w:val="24"/>
                <w:highlight w:val="none"/>
                <w:u w:val="single"/>
                <w:vertAlign w:val="baseline"/>
                <w:lang w:val="en-US" w:eastAsia="zh-CN"/>
              </w:rPr>
            </w:pPr>
            <w:r>
              <w:rPr>
                <w:rFonts w:hint="eastAsia" w:ascii="宋体" w:hAnsi="宋体" w:eastAsia="宋体" w:cs="宋体"/>
                <w:b/>
                <w:bCs/>
                <w:color w:val="auto"/>
                <w:sz w:val="24"/>
                <w:szCs w:val="24"/>
                <w:highlight w:val="none"/>
                <w:vertAlign w:val="baseline"/>
                <w:lang w:eastAsia="zh-CN"/>
              </w:rPr>
              <w:t>大写：百分之</w:t>
            </w:r>
            <w:r>
              <w:rPr>
                <w:rFonts w:hint="eastAsia" w:ascii="宋体" w:hAnsi="宋体" w:eastAsia="宋体" w:cs="宋体"/>
                <w:b/>
                <w:bCs/>
                <w:color w:val="auto"/>
                <w:sz w:val="24"/>
                <w:szCs w:val="24"/>
                <w:highlight w:val="none"/>
                <w:u w:val="single"/>
                <w:vertAlign w:val="baseline"/>
                <w:lang w:val="en-US" w:eastAsia="zh-CN"/>
              </w:rPr>
              <w:t xml:space="preserve">      </w:t>
            </w:r>
          </w:p>
          <w:p w14:paraId="722EE53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both"/>
              <w:textAlignment w:val="auto"/>
              <w:rPr>
                <w:rFonts w:ascii="宋体" w:hAnsi="宋体" w:cs="宋体"/>
                <w:color w:val="000000" w:themeColor="text1"/>
                <w:spacing w:val="20"/>
                <w:kern w:val="0"/>
                <w:sz w:val="24"/>
                <w:highlight w:val="none"/>
              </w:rPr>
            </w:pPr>
            <w:r>
              <w:rPr>
                <w:rFonts w:hint="eastAsia" w:ascii="宋体" w:hAnsi="宋体" w:eastAsia="宋体" w:cs="宋体"/>
                <w:b/>
                <w:bCs/>
                <w:color w:val="auto"/>
                <w:sz w:val="24"/>
                <w:szCs w:val="24"/>
                <w:highlight w:val="none"/>
                <w:vertAlign w:val="baseline"/>
                <w:lang w:eastAsia="zh-CN"/>
              </w:rPr>
              <w:t>小写：</w:t>
            </w:r>
            <w:r>
              <w:rPr>
                <w:rFonts w:hint="eastAsia" w:ascii="宋体" w:hAnsi="宋体" w:eastAsia="宋体" w:cs="宋体"/>
                <w:b/>
                <w:bCs/>
                <w:color w:val="auto"/>
                <w:sz w:val="24"/>
                <w:szCs w:val="24"/>
                <w:highlight w:val="none"/>
                <w:u w:val="single"/>
                <w:vertAlign w:val="baseline"/>
                <w:lang w:val="en-US" w:eastAsia="zh-CN"/>
              </w:rPr>
              <w:t xml:space="preserve">      </w:t>
            </w:r>
            <w:r>
              <w:rPr>
                <w:rFonts w:hint="eastAsia" w:ascii="宋体" w:hAnsi="宋体" w:eastAsia="宋体" w:cs="宋体"/>
                <w:b/>
                <w:bCs/>
                <w:color w:val="auto"/>
                <w:sz w:val="24"/>
                <w:szCs w:val="24"/>
                <w:highlight w:val="none"/>
                <w:u w:val="none"/>
                <w:vertAlign w:val="baseline"/>
                <w:lang w:val="en-US" w:eastAsia="zh-CN"/>
              </w:rPr>
              <w:t>%</w:t>
            </w:r>
          </w:p>
        </w:tc>
      </w:tr>
      <w:tr w14:paraId="1472D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exact"/>
        </w:trPr>
        <w:tc>
          <w:tcPr>
            <w:tcW w:w="733" w:type="dxa"/>
            <w:tcBorders>
              <w:top w:val="single" w:color="000000" w:sz="4" w:space="0"/>
              <w:left w:val="single" w:color="000000" w:sz="4" w:space="0"/>
              <w:bottom w:val="single" w:color="000000" w:sz="4" w:space="0"/>
              <w:right w:val="single" w:color="000000" w:sz="4" w:space="0"/>
            </w:tcBorders>
            <w:vAlign w:val="center"/>
          </w:tcPr>
          <w:p w14:paraId="751777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624" w:type="dxa"/>
            <w:tcBorders>
              <w:top w:val="single" w:color="000000" w:sz="4" w:space="0"/>
              <w:left w:val="single" w:color="000000" w:sz="4" w:space="0"/>
              <w:bottom w:val="single" w:color="000000" w:sz="4" w:space="0"/>
              <w:right w:val="single" w:color="000000" w:sz="4" w:space="0"/>
            </w:tcBorders>
            <w:vAlign w:val="center"/>
          </w:tcPr>
          <w:p w14:paraId="05A9FD2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材料名称</w:t>
            </w:r>
          </w:p>
        </w:tc>
        <w:tc>
          <w:tcPr>
            <w:tcW w:w="1319" w:type="dxa"/>
            <w:tcBorders>
              <w:top w:val="single" w:color="000000" w:sz="4" w:space="0"/>
              <w:left w:val="single" w:color="000000" w:sz="4" w:space="0"/>
              <w:bottom w:val="single" w:color="000000" w:sz="4" w:space="0"/>
              <w:right w:val="single" w:color="000000" w:sz="4" w:space="0"/>
            </w:tcBorders>
            <w:vAlign w:val="center"/>
          </w:tcPr>
          <w:p w14:paraId="23F30E2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品牌</w:t>
            </w:r>
          </w:p>
        </w:tc>
        <w:tc>
          <w:tcPr>
            <w:tcW w:w="1681" w:type="dxa"/>
            <w:tcBorders>
              <w:top w:val="single" w:color="000000" w:sz="4" w:space="0"/>
              <w:left w:val="single" w:color="000000" w:sz="4" w:space="0"/>
              <w:bottom w:val="single" w:color="000000" w:sz="4" w:space="0"/>
              <w:right w:val="single" w:color="000000" w:sz="4" w:space="0"/>
            </w:tcBorders>
            <w:vAlign w:val="center"/>
          </w:tcPr>
          <w:p w14:paraId="7CEFD5B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产地</w:t>
            </w:r>
          </w:p>
        </w:tc>
        <w:tc>
          <w:tcPr>
            <w:tcW w:w="1215" w:type="dxa"/>
            <w:tcBorders>
              <w:top w:val="single" w:color="000000" w:sz="4" w:space="0"/>
              <w:left w:val="single" w:color="000000" w:sz="4" w:space="0"/>
              <w:bottom w:val="single" w:color="000000" w:sz="4" w:space="0"/>
              <w:right w:val="single" w:color="000000" w:sz="4" w:space="0"/>
            </w:tcBorders>
            <w:vAlign w:val="center"/>
          </w:tcPr>
          <w:p w14:paraId="4DFE6BD6">
            <w:pPr>
              <w:keepNext w:val="0"/>
              <w:keepLines w:val="0"/>
              <w:widowControl/>
              <w:suppressLineNumbers w:val="0"/>
              <w:jc w:val="center"/>
              <w:textAlignment w:val="center"/>
              <w:rPr>
                <w:rFonts w:hint="default" w:ascii="宋体" w:hAnsi="宋体" w:eastAsia="宋体" w:cs="宋体"/>
                <w:b/>
                <w:bCs/>
                <w:i w:val="0"/>
                <w:iCs w:val="0"/>
                <w:color w:val="000000"/>
                <w:sz w:val="24"/>
                <w:szCs w:val="24"/>
                <w:highlight w:val="none"/>
                <w:u w:val="none"/>
                <w:lang w:val="en-US"/>
              </w:rPr>
            </w:pPr>
            <w:r>
              <w:rPr>
                <w:rFonts w:hint="eastAsia" w:ascii="宋体" w:hAnsi="宋体" w:cs="宋体"/>
                <w:b/>
                <w:bCs/>
                <w:i w:val="0"/>
                <w:iCs w:val="0"/>
                <w:color w:val="000000"/>
                <w:kern w:val="0"/>
                <w:sz w:val="24"/>
                <w:szCs w:val="24"/>
                <w:highlight w:val="none"/>
                <w:u w:val="none"/>
                <w:lang w:val="en-US" w:eastAsia="zh-CN" w:bidi="ar"/>
              </w:rPr>
              <w:t>生产厂家</w:t>
            </w:r>
          </w:p>
        </w:tc>
        <w:tc>
          <w:tcPr>
            <w:tcW w:w="1590" w:type="dxa"/>
            <w:tcBorders>
              <w:top w:val="single" w:color="000000" w:sz="4" w:space="0"/>
              <w:left w:val="single" w:color="000000" w:sz="4" w:space="0"/>
              <w:bottom w:val="single" w:color="000000" w:sz="4" w:space="0"/>
              <w:right w:val="single" w:color="000000" w:sz="4" w:space="0"/>
            </w:tcBorders>
            <w:vAlign w:val="center"/>
          </w:tcPr>
          <w:p w14:paraId="7416A0B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控制单价</w:t>
            </w:r>
            <w:r>
              <w:rPr>
                <w:rFonts w:hint="eastAsia" w:ascii="宋体" w:hAnsi="宋体" w:cs="宋体"/>
                <w:b/>
                <w:bCs/>
                <w:i w:val="0"/>
                <w:iCs w:val="0"/>
                <w:color w:val="000000"/>
                <w:kern w:val="0"/>
                <w:sz w:val="24"/>
                <w:szCs w:val="24"/>
                <w:highlight w:val="none"/>
                <w:u w:val="none"/>
                <w:lang w:val="en-US" w:eastAsia="zh-CN" w:bidi="ar"/>
              </w:rPr>
              <w:t>（元）</w:t>
            </w:r>
          </w:p>
        </w:tc>
      </w:tr>
      <w:tr w14:paraId="5BB03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exact"/>
        </w:trPr>
        <w:tc>
          <w:tcPr>
            <w:tcW w:w="733" w:type="dxa"/>
            <w:tcBorders>
              <w:top w:val="single" w:color="000000" w:sz="4" w:space="0"/>
              <w:left w:val="single" w:color="000000" w:sz="4" w:space="0"/>
              <w:bottom w:val="single" w:color="000000" w:sz="4" w:space="0"/>
              <w:right w:val="single" w:color="000000" w:sz="4" w:space="0"/>
            </w:tcBorders>
            <w:vAlign w:val="center"/>
          </w:tcPr>
          <w:p w14:paraId="35DC9A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624" w:type="dxa"/>
            <w:tcBorders>
              <w:top w:val="single" w:color="000000" w:sz="4" w:space="0"/>
              <w:left w:val="single" w:color="000000" w:sz="4" w:space="0"/>
              <w:bottom w:val="single" w:color="000000" w:sz="4" w:space="0"/>
              <w:right w:val="single" w:color="000000" w:sz="4" w:space="0"/>
            </w:tcBorders>
            <w:vAlign w:val="center"/>
          </w:tcPr>
          <w:p w14:paraId="61B4630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无水乙醇（2500ML ）</w:t>
            </w:r>
          </w:p>
        </w:tc>
        <w:tc>
          <w:tcPr>
            <w:tcW w:w="1319" w:type="dxa"/>
            <w:tcBorders>
              <w:top w:val="single" w:color="000000" w:sz="4" w:space="0"/>
              <w:left w:val="single" w:color="000000" w:sz="4" w:space="0"/>
              <w:bottom w:val="single" w:color="000000" w:sz="4" w:space="0"/>
              <w:right w:val="single" w:color="000000" w:sz="4" w:space="0"/>
            </w:tcBorders>
            <w:vAlign w:val="center"/>
          </w:tcPr>
          <w:p w14:paraId="6038171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vAlign w:val="center"/>
          </w:tcPr>
          <w:p w14:paraId="61F25C6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191F3B3D">
            <w:pPr>
              <w:pStyle w:val="10"/>
              <w:ind w:left="0" w:leftChars="0"/>
              <w:jc w:val="center"/>
              <w:rPr>
                <w:rFonts w:hint="eastAsia" w:ascii="宋体" w:hAnsi="宋体" w:eastAsia="宋体" w:cs="宋体"/>
                <w:i w:val="0"/>
                <w:iCs w:val="0"/>
                <w:color w:val="000000"/>
                <w:sz w:val="24"/>
                <w:szCs w:val="24"/>
                <w:highlight w:val="none"/>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58A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50.00</w:t>
            </w:r>
          </w:p>
        </w:tc>
      </w:tr>
      <w:tr w14:paraId="2E8CF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exact"/>
        </w:trPr>
        <w:tc>
          <w:tcPr>
            <w:tcW w:w="733" w:type="dxa"/>
            <w:tcBorders>
              <w:top w:val="single" w:color="000000" w:sz="4" w:space="0"/>
              <w:left w:val="single" w:color="000000" w:sz="4" w:space="0"/>
              <w:bottom w:val="single" w:color="000000" w:sz="4" w:space="0"/>
              <w:right w:val="single" w:color="000000" w:sz="4" w:space="0"/>
            </w:tcBorders>
            <w:vAlign w:val="center"/>
          </w:tcPr>
          <w:p w14:paraId="2579BB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624" w:type="dxa"/>
            <w:tcBorders>
              <w:top w:val="single" w:color="000000" w:sz="4" w:space="0"/>
              <w:left w:val="single" w:color="000000" w:sz="4" w:space="0"/>
              <w:bottom w:val="single" w:color="000000" w:sz="4" w:space="0"/>
              <w:right w:val="single" w:color="000000" w:sz="4" w:space="0"/>
            </w:tcBorders>
            <w:vAlign w:val="center"/>
          </w:tcPr>
          <w:p w14:paraId="10F9056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无水乙醇（500ML）</w:t>
            </w:r>
          </w:p>
        </w:tc>
        <w:tc>
          <w:tcPr>
            <w:tcW w:w="1319" w:type="dxa"/>
            <w:tcBorders>
              <w:top w:val="single" w:color="000000" w:sz="4" w:space="0"/>
              <w:left w:val="single" w:color="000000" w:sz="4" w:space="0"/>
              <w:bottom w:val="single" w:color="000000" w:sz="4" w:space="0"/>
              <w:right w:val="single" w:color="000000" w:sz="4" w:space="0"/>
            </w:tcBorders>
            <w:vAlign w:val="center"/>
          </w:tcPr>
          <w:p w14:paraId="36F0D91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vAlign w:val="center"/>
          </w:tcPr>
          <w:p w14:paraId="5B81FE6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62A2C85D">
            <w:pPr>
              <w:pStyle w:val="10"/>
              <w:ind w:left="0" w:leftChars="0" w:firstLine="0" w:firstLineChars="0"/>
              <w:jc w:val="center"/>
              <w:rPr>
                <w:rFonts w:hint="eastAsia" w:ascii="宋体" w:hAnsi="宋体" w:eastAsia="宋体" w:cs="宋体"/>
                <w:i w:val="0"/>
                <w:iCs w:val="0"/>
                <w:color w:val="000000"/>
                <w:sz w:val="24"/>
                <w:szCs w:val="24"/>
                <w:highlight w:val="none"/>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B38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15.00</w:t>
            </w:r>
          </w:p>
        </w:tc>
      </w:tr>
      <w:tr w14:paraId="000D8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exact"/>
        </w:trPr>
        <w:tc>
          <w:tcPr>
            <w:tcW w:w="733" w:type="dxa"/>
            <w:tcBorders>
              <w:top w:val="single" w:color="000000" w:sz="4" w:space="0"/>
              <w:left w:val="single" w:color="000000" w:sz="4" w:space="0"/>
              <w:bottom w:val="single" w:color="000000" w:sz="4" w:space="0"/>
              <w:right w:val="single" w:color="000000" w:sz="4" w:space="0"/>
            </w:tcBorders>
            <w:vAlign w:val="center"/>
          </w:tcPr>
          <w:p w14:paraId="3C0D87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624" w:type="dxa"/>
            <w:tcBorders>
              <w:top w:val="single" w:color="000000" w:sz="4" w:space="0"/>
              <w:left w:val="single" w:color="000000" w:sz="4" w:space="0"/>
              <w:bottom w:val="single" w:color="000000" w:sz="4" w:space="0"/>
              <w:right w:val="single" w:color="000000" w:sz="4" w:space="0"/>
            </w:tcBorders>
            <w:vAlign w:val="center"/>
          </w:tcPr>
          <w:p w14:paraId="46C811E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二甲苯（500ML）</w:t>
            </w:r>
          </w:p>
        </w:tc>
        <w:tc>
          <w:tcPr>
            <w:tcW w:w="1319" w:type="dxa"/>
            <w:tcBorders>
              <w:top w:val="single" w:color="000000" w:sz="4" w:space="0"/>
              <w:left w:val="single" w:color="000000" w:sz="4" w:space="0"/>
              <w:bottom w:val="single" w:color="000000" w:sz="4" w:space="0"/>
              <w:right w:val="single" w:color="000000" w:sz="4" w:space="0"/>
            </w:tcBorders>
            <w:vAlign w:val="center"/>
          </w:tcPr>
          <w:p w14:paraId="72B004A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vAlign w:val="center"/>
          </w:tcPr>
          <w:p w14:paraId="32D926B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4507A6D3">
            <w:pPr>
              <w:pStyle w:val="10"/>
              <w:ind w:left="0" w:leftChars="0" w:firstLine="0" w:firstLineChars="0"/>
              <w:jc w:val="center"/>
              <w:rPr>
                <w:rFonts w:hint="eastAsia" w:ascii="宋体" w:hAnsi="宋体" w:eastAsia="宋体" w:cs="宋体"/>
                <w:i w:val="0"/>
                <w:iCs w:val="0"/>
                <w:color w:val="000000"/>
                <w:sz w:val="24"/>
                <w:szCs w:val="24"/>
                <w:highlight w:val="none"/>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22F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15.00</w:t>
            </w:r>
          </w:p>
        </w:tc>
      </w:tr>
      <w:tr w14:paraId="46B1C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exact"/>
        </w:trPr>
        <w:tc>
          <w:tcPr>
            <w:tcW w:w="733" w:type="dxa"/>
            <w:tcBorders>
              <w:top w:val="single" w:color="000000" w:sz="4" w:space="0"/>
              <w:left w:val="single" w:color="000000" w:sz="4" w:space="0"/>
              <w:bottom w:val="single" w:color="000000" w:sz="4" w:space="0"/>
              <w:right w:val="single" w:color="000000" w:sz="4" w:space="0"/>
            </w:tcBorders>
            <w:vAlign w:val="center"/>
          </w:tcPr>
          <w:p w14:paraId="43199E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624" w:type="dxa"/>
            <w:tcBorders>
              <w:top w:val="single" w:color="000000" w:sz="4" w:space="0"/>
              <w:left w:val="single" w:color="000000" w:sz="4" w:space="0"/>
              <w:bottom w:val="single" w:color="000000" w:sz="4" w:space="0"/>
              <w:right w:val="single" w:color="000000" w:sz="4" w:space="0"/>
            </w:tcBorders>
            <w:vAlign w:val="center"/>
          </w:tcPr>
          <w:p w14:paraId="04D7A68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无水甲醇（500ML）</w:t>
            </w:r>
          </w:p>
        </w:tc>
        <w:tc>
          <w:tcPr>
            <w:tcW w:w="1319" w:type="dxa"/>
            <w:tcBorders>
              <w:top w:val="single" w:color="000000" w:sz="4" w:space="0"/>
              <w:left w:val="single" w:color="000000" w:sz="4" w:space="0"/>
              <w:bottom w:val="single" w:color="000000" w:sz="4" w:space="0"/>
              <w:right w:val="single" w:color="000000" w:sz="4" w:space="0"/>
            </w:tcBorders>
            <w:vAlign w:val="center"/>
          </w:tcPr>
          <w:p w14:paraId="7C47571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vAlign w:val="center"/>
          </w:tcPr>
          <w:p w14:paraId="630F498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4F2E3DF8">
            <w:pPr>
              <w:pStyle w:val="10"/>
              <w:ind w:left="0" w:leftChars="0" w:firstLine="0" w:firstLineChars="0"/>
              <w:jc w:val="center"/>
              <w:rPr>
                <w:rFonts w:hint="eastAsia" w:ascii="宋体" w:hAnsi="宋体" w:eastAsia="宋体" w:cs="宋体"/>
                <w:i w:val="0"/>
                <w:iCs w:val="0"/>
                <w:color w:val="000000"/>
                <w:sz w:val="24"/>
                <w:szCs w:val="24"/>
                <w:highlight w:val="none"/>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1D9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15.00</w:t>
            </w:r>
          </w:p>
        </w:tc>
      </w:tr>
      <w:tr w14:paraId="5FEDD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exact"/>
        </w:trPr>
        <w:tc>
          <w:tcPr>
            <w:tcW w:w="733" w:type="dxa"/>
            <w:tcBorders>
              <w:top w:val="single" w:color="000000" w:sz="4" w:space="0"/>
              <w:left w:val="single" w:color="000000" w:sz="4" w:space="0"/>
              <w:bottom w:val="single" w:color="000000" w:sz="4" w:space="0"/>
              <w:right w:val="single" w:color="000000" w:sz="4" w:space="0"/>
            </w:tcBorders>
            <w:vAlign w:val="center"/>
          </w:tcPr>
          <w:p w14:paraId="23123D6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w:t>
            </w:r>
          </w:p>
        </w:tc>
        <w:tc>
          <w:tcPr>
            <w:tcW w:w="2624" w:type="dxa"/>
            <w:tcBorders>
              <w:top w:val="single" w:color="000000" w:sz="4" w:space="0"/>
              <w:left w:val="single" w:color="000000" w:sz="4" w:space="0"/>
              <w:bottom w:val="single" w:color="000000" w:sz="4" w:space="0"/>
              <w:right w:val="single" w:color="000000" w:sz="4" w:space="0"/>
            </w:tcBorders>
            <w:vAlign w:val="center"/>
          </w:tcPr>
          <w:p w14:paraId="3E18351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冰乙酸（500ML）</w:t>
            </w:r>
          </w:p>
        </w:tc>
        <w:tc>
          <w:tcPr>
            <w:tcW w:w="1319" w:type="dxa"/>
            <w:tcBorders>
              <w:top w:val="single" w:color="000000" w:sz="4" w:space="0"/>
              <w:left w:val="single" w:color="000000" w:sz="4" w:space="0"/>
              <w:bottom w:val="single" w:color="000000" w:sz="4" w:space="0"/>
              <w:right w:val="single" w:color="000000" w:sz="4" w:space="0"/>
            </w:tcBorders>
            <w:vAlign w:val="center"/>
          </w:tcPr>
          <w:p w14:paraId="4DC6168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vAlign w:val="center"/>
          </w:tcPr>
          <w:p w14:paraId="65DE270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020E4F91">
            <w:pPr>
              <w:pStyle w:val="10"/>
              <w:ind w:left="0" w:leftChars="0" w:firstLine="0" w:firstLineChars="0"/>
              <w:jc w:val="center"/>
              <w:rPr>
                <w:rFonts w:hint="eastAsia" w:ascii="宋体" w:hAnsi="宋体" w:eastAsia="宋体" w:cs="宋体"/>
                <w:b w:val="0"/>
                <w:bCs w:val="0"/>
                <w:sz w:val="24"/>
                <w:szCs w:val="24"/>
                <w:highlight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FE8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20.00</w:t>
            </w:r>
          </w:p>
        </w:tc>
      </w:tr>
      <w:tr w14:paraId="27BB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exact"/>
        </w:trPr>
        <w:tc>
          <w:tcPr>
            <w:tcW w:w="733" w:type="dxa"/>
            <w:tcBorders>
              <w:top w:val="single" w:color="000000" w:sz="4" w:space="0"/>
              <w:left w:val="single" w:color="000000" w:sz="4" w:space="0"/>
              <w:bottom w:val="single" w:color="000000" w:sz="4" w:space="0"/>
              <w:right w:val="single" w:color="000000" w:sz="4" w:space="0"/>
            </w:tcBorders>
            <w:vAlign w:val="center"/>
          </w:tcPr>
          <w:p w14:paraId="788ECC95">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2624" w:type="dxa"/>
            <w:tcBorders>
              <w:top w:val="single" w:color="000000" w:sz="4" w:space="0"/>
              <w:left w:val="single" w:color="000000" w:sz="4" w:space="0"/>
              <w:bottom w:val="single" w:color="000000" w:sz="4" w:space="0"/>
              <w:right w:val="single" w:color="000000" w:sz="4" w:space="0"/>
            </w:tcBorders>
            <w:vAlign w:val="center"/>
          </w:tcPr>
          <w:p w14:paraId="2C12A37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丙三醇（500ML）</w:t>
            </w:r>
          </w:p>
        </w:tc>
        <w:tc>
          <w:tcPr>
            <w:tcW w:w="1319" w:type="dxa"/>
            <w:tcBorders>
              <w:top w:val="single" w:color="000000" w:sz="4" w:space="0"/>
              <w:left w:val="single" w:color="000000" w:sz="4" w:space="0"/>
              <w:bottom w:val="single" w:color="000000" w:sz="4" w:space="0"/>
              <w:right w:val="single" w:color="000000" w:sz="4" w:space="0"/>
            </w:tcBorders>
            <w:vAlign w:val="center"/>
          </w:tcPr>
          <w:p w14:paraId="3D0B5C6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vAlign w:val="center"/>
          </w:tcPr>
          <w:p w14:paraId="284687B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5D9A7CA9">
            <w:pPr>
              <w:pStyle w:val="10"/>
              <w:ind w:left="0" w:leftChars="0" w:firstLine="0" w:firstLineChars="0"/>
              <w:jc w:val="center"/>
              <w:rPr>
                <w:rFonts w:hint="eastAsia" w:ascii="宋体" w:hAnsi="宋体" w:eastAsia="宋体" w:cs="宋体"/>
                <w:b w:val="0"/>
                <w:bCs w:val="0"/>
                <w:sz w:val="24"/>
                <w:szCs w:val="24"/>
                <w:highlight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AD3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21.00</w:t>
            </w:r>
          </w:p>
        </w:tc>
      </w:tr>
      <w:tr w14:paraId="404B0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exact"/>
        </w:trPr>
        <w:tc>
          <w:tcPr>
            <w:tcW w:w="733" w:type="dxa"/>
            <w:tcBorders>
              <w:top w:val="single" w:color="000000" w:sz="4" w:space="0"/>
              <w:left w:val="single" w:color="000000" w:sz="4" w:space="0"/>
              <w:bottom w:val="single" w:color="000000" w:sz="4" w:space="0"/>
              <w:right w:val="single" w:color="000000" w:sz="4" w:space="0"/>
            </w:tcBorders>
            <w:vAlign w:val="center"/>
          </w:tcPr>
          <w:p w14:paraId="429D046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7</w:t>
            </w:r>
          </w:p>
        </w:tc>
        <w:tc>
          <w:tcPr>
            <w:tcW w:w="2624" w:type="dxa"/>
            <w:tcBorders>
              <w:top w:val="single" w:color="000000" w:sz="4" w:space="0"/>
              <w:left w:val="single" w:color="000000" w:sz="4" w:space="0"/>
              <w:bottom w:val="single" w:color="000000" w:sz="4" w:space="0"/>
              <w:right w:val="single" w:color="000000" w:sz="4" w:space="0"/>
            </w:tcBorders>
            <w:vAlign w:val="center"/>
          </w:tcPr>
          <w:p w14:paraId="5156810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异丙醇（500ML）</w:t>
            </w:r>
          </w:p>
        </w:tc>
        <w:tc>
          <w:tcPr>
            <w:tcW w:w="1319" w:type="dxa"/>
            <w:tcBorders>
              <w:top w:val="single" w:color="000000" w:sz="4" w:space="0"/>
              <w:left w:val="single" w:color="000000" w:sz="4" w:space="0"/>
              <w:bottom w:val="single" w:color="000000" w:sz="4" w:space="0"/>
              <w:right w:val="single" w:color="000000" w:sz="4" w:space="0"/>
            </w:tcBorders>
            <w:vAlign w:val="center"/>
          </w:tcPr>
          <w:p w14:paraId="1B7BE6A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vAlign w:val="center"/>
          </w:tcPr>
          <w:p w14:paraId="3FABE82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6EAA57D0">
            <w:pPr>
              <w:pStyle w:val="10"/>
              <w:ind w:left="0" w:leftChars="0" w:firstLine="0" w:firstLineChars="0"/>
              <w:jc w:val="center"/>
              <w:rPr>
                <w:rFonts w:hint="eastAsia" w:ascii="宋体" w:hAnsi="宋体" w:eastAsia="宋体" w:cs="宋体"/>
                <w:b w:val="0"/>
                <w:bCs w:val="0"/>
                <w:sz w:val="24"/>
                <w:szCs w:val="24"/>
                <w:highlight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B9C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21.00</w:t>
            </w:r>
          </w:p>
        </w:tc>
      </w:tr>
      <w:tr w14:paraId="2F4F4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exact"/>
        </w:trPr>
        <w:tc>
          <w:tcPr>
            <w:tcW w:w="733" w:type="dxa"/>
            <w:tcBorders>
              <w:top w:val="single" w:color="000000" w:sz="4" w:space="0"/>
              <w:left w:val="single" w:color="000000" w:sz="4" w:space="0"/>
              <w:bottom w:val="single" w:color="000000" w:sz="4" w:space="0"/>
              <w:right w:val="single" w:color="000000" w:sz="4" w:space="0"/>
            </w:tcBorders>
            <w:vAlign w:val="center"/>
          </w:tcPr>
          <w:p w14:paraId="736137E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8</w:t>
            </w:r>
          </w:p>
        </w:tc>
        <w:tc>
          <w:tcPr>
            <w:tcW w:w="2624" w:type="dxa"/>
            <w:tcBorders>
              <w:top w:val="single" w:color="000000" w:sz="4" w:space="0"/>
              <w:left w:val="single" w:color="000000" w:sz="4" w:space="0"/>
              <w:bottom w:val="single" w:color="000000" w:sz="4" w:space="0"/>
              <w:right w:val="single" w:color="000000" w:sz="4" w:space="0"/>
            </w:tcBorders>
            <w:vAlign w:val="center"/>
          </w:tcPr>
          <w:p w14:paraId="1956ABA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中性树胶（500ML）</w:t>
            </w:r>
          </w:p>
        </w:tc>
        <w:tc>
          <w:tcPr>
            <w:tcW w:w="1319" w:type="dxa"/>
            <w:tcBorders>
              <w:top w:val="single" w:color="000000" w:sz="4" w:space="0"/>
              <w:left w:val="single" w:color="000000" w:sz="4" w:space="0"/>
              <w:bottom w:val="single" w:color="000000" w:sz="4" w:space="0"/>
              <w:right w:val="single" w:color="000000" w:sz="4" w:space="0"/>
            </w:tcBorders>
            <w:vAlign w:val="center"/>
          </w:tcPr>
          <w:p w14:paraId="04B34C8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681" w:type="dxa"/>
            <w:tcBorders>
              <w:top w:val="single" w:color="000000" w:sz="4" w:space="0"/>
              <w:left w:val="single" w:color="000000" w:sz="4" w:space="0"/>
              <w:bottom w:val="single" w:color="000000" w:sz="4" w:space="0"/>
              <w:right w:val="single" w:color="000000" w:sz="4" w:space="0"/>
            </w:tcBorders>
            <w:vAlign w:val="center"/>
          </w:tcPr>
          <w:p w14:paraId="4994366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215" w:type="dxa"/>
            <w:tcBorders>
              <w:top w:val="single" w:color="000000" w:sz="4" w:space="0"/>
              <w:left w:val="single" w:color="000000" w:sz="4" w:space="0"/>
              <w:bottom w:val="single" w:color="000000" w:sz="4" w:space="0"/>
              <w:right w:val="single" w:color="000000" w:sz="4" w:space="0"/>
            </w:tcBorders>
            <w:vAlign w:val="center"/>
          </w:tcPr>
          <w:p w14:paraId="0778A90E">
            <w:pPr>
              <w:pStyle w:val="10"/>
              <w:ind w:left="0" w:leftChars="0" w:firstLine="0" w:firstLineChars="0"/>
              <w:jc w:val="center"/>
              <w:rPr>
                <w:rFonts w:hint="eastAsia" w:ascii="宋体" w:hAnsi="宋体" w:eastAsia="宋体" w:cs="宋体"/>
                <w:b w:val="0"/>
                <w:bCs w:val="0"/>
                <w:sz w:val="24"/>
                <w:szCs w:val="24"/>
                <w:highlight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271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60.00</w:t>
            </w:r>
          </w:p>
        </w:tc>
      </w:tr>
    </w:tbl>
    <w:p w14:paraId="739AF037">
      <w:pPr>
        <w:widowControl/>
        <w:snapToGrid w:val="0"/>
        <w:spacing w:line="440" w:lineRule="exact"/>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r>
        <w:rPr>
          <w:rFonts w:hint="eastAsia" w:ascii="宋体"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val="en-US" w:eastAsia="zh-CN"/>
        </w:rPr>
        <w:t>供应商投标报价以采购</w:t>
      </w:r>
      <w:r>
        <w:rPr>
          <w:rFonts w:hint="eastAsia" w:ascii="宋体" w:hAnsi="宋体" w:cs="宋体"/>
          <w:b/>
          <w:bCs/>
          <w:color w:val="auto"/>
          <w:sz w:val="21"/>
          <w:szCs w:val="21"/>
          <w:highlight w:val="none"/>
          <w:lang w:val="en-US" w:eastAsia="zh-CN"/>
        </w:rPr>
        <w:t>标的</w:t>
      </w:r>
      <w:r>
        <w:rPr>
          <w:rFonts w:hint="eastAsia" w:ascii="宋体" w:hAnsi="宋体" w:eastAsia="宋体" w:cs="宋体"/>
          <w:b/>
          <w:bCs/>
          <w:color w:val="auto"/>
          <w:sz w:val="21"/>
          <w:szCs w:val="21"/>
          <w:highlight w:val="none"/>
          <w:lang w:val="en-US" w:eastAsia="zh-CN"/>
        </w:rPr>
        <w:t>清单中控制单价为基准价格，整体报出综合折扣率。供应商所报综合折扣率不得大于100%，否则将被作为无效响应；</w:t>
      </w:r>
    </w:p>
    <w:p w14:paraId="4A6747C0">
      <w:pPr>
        <w:pageBreakBefore w:val="0"/>
        <w:widowControl/>
        <w:wordWrap/>
        <w:overflowPunct/>
        <w:topLinePunct w:val="0"/>
        <w:bidi w:val="0"/>
        <w:spacing w:line="360" w:lineRule="auto"/>
        <w:ind w:firstLine="422" w:firstLineChars="200"/>
        <w:textAlignment w:val="baseline"/>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各单项产品合同价格=采购标的清单对应的控制单价×综合折扣率。举例如：综合折扣率报价为90％，清单序号1“无水乙醇（2500ML ）”控制单价为50元，则其合同价格为50元×90％=45元（四舍五入保留两位小数），以此类推。</w:t>
      </w:r>
    </w:p>
    <w:p w14:paraId="716FC1B0">
      <w:pPr>
        <w:pageBreakBefore w:val="0"/>
        <w:widowControl/>
        <w:wordWrap/>
        <w:overflowPunct/>
        <w:topLinePunct w:val="0"/>
        <w:bidi w:val="0"/>
        <w:spacing w:line="360" w:lineRule="auto"/>
        <w:ind w:firstLine="420" w:firstLineChars="200"/>
        <w:textAlignment w:val="baseline"/>
        <w:rPr>
          <w:rFonts w:ascii="宋体" w:hAnsi="宋体" w:cs="宋体"/>
          <w:color w:val="auto"/>
          <w:kern w:val="0"/>
          <w:sz w:val="24"/>
          <w:highlight w:val="none"/>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eastAsia="zh-CN"/>
        </w:rPr>
        <w:t>供应商的报价为交货地点交货价格，包括货物、运费及保险费、运杂费、伴随的其他服务费及其他所有费用的总和；</w:t>
      </w:r>
      <w:r>
        <w:rPr>
          <w:rFonts w:hint="eastAsia" w:ascii="宋体" w:hAnsi="宋体" w:eastAsia="宋体" w:cs="宋体"/>
          <w:b w:val="0"/>
          <w:bCs w:val="0"/>
          <w:color w:val="auto"/>
          <w:sz w:val="21"/>
          <w:szCs w:val="21"/>
          <w:highlight w:val="none"/>
          <w:lang w:val="en-US" w:eastAsia="zh-CN"/>
        </w:rPr>
        <w:t>供货期限内医院不再承担任何其他费用</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应充分考虑合同履行期限内可能产生的物价变化、政策调整、市场经营风险等多种因素，慎重报价。</w:t>
      </w:r>
    </w:p>
    <w:p w14:paraId="3FCC6F1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0243A11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E4AAD2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sectPr>
          <w:pgSz w:w="11906" w:h="16838"/>
          <w:pgMar w:top="1417" w:right="1474" w:bottom="1417" w:left="1474" w:header="851" w:footer="624" w:gutter="0"/>
          <w:pgBorders>
            <w:top w:val="none" w:sz="0" w:space="0"/>
            <w:left w:val="none" w:sz="0" w:space="0"/>
            <w:bottom w:val="none" w:sz="0" w:space="0"/>
            <w:right w:val="none" w:sz="0" w:space="0"/>
          </w:pgBorders>
          <w:pgNumType w:fmt="decimal"/>
          <w:cols w:space="720" w:num="1"/>
          <w:docGrid w:type="lines" w:linePitch="319" w:charSpace="0"/>
        </w:sect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bookmarkEnd w:id="94"/>
    <w:bookmarkEnd w:id="95"/>
    <w:bookmarkEnd w:id="96"/>
    <w:p w14:paraId="3B29E5F1">
      <w:pPr>
        <w:widowControl/>
        <w:wordWrap w:val="0"/>
        <w:snapToGrid w:val="0"/>
        <w:spacing w:before="50" w:afterLines="5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w:t>
      </w:r>
      <w:r>
        <w:rPr>
          <w:rFonts w:hint="eastAsia" w:ascii="宋体" w:hAnsi="宋体" w:cs="宋体"/>
          <w:b/>
          <w:bCs/>
          <w:color w:val="auto"/>
          <w:sz w:val="28"/>
          <w:szCs w:val="28"/>
          <w:highlight w:val="none"/>
          <w:lang w:val="en-US" w:eastAsia="zh-CN"/>
        </w:rPr>
        <w:t>5</w:t>
      </w:r>
      <w:r>
        <w:rPr>
          <w:rFonts w:hint="eastAsia" w:ascii="宋体" w:hAnsi="宋体" w:eastAsia="宋体" w:cs="宋体"/>
          <w:b/>
          <w:bCs/>
          <w:color w:val="auto"/>
          <w:sz w:val="28"/>
          <w:szCs w:val="28"/>
          <w:highlight w:val="none"/>
          <w:lang w:val="en-US" w:eastAsia="zh-CN"/>
        </w:rPr>
        <w:t xml:space="preserve">            商务响应表（格式）</w:t>
      </w:r>
    </w:p>
    <w:p w14:paraId="4E4634F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64"/>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3D1D0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vAlign w:val="center"/>
          </w:tcPr>
          <w:p w14:paraId="45660E5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vAlign w:val="center"/>
          </w:tcPr>
          <w:p w14:paraId="7F61A0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vAlign w:val="center"/>
          </w:tcPr>
          <w:p w14:paraId="5DDBD14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谈判文件</w:t>
            </w:r>
            <w:r>
              <w:rPr>
                <w:rFonts w:hint="eastAsia" w:ascii="宋体" w:hAnsi="宋体" w:eastAsia="宋体" w:cs="宋体"/>
                <w:color w:val="auto"/>
                <w:sz w:val="21"/>
                <w:szCs w:val="21"/>
                <w:highlight w:val="none"/>
              </w:rPr>
              <w:t>要求</w:t>
            </w:r>
          </w:p>
        </w:tc>
        <w:tc>
          <w:tcPr>
            <w:tcW w:w="2038" w:type="dxa"/>
            <w:vAlign w:val="center"/>
          </w:tcPr>
          <w:p w14:paraId="65101362">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vAlign w:val="center"/>
          </w:tcPr>
          <w:p w14:paraId="6EBD91BD">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vAlign w:val="center"/>
          </w:tcPr>
          <w:p w14:paraId="2EAA349E">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38E05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621A792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vAlign w:val="center"/>
          </w:tcPr>
          <w:p w14:paraId="7C9CA6E6">
            <w:pPr>
              <w:pStyle w:val="10"/>
              <w:ind w:left="0" w:leftChars="0"/>
              <w:jc w:val="center"/>
              <w:rPr>
                <w:rFonts w:hint="eastAsia" w:ascii="宋体" w:hAnsi="宋体" w:eastAsia="宋体" w:cs="宋体"/>
                <w:color w:val="auto"/>
                <w:sz w:val="21"/>
                <w:szCs w:val="21"/>
                <w:highlight w:val="none"/>
              </w:rPr>
            </w:pPr>
          </w:p>
        </w:tc>
        <w:tc>
          <w:tcPr>
            <w:tcW w:w="2198" w:type="dxa"/>
            <w:vAlign w:val="center"/>
          </w:tcPr>
          <w:p w14:paraId="519367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vAlign w:val="center"/>
          </w:tcPr>
          <w:p w14:paraId="49CF232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vAlign w:val="center"/>
          </w:tcPr>
          <w:p w14:paraId="4423195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vAlign w:val="center"/>
          </w:tcPr>
          <w:p w14:paraId="397A1D6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0269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74E565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vAlign w:val="center"/>
          </w:tcPr>
          <w:p w14:paraId="313761EE">
            <w:pPr>
              <w:pStyle w:val="10"/>
              <w:ind w:left="0" w:leftChars="0"/>
              <w:jc w:val="center"/>
              <w:rPr>
                <w:rFonts w:hint="eastAsia" w:ascii="宋体" w:hAnsi="宋体" w:eastAsia="宋体" w:cs="宋体"/>
                <w:color w:val="auto"/>
                <w:sz w:val="21"/>
                <w:szCs w:val="21"/>
                <w:highlight w:val="none"/>
                <w:lang w:val="en-US" w:eastAsia="zh-CN"/>
              </w:rPr>
            </w:pPr>
          </w:p>
        </w:tc>
        <w:tc>
          <w:tcPr>
            <w:tcW w:w="2198" w:type="dxa"/>
            <w:vAlign w:val="center"/>
          </w:tcPr>
          <w:p w14:paraId="5F8B65F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vAlign w:val="center"/>
          </w:tcPr>
          <w:p w14:paraId="09DF1B6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vAlign w:val="center"/>
          </w:tcPr>
          <w:p w14:paraId="682644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vAlign w:val="center"/>
          </w:tcPr>
          <w:p w14:paraId="47083B0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FA37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56E58A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vAlign w:val="center"/>
          </w:tcPr>
          <w:p w14:paraId="5797EAF3">
            <w:pPr>
              <w:pStyle w:val="10"/>
              <w:ind w:left="0" w:leftChars="0"/>
              <w:jc w:val="center"/>
              <w:rPr>
                <w:rFonts w:hint="eastAsia" w:ascii="宋体" w:hAnsi="宋体" w:eastAsia="宋体" w:cs="宋体"/>
                <w:color w:val="auto"/>
                <w:sz w:val="21"/>
                <w:szCs w:val="21"/>
                <w:highlight w:val="none"/>
              </w:rPr>
            </w:pPr>
          </w:p>
        </w:tc>
        <w:tc>
          <w:tcPr>
            <w:tcW w:w="2198" w:type="dxa"/>
            <w:vAlign w:val="center"/>
          </w:tcPr>
          <w:p w14:paraId="37C508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vAlign w:val="center"/>
          </w:tcPr>
          <w:p w14:paraId="74F96AD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vAlign w:val="center"/>
          </w:tcPr>
          <w:p w14:paraId="62C3E99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vAlign w:val="center"/>
          </w:tcPr>
          <w:p w14:paraId="02B721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56BD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29D3F5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vAlign w:val="center"/>
          </w:tcPr>
          <w:p w14:paraId="6907D6B9">
            <w:pPr>
              <w:pStyle w:val="10"/>
              <w:ind w:left="0" w:leftChars="0"/>
              <w:jc w:val="center"/>
              <w:rPr>
                <w:rFonts w:hint="eastAsia" w:ascii="宋体" w:hAnsi="宋体" w:eastAsia="宋体" w:cs="宋体"/>
                <w:color w:val="auto"/>
                <w:sz w:val="21"/>
                <w:szCs w:val="21"/>
                <w:highlight w:val="none"/>
              </w:rPr>
            </w:pPr>
          </w:p>
        </w:tc>
        <w:tc>
          <w:tcPr>
            <w:tcW w:w="2198" w:type="dxa"/>
            <w:vAlign w:val="center"/>
          </w:tcPr>
          <w:p w14:paraId="40B893A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vAlign w:val="center"/>
          </w:tcPr>
          <w:p w14:paraId="60B42D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vAlign w:val="center"/>
          </w:tcPr>
          <w:p w14:paraId="1E1B3D2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vAlign w:val="center"/>
          </w:tcPr>
          <w:p w14:paraId="3953EE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8CA6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148DF67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vAlign w:val="center"/>
          </w:tcPr>
          <w:p w14:paraId="65F6D0A8">
            <w:pPr>
              <w:pStyle w:val="10"/>
              <w:ind w:left="0" w:leftChars="0"/>
              <w:jc w:val="center"/>
              <w:rPr>
                <w:rFonts w:hint="eastAsia" w:ascii="宋体" w:hAnsi="宋体" w:eastAsia="宋体" w:cs="宋体"/>
                <w:color w:val="auto"/>
                <w:sz w:val="21"/>
                <w:szCs w:val="21"/>
                <w:highlight w:val="none"/>
              </w:rPr>
            </w:pPr>
          </w:p>
        </w:tc>
        <w:tc>
          <w:tcPr>
            <w:tcW w:w="2198" w:type="dxa"/>
            <w:vAlign w:val="center"/>
          </w:tcPr>
          <w:p w14:paraId="70BE45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vAlign w:val="center"/>
          </w:tcPr>
          <w:p w14:paraId="04DC487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vAlign w:val="center"/>
          </w:tcPr>
          <w:p w14:paraId="5678893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vAlign w:val="center"/>
          </w:tcPr>
          <w:p w14:paraId="2CB4501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41CB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vAlign w:val="center"/>
          </w:tcPr>
          <w:p w14:paraId="5F1489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vAlign w:val="center"/>
          </w:tcPr>
          <w:p w14:paraId="198DF7CA">
            <w:pPr>
              <w:pStyle w:val="10"/>
              <w:ind w:left="0" w:leftChars="0"/>
              <w:jc w:val="center"/>
              <w:rPr>
                <w:rFonts w:hint="eastAsia" w:ascii="宋体" w:hAnsi="宋体" w:eastAsia="宋体" w:cs="宋体"/>
                <w:color w:val="auto"/>
                <w:sz w:val="21"/>
                <w:szCs w:val="21"/>
                <w:highlight w:val="none"/>
              </w:rPr>
            </w:pPr>
          </w:p>
        </w:tc>
        <w:tc>
          <w:tcPr>
            <w:tcW w:w="2198" w:type="dxa"/>
            <w:vAlign w:val="center"/>
          </w:tcPr>
          <w:p w14:paraId="7BBFD29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vAlign w:val="center"/>
          </w:tcPr>
          <w:p w14:paraId="5EDED34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vAlign w:val="center"/>
          </w:tcPr>
          <w:p w14:paraId="225AFA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vAlign w:val="center"/>
          </w:tcPr>
          <w:p w14:paraId="03CDD0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5D6A7FB">
      <w:pPr>
        <w:rPr>
          <w:rFonts w:hint="eastAsia" w:ascii="宋体" w:hAnsi="宋体" w:eastAsia="宋体" w:cs="宋体"/>
          <w:b/>
          <w:color w:val="auto"/>
          <w:kern w:val="0"/>
          <w:sz w:val="21"/>
          <w:szCs w:val="21"/>
          <w:highlight w:val="none"/>
        </w:rPr>
      </w:pPr>
    </w:p>
    <w:p w14:paraId="2A57361B">
      <w:pPr>
        <w:keepNext w:val="0"/>
        <w:keepLines w:val="0"/>
        <w:pageBreakBefore w:val="0"/>
        <w:widowControl w:val="0"/>
        <w:kinsoku/>
        <w:wordWrap/>
        <w:overflowPunct/>
        <w:topLinePunct w:val="0"/>
        <w:autoSpaceDE/>
        <w:autoSpaceDN/>
        <w:bidi w:val="0"/>
        <w:adjustRightInd/>
        <w:snapToGrid/>
        <w:spacing w:line="360" w:lineRule="auto"/>
        <w:textAlignment w:val="auto"/>
        <w:rPr>
          <w:rFonts w:asciiTheme="minorEastAsia" w:hAnsiTheme="minorEastAsia"/>
          <w:b/>
          <w:bCs/>
          <w:sz w:val="24"/>
          <w:szCs w:val="32"/>
          <w:highlight w:val="none"/>
        </w:rPr>
      </w:pPr>
      <w:r>
        <w:rPr>
          <w:rFonts w:hint="eastAsia" w:asciiTheme="minorEastAsia" w:hAnsiTheme="minorEastAsia"/>
          <w:b/>
          <w:bCs/>
          <w:sz w:val="24"/>
          <w:szCs w:val="32"/>
          <w:highlight w:val="none"/>
          <w:lang w:val="en-US" w:eastAsia="zh-CN"/>
        </w:rPr>
        <w:t>注：</w:t>
      </w:r>
      <w:r>
        <w:rPr>
          <w:rFonts w:hint="eastAsia" w:asciiTheme="minorEastAsia" w:hAnsiTheme="minorEastAsia"/>
          <w:b/>
          <w:bCs/>
          <w:sz w:val="24"/>
          <w:szCs w:val="32"/>
          <w:highlight w:val="none"/>
        </w:rPr>
        <w:t>本表中“偏离</w:t>
      </w:r>
      <w:r>
        <w:rPr>
          <w:rFonts w:hint="eastAsia" w:asciiTheme="minorEastAsia" w:hAnsiTheme="minorEastAsia"/>
          <w:b/>
          <w:bCs/>
          <w:sz w:val="24"/>
          <w:szCs w:val="32"/>
          <w:highlight w:val="none"/>
          <w:lang w:val="en-US" w:eastAsia="zh-CN"/>
        </w:rPr>
        <w:t>情况</w:t>
      </w:r>
      <w:r>
        <w:rPr>
          <w:rFonts w:hint="eastAsia" w:asciiTheme="minorEastAsia" w:hAnsiTheme="minorEastAsia"/>
          <w:b/>
          <w:bCs/>
          <w:sz w:val="24"/>
          <w:szCs w:val="32"/>
          <w:highlight w:val="none"/>
        </w:rPr>
        <w:t>”只有三种状态（正偏离、无偏离、负偏离）</w:t>
      </w:r>
    </w:p>
    <w:p w14:paraId="2863AB15">
      <w:pPr>
        <w:pStyle w:val="23"/>
        <w:rPr>
          <w:rFonts w:hint="eastAsia" w:ascii="宋体" w:hAnsi="宋体" w:eastAsia="宋体" w:cs="宋体"/>
          <w:color w:val="auto"/>
          <w:sz w:val="21"/>
          <w:szCs w:val="21"/>
          <w:highlight w:val="none"/>
        </w:rPr>
      </w:pPr>
    </w:p>
    <w:p w14:paraId="469FD6E1">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23AEF93">
      <w:pPr>
        <w:widowControl/>
        <w:spacing w:line="360" w:lineRule="auto"/>
        <w:ind w:firstLine="5040" w:firstLineChars="2100"/>
        <w:textAlignment w:val="baseline"/>
        <w:rPr>
          <w:rFonts w:ascii="宋体" w:hAnsi="宋体" w:cs="宋体"/>
          <w:sz w:val="24"/>
          <w:szCs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D139D0">
      <w:pPr>
        <w:rPr>
          <w:rFonts w:ascii="宋体" w:hAnsi="宋体" w:cs="宋体"/>
          <w:highlight w:val="none"/>
        </w:rPr>
      </w:pPr>
    </w:p>
    <w:p w14:paraId="7B9CCB39">
      <w:pPr>
        <w:rPr>
          <w:rFonts w:ascii="宋体" w:hAnsi="宋体" w:cs="宋体"/>
          <w:highlight w:val="none"/>
        </w:rPr>
      </w:pPr>
    </w:p>
    <w:p w14:paraId="5BC392D1">
      <w:pPr>
        <w:rPr>
          <w:rFonts w:ascii="宋体" w:hAnsi="宋体" w:cs="宋体"/>
          <w:highlight w:val="none"/>
        </w:rPr>
      </w:pPr>
    </w:p>
    <w:p w14:paraId="73E388A1">
      <w:pPr>
        <w:rPr>
          <w:rFonts w:ascii="宋体" w:hAnsi="宋体" w:cs="宋体"/>
          <w:highlight w:val="none"/>
        </w:rPr>
      </w:pPr>
    </w:p>
    <w:p w14:paraId="0ACE76DA">
      <w:pPr>
        <w:rPr>
          <w:rFonts w:ascii="宋体" w:hAnsi="宋体" w:cs="宋体"/>
          <w:highlight w:val="none"/>
        </w:rPr>
      </w:pPr>
    </w:p>
    <w:p w14:paraId="612D4D4D">
      <w:pPr>
        <w:rPr>
          <w:rFonts w:ascii="宋体" w:hAnsi="宋体" w:cs="宋体"/>
          <w:highlight w:val="none"/>
        </w:rPr>
      </w:pPr>
    </w:p>
    <w:p w14:paraId="5CE848ED">
      <w:pPr>
        <w:rPr>
          <w:rFonts w:ascii="宋体" w:hAnsi="宋体" w:cs="宋体"/>
          <w:highlight w:val="none"/>
        </w:rPr>
        <w:sectPr>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pPr>
    </w:p>
    <w:p w14:paraId="6085EF3A">
      <w:pPr>
        <w:jc w:val="center"/>
        <w:rPr>
          <w:rFonts w:ascii="宋体" w:hAnsi="宋体" w:cs="宋体"/>
          <w:b/>
          <w:bCs/>
          <w:szCs w:val="28"/>
          <w:highlight w:val="none"/>
        </w:rPr>
      </w:pPr>
      <w:bookmarkStart w:id="101" w:name="_Toc29406"/>
      <w:bookmarkStart w:id="102" w:name="_Toc31526"/>
      <w:bookmarkStart w:id="103" w:name="_Toc28621"/>
    </w:p>
    <w:p w14:paraId="5A56A893">
      <w:pPr>
        <w:jc w:val="center"/>
        <w:rPr>
          <w:rFonts w:ascii="宋体" w:hAnsi="宋体" w:cs="宋体"/>
          <w:szCs w:val="28"/>
          <w:highlight w:val="none"/>
        </w:rPr>
      </w:pPr>
      <w:r>
        <w:rPr>
          <w:rFonts w:hint="eastAsia" w:ascii="宋体" w:hAnsi="宋体" w:cs="宋体"/>
          <w:b/>
          <w:bCs/>
          <w:szCs w:val="28"/>
          <w:highlight w:val="none"/>
        </w:rPr>
        <w:t>附件</w:t>
      </w:r>
      <w:r>
        <w:rPr>
          <w:rFonts w:hint="eastAsia" w:ascii="宋体" w:hAnsi="宋体" w:cs="宋体"/>
          <w:b/>
          <w:bCs/>
          <w:szCs w:val="28"/>
          <w:highlight w:val="none"/>
          <w:lang w:val="en-US" w:eastAsia="zh-CN"/>
        </w:rPr>
        <w:t>6</w:t>
      </w:r>
      <w:r>
        <w:rPr>
          <w:rFonts w:hint="eastAsia" w:ascii="宋体" w:hAnsi="宋体" w:cs="宋体"/>
          <w:b/>
          <w:bCs/>
          <w:szCs w:val="28"/>
          <w:highlight w:val="none"/>
        </w:rPr>
        <w:t xml:space="preserve">         法定代表人身份证明（格式）</w:t>
      </w:r>
      <w:bookmarkEnd w:id="101"/>
      <w:bookmarkEnd w:id="102"/>
      <w:bookmarkEnd w:id="103"/>
    </w:p>
    <w:p w14:paraId="26171D3A">
      <w:pPr>
        <w:widowControl/>
        <w:wordWrap w:val="0"/>
        <w:spacing w:line="460" w:lineRule="exact"/>
        <w:jc w:val="left"/>
        <w:rPr>
          <w:rFonts w:ascii="宋体" w:hAnsi="宋体" w:cs="宋体"/>
          <w:kern w:val="0"/>
          <w:sz w:val="24"/>
          <w:highlight w:val="none"/>
        </w:rPr>
      </w:pPr>
    </w:p>
    <w:p w14:paraId="1C39A792">
      <w:pPr>
        <w:widowControl/>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供应商名称：</w:t>
      </w:r>
      <w:r>
        <w:rPr>
          <w:rFonts w:hint="eastAsia" w:ascii="宋体" w:hAnsi="宋体" w:cs="宋体"/>
          <w:kern w:val="0"/>
          <w:sz w:val="21"/>
          <w:szCs w:val="21"/>
          <w:highlight w:val="none"/>
          <w:u w:val="single"/>
        </w:rPr>
        <w:t xml:space="preserve">               </w:t>
      </w:r>
    </w:p>
    <w:p w14:paraId="57A25492">
      <w:pPr>
        <w:widowControl/>
        <w:wordWrap w:val="0"/>
        <w:spacing w:line="46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地址：</w:t>
      </w:r>
      <w:r>
        <w:rPr>
          <w:rFonts w:hint="eastAsia" w:ascii="宋体" w:hAnsi="宋体" w:cs="宋体"/>
          <w:kern w:val="0"/>
          <w:sz w:val="21"/>
          <w:szCs w:val="21"/>
          <w:highlight w:val="none"/>
          <w:u w:val="single"/>
        </w:rPr>
        <w:t xml:space="preserve">               </w:t>
      </w:r>
    </w:p>
    <w:p w14:paraId="6A867DC1">
      <w:pPr>
        <w:widowControl/>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成立时间：</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年</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月</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日</w:t>
      </w:r>
    </w:p>
    <w:p w14:paraId="5D81FF99">
      <w:pPr>
        <w:widowControl/>
        <w:wordWrap w:val="0"/>
        <w:spacing w:line="46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经营期限：</w:t>
      </w:r>
      <w:r>
        <w:rPr>
          <w:rFonts w:hint="eastAsia" w:ascii="宋体" w:hAnsi="宋体" w:cs="宋体"/>
          <w:kern w:val="0"/>
          <w:sz w:val="21"/>
          <w:szCs w:val="21"/>
          <w:highlight w:val="none"/>
          <w:u w:val="single"/>
        </w:rPr>
        <w:t xml:space="preserve">               </w:t>
      </w:r>
    </w:p>
    <w:p w14:paraId="65F96EED">
      <w:pPr>
        <w:widowControl/>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姓名：</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，性别：</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，年龄：</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，职务：</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系</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（供应商名称）的法定代表人。</w:t>
      </w:r>
    </w:p>
    <w:p w14:paraId="7D3DB3BD">
      <w:pPr>
        <w:widowControl/>
        <w:wordWrap w:val="0"/>
        <w:spacing w:line="460" w:lineRule="exact"/>
        <w:jc w:val="left"/>
        <w:rPr>
          <w:rFonts w:ascii="宋体" w:hAnsi="宋体" w:cs="宋体"/>
          <w:kern w:val="0"/>
          <w:sz w:val="21"/>
          <w:szCs w:val="21"/>
          <w:highlight w:val="none"/>
        </w:rPr>
      </w:pPr>
    </w:p>
    <w:p w14:paraId="50249359">
      <w:pPr>
        <w:widowControl/>
        <w:wordWrap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特此证明。</w:t>
      </w:r>
    </w:p>
    <w:p w14:paraId="1AF027BC">
      <w:pPr>
        <w:widowControl/>
        <w:wordWrap w:val="0"/>
        <w:spacing w:line="460" w:lineRule="exact"/>
        <w:jc w:val="left"/>
        <w:rPr>
          <w:rFonts w:ascii="宋体" w:hAnsi="宋体" w:cs="宋体"/>
          <w:kern w:val="0"/>
          <w:sz w:val="21"/>
          <w:szCs w:val="21"/>
          <w:highlight w:val="none"/>
        </w:rPr>
      </w:pPr>
    </w:p>
    <w:tbl>
      <w:tblPr>
        <w:tblStyle w:val="24"/>
        <w:tblpPr w:leftFromText="180" w:rightFromText="180" w:topFromText="100" w:bottomFromText="100" w:vertAnchor="text" w:horzAnchor="margin" w:tblpXSpec="center" w:tblpY="69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1B1E5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2C58BB30">
            <w:pPr>
              <w:widowControl/>
              <w:spacing w:line="480" w:lineRule="exact"/>
              <w:jc w:val="left"/>
              <w:rPr>
                <w:rFonts w:ascii="宋体" w:hAnsi="宋体" w:cs="宋体"/>
                <w:bCs/>
                <w:kern w:val="0"/>
                <w:sz w:val="21"/>
                <w:szCs w:val="21"/>
                <w:highlight w:val="none"/>
              </w:rPr>
            </w:pPr>
            <w:r>
              <w:rPr>
                <w:rFonts w:hint="eastAsia" w:ascii="宋体" w:hAnsi="宋体" w:cs="宋体"/>
                <w:bCs/>
                <w:kern w:val="0"/>
                <w:sz w:val="21"/>
                <w:szCs w:val="21"/>
                <w:highlight w:val="none"/>
              </w:rPr>
              <w:t>此处请粘贴法定代表人身份证复印件</w:t>
            </w:r>
          </w:p>
          <w:p w14:paraId="2C5BE0C7">
            <w:pPr>
              <w:widowControl/>
              <w:spacing w:line="480" w:lineRule="exact"/>
              <w:jc w:val="left"/>
              <w:rPr>
                <w:rFonts w:ascii="宋体" w:hAnsi="宋体" w:cs="宋体"/>
                <w:kern w:val="0"/>
                <w:sz w:val="21"/>
                <w:szCs w:val="21"/>
                <w:highlight w:val="none"/>
              </w:rPr>
            </w:pPr>
          </w:p>
          <w:p w14:paraId="5C35FB53">
            <w:pPr>
              <w:widowControl/>
              <w:spacing w:line="480" w:lineRule="exact"/>
              <w:jc w:val="left"/>
              <w:rPr>
                <w:rFonts w:ascii="宋体" w:hAnsi="宋体" w:cs="宋体"/>
                <w:kern w:val="0"/>
                <w:sz w:val="21"/>
                <w:szCs w:val="21"/>
                <w:highlight w:val="none"/>
              </w:rPr>
            </w:pPr>
          </w:p>
        </w:tc>
      </w:tr>
    </w:tbl>
    <w:p w14:paraId="40EB176B">
      <w:pPr>
        <w:widowControl/>
        <w:wordWrap w:val="0"/>
        <w:spacing w:beforeLines="100" w:afterLines="100" w:line="480" w:lineRule="exact"/>
        <w:jc w:val="center"/>
        <w:rPr>
          <w:rFonts w:ascii="宋体" w:hAnsi="宋体" w:cs="宋体"/>
          <w:b/>
          <w:kern w:val="0"/>
          <w:sz w:val="21"/>
          <w:szCs w:val="21"/>
          <w:highlight w:val="none"/>
        </w:rPr>
      </w:pPr>
    </w:p>
    <w:p w14:paraId="69C805B5">
      <w:pPr>
        <w:widowControl/>
        <w:wordWrap w:val="0"/>
        <w:spacing w:beforeLines="100" w:afterLines="100" w:line="480" w:lineRule="exact"/>
        <w:jc w:val="center"/>
        <w:rPr>
          <w:rFonts w:ascii="宋体" w:hAnsi="宋体" w:cs="宋体"/>
          <w:b/>
          <w:kern w:val="0"/>
          <w:sz w:val="21"/>
          <w:szCs w:val="21"/>
          <w:highlight w:val="none"/>
        </w:rPr>
      </w:pPr>
    </w:p>
    <w:p w14:paraId="0C7AC756">
      <w:pPr>
        <w:widowControl/>
        <w:wordWrap w:val="0"/>
        <w:spacing w:beforeLines="100" w:afterLines="100" w:line="480" w:lineRule="exact"/>
        <w:jc w:val="center"/>
        <w:rPr>
          <w:rFonts w:ascii="宋体" w:hAnsi="宋体" w:cs="宋体"/>
          <w:b/>
          <w:kern w:val="0"/>
          <w:sz w:val="21"/>
          <w:szCs w:val="21"/>
          <w:highlight w:val="none"/>
        </w:rPr>
      </w:pPr>
    </w:p>
    <w:p w14:paraId="778B8904">
      <w:pPr>
        <w:widowControl/>
        <w:wordWrap w:val="0"/>
        <w:spacing w:beforeLines="100" w:afterLines="100" w:line="480" w:lineRule="exact"/>
        <w:jc w:val="center"/>
        <w:rPr>
          <w:rFonts w:ascii="宋体" w:hAnsi="宋体" w:cs="宋体"/>
          <w:b/>
          <w:kern w:val="0"/>
          <w:sz w:val="21"/>
          <w:szCs w:val="21"/>
          <w:highlight w:val="none"/>
        </w:rPr>
      </w:pPr>
    </w:p>
    <w:p w14:paraId="75050C73">
      <w:pPr>
        <w:widowControl/>
        <w:wordWrap w:val="0"/>
        <w:spacing w:line="480" w:lineRule="exact"/>
        <w:jc w:val="right"/>
        <w:rPr>
          <w:rFonts w:ascii="宋体" w:hAnsi="宋体" w:cs="宋体"/>
          <w:kern w:val="0"/>
          <w:sz w:val="21"/>
          <w:szCs w:val="21"/>
          <w:highlight w:val="none"/>
        </w:rPr>
      </w:pPr>
    </w:p>
    <w:p w14:paraId="55601E90">
      <w:pPr>
        <w:widowControl/>
        <w:wordWrap w:val="0"/>
        <w:spacing w:line="480" w:lineRule="exact"/>
        <w:jc w:val="right"/>
        <w:rPr>
          <w:rFonts w:ascii="宋体" w:hAnsi="宋体" w:cs="宋体"/>
          <w:kern w:val="0"/>
          <w:sz w:val="21"/>
          <w:szCs w:val="21"/>
          <w:highlight w:val="none"/>
        </w:rPr>
      </w:pPr>
    </w:p>
    <w:p w14:paraId="64404DEA">
      <w:pPr>
        <w:widowControl/>
        <w:wordWrap w:val="0"/>
        <w:snapToGrid w:val="0"/>
        <w:spacing w:line="460" w:lineRule="exact"/>
        <w:ind w:firstLine="2415" w:firstLineChars="1150"/>
        <w:jc w:val="left"/>
        <w:rPr>
          <w:rFonts w:ascii="宋体" w:hAnsi="宋体" w:cs="宋体"/>
          <w:kern w:val="0"/>
          <w:sz w:val="21"/>
          <w:szCs w:val="21"/>
          <w:highlight w:val="none"/>
        </w:rPr>
      </w:pPr>
      <w:r>
        <w:rPr>
          <w:rFonts w:hint="eastAsia" w:ascii="宋体" w:hAnsi="宋体" w:cs="宋体"/>
          <w:kern w:val="0"/>
          <w:sz w:val="21"/>
          <w:szCs w:val="21"/>
          <w:highlight w:val="none"/>
        </w:rPr>
        <w:t>供应商：</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（全称并加盖公章）</w:t>
      </w:r>
    </w:p>
    <w:p w14:paraId="024E71F8">
      <w:pPr>
        <w:widowControl/>
        <w:wordWrap w:val="0"/>
        <w:spacing w:line="460" w:lineRule="exact"/>
        <w:ind w:left="5040" w:leftChars="1800"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年    月    日</w:t>
      </w:r>
    </w:p>
    <w:p w14:paraId="7874CB38">
      <w:pPr>
        <w:rPr>
          <w:rFonts w:ascii="宋体" w:hAnsi="宋体" w:cs="宋体"/>
          <w:highlight w:val="none"/>
        </w:rPr>
      </w:pPr>
    </w:p>
    <w:p w14:paraId="76A940CF">
      <w:pPr>
        <w:rPr>
          <w:rFonts w:ascii="宋体" w:hAnsi="宋体" w:cs="宋体"/>
          <w:highlight w:val="none"/>
        </w:rPr>
      </w:pPr>
      <w:r>
        <w:rPr>
          <w:rFonts w:hint="eastAsia" w:ascii="宋体" w:hAnsi="宋体" w:cs="宋体"/>
          <w:highlight w:val="none"/>
        </w:rPr>
        <w:br w:type="page"/>
      </w:r>
    </w:p>
    <w:p w14:paraId="6799F685">
      <w:pPr>
        <w:pStyle w:val="3"/>
        <w:snapToGrid w:val="0"/>
        <w:spacing w:before="20" w:after="20" w:line="360" w:lineRule="auto"/>
        <w:jc w:val="center"/>
        <w:rPr>
          <w:rFonts w:ascii="宋体" w:hAnsi="宋体" w:eastAsia="宋体" w:cs="宋体"/>
          <w:sz w:val="28"/>
          <w:szCs w:val="28"/>
          <w:highlight w:val="none"/>
        </w:rPr>
      </w:pPr>
      <w:bookmarkStart w:id="104" w:name="_Toc30519"/>
      <w:bookmarkStart w:id="105" w:name="_Toc13976"/>
      <w:bookmarkStart w:id="106" w:name="_Toc12939"/>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 xml:space="preserve">           法定代表人授权书（格式）</w:t>
      </w:r>
      <w:bookmarkEnd w:id="104"/>
      <w:bookmarkEnd w:id="105"/>
      <w:bookmarkEnd w:id="106"/>
    </w:p>
    <w:p w14:paraId="01100492">
      <w:pPr>
        <w:widowControl/>
        <w:wordWrap w:val="0"/>
        <w:snapToGrid w:val="0"/>
        <w:spacing w:line="460" w:lineRule="exact"/>
        <w:jc w:val="left"/>
        <w:rPr>
          <w:rFonts w:ascii="宋体" w:hAnsi="宋体" w:cs="宋体"/>
          <w:b/>
          <w:bCs/>
          <w:kern w:val="0"/>
          <w:sz w:val="21"/>
          <w:szCs w:val="21"/>
          <w:highlight w:val="none"/>
        </w:rPr>
      </w:pPr>
      <w:r>
        <w:rPr>
          <w:rFonts w:hint="eastAsia" w:ascii="宋体" w:hAnsi="宋体" w:cs="宋体"/>
          <w:bCs/>
          <w:kern w:val="0"/>
          <w:sz w:val="21"/>
          <w:szCs w:val="21"/>
          <w:highlight w:val="none"/>
        </w:rPr>
        <w:t>致：</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u w:val="single"/>
          <w:lang w:val="en-US" w:eastAsia="zh-CN"/>
        </w:rPr>
        <w:t>驻马店市中心医院</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w:t>
      </w:r>
    </w:p>
    <w:p w14:paraId="550C8A2C">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我</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（姓名）系</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（供应商名称）的法定代表人，现委托</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 xml:space="preserve"> （姓名）为我方代理人。代理人根据本授权，以我方的名义参加</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项目的竞争性谈判采购活动，并代表我方全权办理针对上述项目的谈判、开标、评审、签约等具体事务和签署相关文件。</w:t>
      </w:r>
    </w:p>
    <w:p w14:paraId="467FED56">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我方对代理人的签名负全部责任。在撤销授权的书面通知以前，本授权书一直有效。代理人在授权书有效期内签署的所有文件不因授权的撤销而失效。</w:t>
      </w:r>
    </w:p>
    <w:p w14:paraId="36AC6098">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如果本次采购活动现场变更采购方式，本授权书有效。</w:t>
      </w:r>
    </w:p>
    <w:p w14:paraId="3E5A44A9">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代理人无转委托权。</w:t>
      </w:r>
    </w:p>
    <w:p w14:paraId="0A4F201F">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委托期限：</w:t>
      </w:r>
      <w:r>
        <w:rPr>
          <w:rFonts w:hint="eastAsia" w:ascii="宋体" w:hAnsi="宋体" w:cs="宋体"/>
          <w:kern w:val="0"/>
          <w:sz w:val="21"/>
          <w:szCs w:val="21"/>
          <w:highlight w:val="none"/>
          <w:u w:val="single"/>
        </w:rPr>
        <w:t xml:space="preserve">                </w:t>
      </w:r>
    </w:p>
    <w:p w14:paraId="12E89FAA">
      <w:pPr>
        <w:widowControl/>
        <w:wordWrap w:val="0"/>
        <w:snapToGrid w:val="0"/>
        <w:spacing w:line="460" w:lineRule="exact"/>
        <w:ind w:firstLine="420" w:firstLineChars="200"/>
        <w:jc w:val="left"/>
        <w:rPr>
          <w:rFonts w:ascii="宋体" w:hAnsi="宋体" w:cs="宋体"/>
          <w:kern w:val="0"/>
          <w:sz w:val="21"/>
          <w:szCs w:val="21"/>
          <w:highlight w:val="none"/>
        </w:rPr>
      </w:pPr>
    </w:p>
    <w:p w14:paraId="002D8D9E">
      <w:pPr>
        <w:widowControl/>
        <w:wordWrap w:val="0"/>
        <w:snapToGrid w:val="0"/>
        <w:spacing w:line="460" w:lineRule="exact"/>
        <w:ind w:firstLine="420" w:firstLineChars="200"/>
        <w:jc w:val="left"/>
        <w:rPr>
          <w:rFonts w:ascii="宋体" w:hAnsi="宋体" w:cs="宋体"/>
          <w:kern w:val="0"/>
          <w:sz w:val="21"/>
          <w:szCs w:val="21"/>
          <w:highlight w:val="none"/>
          <w:u w:val="single"/>
        </w:rPr>
      </w:pPr>
      <w:r>
        <w:rPr>
          <w:rFonts w:hint="eastAsia" w:ascii="宋体" w:hAnsi="宋体" w:cs="宋体"/>
          <w:kern w:val="0"/>
          <w:sz w:val="21"/>
          <w:szCs w:val="21"/>
          <w:highlight w:val="none"/>
        </w:rPr>
        <w:t>委托代理人签名：             法定代表人签名或盖章：</w:t>
      </w:r>
    </w:p>
    <w:p w14:paraId="7F34A9BD">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职务：                      职务：</w:t>
      </w:r>
    </w:p>
    <w:tbl>
      <w:tblPr>
        <w:tblStyle w:val="2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1E43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7B75A933">
            <w:pPr>
              <w:widowControl/>
              <w:spacing w:line="480" w:lineRule="exact"/>
              <w:jc w:val="left"/>
              <w:rPr>
                <w:rFonts w:ascii="宋体" w:hAnsi="宋体" w:cs="宋体"/>
                <w:kern w:val="0"/>
                <w:sz w:val="21"/>
                <w:szCs w:val="21"/>
                <w:highlight w:val="none"/>
              </w:rPr>
            </w:pPr>
            <w:r>
              <w:rPr>
                <w:rFonts w:hint="eastAsia" w:ascii="宋体" w:hAnsi="宋体" w:cs="宋体"/>
                <w:bCs/>
                <w:kern w:val="0"/>
                <w:sz w:val="21"/>
                <w:szCs w:val="21"/>
                <w:highlight w:val="none"/>
              </w:rPr>
              <w:t>此处请粘贴</w:t>
            </w:r>
            <w:r>
              <w:rPr>
                <w:rFonts w:hint="eastAsia" w:ascii="宋体" w:hAnsi="宋体" w:cs="宋体"/>
                <w:kern w:val="0"/>
                <w:sz w:val="21"/>
                <w:szCs w:val="21"/>
                <w:highlight w:val="none"/>
              </w:rPr>
              <w:t>委托代理人</w:t>
            </w:r>
            <w:r>
              <w:rPr>
                <w:rFonts w:hint="eastAsia" w:ascii="宋体" w:hAnsi="宋体" w:cs="宋体"/>
                <w:bCs/>
                <w:kern w:val="0"/>
                <w:sz w:val="21"/>
                <w:szCs w:val="21"/>
                <w:highlight w:val="none"/>
              </w:rPr>
              <w:t>身份证复印件</w:t>
            </w:r>
          </w:p>
        </w:tc>
      </w:tr>
    </w:tbl>
    <w:p w14:paraId="3049C901">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委托代理人身份证号码：</w:t>
      </w:r>
    </w:p>
    <w:p w14:paraId="69CE5EB3">
      <w:pPr>
        <w:widowControl/>
        <w:wordWrap w:val="0"/>
        <w:spacing w:line="460" w:lineRule="exact"/>
        <w:ind w:firstLine="4200" w:firstLineChars="2000"/>
        <w:jc w:val="left"/>
        <w:rPr>
          <w:rFonts w:ascii="宋体" w:hAnsi="宋体" w:cs="宋体"/>
          <w:kern w:val="0"/>
          <w:sz w:val="21"/>
          <w:szCs w:val="21"/>
          <w:highlight w:val="none"/>
        </w:rPr>
      </w:pPr>
    </w:p>
    <w:p w14:paraId="597CDBEB">
      <w:pPr>
        <w:widowControl/>
        <w:wordWrap w:val="0"/>
        <w:spacing w:line="360" w:lineRule="auto"/>
        <w:jc w:val="center"/>
        <w:rPr>
          <w:rFonts w:ascii="宋体" w:hAnsi="宋体" w:cs="宋体"/>
          <w:kern w:val="0"/>
          <w:sz w:val="21"/>
          <w:szCs w:val="21"/>
          <w:highlight w:val="none"/>
        </w:rPr>
      </w:pPr>
    </w:p>
    <w:p w14:paraId="32937D91">
      <w:pPr>
        <w:widowControl/>
        <w:wordWrap w:val="0"/>
        <w:spacing w:line="360" w:lineRule="auto"/>
        <w:jc w:val="right"/>
        <w:rPr>
          <w:rFonts w:ascii="宋体" w:hAnsi="宋体" w:cs="宋体"/>
          <w:kern w:val="0"/>
          <w:sz w:val="21"/>
          <w:szCs w:val="21"/>
          <w:highlight w:val="none"/>
        </w:rPr>
      </w:pPr>
    </w:p>
    <w:p w14:paraId="5990FF94">
      <w:pPr>
        <w:widowControl/>
        <w:wordWrap w:val="0"/>
        <w:spacing w:line="360" w:lineRule="auto"/>
        <w:jc w:val="right"/>
        <w:rPr>
          <w:rFonts w:ascii="宋体" w:hAnsi="宋体" w:cs="宋体"/>
          <w:kern w:val="0"/>
          <w:sz w:val="21"/>
          <w:szCs w:val="21"/>
          <w:highlight w:val="none"/>
        </w:rPr>
      </w:pPr>
    </w:p>
    <w:p w14:paraId="7CBE3F23">
      <w:pPr>
        <w:widowControl/>
        <w:wordWrap w:val="0"/>
        <w:spacing w:line="360" w:lineRule="auto"/>
        <w:jc w:val="right"/>
        <w:rPr>
          <w:rFonts w:ascii="宋体" w:hAnsi="宋体" w:cs="宋体"/>
          <w:kern w:val="0"/>
          <w:sz w:val="21"/>
          <w:szCs w:val="21"/>
          <w:highlight w:val="none"/>
        </w:rPr>
      </w:pPr>
    </w:p>
    <w:p w14:paraId="425E4B1F">
      <w:pPr>
        <w:widowControl/>
        <w:wordWrap w:val="0"/>
        <w:spacing w:line="360" w:lineRule="auto"/>
        <w:jc w:val="right"/>
        <w:rPr>
          <w:rFonts w:ascii="宋体" w:hAnsi="宋体" w:cs="宋体"/>
          <w:kern w:val="0"/>
          <w:sz w:val="21"/>
          <w:szCs w:val="21"/>
          <w:highlight w:val="none"/>
        </w:rPr>
      </w:pPr>
    </w:p>
    <w:p w14:paraId="2D909DAD">
      <w:pPr>
        <w:widowControl/>
        <w:wordWrap w:val="0"/>
        <w:spacing w:line="360" w:lineRule="auto"/>
        <w:jc w:val="right"/>
        <w:rPr>
          <w:rFonts w:ascii="宋体" w:hAnsi="宋体" w:cs="宋体"/>
          <w:kern w:val="0"/>
          <w:sz w:val="21"/>
          <w:szCs w:val="21"/>
          <w:highlight w:val="none"/>
        </w:rPr>
      </w:pPr>
    </w:p>
    <w:p w14:paraId="4426AE3C">
      <w:pPr>
        <w:widowControl/>
        <w:wordWrap w:val="0"/>
        <w:snapToGrid w:val="0"/>
        <w:spacing w:line="460" w:lineRule="exact"/>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 xml:space="preserve">                          供应商：</w:t>
      </w:r>
      <w:r>
        <w:rPr>
          <w:rFonts w:hint="eastAsia" w:ascii="宋体" w:hAnsi="宋体" w:cs="宋体"/>
          <w:kern w:val="0"/>
          <w:sz w:val="21"/>
          <w:szCs w:val="21"/>
          <w:highlight w:val="none"/>
          <w:u w:val="single"/>
        </w:rPr>
        <w:t xml:space="preserve">                </w:t>
      </w:r>
      <w:r>
        <w:rPr>
          <w:rFonts w:hint="eastAsia" w:ascii="宋体" w:hAnsi="宋体" w:cs="宋体"/>
          <w:kern w:val="0"/>
          <w:sz w:val="21"/>
          <w:szCs w:val="21"/>
          <w:highlight w:val="none"/>
        </w:rPr>
        <w:t>（全称并加盖公章）</w:t>
      </w:r>
    </w:p>
    <w:p w14:paraId="69E53FE7">
      <w:pPr>
        <w:widowControl/>
        <w:wordWrap w:val="0"/>
        <w:spacing w:line="460" w:lineRule="exact"/>
        <w:ind w:firstLine="3360" w:firstLineChars="1600"/>
        <w:jc w:val="left"/>
        <w:rPr>
          <w:rFonts w:ascii="宋体" w:hAnsi="宋体" w:cs="宋体"/>
          <w:b/>
          <w:kern w:val="0"/>
          <w:sz w:val="21"/>
          <w:szCs w:val="21"/>
          <w:highlight w:val="none"/>
        </w:rPr>
      </w:pPr>
      <w:r>
        <w:rPr>
          <w:rFonts w:hint="eastAsia" w:ascii="宋体" w:hAnsi="宋体" w:cs="宋体"/>
          <w:kern w:val="0"/>
          <w:sz w:val="21"/>
          <w:szCs w:val="21"/>
          <w:highlight w:val="none"/>
        </w:rPr>
        <w:t>年    月    日</w:t>
      </w:r>
    </w:p>
    <w:p w14:paraId="20CD9439">
      <w:pPr>
        <w:widowControl/>
        <w:spacing w:line="360" w:lineRule="auto"/>
        <w:ind w:firstLine="7228" w:firstLineChars="2250"/>
        <w:jc w:val="left"/>
        <w:rPr>
          <w:rFonts w:ascii="宋体" w:hAnsi="宋体" w:cs="宋体"/>
          <w:b/>
          <w:kern w:val="0"/>
          <w:sz w:val="32"/>
          <w:szCs w:val="32"/>
          <w:highlight w:val="none"/>
        </w:rPr>
      </w:pPr>
    </w:p>
    <w:p w14:paraId="0A52D6A5">
      <w:pPr>
        <w:rPr>
          <w:rFonts w:ascii="宋体" w:hAnsi="宋体" w:cs="宋体"/>
          <w:b/>
          <w:kern w:val="0"/>
          <w:sz w:val="32"/>
          <w:szCs w:val="32"/>
          <w:highlight w:val="none"/>
        </w:rPr>
      </w:pPr>
      <w:r>
        <w:rPr>
          <w:rFonts w:hint="eastAsia" w:ascii="宋体" w:hAnsi="宋体" w:cs="宋体"/>
          <w:b/>
          <w:kern w:val="0"/>
          <w:sz w:val="32"/>
          <w:szCs w:val="32"/>
          <w:highlight w:val="none"/>
        </w:rPr>
        <w:br w:type="page"/>
      </w:r>
    </w:p>
    <w:p w14:paraId="58821CBC">
      <w:pPr>
        <w:pStyle w:val="3"/>
        <w:snapToGrid w:val="0"/>
        <w:spacing w:before="20" w:after="20" w:line="360" w:lineRule="auto"/>
        <w:jc w:val="center"/>
        <w:rPr>
          <w:rFonts w:ascii="宋体" w:hAnsi="宋体" w:eastAsia="宋体" w:cs="宋体"/>
          <w:sz w:val="28"/>
          <w:szCs w:val="28"/>
          <w:highlight w:val="none"/>
        </w:rPr>
      </w:pPr>
      <w:bookmarkStart w:id="107" w:name="_Toc18105"/>
      <w:bookmarkStart w:id="108" w:name="_Toc24693"/>
      <w:bookmarkStart w:id="109" w:name="_Toc3342"/>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 xml:space="preserve">          证明文件</w:t>
      </w:r>
      <w:bookmarkEnd w:id="107"/>
      <w:bookmarkEnd w:id="108"/>
      <w:bookmarkEnd w:id="109"/>
    </w:p>
    <w:p w14:paraId="3E383D0A">
      <w:pPr>
        <w:pStyle w:val="4"/>
        <w:spacing w:beforeAutospacing="0" w:afterAutospacing="0" w:line="480" w:lineRule="auto"/>
        <w:ind w:firstLine="540" w:firstLineChars="224"/>
        <w:jc w:val="both"/>
        <w:rPr>
          <w:rFonts w:hint="default" w:ascii="宋体" w:hAnsi="宋体" w:eastAsia="宋体" w:cs="宋体"/>
          <w:b/>
          <w:bCs w:val="0"/>
          <w:color w:val="auto"/>
          <w:sz w:val="24"/>
          <w:szCs w:val="24"/>
          <w:highlight w:val="none"/>
          <w:lang w:val="en-US" w:eastAsia="zh-CN"/>
        </w:rPr>
      </w:pPr>
      <w:bookmarkStart w:id="110" w:name="_Toc17966"/>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rPr>
        <w:t>.1</w:t>
      </w:r>
      <w:r>
        <w:rPr>
          <w:rFonts w:hint="eastAsia" w:ascii="宋体" w:hAnsi="宋体" w:eastAsia="宋体" w:cs="宋体"/>
          <w:b/>
          <w:bCs w:val="0"/>
          <w:color w:val="auto"/>
          <w:sz w:val="24"/>
          <w:szCs w:val="24"/>
          <w:highlight w:val="none"/>
          <w:lang w:val="en-US" w:eastAsia="zh-CN"/>
        </w:rPr>
        <w:t xml:space="preserve"> </w:t>
      </w:r>
      <w:r>
        <w:rPr>
          <w:rFonts w:hint="eastAsia" w:cs="宋体"/>
          <w:b/>
          <w:bCs w:val="0"/>
          <w:color w:val="auto"/>
          <w:sz w:val="24"/>
          <w:szCs w:val="24"/>
          <w:highlight w:val="none"/>
          <w:lang w:val="en-US" w:eastAsia="zh-CN"/>
        </w:rPr>
        <w:t>供应商资格审查证明材料</w:t>
      </w:r>
    </w:p>
    <w:p w14:paraId="423AB0F4">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cs="宋体"/>
          <w:b/>
          <w:bCs w:val="0"/>
          <w:sz w:val="24"/>
          <w:szCs w:val="24"/>
          <w:highlight w:val="none"/>
        </w:rPr>
      </w:pPr>
    </w:p>
    <w:p w14:paraId="4AE368A4">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宋体" w:hAnsi="宋体" w:cs="宋体"/>
          <w:b/>
          <w:bCs w:val="0"/>
          <w:sz w:val="24"/>
          <w:szCs w:val="24"/>
          <w:highlight w:val="none"/>
        </w:rPr>
      </w:pPr>
    </w:p>
    <w:p w14:paraId="49E28A82">
      <w:pPr>
        <w:pStyle w:val="4"/>
        <w:spacing w:beforeAutospacing="0" w:afterAutospacing="0" w:line="480" w:lineRule="auto"/>
        <w:ind w:firstLine="540" w:firstLineChars="224"/>
        <w:jc w:val="both"/>
        <w:rPr>
          <w:rFonts w:cs="Arial" w:asciiTheme="minorEastAsia" w:hAnsiTheme="minorEastAsia"/>
          <w:sz w:val="24"/>
          <w:szCs w:val="24"/>
          <w:highlight w:val="none"/>
        </w:rPr>
      </w:pPr>
      <w:r>
        <w:rPr>
          <w:rFonts w:hint="eastAsia" w:cs="宋体"/>
          <w:b/>
          <w:bCs w:val="0"/>
          <w:color w:val="auto"/>
          <w:sz w:val="24"/>
          <w:szCs w:val="24"/>
          <w:highlight w:val="none"/>
          <w:lang w:val="en-US" w:eastAsia="zh-CN"/>
        </w:rPr>
        <w:t>8</w:t>
      </w:r>
      <w:r>
        <w:rPr>
          <w:rFonts w:hint="eastAsia" w:ascii="宋体" w:hAnsi="宋体" w:eastAsia="宋体" w:cs="宋体"/>
          <w:b/>
          <w:bCs w:val="0"/>
          <w:color w:val="auto"/>
          <w:sz w:val="24"/>
          <w:szCs w:val="24"/>
          <w:highlight w:val="none"/>
          <w:lang w:val="en-US" w:eastAsia="zh-CN"/>
        </w:rPr>
        <w:t>.</w:t>
      </w:r>
      <w:r>
        <w:rPr>
          <w:rFonts w:hint="eastAsia" w:cs="宋体"/>
          <w:b/>
          <w:bCs w:val="0"/>
          <w:color w:val="auto"/>
          <w:sz w:val="24"/>
          <w:szCs w:val="24"/>
          <w:highlight w:val="none"/>
          <w:lang w:val="en-US" w:eastAsia="zh-CN"/>
        </w:rPr>
        <w:t>2</w:t>
      </w:r>
      <w:r>
        <w:rPr>
          <w:rFonts w:cs="Arial" w:asciiTheme="minorEastAsia" w:hAnsiTheme="minorEastAsia"/>
          <w:b/>
          <w:sz w:val="24"/>
          <w:szCs w:val="24"/>
          <w:highlight w:val="none"/>
        </w:rPr>
        <w:t>销售业绩</w:t>
      </w:r>
    </w:p>
    <w:tbl>
      <w:tblPr>
        <w:tblStyle w:val="24"/>
        <w:tblW w:w="82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2212"/>
        <w:gridCol w:w="2385"/>
      </w:tblGrid>
      <w:tr w14:paraId="5E040B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680B352E">
            <w:pPr>
              <w:spacing w:before="120"/>
              <w:jc w:val="center"/>
              <w:rPr>
                <w:rFonts w:hint="eastAsia" w:eastAsia="宋体" w:cs="Arial" w:asciiTheme="minorEastAsia" w:hAnsiTheme="minorEastAsia"/>
                <w:sz w:val="24"/>
                <w:highlight w:val="none"/>
                <w:lang w:val="en-US" w:eastAsia="zh-CN"/>
              </w:rPr>
            </w:pPr>
            <w:r>
              <w:rPr>
                <w:rFonts w:hint="eastAsia" w:cs="Arial" w:asciiTheme="minorEastAsia" w:hAnsiTheme="minorEastAsia"/>
                <w:sz w:val="24"/>
                <w:highlight w:val="none"/>
                <w:lang w:val="en-US" w:eastAsia="zh-CN"/>
              </w:rPr>
              <w:t>序号</w:t>
            </w:r>
          </w:p>
        </w:tc>
        <w:tc>
          <w:tcPr>
            <w:tcW w:w="2126" w:type="dxa"/>
            <w:vAlign w:val="center"/>
          </w:tcPr>
          <w:p w14:paraId="49FEAE0F">
            <w:pPr>
              <w:spacing w:before="120"/>
              <w:jc w:val="center"/>
              <w:rPr>
                <w:rFonts w:cs="Arial" w:asciiTheme="minorEastAsia" w:hAnsiTheme="minorEastAsia"/>
                <w:sz w:val="24"/>
                <w:highlight w:val="none"/>
              </w:rPr>
            </w:pPr>
            <w:r>
              <w:rPr>
                <w:rFonts w:cs="Arial" w:asciiTheme="minorEastAsia" w:hAnsiTheme="minorEastAsia"/>
                <w:sz w:val="24"/>
                <w:highlight w:val="none"/>
              </w:rPr>
              <w:t>销售用户</w:t>
            </w:r>
          </w:p>
        </w:tc>
        <w:tc>
          <w:tcPr>
            <w:tcW w:w="2212" w:type="dxa"/>
            <w:vAlign w:val="center"/>
          </w:tcPr>
          <w:p w14:paraId="0F197609">
            <w:pPr>
              <w:spacing w:before="120"/>
              <w:jc w:val="center"/>
              <w:rPr>
                <w:rFonts w:cs="Arial" w:asciiTheme="minorEastAsia" w:hAnsiTheme="minorEastAsia"/>
                <w:sz w:val="24"/>
                <w:highlight w:val="none"/>
              </w:rPr>
            </w:pPr>
            <w:r>
              <w:rPr>
                <w:rFonts w:hint="eastAsia" w:cs="Arial" w:asciiTheme="minorEastAsia" w:hAnsiTheme="minorEastAsia"/>
                <w:sz w:val="24"/>
                <w:highlight w:val="none"/>
                <w:lang w:val="en-US" w:eastAsia="zh-CN"/>
              </w:rPr>
              <w:t>联系人及</w:t>
            </w:r>
            <w:r>
              <w:rPr>
                <w:rFonts w:cs="Arial" w:asciiTheme="minorEastAsia" w:hAnsiTheme="minorEastAsia"/>
                <w:sz w:val="24"/>
                <w:highlight w:val="none"/>
              </w:rPr>
              <w:t>联系</w:t>
            </w:r>
            <w:r>
              <w:rPr>
                <w:rFonts w:hint="eastAsia" w:cs="Arial" w:asciiTheme="minorEastAsia" w:hAnsiTheme="minorEastAsia"/>
                <w:sz w:val="24"/>
                <w:highlight w:val="none"/>
              </w:rPr>
              <w:t>电话</w:t>
            </w:r>
          </w:p>
        </w:tc>
        <w:tc>
          <w:tcPr>
            <w:tcW w:w="2385" w:type="dxa"/>
            <w:vAlign w:val="center"/>
          </w:tcPr>
          <w:p w14:paraId="3E5DF880">
            <w:pPr>
              <w:spacing w:before="120"/>
              <w:jc w:val="center"/>
              <w:rPr>
                <w:rFonts w:cs="Arial" w:asciiTheme="minorEastAsia" w:hAnsiTheme="minorEastAsia"/>
                <w:sz w:val="24"/>
                <w:highlight w:val="none"/>
              </w:rPr>
            </w:pPr>
            <w:r>
              <w:rPr>
                <w:rFonts w:hint="eastAsia" w:cs="Arial" w:asciiTheme="minorEastAsia" w:hAnsiTheme="minorEastAsia"/>
                <w:sz w:val="24"/>
                <w:highlight w:val="none"/>
              </w:rPr>
              <w:t>销售年份</w:t>
            </w:r>
          </w:p>
        </w:tc>
      </w:tr>
      <w:tr w14:paraId="416B81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0912186F">
            <w:pPr>
              <w:spacing w:before="120"/>
              <w:jc w:val="center"/>
              <w:rPr>
                <w:rFonts w:cs="Arial" w:asciiTheme="minorEastAsia" w:hAnsiTheme="minorEastAsia"/>
                <w:highlight w:val="none"/>
              </w:rPr>
            </w:pPr>
          </w:p>
        </w:tc>
        <w:tc>
          <w:tcPr>
            <w:tcW w:w="2126" w:type="dxa"/>
            <w:vAlign w:val="center"/>
          </w:tcPr>
          <w:p w14:paraId="5D5BD4E4">
            <w:pPr>
              <w:spacing w:before="120"/>
              <w:jc w:val="center"/>
              <w:rPr>
                <w:rFonts w:cs="Arial" w:asciiTheme="minorEastAsia" w:hAnsiTheme="minorEastAsia"/>
                <w:highlight w:val="none"/>
              </w:rPr>
            </w:pPr>
          </w:p>
        </w:tc>
        <w:tc>
          <w:tcPr>
            <w:tcW w:w="2212" w:type="dxa"/>
            <w:vAlign w:val="center"/>
          </w:tcPr>
          <w:p w14:paraId="1793EB30">
            <w:pPr>
              <w:spacing w:before="120"/>
              <w:jc w:val="center"/>
              <w:rPr>
                <w:rFonts w:cs="Arial" w:asciiTheme="minorEastAsia" w:hAnsiTheme="minorEastAsia"/>
                <w:highlight w:val="none"/>
              </w:rPr>
            </w:pPr>
          </w:p>
        </w:tc>
        <w:tc>
          <w:tcPr>
            <w:tcW w:w="2385" w:type="dxa"/>
            <w:vAlign w:val="center"/>
          </w:tcPr>
          <w:p w14:paraId="64B2A45A">
            <w:pPr>
              <w:spacing w:before="120"/>
              <w:jc w:val="center"/>
              <w:rPr>
                <w:rFonts w:cs="Arial" w:asciiTheme="minorEastAsia" w:hAnsiTheme="minorEastAsia"/>
                <w:highlight w:val="none"/>
              </w:rPr>
            </w:pPr>
          </w:p>
        </w:tc>
      </w:tr>
      <w:tr w14:paraId="07F0F8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0F06A957">
            <w:pPr>
              <w:spacing w:before="120"/>
              <w:jc w:val="center"/>
              <w:rPr>
                <w:rFonts w:cs="Arial" w:asciiTheme="minorEastAsia" w:hAnsiTheme="minorEastAsia"/>
                <w:highlight w:val="none"/>
              </w:rPr>
            </w:pPr>
          </w:p>
        </w:tc>
        <w:tc>
          <w:tcPr>
            <w:tcW w:w="2126" w:type="dxa"/>
            <w:vAlign w:val="center"/>
          </w:tcPr>
          <w:p w14:paraId="74027FCE">
            <w:pPr>
              <w:spacing w:before="120"/>
              <w:jc w:val="center"/>
              <w:rPr>
                <w:rFonts w:cs="Arial" w:asciiTheme="minorEastAsia" w:hAnsiTheme="minorEastAsia"/>
                <w:highlight w:val="none"/>
              </w:rPr>
            </w:pPr>
          </w:p>
        </w:tc>
        <w:tc>
          <w:tcPr>
            <w:tcW w:w="2212" w:type="dxa"/>
            <w:vAlign w:val="center"/>
          </w:tcPr>
          <w:p w14:paraId="7ED00709">
            <w:pPr>
              <w:spacing w:before="120"/>
              <w:jc w:val="center"/>
              <w:rPr>
                <w:rFonts w:cs="Arial" w:asciiTheme="minorEastAsia" w:hAnsiTheme="minorEastAsia"/>
                <w:highlight w:val="none"/>
              </w:rPr>
            </w:pPr>
          </w:p>
        </w:tc>
        <w:tc>
          <w:tcPr>
            <w:tcW w:w="2385" w:type="dxa"/>
            <w:vAlign w:val="center"/>
          </w:tcPr>
          <w:p w14:paraId="43811893">
            <w:pPr>
              <w:spacing w:before="120"/>
              <w:jc w:val="center"/>
              <w:rPr>
                <w:rFonts w:cs="Arial" w:asciiTheme="minorEastAsia" w:hAnsiTheme="minorEastAsia"/>
                <w:highlight w:val="none"/>
              </w:rPr>
            </w:pPr>
          </w:p>
        </w:tc>
      </w:tr>
      <w:tr w14:paraId="638310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5869FEB2">
            <w:pPr>
              <w:spacing w:before="120"/>
              <w:jc w:val="center"/>
              <w:rPr>
                <w:rFonts w:cs="Arial" w:asciiTheme="minorEastAsia" w:hAnsiTheme="minorEastAsia"/>
                <w:highlight w:val="none"/>
              </w:rPr>
            </w:pPr>
          </w:p>
        </w:tc>
        <w:tc>
          <w:tcPr>
            <w:tcW w:w="2126" w:type="dxa"/>
            <w:vAlign w:val="center"/>
          </w:tcPr>
          <w:p w14:paraId="7BF8086F">
            <w:pPr>
              <w:spacing w:before="120"/>
              <w:jc w:val="center"/>
              <w:rPr>
                <w:rFonts w:cs="Arial" w:asciiTheme="minorEastAsia" w:hAnsiTheme="minorEastAsia"/>
                <w:highlight w:val="none"/>
              </w:rPr>
            </w:pPr>
          </w:p>
        </w:tc>
        <w:tc>
          <w:tcPr>
            <w:tcW w:w="2212" w:type="dxa"/>
            <w:vAlign w:val="center"/>
          </w:tcPr>
          <w:p w14:paraId="32F33E22">
            <w:pPr>
              <w:spacing w:before="120"/>
              <w:jc w:val="center"/>
              <w:rPr>
                <w:rFonts w:cs="Arial" w:asciiTheme="minorEastAsia" w:hAnsiTheme="minorEastAsia"/>
                <w:highlight w:val="none"/>
              </w:rPr>
            </w:pPr>
          </w:p>
        </w:tc>
        <w:tc>
          <w:tcPr>
            <w:tcW w:w="2385" w:type="dxa"/>
            <w:vAlign w:val="center"/>
          </w:tcPr>
          <w:p w14:paraId="35E98AF6">
            <w:pPr>
              <w:spacing w:before="120"/>
              <w:jc w:val="center"/>
              <w:rPr>
                <w:rFonts w:cs="Arial" w:asciiTheme="minorEastAsia" w:hAnsiTheme="minorEastAsia"/>
                <w:highlight w:val="none"/>
              </w:rPr>
            </w:pPr>
          </w:p>
        </w:tc>
      </w:tr>
      <w:tr w14:paraId="0CB36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5B80C3E3">
            <w:pPr>
              <w:spacing w:before="120"/>
              <w:jc w:val="center"/>
              <w:rPr>
                <w:rFonts w:cs="Arial" w:asciiTheme="minorEastAsia" w:hAnsiTheme="minorEastAsia"/>
                <w:highlight w:val="none"/>
              </w:rPr>
            </w:pPr>
          </w:p>
        </w:tc>
        <w:tc>
          <w:tcPr>
            <w:tcW w:w="2126" w:type="dxa"/>
            <w:vAlign w:val="center"/>
          </w:tcPr>
          <w:p w14:paraId="2404D7E9">
            <w:pPr>
              <w:spacing w:before="120"/>
              <w:jc w:val="center"/>
              <w:rPr>
                <w:rFonts w:cs="Arial" w:asciiTheme="minorEastAsia" w:hAnsiTheme="minorEastAsia"/>
                <w:highlight w:val="none"/>
              </w:rPr>
            </w:pPr>
          </w:p>
        </w:tc>
        <w:tc>
          <w:tcPr>
            <w:tcW w:w="2212" w:type="dxa"/>
            <w:vAlign w:val="center"/>
          </w:tcPr>
          <w:p w14:paraId="3B9C863D">
            <w:pPr>
              <w:spacing w:before="120"/>
              <w:jc w:val="center"/>
              <w:rPr>
                <w:rFonts w:cs="Arial" w:asciiTheme="minorEastAsia" w:hAnsiTheme="minorEastAsia"/>
                <w:highlight w:val="none"/>
              </w:rPr>
            </w:pPr>
          </w:p>
        </w:tc>
        <w:tc>
          <w:tcPr>
            <w:tcW w:w="2385" w:type="dxa"/>
            <w:vAlign w:val="center"/>
          </w:tcPr>
          <w:p w14:paraId="6398DE12">
            <w:pPr>
              <w:spacing w:before="120"/>
              <w:jc w:val="center"/>
              <w:rPr>
                <w:rFonts w:cs="Arial" w:asciiTheme="minorEastAsia" w:hAnsiTheme="minorEastAsia"/>
                <w:highlight w:val="none"/>
              </w:rPr>
            </w:pPr>
          </w:p>
        </w:tc>
      </w:tr>
      <w:tr w14:paraId="36207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63EA60C1">
            <w:pPr>
              <w:spacing w:before="120"/>
              <w:jc w:val="center"/>
              <w:rPr>
                <w:rFonts w:cs="Arial" w:asciiTheme="minorEastAsia" w:hAnsiTheme="minorEastAsia"/>
                <w:highlight w:val="none"/>
              </w:rPr>
            </w:pPr>
          </w:p>
        </w:tc>
        <w:tc>
          <w:tcPr>
            <w:tcW w:w="2126" w:type="dxa"/>
            <w:vAlign w:val="center"/>
          </w:tcPr>
          <w:p w14:paraId="7FED1939">
            <w:pPr>
              <w:spacing w:before="120"/>
              <w:jc w:val="center"/>
              <w:rPr>
                <w:rFonts w:cs="Arial" w:asciiTheme="minorEastAsia" w:hAnsiTheme="minorEastAsia"/>
                <w:highlight w:val="none"/>
              </w:rPr>
            </w:pPr>
          </w:p>
        </w:tc>
        <w:tc>
          <w:tcPr>
            <w:tcW w:w="2212" w:type="dxa"/>
            <w:vAlign w:val="center"/>
          </w:tcPr>
          <w:p w14:paraId="57005A57">
            <w:pPr>
              <w:spacing w:before="120"/>
              <w:jc w:val="center"/>
              <w:rPr>
                <w:rFonts w:cs="Arial" w:asciiTheme="minorEastAsia" w:hAnsiTheme="minorEastAsia"/>
                <w:highlight w:val="none"/>
              </w:rPr>
            </w:pPr>
          </w:p>
        </w:tc>
        <w:tc>
          <w:tcPr>
            <w:tcW w:w="2385" w:type="dxa"/>
            <w:vAlign w:val="center"/>
          </w:tcPr>
          <w:p w14:paraId="760A0522">
            <w:pPr>
              <w:spacing w:before="120"/>
              <w:jc w:val="center"/>
              <w:rPr>
                <w:rFonts w:cs="Arial" w:asciiTheme="minorEastAsia" w:hAnsiTheme="minorEastAsia"/>
                <w:highlight w:val="none"/>
              </w:rPr>
            </w:pPr>
          </w:p>
        </w:tc>
      </w:tr>
      <w:tr w14:paraId="01803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57FC6402">
            <w:pPr>
              <w:spacing w:before="120"/>
              <w:jc w:val="center"/>
              <w:rPr>
                <w:rFonts w:cs="Arial" w:asciiTheme="minorEastAsia" w:hAnsiTheme="minorEastAsia"/>
                <w:highlight w:val="none"/>
              </w:rPr>
            </w:pPr>
          </w:p>
        </w:tc>
        <w:tc>
          <w:tcPr>
            <w:tcW w:w="2126" w:type="dxa"/>
            <w:vAlign w:val="center"/>
          </w:tcPr>
          <w:p w14:paraId="5C97BD3C">
            <w:pPr>
              <w:spacing w:before="120"/>
              <w:jc w:val="center"/>
              <w:rPr>
                <w:rFonts w:cs="Arial" w:asciiTheme="minorEastAsia" w:hAnsiTheme="minorEastAsia"/>
                <w:highlight w:val="none"/>
              </w:rPr>
            </w:pPr>
          </w:p>
        </w:tc>
        <w:tc>
          <w:tcPr>
            <w:tcW w:w="2212" w:type="dxa"/>
            <w:vAlign w:val="center"/>
          </w:tcPr>
          <w:p w14:paraId="5E906E0F">
            <w:pPr>
              <w:spacing w:before="120"/>
              <w:jc w:val="center"/>
              <w:rPr>
                <w:rFonts w:cs="Arial" w:asciiTheme="minorEastAsia" w:hAnsiTheme="minorEastAsia"/>
                <w:highlight w:val="none"/>
              </w:rPr>
            </w:pPr>
          </w:p>
        </w:tc>
        <w:tc>
          <w:tcPr>
            <w:tcW w:w="2385" w:type="dxa"/>
            <w:vAlign w:val="center"/>
          </w:tcPr>
          <w:p w14:paraId="141D1D2A">
            <w:pPr>
              <w:spacing w:before="120"/>
              <w:jc w:val="center"/>
              <w:rPr>
                <w:rFonts w:cs="Arial" w:asciiTheme="minorEastAsia" w:hAnsiTheme="minorEastAsia"/>
                <w:highlight w:val="none"/>
              </w:rPr>
            </w:pPr>
          </w:p>
        </w:tc>
      </w:tr>
      <w:tr w14:paraId="523D6B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37736913">
            <w:pPr>
              <w:spacing w:before="120"/>
              <w:jc w:val="center"/>
              <w:rPr>
                <w:rFonts w:cs="Arial" w:asciiTheme="minorEastAsia" w:hAnsiTheme="minorEastAsia"/>
                <w:highlight w:val="none"/>
              </w:rPr>
            </w:pPr>
          </w:p>
        </w:tc>
        <w:tc>
          <w:tcPr>
            <w:tcW w:w="2126" w:type="dxa"/>
            <w:vAlign w:val="center"/>
          </w:tcPr>
          <w:p w14:paraId="44A4F24E">
            <w:pPr>
              <w:spacing w:before="120"/>
              <w:jc w:val="center"/>
              <w:rPr>
                <w:rFonts w:cs="Arial" w:asciiTheme="minorEastAsia" w:hAnsiTheme="minorEastAsia"/>
                <w:highlight w:val="none"/>
              </w:rPr>
            </w:pPr>
          </w:p>
        </w:tc>
        <w:tc>
          <w:tcPr>
            <w:tcW w:w="2212" w:type="dxa"/>
            <w:vAlign w:val="center"/>
          </w:tcPr>
          <w:p w14:paraId="1160ED7C">
            <w:pPr>
              <w:spacing w:before="120"/>
              <w:jc w:val="center"/>
              <w:rPr>
                <w:rFonts w:cs="Arial" w:asciiTheme="minorEastAsia" w:hAnsiTheme="minorEastAsia"/>
                <w:highlight w:val="none"/>
              </w:rPr>
            </w:pPr>
          </w:p>
        </w:tc>
        <w:tc>
          <w:tcPr>
            <w:tcW w:w="2385" w:type="dxa"/>
            <w:vAlign w:val="center"/>
          </w:tcPr>
          <w:p w14:paraId="470B95A9">
            <w:pPr>
              <w:spacing w:before="120"/>
              <w:jc w:val="center"/>
              <w:rPr>
                <w:rFonts w:cs="Arial" w:asciiTheme="minorEastAsia" w:hAnsiTheme="minorEastAsia"/>
                <w:highlight w:val="none"/>
              </w:rPr>
            </w:pPr>
          </w:p>
        </w:tc>
      </w:tr>
      <w:tr w14:paraId="394FA5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55" w:type="dxa"/>
            <w:vAlign w:val="center"/>
          </w:tcPr>
          <w:p w14:paraId="4E1C8498">
            <w:pPr>
              <w:spacing w:before="120"/>
              <w:jc w:val="center"/>
              <w:rPr>
                <w:rFonts w:cs="Arial" w:asciiTheme="minorEastAsia" w:hAnsiTheme="minorEastAsia"/>
                <w:highlight w:val="none"/>
              </w:rPr>
            </w:pPr>
          </w:p>
        </w:tc>
        <w:tc>
          <w:tcPr>
            <w:tcW w:w="2126" w:type="dxa"/>
            <w:vAlign w:val="center"/>
          </w:tcPr>
          <w:p w14:paraId="3FA605C9">
            <w:pPr>
              <w:spacing w:before="120"/>
              <w:jc w:val="center"/>
              <w:rPr>
                <w:rFonts w:cs="Arial" w:asciiTheme="minorEastAsia" w:hAnsiTheme="minorEastAsia"/>
                <w:highlight w:val="none"/>
              </w:rPr>
            </w:pPr>
          </w:p>
        </w:tc>
        <w:tc>
          <w:tcPr>
            <w:tcW w:w="2212" w:type="dxa"/>
            <w:vAlign w:val="center"/>
          </w:tcPr>
          <w:p w14:paraId="091F73E3">
            <w:pPr>
              <w:spacing w:before="120"/>
              <w:jc w:val="center"/>
              <w:rPr>
                <w:rFonts w:cs="Arial" w:asciiTheme="minorEastAsia" w:hAnsiTheme="minorEastAsia"/>
                <w:highlight w:val="none"/>
              </w:rPr>
            </w:pPr>
          </w:p>
        </w:tc>
        <w:tc>
          <w:tcPr>
            <w:tcW w:w="2385" w:type="dxa"/>
            <w:vAlign w:val="center"/>
          </w:tcPr>
          <w:p w14:paraId="09D1340D">
            <w:pPr>
              <w:spacing w:before="120"/>
              <w:jc w:val="center"/>
              <w:rPr>
                <w:rFonts w:cs="Arial" w:asciiTheme="minorEastAsia" w:hAnsiTheme="minorEastAsia"/>
                <w:highlight w:val="none"/>
              </w:rPr>
            </w:pPr>
          </w:p>
        </w:tc>
      </w:tr>
    </w:tbl>
    <w:p w14:paraId="56D1CD88">
      <w:pPr>
        <w:spacing w:line="380" w:lineRule="exact"/>
        <w:rPr>
          <w:rFonts w:hint="default" w:eastAsia="宋体" w:asciiTheme="minorEastAsia" w:hAnsiTheme="minorEastAsia"/>
          <w:b/>
          <w:color w:val="FF0000"/>
          <w:szCs w:val="21"/>
          <w:highlight w:val="none"/>
          <w:lang w:val="en-US" w:eastAsia="zh-CN"/>
        </w:rPr>
      </w:pPr>
      <w:r>
        <w:rPr>
          <w:rFonts w:hint="eastAsia" w:asciiTheme="minorEastAsia" w:hAnsiTheme="minorEastAsia"/>
          <w:b/>
          <w:color w:val="FF0000"/>
          <w:szCs w:val="21"/>
          <w:highlight w:val="none"/>
        </w:rPr>
        <w:t>注：供应商需在本表后附</w:t>
      </w:r>
      <w:r>
        <w:rPr>
          <w:rFonts w:hint="eastAsia" w:asciiTheme="minorEastAsia" w:hAnsiTheme="minorEastAsia"/>
          <w:b/>
          <w:color w:val="FF0000"/>
          <w:szCs w:val="21"/>
          <w:highlight w:val="none"/>
          <w:lang w:val="en-US" w:eastAsia="zh-CN"/>
        </w:rPr>
        <w:t>销售业绩</w:t>
      </w:r>
      <w:r>
        <w:rPr>
          <w:rFonts w:hint="eastAsia" w:asciiTheme="minorEastAsia" w:hAnsiTheme="minorEastAsia"/>
          <w:b/>
          <w:color w:val="FF0000"/>
          <w:szCs w:val="21"/>
          <w:highlight w:val="none"/>
        </w:rPr>
        <w:t>合同</w:t>
      </w:r>
      <w:r>
        <w:rPr>
          <w:rFonts w:hint="eastAsia" w:asciiTheme="minorEastAsia" w:hAnsiTheme="minorEastAsia"/>
          <w:b/>
          <w:color w:val="FF0000"/>
          <w:szCs w:val="21"/>
          <w:highlight w:val="none"/>
          <w:lang w:val="en-US" w:eastAsia="zh-CN"/>
        </w:rPr>
        <w:t>。</w:t>
      </w:r>
    </w:p>
    <w:p w14:paraId="42CB1A16">
      <w:pPr>
        <w:pStyle w:val="4"/>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954BCD5">
      <w:pPr>
        <w:pStyle w:val="4"/>
        <w:spacing w:beforeAutospacing="0" w:afterAutospacing="0" w:line="480" w:lineRule="auto"/>
        <w:jc w:val="both"/>
        <w:rPr>
          <w:rFonts w:hint="eastAsia" w:ascii="宋体" w:hAnsi="宋体" w:eastAsia="宋体" w:cs="宋体"/>
          <w:b/>
          <w:bCs w:val="0"/>
          <w:color w:val="auto"/>
          <w:sz w:val="21"/>
          <w:szCs w:val="21"/>
          <w:highlight w:val="none"/>
          <w:lang w:val="en-US" w:eastAsia="zh-CN"/>
        </w:rPr>
      </w:pPr>
    </w:p>
    <w:p w14:paraId="21C5838D">
      <w:pPr>
        <w:pStyle w:val="4"/>
        <w:spacing w:beforeAutospacing="0" w:afterAutospacing="0" w:line="480" w:lineRule="auto"/>
        <w:jc w:val="both"/>
        <w:rPr>
          <w:rFonts w:hint="eastAsia" w:ascii="宋体" w:hAnsi="宋体" w:eastAsia="宋体" w:cs="宋体"/>
          <w:b/>
          <w:bCs w:val="0"/>
          <w:color w:val="auto"/>
          <w:sz w:val="22"/>
          <w:szCs w:val="22"/>
          <w:highlight w:val="none"/>
        </w:rPr>
      </w:pPr>
      <w:r>
        <w:rPr>
          <w:rFonts w:hint="eastAsia" w:cs="宋体"/>
          <w:b/>
          <w:bCs w:val="0"/>
          <w:color w:val="auto"/>
          <w:sz w:val="22"/>
          <w:szCs w:val="22"/>
          <w:highlight w:val="none"/>
          <w:lang w:val="en-US" w:eastAsia="zh-CN"/>
        </w:rPr>
        <w:t>8</w:t>
      </w:r>
      <w:r>
        <w:rPr>
          <w:rFonts w:hint="eastAsia" w:ascii="宋体" w:hAnsi="宋体" w:eastAsia="宋体" w:cs="宋体"/>
          <w:b/>
          <w:bCs w:val="0"/>
          <w:color w:val="auto"/>
          <w:sz w:val="22"/>
          <w:szCs w:val="22"/>
          <w:highlight w:val="none"/>
        </w:rPr>
        <w:t>.</w:t>
      </w:r>
      <w:r>
        <w:rPr>
          <w:rFonts w:hint="eastAsia" w:cs="宋体"/>
          <w:b/>
          <w:bCs w:val="0"/>
          <w:color w:val="auto"/>
          <w:sz w:val="22"/>
          <w:szCs w:val="22"/>
          <w:highlight w:val="none"/>
          <w:lang w:val="en-US" w:eastAsia="zh-CN"/>
        </w:rPr>
        <w:t>3</w:t>
      </w:r>
      <w:r>
        <w:rPr>
          <w:rFonts w:hint="eastAsia" w:ascii="宋体" w:hAnsi="宋体" w:eastAsia="宋体" w:cs="宋体"/>
          <w:b/>
          <w:bCs w:val="0"/>
          <w:color w:val="auto"/>
          <w:sz w:val="22"/>
          <w:szCs w:val="22"/>
          <w:highlight w:val="none"/>
          <w:lang w:val="en-US" w:eastAsia="zh-CN"/>
        </w:rPr>
        <w:t>供应商认为其他应提供的证明材料</w:t>
      </w:r>
    </w:p>
    <w:p w14:paraId="68697F53">
      <w:pPr>
        <w:pStyle w:val="4"/>
        <w:spacing w:line="480" w:lineRule="auto"/>
        <w:ind w:firstLine="630" w:firstLineChars="224"/>
        <w:rPr>
          <w:rFonts w:ascii="宋体" w:hAnsi="宋体" w:cs="宋体"/>
          <w:b/>
          <w:bCs/>
          <w:highlight w:val="none"/>
        </w:rPr>
      </w:pPr>
    </w:p>
    <w:p w14:paraId="6F144689">
      <w:pPr>
        <w:pStyle w:val="4"/>
        <w:spacing w:line="480" w:lineRule="auto"/>
        <w:ind w:firstLine="630" w:firstLineChars="224"/>
        <w:rPr>
          <w:rFonts w:ascii="宋体" w:hAnsi="宋体" w:cs="宋体"/>
          <w:b/>
          <w:bCs/>
          <w:highlight w:val="none"/>
        </w:rPr>
      </w:pPr>
    </w:p>
    <w:p w14:paraId="0F8A3097">
      <w:pPr>
        <w:pStyle w:val="4"/>
        <w:spacing w:line="480" w:lineRule="auto"/>
        <w:ind w:firstLine="630" w:firstLineChars="224"/>
        <w:rPr>
          <w:rFonts w:ascii="宋体" w:hAnsi="宋体" w:cs="宋体"/>
          <w:b/>
          <w:bCs/>
          <w:strike/>
          <w:dstrike w:val="0"/>
          <w:sz w:val="28"/>
          <w:highlight w:val="none"/>
        </w:rPr>
      </w:pPr>
    </w:p>
    <w:p w14:paraId="5347BC4C">
      <w:pPr>
        <w:pStyle w:val="4"/>
        <w:spacing w:line="480" w:lineRule="auto"/>
        <w:ind w:firstLine="630" w:firstLineChars="224"/>
        <w:rPr>
          <w:rFonts w:ascii="宋体" w:hAnsi="宋体" w:cs="宋体"/>
          <w:b/>
          <w:bCs/>
          <w:highlight w:val="none"/>
        </w:rPr>
      </w:pPr>
    </w:p>
    <w:bookmarkEnd w:id="110"/>
    <w:p w14:paraId="2B977653">
      <w:pPr>
        <w:tabs>
          <w:tab w:val="left" w:pos="1418"/>
        </w:tabs>
        <w:jc w:val="both"/>
        <w:rPr>
          <w:rFonts w:ascii="宋体" w:hAnsi="宋体" w:cs="宋体"/>
          <w:highlight w:val="none"/>
        </w:rPr>
      </w:pPr>
    </w:p>
    <w:sectPr>
      <w:pgSz w:w="12240" w:h="15840"/>
      <w:pgMar w:top="1440" w:right="1800" w:bottom="1440" w:left="1800" w:header="850" w:footer="1077" w:gutter="0"/>
      <w:pgBorders>
        <w:top w:val="none" w:sz="0" w:space="0"/>
        <w:left w:val="none" w:sz="0" w:space="0"/>
        <w:bottom w:val="none" w:sz="0" w:space="0"/>
        <w:right w:val="none" w:sz="0" w:space="0"/>
      </w:pgBorders>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Noto Sans CJK JP Regular">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C5A9">
    <w:pPr>
      <w:pStyle w:val="16"/>
      <w:widowControl w:val="0"/>
      <w:pBdr>
        <w:top w:val="none" w:color="auto" w:sz="0" w:space="1"/>
        <w:left w:val="none" w:color="auto" w:sz="0" w:space="4"/>
        <w:bottom w:val="none" w:color="auto" w:sz="0" w:space="1"/>
        <w:right w:val="none" w:color="auto" w:sz="0" w:space="4"/>
        <w:between w:val="none" w:color="auto" w:sz="0" w:space="0"/>
      </w:pBdr>
      <w:snapToGrid w:val="0"/>
      <w:jc w:val="left"/>
    </w:pPr>
    <w:r>
      <w:rPr>
        <w:sz w:val="18"/>
      </w:rPr>
      <w:pict>
        <v:line id="_x0000_s3080" o:spid="_x0000_s3080" o:spt="20" style="position:absolute;left:0pt;margin-left:2.45pt;margin-top:-9.85pt;height:1pt;width:419pt;z-index:251661312;mso-width-relative:page;mso-height-relative:page;" fillcolor="#FFFFFF" filled="t" stroked="t" coordsize="21600,21600">
          <v:path arrowok="t"/>
          <v:fill on="t" color2="#FFFFFF" focussize="0,0"/>
          <v:stroke color="#000000"/>
          <v:imagedata o:title=""/>
          <o:lock v:ext="edit" aspectratio="f"/>
        </v:line>
      </w:pict>
    </w:r>
    <w:r>
      <w:rPr>
        <w:sz w:val="18"/>
      </w:rPr>
      <w:pict>
        <v:shape id="_x0000_s3077" o:spid="_x0000_s307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2320D6C">
                <w:pPr>
                  <w:pStyle w:val="16"/>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295BE">
    <w:pPr>
      <w:pStyle w:val="16"/>
      <w:widowControl w:val="0"/>
      <w:pBdr>
        <w:top w:val="none" w:color="auto" w:sz="0" w:space="1"/>
        <w:left w:val="none" w:color="auto" w:sz="0" w:space="4"/>
        <w:bottom w:val="none" w:color="auto" w:sz="0" w:space="1"/>
        <w:right w:val="none" w:color="auto" w:sz="0" w:space="4"/>
        <w:between w:val="none" w:color="auto" w:sz="0" w:space="0"/>
      </w:pBdr>
      <w:snapToGrid w:val="0"/>
      <w:jc w:val="left"/>
    </w:pPr>
    <w:r>
      <w:rPr>
        <w:sz w:val="18"/>
      </w:rPr>
      <w:pict>
        <v:line id="_x0000_s3081" o:spid="_x0000_s3081" o:spt="20" style="position:absolute;left:0pt;margin-left:7pt;margin-top:-7.1pt;height:1pt;width:419pt;z-index:251662336;mso-width-relative:page;mso-height-relative:page;" filled="f" stroked="t" coordsize="21600,21600">
          <v:path arrowok="t"/>
          <v:fill on="f" focussize="0,0"/>
          <v:stroke weight="0.25pt" color="#000000" dashstyle="11 1" endcap="round"/>
          <v:imagedata o:title=""/>
          <o:lock v:ext="edit" aspectratio="f"/>
        </v:lin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57562">
    <w:pPr>
      <w:pStyle w:val="16"/>
      <w:pBdr>
        <w:top w:val="single" w:color="auto" w:sz="4" w:space="1"/>
      </w:pBdr>
      <w:tabs>
        <w:tab w:val="center" w:pos="4479"/>
        <w:tab w:val="clear" w:pos="4153"/>
      </w:tabs>
      <w:jc w:val="both"/>
    </w:pPr>
    <w:r>
      <w:rPr>
        <w:sz w:val="18"/>
      </w:rPr>
      <w:pict>
        <v:shape id="_x0000_s3078" o:spid="_x0000_s307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35670BF">
                <w:pPr>
                  <w:pStyle w:val="16"/>
                </w:pPr>
                <w:r>
                  <w:fldChar w:fldCharType="begin"/>
                </w:r>
                <w:r>
                  <w:instrText xml:space="preserve"> PAGE  \* MERGEFORMAT </w:instrText>
                </w:r>
                <w:r>
                  <w:fldChar w:fldCharType="separate"/>
                </w:r>
                <w:r>
                  <w:t>4</w:t>
                </w:r>
                <w:r>
                  <w:fldChar w:fldCharType="end"/>
                </w:r>
              </w:p>
            </w:txbxContent>
          </v:textbox>
        </v:shape>
      </w:pict>
    </w:r>
    <w:r>
      <w:rPr>
        <w:rFonts w:hint="eastAsia"/>
      </w:rPr>
      <w:tab/>
    </w:r>
  </w:p>
  <w:p w14:paraId="5381BA14">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DEDC2">
    <w:pPr>
      <w:pStyle w:val="18"/>
      <w:jc w:val="right"/>
      <w:rPr>
        <w:rFonts w:hint="eastAsia"/>
      </w:rPr>
    </w:pPr>
    <w:r>
      <w:rPr>
        <w:rFonts w:hint="eastAsia" w:ascii="宋体" w:hAnsi="宋体" w:cs="宋体"/>
        <w:color w:val="auto"/>
        <w:szCs w:val="21"/>
        <w:highlight w:val="none"/>
        <w:u w:val="none"/>
        <w:shd w:val="clear" w:color="auto" w:fill="FFFFFF"/>
        <w:lang w:val="en-US" w:eastAsia="zh-CN"/>
      </w:rPr>
      <w:t>驻马店市中心医院无水乙醇、二甲苯等耗材采购项目采购</w:t>
    </w:r>
    <w:r>
      <w:rPr>
        <w:rFonts w:hint="eastAsia"/>
      </w:rPr>
      <w:t>文件</w:t>
    </w:r>
  </w:p>
  <w:p w14:paraId="140CA1DF">
    <w:pPr>
      <w:pStyle w:val="1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168E5"/>
    <w:multiLevelType w:val="singleLevel"/>
    <w:tmpl w:val="0DF168E5"/>
    <w:lvl w:ilvl="0" w:tentative="0">
      <w:start w:val="4"/>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2CC30C9"/>
    <w:rsid w:val="18BA145C"/>
    <w:rsid w:val="1C364831"/>
    <w:rsid w:val="1F422EEA"/>
    <w:rsid w:val="39D569DC"/>
    <w:rsid w:val="3CD016DD"/>
    <w:rsid w:val="453E3FCF"/>
    <w:rsid w:val="5EDC42EC"/>
    <w:rsid w:val="76E94E08"/>
    <w:rsid w:val="7B454A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firstLineChars="200"/>
    </w:pPr>
  </w:style>
  <w:style w:type="paragraph" w:styleId="5">
    <w:name w:val="annotation text"/>
    <w:basedOn w:val="1"/>
    <w:qFormat/>
    <w:uiPriority w:val="0"/>
    <w:pPr>
      <w:jc w:val="left"/>
    </w:pPr>
  </w:style>
  <w:style w:type="paragraph" w:styleId="6">
    <w:name w:val="Body Text"/>
    <w:basedOn w:val="1"/>
    <w:next w:val="7"/>
    <w:unhideWhenUsed/>
    <w:qFormat/>
    <w:uiPriority w:val="99"/>
    <w:pPr>
      <w:spacing w:after="120"/>
    </w:pPr>
  </w:style>
  <w:style w:type="paragraph" w:customStyle="1" w:styleId="7">
    <w:name w:val="Default"/>
    <w:next w:val="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大标题"/>
    <w:basedOn w:val="1"/>
    <w:next w:val="9"/>
    <w:qFormat/>
    <w:uiPriority w:val="0"/>
    <w:pPr>
      <w:jc w:val="center"/>
    </w:pPr>
    <w:rPr>
      <w:rFonts w:ascii="Arial" w:hAnsi="Arial"/>
      <w:b/>
      <w:sz w:val="28"/>
    </w:rPr>
  </w:style>
  <w:style w:type="paragraph" w:styleId="9">
    <w:name w:val="Body Text First Indent 2"/>
    <w:basedOn w:val="10"/>
    <w:qFormat/>
    <w:uiPriority w:val="0"/>
    <w:pPr>
      <w:spacing w:after="120"/>
    </w:pPr>
  </w:style>
  <w:style w:type="paragraph" w:styleId="10">
    <w:name w:val="Body Text Indent"/>
    <w:basedOn w:val="1"/>
    <w:next w:val="9"/>
    <w:qFormat/>
    <w:uiPriority w:val="0"/>
    <w:pPr>
      <w:spacing w:line="700" w:lineRule="exact"/>
      <w:ind w:left="960"/>
    </w:pPr>
    <w:rPr>
      <w:sz w:val="44"/>
    </w:rPr>
  </w:style>
  <w:style w:type="paragraph" w:styleId="11">
    <w:name w:val="List 2"/>
    <w:basedOn w:val="1"/>
    <w:qFormat/>
    <w:uiPriority w:val="0"/>
    <w:pPr>
      <w:ind w:left="100" w:leftChars="200" w:hanging="200" w:hangingChars="200"/>
    </w:p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pPr>
      <w:ind w:left="100" w:leftChars="2500"/>
    </w:pPr>
    <w:rPr>
      <w:rFonts w:ascii="宋体" w:hAnsi="宋体"/>
    </w:rPr>
  </w:style>
  <w:style w:type="paragraph" w:styleId="14">
    <w:name w:val="Body Text Indent 2"/>
    <w:basedOn w:val="1"/>
    <w:link w:val="52"/>
    <w:qFormat/>
    <w:uiPriority w:val="0"/>
    <w:pPr>
      <w:snapToGrid w:val="0"/>
      <w:spacing w:line="500" w:lineRule="exact"/>
      <w:jc w:val="left"/>
      <w:textAlignment w:val="baseline"/>
    </w:pPr>
    <w:rPr>
      <w:rFonts w:ascii="宋体" w:hAnsi="宋体" w:cs="宋体"/>
      <w:b/>
      <w:sz w:val="24"/>
      <w:szCs w:val="28"/>
    </w:rPr>
  </w:style>
  <w:style w:type="paragraph" w:styleId="15">
    <w:name w:val="Balloon Text"/>
    <w:basedOn w:val="1"/>
    <w:link w:val="53"/>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envelope return"/>
    <w:basedOn w:val="1"/>
    <w:qFormat/>
    <w:uiPriority w:val="0"/>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toc 2"/>
    <w:basedOn w:val="1"/>
    <w:next w:val="1"/>
    <w:qFormat/>
    <w:uiPriority w:val="0"/>
    <w:pPr>
      <w:ind w:left="210"/>
      <w:jc w:val="left"/>
    </w:pPr>
    <w:rPr>
      <w:smallCaps/>
      <w:sz w:val="20"/>
    </w:rPr>
  </w:style>
  <w:style w:type="paragraph" w:styleId="21">
    <w:name w:val="Body Text 2"/>
    <w:basedOn w:val="1"/>
    <w:next w:val="6"/>
    <w:qFormat/>
    <w:uiPriority w:val="0"/>
    <w:pPr>
      <w:spacing w:after="120" w:line="480" w:lineRule="auto"/>
    </w:pPr>
    <w:rPr>
      <w:szCs w:val="24"/>
    </w:rPr>
  </w:style>
  <w:style w:type="paragraph" w:styleId="22">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rPr>
  </w:style>
  <w:style w:type="paragraph" w:styleId="23">
    <w:name w:val="Body Text First Indent"/>
    <w:basedOn w:val="6"/>
    <w:next w:val="9"/>
    <w:qFormat/>
    <w:uiPriority w:val="0"/>
    <w:pPr>
      <w:spacing w:after="0" w:line="360" w:lineRule="auto"/>
      <w:ind w:firstLine="100" w:firstLineChars="100"/>
    </w:pPr>
    <w:rPr>
      <w:szCs w:val="21"/>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bdr w:val="single" w:color="999999" w:sz="6" w:space="0"/>
      <w:shd w:val="clear" w:color="auto" w:fill="FFFFFF"/>
    </w:rPr>
  </w:style>
  <w:style w:type="character" w:styleId="28">
    <w:name w:val="page number"/>
    <w:basedOn w:val="26"/>
    <w:qFormat/>
    <w:uiPriority w:val="0"/>
  </w:style>
  <w:style w:type="character" w:styleId="29">
    <w:name w:val="FollowedHyperlink"/>
    <w:basedOn w:val="26"/>
    <w:qFormat/>
    <w:uiPriority w:val="0"/>
    <w:rPr>
      <w:color w:val="800080"/>
      <w:u w:val="none"/>
    </w:rPr>
  </w:style>
  <w:style w:type="character" w:styleId="30">
    <w:name w:val="Emphasis"/>
    <w:basedOn w:val="26"/>
    <w:qFormat/>
    <w:uiPriority w:val="0"/>
  </w:style>
  <w:style w:type="character" w:styleId="31">
    <w:name w:val="HTML Definition"/>
    <w:basedOn w:val="26"/>
    <w:qFormat/>
    <w:uiPriority w:val="0"/>
  </w:style>
  <w:style w:type="character" w:styleId="32">
    <w:name w:val="HTML Typewriter"/>
    <w:basedOn w:val="26"/>
    <w:qFormat/>
    <w:uiPriority w:val="0"/>
    <w:rPr>
      <w:rFonts w:hint="default" w:ascii="monospace" w:hAnsi="monospace" w:eastAsia="monospace" w:cs="monospace"/>
      <w:sz w:val="20"/>
    </w:rPr>
  </w:style>
  <w:style w:type="character" w:styleId="33">
    <w:name w:val="HTML Acronym"/>
    <w:basedOn w:val="26"/>
    <w:qFormat/>
    <w:uiPriority w:val="0"/>
  </w:style>
  <w:style w:type="character" w:styleId="34">
    <w:name w:val="HTML Variable"/>
    <w:basedOn w:val="26"/>
    <w:qFormat/>
    <w:uiPriority w:val="0"/>
  </w:style>
  <w:style w:type="character" w:styleId="35">
    <w:name w:val="Hyperlink"/>
    <w:basedOn w:val="26"/>
    <w:qFormat/>
    <w:uiPriority w:val="99"/>
    <w:rPr>
      <w:color w:val="0000FF"/>
      <w:u w:val="none"/>
    </w:rPr>
  </w:style>
  <w:style w:type="character" w:styleId="36">
    <w:name w:val="HTML Code"/>
    <w:basedOn w:val="26"/>
    <w:qFormat/>
    <w:uiPriority w:val="0"/>
    <w:rPr>
      <w:rFonts w:hint="default" w:ascii="monospace" w:hAnsi="monospace" w:eastAsia="monospace" w:cs="monospace"/>
      <w:sz w:val="20"/>
    </w:rPr>
  </w:style>
  <w:style w:type="character" w:styleId="37">
    <w:name w:val="HTML Cite"/>
    <w:basedOn w:val="26"/>
    <w:qFormat/>
    <w:uiPriority w:val="0"/>
  </w:style>
  <w:style w:type="character" w:styleId="38">
    <w:name w:val="HTML Keyboard"/>
    <w:basedOn w:val="26"/>
    <w:qFormat/>
    <w:uiPriority w:val="0"/>
    <w:rPr>
      <w:rFonts w:hint="default" w:ascii="monospace" w:hAnsi="monospace" w:eastAsia="monospace" w:cs="monospace"/>
      <w:sz w:val="20"/>
    </w:rPr>
  </w:style>
  <w:style w:type="character" w:styleId="39">
    <w:name w:val="HTML Sample"/>
    <w:basedOn w:val="26"/>
    <w:qFormat/>
    <w:uiPriority w:val="0"/>
    <w:rPr>
      <w:rFonts w:ascii="monospace" w:hAnsi="monospace" w:eastAsia="monospace" w:cs="monospace"/>
    </w:rPr>
  </w:style>
  <w:style w:type="paragraph" w:customStyle="1" w:styleId="40">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1">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42">
    <w:name w:val="BodyText1I"/>
    <w:basedOn w:val="43"/>
    <w:qFormat/>
    <w:uiPriority w:val="99"/>
    <w:pPr>
      <w:ind w:firstLine="420" w:firstLineChars="100"/>
    </w:pPr>
  </w:style>
  <w:style w:type="paragraph" w:customStyle="1" w:styleId="43">
    <w:name w:val="BodyText"/>
    <w:basedOn w:val="1"/>
    <w:next w:val="44"/>
    <w:qFormat/>
    <w:uiPriority w:val="99"/>
    <w:pPr>
      <w:spacing w:after="120"/>
      <w:textAlignment w:val="baseline"/>
    </w:pPr>
  </w:style>
  <w:style w:type="paragraph" w:customStyle="1" w:styleId="44">
    <w:name w:val="BodyText2"/>
    <w:basedOn w:val="1"/>
    <w:next w:val="43"/>
    <w:qFormat/>
    <w:uiPriority w:val="99"/>
    <w:pPr>
      <w:widowControl/>
      <w:spacing w:before="100" w:beforeAutospacing="1" w:after="100" w:afterAutospacing="1"/>
      <w:jc w:val="left"/>
      <w:textAlignment w:val="baseline"/>
    </w:pPr>
    <w:rPr>
      <w:rFonts w:ascii="宋体" w:hAnsi="宋体" w:cs="宋体"/>
      <w:kern w:val="0"/>
      <w:sz w:val="24"/>
      <w:szCs w:val="24"/>
    </w:rPr>
  </w:style>
  <w:style w:type="paragraph" w:customStyle="1" w:styleId="45">
    <w:name w:val="style4"/>
    <w:basedOn w:val="1"/>
    <w:next w:val="46"/>
    <w:qFormat/>
    <w:uiPriority w:val="0"/>
    <w:pPr>
      <w:widowControl/>
      <w:spacing w:before="280" w:after="280"/>
    </w:pPr>
    <w:rPr>
      <w:rFonts w:ascii="宋体"/>
      <w:sz w:val="18"/>
    </w:rPr>
  </w:style>
  <w:style w:type="paragraph" w:customStyle="1" w:styleId="4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7">
    <w:name w:val="无间隔1"/>
    <w:basedOn w:val="1"/>
    <w:qFormat/>
    <w:uiPriority w:val="0"/>
    <w:pPr>
      <w:spacing w:line="400" w:lineRule="exact"/>
    </w:pPr>
    <w:rPr>
      <w:sz w:val="24"/>
    </w:rPr>
  </w:style>
  <w:style w:type="paragraph" w:customStyle="1" w:styleId="48">
    <w:name w:val="List Paragraph1"/>
    <w:basedOn w:val="1"/>
    <w:qFormat/>
    <w:uiPriority w:val="1"/>
    <w:pPr>
      <w:spacing w:line="468" w:lineRule="exact"/>
      <w:ind w:left="472" w:firstLine="480"/>
    </w:pPr>
    <w:rPr>
      <w:rFonts w:ascii="Noto Sans CJK JP Regular" w:hAnsi="Noto Sans CJK JP Regular" w:cs="Noto Sans CJK JP Regular"/>
      <w:sz w:val="22"/>
      <w:szCs w:val="22"/>
      <w:lang w:eastAsia="en-US"/>
    </w:rPr>
  </w:style>
  <w:style w:type="paragraph" w:customStyle="1" w:styleId="49">
    <w:name w:val="正文小标题"/>
    <w:basedOn w:val="1"/>
    <w:next w:val="1"/>
    <w:qFormat/>
    <w:uiPriority w:val="0"/>
    <w:pPr>
      <w:spacing w:line="360" w:lineRule="auto"/>
      <w:ind w:left="-2" w:leftChars="-1" w:firstLine="661" w:firstLineChars="235"/>
      <w:outlineLvl w:val="2"/>
    </w:pPr>
    <w:rPr>
      <w:rFonts w:ascii="宋体" w:hAnsi="宋体"/>
      <w:color w:val="000000"/>
      <w:kern w:val="0"/>
      <w:szCs w:val="21"/>
      <w:u w:val="single"/>
    </w:rPr>
  </w:style>
  <w:style w:type="paragraph" w:customStyle="1" w:styleId="50">
    <w:name w:val="List Paragraph"/>
    <w:basedOn w:val="1"/>
    <w:qFormat/>
    <w:uiPriority w:val="99"/>
    <w:pPr>
      <w:ind w:firstLine="420" w:firstLineChars="200"/>
    </w:pPr>
  </w:style>
  <w:style w:type="paragraph" w:customStyle="1" w:styleId="51">
    <w:name w:val="cjk"/>
    <w:basedOn w:val="1"/>
    <w:qFormat/>
    <w:uiPriority w:val="0"/>
    <w:pPr>
      <w:widowControl/>
      <w:jc w:val="left"/>
    </w:pPr>
    <w:rPr>
      <w:rFonts w:ascii="宋体" w:hAnsi="宋体" w:cs="宋体"/>
      <w:kern w:val="0"/>
      <w:sz w:val="24"/>
      <w:szCs w:val="24"/>
    </w:rPr>
  </w:style>
  <w:style w:type="character" w:customStyle="1" w:styleId="52">
    <w:name w:val="正文文本缩进 2 Char"/>
    <w:basedOn w:val="26"/>
    <w:link w:val="14"/>
    <w:qFormat/>
    <w:uiPriority w:val="0"/>
    <w:rPr>
      <w:rFonts w:ascii="宋体" w:hAnsi="宋体" w:cs="宋体"/>
      <w:b/>
      <w:kern w:val="2"/>
      <w:sz w:val="24"/>
      <w:szCs w:val="28"/>
    </w:rPr>
  </w:style>
  <w:style w:type="character" w:customStyle="1" w:styleId="53">
    <w:name w:val="批注框文本 Char"/>
    <w:basedOn w:val="26"/>
    <w:link w:val="15"/>
    <w:qFormat/>
    <w:uiPriority w:val="0"/>
    <w:rPr>
      <w:kern w:val="2"/>
      <w:sz w:val="18"/>
      <w:szCs w:val="18"/>
    </w:rPr>
  </w:style>
  <w:style w:type="paragraph" w:customStyle="1" w:styleId="54">
    <w:name w:val="Heading2"/>
    <w:basedOn w:val="1"/>
    <w:next w:val="1"/>
    <w:qFormat/>
    <w:uiPriority w:val="99"/>
    <w:pPr>
      <w:keepNext/>
      <w:keepLines/>
      <w:tabs>
        <w:tab w:val="left" w:pos="425"/>
      </w:tabs>
      <w:spacing w:before="260" w:after="260" w:line="413" w:lineRule="auto"/>
      <w:ind w:left="425" w:hanging="425"/>
      <w:textAlignment w:val="baseline"/>
    </w:pPr>
    <w:rPr>
      <w:rFonts w:ascii="Arial" w:hAnsi="Arial" w:eastAsia="黑体" w:cs="Arial"/>
      <w:b/>
      <w:bCs/>
      <w:sz w:val="32"/>
      <w:szCs w:val="32"/>
    </w:rPr>
  </w:style>
  <w:style w:type="character" w:customStyle="1" w:styleId="55">
    <w:name w:val="NormalCharacter"/>
    <w:semiHidden/>
    <w:qFormat/>
    <w:uiPriority w:val="99"/>
    <w:rPr>
      <w:rFonts w:ascii="Calibri" w:hAnsi="Calibri" w:eastAsia="宋体" w:cs="Calibri"/>
      <w:kern w:val="2"/>
      <w:sz w:val="24"/>
      <w:szCs w:val="24"/>
      <w:lang w:val="en-US" w:eastAsia="zh-CN"/>
    </w:rPr>
  </w:style>
  <w:style w:type="paragraph" w:customStyle="1" w:styleId="56">
    <w:name w:val="正文_11"/>
    <w:qFormat/>
    <w:uiPriority w:val="0"/>
    <w:pPr>
      <w:widowControl w:val="0"/>
      <w:jc w:val="both"/>
    </w:pPr>
    <w:rPr>
      <w:rFonts w:ascii="Calibri" w:hAnsi="Calibri" w:eastAsia="宋体" w:cs="Arial"/>
      <w:kern w:val="2"/>
      <w:sz w:val="21"/>
      <w:szCs w:val="22"/>
      <w:lang w:val="en-US" w:eastAsia="zh-CN" w:bidi="ar-SA"/>
    </w:rPr>
  </w:style>
  <w:style w:type="paragraph" w:customStyle="1" w:styleId="57">
    <w:name w:val="Table Paragraph"/>
    <w:basedOn w:val="1"/>
    <w:qFormat/>
    <w:uiPriority w:val="1"/>
    <w:pPr>
      <w:ind w:left="8"/>
      <w:jc w:val="center"/>
    </w:pPr>
    <w:rPr>
      <w:rFonts w:ascii="宋体" w:hAnsi="宋体" w:cs="宋体"/>
    </w:rPr>
  </w:style>
  <w:style w:type="character" w:customStyle="1" w:styleId="58">
    <w:name w:val="hover17"/>
    <w:basedOn w:val="26"/>
    <w:qFormat/>
    <w:uiPriority w:val="0"/>
  </w:style>
  <w:style w:type="character" w:customStyle="1" w:styleId="59">
    <w:name w:val="font21"/>
    <w:basedOn w:val="26"/>
    <w:qFormat/>
    <w:uiPriority w:val="0"/>
    <w:rPr>
      <w:rFonts w:ascii="宋体" w:hAnsi="宋体" w:eastAsia="宋体" w:cs="宋体"/>
      <w:color w:val="000000"/>
      <w:sz w:val="20"/>
      <w:szCs w:val="20"/>
      <w:u w:val="none"/>
    </w:rPr>
  </w:style>
  <w:style w:type="character" w:customStyle="1" w:styleId="60">
    <w:name w:val="font31"/>
    <w:basedOn w:val="26"/>
    <w:qFormat/>
    <w:uiPriority w:val="0"/>
    <w:rPr>
      <w:rFonts w:ascii="宋体" w:hAnsi="宋体" w:eastAsia="宋体" w:cs="宋体"/>
      <w:color w:val="000000"/>
      <w:sz w:val="22"/>
      <w:szCs w:val="22"/>
      <w:u w:val="none"/>
    </w:rPr>
  </w:style>
  <w:style w:type="character" w:customStyle="1" w:styleId="61">
    <w:name w:val="font41"/>
    <w:basedOn w:val="26"/>
    <w:qFormat/>
    <w:uiPriority w:val="0"/>
    <w:rPr>
      <w:rFonts w:ascii="宋体" w:hAnsi="宋体" w:eastAsia="宋体" w:cs="宋体"/>
      <w:color w:val="000000"/>
      <w:sz w:val="14"/>
      <w:szCs w:val="14"/>
      <w:u w:val="none"/>
    </w:rPr>
  </w:style>
  <w:style w:type="character" w:customStyle="1" w:styleId="62">
    <w:name w:val="font11"/>
    <w:basedOn w:val="26"/>
    <w:qFormat/>
    <w:uiPriority w:val="0"/>
    <w:rPr>
      <w:rFonts w:hint="default" w:ascii="Calibri" w:hAnsi="Calibri" w:cs="Calibri"/>
      <w:color w:val="000000"/>
      <w:sz w:val="24"/>
      <w:szCs w:val="24"/>
      <w:u w:val="none"/>
    </w:rPr>
  </w:style>
  <w:style w:type="paragraph" w:customStyle="1" w:styleId="63">
    <w:name w:val="No Spacing"/>
    <w:qFormat/>
    <w:uiPriority w:val="1"/>
    <w:rPr>
      <w:rFonts w:ascii="Calibri" w:hAnsi="Calibri" w:eastAsia="宋体" w:cs="Times New Roman"/>
      <w:sz w:val="22"/>
      <w:szCs w:val="22"/>
      <w:lang w:val="en-US" w:eastAsia="zh-CN" w:bidi="ar-SA"/>
    </w:rPr>
  </w:style>
  <w:style w:type="table" w:customStyle="1" w:styleId="64">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80"/>
    <customShpInfo spid="_x0000_s3077" textRotate="1"/>
    <customShpInfo spid="_x0000_s3081"/>
    <customShpInfo spid="_x0000_s3078" textRotate="1"/>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27</Pages>
  <Words>12078</Words>
  <Characters>12848</Characters>
  <Lines>123</Lines>
  <Paragraphs>34</Paragraphs>
  <TotalTime>7</TotalTime>
  <ScaleCrop>false</ScaleCrop>
  <LinksUpToDate>false</LinksUpToDate>
  <CharactersWithSpaces>13654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夜半笛声</dc:creator>
  <cp:lastModifiedBy>潘艳红</cp:lastModifiedBy>
  <cp:lastPrinted>2020-07-13T16:33:00Z</cp:lastPrinted>
  <dcterms:modified xsi:type="dcterms:W3CDTF">2026-06-04T08:10:15Z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49F58B98E0B24461952E3C72AB4A907A_13</vt:lpwstr>
  </property>
  <property fmtid="{D5CDD505-2E9C-101B-9397-08002B2CF9AE}" pid="4" name="KSOTemplateDocerSaveRecord">
    <vt:lpwstr>eyJoZGlkIjoiMzU0MTZjMjFkMjFjOGMwYTIzNWEzZDljNjYxZWI0MmYiLCJ1c2VySWQiOiIxNjg0NTc5MjM2In0=</vt:lpwstr>
  </property>
</Properties>
</file>