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经皮肾镜、输尿管镜等硬镜全保采购项目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经皮肾镜、输尿管镜等硬镜全保采购项目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经皮肾镜、输尿管镜等硬镜全保</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经皮肾镜、输尿管镜等硬镜全保采购项目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21.60万元；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9562"/>
      <w:bookmarkStart w:id="10" w:name="_Toc23395"/>
      <w:bookmarkStart w:id="11" w:name="_Toc782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5E6A4E6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7CFCEF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lang w:val="en-US" w:eastAsia="zh-CN"/>
        </w:rPr>
      </w:pPr>
      <w:r>
        <w:rPr>
          <w:rFonts w:hint="eastAsia" w:ascii="宋体" w:hAnsi="宋体" w:cs="宋体"/>
          <w:color w:val="auto"/>
          <w:sz w:val="24"/>
          <w:szCs w:val="24"/>
          <w:highlight w:val="none"/>
          <w:shd w:val="clear" w:color="auto" w:fill="FFFFFF"/>
          <w:lang w:val="en-US" w:eastAsia="zh-CN"/>
        </w:rPr>
        <w:t>8、供应商须是在中华人民共和国境内注册的设备原制造厂商或原制造厂商授权的单位或具备相关设备维修能力的单位（提供证明文件）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28</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6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35"/>
      <w:bookmarkStart w:id="15" w:name="_Toc10738"/>
      <w:bookmarkStart w:id="16" w:name="_Toc15111"/>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24274"/>
      <w:bookmarkStart w:id="26" w:name="_Toc16291"/>
      <w:bookmarkStart w:id="27" w:name="_Toc360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中信诚项目管理有限公司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w:t>
      </w:r>
      <w:r>
        <w:rPr>
          <w:rFonts w:hint="eastAsia" w:ascii="宋体" w:hAnsi="宋体" w:cs="宋体"/>
          <w:color w:val="auto"/>
          <w:kern w:val="0"/>
          <w:sz w:val="24"/>
          <w:szCs w:val="24"/>
          <w:highlight w:val="none"/>
          <w:shd w:val="clear" w:color="auto" w:fill="FFFFFF"/>
          <w:lang w:val="en-US" w:eastAsia="zh-CN" w:bidi="ar-SA"/>
        </w:rPr>
        <w:t>驻马店市置地华庭B座</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：李女士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0396-3676106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bookmarkStart w:id="79" w:name="_GoBack"/>
      <w:bookmarkEnd w:id="79"/>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经皮肾镜、输尿管镜等硬镜全保采购项目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199"/>
        <w:gridCol w:w="1648"/>
        <w:gridCol w:w="1175"/>
        <w:gridCol w:w="1542"/>
        <w:gridCol w:w="1276"/>
      </w:tblGrid>
      <w:tr w14:paraId="674C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31"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99"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rPr>
              <w:t>标的名称</w:t>
            </w:r>
          </w:p>
        </w:tc>
        <w:tc>
          <w:tcPr>
            <w:tcW w:w="1648"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175"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542" w:type="dxa"/>
            <w:vAlign w:val="center"/>
          </w:tcPr>
          <w:p w14:paraId="3F6321B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511BD82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rPr>
              <w:t>预算</w:t>
            </w:r>
          </w:p>
        </w:tc>
        <w:tc>
          <w:tcPr>
            <w:tcW w:w="1276" w:type="dxa"/>
            <w:vAlign w:val="center"/>
          </w:tcPr>
          <w:p w14:paraId="04FD13D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11B4BF9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仿宋" w:hAnsi="仿宋" w:eastAsia="仿宋" w:cs="仿宋"/>
                <w:b/>
                <w:bCs/>
                <w:sz w:val="28"/>
                <w:szCs w:val="28"/>
                <w:lang w:val="en-US" w:eastAsia="zh-CN"/>
              </w:rPr>
              <w:t>性质</w:t>
            </w:r>
          </w:p>
        </w:tc>
      </w:tr>
      <w:tr w14:paraId="46A2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1"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19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8"/>
                <w:szCs w:val="28"/>
                <w:vertAlign w:val="baseline"/>
                <w:lang w:val="en-US" w:eastAsia="zh-CN"/>
              </w:rPr>
              <w:t>经皮肾镜、输尿管镜等硬镜全保</w:t>
            </w:r>
          </w:p>
        </w:tc>
        <w:tc>
          <w:tcPr>
            <w:tcW w:w="164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8"/>
                <w:szCs w:val="28"/>
                <w:vertAlign w:val="baseline"/>
                <w:lang w:val="en-US" w:eastAsia="zh-CN"/>
              </w:rPr>
              <w:t>条</w:t>
            </w:r>
          </w:p>
        </w:tc>
        <w:tc>
          <w:tcPr>
            <w:tcW w:w="117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sz w:val="28"/>
                <w:szCs w:val="28"/>
                <w:vertAlign w:val="baseline"/>
                <w:lang w:val="en-US" w:eastAsia="zh-CN"/>
              </w:rPr>
              <w:t>24</w:t>
            </w:r>
          </w:p>
        </w:tc>
        <w:tc>
          <w:tcPr>
            <w:tcW w:w="154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仿宋" w:hAnsi="仿宋" w:eastAsia="仿宋" w:cs="仿宋"/>
                <w:sz w:val="28"/>
                <w:szCs w:val="28"/>
                <w:vertAlign w:val="baseline"/>
                <w:lang w:val="en-US" w:eastAsia="zh-CN"/>
              </w:rPr>
              <w:t>21.6万元</w:t>
            </w:r>
          </w:p>
        </w:tc>
        <w:tc>
          <w:tcPr>
            <w:tcW w:w="1276" w:type="dxa"/>
            <w:shd w:val="clear" w:color="auto" w:fill="auto"/>
            <w:vAlign w:val="center"/>
          </w:tcPr>
          <w:p w14:paraId="47933D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sz w:val="28"/>
                <w:szCs w:val="28"/>
                <w:vertAlign w:val="baseline"/>
                <w:lang w:val="en-US" w:eastAsia="zh-CN"/>
              </w:rPr>
              <w:t>自筹</w:t>
            </w:r>
          </w:p>
        </w:tc>
      </w:tr>
      <w:tr w14:paraId="6CBB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1"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840" w:type="dxa"/>
            <w:gridSpan w:val="5"/>
            <w:vAlign w:val="center"/>
          </w:tcPr>
          <w:p w14:paraId="7F3580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21.6万元</w:t>
            </w:r>
          </w:p>
        </w:tc>
      </w:tr>
      <w:tr w14:paraId="1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31"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840" w:type="dxa"/>
            <w:gridSpan w:val="5"/>
            <w:vAlign w:val="center"/>
          </w:tcPr>
          <w:p w14:paraId="69AE8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服务期限一年</w:t>
            </w:r>
          </w:p>
        </w:tc>
      </w:tr>
    </w:tbl>
    <w:p w14:paraId="0EED1C6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5C0F84BE">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1)承担硬镜类设备的维修保养任务，出具维修、保养检测报告，保修期内每年至少提供4次设备维护保养，包含但不限于如下项目：设备清洁、性能测试及校准、必要的电气环境检测等，使之保持原厂QC标准或国家质量监督部门的标准，并提供保养清单。</w:t>
      </w:r>
    </w:p>
    <w:p w14:paraId="1F0C3EE3">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2)</w:t>
      </w:r>
      <w:r>
        <w:rPr>
          <w:rFonts w:hint="eastAsia" w:ascii="宋体" w:hAnsi="宋体" w:eastAsia="宋体" w:cs="宋体"/>
          <w:i w:val="0"/>
          <w:iCs/>
          <w:sz w:val="24"/>
          <w:szCs w:val="24"/>
          <w:u w:val="none"/>
          <w:lang w:val="en-US" w:eastAsia="zh-CN"/>
        </w:rPr>
        <w:tab/>
      </w:r>
      <w:r>
        <w:rPr>
          <w:rFonts w:hint="eastAsia" w:ascii="宋体" w:hAnsi="宋体" w:eastAsia="宋体" w:cs="宋体"/>
          <w:i w:val="0"/>
          <w:iCs/>
          <w:sz w:val="24"/>
          <w:szCs w:val="24"/>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16EF46AD">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3)为本医院配置具备维修资质的固定工程师不少于2人，本设备维修经验不少于2年，需提供证明材料（培训证书）和承诺函。</w:t>
      </w:r>
    </w:p>
    <w:p w14:paraId="78EE6F78">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4)定期检查镜子的使用状态，图像、操作性、吸引管道、钳子管道等是否正常。</w:t>
      </w:r>
    </w:p>
    <w:p w14:paraId="676F9355">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5)</w:t>
      </w:r>
      <w:r>
        <w:rPr>
          <w:rFonts w:hint="eastAsia" w:ascii="宋体" w:hAnsi="宋体" w:eastAsia="宋体" w:cs="宋体"/>
          <w:i w:val="0"/>
          <w:iCs/>
          <w:sz w:val="24"/>
          <w:szCs w:val="24"/>
          <w:u w:val="none"/>
          <w:lang w:val="en-US" w:eastAsia="zh-CN"/>
        </w:rPr>
        <w:tab/>
      </w:r>
      <w:r>
        <w:rPr>
          <w:rFonts w:hint="eastAsia" w:ascii="宋体" w:hAnsi="宋体" w:eastAsia="宋体" w:cs="宋体"/>
          <w:i w:val="0"/>
          <w:iCs/>
          <w:sz w:val="24"/>
          <w:szCs w:val="24"/>
          <w:u w:val="none"/>
          <w:lang w:val="en-US" w:eastAsia="zh-CN"/>
        </w:rPr>
        <w:t>提供24小时远程技术支持及临床应用支持。</w:t>
      </w:r>
    </w:p>
    <w:p w14:paraId="5FC47521">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6）配件故障时免费维修。</w:t>
      </w:r>
    </w:p>
    <w:p w14:paraId="031323F8">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7）提供一名驻院工程师，进行现场紧急维修服务。</w:t>
      </w:r>
    </w:p>
    <w:p w14:paraId="0E578961">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8）对我院的维修工程师提供每年至少2人次的专业培训，并提供培训证明材料。</w:t>
      </w:r>
    </w:p>
    <w:p w14:paraId="69673600">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9）每年制定临床使用人员的使用维护培训计划，按计划进行培训并提供记录。</w:t>
      </w:r>
    </w:p>
    <w:p w14:paraId="06A986C4">
      <w:pPr>
        <w:pStyle w:val="23"/>
        <w:jc w:val="left"/>
        <w:rPr>
          <w:rFonts w:hint="default" w:ascii="宋体" w:hAnsi="宋体" w:eastAsia="宋体" w:cs="宋体"/>
          <w:b/>
          <w:bCs/>
          <w:i w:val="0"/>
          <w:iCs/>
          <w:kern w:val="2"/>
          <w:sz w:val="24"/>
          <w:szCs w:val="24"/>
          <w:u w:val="none"/>
          <w:lang w:val="en-US" w:eastAsia="zh-CN" w:bidi="ar-SA"/>
        </w:rPr>
      </w:pPr>
      <w:r>
        <w:rPr>
          <w:rFonts w:hint="eastAsia" w:ascii="宋体" w:hAnsi="宋体" w:eastAsia="宋体" w:cs="宋体"/>
          <w:b/>
          <w:bCs/>
          <w:i w:val="0"/>
          <w:iCs/>
          <w:kern w:val="2"/>
          <w:sz w:val="24"/>
          <w:szCs w:val="24"/>
          <w:u w:val="none"/>
          <w:lang w:val="en-US" w:eastAsia="zh-CN" w:bidi="ar-SA"/>
        </w:rPr>
        <w:t>维保硬镜清单：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646"/>
        <w:gridCol w:w="2508"/>
        <w:gridCol w:w="2561"/>
      </w:tblGrid>
      <w:tr w14:paraId="70F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57FC63A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42" w:type="pct"/>
          </w:tcPr>
          <w:p w14:paraId="2F5B0A8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367" w:type="pct"/>
          </w:tcPr>
          <w:p w14:paraId="23E517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1396" w:type="pct"/>
          </w:tcPr>
          <w:p w14:paraId="7191825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编号</w:t>
            </w:r>
          </w:p>
        </w:tc>
      </w:tr>
      <w:tr w14:paraId="499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04FDE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42" w:type="pct"/>
          </w:tcPr>
          <w:p w14:paraId="6B3C679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00885C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73CC32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1100405729</w:t>
            </w:r>
          </w:p>
        </w:tc>
      </w:tr>
      <w:tr w14:paraId="046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90F4F2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42" w:type="pct"/>
          </w:tcPr>
          <w:p w14:paraId="2B3F5A1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1AADBD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386DBB3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1100405810</w:t>
            </w:r>
          </w:p>
        </w:tc>
      </w:tr>
      <w:tr w14:paraId="0F6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93" w:type="pct"/>
          </w:tcPr>
          <w:p w14:paraId="450C535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42" w:type="pct"/>
          </w:tcPr>
          <w:p w14:paraId="0C2425D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4BCD9E8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7CB564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1100362419</w:t>
            </w:r>
          </w:p>
        </w:tc>
      </w:tr>
      <w:tr w14:paraId="18B0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5DAD200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42" w:type="pct"/>
          </w:tcPr>
          <w:p w14:paraId="2E62727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513447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1BD0B8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1100331574</w:t>
            </w:r>
          </w:p>
        </w:tc>
      </w:tr>
      <w:tr w14:paraId="567B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63098A7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42" w:type="pct"/>
          </w:tcPr>
          <w:p w14:paraId="1A7549A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0237CC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7AC832A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1100474659</w:t>
            </w:r>
          </w:p>
        </w:tc>
      </w:tr>
      <w:tr w14:paraId="17D1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1A97788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42" w:type="pct"/>
          </w:tcPr>
          <w:p w14:paraId="4F83A0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42BD16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45D5B0F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1100619265</w:t>
            </w:r>
          </w:p>
        </w:tc>
      </w:tr>
      <w:tr w14:paraId="1AB9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0E83C1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442" w:type="pct"/>
          </w:tcPr>
          <w:p w14:paraId="6FAD63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7D7814A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141F6FA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1100474654</w:t>
            </w:r>
          </w:p>
        </w:tc>
      </w:tr>
      <w:tr w14:paraId="4D00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2E2A3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442" w:type="pct"/>
          </w:tcPr>
          <w:p w14:paraId="233BDC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571F573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6CAD12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1100607773</w:t>
            </w:r>
          </w:p>
        </w:tc>
      </w:tr>
      <w:tr w14:paraId="2CEE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6A09EB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442" w:type="pct"/>
          </w:tcPr>
          <w:p w14:paraId="2160D9C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4AAE70E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6614061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1100911223</w:t>
            </w:r>
          </w:p>
        </w:tc>
      </w:tr>
      <w:tr w14:paraId="3AA6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06F102B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42" w:type="pct"/>
          </w:tcPr>
          <w:p w14:paraId="3120720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730335E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20EE62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1100619277</w:t>
            </w:r>
          </w:p>
        </w:tc>
      </w:tr>
      <w:tr w14:paraId="16FE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2210E2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442" w:type="pct"/>
          </w:tcPr>
          <w:p w14:paraId="024B178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126EDE4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512385C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1100619276</w:t>
            </w:r>
          </w:p>
        </w:tc>
      </w:tr>
      <w:tr w14:paraId="3A18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6F32F1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442" w:type="pct"/>
          </w:tcPr>
          <w:p w14:paraId="543976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7DA8A0A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4C8997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1100619264</w:t>
            </w:r>
          </w:p>
        </w:tc>
      </w:tr>
      <w:tr w14:paraId="034A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D53B10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442" w:type="pct"/>
          </w:tcPr>
          <w:p w14:paraId="727FEE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284162D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67E691D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1100785855</w:t>
            </w:r>
          </w:p>
        </w:tc>
      </w:tr>
      <w:tr w14:paraId="23A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480B25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442" w:type="pct"/>
          </w:tcPr>
          <w:p w14:paraId="5244FDD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353743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212FF9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1100607779</w:t>
            </w:r>
          </w:p>
        </w:tc>
      </w:tr>
      <w:tr w14:paraId="18A9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11EAB64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442" w:type="pct"/>
          </w:tcPr>
          <w:p w14:paraId="4EE740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7B5005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4FFABB2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1100607785</w:t>
            </w:r>
          </w:p>
        </w:tc>
      </w:tr>
      <w:tr w14:paraId="50B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2321C9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442" w:type="pct"/>
          </w:tcPr>
          <w:p w14:paraId="3E0B65C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035B41D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506EA0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1100607780</w:t>
            </w:r>
          </w:p>
        </w:tc>
      </w:tr>
      <w:tr w14:paraId="2D68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7A789E2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442" w:type="pct"/>
          </w:tcPr>
          <w:p w14:paraId="016A7D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输尿管镜</w:t>
            </w:r>
          </w:p>
        </w:tc>
        <w:tc>
          <w:tcPr>
            <w:tcW w:w="1367" w:type="pct"/>
          </w:tcPr>
          <w:p w14:paraId="42BAD3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8703.534</w:t>
            </w:r>
          </w:p>
        </w:tc>
        <w:tc>
          <w:tcPr>
            <w:tcW w:w="1396" w:type="pct"/>
          </w:tcPr>
          <w:p w14:paraId="30F2D6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1100764123</w:t>
            </w:r>
          </w:p>
        </w:tc>
      </w:tr>
      <w:tr w14:paraId="3F1D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784F0F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442" w:type="pct"/>
          </w:tcPr>
          <w:p w14:paraId="2EEA5E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2D76CF8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23111C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5000231698</w:t>
            </w:r>
          </w:p>
        </w:tc>
      </w:tr>
      <w:tr w14:paraId="37FE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125011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442" w:type="pct"/>
          </w:tcPr>
          <w:p w14:paraId="716BBD0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09A50E1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5EA3661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5000268699</w:t>
            </w:r>
          </w:p>
        </w:tc>
      </w:tr>
      <w:tr w14:paraId="03E5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4F86015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442" w:type="pct"/>
          </w:tcPr>
          <w:p w14:paraId="1B317E9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27D44F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05D9467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1100462572</w:t>
            </w:r>
          </w:p>
        </w:tc>
      </w:tr>
      <w:tr w14:paraId="3C8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2BC1892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1442" w:type="pct"/>
          </w:tcPr>
          <w:p w14:paraId="3641B98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6E06CCD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4A9927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5000246232</w:t>
            </w:r>
          </w:p>
        </w:tc>
      </w:tr>
      <w:tr w14:paraId="0ED2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1701F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442" w:type="pct"/>
          </w:tcPr>
          <w:p w14:paraId="00908B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541739A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7C245C0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5000149261</w:t>
            </w:r>
          </w:p>
        </w:tc>
      </w:tr>
      <w:tr w14:paraId="5D16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4D554CE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1442" w:type="pct"/>
          </w:tcPr>
          <w:p w14:paraId="549EA8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7433CFA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760207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1100780719</w:t>
            </w:r>
          </w:p>
        </w:tc>
      </w:tr>
      <w:tr w14:paraId="2A81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338408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1442" w:type="pct"/>
          </w:tcPr>
          <w:p w14:paraId="5F51FAF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经皮肾镜</w:t>
            </w:r>
          </w:p>
        </w:tc>
        <w:tc>
          <w:tcPr>
            <w:tcW w:w="1367" w:type="pct"/>
          </w:tcPr>
          <w:p w14:paraId="094AF2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8964.401</w:t>
            </w:r>
          </w:p>
        </w:tc>
        <w:tc>
          <w:tcPr>
            <w:tcW w:w="1396" w:type="pct"/>
          </w:tcPr>
          <w:p w14:paraId="3960E8E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1100779889</w:t>
            </w:r>
          </w:p>
        </w:tc>
      </w:tr>
    </w:tbl>
    <w:p w14:paraId="70B5649D">
      <w:pPr>
        <w:numPr>
          <w:ilvl w:val="0"/>
          <w:numId w:val="0"/>
        </w:numPr>
        <w:spacing w:line="560" w:lineRule="exact"/>
        <w:ind w:firstLine="480" w:firstLineChars="200"/>
        <w:jc w:val="left"/>
        <w:rPr>
          <w:rFonts w:hint="eastAsia" w:ascii="宋体" w:hAnsi="宋体" w:eastAsia="宋体" w:cs="宋体"/>
          <w:i w:val="0"/>
          <w:iCs/>
          <w:sz w:val="24"/>
          <w:szCs w:val="24"/>
          <w:u w:val="none"/>
          <w:lang w:val="en-US" w:eastAsia="zh-CN"/>
        </w:rPr>
      </w:pPr>
    </w:p>
    <w:p w14:paraId="358C85C9">
      <w:pPr>
        <w:jc w:val="center"/>
        <w:rPr>
          <w:rFonts w:hint="eastAsia" w:ascii="宋体" w:hAnsi="宋体" w:eastAsia="宋体" w:cs="宋体"/>
          <w:b/>
          <w:bCs/>
          <w:color w:val="auto"/>
          <w:sz w:val="30"/>
          <w:szCs w:val="30"/>
          <w:highlight w:val="none"/>
        </w:rPr>
      </w:pPr>
    </w:p>
    <w:p w14:paraId="018515C6">
      <w:pPr>
        <w:jc w:val="center"/>
        <w:rPr>
          <w:rFonts w:hint="eastAsia" w:ascii="宋体" w:hAnsi="宋体" w:eastAsia="宋体" w:cs="宋体"/>
          <w:b/>
          <w:bCs/>
          <w:color w:val="auto"/>
          <w:sz w:val="30"/>
          <w:szCs w:val="30"/>
          <w:highlight w:val="none"/>
        </w:rPr>
      </w:pPr>
    </w:p>
    <w:p w14:paraId="06D09886">
      <w:pPr>
        <w:jc w:val="center"/>
        <w:rPr>
          <w:rFonts w:hint="eastAsia" w:ascii="宋体" w:hAnsi="宋体" w:eastAsia="宋体" w:cs="宋体"/>
          <w:b/>
          <w:bCs/>
          <w:color w:val="auto"/>
          <w:sz w:val="30"/>
          <w:szCs w:val="30"/>
          <w:highlight w:val="none"/>
        </w:rPr>
      </w:pPr>
    </w:p>
    <w:p w14:paraId="24D00E45">
      <w:pPr>
        <w:jc w:val="center"/>
        <w:rPr>
          <w:rFonts w:hint="eastAsia" w:ascii="宋体" w:hAnsi="宋体" w:eastAsia="宋体" w:cs="宋体"/>
          <w:b/>
          <w:bCs/>
          <w:color w:val="auto"/>
          <w:sz w:val="30"/>
          <w:szCs w:val="30"/>
          <w:highlight w:val="none"/>
        </w:rPr>
      </w:pPr>
    </w:p>
    <w:p w14:paraId="714F14B3">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4"/>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27D74B7">
            <w:pPr>
              <w:pStyle w:val="14"/>
              <w:spacing w:afterAutospacing="0"/>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服务安排：周一至周日，7天24小时包括法定节假日</w:t>
            </w:r>
            <w:r>
              <w:rPr>
                <w:rFonts w:hint="eastAsia" w:cs="宋体"/>
                <w:color w:val="auto"/>
                <w:sz w:val="24"/>
                <w:szCs w:val="24"/>
                <w:highlight w:val="none"/>
                <w:lang w:val="en-US" w:eastAsia="zh-CN"/>
              </w:rPr>
              <w:t>。</w:t>
            </w:r>
          </w:p>
          <w:p w14:paraId="60FF6DF8">
            <w:pPr>
              <w:pStyle w:val="14"/>
              <w:spacing w:beforeAutospacing="0" w:afterAutospacing="0"/>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维修响应时间：20分钟内电话响应，2小时内工程师到达现场，一般故障24小时内维修完毕。如需外地专家支持，4小时内响应，24小时内到达现场。</w:t>
            </w:r>
          </w:p>
        </w:tc>
      </w:tr>
      <w:tr w14:paraId="2480B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F5AD9D">
            <w:pPr>
              <w:pStyle w:val="14"/>
              <w:ind w:left="0" w:leftChars="0"/>
              <w:jc w:val="center"/>
              <w:rPr>
                <w:rFonts w:hint="eastAsia" w:ascii="宋体" w:hAnsi="宋体" w:eastAsia="宋体" w:cs="宋体"/>
                <w:i w:val="0"/>
                <w:iCs w:val="0"/>
                <w:color w:val="000000"/>
                <w:kern w:val="0"/>
                <w:sz w:val="24"/>
                <w:szCs w:val="24"/>
                <w:u w:val="none"/>
                <w:lang w:val="en-US" w:eastAsia="zh-CN" w:bidi="ar"/>
              </w:rPr>
            </w:pPr>
            <w:r>
              <w:rPr>
                <w:rFonts w:hint="eastAsia" w:cs="宋体"/>
                <w:color w:val="auto"/>
                <w:sz w:val="24"/>
                <w:szCs w:val="24"/>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C65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先服务后付款，服务六个月之后支付50%合同款，服务期满后支付余下50%合同款。</w:t>
            </w:r>
          </w:p>
        </w:tc>
      </w:tr>
    </w:tbl>
    <w:p w14:paraId="04EFD61D">
      <w:pPr>
        <w:pStyle w:val="23"/>
        <w:rPr>
          <w:rFonts w:hint="eastAsia" w:ascii="宋体" w:hAnsi="宋体" w:eastAsia="宋体" w:cs="宋体"/>
          <w:color w:val="auto"/>
          <w:highlight w:val="none"/>
        </w:rPr>
      </w:pPr>
    </w:p>
    <w:p w14:paraId="21892DC1">
      <w:pPr>
        <w:jc w:val="center"/>
        <w:outlineLvl w:val="0"/>
        <w:rPr>
          <w:rFonts w:hint="eastAsia" w:ascii="宋体" w:hAnsi="宋体" w:eastAsia="宋体" w:cs="宋体"/>
          <w:b/>
          <w:bCs/>
          <w:color w:val="auto"/>
          <w:sz w:val="32"/>
          <w:szCs w:val="32"/>
          <w:highlight w:val="none"/>
        </w:rPr>
      </w:pPr>
      <w:bookmarkStart w:id="35" w:name="_Toc8501"/>
    </w:p>
    <w:p w14:paraId="5D5BBB24">
      <w:pPr>
        <w:jc w:val="center"/>
        <w:outlineLvl w:val="0"/>
        <w:rPr>
          <w:rFonts w:hint="eastAsia" w:ascii="宋体" w:hAnsi="宋体" w:eastAsia="宋体" w:cs="宋体"/>
          <w:b/>
          <w:bCs/>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423DD72">
      <w:pPr>
        <w:pStyle w:val="3"/>
        <w:rPr>
          <w:rFonts w:hint="eastAsia"/>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21.60万元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21.60</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32D2A1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3.8供应商须是在中华人民共和国境内注册的设备原制造厂商或原制造厂商授权的单位或具备相关设备维修能力的单位（提供证明文件）。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hAnsi="宋体" w:cs="宋体"/>
                <w:b w:val="0"/>
                <w:bCs w:val="0"/>
                <w:color w:val="auto"/>
                <w:sz w:val="24"/>
                <w:szCs w:val="24"/>
                <w:highlight w:val="none"/>
                <w:u w:val="none"/>
                <w:lang w:val="en-US" w:eastAsia="zh-CN"/>
              </w:rPr>
              <w:t>20</w:t>
            </w:r>
            <w:r>
              <w:rPr>
                <w:rFonts w:hint="eastAsia" w:ascii="宋体" w:hAnsi="宋体" w:eastAsia="宋体" w:cs="宋体"/>
                <w:b w:val="0"/>
                <w:bCs w:val="0"/>
                <w:color w:val="auto"/>
                <w:sz w:val="24"/>
                <w:szCs w:val="24"/>
                <w:highlight w:val="none"/>
                <w:u w:val="none"/>
                <w:lang w:val="en-US" w:eastAsia="zh-CN"/>
              </w:rPr>
              <w:t>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技术部分（64分）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1.技术服务响应（36分）</w:t>
            </w:r>
          </w:p>
        </w:tc>
        <w:tc>
          <w:tcPr>
            <w:tcW w:w="6770" w:type="dxa"/>
            <w:noWrap w:val="0"/>
            <w:vAlign w:val="center"/>
          </w:tcPr>
          <w:p w14:paraId="53F1AA18">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根据“第二章 采购需求  二、技术服务要求”进行响应。</w:t>
            </w:r>
          </w:p>
          <w:p w14:paraId="3F56D279">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分，每有一项负偏离在</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分基础上扣4分，扣完为止；若得分为0，则磋商无效。</w:t>
            </w:r>
          </w:p>
          <w:p w14:paraId="029F2BD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1.供应商需如实填写技术响应表，并标注偏离情况。</w:t>
            </w:r>
          </w:p>
          <w:p w14:paraId="1F02076D">
            <w:pPr>
              <w:jc w:val="left"/>
              <w:rPr>
                <w:rFonts w:hint="default" w:eastAsia="宋体"/>
                <w:highlight w:val="none"/>
                <w:lang w:val="en-US" w:eastAsia="zh-CN"/>
              </w:rPr>
            </w:pPr>
            <w:r>
              <w:rPr>
                <w:rFonts w:hint="eastAsia" w:ascii="宋体" w:hAnsi="宋体" w:eastAsia="宋体" w:cs="宋体"/>
                <w:sz w:val="24"/>
                <w:szCs w:val="24"/>
                <w:lang w:val="en-US" w:eastAsia="zh-CN"/>
              </w:rPr>
              <w:t>2.提供相关证明文件。</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4058532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项目需求</w:t>
            </w:r>
          </w:p>
          <w:p w14:paraId="065DD67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tc>
        <w:tc>
          <w:tcPr>
            <w:tcW w:w="6770" w:type="dxa"/>
            <w:noWrap w:val="0"/>
            <w:vAlign w:val="center"/>
          </w:tcPr>
          <w:p w14:paraId="1CE38F89">
            <w:pPr>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应根据本项目的情况提供针对本项目的需求分析</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rPr>
              <w:t>应包含且不限于</w:t>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rPr>
              <w:t>设备每年需要专业维护保养的次数</w:t>
            </w: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rPr>
              <w:t>零备件更换服务</w:t>
            </w: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sz w:val="24"/>
                <w:szCs w:val="24"/>
                <w:lang w:val="en-US" w:eastAsia="zh-CN"/>
              </w:rPr>
              <w:t>培训方案</w:t>
            </w: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售后服务网点</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备件</w:t>
            </w:r>
            <w:r>
              <w:rPr>
                <w:rFonts w:hint="eastAsia" w:asciiTheme="minorEastAsia" w:hAnsiTheme="minorEastAsia" w:eastAsiaTheme="minorEastAsia" w:cstheme="minorEastAsia"/>
                <w:sz w:val="24"/>
                <w:szCs w:val="24"/>
                <w:lang w:eastAsia="zh-CN"/>
              </w:rPr>
              <w:t>库；⑥</w:t>
            </w:r>
            <w:r>
              <w:rPr>
                <w:rFonts w:hint="eastAsia" w:asciiTheme="minorEastAsia" w:hAnsiTheme="minorEastAsia" w:eastAsiaTheme="minorEastAsia" w:cstheme="minorEastAsia"/>
                <w:sz w:val="24"/>
                <w:szCs w:val="24"/>
                <w:lang w:val="en-US" w:eastAsia="zh-CN"/>
              </w:rPr>
              <w:t>提供的实质性增值服务等内容</w:t>
            </w:r>
            <w:r>
              <w:rPr>
                <w:rFonts w:hint="eastAsia" w:asciiTheme="minorEastAsia" w:hAnsiTheme="minorEastAsia" w:eastAsiaTheme="minorEastAsia" w:cstheme="minorEastAsia"/>
                <w:sz w:val="24"/>
                <w:szCs w:val="24"/>
              </w:rPr>
              <w:t>。</w:t>
            </w:r>
          </w:p>
          <w:p w14:paraId="56D09FFB">
            <w:pPr>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提供的需求内容全面详尽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完全满足采购需求</w:t>
            </w:r>
            <w:r>
              <w:rPr>
                <w:rFonts w:hint="eastAsia" w:asciiTheme="minorEastAsia" w:hAnsiTheme="minorEastAsia" w:eastAsiaTheme="minorEastAsia" w:cstheme="minorEastAsia"/>
                <w:sz w:val="24"/>
                <w:szCs w:val="24"/>
              </w:rPr>
              <w:t>的</w:t>
            </w:r>
            <w:r>
              <w:rPr>
                <w:rFonts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ascii="宋体" w:hAnsi="宋体" w:eastAsia="宋体" w:cs="宋体"/>
                <w:sz w:val="24"/>
                <w:szCs w:val="24"/>
              </w:rPr>
              <w:t>分；</w:t>
            </w:r>
          </w:p>
          <w:p w14:paraId="4C8209F1">
            <w:pPr>
              <w:jc w:val="left"/>
              <w:rPr>
                <w:rFonts w:ascii="宋体" w:hAnsi="宋体" w:eastAsia="宋体" w:cs="宋体"/>
                <w:sz w:val="24"/>
                <w:szCs w:val="24"/>
              </w:rPr>
            </w:pPr>
            <w:r>
              <w:rPr>
                <w:rFonts w:ascii="宋体" w:hAnsi="宋体" w:eastAsia="宋体" w:cs="宋体"/>
                <w:sz w:val="24"/>
                <w:szCs w:val="24"/>
              </w:rPr>
              <w:t>投标人提供的需求内容全面不详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基本满足采购需求</w:t>
            </w:r>
            <w:r>
              <w:rPr>
                <w:rFonts w:ascii="宋体" w:hAnsi="宋体" w:eastAsia="宋体" w:cs="宋体"/>
                <w:sz w:val="24"/>
                <w:szCs w:val="24"/>
              </w:rPr>
              <w:t>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70687A0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需求内容有缺项漏项，需求分析有待完善的得4分；</w:t>
            </w:r>
          </w:p>
          <w:p w14:paraId="226F5A50">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需求内容不符合项目实际，难以满足采购需求的得1分。</w:t>
            </w:r>
          </w:p>
          <w:p w14:paraId="240B85A4">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未提供者不得分。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3.年度维保计划（10分）</w:t>
            </w:r>
          </w:p>
        </w:tc>
        <w:tc>
          <w:tcPr>
            <w:tcW w:w="6770" w:type="dxa"/>
            <w:noWrap w:val="0"/>
            <w:vAlign w:val="center"/>
          </w:tcPr>
          <w:p w14:paraId="14A64743">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年度服务</w:t>
            </w:r>
            <w:r>
              <w:rPr>
                <w:rFonts w:hint="eastAsia" w:ascii="宋体" w:hAnsi="宋体" w:eastAsia="宋体" w:cs="宋体"/>
                <w:sz w:val="24"/>
                <w:szCs w:val="24"/>
                <w:lang w:val="en-US" w:eastAsia="zh-CN"/>
              </w:rPr>
              <w:t>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日常巡检计划和巡检内容；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ascii="宋体" w:hAnsi="宋体" w:eastAsia="宋体" w:cs="宋体"/>
                <w:sz w:val="24"/>
                <w:szCs w:val="24"/>
              </w:rPr>
              <w:t>维修/维保报告</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现场维修响应时间</w:t>
            </w:r>
            <w:r>
              <w:rPr>
                <w:rFonts w:ascii="宋体" w:hAnsi="宋体" w:eastAsia="宋体" w:cs="宋体"/>
                <w:sz w:val="24"/>
                <w:szCs w:val="24"/>
              </w:rPr>
              <w:t>等</w:t>
            </w:r>
          </w:p>
          <w:p w14:paraId="1065FB6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eastAsia="宋体" w:cs="宋体"/>
                <w:sz w:val="24"/>
                <w:szCs w:val="24"/>
                <w:lang w:val="en-US" w:eastAsia="zh-CN"/>
              </w:rPr>
              <w:t>10</w:t>
            </w:r>
            <w:r>
              <w:rPr>
                <w:rFonts w:ascii="宋体" w:hAnsi="宋体" w:eastAsia="宋体" w:cs="宋体"/>
                <w:sz w:val="24"/>
                <w:szCs w:val="24"/>
              </w:rPr>
              <w:t>分；</w:t>
            </w:r>
          </w:p>
          <w:p w14:paraId="6775E2D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63CF1F0F">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066FF7E2">
            <w:pPr>
              <w:keepNext w:val="0"/>
              <w:keepLines w:val="0"/>
              <w:pageBreakBefore w:val="0"/>
              <w:widowControl/>
              <w:kinsoku/>
              <w:wordWrap/>
              <w:overflowPunct/>
              <w:topLinePunct w:val="0"/>
              <w:autoSpaceDE/>
              <w:autoSpaceDN/>
              <w:bidi w:val="0"/>
              <w:adjustRightInd/>
              <w:snapToGrid w:val="0"/>
              <w:spacing w:line="320" w:lineRule="exact"/>
              <w:jc w:val="left"/>
              <w:rPr>
                <w:rFonts w:hint="default"/>
                <w:highlight w:val="none"/>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3AD4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312D37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5C484C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rPr>
                <w:rFonts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ascii="宋体" w:hAnsi="宋体" w:eastAsia="宋体" w:cs="宋体"/>
                <w:b w:val="0"/>
                <w:bCs w:val="0"/>
                <w:kern w:val="2"/>
                <w:sz w:val="24"/>
                <w:szCs w:val="24"/>
                <w:lang w:val="en-US" w:eastAsia="zh-CN" w:bidi="ar-SA"/>
              </w:rPr>
              <w:t>维保应急响应方案</w:t>
            </w:r>
          </w:p>
          <w:p w14:paraId="6516B818">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firstLine="240" w:firstLineChars="100"/>
              <w:jc w:val="both"/>
              <w:rPr>
                <w:rFonts w:hint="eastAsia" w:ascii="宋体" w:hAnsi="宋体" w:cs="宋体"/>
                <w:kern w:val="0"/>
                <w:sz w:val="24"/>
                <w:szCs w:val="24"/>
                <w:highlight w:val="none"/>
                <w:lang w:val="en-US" w:eastAsia="zh-CN"/>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34C36B9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提供的设备</w:t>
            </w:r>
            <w:r>
              <w:rPr>
                <w:rFonts w:hint="eastAsia" w:ascii="宋体" w:hAnsi="宋体" w:eastAsia="宋体" w:cs="宋体"/>
                <w:b w:val="0"/>
                <w:bCs w:val="0"/>
                <w:kern w:val="2"/>
                <w:sz w:val="24"/>
                <w:szCs w:val="24"/>
                <w:lang w:val="en-US" w:eastAsia="zh-CN" w:bidi="ar-SA"/>
              </w:rPr>
              <w:t>维保</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（包括但不限于故障、停机等相关措施）进行评分。</w:t>
            </w:r>
          </w:p>
          <w:p w14:paraId="2AC7A73D">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提供的设备维保应急响应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w:t>
            </w:r>
            <w:r>
              <w:rPr>
                <w:rFonts w:hint="eastAsia" w:ascii="宋体" w:hAnsi="宋体" w:cs="宋体"/>
                <w:b w:val="0"/>
                <w:bCs w:val="0"/>
                <w:kern w:val="2"/>
                <w:sz w:val="24"/>
                <w:szCs w:val="24"/>
                <w:lang w:val="en-US" w:eastAsia="zh-CN" w:bidi="ar-SA"/>
              </w:rPr>
              <w:t>6</w:t>
            </w:r>
            <w:r>
              <w:rPr>
                <w:rFonts w:ascii="宋体" w:hAnsi="宋体" w:eastAsia="宋体" w:cs="宋体"/>
                <w:b w:val="0"/>
                <w:bCs w:val="0"/>
                <w:kern w:val="2"/>
                <w:sz w:val="24"/>
                <w:szCs w:val="24"/>
                <w:lang w:val="en-US" w:eastAsia="zh-CN" w:bidi="ar-SA"/>
              </w:rPr>
              <w:t>分；</w:t>
            </w:r>
          </w:p>
          <w:p w14:paraId="006944FE">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提供的方案较科学，内容较详细，较能满足采购需求的得3分；</w:t>
            </w:r>
          </w:p>
          <w:p w14:paraId="6BD19673">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E58EA0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b w:val="0"/>
                <w:bCs w:val="0"/>
                <w:color w:val="auto"/>
                <w:sz w:val="24"/>
                <w:szCs w:val="24"/>
                <w:highlight w:val="none"/>
                <w:lang w:val="en-US" w:eastAsia="zh-CN"/>
              </w:rPr>
            </w:pPr>
            <w:r>
              <w:rPr>
                <w:rFonts w:ascii="宋体" w:hAnsi="宋体" w:eastAsia="宋体" w:cs="宋体"/>
                <w:b w:val="0"/>
                <w:bCs w:val="0"/>
                <w:kern w:val="2"/>
                <w:sz w:val="24"/>
                <w:szCs w:val="24"/>
                <w:lang w:val="en-US" w:eastAsia="zh-CN" w:bidi="ar-SA"/>
              </w:rPr>
              <w:t>未提供者不得分。</w:t>
            </w:r>
          </w:p>
        </w:tc>
      </w:tr>
      <w:tr w14:paraId="56AA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39" w:type="dxa"/>
            <w:vMerge w:val="restart"/>
            <w:noWrap w:val="0"/>
            <w:vAlign w:val="center"/>
          </w:tcPr>
          <w:p w14:paraId="062E72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2FED82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38FF4114">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2"/>
                <w:sz w:val="24"/>
                <w:szCs w:val="24"/>
                <w:lang w:val="en-US" w:eastAsia="zh-CN" w:bidi="ar-SA"/>
              </w:rPr>
              <w:t>1.人员配备方案（</w:t>
            </w:r>
            <w:r>
              <w:rPr>
                <w:rFonts w:hint="eastAsia" w:ascii="宋体" w:hAnsi="宋体" w:cs="宋体"/>
                <w:b w:val="0"/>
                <w:bCs w:val="0"/>
                <w:kern w:val="2"/>
                <w:sz w:val="24"/>
                <w:szCs w:val="24"/>
                <w:lang w:val="en-US" w:eastAsia="zh-CN" w:bidi="ar-SA"/>
              </w:rPr>
              <w:t>10</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4AFC250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r>
              <w:rPr>
                <w:rFonts w:hint="eastAsia" w:ascii="宋体" w:hAnsi="宋体" w:cs="宋体"/>
                <w:b w:val="0"/>
                <w:bCs w:val="0"/>
                <w:kern w:val="2"/>
                <w:sz w:val="24"/>
                <w:szCs w:val="24"/>
                <w:lang w:val="en-US" w:eastAsia="zh-CN" w:bidi="ar-SA"/>
              </w:rPr>
              <w:t>（除固定工程师外）</w:t>
            </w:r>
            <w:r>
              <w:rPr>
                <w:rFonts w:hint="eastAsia" w:ascii="宋体" w:hAnsi="宋体" w:eastAsia="宋体" w:cs="宋体"/>
                <w:b w:val="0"/>
                <w:bCs w:val="0"/>
                <w:kern w:val="2"/>
                <w:sz w:val="24"/>
                <w:szCs w:val="24"/>
                <w:lang w:val="en-US" w:eastAsia="zh-CN" w:bidi="ar-SA"/>
              </w:rPr>
              <w:t>：</w:t>
            </w:r>
          </w:p>
          <w:p w14:paraId="19184D2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人员配备安排合理、专业技术能力强、设备维护经验丰富且持证上岗，能完全满足采购需求的得</w:t>
            </w:r>
            <w:r>
              <w:rPr>
                <w:rFonts w:hint="eastAsia" w:ascii="宋体" w:hAnsi="宋体" w:cs="宋体"/>
                <w:b w:val="0"/>
                <w:bCs w:val="0"/>
                <w:kern w:val="2"/>
                <w:sz w:val="24"/>
                <w:szCs w:val="24"/>
                <w:lang w:val="en-US" w:eastAsia="zh-CN" w:bidi="ar-SA"/>
              </w:rPr>
              <w:t>10</w:t>
            </w:r>
            <w:r>
              <w:rPr>
                <w:rFonts w:hint="eastAsia" w:ascii="宋体" w:hAnsi="宋体" w:eastAsia="宋体" w:cs="宋体"/>
                <w:b w:val="0"/>
                <w:bCs w:val="0"/>
                <w:kern w:val="2"/>
                <w:sz w:val="24"/>
                <w:szCs w:val="24"/>
                <w:lang w:val="en-US" w:eastAsia="zh-CN" w:bidi="ar-SA"/>
              </w:rPr>
              <w:t>分；</w:t>
            </w:r>
          </w:p>
          <w:p w14:paraId="1626901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p w14:paraId="432BA3B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w:t>
            </w:r>
            <w:r>
              <w:rPr>
                <w:rFonts w:hint="eastAsia" w:ascii="宋体" w:hAnsi="宋体" w:cs="宋体"/>
                <w:b w:val="0"/>
                <w:bCs w:val="0"/>
                <w:kern w:val="2"/>
                <w:sz w:val="24"/>
                <w:szCs w:val="24"/>
                <w:lang w:val="en-US" w:eastAsia="zh-CN" w:bidi="ar-SA"/>
              </w:rPr>
              <w:t>的得4分；</w:t>
            </w:r>
          </w:p>
          <w:p w14:paraId="13D03B4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lang w:val="en-US" w:eastAsia="zh-CN" w:bidi="ar-SA"/>
              </w:rPr>
              <w:t>人员配</w:t>
            </w:r>
            <w:r>
              <w:rPr>
                <w:rFonts w:hint="eastAsia" w:ascii="宋体" w:hAnsi="宋体" w:cs="宋体"/>
                <w:b w:val="0"/>
                <w:bCs w:val="0"/>
                <w:kern w:val="2"/>
                <w:sz w:val="24"/>
                <w:szCs w:val="24"/>
                <w:highlight w:val="none"/>
                <w:lang w:val="en-US" w:eastAsia="zh-CN" w:bidi="ar-SA"/>
              </w:rPr>
              <w:t>备及专业水平</w:t>
            </w:r>
            <w:r>
              <w:rPr>
                <w:rFonts w:hint="eastAsia" w:ascii="宋体" w:hAnsi="宋体" w:eastAsia="宋体" w:cs="宋体"/>
                <w:b w:val="0"/>
                <w:bCs w:val="0"/>
                <w:kern w:val="2"/>
                <w:sz w:val="24"/>
                <w:szCs w:val="24"/>
                <w:highlight w:val="none"/>
                <w:lang w:val="en-US" w:eastAsia="zh-CN" w:bidi="ar-SA"/>
              </w:rPr>
              <w:t>难以满足采购需求的得1分；</w:t>
            </w:r>
          </w:p>
          <w:p w14:paraId="13AD29C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未提供不得分。</w:t>
            </w:r>
          </w:p>
          <w:p w14:paraId="75DB250F">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highlight w:val="none"/>
                <w:lang w:val="en-US" w:eastAsia="zh-CN" w:bidi="ar-SA"/>
              </w:rPr>
              <w:t>注：提供人员清单及相关证书</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4D7C9B">
            <w:pPr>
              <w:pStyle w:val="92"/>
              <w:keepNext w:val="0"/>
              <w:keepLines w:val="0"/>
              <w:pageBreakBefore w:val="0"/>
              <w:widowControl w:val="0"/>
              <w:kinsoku/>
              <w:wordWrap/>
              <w:overflowPunct/>
              <w:topLinePunct w:val="0"/>
              <w:autoSpaceDE/>
              <w:autoSpaceDN/>
              <w:bidi w:val="0"/>
              <w:adjustRightInd/>
              <w:snapToGrid/>
              <w:spacing w:before="70" w:line="288" w:lineRule="auto"/>
              <w:ind w:left="113" w:leftChars="0" w:right="255"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w:t>
            </w:r>
            <w:r>
              <w:rPr>
                <w:rFonts w:hint="eastAsia" w:cs="宋体"/>
                <w:color w:val="auto"/>
                <w:kern w:val="2"/>
                <w:sz w:val="24"/>
                <w:szCs w:val="24"/>
                <w:highlight w:val="none"/>
                <w:lang w:val="en-US" w:eastAsia="zh-CN" w:bidi="ar-SA"/>
              </w:rPr>
              <w:t>类似服务业绩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46D9FB5">
      <w:pPr>
        <w:rPr>
          <w:rFonts w:hint="eastAsia" w:ascii="宋体" w:hAnsi="宋体" w:eastAsia="宋体" w:cs="宋体"/>
          <w:b/>
          <w:color w:val="auto"/>
          <w:highlight w:val="none"/>
        </w:rPr>
      </w:pPr>
    </w:p>
    <w:p w14:paraId="6FAD3FD6">
      <w:pPr>
        <w:pStyle w:val="5"/>
        <w:rPr>
          <w:rFonts w:hint="eastAsia" w:ascii="宋体" w:hAnsi="宋体" w:eastAsia="宋体" w:cs="宋体"/>
          <w:b/>
          <w:color w:val="auto"/>
          <w:highlight w:val="none"/>
        </w:rPr>
      </w:pPr>
    </w:p>
    <w:p w14:paraId="3FEC0717">
      <w:pPr>
        <w:rPr>
          <w:rFonts w:hint="eastAsia"/>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bookmarkStart w:id="50" w:name="_Toc28392"/>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744ACADE">
      <w:pPr>
        <w:pStyle w:val="4"/>
        <w:rPr>
          <w:rFonts w:hint="eastAsia"/>
          <w:lang w:eastAsia="zh-CN"/>
        </w:rPr>
      </w:pP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bookmarkEnd w:id="62"/>
    <w:bookmarkEnd w:id="63"/>
    <w:p w14:paraId="74BAF702">
      <w:pPr>
        <w:rPr>
          <w:rFonts w:hint="eastAsia" w:ascii="宋体" w:hAnsi="宋体" w:eastAsia="宋体" w:cs="宋体"/>
          <w:color w:val="auto"/>
          <w:szCs w:val="21"/>
          <w:highlight w:val="red"/>
          <w:u w:val="single"/>
        </w:rPr>
      </w:pPr>
    </w:p>
    <w:p w14:paraId="220BA8D1">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附件4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附件5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附件6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E51B77A">
      <w:pPr>
        <w:pStyle w:val="10"/>
        <w:spacing w:beforeAutospacing="0" w:afterAutospacing="0" w:line="480" w:lineRule="auto"/>
        <w:jc w:val="both"/>
        <w:rPr>
          <w:rFonts w:hint="eastAsia" w:cs="宋体"/>
          <w:b/>
          <w:bCs w:val="0"/>
          <w:color w:val="auto"/>
          <w:sz w:val="24"/>
          <w:szCs w:val="24"/>
          <w:highlight w:val="none"/>
          <w:lang w:val="en-US" w:eastAsia="zh-CN"/>
        </w:rPr>
      </w:pPr>
      <w:bookmarkStart w:id="78" w:name="_Toc17966"/>
    </w:p>
    <w:p w14:paraId="73BDAF7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8.2评分标准中需提供的证明材料</w:t>
      </w:r>
    </w:p>
    <w:p w14:paraId="6FEBA2F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green"/>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8.3</w:t>
      </w:r>
      <w:r>
        <w:rPr>
          <w:rFonts w:cs="Arial" w:asciiTheme="minorEastAsia" w:hAnsiTheme="minorEastAsia"/>
          <w:b/>
          <w:sz w:val="24"/>
          <w:szCs w:val="24"/>
          <w:highlight w:val="none"/>
        </w:rPr>
        <w:t>销售业绩</w:t>
      </w: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2356"/>
        <w:gridCol w:w="2449"/>
        <w:gridCol w:w="2642"/>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284" w:type="pct"/>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335" w:type="pct"/>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440" w:type="pct"/>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392D7448">
            <w:pPr>
              <w:spacing w:before="120"/>
              <w:jc w:val="center"/>
              <w:rPr>
                <w:rFonts w:cs="Arial" w:asciiTheme="minorEastAsia" w:hAnsiTheme="minorEastAsia"/>
                <w:highlight w:val="none"/>
              </w:rPr>
            </w:pPr>
          </w:p>
        </w:tc>
        <w:tc>
          <w:tcPr>
            <w:tcW w:w="1284" w:type="pct"/>
            <w:vAlign w:val="center"/>
          </w:tcPr>
          <w:p w14:paraId="0B354FD7">
            <w:pPr>
              <w:spacing w:before="120"/>
              <w:jc w:val="center"/>
              <w:rPr>
                <w:rFonts w:cs="Arial" w:asciiTheme="minorEastAsia" w:hAnsiTheme="minorEastAsia"/>
                <w:highlight w:val="none"/>
              </w:rPr>
            </w:pPr>
          </w:p>
        </w:tc>
        <w:tc>
          <w:tcPr>
            <w:tcW w:w="1335" w:type="pct"/>
            <w:vAlign w:val="center"/>
          </w:tcPr>
          <w:p w14:paraId="61E60ADA">
            <w:pPr>
              <w:spacing w:before="120"/>
              <w:jc w:val="center"/>
              <w:rPr>
                <w:rFonts w:cs="Arial" w:asciiTheme="minorEastAsia" w:hAnsiTheme="minorEastAsia"/>
                <w:highlight w:val="none"/>
              </w:rPr>
            </w:pPr>
          </w:p>
        </w:tc>
        <w:tc>
          <w:tcPr>
            <w:tcW w:w="1440" w:type="pct"/>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5B8AF551">
            <w:pPr>
              <w:spacing w:before="120"/>
              <w:jc w:val="center"/>
              <w:rPr>
                <w:rFonts w:cs="Arial" w:asciiTheme="minorEastAsia" w:hAnsiTheme="minorEastAsia"/>
                <w:highlight w:val="none"/>
              </w:rPr>
            </w:pPr>
          </w:p>
        </w:tc>
        <w:tc>
          <w:tcPr>
            <w:tcW w:w="1284" w:type="pct"/>
            <w:vAlign w:val="center"/>
          </w:tcPr>
          <w:p w14:paraId="2DA219B5">
            <w:pPr>
              <w:spacing w:before="120"/>
              <w:jc w:val="center"/>
              <w:rPr>
                <w:rFonts w:cs="Arial" w:asciiTheme="minorEastAsia" w:hAnsiTheme="minorEastAsia"/>
                <w:highlight w:val="none"/>
              </w:rPr>
            </w:pPr>
          </w:p>
        </w:tc>
        <w:tc>
          <w:tcPr>
            <w:tcW w:w="1335" w:type="pct"/>
            <w:vAlign w:val="center"/>
          </w:tcPr>
          <w:p w14:paraId="2C3F9359">
            <w:pPr>
              <w:spacing w:before="120"/>
              <w:jc w:val="center"/>
              <w:rPr>
                <w:rFonts w:cs="Arial" w:asciiTheme="minorEastAsia" w:hAnsiTheme="minorEastAsia"/>
                <w:highlight w:val="none"/>
              </w:rPr>
            </w:pPr>
          </w:p>
        </w:tc>
        <w:tc>
          <w:tcPr>
            <w:tcW w:w="1440" w:type="pct"/>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5237FDB6">
            <w:pPr>
              <w:spacing w:before="120"/>
              <w:jc w:val="center"/>
              <w:rPr>
                <w:rFonts w:cs="Arial" w:asciiTheme="minorEastAsia" w:hAnsiTheme="minorEastAsia"/>
                <w:highlight w:val="none"/>
              </w:rPr>
            </w:pPr>
          </w:p>
        </w:tc>
        <w:tc>
          <w:tcPr>
            <w:tcW w:w="1284" w:type="pct"/>
            <w:vAlign w:val="center"/>
          </w:tcPr>
          <w:p w14:paraId="0EC68B0F">
            <w:pPr>
              <w:spacing w:before="120"/>
              <w:jc w:val="center"/>
              <w:rPr>
                <w:rFonts w:cs="Arial" w:asciiTheme="minorEastAsia" w:hAnsiTheme="minorEastAsia"/>
                <w:highlight w:val="none"/>
              </w:rPr>
            </w:pPr>
          </w:p>
        </w:tc>
        <w:tc>
          <w:tcPr>
            <w:tcW w:w="1335" w:type="pct"/>
            <w:vAlign w:val="center"/>
          </w:tcPr>
          <w:p w14:paraId="1A92A840">
            <w:pPr>
              <w:spacing w:before="120"/>
              <w:jc w:val="center"/>
              <w:rPr>
                <w:rFonts w:cs="Arial" w:asciiTheme="minorEastAsia" w:hAnsiTheme="minorEastAsia"/>
                <w:highlight w:val="none"/>
              </w:rPr>
            </w:pPr>
          </w:p>
        </w:tc>
        <w:tc>
          <w:tcPr>
            <w:tcW w:w="1440" w:type="pct"/>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7CBAE2E1">
            <w:pPr>
              <w:spacing w:before="120"/>
              <w:jc w:val="center"/>
              <w:rPr>
                <w:rFonts w:cs="Arial" w:asciiTheme="minorEastAsia" w:hAnsiTheme="minorEastAsia"/>
                <w:highlight w:val="none"/>
              </w:rPr>
            </w:pPr>
          </w:p>
        </w:tc>
        <w:tc>
          <w:tcPr>
            <w:tcW w:w="1284" w:type="pct"/>
            <w:vAlign w:val="center"/>
          </w:tcPr>
          <w:p w14:paraId="1B2F6ED2">
            <w:pPr>
              <w:spacing w:before="120"/>
              <w:jc w:val="center"/>
              <w:rPr>
                <w:rFonts w:cs="Arial" w:asciiTheme="minorEastAsia" w:hAnsiTheme="minorEastAsia"/>
                <w:highlight w:val="none"/>
              </w:rPr>
            </w:pPr>
          </w:p>
        </w:tc>
        <w:tc>
          <w:tcPr>
            <w:tcW w:w="1335" w:type="pct"/>
            <w:vAlign w:val="center"/>
          </w:tcPr>
          <w:p w14:paraId="5A6E5E8B">
            <w:pPr>
              <w:spacing w:before="120"/>
              <w:jc w:val="center"/>
              <w:rPr>
                <w:rFonts w:cs="Arial" w:asciiTheme="minorEastAsia" w:hAnsiTheme="minorEastAsia"/>
                <w:highlight w:val="none"/>
              </w:rPr>
            </w:pPr>
          </w:p>
        </w:tc>
        <w:tc>
          <w:tcPr>
            <w:tcW w:w="1440" w:type="pct"/>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443FA176">
            <w:pPr>
              <w:spacing w:before="120"/>
              <w:jc w:val="center"/>
              <w:rPr>
                <w:rFonts w:cs="Arial" w:asciiTheme="minorEastAsia" w:hAnsiTheme="minorEastAsia"/>
                <w:highlight w:val="none"/>
              </w:rPr>
            </w:pPr>
          </w:p>
        </w:tc>
        <w:tc>
          <w:tcPr>
            <w:tcW w:w="1284" w:type="pct"/>
            <w:vAlign w:val="center"/>
          </w:tcPr>
          <w:p w14:paraId="6EC5F5FE">
            <w:pPr>
              <w:spacing w:before="120"/>
              <w:jc w:val="center"/>
              <w:rPr>
                <w:rFonts w:cs="Arial" w:asciiTheme="minorEastAsia" w:hAnsiTheme="minorEastAsia"/>
                <w:highlight w:val="none"/>
              </w:rPr>
            </w:pPr>
          </w:p>
        </w:tc>
        <w:tc>
          <w:tcPr>
            <w:tcW w:w="1335" w:type="pct"/>
            <w:vAlign w:val="center"/>
          </w:tcPr>
          <w:p w14:paraId="2EE9EADA">
            <w:pPr>
              <w:spacing w:before="120"/>
              <w:jc w:val="center"/>
              <w:rPr>
                <w:rFonts w:cs="Arial" w:asciiTheme="minorEastAsia" w:hAnsiTheme="minorEastAsia"/>
                <w:highlight w:val="none"/>
              </w:rPr>
            </w:pPr>
          </w:p>
        </w:tc>
        <w:tc>
          <w:tcPr>
            <w:tcW w:w="1440" w:type="pct"/>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73627E7B">
            <w:pPr>
              <w:spacing w:before="120"/>
              <w:jc w:val="center"/>
              <w:rPr>
                <w:rFonts w:cs="Arial" w:asciiTheme="minorEastAsia" w:hAnsiTheme="minorEastAsia"/>
                <w:highlight w:val="none"/>
              </w:rPr>
            </w:pPr>
          </w:p>
        </w:tc>
        <w:tc>
          <w:tcPr>
            <w:tcW w:w="1284" w:type="pct"/>
            <w:vAlign w:val="center"/>
          </w:tcPr>
          <w:p w14:paraId="3904317C">
            <w:pPr>
              <w:spacing w:before="120"/>
              <w:jc w:val="center"/>
              <w:rPr>
                <w:rFonts w:cs="Arial" w:asciiTheme="minorEastAsia" w:hAnsiTheme="minorEastAsia"/>
                <w:highlight w:val="none"/>
              </w:rPr>
            </w:pPr>
          </w:p>
        </w:tc>
        <w:tc>
          <w:tcPr>
            <w:tcW w:w="1335" w:type="pct"/>
            <w:vAlign w:val="center"/>
          </w:tcPr>
          <w:p w14:paraId="3797DB3D">
            <w:pPr>
              <w:spacing w:before="120"/>
              <w:jc w:val="center"/>
              <w:rPr>
                <w:rFonts w:cs="Arial" w:asciiTheme="minorEastAsia" w:hAnsiTheme="minorEastAsia"/>
                <w:highlight w:val="none"/>
              </w:rPr>
            </w:pPr>
          </w:p>
        </w:tc>
        <w:tc>
          <w:tcPr>
            <w:tcW w:w="1440" w:type="pct"/>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07DE1F7E">
            <w:pPr>
              <w:spacing w:before="120"/>
              <w:jc w:val="center"/>
              <w:rPr>
                <w:rFonts w:cs="Arial" w:asciiTheme="minorEastAsia" w:hAnsiTheme="minorEastAsia"/>
                <w:highlight w:val="none"/>
              </w:rPr>
            </w:pPr>
          </w:p>
        </w:tc>
        <w:tc>
          <w:tcPr>
            <w:tcW w:w="1284" w:type="pct"/>
            <w:vAlign w:val="center"/>
          </w:tcPr>
          <w:p w14:paraId="1313E78D">
            <w:pPr>
              <w:spacing w:before="120"/>
              <w:jc w:val="center"/>
              <w:rPr>
                <w:rFonts w:cs="Arial" w:asciiTheme="minorEastAsia" w:hAnsiTheme="minorEastAsia"/>
                <w:highlight w:val="none"/>
              </w:rPr>
            </w:pPr>
          </w:p>
        </w:tc>
        <w:tc>
          <w:tcPr>
            <w:tcW w:w="1335" w:type="pct"/>
            <w:vAlign w:val="center"/>
          </w:tcPr>
          <w:p w14:paraId="2E509206">
            <w:pPr>
              <w:spacing w:before="120"/>
              <w:jc w:val="center"/>
              <w:rPr>
                <w:rFonts w:cs="Arial" w:asciiTheme="minorEastAsia" w:hAnsiTheme="minorEastAsia"/>
                <w:highlight w:val="none"/>
              </w:rPr>
            </w:pPr>
          </w:p>
        </w:tc>
        <w:tc>
          <w:tcPr>
            <w:tcW w:w="1440" w:type="pct"/>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vAlign w:val="center"/>
          </w:tcPr>
          <w:p w14:paraId="62B57E21">
            <w:pPr>
              <w:spacing w:before="120"/>
              <w:jc w:val="center"/>
              <w:rPr>
                <w:rFonts w:cs="Arial" w:asciiTheme="minorEastAsia" w:hAnsiTheme="minorEastAsia"/>
                <w:highlight w:val="none"/>
              </w:rPr>
            </w:pPr>
          </w:p>
        </w:tc>
        <w:tc>
          <w:tcPr>
            <w:tcW w:w="1284" w:type="pct"/>
            <w:vAlign w:val="center"/>
          </w:tcPr>
          <w:p w14:paraId="561AB2CF">
            <w:pPr>
              <w:spacing w:before="120"/>
              <w:jc w:val="center"/>
              <w:rPr>
                <w:rFonts w:cs="Arial" w:asciiTheme="minorEastAsia" w:hAnsiTheme="minorEastAsia"/>
                <w:highlight w:val="none"/>
              </w:rPr>
            </w:pPr>
          </w:p>
        </w:tc>
        <w:tc>
          <w:tcPr>
            <w:tcW w:w="1335" w:type="pct"/>
            <w:vAlign w:val="center"/>
          </w:tcPr>
          <w:p w14:paraId="0E56BECE">
            <w:pPr>
              <w:spacing w:before="120"/>
              <w:jc w:val="center"/>
              <w:rPr>
                <w:rFonts w:cs="Arial" w:asciiTheme="minorEastAsia" w:hAnsiTheme="minorEastAsia"/>
                <w:highlight w:val="none"/>
              </w:rPr>
            </w:pPr>
          </w:p>
        </w:tc>
        <w:tc>
          <w:tcPr>
            <w:tcW w:w="1440" w:type="pct"/>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500E3BCD">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35E608E">
      <w:pPr>
        <w:pStyle w:val="10"/>
        <w:spacing w:beforeAutospacing="0" w:afterAutospacing="0" w:line="480" w:lineRule="auto"/>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8.4</w:t>
      </w:r>
      <w:r>
        <w:rPr>
          <w:rFonts w:hint="eastAsia" w:ascii="宋体" w:hAnsi="宋体" w:eastAsia="宋体" w:cs="宋体"/>
          <w:b/>
          <w:bCs w:val="0"/>
          <w:color w:val="auto"/>
          <w:sz w:val="24"/>
          <w:szCs w:val="24"/>
          <w:highlight w:val="none"/>
          <w:lang w:val="en-US" w:eastAsia="zh-CN"/>
        </w:rPr>
        <w:t>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0107F1-5796-4BA9-BABF-96389B1317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06DE1E6-F57C-4E13-908B-A8C3B1D23967}"/>
  </w:font>
  <w:font w:name="仿宋">
    <w:panose1 w:val="02010609060101010101"/>
    <w:charset w:val="86"/>
    <w:family w:val="modern"/>
    <w:pitch w:val="default"/>
    <w:sig w:usb0="800002BF" w:usb1="38CF7CFA" w:usb2="00000016" w:usb3="00000000" w:csb0="00040001" w:csb1="00000000"/>
    <w:embedRegular r:id="rId3" w:fontKey="{D9E055E3-5A02-49DA-8C1F-708DC25C8AB4}"/>
  </w:font>
  <w:font w:name="仿宋_GB2312">
    <w:panose1 w:val="02010609030101010101"/>
    <w:charset w:val="86"/>
    <w:family w:val="auto"/>
    <w:pitch w:val="default"/>
    <w:sig w:usb0="00000001" w:usb1="080E0000" w:usb2="00000000" w:usb3="00000000" w:csb0="00040000" w:csb1="00000000"/>
    <w:embedRegular r:id="rId4" w:fontKey="{EEDB814D-7759-49F4-BEB4-E04F94DC0F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驻马店市中心医院经皮肾镜、输尿管镜等硬镜全保采购项目采购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91D73"/>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A44EF6"/>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8731C"/>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236C88"/>
    <w:rsid w:val="08321601"/>
    <w:rsid w:val="08326375"/>
    <w:rsid w:val="083D5C91"/>
    <w:rsid w:val="0847191F"/>
    <w:rsid w:val="08591DC3"/>
    <w:rsid w:val="085B58CB"/>
    <w:rsid w:val="08634780"/>
    <w:rsid w:val="08672793"/>
    <w:rsid w:val="08695E80"/>
    <w:rsid w:val="087C4541"/>
    <w:rsid w:val="087E5595"/>
    <w:rsid w:val="08955281"/>
    <w:rsid w:val="08AA008A"/>
    <w:rsid w:val="08BC0A60"/>
    <w:rsid w:val="08C52D6F"/>
    <w:rsid w:val="08E42BE4"/>
    <w:rsid w:val="08EB30F3"/>
    <w:rsid w:val="08EF0201"/>
    <w:rsid w:val="08F41DE8"/>
    <w:rsid w:val="093D1475"/>
    <w:rsid w:val="094840A2"/>
    <w:rsid w:val="09491BC8"/>
    <w:rsid w:val="09644C54"/>
    <w:rsid w:val="096F400A"/>
    <w:rsid w:val="09737462"/>
    <w:rsid w:val="098B21E0"/>
    <w:rsid w:val="099156C3"/>
    <w:rsid w:val="099A0675"/>
    <w:rsid w:val="09A33F5B"/>
    <w:rsid w:val="09A53F39"/>
    <w:rsid w:val="09A60E13"/>
    <w:rsid w:val="09A82D92"/>
    <w:rsid w:val="09AB2883"/>
    <w:rsid w:val="09C35E1E"/>
    <w:rsid w:val="09CD0A4B"/>
    <w:rsid w:val="09D206F0"/>
    <w:rsid w:val="09D27E0F"/>
    <w:rsid w:val="0A287A2F"/>
    <w:rsid w:val="0A2E036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0922"/>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BA3508"/>
    <w:rsid w:val="0CC53C5B"/>
    <w:rsid w:val="0CC72121"/>
    <w:rsid w:val="0CD679BD"/>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EF5379F"/>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176D6"/>
    <w:rsid w:val="12CD57F1"/>
    <w:rsid w:val="12CE5941"/>
    <w:rsid w:val="12CE7AFA"/>
    <w:rsid w:val="12D67466"/>
    <w:rsid w:val="13036052"/>
    <w:rsid w:val="13272A5D"/>
    <w:rsid w:val="132A2A6A"/>
    <w:rsid w:val="133B6A25"/>
    <w:rsid w:val="133C40E3"/>
    <w:rsid w:val="133F4BFF"/>
    <w:rsid w:val="13410069"/>
    <w:rsid w:val="13477178"/>
    <w:rsid w:val="13493108"/>
    <w:rsid w:val="134A4EBA"/>
    <w:rsid w:val="1363353B"/>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71FDE"/>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86F39"/>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6133F"/>
    <w:rsid w:val="1BB73AE1"/>
    <w:rsid w:val="1BC7354C"/>
    <w:rsid w:val="1BDA6D68"/>
    <w:rsid w:val="1BF14125"/>
    <w:rsid w:val="1C002CEE"/>
    <w:rsid w:val="1C180F75"/>
    <w:rsid w:val="1C27223D"/>
    <w:rsid w:val="1C2E35CB"/>
    <w:rsid w:val="1C3861F8"/>
    <w:rsid w:val="1C3F2EBE"/>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B775F0"/>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81DCC"/>
    <w:rsid w:val="21D10545"/>
    <w:rsid w:val="21E72B0B"/>
    <w:rsid w:val="21E76A4A"/>
    <w:rsid w:val="21EE607E"/>
    <w:rsid w:val="21F229A5"/>
    <w:rsid w:val="21F66F4C"/>
    <w:rsid w:val="220B1648"/>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0A28"/>
    <w:rsid w:val="22D36C7A"/>
    <w:rsid w:val="22D729A8"/>
    <w:rsid w:val="22D97444"/>
    <w:rsid w:val="22F06957"/>
    <w:rsid w:val="23057681"/>
    <w:rsid w:val="23122833"/>
    <w:rsid w:val="23137077"/>
    <w:rsid w:val="231D4917"/>
    <w:rsid w:val="231F5A1C"/>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07225"/>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26579"/>
    <w:rsid w:val="278A18D2"/>
    <w:rsid w:val="27983FEE"/>
    <w:rsid w:val="27A34941"/>
    <w:rsid w:val="27A97FAA"/>
    <w:rsid w:val="27EE3A7B"/>
    <w:rsid w:val="27FA25B3"/>
    <w:rsid w:val="28033B5E"/>
    <w:rsid w:val="28100029"/>
    <w:rsid w:val="28180C8B"/>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26B02"/>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1536D4"/>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B491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97A69"/>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3FF7C1B"/>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C80195"/>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ED7A3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467AE"/>
    <w:rsid w:val="38BF3388"/>
    <w:rsid w:val="38CA5FD2"/>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30EB6"/>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6615A"/>
    <w:rsid w:val="3DA70690"/>
    <w:rsid w:val="3DB039E8"/>
    <w:rsid w:val="3DB54E0C"/>
    <w:rsid w:val="3DB900C1"/>
    <w:rsid w:val="3DE03BA2"/>
    <w:rsid w:val="3DE51866"/>
    <w:rsid w:val="3DE91725"/>
    <w:rsid w:val="3DF159B1"/>
    <w:rsid w:val="3E135D25"/>
    <w:rsid w:val="3E1A106E"/>
    <w:rsid w:val="3E36303B"/>
    <w:rsid w:val="3E526044"/>
    <w:rsid w:val="3E5C591E"/>
    <w:rsid w:val="3E6C2B3A"/>
    <w:rsid w:val="3E732EBD"/>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AC4683"/>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55E15"/>
    <w:rsid w:val="412A32F8"/>
    <w:rsid w:val="417F433E"/>
    <w:rsid w:val="418A1D66"/>
    <w:rsid w:val="418A4550"/>
    <w:rsid w:val="41923405"/>
    <w:rsid w:val="419C4043"/>
    <w:rsid w:val="41AA4BF2"/>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4F7223"/>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AD0B79"/>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90AEF"/>
    <w:rsid w:val="448E5DEE"/>
    <w:rsid w:val="449C4CC6"/>
    <w:rsid w:val="449E4142"/>
    <w:rsid w:val="44A90BAA"/>
    <w:rsid w:val="44B24A20"/>
    <w:rsid w:val="44BC0BEE"/>
    <w:rsid w:val="44BF6C07"/>
    <w:rsid w:val="44C24001"/>
    <w:rsid w:val="44C55A88"/>
    <w:rsid w:val="44E4666D"/>
    <w:rsid w:val="44FB1C9C"/>
    <w:rsid w:val="45014B29"/>
    <w:rsid w:val="450C05A0"/>
    <w:rsid w:val="451F38BF"/>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527E0"/>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342D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6134BA"/>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2AE7"/>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80780"/>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551C3"/>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060578"/>
    <w:rsid w:val="52287B99"/>
    <w:rsid w:val="52382F2A"/>
    <w:rsid w:val="52386E3D"/>
    <w:rsid w:val="523A7DD1"/>
    <w:rsid w:val="523B7711"/>
    <w:rsid w:val="5271774C"/>
    <w:rsid w:val="527A416D"/>
    <w:rsid w:val="528D5323"/>
    <w:rsid w:val="528D7B65"/>
    <w:rsid w:val="5299416C"/>
    <w:rsid w:val="52AA11D3"/>
    <w:rsid w:val="52DE008D"/>
    <w:rsid w:val="52E977E7"/>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DF5C01"/>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319EE"/>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56929"/>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4AB7"/>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A0F95"/>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2639E"/>
    <w:rsid w:val="5C6519EA"/>
    <w:rsid w:val="5C6715FE"/>
    <w:rsid w:val="5C6F4105"/>
    <w:rsid w:val="5CBB7F6F"/>
    <w:rsid w:val="5CC248CE"/>
    <w:rsid w:val="5CC826A5"/>
    <w:rsid w:val="5CF1327E"/>
    <w:rsid w:val="5D042FB1"/>
    <w:rsid w:val="5D395350"/>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30294"/>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11B2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22E26"/>
    <w:rsid w:val="6CFA6351"/>
    <w:rsid w:val="6CFC3C40"/>
    <w:rsid w:val="6D231231"/>
    <w:rsid w:val="6D266F73"/>
    <w:rsid w:val="6D2F6F7D"/>
    <w:rsid w:val="6D480984"/>
    <w:rsid w:val="6D8079F9"/>
    <w:rsid w:val="6D8754F4"/>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400D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B6821"/>
    <w:rsid w:val="73EE4A6E"/>
    <w:rsid w:val="740E7B10"/>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5F316D9"/>
    <w:rsid w:val="75FE7C2F"/>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91F11"/>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1C017C"/>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D780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3"/>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basedOn w:val="34"/>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11637</Words>
  <Characters>12567</Characters>
  <Lines>50</Lines>
  <Paragraphs>68</Paragraphs>
  <TotalTime>35</TotalTime>
  <ScaleCrop>false</ScaleCrop>
  <LinksUpToDate>false</LinksUpToDate>
  <CharactersWithSpaces>13458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2026-05-27T07:22:31Z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C415228812CF4E25BDA6746084E14380_13</vt:lpwstr>
  </property>
  <property fmtid="{D5CDD505-2E9C-101B-9397-08002B2CF9AE}" pid="4" name="KSOTemplateDocerSaveRecord">
    <vt:lpwstr>eyJoZGlkIjoiYzIwMjRmYTY4OTJhZjc1NTA1MGQwNDc0NzZhNTkwMmUiLCJ1c2VySWQiOiIxNjg0NTc5MjM2In0=</vt:lpwstr>
  </property>
</Properties>
</file>