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pacing w:val="-23"/>
          <w:sz w:val="48"/>
          <w:szCs w:val="48"/>
          <w:highlight w:val="none"/>
          <w:lang w:val="en-US" w:eastAsia="zh-CN"/>
        </w:rPr>
      </w:pPr>
      <w:r>
        <w:rPr>
          <w:rFonts w:hint="eastAsia" w:cs="宋体"/>
          <w:b/>
          <w:bCs/>
          <w:color w:val="auto"/>
          <w:spacing w:val="-23"/>
          <w:sz w:val="48"/>
          <w:szCs w:val="48"/>
          <w:highlight w:val="none"/>
          <w:lang w:val="en-US" w:eastAsia="zh-CN"/>
        </w:rPr>
        <w:t>肺功能仪、六分钟步行试验等医疗设备采购项目C包（二次）</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0"/>
          <w:sz w:val="34"/>
          <w:szCs w:val="34"/>
          <w:highlight w:val="none"/>
          <w:lang w:val="en-US" w:eastAsia="zh-CN"/>
        </w:rPr>
        <w:t>河南省伟信招标管理咨询有限公司</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05</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spacing w:val="-11"/>
          <w:kern w:val="0"/>
          <w:sz w:val="28"/>
          <w:szCs w:val="28"/>
          <w:highlight w:val="none"/>
          <w:u w:val="none"/>
          <w:lang w:val="en-US" w:eastAsia="zh-CN"/>
        </w:rPr>
      </w:pPr>
      <w:r>
        <w:rPr>
          <w:rFonts w:hint="eastAsia" w:ascii="宋体" w:hAnsi="宋体" w:eastAsia="宋体" w:cs="宋体"/>
          <w:b/>
          <w:bCs w:val="0"/>
          <w:color w:val="auto"/>
          <w:spacing w:val="-11"/>
          <w:kern w:val="0"/>
          <w:sz w:val="28"/>
          <w:szCs w:val="28"/>
          <w:highlight w:val="none"/>
          <w:u w:val="none"/>
          <w:lang w:val="en-US" w:eastAsia="zh-CN"/>
        </w:rPr>
        <w:t>驻马店市中心医院</w:t>
      </w:r>
      <w:r>
        <w:rPr>
          <w:rFonts w:hint="eastAsia" w:ascii="宋体" w:hAnsi="宋体" w:cs="宋体"/>
          <w:b/>
          <w:bCs w:val="0"/>
          <w:color w:val="auto"/>
          <w:spacing w:val="-11"/>
          <w:kern w:val="0"/>
          <w:sz w:val="28"/>
          <w:szCs w:val="28"/>
          <w:highlight w:val="none"/>
          <w:u w:val="none"/>
          <w:lang w:val="en-US" w:eastAsia="zh-CN"/>
        </w:rPr>
        <w:t>肺功能仪、六分钟步行试验等医疗设备采购项目C包（二次）</w:t>
      </w:r>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肺功能仪、六分钟步行试验等医疗设备采购项目C包（二次）</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肺功能仪、六分钟步行试验等医疗设备采购项目C包（二次）</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lang w:val="en-US" w:eastAsia="zh-CN"/>
        </w:rPr>
        <w:t>000元</w:t>
      </w:r>
      <w:r>
        <w:rPr>
          <w:rFonts w:hint="eastAsia" w:ascii="宋体" w:hAnsi="宋体" w:cs="宋体"/>
          <w:color w:val="auto"/>
          <w:sz w:val="24"/>
          <w:szCs w:val="24"/>
          <w:highlight w:val="none"/>
          <w:shd w:val="clear" w:color="auto" w:fill="FFFFFF"/>
          <w:lang w:val="en-US" w:eastAsia="zh-CN"/>
        </w:rPr>
        <w:t>；</w:t>
      </w:r>
    </w:p>
    <w:tbl>
      <w:tblPr>
        <w:tblStyle w:val="34"/>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14:paraId="71F8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5DAE9FBE">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14:paraId="1125F9F9">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14:paraId="4CC996EA">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14:paraId="63D57F34">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包预算</w:t>
            </w:r>
          </w:p>
        </w:tc>
        <w:tc>
          <w:tcPr>
            <w:tcW w:w="1481" w:type="dxa"/>
            <w:tcBorders>
              <w:top w:val="single" w:color="auto" w:sz="4" w:space="0"/>
              <w:left w:val="nil"/>
              <w:bottom w:val="single" w:color="auto" w:sz="4" w:space="0"/>
              <w:right w:val="single" w:color="auto" w:sz="4" w:space="0"/>
            </w:tcBorders>
            <w:vAlign w:val="center"/>
          </w:tcPr>
          <w:p w14:paraId="40F52883">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包最高限价</w:t>
            </w:r>
          </w:p>
        </w:tc>
      </w:tr>
      <w:tr w14:paraId="721C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33313858">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C包</w:t>
            </w:r>
          </w:p>
        </w:tc>
        <w:tc>
          <w:tcPr>
            <w:tcW w:w="2853" w:type="dxa"/>
            <w:tcBorders>
              <w:top w:val="single" w:color="auto" w:sz="4" w:space="0"/>
              <w:left w:val="nil"/>
              <w:bottom w:val="single" w:color="auto" w:sz="4" w:space="0"/>
              <w:right w:val="single" w:color="auto" w:sz="4" w:space="0"/>
            </w:tcBorders>
            <w:vAlign w:val="center"/>
          </w:tcPr>
          <w:p w14:paraId="4552F9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负压泵</w:t>
            </w:r>
          </w:p>
        </w:tc>
        <w:tc>
          <w:tcPr>
            <w:tcW w:w="1365" w:type="dxa"/>
            <w:tcBorders>
              <w:top w:val="single" w:color="auto" w:sz="4" w:space="0"/>
              <w:left w:val="nil"/>
              <w:bottom w:val="single" w:color="auto" w:sz="4" w:space="0"/>
              <w:right w:val="single" w:color="auto" w:sz="4" w:space="0"/>
            </w:tcBorders>
            <w:vAlign w:val="center"/>
          </w:tcPr>
          <w:p w14:paraId="386CD70E">
            <w:pPr>
              <w:keepNext w:val="0"/>
              <w:keepLines w:val="0"/>
              <w:pageBreakBefore w:val="0"/>
              <w:widowControl/>
              <w:suppressLineNumbers w:val="0"/>
              <w:kinsoku/>
              <w:overflowPunct/>
              <w:topLinePunct w:val="0"/>
              <w:autoSpaceDE/>
              <w:autoSpaceDN/>
              <w:bidi w:val="0"/>
              <w:spacing w:beforeAutospacing="0" w:line="360" w:lineRule="auto"/>
              <w:jc w:val="center"/>
              <w:textAlignment w:val="center"/>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1台</w:t>
            </w:r>
          </w:p>
        </w:tc>
        <w:tc>
          <w:tcPr>
            <w:tcW w:w="1605" w:type="dxa"/>
            <w:tcBorders>
              <w:top w:val="single" w:color="auto" w:sz="4" w:space="0"/>
              <w:left w:val="nil"/>
              <w:bottom w:val="single" w:color="auto" w:sz="4" w:space="0"/>
              <w:right w:val="single" w:color="auto" w:sz="4" w:space="0"/>
            </w:tcBorders>
            <w:vAlign w:val="center"/>
          </w:tcPr>
          <w:p w14:paraId="4A5867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c>
          <w:tcPr>
            <w:tcW w:w="1481" w:type="dxa"/>
            <w:tcBorders>
              <w:top w:val="single" w:color="auto" w:sz="4" w:space="0"/>
              <w:left w:val="nil"/>
              <w:bottom w:val="single" w:color="auto" w:sz="4" w:space="0"/>
              <w:right w:val="single" w:color="auto" w:sz="4" w:space="0"/>
            </w:tcBorders>
            <w:vAlign w:val="center"/>
          </w:tcPr>
          <w:p w14:paraId="0CB8D3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r>
    </w:tbl>
    <w:p w14:paraId="069AF0E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30643"/>
      <w:bookmarkStart w:id="10" w:name="_Toc23395"/>
      <w:bookmarkStart w:id="11" w:name="_Toc782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08BDA34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时间：202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 xml:space="preserve">14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934027204</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35"/>
      <w:bookmarkStart w:id="15" w:name="_Toc15111"/>
      <w:bookmarkStart w:id="16" w:name="_Toc25869"/>
      <w:bookmarkStart w:id="17"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31928"/>
      <w:bookmarkStart w:id="26" w:name="_Toc16291"/>
      <w:bookmarkStart w:id="27" w:name="_Toc2427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768FD29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2.采购代理机构：河南省伟信招标管理咨询有限公司 </w:t>
      </w:r>
    </w:p>
    <w:p w14:paraId="690F3AB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地址：郑州市郑东新区东风南路与创业路交叉口绿地中心北塔16楼</w:t>
      </w:r>
    </w:p>
    <w:p w14:paraId="2CBFE18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联系人：陈先生</w:t>
      </w:r>
    </w:p>
    <w:p w14:paraId="6292644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肺功能仪、六分钟步行试验等医疗设备采购项目C包（二次）</w:t>
      </w:r>
    </w:p>
    <w:p w14:paraId="3061B2CC">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61E2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90" w:type="dxa"/>
            <w:vAlign w:val="center"/>
          </w:tcPr>
          <w:p w14:paraId="0395933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139" w:type="dxa"/>
            <w:gridSpan w:val="2"/>
            <w:vAlign w:val="center"/>
          </w:tcPr>
          <w:p w14:paraId="21FDB56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eastAsia="zh-CN"/>
              </w:rPr>
              <w:t>设备</w:t>
            </w:r>
            <w:r>
              <w:rPr>
                <w:rFonts w:hint="eastAsia" w:ascii="宋体" w:hAnsi="宋体" w:eastAsia="宋体" w:cs="宋体"/>
                <w:b/>
                <w:bCs/>
                <w:sz w:val="24"/>
                <w:szCs w:val="24"/>
                <w:highlight w:val="none"/>
              </w:rPr>
              <w:t>名称</w:t>
            </w:r>
          </w:p>
        </w:tc>
        <w:tc>
          <w:tcPr>
            <w:tcW w:w="850" w:type="dxa"/>
            <w:vAlign w:val="center"/>
          </w:tcPr>
          <w:p w14:paraId="238FDB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67" w:type="dxa"/>
            <w:vAlign w:val="center"/>
          </w:tcPr>
          <w:p w14:paraId="3C7C768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84" w:type="dxa"/>
            <w:vAlign w:val="center"/>
          </w:tcPr>
          <w:p w14:paraId="0D55788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资金</w:t>
            </w:r>
          </w:p>
          <w:p w14:paraId="4062327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预算</w:t>
            </w:r>
          </w:p>
        </w:tc>
        <w:tc>
          <w:tcPr>
            <w:tcW w:w="1110" w:type="dxa"/>
            <w:vAlign w:val="center"/>
          </w:tcPr>
          <w:p w14:paraId="5DAB425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资金</w:t>
            </w:r>
          </w:p>
          <w:p w14:paraId="0797DB1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性质</w:t>
            </w:r>
          </w:p>
        </w:tc>
        <w:tc>
          <w:tcPr>
            <w:tcW w:w="1245" w:type="dxa"/>
            <w:vAlign w:val="center"/>
          </w:tcPr>
          <w:p w14:paraId="1CB74DE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国产/</w:t>
            </w:r>
          </w:p>
          <w:p w14:paraId="012D0C8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进口</w:t>
            </w: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6575CA1">
            <w:pPr>
              <w:keepNext w:val="0"/>
              <w:keepLines w:val="0"/>
              <w:pageBreakBefore w:val="0"/>
              <w:widowControl/>
              <w:suppressLineNumbers w:val="0"/>
              <w:kinsoku/>
              <w:overflowPunct/>
              <w:topLinePunct w:val="0"/>
              <w:bidi w:val="0"/>
              <w:spacing w:beforeAutospacing="0" w:line="360" w:lineRule="auto"/>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kern w:val="0"/>
                <w:sz w:val="24"/>
                <w:szCs w:val="24"/>
                <w:highlight w:val="none"/>
                <w:shd w:val="clear" w:color="auto" w:fill="FFFFFF"/>
                <w:lang w:val="en-US" w:eastAsia="zh-CN" w:bidi="ar-SA"/>
              </w:rPr>
              <w:t>C包</w:t>
            </w:r>
          </w:p>
        </w:tc>
        <w:tc>
          <w:tcPr>
            <w:tcW w:w="990" w:type="dxa"/>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39" w:type="dxa"/>
            <w:gridSpan w:val="2"/>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负压泵</w:t>
            </w:r>
          </w:p>
        </w:tc>
        <w:tc>
          <w:tcPr>
            <w:tcW w:w="850"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967"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84" w:type="dxa"/>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0000</w:t>
            </w:r>
            <w:r>
              <w:rPr>
                <w:rFonts w:hint="eastAsia" w:ascii="宋体" w:hAnsi="宋体" w:eastAsia="宋体" w:cs="宋体"/>
                <w:sz w:val="24"/>
                <w:szCs w:val="24"/>
                <w:highlight w:val="none"/>
                <w:vertAlign w:val="baseline"/>
                <w:lang w:val="en-US" w:eastAsia="zh-CN"/>
              </w:rPr>
              <w:t>元</w:t>
            </w:r>
          </w:p>
        </w:tc>
        <w:tc>
          <w:tcPr>
            <w:tcW w:w="1110"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接受</w:t>
            </w:r>
            <w:r>
              <w:rPr>
                <w:rFonts w:hint="eastAsia" w:ascii="宋体" w:hAnsi="宋体" w:eastAsia="宋体" w:cs="宋体"/>
                <w:sz w:val="24"/>
                <w:szCs w:val="24"/>
                <w:highlight w:val="none"/>
                <w:vertAlign w:val="baseline"/>
                <w:lang w:val="en-US" w:eastAsia="zh-CN"/>
              </w:rPr>
              <w:t>进口</w:t>
            </w:r>
          </w:p>
        </w:tc>
      </w:tr>
      <w:tr w14:paraId="4349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highlight w:val="none"/>
                <w:vertAlign w:val="baseline"/>
                <w:lang w:val="en-US" w:eastAsia="zh-CN"/>
              </w:rPr>
            </w:pPr>
          </w:p>
        </w:tc>
      </w:tr>
      <w:tr w14:paraId="5C16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highlight w:val="none"/>
                <w:vertAlign w:val="baseline"/>
                <w:lang w:val="en-US" w:eastAsia="zh-CN"/>
              </w:rPr>
            </w:pPr>
          </w:p>
        </w:tc>
      </w:tr>
    </w:tbl>
    <w:p w14:paraId="198F2BAB">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5E342060">
      <w:pPr>
        <w:numPr>
          <w:ilvl w:val="0"/>
          <w:numId w:val="0"/>
        </w:numPr>
        <w:spacing w:line="192" w:lineRule="auto"/>
        <w:rPr>
          <w:rFonts w:hint="eastAsia" w:ascii="宋体" w:hAnsi="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3BCC718C">
      <w:pPr>
        <w:pStyle w:val="24"/>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color w:val="FF0000"/>
          <w:sz w:val="32"/>
          <w:szCs w:val="32"/>
          <w:highlight w:val="none"/>
          <w:lang w:val="en-US" w:eastAsia="zh-CN"/>
        </w:rPr>
      </w:pPr>
      <w:r>
        <w:rPr>
          <w:rFonts w:hint="eastAsia" w:ascii="宋体" w:hAnsi="宋体" w:eastAsia="宋体" w:cs="宋体"/>
          <w:b/>
          <w:bCs/>
          <w:sz w:val="32"/>
          <w:szCs w:val="32"/>
          <w:highlight w:val="none"/>
          <w:lang w:val="en-US" w:eastAsia="zh-CN"/>
        </w:rPr>
        <w:t>C包:</w:t>
      </w:r>
      <w:r>
        <w:rPr>
          <w:rFonts w:hint="eastAsia" w:ascii="宋体" w:hAnsi="宋体" w:eastAsia="宋体" w:cs="宋体"/>
          <w:b/>
          <w:bCs/>
          <w:sz w:val="32"/>
          <w:szCs w:val="32"/>
          <w:highlight w:val="none"/>
          <w:vertAlign w:val="baseline"/>
          <w:lang w:val="en-US" w:eastAsia="zh-CN"/>
        </w:rPr>
        <w:t>负压泵技术参数</w:t>
      </w:r>
    </w:p>
    <w:p w14:paraId="6F719A2E">
      <w:pPr>
        <w:pStyle w:val="24"/>
        <w:pageBreakBefore w:val="0"/>
        <w:widowControl w:val="0"/>
        <w:kinsoku/>
        <w:wordWrap/>
        <w:overflowPunct/>
        <w:topLinePunct w:val="0"/>
        <w:autoSpaceDE/>
        <w:autoSpaceDN/>
        <w:bidi w:val="0"/>
        <w:spacing w:line="288" w:lineRule="auto"/>
        <w:textAlignment w:val="auto"/>
        <w:rPr>
          <w:rFonts w:hint="eastAsia" w:ascii="宋体" w:hAnsi="宋体" w:eastAsia="宋体" w:cs="宋体"/>
          <w:color w:val="FF0000"/>
          <w:highlight w:val="none"/>
          <w:lang w:val="en-US" w:eastAsia="zh-CN"/>
        </w:rPr>
      </w:pPr>
    </w:p>
    <w:p w14:paraId="5C75A1F5">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真空范围：</w:t>
      </w:r>
      <w:r>
        <w:rPr>
          <w:rFonts w:hint="eastAsia" w:ascii="宋体" w:hAnsi="宋体" w:eastAsia="宋体" w:cs="宋体"/>
          <w:sz w:val="24"/>
          <w:highlight w:val="none"/>
          <w:lang w:val="en-US" w:eastAsia="zh-CN"/>
        </w:rPr>
        <w:t>-10mmHg到-500mmHg（1mmHg调节梯度），-1.0kPa到-67.0kPa（0.1kPa调节梯度）；</w:t>
      </w:r>
    </w:p>
    <w:p w14:paraId="47BABFF2">
      <w:pPr>
        <w:pageBreakBefore w:val="0"/>
        <w:widowControl w:val="0"/>
        <w:numPr>
          <w:ilvl w:val="0"/>
          <w:numId w:val="0"/>
        </w:numPr>
        <w:shd w:val="clear" w:color="auto" w:fill="auto"/>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真空度极值：-5</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0mmHg</w:t>
      </w:r>
    </w:p>
    <w:p w14:paraId="6E8B4830">
      <w:pPr>
        <w:pageBreakBefore w:val="0"/>
        <w:widowControl w:val="0"/>
        <w:numPr>
          <w:ilvl w:val="0"/>
          <w:numId w:val="0"/>
        </w:numPr>
        <w:shd w:val="clear" w:color="auto" w:fill="auto"/>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负压增减最小单位：1mmHg</w:t>
      </w:r>
    </w:p>
    <w:p w14:paraId="305CCC39">
      <w:pPr>
        <w:pageBreakBefore w:val="0"/>
        <w:widowControl w:val="0"/>
        <w:numPr>
          <w:ilvl w:val="0"/>
          <w:numId w:val="0"/>
        </w:numPr>
        <w:shd w:val="clear" w:color="auto" w:fill="auto"/>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真空精确范围：±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mmHg（±0.</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kPa）</w:t>
      </w:r>
    </w:p>
    <w:p w14:paraId="321A910B">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运行噪音：0-15分贝</w:t>
      </w:r>
    </w:p>
    <w:p w14:paraId="23F5C6C3">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工作音量调节：分0/1/2/3四档可调音量</w:t>
      </w:r>
    </w:p>
    <w:p w14:paraId="645A6D85">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过滤系统：系统含内置与外置两套过滤系统（须同时使用）</w:t>
      </w:r>
    </w:p>
    <w:p w14:paraId="3547C329">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工作模式：分点动式与连续式两种类型（可切换）</w:t>
      </w:r>
    </w:p>
    <w:p w14:paraId="421ECA80">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防电击保护级别：B型（欧标）</w:t>
      </w:r>
      <w:r>
        <w:rPr>
          <w:rFonts w:hint="eastAsia" w:ascii="宋体" w:hAnsi="宋体" w:eastAsia="宋体" w:cs="宋体"/>
          <w:sz w:val="24"/>
          <w:highlight w:val="none"/>
          <w:lang w:eastAsia="zh-CN"/>
        </w:rPr>
        <w:t>或国标</w:t>
      </w:r>
      <w:r>
        <w:rPr>
          <w:rFonts w:hint="eastAsia" w:ascii="宋体" w:hAnsi="宋体" w:eastAsia="宋体" w:cs="宋体"/>
          <w:sz w:val="24"/>
          <w:highlight w:val="none"/>
          <w:lang w:val="en-US" w:eastAsia="zh-CN"/>
        </w:rPr>
        <w:t>II类</w:t>
      </w:r>
    </w:p>
    <w:p w14:paraId="24F698B6">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防水级别：IP41</w:t>
      </w:r>
    </w:p>
    <w:p w14:paraId="36C7CBE4">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适用电压：100-240V</w:t>
      </w:r>
    </w:p>
    <w:p w14:paraId="5C0E5B5B">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最大功率：60 VA</w:t>
      </w:r>
    </w:p>
    <w:p w14:paraId="3F756EBF">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设备尺寸：≤200mm(宽)*≤100mm(高)*≤350mm(长)</w:t>
      </w:r>
    </w:p>
    <w:p w14:paraId="7A090FD5">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rPr>
        <w:t>使用环境温度：+5℃到+35℃</w:t>
      </w:r>
    </w:p>
    <w:p w14:paraId="3CCDD952">
      <w:pPr>
        <w:pageBreakBefore w:val="0"/>
        <w:widowControl w:val="0"/>
        <w:numPr>
          <w:ilvl w:val="0"/>
          <w:numId w:val="0"/>
        </w:numPr>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15.</w:t>
      </w:r>
      <w:r>
        <w:rPr>
          <w:rFonts w:hint="eastAsia" w:ascii="宋体" w:hAnsi="宋体" w:eastAsia="宋体" w:cs="宋体"/>
          <w:sz w:val="24"/>
          <w:highlight w:val="none"/>
        </w:rPr>
        <w:t>其他：1）带一键冲洗按键（用于疏通取卵针堵塞）；</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2）全部按键为防水电容按键；</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3）脚踏开关为防水设计，可直接水洗；</w:t>
      </w:r>
      <w:r>
        <w:rPr>
          <w:rFonts w:hint="eastAsia" w:ascii="宋体" w:hAnsi="宋体" w:eastAsia="宋体" w:cs="宋体"/>
          <w:sz w:val="24"/>
          <w:highlight w:val="none"/>
        </w:rPr>
        <w:br w:type="textWrapping"/>
      </w:r>
      <w:r>
        <w:rPr>
          <w:rFonts w:hint="eastAsia" w:ascii="宋体" w:hAnsi="宋体" w:eastAsia="宋体" w:cs="宋体"/>
          <w:sz w:val="24"/>
          <w:highlight w:val="none"/>
        </w:rPr>
        <w:t xml:space="preserve">      4）通过自配连接管可与各型取卵针直接连接。</w:t>
      </w:r>
    </w:p>
    <w:p w14:paraId="6A91F8E3">
      <w:pPr>
        <w:pStyle w:val="8"/>
        <w:pageBreakBefore w:val="0"/>
        <w:widowControl w:val="0"/>
        <w:kinsoku/>
        <w:wordWrap/>
        <w:overflowPunct/>
        <w:topLinePunct w:val="0"/>
        <w:autoSpaceDE/>
        <w:autoSpaceDN/>
        <w:bidi w:val="0"/>
        <w:spacing w:before="0" w:after="0" w:line="288" w:lineRule="auto"/>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配置清单（包含但不限于）</w:t>
      </w:r>
    </w:p>
    <w:p w14:paraId="6602CA1B">
      <w:pPr>
        <w:pageBreakBefore w:val="0"/>
        <w:widowControl w:val="0"/>
        <w:tabs>
          <w:tab w:val="left" w:pos="1134"/>
        </w:tabs>
        <w:kinsoku/>
        <w:wordWrap/>
        <w:overflowPunct/>
        <w:topLinePunct w:val="0"/>
        <w:autoSpaceDE/>
        <w:autoSpaceDN/>
        <w:bidi w:val="0"/>
        <w:adjustRightInd w:val="0"/>
        <w:snapToGrid w:val="0"/>
        <w:spacing w:line="288" w:lineRule="auto"/>
        <w:textAlignment w:val="auto"/>
        <w:rPr>
          <w:rFonts w:hint="eastAsia" w:ascii="宋体" w:hAnsi="宋体" w:eastAsia="宋体" w:cs="宋体"/>
          <w:b/>
          <w:color w:val="auto"/>
          <w:spacing w:val="0"/>
          <w:position w:val="0"/>
          <w:sz w:val="36"/>
          <w:highlight w:val="none"/>
          <w:shd w:val="clear" w:color="auto" w:fill="auto"/>
          <w:lang w:val="en-US" w:eastAsia="zh-CN"/>
        </w:rPr>
      </w:pPr>
      <w:r>
        <w:rPr>
          <w:rFonts w:hint="eastAsia" w:ascii="宋体" w:hAnsi="宋体" w:eastAsia="宋体" w:cs="宋体"/>
          <w:sz w:val="24"/>
          <w:highlight w:val="none"/>
        </w:rPr>
        <w:t>负压泵、一次性使用负压管（连接管）</w:t>
      </w:r>
      <w:r>
        <w:rPr>
          <w:rFonts w:hint="eastAsia" w:ascii="宋体" w:hAnsi="宋体" w:eastAsia="宋体" w:cs="宋体"/>
          <w:sz w:val="24"/>
          <w:highlight w:val="none"/>
          <w:lang w:eastAsia="zh-CN"/>
        </w:rPr>
        <w:t>、</w:t>
      </w:r>
      <w:r>
        <w:rPr>
          <w:rFonts w:hint="eastAsia" w:ascii="宋体" w:hAnsi="宋体" w:eastAsia="宋体" w:cs="宋体"/>
          <w:sz w:val="24"/>
          <w:highlight w:val="none"/>
        </w:rPr>
        <w:t>过滤器、脚踏开关</w:t>
      </w:r>
      <w:r>
        <w:rPr>
          <w:rFonts w:hint="eastAsia" w:ascii="宋体" w:hAnsi="宋体" w:eastAsia="宋体" w:cs="宋体"/>
          <w:sz w:val="24"/>
          <w:highlight w:val="none"/>
          <w:lang w:eastAsia="zh-CN"/>
        </w:rPr>
        <w:t>、</w:t>
      </w:r>
      <w:r>
        <w:rPr>
          <w:rFonts w:hint="eastAsia" w:ascii="宋体" w:hAnsi="宋体" w:eastAsia="宋体" w:cs="宋体"/>
          <w:sz w:val="24"/>
          <w:highlight w:val="none"/>
        </w:rPr>
        <w:t>电源线。</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C1BC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5D00C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        </w:t>
            </w:r>
          </w:p>
        </w:tc>
      </w:tr>
      <w:tr w14:paraId="5C148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E8F1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182B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61FA94">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w:t>
            </w:r>
            <w:r>
              <w:rPr>
                <w:rFonts w:hint="eastAsia" w:ascii="宋体" w:hAnsi="宋体" w:eastAsia="宋体" w:cs="宋体"/>
                <w:kern w:val="2"/>
                <w:sz w:val="21"/>
                <w:szCs w:val="21"/>
                <w:highlight w:val="none"/>
                <w:lang w:val="en-US" w:eastAsia="zh-CN"/>
              </w:rPr>
              <w:t>保</w:t>
            </w:r>
            <w:r>
              <w:rPr>
                <w:rFonts w:hint="eastAsia" w:ascii="宋体" w:hAnsi="宋体" w:eastAsia="宋体" w:cs="宋体"/>
                <w:kern w:val="2"/>
                <w:sz w:val="21"/>
                <w:szCs w:val="21"/>
                <w:highlight w:val="none"/>
              </w:rPr>
              <w:t>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572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514F2B">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108CBB">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1083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83792B">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cs="宋体"/>
                <w:kern w:val="2"/>
                <w:sz w:val="21"/>
                <w:szCs w:val="21"/>
                <w:highlight w:val="none"/>
                <w:lang w:val="en-US" w:eastAsia="zh-CN"/>
              </w:rPr>
              <w:t>1.</w:t>
            </w: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144B000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cs="宋体"/>
                <w:kern w:val="2"/>
                <w:sz w:val="21"/>
                <w:szCs w:val="21"/>
                <w:highlight w:val="none"/>
                <w:lang w:val="en-US" w:eastAsia="zh-CN"/>
              </w:rPr>
              <w:t>2.</w:t>
            </w:r>
            <w:r>
              <w:rPr>
                <w:rFonts w:hint="eastAsia" w:ascii="宋体" w:hAnsi="宋体" w:eastAsia="宋体" w:cs="宋体"/>
                <w:kern w:val="2"/>
                <w:sz w:val="21"/>
                <w:szCs w:val="21"/>
                <w:highlight w:val="none"/>
                <w:lang w:val="en-US" w:eastAsia="zh-CN"/>
              </w:rPr>
              <w:t>所有设备按照医院实际要求免费开放端口，免费为医院对接院内信息系统。质保期内免费进行软件升级。</w:t>
            </w:r>
          </w:p>
        </w:tc>
      </w:tr>
      <w:tr w14:paraId="71B3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736E47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57A2F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15D">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7B454B87">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3DA35D5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C6040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205000</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:C包：5</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000元。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 w:val="24"/>
          <w:szCs w:val="24"/>
          <w:highlight w:val="none"/>
          <w:shd w:val="clear" w:color="auto" w:fill="FFFFFF"/>
          <w:lang w:val="en-US" w:eastAsia="zh-CN"/>
        </w:rPr>
        <w:t>。</w:t>
      </w:r>
    </w:p>
    <w:p w14:paraId="2921A74C">
      <w:pPr>
        <w:rPr>
          <w:rFonts w:hint="eastAsia"/>
          <w:sz w:val="24"/>
          <w:szCs w:val="24"/>
          <w:highlight w:val="none"/>
          <w:lang w:val="en-US" w:eastAsia="zh-CN"/>
        </w:rPr>
      </w:pP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40A9CBE9">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14:paraId="05CD0826">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C包评分标准：</w:t>
      </w:r>
      <w:bookmarkEnd w:id="37"/>
      <w:bookmarkStart w:id="39" w:name="_Toc11904"/>
      <w:bookmarkStart w:id="40" w:name="_Toc1482"/>
      <w:bookmarkStart w:id="41" w:name="_Toc1947"/>
      <w:bookmarkStart w:id="42" w:name="_Toc326786897"/>
      <w:bookmarkStart w:id="43" w:name="_Toc256519703"/>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BE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4A258AA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3E05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6CC3E73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2FE354B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7E6F9AB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0CB0846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08F6AF02">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5DC9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5975AD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64EFE47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223DB4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分，技术参数有一项不满足的扣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分；扣完为止，如得分为0，则磋商无效。 </w:t>
            </w:r>
          </w:p>
          <w:p w14:paraId="190A9EA9">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14413379">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130BF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AF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3D0C8CA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71F8F5D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2FC23990">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6F850377">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07BDD4D5">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54ABDBDE">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0993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2B20E8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3D75A02F">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43D3ED70">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4E7D0707">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4E774A70">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629A32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1E01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2EC06D5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2FFA57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5810EB7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3D18248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75F89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0CF108B">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44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03FAEA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7369240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C4A54D1">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6834E256">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73F3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4C94BF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1BF49F4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3C96039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E0C4FF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3E3CBE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12B9A4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601FDF54">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17C10FB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5245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550E54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2793C2A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5BB6A35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268889E6">
      <w:pPr>
        <w:rPr>
          <w:rFonts w:hint="eastAsia" w:ascii="宋体" w:hAnsi="宋体" w:eastAsia="宋体" w:cs="宋体"/>
          <w:color w:val="auto"/>
          <w:sz w:val="28"/>
          <w:szCs w:val="28"/>
          <w:highlight w:val="none"/>
        </w:rPr>
      </w:pPr>
    </w:p>
    <w:p w14:paraId="74DAB26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驻马店市中心医院肺功能仪、六分钟步行试验等医疗设备采购项目</w:t>
      </w:r>
    </w:p>
    <w:p w14:paraId="1C355065">
      <w:pPr>
        <w:snapToGrid w:val="0"/>
        <w:spacing w:line="360" w:lineRule="auto"/>
        <w:jc w:val="center"/>
        <w:rPr>
          <w:rFonts w:hint="eastAsia" w:ascii="宋体" w:hAnsi="宋体" w:eastAsia="宋体" w:cs="宋体"/>
          <w:b/>
          <w:color w:val="auto"/>
          <w:spacing w:val="90"/>
          <w:sz w:val="52"/>
          <w:szCs w:val="52"/>
          <w:highlight w:val="none"/>
          <w:u w:val="none"/>
        </w:rPr>
      </w:pPr>
      <w:r>
        <w:rPr>
          <w:rFonts w:hint="eastAsia" w:ascii="宋体" w:hAnsi="宋体" w:cs="宋体"/>
          <w:b/>
          <w:snapToGrid w:val="0"/>
          <w:color w:val="auto"/>
          <w:spacing w:val="0"/>
          <w:kern w:val="0"/>
          <w:sz w:val="36"/>
          <w:szCs w:val="36"/>
          <w:highlight w:val="none"/>
          <w:u w:val="none"/>
          <w:lang w:val="en-US" w:eastAsia="zh-CN"/>
        </w:rPr>
        <w:t>C包负压泵（二次）</w:t>
      </w:r>
    </w:p>
    <w:p w14:paraId="18A04627">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69F0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14BD1D23">
            <w:pPr>
              <w:widowControl/>
              <w:snapToGrid w:val="0"/>
              <w:spacing w:before="50" w:after="5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包号</w:t>
            </w:r>
          </w:p>
        </w:tc>
        <w:tc>
          <w:tcPr>
            <w:tcW w:w="7708" w:type="dxa"/>
            <w:noWrap/>
            <w:vAlign w:val="center"/>
          </w:tcPr>
          <w:p w14:paraId="42833F38">
            <w:pPr>
              <w:rPr>
                <w:rFonts w:hint="eastAsia" w:ascii="宋体" w:hAnsi="宋体" w:eastAsia="宋体" w:cs="宋体"/>
                <w:color w:val="auto"/>
                <w:sz w:val="24"/>
                <w:szCs w:val="24"/>
                <w:highlight w:val="none"/>
              </w:rPr>
            </w:pPr>
          </w:p>
        </w:tc>
      </w:tr>
      <w:tr w14:paraId="5B9A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1A541D10">
            <w:pPr>
              <w:widowControl/>
              <w:snapToGrid w:val="0"/>
              <w:spacing w:before="50" w:after="5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包名称</w:t>
            </w:r>
          </w:p>
        </w:tc>
        <w:tc>
          <w:tcPr>
            <w:tcW w:w="7708" w:type="dxa"/>
            <w:noWrap/>
            <w:vAlign w:val="center"/>
          </w:tcPr>
          <w:p w14:paraId="2FA4529E">
            <w:pPr>
              <w:rPr>
                <w:rFonts w:hint="eastAsia" w:ascii="宋体" w:hAnsi="宋体" w:eastAsia="宋体" w:cs="宋体"/>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使用年限</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4" w:name="_Toc226"/>
      <w:bookmarkStart w:id="65"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FF0000"/>
                <w:sz w:val="21"/>
                <w:szCs w:val="21"/>
                <w:highlight w:val="none"/>
                <w:lang w:val="en-US" w:eastAsia="zh-CN"/>
              </w:rPr>
              <w:t>（每条参数需做显著标记）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90B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221DFC9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shd w:val="clear" w:color="auto" w:fill="auto"/>
            <w:noWrap w:val="0"/>
            <w:vAlign w:val="center"/>
          </w:tcPr>
          <w:p w14:paraId="0AD59063">
            <w:pPr>
              <w:pStyle w:val="7"/>
              <w:spacing w:line="36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其他要求</w:t>
            </w:r>
          </w:p>
        </w:tc>
        <w:tc>
          <w:tcPr>
            <w:tcW w:w="2198" w:type="dxa"/>
            <w:noWrap w:val="0"/>
            <w:vAlign w:val="center"/>
          </w:tcPr>
          <w:p w14:paraId="7191E3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F1144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A697D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7EE0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40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F79CC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EC35075">
            <w:pPr>
              <w:pStyle w:val="7"/>
              <w:ind w:left="0" w:leftChars="0"/>
              <w:jc w:val="center"/>
              <w:rPr>
                <w:rFonts w:hint="eastAsia" w:ascii="宋体" w:hAnsi="宋体" w:eastAsia="宋体" w:cs="宋体"/>
                <w:color w:val="auto"/>
                <w:sz w:val="21"/>
                <w:szCs w:val="21"/>
                <w:highlight w:val="none"/>
              </w:rPr>
            </w:pPr>
            <w:r>
              <w:rPr>
                <w:rFonts w:hint="eastAsia" w:cs="宋体"/>
                <w:color w:val="auto"/>
                <w:kern w:val="0"/>
                <w:sz w:val="21"/>
                <w:szCs w:val="21"/>
                <w:highlight w:val="none"/>
                <w:lang w:val="en-US" w:eastAsia="zh-CN" w:bidi="ar-SA"/>
              </w:rPr>
              <w:t>...</w:t>
            </w:r>
          </w:p>
        </w:tc>
        <w:tc>
          <w:tcPr>
            <w:tcW w:w="2198" w:type="dxa"/>
            <w:noWrap w:val="0"/>
            <w:vAlign w:val="center"/>
          </w:tcPr>
          <w:p w14:paraId="251102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C3A4B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7CA9B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E3381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DD64557">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投标产品技术参数证明资料：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540" w:firstLineChars="224"/>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5D55BF54">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9D3349-6952-411B-9809-6E38065B492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0A391C55-8F9E-44B9-81A8-D99E2E4D97EF}"/>
  </w:font>
  <w:font w:name="仿宋_GB2312">
    <w:panose1 w:val="02010609030101010101"/>
    <w:charset w:val="86"/>
    <w:family w:val="auto"/>
    <w:pitch w:val="default"/>
    <w:sig w:usb0="00000001" w:usb1="080E0000" w:usb2="00000000" w:usb3="00000000" w:csb0="00040000" w:csb1="00000000"/>
    <w:embedRegular r:id="rId3" w:fontKey="{DE90475F-D0D8-4350-AFCC-466939392F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驻马店市中心医院肺功能仪、六分钟步行试验等医疗设备采购项目C包（二次）采购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1578E"/>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050EB"/>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9314BF"/>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E85A7D"/>
    <w:rsid w:val="12010480"/>
    <w:rsid w:val="12062D4C"/>
    <w:rsid w:val="120E707F"/>
    <w:rsid w:val="121D0051"/>
    <w:rsid w:val="12413D84"/>
    <w:rsid w:val="126D16E4"/>
    <w:rsid w:val="127A7D1C"/>
    <w:rsid w:val="12836D8B"/>
    <w:rsid w:val="12993BC0"/>
    <w:rsid w:val="12AB0349"/>
    <w:rsid w:val="12B66520"/>
    <w:rsid w:val="12CB18A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071DE0"/>
    <w:rsid w:val="161517B0"/>
    <w:rsid w:val="161D09ED"/>
    <w:rsid w:val="162323A3"/>
    <w:rsid w:val="162F30B1"/>
    <w:rsid w:val="1650762F"/>
    <w:rsid w:val="16510F12"/>
    <w:rsid w:val="166448F9"/>
    <w:rsid w:val="1677211D"/>
    <w:rsid w:val="16774218"/>
    <w:rsid w:val="167954F9"/>
    <w:rsid w:val="169311EC"/>
    <w:rsid w:val="16985F3D"/>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84FDC"/>
    <w:rsid w:val="17FA6EAF"/>
    <w:rsid w:val="18097740"/>
    <w:rsid w:val="18136133"/>
    <w:rsid w:val="184055B9"/>
    <w:rsid w:val="184A2082"/>
    <w:rsid w:val="185A16FC"/>
    <w:rsid w:val="185D3C42"/>
    <w:rsid w:val="185F38AF"/>
    <w:rsid w:val="1873656D"/>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4196D"/>
    <w:rsid w:val="20784063"/>
    <w:rsid w:val="207E346A"/>
    <w:rsid w:val="208B04A1"/>
    <w:rsid w:val="208E12C3"/>
    <w:rsid w:val="209502A3"/>
    <w:rsid w:val="20EA3839"/>
    <w:rsid w:val="2100305C"/>
    <w:rsid w:val="210F579E"/>
    <w:rsid w:val="21163FF0"/>
    <w:rsid w:val="211B39F2"/>
    <w:rsid w:val="21224762"/>
    <w:rsid w:val="212270F6"/>
    <w:rsid w:val="212550B5"/>
    <w:rsid w:val="214B23BE"/>
    <w:rsid w:val="21592B62"/>
    <w:rsid w:val="2172049B"/>
    <w:rsid w:val="21747CD2"/>
    <w:rsid w:val="21776AC1"/>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2510B6"/>
    <w:rsid w:val="274E2228"/>
    <w:rsid w:val="27506E63"/>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1279E"/>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46E87"/>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B43D35"/>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9E21B9"/>
    <w:rsid w:val="2CA25191"/>
    <w:rsid w:val="2CAC022C"/>
    <w:rsid w:val="2CC11807"/>
    <w:rsid w:val="2CC66CD6"/>
    <w:rsid w:val="2CE327BC"/>
    <w:rsid w:val="2CF16074"/>
    <w:rsid w:val="2CF81D1B"/>
    <w:rsid w:val="2D3F2453"/>
    <w:rsid w:val="2D4743E0"/>
    <w:rsid w:val="2D536CB5"/>
    <w:rsid w:val="2D58183B"/>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A4A58"/>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2B649F"/>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C08C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9E3651"/>
    <w:rsid w:val="3EB61473"/>
    <w:rsid w:val="3EC66011"/>
    <w:rsid w:val="3ECD4126"/>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4FE20A2"/>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20DC1"/>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D949B5"/>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311DF"/>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AFF16B3"/>
    <w:rsid w:val="5B110CC9"/>
    <w:rsid w:val="5B136165"/>
    <w:rsid w:val="5B1851F5"/>
    <w:rsid w:val="5B1F7B5D"/>
    <w:rsid w:val="5B24736C"/>
    <w:rsid w:val="5B585171"/>
    <w:rsid w:val="5B585B78"/>
    <w:rsid w:val="5B6C20C1"/>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132B5"/>
    <w:rsid w:val="5F7811D3"/>
    <w:rsid w:val="5F9A65E6"/>
    <w:rsid w:val="5F9B2627"/>
    <w:rsid w:val="5FA66B60"/>
    <w:rsid w:val="5FAC7B1F"/>
    <w:rsid w:val="5FB5266F"/>
    <w:rsid w:val="5FB80E3D"/>
    <w:rsid w:val="5FB831B4"/>
    <w:rsid w:val="5FD40999"/>
    <w:rsid w:val="5FE5522B"/>
    <w:rsid w:val="5FF03F08"/>
    <w:rsid w:val="5FF2548E"/>
    <w:rsid w:val="5FF313D3"/>
    <w:rsid w:val="600C6A4B"/>
    <w:rsid w:val="600D6BA1"/>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152C6"/>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50598B"/>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C73DF5"/>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1E0044"/>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D5390"/>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48484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44796"/>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126D3D"/>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C27F0"/>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2D2DA9"/>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31463"/>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12399</Words>
  <Characters>13047</Characters>
  <Lines>50</Lines>
  <Paragraphs>68</Paragraphs>
  <TotalTime>0</TotalTime>
  <ScaleCrop>false</ScaleCrop>
  <LinksUpToDate>false</LinksUpToDate>
  <CharactersWithSpaces>13589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2026-05-11T06:41:45Z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