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中心院区污水站运营服务采购项目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采购代理机构：恒信咨询管理有限公司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 xml:space="preserve">6 </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 xml:space="preserve">04 </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wordWrap/>
        <w:overflowPunct/>
        <w:topLinePunct w:val="0"/>
        <w:autoSpaceDE/>
        <w:autoSpaceDN/>
        <w:bidi w:val="0"/>
        <w:snapToGrid w:val="0"/>
        <w:spacing w:line="360" w:lineRule="auto"/>
        <w:jc w:val="center"/>
        <w:textAlignment w:val="auto"/>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中心院区污水站运营服务采购项目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中心院区污水站运营服务采购项目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wordWrap/>
        <w:overflowPunct/>
        <w:topLinePunct w:val="0"/>
        <w:autoSpaceDE/>
        <w:autoSpaceDN/>
        <w:bidi w:val="0"/>
        <w:adjustRightInd/>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中心院区污水站运营服务采购项目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、预算金额：33.96万元</w:t>
      </w:r>
      <w:r>
        <w:rPr>
          <w:rFonts w:hint="eastAsia" w:ascii="宋体" w:hAnsi="宋体" w:cs="宋体"/>
          <w:color w:val="auto"/>
          <w:sz w:val="24"/>
          <w:szCs w:val="24"/>
          <w:highlight w:val="none"/>
          <w:shd w:val="clear" w:color="auto" w:fill="FFFFFF"/>
          <w:lang w:eastAsia="zh-CN"/>
        </w:rPr>
        <w:t>；</w:t>
      </w:r>
    </w:p>
    <w:p w14:paraId="20C42964">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：一年</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3626"/>
      <w:bookmarkStart w:id="6" w:name="_Toc18607"/>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9562"/>
      <w:bookmarkStart w:id="9" w:name="_Toc30971"/>
      <w:bookmarkStart w:id="10" w:name="_Toc30643"/>
      <w:bookmarkStart w:id="11" w:name="_Toc7823"/>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 04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 05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07</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371793315@qq.com,并标明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15135"/>
      <w:bookmarkStart w:id="15" w:name="_Toc27480"/>
      <w:bookmarkStart w:id="16" w:name="_Toc15111"/>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0287"/>
      <w:bookmarkStart w:id="19" w:name="_Toc29784"/>
      <w:bookmarkStart w:id="20" w:name="_Toc30918"/>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27370"/>
      <w:bookmarkStart w:id="26" w:name="_Toc3604"/>
      <w:bookmarkStart w:id="27" w:name="_Toc31928"/>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36B3559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采购代理机构：恒信咨询管理有限公司</w:t>
      </w:r>
    </w:p>
    <w:p w14:paraId="7819CE3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地址：郑州市电厂路河南省国家大学科技园（东区）16号楼B座6楼</w:t>
      </w:r>
    </w:p>
    <w:p w14:paraId="720A45F8">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联系人：杨先生</w:t>
      </w:r>
    </w:p>
    <w:p w14:paraId="032D2B8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 04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中心院区污水站运营服务采购项目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058"/>
        <w:gridCol w:w="1534"/>
        <w:gridCol w:w="1240"/>
        <w:gridCol w:w="1457"/>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56"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058" w:type="dxa"/>
            <w:vAlign w:val="center"/>
          </w:tcPr>
          <w:p w14:paraId="63A6E1B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采购内容</w:t>
            </w:r>
          </w:p>
        </w:tc>
        <w:tc>
          <w:tcPr>
            <w:tcW w:w="1534" w:type="dxa"/>
            <w:vAlign w:val="center"/>
          </w:tcPr>
          <w:p w14:paraId="2E59343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c>
          <w:tcPr>
            <w:tcW w:w="1240"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数量</w:t>
            </w:r>
          </w:p>
        </w:tc>
        <w:tc>
          <w:tcPr>
            <w:tcW w:w="1457" w:type="dxa"/>
            <w:vAlign w:val="center"/>
          </w:tcPr>
          <w:p w14:paraId="4A45251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资金预算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058" w:type="dxa"/>
            <w:shd w:val="clear" w:color="auto" w:fill="auto"/>
            <w:vAlign w:val="center"/>
          </w:tcPr>
          <w:p w14:paraId="32751584">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中心院区污水站运营服务</w:t>
            </w:r>
          </w:p>
        </w:tc>
        <w:tc>
          <w:tcPr>
            <w:tcW w:w="1534" w:type="dxa"/>
            <w:shd w:val="clear" w:color="auto" w:fill="auto"/>
            <w:vAlign w:val="center"/>
          </w:tcPr>
          <w:p w14:paraId="26AB1AEA">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年</w:t>
            </w:r>
          </w:p>
        </w:tc>
        <w:tc>
          <w:tcPr>
            <w:tcW w:w="1240" w:type="dxa"/>
            <w:shd w:val="clear" w:color="auto" w:fill="auto"/>
            <w:vAlign w:val="center"/>
          </w:tcPr>
          <w:p w14:paraId="65066930">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457" w:type="dxa"/>
            <w:shd w:val="clear" w:color="auto" w:fill="auto"/>
            <w:vAlign w:val="center"/>
          </w:tcPr>
          <w:p w14:paraId="2D610A1B">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33.96万元</w:t>
            </w:r>
          </w:p>
        </w:tc>
      </w:tr>
      <w:tr w14:paraId="54F6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56" w:type="dxa"/>
            <w:shd w:val="clear" w:color="auto" w:fill="auto"/>
            <w:vAlign w:val="center"/>
          </w:tcPr>
          <w:p w14:paraId="31AC37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sz w:val="24"/>
                <w:szCs w:val="24"/>
                <w:vertAlign w:val="baseline"/>
                <w:lang w:val="en-US" w:eastAsia="zh-CN"/>
              </w:rPr>
              <w:t>合计</w:t>
            </w:r>
          </w:p>
        </w:tc>
        <w:tc>
          <w:tcPr>
            <w:tcW w:w="2058" w:type="dxa"/>
            <w:shd w:val="clear" w:color="auto" w:fill="auto"/>
            <w:vAlign w:val="center"/>
          </w:tcPr>
          <w:p w14:paraId="6AFD586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534" w:type="dxa"/>
            <w:shd w:val="clear" w:color="auto" w:fill="auto"/>
            <w:vAlign w:val="center"/>
          </w:tcPr>
          <w:p w14:paraId="4AF930A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年</w:t>
            </w:r>
          </w:p>
        </w:tc>
        <w:tc>
          <w:tcPr>
            <w:tcW w:w="1240" w:type="dxa"/>
            <w:shd w:val="clear" w:color="auto" w:fill="auto"/>
            <w:vAlign w:val="center"/>
          </w:tcPr>
          <w:p w14:paraId="467A94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457" w:type="dxa"/>
            <w:shd w:val="clear" w:color="auto" w:fill="auto"/>
            <w:vAlign w:val="center"/>
          </w:tcPr>
          <w:p w14:paraId="530AE1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33.96万元</w:t>
            </w:r>
          </w:p>
        </w:tc>
      </w:tr>
      <w:tr w14:paraId="3222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3DF1D5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289" w:type="dxa"/>
            <w:gridSpan w:val="4"/>
            <w:shd w:val="clear" w:color="auto" w:fill="auto"/>
            <w:vAlign w:val="center"/>
          </w:tcPr>
          <w:p w14:paraId="2A75A2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招一家供应商</w:t>
            </w:r>
          </w:p>
        </w:tc>
      </w:tr>
    </w:tbl>
    <w:p w14:paraId="4815C8A2">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二、服务</w:t>
      </w:r>
      <w:r>
        <w:rPr>
          <w:rFonts w:hint="eastAsia" w:ascii="宋体" w:hAnsi="宋体" w:eastAsia="宋体" w:cs="宋体"/>
          <w:b/>
          <w:bCs/>
          <w:color w:val="auto"/>
          <w:kern w:val="2"/>
          <w:sz w:val="24"/>
          <w:szCs w:val="24"/>
          <w:highlight w:val="none"/>
          <w:lang w:val="en-US" w:eastAsia="zh-CN" w:bidi="ar-SA"/>
        </w:rPr>
        <w:t>技术要求：</w:t>
      </w:r>
    </w:p>
    <w:p w14:paraId="63820FF6">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635BF5AD">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1.服务范围：3号楼、4号楼、发热门诊和康复分院污水站。</w:t>
      </w:r>
    </w:p>
    <w:p w14:paraId="52B35AAF">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2.人员配置：值班运营人员3人，其中必须配备不少于1名技术人员。</w:t>
      </w:r>
    </w:p>
    <w:p w14:paraId="7FB0B07F">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运营公司负责污水处理站的日常管理与操作，包括：操作人员管理、设备运行管理（含设备巡检、维修和保养）、加药及工作状况记录。日常记录及保管应满足运营要求，各项规章制度、培训、记录详细完整，可随时备查。</w:t>
      </w:r>
    </w:p>
    <w:p w14:paraId="25DAE303">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4.负责污水站栅渣、悬浮物和污泥的清理，栅渣、悬浮物每日清理一次，污泥每季度清理一次，防止污水漫溢。清理出的栅渣、悬浮物和污泥存放于医院指定位置，由医院委托的有资质的专业处理机构外运处置。</w:t>
      </w:r>
    </w:p>
    <w:p w14:paraId="4480AC31">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5.负责《全国排污许可证管理信息平台》数据填报，符合平台要求。</w:t>
      </w:r>
    </w:p>
    <w:p w14:paraId="0002F469">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6.负责污水对比样检测，分为月检和季度检，主要是人工检测数据和在线监测数据对比数值。</w:t>
      </w:r>
    </w:p>
    <w:p w14:paraId="34D61AD8">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7.建立健全的水质检测和相关环保检测制度，每日对4个污水站各检测2次，检测设备和活性氧检测试剂均由运营公司承担。</w:t>
      </w:r>
    </w:p>
    <w:p w14:paraId="25ED30F2">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污水站所用消毒粉由运营公司承担，每日加药量不低于14kg（需根据污水站进水量调整），如实际用量与预估用量不一致，产生的风险由运营公司自行承担。经消毒处理后符合医院排污许可证各项指标标准，其中粪大肠菌群需符合GB18466-2005《医疗机构水污染物排放标准》中综合医疗机构污水排放要求。</w:t>
      </w:r>
    </w:p>
    <w:p w14:paraId="18585040">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9.污水站运营中如出现设备故障需要进行设备及配件更换，单价1000元以内（包括1000元）的设备及配件由运营公司承担，1000元以上的由运营公司及时向医院报告，相应设备及配件由医院另行采购。</w:t>
      </w:r>
    </w:p>
    <w:p w14:paraId="56A9AC62">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10.建立因设备故障导致污水站无法正常运行的应急预案，能够及时有效的进行应急处理。如因运营公司未能及时发现或报告，将由运营公司承担相应后果并接受相关处罚。</w:t>
      </w:r>
    </w:p>
    <w:p w14:paraId="7043BD67">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建立完善的安全生产制度和事故紧急应急机制，防止安全事故发生。在日常工作中，操作人员必须严格遵守医院的各项规章制度。运营公司负责对污水站所用人员的安全生产教育培训、应急处理培训等各种培训，在工作过程中出现任何人身意外伤害和损失均由运营公司承担。</w:t>
      </w:r>
    </w:p>
    <w:p w14:paraId="1B21F18B">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12.建立完整的运营档案资料，长期保存。接受医院指派人员的管理和监督。</w:t>
      </w:r>
    </w:p>
    <w:p w14:paraId="00051683">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13.负责污水站设备间及值班室的环境卫生。</w:t>
      </w:r>
    </w:p>
    <w:p w14:paraId="0AB7EC36">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14.运营公司应具备污水处理新标准能力，运营人员熟练掌握操作污水处理设备、加药等工作。</w:t>
      </w:r>
    </w:p>
    <w:p w14:paraId="49D9EF8D">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15.实行24小时值班制度。运营人员保持通讯畅通，以便做到准确、安全快速处理故障。</w:t>
      </w:r>
    </w:p>
    <w:p w14:paraId="167DD977">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16.操作人员的管理、工资、劳保产品等由运营公司负责。</w:t>
      </w:r>
    </w:p>
    <w:p w14:paraId="2604C5EE">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17.保证污水站的安全运行，如未按照医院排污许可证上的要求进行运营，产生的一切后果均由运营公司承担。</w:t>
      </w:r>
    </w:p>
    <w:p w14:paraId="5C0F4813">
      <w:pPr>
        <w:pStyle w:val="50"/>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18.协助医院完成院内各类环保工作，提供技术服务工作。</w:t>
      </w:r>
    </w:p>
    <w:p w14:paraId="6FEFE039">
      <w:pPr>
        <w:pStyle w:val="50"/>
        <w:rPr>
          <w:rFonts w:hint="eastAsia" w:ascii="宋体" w:hAnsi="宋体" w:eastAsia="宋体" w:cs="宋体"/>
          <w:b/>
          <w:bCs/>
          <w:color w:val="auto"/>
          <w:kern w:val="2"/>
          <w:sz w:val="21"/>
          <w:szCs w:val="24"/>
          <w:highlight w:val="none"/>
          <w:lang w:val="en-US" w:eastAsia="zh-CN" w:bidi="ar-SA"/>
        </w:rPr>
      </w:pPr>
    </w:p>
    <w:p w14:paraId="77AE59E2">
      <w:pPr>
        <w:pStyle w:val="50"/>
        <w:rPr>
          <w:rFonts w:hint="eastAsia" w:ascii="宋体" w:hAnsi="宋体" w:eastAsia="宋体" w:cs="宋体"/>
          <w:b/>
          <w:bCs/>
          <w:color w:val="auto"/>
          <w:kern w:val="2"/>
          <w:sz w:val="21"/>
          <w:szCs w:val="24"/>
          <w:highlight w:val="none"/>
          <w:lang w:val="en-US" w:eastAsia="zh-CN" w:bidi="ar-SA"/>
        </w:rPr>
      </w:pPr>
    </w:p>
    <w:p w14:paraId="106ADF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ind w:left="0" w:leftChars="0"/>
              <w:jc w:val="center"/>
              <w:rPr>
                <w:rFonts w:hint="default" w:ascii="宋体" w:hAnsi="宋体" w:eastAsia="宋体" w:cs="宋体"/>
                <w:iCs/>
                <w:kern w:val="2"/>
                <w:sz w:val="24"/>
                <w:szCs w:val="24"/>
                <w:u w:val="none"/>
                <w:lang w:val="en-US" w:eastAsia="zh-CN" w:bidi="ar"/>
              </w:rPr>
            </w:pPr>
            <w:r>
              <w:rPr>
                <w:rFonts w:hint="eastAsia" w:ascii="宋体" w:hAnsi="宋体" w:cs="宋体"/>
                <w:iCs/>
                <w:kern w:val="2"/>
                <w:sz w:val="24"/>
                <w:szCs w:val="24"/>
                <w:u w:val="none"/>
                <w:lang w:val="en-US" w:eastAsia="zh-CN" w:bidi="ar"/>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ind w:left="0" w:leftChars="0"/>
              <w:jc w:val="left"/>
              <w:rPr>
                <w:rFonts w:hint="eastAsia" w:ascii="宋体" w:hAnsi="宋体" w:eastAsia="宋体" w:cs="宋体"/>
                <w:iCs/>
                <w:kern w:val="2"/>
                <w:sz w:val="24"/>
                <w:szCs w:val="24"/>
                <w:u w:val="none"/>
                <w:lang w:val="en-US" w:eastAsia="zh-CN" w:bidi="ar"/>
              </w:rPr>
            </w:pPr>
            <w:r>
              <w:rPr>
                <w:rFonts w:hint="eastAsia" w:ascii="宋体" w:hAnsi="宋体" w:cs="宋体"/>
                <w:iCs/>
                <w:kern w:val="2"/>
                <w:sz w:val="24"/>
                <w:szCs w:val="24"/>
                <w:u w:val="none"/>
                <w:lang w:val="en-US" w:eastAsia="zh-CN" w:bidi="ar"/>
              </w:rPr>
              <w:t>自成交通知书发出之日起30日内。</w:t>
            </w:r>
          </w:p>
        </w:tc>
      </w:tr>
      <w:tr w14:paraId="2E0AB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DA8F7">
            <w:pPr>
              <w:ind w:left="0" w:leftChars="0"/>
              <w:jc w:val="center"/>
              <w:rPr>
                <w:rFonts w:hint="eastAsia" w:ascii="宋体" w:hAnsi="宋体" w:eastAsia="宋体" w:cs="宋体"/>
                <w:iCs/>
                <w:kern w:val="2"/>
                <w:sz w:val="24"/>
                <w:szCs w:val="24"/>
                <w:u w:val="none"/>
                <w:lang w:val="en-US" w:eastAsia="zh-CN" w:bidi="ar"/>
              </w:rPr>
            </w:pPr>
            <w:r>
              <w:rPr>
                <w:rFonts w:hint="eastAsia" w:ascii="宋体" w:hAnsi="宋体" w:eastAsia="宋体" w:cs="宋体"/>
                <w:iCs/>
                <w:kern w:val="2"/>
                <w:sz w:val="24"/>
                <w:szCs w:val="24"/>
                <w:u w:val="none"/>
                <w:lang w:val="en-US" w:eastAsia="zh-CN" w:bidi="ar"/>
              </w:rPr>
              <w:t>服务期限</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677AB">
            <w:pPr>
              <w:ind w:left="0" w:leftChars="0"/>
              <w:jc w:val="left"/>
              <w:rPr>
                <w:rFonts w:hint="eastAsia" w:ascii="宋体" w:hAnsi="宋体" w:eastAsia="宋体" w:cs="宋体"/>
                <w:iCs/>
                <w:kern w:val="2"/>
                <w:sz w:val="24"/>
                <w:szCs w:val="24"/>
                <w:u w:val="none"/>
                <w:lang w:val="en-US" w:eastAsia="zh-CN" w:bidi="ar"/>
              </w:rPr>
            </w:pPr>
            <w:r>
              <w:rPr>
                <w:rFonts w:hint="eastAsia" w:ascii="宋体" w:hAnsi="宋体" w:eastAsia="宋体" w:cs="宋体"/>
                <w:iCs/>
                <w:kern w:val="2"/>
                <w:sz w:val="24"/>
                <w:szCs w:val="24"/>
                <w:u w:val="none"/>
                <w:lang w:val="en-US" w:eastAsia="zh-CN" w:bidi="ar"/>
              </w:rPr>
              <w:t>一年。</w:t>
            </w:r>
          </w:p>
        </w:tc>
      </w:tr>
      <w:tr w14:paraId="6C05C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8CC69">
            <w:pPr>
              <w:ind w:left="0" w:leftChars="0"/>
              <w:jc w:val="center"/>
              <w:rPr>
                <w:rFonts w:hint="eastAsia" w:ascii="宋体" w:hAnsi="宋体" w:eastAsia="宋体" w:cs="宋体"/>
                <w:iCs/>
                <w:kern w:val="2"/>
                <w:sz w:val="24"/>
                <w:szCs w:val="24"/>
                <w:u w:val="none"/>
                <w:lang w:val="en-US" w:eastAsia="zh-CN" w:bidi="ar"/>
              </w:rPr>
            </w:pPr>
            <w:r>
              <w:rPr>
                <w:rFonts w:hint="eastAsia" w:ascii="宋体" w:hAnsi="宋体" w:eastAsia="宋体" w:cs="宋体"/>
                <w:iCs/>
                <w:kern w:val="2"/>
                <w:sz w:val="24"/>
                <w:szCs w:val="24"/>
                <w:u w:val="none"/>
                <w:lang w:val="en-US" w:eastAsia="zh-CN" w:bidi="ar"/>
              </w:rPr>
              <w:t>服务地点</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F49BD">
            <w:pPr>
              <w:ind w:left="0" w:leftChars="0"/>
              <w:jc w:val="left"/>
              <w:rPr>
                <w:rFonts w:hint="eastAsia" w:ascii="宋体" w:hAnsi="宋体" w:eastAsia="宋体" w:cs="宋体"/>
                <w:iCs/>
                <w:kern w:val="2"/>
                <w:sz w:val="24"/>
                <w:szCs w:val="24"/>
                <w:u w:val="none"/>
                <w:lang w:val="en-US" w:eastAsia="zh-CN" w:bidi="ar"/>
              </w:rPr>
            </w:pP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中心院区。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4"/>
              <w:ind w:left="0" w:left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iCs/>
                <w:kern w:val="2"/>
                <w:sz w:val="24"/>
                <w:szCs w:val="24"/>
                <w:u w:val="none"/>
                <w:lang w:val="en-US" w:eastAsia="zh-CN" w:bidi="ar"/>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i w:val="0"/>
                <w:iCs/>
                <w:sz w:val="24"/>
                <w:szCs w:val="24"/>
                <w:u w:val="none"/>
                <w:lang w:val="en-US" w:eastAsia="zh-CN"/>
              </w:rPr>
              <w:t>运营费每季度支付一次。</w:t>
            </w:r>
          </w:p>
        </w:tc>
      </w:tr>
    </w:tbl>
    <w:p w14:paraId="46FCB8DD">
      <w:pPr>
        <w:pStyle w:val="15"/>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33.96万元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33.96万元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tabs>
                <w:tab w:val="left" w:pos="1050"/>
              </w:tabs>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1.技术服务响应（</w:t>
            </w:r>
            <w:r>
              <w:rPr>
                <w:rFonts w:hint="eastAsia" w:ascii="宋体" w:hAnsi="宋体" w:cs="宋体"/>
                <w:b w:val="0"/>
                <w:bCs w:val="0"/>
                <w:color w:val="auto"/>
                <w:sz w:val="24"/>
                <w:szCs w:val="24"/>
                <w:highlight w:val="none"/>
                <w:lang w:val="en-US" w:eastAsia="zh-CN"/>
              </w:rPr>
              <w:t>36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4B6A7976">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供应商对“第二章 采购需求  二、服务技术要求”进行响应。</w:t>
            </w:r>
          </w:p>
          <w:p w14:paraId="3D27F557">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完全符合磋商文件服务要求的得</w:t>
            </w:r>
            <w:r>
              <w:rPr>
                <w:rFonts w:hint="eastAsia" w:ascii="宋体" w:hAnsi="宋体" w:cs="宋体"/>
                <w:sz w:val="24"/>
                <w:szCs w:val="24"/>
                <w:lang w:val="en-US" w:eastAsia="zh-CN"/>
              </w:rPr>
              <w:t>36</w:t>
            </w:r>
            <w:r>
              <w:rPr>
                <w:rFonts w:hint="eastAsia" w:ascii="宋体" w:hAnsi="宋体" w:eastAsia="宋体" w:cs="宋体"/>
                <w:sz w:val="24"/>
                <w:szCs w:val="24"/>
                <w:lang w:val="en-US" w:eastAsia="zh-CN"/>
              </w:rPr>
              <w:t>分，每有一项负偏离在</w:t>
            </w:r>
            <w:r>
              <w:rPr>
                <w:rFonts w:hint="eastAsia" w:ascii="宋体" w:hAnsi="宋体" w:cs="宋体"/>
                <w:sz w:val="24"/>
                <w:szCs w:val="24"/>
                <w:lang w:val="en-US" w:eastAsia="zh-CN"/>
              </w:rPr>
              <w:t>36</w:t>
            </w:r>
            <w:r>
              <w:rPr>
                <w:rFonts w:hint="eastAsia" w:ascii="宋体" w:hAnsi="宋体" w:eastAsia="宋体" w:cs="宋体"/>
                <w:sz w:val="24"/>
                <w:szCs w:val="24"/>
                <w:lang w:val="en-US" w:eastAsia="zh-CN"/>
              </w:rPr>
              <w:t>分基础上扣3分，扣完为止；若得分为0，则磋商无效。</w:t>
            </w:r>
          </w:p>
          <w:p w14:paraId="608A59E9">
            <w:pPr>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注：</w:t>
            </w:r>
            <w:r>
              <w:rPr>
                <w:rFonts w:hint="eastAsia" w:ascii="宋体" w:hAnsi="宋体" w:eastAsia="宋体" w:cs="宋体"/>
                <w:sz w:val="24"/>
                <w:szCs w:val="24"/>
                <w:lang w:val="en-US" w:eastAsia="zh-CN"/>
              </w:rPr>
              <w:t>供应商需如实填写技术响应表，并标注偏离情况。</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sz w:val="24"/>
                <w:szCs w:val="24"/>
                <w:highlight w:val="none"/>
                <w:lang w:val="en-US" w:eastAsia="zh-CN"/>
              </w:rPr>
              <w:t>2.日常运营方案（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分） </w:t>
            </w:r>
          </w:p>
        </w:tc>
        <w:tc>
          <w:tcPr>
            <w:tcW w:w="6770" w:type="dxa"/>
            <w:noWrap w:val="0"/>
            <w:vAlign w:val="center"/>
          </w:tcPr>
          <w:p w14:paraId="6149B9A0">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根据供应商提供的运营服务方案进行打分，包括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①年度服务计划；②日常运营管理方案；③日常维保、维修管理方案；④日常巡查计划和巡查内容；⑤维修响应时间及保障措施；⑥日常值班方案；⑦运营质量保障措施；⑧污水清理计划；⑨消毒粉添加计划；⑩环境维护与清洁措施。</w:t>
            </w:r>
          </w:p>
          <w:p w14:paraId="485D86E5">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以上方案内容完整、可行性强，完全符合采购需求，得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 方案较完整、可行性较强，基本符合采购需求，得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B6EBBAB">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方案较完整、可行性一般，基本符合采购需求，得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分。 </w:t>
            </w:r>
          </w:p>
          <w:p w14:paraId="72BCC20C">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方案</w:t>
            </w:r>
            <w:r>
              <w:rPr>
                <w:rFonts w:hint="eastAsia" w:ascii="宋体" w:hAnsi="宋体" w:cs="宋体"/>
                <w:color w:val="000000" w:themeColor="text1"/>
                <w:sz w:val="24"/>
                <w:szCs w:val="24"/>
                <w:highlight w:val="none"/>
                <w:lang w:val="en-US" w:eastAsia="zh-CN"/>
                <w14:textFill>
                  <w14:solidFill>
                    <w14:schemeClr w14:val="tx1"/>
                  </w14:solidFill>
                </w14:textFill>
              </w:rPr>
              <w:t>难以满足采购需求</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缺项得0分。</w:t>
            </w:r>
          </w:p>
        </w:tc>
      </w:tr>
      <w:tr w14:paraId="685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6944C5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C51B4F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3.档案管理方案（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分） </w:t>
            </w:r>
          </w:p>
        </w:tc>
        <w:tc>
          <w:tcPr>
            <w:tcW w:w="6770" w:type="dxa"/>
            <w:noWrap w:val="0"/>
            <w:vAlign w:val="center"/>
          </w:tcPr>
          <w:p w14:paraId="0A95501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根据供应商提供的</w:t>
            </w:r>
            <w:r>
              <w:rPr>
                <w:rFonts w:hint="eastAsia" w:ascii="宋体" w:hAnsi="宋体" w:eastAsia="宋体" w:cs="宋体"/>
                <w:color w:val="auto"/>
                <w:sz w:val="24"/>
                <w:szCs w:val="24"/>
                <w:highlight w:val="none"/>
                <w:lang w:val="en-US" w:eastAsia="zh-CN"/>
              </w:rPr>
              <w:t>档案管理方案进行打分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b w:val="0"/>
                <w:bCs w:val="0"/>
                <w:kern w:val="2"/>
                <w:sz w:val="24"/>
                <w:szCs w:val="24"/>
                <w:highlight w:val="none"/>
                <w:lang w:val="en-US" w:eastAsia="zh-CN" w:bidi="ar-SA"/>
              </w:rPr>
              <w:t>①</w:t>
            </w:r>
            <w:r>
              <w:rPr>
                <w:rFonts w:hint="eastAsia" w:ascii="宋体" w:hAnsi="宋体" w:eastAsia="宋体" w:cs="宋体"/>
                <w:color w:val="auto"/>
                <w:sz w:val="24"/>
                <w:szCs w:val="24"/>
                <w:highlight w:val="none"/>
                <w:lang w:val="en-US" w:eastAsia="zh-CN"/>
              </w:rPr>
              <w:t>加药记录</w:t>
            </w:r>
            <w:r>
              <w:rPr>
                <w:rFonts w:hint="eastAsia" w:ascii="宋体" w:hAnsi="宋体" w:eastAsia="宋体" w:cs="宋体"/>
                <w:b w:val="0"/>
                <w:bCs w:val="0"/>
                <w:kern w:val="2"/>
                <w:sz w:val="24"/>
                <w:szCs w:val="24"/>
                <w:highlight w:val="none"/>
                <w:lang w:val="en-US" w:eastAsia="zh-CN" w:bidi="ar-SA"/>
              </w:rPr>
              <w:t>；②</w:t>
            </w:r>
            <w:r>
              <w:rPr>
                <w:rFonts w:hint="eastAsia" w:ascii="宋体" w:hAnsi="宋体" w:eastAsia="宋体" w:cs="宋体"/>
                <w:color w:val="auto"/>
                <w:sz w:val="24"/>
                <w:szCs w:val="24"/>
                <w:highlight w:val="none"/>
                <w:lang w:val="en-US" w:eastAsia="zh-CN"/>
              </w:rPr>
              <w:t>设备运营情况</w:t>
            </w:r>
            <w:r>
              <w:rPr>
                <w:rFonts w:hint="eastAsia" w:ascii="宋体" w:hAnsi="宋体" w:eastAsia="宋体" w:cs="宋体"/>
                <w:b w:val="0"/>
                <w:bCs w:val="0"/>
                <w:kern w:val="2"/>
                <w:sz w:val="24"/>
                <w:szCs w:val="24"/>
                <w:highlight w:val="none"/>
                <w:lang w:val="en-US" w:eastAsia="zh-CN" w:bidi="ar-SA"/>
              </w:rPr>
              <w:t>；③</w:t>
            </w:r>
            <w:r>
              <w:rPr>
                <w:rFonts w:hint="eastAsia" w:ascii="宋体" w:hAnsi="宋体" w:eastAsia="宋体" w:cs="宋体"/>
                <w:color w:val="auto"/>
                <w:sz w:val="24"/>
                <w:szCs w:val="24"/>
                <w:highlight w:val="none"/>
                <w:lang w:val="en-US" w:eastAsia="zh-CN"/>
              </w:rPr>
              <w:t>日常运行记录</w:t>
            </w:r>
            <w:r>
              <w:rPr>
                <w:rFonts w:hint="eastAsia" w:ascii="宋体" w:hAnsi="宋体" w:eastAsia="宋体" w:cs="宋体"/>
                <w:color w:val="000000" w:themeColor="text1"/>
                <w:sz w:val="24"/>
                <w:szCs w:val="24"/>
                <w:highlight w:val="none"/>
                <w:lang w:val="en-US" w:eastAsia="zh-CN"/>
                <w14:textFill>
                  <w14:solidFill>
                    <w14:schemeClr w14:val="tx1"/>
                  </w14:solidFill>
                </w14:textFill>
              </w:rPr>
              <w:t>；④</w:t>
            </w:r>
            <w:r>
              <w:rPr>
                <w:rFonts w:hint="eastAsia" w:ascii="宋体" w:hAnsi="宋体" w:eastAsia="宋体" w:cs="宋体"/>
                <w:color w:val="auto"/>
                <w:sz w:val="24"/>
                <w:szCs w:val="24"/>
                <w:highlight w:val="none"/>
                <w:lang w:val="en-US" w:eastAsia="zh-CN"/>
              </w:rPr>
              <w:t>污水处理记录</w:t>
            </w:r>
            <w:r>
              <w:rPr>
                <w:rFonts w:hint="eastAsia" w:ascii="宋体" w:hAnsi="宋体" w:eastAsia="宋体" w:cs="宋体"/>
                <w:color w:val="000000" w:themeColor="text1"/>
                <w:sz w:val="24"/>
                <w:szCs w:val="24"/>
                <w:highlight w:val="none"/>
                <w:lang w:val="en-US" w:eastAsia="zh-CN"/>
                <w14:textFill>
                  <w14:solidFill>
                    <w14:schemeClr w14:val="tx1"/>
                  </w14:solidFill>
                </w14:textFill>
              </w:rPr>
              <w:t>；⑤</w:t>
            </w:r>
            <w:r>
              <w:rPr>
                <w:rFonts w:hint="eastAsia" w:ascii="宋体" w:hAnsi="宋体" w:eastAsia="宋体" w:cs="宋体"/>
                <w:color w:val="auto"/>
                <w:sz w:val="24"/>
                <w:szCs w:val="24"/>
                <w:highlight w:val="none"/>
                <w:lang w:val="en-US" w:eastAsia="zh-CN"/>
              </w:rPr>
              <w:t xml:space="preserve">配件更换记录等： </w:t>
            </w:r>
          </w:p>
          <w:p w14:paraId="212E4DB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档案管理方案内容记录完整，合理性、针对性、可操作性强，完全满足项目采购需求的得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分； </w:t>
            </w:r>
          </w:p>
          <w:p w14:paraId="6D057B5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档案管理方案内容全面，合理性、针对性、可操作性一般，基本满足项目采购需求的得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ADD903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难以</w:t>
            </w:r>
            <w:r>
              <w:rPr>
                <w:rFonts w:hint="eastAsia" w:ascii="宋体" w:hAnsi="宋体" w:eastAsia="宋体" w:cs="宋体"/>
                <w:color w:val="auto"/>
                <w:sz w:val="24"/>
                <w:szCs w:val="24"/>
                <w:highlight w:val="none"/>
                <w:lang w:val="en-US" w:eastAsia="zh-CN"/>
              </w:rPr>
              <w:t>满足项目采购需求的得1分； 缺项得0分。</w:t>
            </w:r>
          </w:p>
        </w:tc>
      </w:tr>
      <w:tr w14:paraId="074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2ECC59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81DB0B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4.应急服务方案（</w:t>
            </w: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分）</w:t>
            </w:r>
          </w:p>
        </w:tc>
        <w:tc>
          <w:tcPr>
            <w:tcW w:w="6770" w:type="dxa"/>
            <w:noWrap w:val="0"/>
            <w:vAlign w:val="center"/>
          </w:tcPr>
          <w:p w14:paraId="746801F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根据供应商提供的应急服务方案进行评分，包含（但不限于）以下内容：①应急预案；②应急保障措施（应急物资、设备配备等）；③应急响应（事故报告、现场处置等）。</w:t>
            </w:r>
          </w:p>
          <w:p w14:paraId="6F7DF44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提供的应急服务方案科学合理、内容详尽、切实可行，完全满足采购需求的得</w:t>
            </w: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分；</w:t>
            </w:r>
          </w:p>
          <w:p w14:paraId="2095DAA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提供的应急服务方案基本可行，</w:t>
            </w:r>
            <w:r>
              <w:rPr>
                <w:rFonts w:hint="eastAsia" w:ascii="宋体" w:hAnsi="宋体" w:cs="宋体"/>
                <w:b w:val="0"/>
                <w:bCs w:val="0"/>
                <w:kern w:val="2"/>
                <w:sz w:val="24"/>
                <w:szCs w:val="24"/>
                <w:highlight w:val="none"/>
                <w:lang w:val="en-US" w:eastAsia="zh-CN" w:bidi="ar-SA"/>
              </w:rPr>
              <w:t>基本</w:t>
            </w:r>
            <w:r>
              <w:rPr>
                <w:rFonts w:hint="eastAsia" w:ascii="宋体" w:hAnsi="宋体" w:eastAsia="宋体" w:cs="宋体"/>
                <w:b w:val="0"/>
                <w:bCs w:val="0"/>
                <w:kern w:val="2"/>
                <w:sz w:val="24"/>
                <w:szCs w:val="24"/>
                <w:highlight w:val="none"/>
                <w:lang w:val="en-US" w:eastAsia="zh-CN" w:bidi="ar-SA"/>
              </w:rPr>
              <w:t>满足采购需求的得</w:t>
            </w:r>
            <w:r>
              <w:rPr>
                <w:rFonts w:hint="eastAsia" w:ascii="宋体" w:hAnsi="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分；</w:t>
            </w:r>
          </w:p>
          <w:p w14:paraId="54A4AC5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提供的应急</w:t>
            </w:r>
            <w:r>
              <w:rPr>
                <w:rFonts w:hint="eastAsia" w:ascii="宋体" w:hAnsi="宋体" w:cs="宋体"/>
                <w:b w:val="0"/>
                <w:bCs w:val="0"/>
                <w:kern w:val="2"/>
                <w:sz w:val="24"/>
                <w:szCs w:val="24"/>
                <w:highlight w:val="none"/>
                <w:lang w:val="en-US" w:eastAsia="zh-CN" w:bidi="ar-SA"/>
              </w:rPr>
              <w:t>方案难以满足采购需求</w:t>
            </w:r>
            <w:r>
              <w:rPr>
                <w:rFonts w:hint="eastAsia" w:ascii="宋体" w:hAnsi="宋体" w:eastAsia="宋体" w:cs="宋体"/>
                <w:b w:val="0"/>
                <w:bCs w:val="0"/>
                <w:kern w:val="2"/>
                <w:sz w:val="24"/>
                <w:szCs w:val="24"/>
                <w:highlight w:val="none"/>
                <w:lang w:val="en-US" w:eastAsia="zh-CN" w:bidi="ar-SA"/>
              </w:rPr>
              <w:t>的得1分；</w:t>
            </w:r>
          </w:p>
          <w:p w14:paraId="3688FF7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highlight w:val="none"/>
              </w:rPr>
            </w:pPr>
            <w:r>
              <w:rPr>
                <w:rFonts w:hint="eastAsia" w:ascii="宋体" w:hAnsi="宋体" w:eastAsia="宋体" w:cs="宋体"/>
                <w:b w:val="0"/>
                <w:bCs w:val="0"/>
                <w:kern w:val="2"/>
                <w:sz w:val="24"/>
                <w:szCs w:val="24"/>
                <w:highlight w:val="none"/>
                <w:lang w:val="en-US" w:eastAsia="zh-CN" w:bidi="ar-SA"/>
              </w:rPr>
              <w:t>未提供者不得分。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0B2DAD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1.人员配备方案（1</w:t>
            </w:r>
            <w:r>
              <w:rPr>
                <w:rFonts w:hint="eastAsia" w:ascii="宋体" w:hAnsi="宋体" w:cs="宋体"/>
                <w:b w:val="0"/>
                <w:bCs w:val="0"/>
                <w:kern w:val="2"/>
                <w:sz w:val="24"/>
                <w:szCs w:val="24"/>
                <w:highlight w:val="none"/>
                <w:lang w:val="en-US" w:eastAsia="zh-CN" w:bidi="ar-SA"/>
              </w:rPr>
              <w:t>0</w:t>
            </w:r>
            <w:r>
              <w:rPr>
                <w:rFonts w:hint="eastAsia" w:ascii="宋体" w:hAnsi="宋体" w:eastAsia="宋体" w:cs="宋体"/>
                <w:b w:val="0"/>
                <w:bCs w:val="0"/>
                <w:kern w:val="2"/>
                <w:sz w:val="24"/>
                <w:szCs w:val="24"/>
                <w:highlight w:val="none"/>
                <w:lang w:val="en-US" w:eastAsia="zh-CN" w:bidi="ar-SA"/>
              </w:rPr>
              <w:t>分）</w:t>
            </w:r>
          </w:p>
        </w:tc>
        <w:tc>
          <w:tcPr>
            <w:tcW w:w="6770" w:type="dxa"/>
            <w:noWrap w:val="0"/>
            <w:vAlign w:val="center"/>
          </w:tcPr>
          <w:p w14:paraId="3C23BC9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根据供应商针对本项目提供的人员配备方案进行进行打分，包括但不仅限于：服务团队组织结构、人员配备及职责、人员专业技术及工作经验。</w:t>
            </w:r>
          </w:p>
          <w:p w14:paraId="583D8AB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人员配备队组织结构合理，人员岗位职责及分工明确、专业技术能力强、有丰富的运营管理经验，完全满足采购需求的得1</w:t>
            </w:r>
            <w:r>
              <w:rPr>
                <w:rFonts w:hint="eastAsia" w:ascii="宋体" w:hAnsi="宋体" w:cs="宋体"/>
                <w:b w:val="0"/>
                <w:bCs w:val="0"/>
                <w:kern w:val="2"/>
                <w:sz w:val="24"/>
                <w:szCs w:val="24"/>
                <w:highlight w:val="none"/>
                <w:lang w:val="en-US" w:eastAsia="zh-CN" w:bidi="ar-SA"/>
              </w:rPr>
              <w:t>0</w:t>
            </w:r>
            <w:r>
              <w:rPr>
                <w:rFonts w:hint="eastAsia" w:ascii="宋体" w:hAnsi="宋体" w:eastAsia="宋体" w:cs="宋体"/>
                <w:b w:val="0"/>
                <w:bCs w:val="0"/>
                <w:kern w:val="2"/>
                <w:sz w:val="24"/>
                <w:szCs w:val="24"/>
                <w:highlight w:val="none"/>
                <w:lang w:val="en-US" w:eastAsia="zh-CN" w:bidi="ar-SA"/>
              </w:rPr>
              <w:t>分；</w:t>
            </w:r>
          </w:p>
          <w:p w14:paraId="0487B31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人员配备基本合理、职责分工较明确、专业能力较强，运营管理经验较丰富，基本满足采购需求的得7分；</w:t>
            </w:r>
          </w:p>
          <w:p w14:paraId="0EEE743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人员配备基本合理、职责分工不明确、专业性有待提升的得4分；</w:t>
            </w:r>
          </w:p>
          <w:p w14:paraId="74C0C117">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人员不足，专业性不强，不能满足采购需求的得1分。</w:t>
            </w:r>
          </w:p>
          <w:p w14:paraId="78EEF5B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未提供不得分。</w:t>
            </w:r>
          </w:p>
          <w:p w14:paraId="7A359485">
            <w:pPr>
              <w:keepNext w:val="0"/>
              <w:keepLines w:val="0"/>
              <w:pageBreakBefore w:val="0"/>
              <w:widowControl/>
              <w:kinsoku/>
              <w:wordWrap/>
              <w:overflowPunct/>
              <w:topLinePunct w:val="0"/>
              <w:autoSpaceDE/>
              <w:autoSpaceDN/>
              <w:bidi w:val="0"/>
              <w:adjustRightInd/>
              <w:snapToGrid w:val="0"/>
              <w:spacing w:line="320" w:lineRule="exact"/>
              <w:jc w:val="left"/>
              <w:rPr>
                <w:rFonts w:hint="default"/>
                <w:highlight w:val="none"/>
                <w:lang w:val="en-US" w:eastAsia="zh-CN"/>
              </w:rPr>
            </w:pPr>
            <w:r>
              <w:rPr>
                <w:rFonts w:hint="eastAsia" w:ascii="宋体" w:hAnsi="宋体" w:eastAsia="宋体" w:cs="宋体"/>
                <w:b/>
                <w:bCs/>
                <w:kern w:val="2"/>
                <w:sz w:val="24"/>
                <w:szCs w:val="24"/>
                <w:highlight w:val="none"/>
                <w:lang w:val="en-US" w:eastAsia="zh-CN" w:bidi="ar-SA"/>
              </w:rPr>
              <w:t>注：附人员清单。</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2.类似业绩（6分）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供应商自2023年1月1日以来（以合同签订时间为准）具有类似服务业绩，每提供1份合同证明材料得2分，最多得6分。未提供者不得分。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5307EE21">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39" w:name="_Toc1482"/>
      <w:bookmarkStart w:id="40" w:name="_Toc1947"/>
      <w:bookmarkStart w:id="41" w:name="_Toc256519703"/>
      <w:bookmarkStart w:id="42" w:name="_Toc326786897"/>
    </w:p>
    <w:p w14:paraId="5A0BE0D1">
      <w:pPr>
        <w:pStyle w:val="4"/>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
        <w:rPr>
          <w:rFonts w:hint="eastAsia" w:ascii="宋体" w:hAnsi="宋体" w:eastAsia="宋体" w:cs="宋体"/>
          <w:color w:val="auto"/>
          <w:highlight w:val="none"/>
        </w:rPr>
      </w:pPr>
    </w:p>
    <w:p w14:paraId="30EBB8A6">
      <w:pPr>
        <w:pStyle w:val="4"/>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bookmarkStart w:id="50" w:name="_Toc28392"/>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2"/>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360" w:lineRule="auto"/>
        <w:ind w:left="0" w:leftChars="0" w:firstLine="1478" w:firstLineChars="528"/>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360" w:lineRule="auto"/>
        <w:ind w:left="0" w:leftChars="0" w:firstLine="1478" w:firstLineChars="528"/>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2"/>
    <w:bookmarkEnd w:id="63"/>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附件4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技术要求内容</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9960"/>
      <w:bookmarkStart w:id="68" w:name="_Toc20420"/>
      <w:r>
        <w:rPr>
          <w:rFonts w:hint="eastAsia" w:ascii="宋体" w:hAnsi="宋体" w:eastAsia="宋体" w:cs="宋体"/>
          <w:color w:val="auto"/>
          <w:sz w:val="28"/>
          <w:szCs w:val="28"/>
          <w:highlight w:val="none"/>
          <w:lang w:val="en-US" w:eastAsia="zh-CN"/>
        </w:rPr>
        <w:t>附件5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301" w:type="dxa"/>
            <w:noWrap w:val="0"/>
            <w:vAlign w:val="center"/>
          </w:tcPr>
          <w:p w14:paraId="6DC2849E">
            <w:pPr>
              <w:ind w:left="0" w:leftChars="0"/>
              <w:jc w:val="center"/>
              <w:rPr>
                <w:rFonts w:hint="eastAsia" w:ascii="宋体" w:hAnsi="宋体" w:eastAsia="宋体" w:cs="宋体"/>
                <w:color w:val="auto"/>
                <w:sz w:val="24"/>
                <w:szCs w:val="24"/>
                <w:highlight w:val="none"/>
              </w:rPr>
            </w:pPr>
            <w:r>
              <w:rPr>
                <w:rFonts w:hint="eastAsia" w:ascii="宋体" w:hAnsi="宋体" w:cs="宋体"/>
                <w:iCs/>
                <w:kern w:val="2"/>
                <w:sz w:val="24"/>
                <w:szCs w:val="24"/>
                <w:u w:val="none"/>
                <w:lang w:val="en-US" w:eastAsia="zh-CN" w:bidi="ar"/>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301" w:type="dxa"/>
            <w:noWrap w:val="0"/>
            <w:vAlign w:val="center"/>
          </w:tcPr>
          <w:p w14:paraId="0472149B">
            <w:pPr>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Cs/>
                <w:kern w:val="2"/>
                <w:sz w:val="24"/>
                <w:szCs w:val="24"/>
                <w:u w:val="none"/>
                <w:lang w:val="en-US" w:eastAsia="zh-CN" w:bidi="ar"/>
              </w:rPr>
              <w:t>服务期限</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301" w:type="dxa"/>
            <w:noWrap w:val="0"/>
            <w:vAlign w:val="center"/>
          </w:tcPr>
          <w:p w14:paraId="50BB9001">
            <w:pPr>
              <w:ind w:left="0" w:lef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iCs/>
                <w:kern w:val="2"/>
                <w:sz w:val="24"/>
                <w:szCs w:val="24"/>
                <w:u w:val="none"/>
                <w:lang w:val="en-US" w:eastAsia="zh-CN" w:bidi="ar"/>
              </w:rPr>
              <w:t>服务地点</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301" w:type="dxa"/>
            <w:noWrap w:val="0"/>
            <w:vAlign w:val="center"/>
          </w:tcPr>
          <w:p w14:paraId="6182A3E4">
            <w:pPr>
              <w:pStyle w:val="14"/>
              <w:ind w:left="0" w:leftChars="0"/>
              <w:jc w:val="center"/>
              <w:rPr>
                <w:rFonts w:hint="eastAsia" w:ascii="宋体" w:hAnsi="宋体" w:eastAsia="宋体" w:cs="宋体"/>
                <w:color w:val="auto"/>
                <w:sz w:val="24"/>
                <w:szCs w:val="24"/>
                <w:highlight w:val="none"/>
              </w:rPr>
            </w:pPr>
            <w:r>
              <w:rPr>
                <w:rFonts w:hint="eastAsia" w:ascii="宋体" w:hAnsi="宋体" w:eastAsia="宋体" w:cs="宋体"/>
                <w:iCs/>
                <w:kern w:val="2"/>
                <w:sz w:val="24"/>
                <w:szCs w:val="24"/>
                <w:u w:val="none"/>
                <w:lang w:val="en-US" w:eastAsia="zh-CN" w:bidi="ar"/>
              </w:rPr>
              <w:t>支付方式</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p>
        </w:tc>
        <w:tc>
          <w:tcPr>
            <w:tcW w:w="2301" w:type="dxa"/>
            <w:shd w:val="clear" w:color="auto" w:fill="auto"/>
            <w:noWrap w:val="0"/>
            <w:vAlign w:val="center"/>
          </w:tcPr>
          <w:p w14:paraId="5C43BD33">
            <w:pPr>
              <w:pStyle w:val="14"/>
              <w:ind w:left="0" w:leftChars="0"/>
              <w:jc w:val="center"/>
              <w:rPr>
                <w:rFonts w:hint="eastAsia"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7BB2A59">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附件6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附件7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附件8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497C2512">
      <w:pPr>
        <w:pStyle w:val="21"/>
        <w:rPr>
          <w:rFonts w:hint="default"/>
          <w:lang w:val="en-US" w:eastAsia="zh-CN"/>
        </w:rPr>
      </w:pPr>
    </w:p>
    <w:p w14:paraId="73BDAF7F">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0"/>
        <w:spacing w:beforeAutospacing="0" w:afterAutospacing="0" w:line="480" w:lineRule="auto"/>
        <w:ind w:firstLine="540" w:firstLineChars="224"/>
        <w:jc w:val="both"/>
        <w:rPr>
          <w:rFonts w:hint="eastAsia" w:cs="宋体"/>
          <w:b/>
          <w:bCs w:val="0"/>
          <w:color w:val="auto"/>
          <w:sz w:val="24"/>
          <w:szCs w:val="24"/>
          <w:highlight w:val="cyan"/>
          <w:lang w:val="en-US" w:eastAsia="zh-CN"/>
        </w:rPr>
      </w:pPr>
      <w:r>
        <w:rPr>
          <w:rFonts w:hint="eastAsia" w:cs="宋体"/>
          <w:b/>
          <w:bCs w:val="0"/>
          <w:color w:val="auto"/>
          <w:sz w:val="24"/>
          <w:szCs w:val="24"/>
          <w:highlight w:val="none"/>
          <w:lang w:val="en-US" w:eastAsia="zh-CN"/>
        </w:rPr>
        <w:t>8.2 评分标准中需提供的证明材料</w:t>
      </w:r>
    </w:p>
    <w:p w14:paraId="718DD9F8">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p>
    <w:p w14:paraId="758ADD3C">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 xml:space="preserve">3 </w:t>
      </w:r>
      <w:r>
        <w:rPr>
          <w:rFonts w:hint="eastAsia" w:cs="Arial" w:asciiTheme="minorEastAsia" w:hAnsiTheme="minorEastAsia"/>
          <w:b/>
          <w:sz w:val="24"/>
          <w:szCs w:val="24"/>
          <w:highlight w:val="none"/>
          <w:lang w:val="en-US" w:eastAsia="zh-CN"/>
        </w:rPr>
        <w:t>类似</w:t>
      </w:r>
      <w:r>
        <w:rPr>
          <w:rFonts w:cs="Arial" w:asciiTheme="minorEastAsia" w:hAnsiTheme="minorEastAsia"/>
          <w:b/>
          <w:sz w:val="24"/>
          <w:szCs w:val="24"/>
          <w:highlight w:val="none"/>
        </w:rPr>
        <w:t>业绩</w:t>
      </w:r>
    </w:p>
    <w:tbl>
      <w:tblPr>
        <w:tblStyle w:val="32"/>
        <w:tblW w:w="88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773"/>
        <w:gridCol w:w="2697"/>
        <w:gridCol w:w="1983"/>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773"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2697"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项目</w:t>
            </w:r>
            <w:r>
              <w:rPr>
                <w:rFonts w:hint="eastAsia" w:cs="Arial" w:asciiTheme="minorEastAsia" w:hAnsiTheme="minorEastAsia"/>
                <w:sz w:val="24"/>
                <w:highlight w:val="none"/>
              </w:rPr>
              <w:t>名称</w:t>
            </w:r>
          </w:p>
        </w:tc>
        <w:tc>
          <w:tcPr>
            <w:tcW w:w="1983"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773" w:type="dxa"/>
            <w:vAlign w:val="center"/>
          </w:tcPr>
          <w:p w14:paraId="0B354FD7">
            <w:pPr>
              <w:spacing w:before="120"/>
              <w:jc w:val="center"/>
              <w:rPr>
                <w:rFonts w:cs="Arial" w:asciiTheme="minorEastAsia" w:hAnsiTheme="minorEastAsia"/>
                <w:highlight w:val="none"/>
              </w:rPr>
            </w:pPr>
          </w:p>
        </w:tc>
        <w:tc>
          <w:tcPr>
            <w:tcW w:w="2697" w:type="dxa"/>
            <w:vAlign w:val="center"/>
          </w:tcPr>
          <w:p w14:paraId="37AC1C1D">
            <w:pPr>
              <w:spacing w:before="120"/>
              <w:jc w:val="center"/>
              <w:rPr>
                <w:rFonts w:cs="Arial" w:asciiTheme="minorEastAsia" w:hAnsiTheme="minorEastAsia"/>
                <w:highlight w:val="none"/>
              </w:rPr>
            </w:pPr>
          </w:p>
        </w:tc>
        <w:tc>
          <w:tcPr>
            <w:tcW w:w="1983"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773" w:type="dxa"/>
            <w:vAlign w:val="center"/>
          </w:tcPr>
          <w:p w14:paraId="2DA219B5">
            <w:pPr>
              <w:spacing w:before="120"/>
              <w:jc w:val="center"/>
              <w:rPr>
                <w:rFonts w:cs="Arial" w:asciiTheme="minorEastAsia" w:hAnsiTheme="minorEastAsia"/>
                <w:highlight w:val="none"/>
              </w:rPr>
            </w:pPr>
          </w:p>
        </w:tc>
        <w:tc>
          <w:tcPr>
            <w:tcW w:w="2697" w:type="dxa"/>
            <w:vAlign w:val="center"/>
          </w:tcPr>
          <w:p w14:paraId="60964CDB">
            <w:pPr>
              <w:spacing w:before="120"/>
              <w:jc w:val="center"/>
              <w:rPr>
                <w:rFonts w:cs="Arial" w:asciiTheme="minorEastAsia" w:hAnsiTheme="minorEastAsia"/>
                <w:highlight w:val="none"/>
              </w:rPr>
            </w:pPr>
          </w:p>
        </w:tc>
        <w:tc>
          <w:tcPr>
            <w:tcW w:w="1983"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773" w:type="dxa"/>
            <w:vAlign w:val="center"/>
          </w:tcPr>
          <w:p w14:paraId="0EC68B0F">
            <w:pPr>
              <w:spacing w:before="120"/>
              <w:jc w:val="center"/>
              <w:rPr>
                <w:rFonts w:cs="Arial" w:asciiTheme="minorEastAsia" w:hAnsiTheme="minorEastAsia"/>
                <w:highlight w:val="none"/>
              </w:rPr>
            </w:pPr>
          </w:p>
        </w:tc>
        <w:tc>
          <w:tcPr>
            <w:tcW w:w="2697" w:type="dxa"/>
            <w:vAlign w:val="center"/>
          </w:tcPr>
          <w:p w14:paraId="6264E41A">
            <w:pPr>
              <w:spacing w:before="120"/>
              <w:jc w:val="center"/>
              <w:rPr>
                <w:rFonts w:cs="Arial" w:asciiTheme="minorEastAsia" w:hAnsiTheme="minorEastAsia"/>
                <w:highlight w:val="none"/>
              </w:rPr>
            </w:pPr>
          </w:p>
        </w:tc>
        <w:tc>
          <w:tcPr>
            <w:tcW w:w="1983"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773" w:type="dxa"/>
            <w:vAlign w:val="center"/>
          </w:tcPr>
          <w:p w14:paraId="1B2F6ED2">
            <w:pPr>
              <w:spacing w:before="120"/>
              <w:jc w:val="center"/>
              <w:rPr>
                <w:rFonts w:cs="Arial" w:asciiTheme="minorEastAsia" w:hAnsiTheme="minorEastAsia"/>
                <w:highlight w:val="none"/>
              </w:rPr>
            </w:pPr>
          </w:p>
        </w:tc>
        <w:tc>
          <w:tcPr>
            <w:tcW w:w="2697" w:type="dxa"/>
            <w:vAlign w:val="center"/>
          </w:tcPr>
          <w:p w14:paraId="2D2D2FEC">
            <w:pPr>
              <w:spacing w:before="120"/>
              <w:jc w:val="center"/>
              <w:rPr>
                <w:rFonts w:cs="Arial" w:asciiTheme="minorEastAsia" w:hAnsiTheme="minorEastAsia"/>
                <w:highlight w:val="none"/>
              </w:rPr>
            </w:pPr>
          </w:p>
        </w:tc>
        <w:tc>
          <w:tcPr>
            <w:tcW w:w="1983"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773" w:type="dxa"/>
            <w:vAlign w:val="center"/>
          </w:tcPr>
          <w:p w14:paraId="6EC5F5FE">
            <w:pPr>
              <w:spacing w:before="120"/>
              <w:jc w:val="center"/>
              <w:rPr>
                <w:rFonts w:cs="Arial" w:asciiTheme="minorEastAsia" w:hAnsiTheme="minorEastAsia"/>
                <w:highlight w:val="none"/>
              </w:rPr>
            </w:pPr>
          </w:p>
        </w:tc>
        <w:tc>
          <w:tcPr>
            <w:tcW w:w="2697" w:type="dxa"/>
            <w:vAlign w:val="center"/>
          </w:tcPr>
          <w:p w14:paraId="1226E7A2">
            <w:pPr>
              <w:spacing w:before="120"/>
              <w:jc w:val="center"/>
              <w:rPr>
                <w:rFonts w:cs="Arial" w:asciiTheme="minorEastAsia" w:hAnsiTheme="minorEastAsia"/>
                <w:highlight w:val="none"/>
              </w:rPr>
            </w:pPr>
          </w:p>
        </w:tc>
        <w:tc>
          <w:tcPr>
            <w:tcW w:w="1983"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773" w:type="dxa"/>
            <w:vAlign w:val="center"/>
          </w:tcPr>
          <w:p w14:paraId="3904317C">
            <w:pPr>
              <w:spacing w:before="120"/>
              <w:jc w:val="center"/>
              <w:rPr>
                <w:rFonts w:cs="Arial" w:asciiTheme="minorEastAsia" w:hAnsiTheme="minorEastAsia"/>
                <w:highlight w:val="none"/>
              </w:rPr>
            </w:pPr>
          </w:p>
        </w:tc>
        <w:tc>
          <w:tcPr>
            <w:tcW w:w="2697" w:type="dxa"/>
            <w:vAlign w:val="center"/>
          </w:tcPr>
          <w:p w14:paraId="2B41D14C">
            <w:pPr>
              <w:spacing w:before="120"/>
              <w:jc w:val="center"/>
              <w:rPr>
                <w:rFonts w:cs="Arial" w:asciiTheme="minorEastAsia" w:hAnsiTheme="minorEastAsia"/>
                <w:highlight w:val="none"/>
              </w:rPr>
            </w:pPr>
          </w:p>
        </w:tc>
        <w:tc>
          <w:tcPr>
            <w:tcW w:w="1983"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773" w:type="dxa"/>
            <w:vAlign w:val="center"/>
          </w:tcPr>
          <w:p w14:paraId="1313E78D">
            <w:pPr>
              <w:spacing w:before="120"/>
              <w:jc w:val="center"/>
              <w:rPr>
                <w:rFonts w:cs="Arial" w:asciiTheme="minorEastAsia" w:hAnsiTheme="minorEastAsia"/>
                <w:highlight w:val="none"/>
              </w:rPr>
            </w:pPr>
          </w:p>
        </w:tc>
        <w:tc>
          <w:tcPr>
            <w:tcW w:w="2697" w:type="dxa"/>
            <w:vAlign w:val="center"/>
          </w:tcPr>
          <w:p w14:paraId="1B7314DE">
            <w:pPr>
              <w:spacing w:before="120"/>
              <w:jc w:val="center"/>
              <w:rPr>
                <w:rFonts w:cs="Arial" w:asciiTheme="minorEastAsia" w:hAnsiTheme="minorEastAsia"/>
                <w:highlight w:val="none"/>
              </w:rPr>
            </w:pPr>
          </w:p>
        </w:tc>
        <w:tc>
          <w:tcPr>
            <w:tcW w:w="1983"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773" w:type="dxa"/>
            <w:vAlign w:val="center"/>
          </w:tcPr>
          <w:p w14:paraId="561AB2CF">
            <w:pPr>
              <w:spacing w:before="120"/>
              <w:jc w:val="center"/>
              <w:rPr>
                <w:rFonts w:cs="Arial" w:asciiTheme="minorEastAsia" w:hAnsiTheme="minorEastAsia"/>
                <w:highlight w:val="none"/>
              </w:rPr>
            </w:pPr>
          </w:p>
        </w:tc>
        <w:tc>
          <w:tcPr>
            <w:tcW w:w="2697" w:type="dxa"/>
            <w:vAlign w:val="center"/>
          </w:tcPr>
          <w:p w14:paraId="4DC497D5">
            <w:pPr>
              <w:spacing w:before="120"/>
              <w:jc w:val="center"/>
              <w:rPr>
                <w:rFonts w:cs="Arial" w:asciiTheme="minorEastAsia" w:hAnsiTheme="minorEastAsia"/>
                <w:highlight w:val="none"/>
              </w:rPr>
            </w:pPr>
          </w:p>
        </w:tc>
        <w:tc>
          <w:tcPr>
            <w:tcW w:w="1983"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0"/>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8</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7630F48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3B2440-65B4-4441-8B19-CE8ADFB1229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1C4B7EBB-D536-401E-83D2-B37EF3140292}"/>
  </w:font>
  <w:font w:name="仿宋_GB2312">
    <w:panose1 w:val="02010609030101010101"/>
    <w:charset w:val="86"/>
    <w:family w:val="auto"/>
    <w:pitch w:val="default"/>
    <w:sig w:usb0="00000001" w:usb1="080E0000" w:usb2="00000000" w:usb3="00000000" w:csb0="00040000" w:csb1="00000000"/>
    <w:embedRegular r:id="rId3" w:fontKey="{10B52380-643E-4EB4-B138-DE5E0AF382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驻马店市中心医院中心院区污水站运营服务采购项目采购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04EBD"/>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75C81"/>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E37DB"/>
    <w:rsid w:val="04416C20"/>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DB04A3"/>
    <w:rsid w:val="05EB110D"/>
    <w:rsid w:val="05EB4481"/>
    <w:rsid w:val="05EB48F5"/>
    <w:rsid w:val="05F17CC7"/>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DE6ACB"/>
    <w:rsid w:val="0CEE5A21"/>
    <w:rsid w:val="0D05268E"/>
    <w:rsid w:val="0D0646E7"/>
    <w:rsid w:val="0D0C38CA"/>
    <w:rsid w:val="0D123874"/>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3795B"/>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5B2DE0"/>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993BC0"/>
    <w:rsid w:val="129F0AAB"/>
    <w:rsid w:val="12AB034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3FA2188"/>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65125"/>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71B26"/>
    <w:rsid w:val="1B181CD5"/>
    <w:rsid w:val="1B265306"/>
    <w:rsid w:val="1B4346C9"/>
    <w:rsid w:val="1B486183"/>
    <w:rsid w:val="1B4F2450"/>
    <w:rsid w:val="1B50619C"/>
    <w:rsid w:val="1B530868"/>
    <w:rsid w:val="1B6573E8"/>
    <w:rsid w:val="1B6922A5"/>
    <w:rsid w:val="1B721452"/>
    <w:rsid w:val="1B8C18B7"/>
    <w:rsid w:val="1BB73AE1"/>
    <w:rsid w:val="1BDA6D68"/>
    <w:rsid w:val="1BF14125"/>
    <w:rsid w:val="1BFB3B62"/>
    <w:rsid w:val="1C002CEE"/>
    <w:rsid w:val="1C0876C1"/>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CF8126C"/>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88466C"/>
    <w:rsid w:val="1D98209B"/>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65269"/>
    <w:rsid w:val="20784063"/>
    <w:rsid w:val="207E346A"/>
    <w:rsid w:val="208E12C3"/>
    <w:rsid w:val="209502A3"/>
    <w:rsid w:val="20EA3839"/>
    <w:rsid w:val="2100305C"/>
    <w:rsid w:val="210F579E"/>
    <w:rsid w:val="21163FF0"/>
    <w:rsid w:val="211B39F2"/>
    <w:rsid w:val="2121185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46728"/>
    <w:rsid w:val="271F6B87"/>
    <w:rsid w:val="27232743"/>
    <w:rsid w:val="27400656"/>
    <w:rsid w:val="274E2228"/>
    <w:rsid w:val="27517A93"/>
    <w:rsid w:val="27565784"/>
    <w:rsid w:val="275E53AF"/>
    <w:rsid w:val="27606603"/>
    <w:rsid w:val="27624129"/>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B7B44"/>
    <w:rsid w:val="283C23DF"/>
    <w:rsid w:val="283D69F1"/>
    <w:rsid w:val="283F090E"/>
    <w:rsid w:val="284C16F5"/>
    <w:rsid w:val="28570AB5"/>
    <w:rsid w:val="285B2719"/>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D97FE5"/>
    <w:rsid w:val="30E7260A"/>
    <w:rsid w:val="30E83A79"/>
    <w:rsid w:val="30E87D95"/>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360E17"/>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32382"/>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F9316D"/>
    <w:rsid w:val="3F222DB1"/>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2151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3C16DA"/>
    <w:rsid w:val="54447390"/>
    <w:rsid w:val="544B514D"/>
    <w:rsid w:val="545E1D01"/>
    <w:rsid w:val="54674051"/>
    <w:rsid w:val="5472334E"/>
    <w:rsid w:val="547F2161"/>
    <w:rsid w:val="54935B8F"/>
    <w:rsid w:val="54994D7E"/>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4448FC"/>
    <w:rsid w:val="57561D39"/>
    <w:rsid w:val="575B7AFD"/>
    <w:rsid w:val="576176AA"/>
    <w:rsid w:val="57660D3F"/>
    <w:rsid w:val="5774562F"/>
    <w:rsid w:val="5785783C"/>
    <w:rsid w:val="578F06BB"/>
    <w:rsid w:val="578F30CC"/>
    <w:rsid w:val="57A469A0"/>
    <w:rsid w:val="57A557E8"/>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9C643C"/>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46389"/>
    <w:rsid w:val="5D7C3F11"/>
    <w:rsid w:val="5D8B11F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421F29"/>
    <w:rsid w:val="6151078F"/>
    <w:rsid w:val="61521F2D"/>
    <w:rsid w:val="615F221E"/>
    <w:rsid w:val="61637D56"/>
    <w:rsid w:val="61712185"/>
    <w:rsid w:val="618B7207"/>
    <w:rsid w:val="61907E69"/>
    <w:rsid w:val="61A90D68"/>
    <w:rsid w:val="61B43A15"/>
    <w:rsid w:val="61D5316E"/>
    <w:rsid w:val="61D92C5E"/>
    <w:rsid w:val="61DA0425"/>
    <w:rsid w:val="62065A1D"/>
    <w:rsid w:val="6213792C"/>
    <w:rsid w:val="62145A44"/>
    <w:rsid w:val="621775E2"/>
    <w:rsid w:val="62186578"/>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84DB4"/>
    <w:rsid w:val="695B5B89"/>
    <w:rsid w:val="696C3D80"/>
    <w:rsid w:val="696D7E94"/>
    <w:rsid w:val="69796AC5"/>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9701A5"/>
    <w:rsid w:val="6AA03032"/>
    <w:rsid w:val="6AA86FEC"/>
    <w:rsid w:val="6AB06526"/>
    <w:rsid w:val="6ACB20F7"/>
    <w:rsid w:val="6AD54E94"/>
    <w:rsid w:val="6ADA6AC4"/>
    <w:rsid w:val="6ADB11D6"/>
    <w:rsid w:val="6B1A2C3C"/>
    <w:rsid w:val="6B221F4E"/>
    <w:rsid w:val="6B31644D"/>
    <w:rsid w:val="6B3E5CAC"/>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1F5E9D"/>
    <w:rsid w:val="6E212037"/>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C664F"/>
    <w:rsid w:val="702F7EED"/>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54C6E"/>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20B6A"/>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9F004E"/>
    <w:rsid w:val="77B4450A"/>
    <w:rsid w:val="77B46E73"/>
    <w:rsid w:val="77D45F4A"/>
    <w:rsid w:val="77E37A12"/>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F3BBF"/>
    <w:rsid w:val="7A2F459A"/>
    <w:rsid w:val="7A322A39"/>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73168"/>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2"/>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75"/>
    <w:autoRedefine/>
    <w:qFormat/>
    <w:uiPriority w:val="0"/>
  </w:style>
  <w:style w:type="paragraph" w:styleId="3">
    <w:name w:val="Body Text First Indent"/>
    <w:basedOn w:val="2"/>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2"/>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2"/>
    <w:basedOn w:val="14"/>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1"/>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2"/>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2"/>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11835</Words>
  <Characters>12400</Characters>
  <Lines>50</Lines>
  <Paragraphs>68</Paragraphs>
  <TotalTime>15</TotalTime>
  <ScaleCrop>false</ScaleCrop>
  <LinksUpToDate>false</LinksUpToDate>
  <CharactersWithSpaces>13292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2026-04-29T08:03:20Z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