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耳鼻喉图像系统采购项目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285" w:firstLineChars="4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285" w:firstLineChars="4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eastAsia="宋体" w:cs="宋体"/>
          <w:b/>
          <w:bCs/>
          <w:color w:val="auto"/>
          <w:spacing w:val="0"/>
          <w:sz w:val="34"/>
          <w:szCs w:val="34"/>
          <w:highlight w:val="none"/>
          <w:lang w:val="en-US" w:eastAsia="zh-CN"/>
        </w:rPr>
        <w:t>河南省伟信招标管理咨询有限公司</w:t>
      </w:r>
    </w:p>
    <w:p w14:paraId="4FCBE59C">
      <w:pPr>
        <w:tabs>
          <w:tab w:val="left" w:pos="2700"/>
          <w:tab w:val="left" w:pos="2880"/>
          <w:tab w:val="left" w:pos="3060"/>
          <w:tab w:val="left" w:pos="7560"/>
        </w:tabs>
        <w:snapToGrid w:val="0"/>
        <w:spacing w:line="480" w:lineRule="auto"/>
        <w:ind w:firstLine="1285" w:firstLineChars="400"/>
        <w:jc w:val="both"/>
        <w:rPr>
          <w:rFonts w:hint="default" w:ascii="宋体" w:hAnsi="宋体" w:eastAsia="宋体" w:cs="宋体"/>
          <w:b/>
          <w:bCs/>
          <w:color w:val="auto"/>
          <w:spacing w:val="-10"/>
          <w:sz w:val="34"/>
          <w:szCs w:val="34"/>
          <w:highlight w:val="yellow"/>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yellow"/>
          <w:lang w:val="en-US" w:eastAsia="zh-CN"/>
        </w:rPr>
        <w:t>04</w:t>
      </w:r>
      <w:r>
        <w:rPr>
          <w:rFonts w:hint="eastAsia" w:ascii="宋体" w:hAnsi="宋体" w:eastAsia="宋体" w:cs="宋体"/>
          <w:b/>
          <w:bCs/>
          <w:color w:val="auto"/>
          <w:spacing w:val="-10"/>
          <w:sz w:val="34"/>
          <w:szCs w:val="34"/>
          <w:highlight w:val="yellow"/>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耳鼻喉图像系统采购项目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耳鼻喉图像系统采购项目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耳鼻喉图像系统采购项目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250000元</w:t>
      </w:r>
      <w:r>
        <w:rPr>
          <w:rFonts w:hint="eastAsia" w:ascii="宋体" w:hAnsi="宋体" w:cs="宋体"/>
          <w:color w:val="auto"/>
          <w:sz w:val="24"/>
          <w:szCs w:val="24"/>
          <w:highlight w:val="none"/>
          <w:shd w:val="clear" w:color="auto" w:fill="FFFFFF"/>
          <w:lang w:val="en-US" w:eastAsia="zh-CN"/>
        </w:rPr>
        <w:t>；</w:t>
      </w:r>
    </w:p>
    <w:p w14:paraId="069AF0E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6639"/>
      <w:bookmarkStart w:id="5" w:name="_Toc18607"/>
      <w:bookmarkStart w:id="6" w:name="_Toc27704"/>
      <w:bookmarkStart w:id="7"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23395"/>
      <w:bookmarkStart w:id="10" w:name="_Toc9562"/>
      <w:bookmarkStart w:id="11" w:name="_Toc7823"/>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08BDA343">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12"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30</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934027204</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25869"/>
      <w:bookmarkStart w:id="15" w:name="_Toc15111"/>
      <w:bookmarkStart w:id="16" w:name="_Toc15135"/>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604"/>
      <w:bookmarkStart w:id="25" w:name="_Toc24274"/>
      <w:bookmarkStart w:id="26" w:name="_Toc31928"/>
      <w:bookmarkStart w:id="27" w:name="_Toc27370"/>
      <w:bookmarkStart w:id="28"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768FD29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2.采购代理机构：河南省伟信招标管理咨询有限公司 </w:t>
      </w:r>
    </w:p>
    <w:p w14:paraId="690F3ABD">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地址：郑州市郑东新区东风南路与创业路交叉口绿地中心北塔16楼</w:t>
      </w:r>
    </w:p>
    <w:p w14:paraId="2CBFE186">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联系人：陈先生</w:t>
      </w:r>
    </w:p>
    <w:p w14:paraId="6292644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w:t>
      </w:r>
      <w:bookmarkStart w:id="79" w:name="_GoBack"/>
      <w:bookmarkEnd w:id="79"/>
      <w:r>
        <w:rPr>
          <w:rFonts w:hint="eastAsia" w:ascii="宋体" w:hAnsi="宋体" w:eastAsia="宋体" w:cs="宋体"/>
          <w:color w:val="auto"/>
          <w:sz w:val="24"/>
          <w:szCs w:val="24"/>
          <w:highlight w:val="none"/>
          <w:shd w:val="clear" w:color="auto" w:fill="FFFFFF"/>
        </w:rPr>
        <w:t>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29</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耳鼻喉图像系统采购项目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134"/>
        <w:gridCol w:w="850"/>
        <w:gridCol w:w="967"/>
        <w:gridCol w:w="1384"/>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34"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2134"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耳鼻喉图像系统</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套</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250000元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5"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85"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sz w:val="24"/>
                <w:szCs w:val="24"/>
                <w:highlight w:val="none"/>
                <w:vertAlign w:val="baseline"/>
                <w:lang w:val="en-US" w:eastAsia="zh-CN"/>
              </w:rPr>
              <w:t>250000元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5"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85" w:type="dxa"/>
            <w:gridSpan w:val="6"/>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7467BA4A">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41F371C1">
      <w:pPr>
        <w:spacing w:before="0" w:after="0" w:line="240" w:lineRule="auto"/>
        <w:ind w:left="0" w:right="0" w:firstLine="0"/>
        <w:jc w:val="center"/>
        <w:rPr>
          <w:rFonts w:ascii="Calibri" w:hAnsi="Calibri" w:eastAsia="Calibri" w:cs="Calibri"/>
          <w:b/>
          <w:color w:val="auto"/>
          <w:spacing w:val="0"/>
          <w:position w:val="0"/>
          <w:sz w:val="36"/>
          <w:shd w:val="clear" w:color="auto" w:fill="auto"/>
        </w:rPr>
      </w:pPr>
      <w:r>
        <w:rPr>
          <w:rFonts w:hint="eastAsia" w:ascii="宋体" w:hAnsi="宋体" w:eastAsia="宋体" w:cs="宋体"/>
          <w:b/>
          <w:color w:val="auto"/>
          <w:spacing w:val="0"/>
          <w:position w:val="0"/>
          <w:sz w:val="36"/>
          <w:shd w:val="clear" w:color="auto" w:fill="auto"/>
          <w:lang w:val="en-US" w:eastAsia="zh-CN"/>
        </w:rPr>
        <w:t>耳鼻喉图像系统</w:t>
      </w:r>
      <w:r>
        <w:rPr>
          <w:rFonts w:ascii="宋体" w:hAnsi="宋体" w:eastAsia="宋体" w:cs="宋体"/>
          <w:b/>
          <w:color w:val="auto"/>
          <w:spacing w:val="0"/>
          <w:position w:val="0"/>
          <w:sz w:val="36"/>
          <w:shd w:val="clear" w:color="auto" w:fill="auto"/>
        </w:rPr>
        <w:t>技术参数</w:t>
      </w:r>
    </w:p>
    <w:p w14:paraId="40BDB094">
      <w:pPr>
        <w:keepNext w:val="0"/>
        <w:keepLines w:val="0"/>
        <w:pageBreakBefore w:val="0"/>
        <w:widowControl w:val="0"/>
        <w:kinsoku/>
        <w:wordWrap/>
        <w:overflowPunct/>
        <w:topLinePunct w:val="0"/>
        <w:autoSpaceDE/>
        <w:autoSpaceDN/>
        <w:bidi w:val="0"/>
        <w:adjustRightInd/>
        <w:snapToGrid/>
        <w:spacing w:before="0" w:after="0" w:line="288" w:lineRule="auto"/>
        <w:ind w:left="0" w:right="0" w:firstLine="562" w:firstLineChars="200"/>
        <w:jc w:val="left"/>
        <w:textAlignment w:val="auto"/>
        <w:rPr>
          <w:rFonts w:ascii="Calibri" w:hAnsi="Calibri" w:eastAsia="Calibri" w:cs="Calibri"/>
          <w:b/>
          <w:color w:val="auto"/>
          <w:spacing w:val="0"/>
          <w:position w:val="0"/>
          <w:sz w:val="28"/>
          <w:szCs w:val="28"/>
          <w:shd w:val="clear" w:color="auto" w:fill="auto"/>
        </w:rPr>
      </w:pPr>
      <w:r>
        <w:rPr>
          <w:rFonts w:hint="eastAsia" w:ascii="宋体" w:hAnsi="宋体" w:eastAsia="宋体" w:cs="宋体"/>
          <w:b/>
          <w:color w:val="auto"/>
          <w:spacing w:val="0"/>
          <w:position w:val="0"/>
          <w:sz w:val="28"/>
          <w:szCs w:val="28"/>
          <w:shd w:val="clear" w:color="auto" w:fill="auto"/>
          <w:lang w:eastAsia="zh-CN"/>
        </w:rPr>
        <w:t>（</w:t>
      </w:r>
      <w:r>
        <w:rPr>
          <w:rFonts w:hint="eastAsia" w:ascii="宋体" w:hAnsi="宋体" w:eastAsia="宋体" w:cs="宋体"/>
          <w:b/>
          <w:color w:val="auto"/>
          <w:spacing w:val="0"/>
          <w:position w:val="0"/>
          <w:sz w:val="28"/>
          <w:szCs w:val="28"/>
          <w:shd w:val="clear" w:color="auto" w:fill="auto"/>
          <w:lang w:val="en-US" w:eastAsia="zh-CN"/>
        </w:rPr>
        <w:t>一</w:t>
      </w:r>
      <w:r>
        <w:rPr>
          <w:rFonts w:hint="eastAsia" w:ascii="宋体" w:hAnsi="宋体" w:eastAsia="宋体" w:cs="宋体"/>
          <w:b/>
          <w:color w:val="auto"/>
          <w:spacing w:val="0"/>
          <w:position w:val="0"/>
          <w:sz w:val="28"/>
          <w:szCs w:val="28"/>
          <w:shd w:val="clear" w:color="auto" w:fill="auto"/>
          <w:lang w:eastAsia="zh-CN"/>
        </w:rPr>
        <w:t>）医用</w:t>
      </w:r>
      <w:r>
        <w:rPr>
          <w:rFonts w:ascii="宋体" w:hAnsi="宋体" w:eastAsia="宋体" w:cs="宋体"/>
          <w:b/>
          <w:color w:val="auto"/>
          <w:spacing w:val="0"/>
          <w:position w:val="0"/>
          <w:sz w:val="28"/>
          <w:szCs w:val="28"/>
          <w:shd w:val="clear" w:color="auto" w:fill="auto"/>
        </w:rPr>
        <w:t>内窥镜摄像系统</w:t>
      </w:r>
    </w:p>
    <w:p w14:paraId="7B1CA2F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1.1</w:t>
      </w:r>
      <w:r>
        <w:rPr>
          <w:rFonts w:hint="eastAsia" w:ascii="宋体" w:hAnsi="宋体" w:eastAsia="宋体" w:cs="宋体"/>
          <w:color w:val="auto"/>
          <w:kern w:val="2"/>
          <w:sz w:val="21"/>
          <w:szCs w:val="21"/>
          <w:lang w:val="en-US" w:eastAsia="zh-CN" w:bidi="ar-SA"/>
        </w:rPr>
        <w:t>水平分辨力：≥1900线</w:t>
      </w:r>
      <w:r>
        <w:rPr>
          <w:rFonts w:hint="eastAsia" w:ascii="宋体" w:hAnsi="宋体" w:eastAsia="宋体" w:cs="宋体"/>
          <w:color w:val="000000"/>
          <w:spacing w:val="0"/>
          <w:position w:val="0"/>
          <w:sz w:val="21"/>
          <w:szCs w:val="21"/>
          <w:shd w:val="clear" w:color="auto" w:fill="auto"/>
          <w:lang w:eastAsia="zh-CN"/>
        </w:rPr>
        <w:t>；</w:t>
      </w:r>
    </w:p>
    <w:p w14:paraId="4F98B19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rPr>
      </w:pPr>
      <w:r>
        <w:rPr>
          <w:rFonts w:hint="eastAsia" w:ascii="宋体" w:hAnsi="宋体" w:eastAsia="宋体" w:cs="宋体"/>
          <w:color w:val="000000"/>
          <w:spacing w:val="0"/>
          <w:position w:val="0"/>
          <w:sz w:val="21"/>
          <w:szCs w:val="21"/>
          <w:shd w:val="clear" w:color="auto" w:fill="auto"/>
          <w:lang w:val="en-US" w:eastAsia="zh-CN"/>
        </w:rPr>
        <w:t>1.2</w:t>
      </w:r>
      <w:r>
        <w:rPr>
          <w:rFonts w:hint="eastAsia" w:ascii="宋体" w:hAnsi="宋体" w:eastAsia="宋体" w:cs="宋体"/>
          <w:color w:val="000000"/>
          <w:spacing w:val="0"/>
          <w:position w:val="0"/>
          <w:sz w:val="21"/>
          <w:szCs w:val="21"/>
          <w:shd w:val="clear" w:color="auto" w:fill="auto"/>
        </w:rPr>
        <w:t>分辨率：</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000000"/>
          <w:spacing w:val="0"/>
          <w:position w:val="0"/>
          <w:sz w:val="21"/>
          <w:szCs w:val="21"/>
          <w:shd w:val="clear" w:color="auto" w:fill="auto"/>
        </w:rPr>
        <w:t>1920(H)x1080(V) 60帧；</w:t>
      </w:r>
    </w:p>
    <w:p w14:paraId="7C1CCF6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1.3</w:t>
      </w:r>
      <w:r>
        <w:rPr>
          <w:rFonts w:hint="eastAsia" w:ascii="宋体" w:hAnsi="宋体" w:eastAsia="宋体" w:cs="宋体"/>
          <w:color w:val="000000"/>
          <w:spacing w:val="0"/>
          <w:position w:val="0"/>
          <w:sz w:val="21"/>
          <w:szCs w:val="21"/>
          <w:shd w:val="clear" w:color="auto" w:fill="auto"/>
        </w:rPr>
        <w:t>输出清晰度：</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000000"/>
          <w:spacing w:val="0"/>
          <w:position w:val="0"/>
          <w:sz w:val="21"/>
          <w:szCs w:val="21"/>
          <w:shd w:val="clear" w:color="auto" w:fill="auto"/>
        </w:rPr>
        <w:t>1080P</w:t>
      </w:r>
      <w:r>
        <w:rPr>
          <w:rFonts w:hint="eastAsia" w:ascii="宋体" w:hAnsi="宋体" w:eastAsia="宋体" w:cs="宋体"/>
          <w:color w:val="000000"/>
          <w:spacing w:val="0"/>
          <w:position w:val="0"/>
          <w:sz w:val="21"/>
          <w:szCs w:val="21"/>
          <w:shd w:val="clear" w:color="auto" w:fill="auto"/>
          <w:lang w:eastAsia="zh-CN"/>
        </w:rPr>
        <w:t>；</w:t>
      </w:r>
    </w:p>
    <w:p w14:paraId="29DB947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1.4</w:t>
      </w:r>
      <w:r>
        <w:rPr>
          <w:rFonts w:hint="eastAsia" w:ascii="宋体" w:hAnsi="宋体" w:eastAsia="宋体" w:cs="宋体"/>
          <w:color w:val="000000"/>
          <w:spacing w:val="0"/>
          <w:position w:val="0"/>
          <w:sz w:val="21"/>
          <w:szCs w:val="21"/>
          <w:shd w:val="clear" w:color="auto" w:fill="auto"/>
        </w:rPr>
        <w:t>手术模式：带有</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000000"/>
          <w:spacing w:val="0"/>
          <w:position w:val="0"/>
          <w:sz w:val="21"/>
          <w:szCs w:val="21"/>
          <w:shd w:val="clear" w:color="auto" w:fill="auto"/>
          <w:lang w:val="en-US" w:eastAsia="zh-CN"/>
        </w:rPr>
        <w:t>9</w:t>
      </w:r>
      <w:r>
        <w:rPr>
          <w:rFonts w:hint="eastAsia" w:ascii="宋体" w:hAnsi="宋体" w:eastAsia="宋体" w:cs="宋体"/>
          <w:color w:val="000000"/>
          <w:spacing w:val="0"/>
          <w:position w:val="0"/>
          <w:sz w:val="21"/>
          <w:szCs w:val="21"/>
          <w:shd w:val="clear" w:color="auto" w:fill="auto"/>
        </w:rPr>
        <w:t>种内镜手术场景模式，一键式切换内镜模式，适用不同科室</w:t>
      </w:r>
      <w:r>
        <w:rPr>
          <w:rFonts w:hint="eastAsia" w:ascii="宋体" w:hAnsi="宋体" w:eastAsia="宋体" w:cs="宋体"/>
          <w:color w:val="000000"/>
          <w:spacing w:val="0"/>
          <w:position w:val="0"/>
          <w:sz w:val="21"/>
          <w:szCs w:val="21"/>
          <w:shd w:val="clear" w:color="auto" w:fill="auto"/>
          <w:lang w:eastAsia="zh-CN"/>
        </w:rPr>
        <w:t>；</w:t>
      </w:r>
    </w:p>
    <w:p w14:paraId="40170FC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rPr>
      </w:pPr>
      <w:r>
        <w:rPr>
          <w:rFonts w:hint="eastAsia" w:ascii="宋体" w:hAnsi="宋体" w:eastAsia="宋体" w:cs="宋体"/>
          <w:color w:val="000000"/>
          <w:spacing w:val="0"/>
          <w:position w:val="0"/>
          <w:sz w:val="21"/>
          <w:szCs w:val="21"/>
          <w:shd w:val="clear" w:color="auto" w:fill="auto"/>
          <w:lang w:val="en-US" w:eastAsia="zh-CN"/>
        </w:rPr>
        <w:t>1.5</w:t>
      </w:r>
      <w:r>
        <w:rPr>
          <w:rFonts w:hint="eastAsia" w:ascii="宋体" w:hAnsi="宋体" w:eastAsia="宋体" w:cs="宋体"/>
          <w:color w:val="000000"/>
          <w:spacing w:val="0"/>
          <w:position w:val="0"/>
          <w:sz w:val="21"/>
          <w:szCs w:val="21"/>
          <w:shd w:val="clear" w:color="auto" w:fill="auto"/>
        </w:rPr>
        <w:t>具有多种图像处理功能：亮度、饱和度、清晰度并具有图像放大、图像翻转等功能；</w:t>
      </w:r>
    </w:p>
    <w:p w14:paraId="10DADC0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1.6</w:t>
      </w:r>
      <w:r>
        <w:rPr>
          <w:rFonts w:hint="eastAsia" w:ascii="宋体" w:hAnsi="宋体" w:eastAsia="宋体" w:cs="宋体"/>
          <w:color w:val="000000"/>
          <w:spacing w:val="0"/>
          <w:position w:val="0"/>
          <w:sz w:val="21"/>
          <w:szCs w:val="21"/>
          <w:shd w:val="clear" w:color="auto" w:fill="auto"/>
        </w:rPr>
        <w:t>光学</w:t>
      </w:r>
      <w:r>
        <w:rPr>
          <w:rFonts w:hint="eastAsia" w:ascii="宋体" w:hAnsi="宋体" w:eastAsia="宋体" w:cs="宋体"/>
          <w:color w:val="000000"/>
          <w:spacing w:val="0"/>
          <w:position w:val="0"/>
          <w:sz w:val="21"/>
          <w:szCs w:val="21"/>
          <w:shd w:val="clear" w:color="auto" w:fill="auto"/>
          <w:lang w:val="en-US" w:eastAsia="zh-CN"/>
        </w:rPr>
        <w:t>卡扣</w:t>
      </w:r>
      <w:r>
        <w:rPr>
          <w:rFonts w:hint="eastAsia" w:ascii="宋体" w:hAnsi="宋体" w:eastAsia="宋体" w:cs="宋体"/>
          <w:color w:val="000000"/>
          <w:spacing w:val="0"/>
          <w:position w:val="0"/>
          <w:sz w:val="21"/>
          <w:szCs w:val="21"/>
          <w:shd w:val="clear" w:color="auto" w:fill="auto"/>
        </w:rPr>
        <w:t>可选</w:t>
      </w:r>
      <w:r>
        <w:rPr>
          <w:rFonts w:hint="eastAsia" w:ascii="宋体" w:hAnsi="宋体" w:eastAsia="宋体" w:cs="宋体"/>
          <w:color w:val="000000"/>
          <w:spacing w:val="0"/>
          <w:position w:val="0"/>
          <w:sz w:val="21"/>
          <w:szCs w:val="21"/>
          <w:shd w:val="clear" w:color="auto" w:fill="auto"/>
          <w:lang w:eastAsia="zh-CN"/>
        </w:rPr>
        <w:t>；</w:t>
      </w:r>
    </w:p>
    <w:p w14:paraId="1EA97B4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1.7</w:t>
      </w:r>
      <w:r>
        <w:rPr>
          <w:rFonts w:hint="eastAsia" w:ascii="宋体" w:hAnsi="宋体" w:eastAsia="宋体" w:cs="宋体"/>
          <w:color w:val="000000"/>
          <w:spacing w:val="0"/>
          <w:position w:val="0"/>
          <w:sz w:val="21"/>
          <w:szCs w:val="21"/>
          <w:shd w:val="clear" w:color="auto" w:fill="auto"/>
        </w:rPr>
        <w:t>白平衡：预置白平衡</w:t>
      </w:r>
      <w:r>
        <w:rPr>
          <w:rFonts w:hint="eastAsia" w:ascii="宋体" w:hAnsi="宋体" w:eastAsia="宋体" w:cs="宋体"/>
          <w:color w:val="000000"/>
          <w:spacing w:val="0"/>
          <w:position w:val="0"/>
          <w:sz w:val="21"/>
          <w:szCs w:val="21"/>
          <w:shd w:val="clear" w:color="auto" w:fill="auto"/>
          <w:lang w:eastAsia="zh-CN"/>
        </w:rPr>
        <w:t>；</w:t>
      </w:r>
    </w:p>
    <w:p w14:paraId="3635369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1.8</w:t>
      </w:r>
      <w:r>
        <w:rPr>
          <w:rFonts w:hint="eastAsia" w:ascii="宋体" w:hAnsi="宋体" w:eastAsia="宋体" w:cs="宋体"/>
          <w:color w:val="000000"/>
          <w:spacing w:val="0"/>
          <w:position w:val="0"/>
          <w:sz w:val="21"/>
          <w:szCs w:val="21"/>
          <w:shd w:val="clear" w:color="auto" w:fill="auto"/>
        </w:rPr>
        <w:t>遥控控制：摄像头按键具有六种遥控功能</w:t>
      </w:r>
      <w:r>
        <w:rPr>
          <w:rFonts w:hint="eastAsia" w:ascii="宋体" w:hAnsi="宋体" w:eastAsia="宋体" w:cs="宋体"/>
          <w:color w:val="000000"/>
          <w:spacing w:val="0"/>
          <w:position w:val="0"/>
          <w:sz w:val="21"/>
          <w:szCs w:val="21"/>
          <w:shd w:val="clear" w:color="auto" w:fill="auto"/>
          <w:lang w:eastAsia="zh-CN"/>
        </w:rPr>
        <w:t>；</w:t>
      </w:r>
    </w:p>
    <w:p w14:paraId="658490E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1.9</w:t>
      </w:r>
      <w:r>
        <w:rPr>
          <w:rFonts w:hint="eastAsia" w:ascii="宋体" w:hAnsi="宋体" w:eastAsia="宋体" w:cs="宋体"/>
          <w:color w:val="000000"/>
          <w:spacing w:val="0"/>
          <w:position w:val="0"/>
          <w:sz w:val="21"/>
          <w:szCs w:val="21"/>
          <w:shd w:val="clear" w:color="auto" w:fill="auto"/>
        </w:rPr>
        <w:t>扫描方式：逐行扫描16：9</w:t>
      </w:r>
      <w:r>
        <w:rPr>
          <w:rFonts w:hint="eastAsia" w:ascii="宋体" w:hAnsi="宋体" w:eastAsia="宋体" w:cs="宋体"/>
          <w:color w:val="000000"/>
          <w:spacing w:val="0"/>
          <w:position w:val="0"/>
          <w:sz w:val="21"/>
          <w:szCs w:val="21"/>
          <w:shd w:val="clear" w:color="auto" w:fill="auto"/>
          <w:lang w:eastAsia="zh-CN"/>
        </w:rPr>
        <w:t>；</w:t>
      </w:r>
    </w:p>
    <w:p w14:paraId="5BC7135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1.10</w:t>
      </w:r>
      <w:r>
        <w:rPr>
          <w:rFonts w:hint="eastAsia" w:ascii="宋体" w:hAnsi="宋体" w:eastAsia="宋体" w:cs="宋体"/>
          <w:color w:val="000000"/>
          <w:spacing w:val="0"/>
          <w:position w:val="0"/>
          <w:sz w:val="21"/>
          <w:szCs w:val="21"/>
          <w:shd w:val="clear" w:color="auto" w:fill="auto"/>
        </w:rPr>
        <w:t>最小光照度：</w:t>
      </w:r>
      <w:r>
        <w:rPr>
          <w:rFonts w:hint="eastAsia" w:ascii="宋体" w:hAnsi="宋体" w:eastAsia="宋体" w:cs="宋体"/>
          <w:color w:val="000000"/>
          <w:spacing w:val="0"/>
          <w:position w:val="0"/>
          <w:sz w:val="21"/>
          <w:szCs w:val="21"/>
          <w:shd w:val="clear" w:color="auto" w:fill="auto"/>
          <w:lang w:eastAsia="zh-CN"/>
        </w:rPr>
        <w:t>≤</w:t>
      </w:r>
      <w:r>
        <w:rPr>
          <w:rFonts w:hint="eastAsia" w:ascii="宋体" w:hAnsi="宋体" w:eastAsia="宋体" w:cs="宋体"/>
          <w:color w:val="000000"/>
          <w:spacing w:val="0"/>
          <w:position w:val="0"/>
          <w:sz w:val="21"/>
          <w:szCs w:val="21"/>
          <w:shd w:val="clear" w:color="auto" w:fill="auto"/>
          <w:lang w:val="en-US" w:eastAsia="zh-CN"/>
        </w:rPr>
        <w:t>1</w:t>
      </w:r>
      <w:r>
        <w:rPr>
          <w:rFonts w:hint="eastAsia" w:ascii="宋体" w:hAnsi="宋体" w:eastAsia="宋体" w:cs="宋体"/>
          <w:color w:val="000000"/>
          <w:spacing w:val="0"/>
          <w:position w:val="0"/>
          <w:sz w:val="21"/>
          <w:szCs w:val="21"/>
          <w:shd w:val="clear" w:color="auto" w:fill="auto"/>
        </w:rPr>
        <w:t>LUX</w:t>
      </w:r>
      <w:r>
        <w:rPr>
          <w:rFonts w:hint="eastAsia" w:ascii="宋体" w:hAnsi="宋体" w:eastAsia="宋体" w:cs="宋体"/>
          <w:color w:val="000000"/>
          <w:spacing w:val="0"/>
          <w:position w:val="0"/>
          <w:sz w:val="21"/>
          <w:szCs w:val="21"/>
          <w:shd w:val="clear" w:color="auto" w:fill="auto"/>
          <w:lang w:eastAsia="zh-CN"/>
        </w:rPr>
        <w:t>；</w:t>
      </w:r>
    </w:p>
    <w:p w14:paraId="78D8E10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1.11</w:t>
      </w:r>
      <w:r>
        <w:rPr>
          <w:rFonts w:hint="eastAsia" w:ascii="宋体" w:hAnsi="宋体" w:eastAsia="宋体" w:cs="宋体"/>
          <w:color w:val="000000"/>
          <w:spacing w:val="0"/>
          <w:position w:val="0"/>
          <w:sz w:val="21"/>
          <w:szCs w:val="21"/>
          <w:shd w:val="clear" w:color="auto" w:fill="auto"/>
        </w:rPr>
        <w:t>帧频：50Hz/60Hz</w:t>
      </w:r>
      <w:r>
        <w:rPr>
          <w:rFonts w:hint="eastAsia" w:ascii="宋体" w:hAnsi="宋体" w:eastAsia="宋体" w:cs="宋体"/>
          <w:color w:val="000000"/>
          <w:spacing w:val="0"/>
          <w:position w:val="0"/>
          <w:sz w:val="21"/>
          <w:szCs w:val="21"/>
          <w:shd w:val="clear" w:color="auto" w:fill="auto"/>
          <w:lang w:eastAsia="zh-CN"/>
        </w:rPr>
        <w:t>；</w:t>
      </w:r>
    </w:p>
    <w:p w14:paraId="11F64DA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1.12</w:t>
      </w:r>
      <w:r>
        <w:rPr>
          <w:rFonts w:hint="eastAsia" w:ascii="宋体" w:hAnsi="宋体" w:eastAsia="宋体" w:cs="宋体"/>
          <w:color w:val="000000"/>
          <w:spacing w:val="0"/>
          <w:position w:val="0"/>
          <w:sz w:val="21"/>
          <w:szCs w:val="21"/>
          <w:shd w:val="clear" w:color="auto" w:fill="auto"/>
        </w:rPr>
        <w:t>输出信号：HDMI/DVI/</w:t>
      </w:r>
      <w:r>
        <w:rPr>
          <w:rFonts w:hint="eastAsia" w:ascii="宋体" w:hAnsi="宋体" w:eastAsia="宋体" w:cs="宋体"/>
          <w:color w:val="000000"/>
          <w:spacing w:val="0"/>
          <w:position w:val="0"/>
          <w:sz w:val="21"/>
          <w:szCs w:val="21"/>
          <w:shd w:val="clear" w:color="auto" w:fill="auto"/>
          <w:lang w:val="en-US" w:eastAsia="zh-CN"/>
        </w:rPr>
        <w:t>RS-232/USB/Ethernet</w:t>
      </w:r>
      <w:r>
        <w:rPr>
          <w:rFonts w:hint="eastAsia" w:ascii="宋体" w:hAnsi="宋体" w:eastAsia="宋体" w:cs="宋体"/>
          <w:color w:val="000000"/>
          <w:spacing w:val="0"/>
          <w:position w:val="0"/>
          <w:sz w:val="21"/>
          <w:szCs w:val="21"/>
          <w:shd w:val="clear" w:color="auto" w:fill="auto"/>
          <w:lang w:eastAsia="zh-CN"/>
        </w:rPr>
        <w:t>；</w:t>
      </w:r>
    </w:p>
    <w:p w14:paraId="2B46A95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1.13</w:t>
      </w:r>
      <w:r>
        <w:rPr>
          <w:rFonts w:hint="eastAsia" w:ascii="宋体" w:hAnsi="宋体" w:eastAsia="宋体" w:cs="宋体"/>
          <w:color w:val="000000"/>
          <w:spacing w:val="0"/>
          <w:position w:val="0"/>
          <w:sz w:val="21"/>
          <w:szCs w:val="21"/>
          <w:shd w:val="clear" w:color="auto" w:fill="auto"/>
        </w:rPr>
        <w:t>安全类别：I类 BF</w:t>
      </w:r>
      <w:r>
        <w:rPr>
          <w:rFonts w:hint="eastAsia" w:ascii="宋体" w:hAnsi="宋体" w:eastAsia="宋体" w:cs="宋体"/>
          <w:color w:val="000000"/>
          <w:spacing w:val="0"/>
          <w:position w:val="0"/>
          <w:sz w:val="21"/>
          <w:szCs w:val="21"/>
          <w:shd w:val="clear" w:color="auto" w:fill="auto"/>
          <w:lang w:eastAsia="zh-CN"/>
        </w:rPr>
        <w:t>；</w:t>
      </w:r>
    </w:p>
    <w:p w14:paraId="4AB4669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1.14</w:t>
      </w:r>
      <w:r>
        <w:rPr>
          <w:rFonts w:hint="eastAsia" w:ascii="宋体" w:hAnsi="宋体" w:eastAsia="宋体" w:cs="宋体"/>
          <w:color w:val="000000"/>
          <w:spacing w:val="0"/>
          <w:position w:val="0"/>
          <w:sz w:val="21"/>
          <w:szCs w:val="21"/>
          <w:shd w:val="clear" w:color="auto" w:fill="auto"/>
        </w:rPr>
        <w:t>消毒：浸泡，</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000000"/>
          <w:spacing w:val="0"/>
          <w:position w:val="0"/>
          <w:sz w:val="21"/>
          <w:szCs w:val="21"/>
          <w:shd w:val="clear" w:color="auto" w:fill="auto"/>
        </w:rPr>
        <w:t>IPX</w:t>
      </w:r>
      <w:r>
        <w:rPr>
          <w:rFonts w:hint="eastAsia" w:ascii="宋体" w:hAnsi="宋体" w:eastAsia="宋体" w:cs="宋体"/>
          <w:color w:val="000000"/>
          <w:spacing w:val="0"/>
          <w:position w:val="0"/>
          <w:sz w:val="21"/>
          <w:szCs w:val="21"/>
          <w:shd w:val="clear" w:color="auto" w:fill="auto"/>
          <w:lang w:val="en-US" w:eastAsia="zh-CN"/>
        </w:rPr>
        <w:t>7</w:t>
      </w:r>
      <w:r>
        <w:rPr>
          <w:rFonts w:hint="eastAsia" w:ascii="宋体" w:hAnsi="宋体" w:eastAsia="宋体" w:cs="宋体"/>
          <w:color w:val="000000"/>
          <w:spacing w:val="0"/>
          <w:position w:val="0"/>
          <w:sz w:val="21"/>
          <w:szCs w:val="21"/>
          <w:shd w:val="clear" w:color="auto" w:fill="auto"/>
          <w:lang w:eastAsia="zh-CN"/>
        </w:rPr>
        <w:t>；</w:t>
      </w:r>
    </w:p>
    <w:p w14:paraId="09122F2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eastAsia="zh-CN"/>
        </w:rPr>
      </w:pPr>
      <w:r>
        <w:rPr>
          <w:rFonts w:hint="eastAsia" w:ascii="宋体" w:hAnsi="宋体" w:eastAsia="宋体" w:cs="宋体"/>
          <w:color w:val="000000"/>
          <w:spacing w:val="0"/>
          <w:position w:val="0"/>
          <w:sz w:val="21"/>
          <w:szCs w:val="21"/>
          <w:shd w:val="clear" w:color="auto" w:fill="auto"/>
          <w:lang w:val="en-US" w:eastAsia="zh-CN"/>
        </w:rPr>
        <w:t>1.15</w:t>
      </w:r>
      <w:r>
        <w:rPr>
          <w:rFonts w:hint="eastAsia" w:ascii="宋体" w:hAnsi="宋体" w:eastAsia="宋体" w:cs="宋体"/>
          <w:color w:val="000000"/>
          <w:spacing w:val="0"/>
          <w:position w:val="0"/>
          <w:sz w:val="21"/>
          <w:szCs w:val="21"/>
          <w:shd w:val="clear" w:color="auto" w:fill="auto"/>
        </w:rPr>
        <w:t>控制按钮：摄像头按键具有按键自定义(光照、增益、图像增强、颜色)及冻结、白平衡功能</w:t>
      </w:r>
      <w:r>
        <w:rPr>
          <w:rFonts w:hint="eastAsia" w:ascii="宋体" w:hAnsi="宋体" w:eastAsia="宋体" w:cs="宋体"/>
          <w:color w:val="000000"/>
          <w:spacing w:val="0"/>
          <w:position w:val="0"/>
          <w:sz w:val="21"/>
          <w:szCs w:val="21"/>
          <w:shd w:val="clear" w:color="auto" w:fill="auto"/>
          <w:lang w:eastAsia="zh-CN"/>
        </w:rPr>
        <w:t>；</w:t>
      </w:r>
    </w:p>
    <w:p w14:paraId="1D77C6B1">
      <w:pPr>
        <w:keepNext w:val="0"/>
        <w:keepLines w:val="0"/>
        <w:pageBreakBefore w:val="0"/>
        <w:widowControl w:val="0"/>
        <w:numPr>
          <w:ilvl w:val="0"/>
          <w:numId w:val="0"/>
        </w:numPr>
        <w:kinsoku/>
        <w:wordWrap/>
        <w:overflowPunct/>
        <w:topLinePunct w:val="0"/>
        <w:autoSpaceDE/>
        <w:autoSpaceDN/>
        <w:bidi w:val="0"/>
        <w:adjustRightInd/>
        <w:snapToGrid/>
        <w:spacing w:before="0" w:after="0" w:line="288" w:lineRule="auto"/>
        <w:ind w:leftChars="0" w:right="0" w:rightChars="0" w:firstLine="562" w:firstLineChars="200"/>
        <w:jc w:val="left"/>
        <w:textAlignment w:val="auto"/>
        <w:rPr>
          <w:rFonts w:hint="eastAsia" w:ascii="宋体" w:hAnsi="宋体" w:eastAsia="宋体" w:cs="宋体"/>
          <w:b/>
          <w:color w:val="auto"/>
          <w:spacing w:val="0"/>
          <w:position w:val="0"/>
          <w:sz w:val="28"/>
          <w:szCs w:val="28"/>
          <w:shd w:val="clear" w:color="auto" w:fill="auto"/>
          <w:lang w:val="en-US" w:eastAsia="zh-CN"/>
        </w:rPr>
      </w:pPr>
      <w:r>
        <w:rPr>
          <w:rFonts w:hint="eastAsia" w:ascii="宋体" w:hAnsi="宋体" w:eastAsia="宋体" w:cs="宋体"/>
          <w:b/>
          <w:color w:val="auto"/>
          <w:spacing w:val="0"/>
          <w:position w:val="0"/>
          <w:sz w:val="28"/>
          <w:szCs w:val="28"/>
          <w:shd w:val="clear" w:color="auto" w:fill="auto"/>
          <w:lang w:eastAsia="zh-CN"/>
        </w:rPr>
        <w:t>（</w:t>
      </w:r>
      <w:r>
        <w:rPr>
          <w:rFonts w:hint="eastAsia" w:ascii="宋体" w:hAnsi="宋体" w:eastAsia="宋体" w:cs="宋体"/>
          <w:b/>
          <w:color w:val="auto"/>
          <w:spacing w:val="0"/>
          <w:position w:val="0"/>
          <w:sz w:val="28"/>
          <w:szCs w:val="28"/>
          <w:shd w:val="clear" w:color="auto" w:fill="auto"/>
          <w:lang w:val="en-US" w:eastAsia="zh-CN"/>
        </w:rPr>
        <w:t>二</w:t>
      </w:r>
      <w:r>
        <w:rPr>
          <w:rFonts w:hint="eastAsia" w:ascii="宋体" w:hAnsi="宋体" w:eastAsia="宋体" w:cs="宋体"/>
          <w:b/>
          <w:color w:val="auto"/>
          <w:spacing w:val="0"/>
          <w:position w:val="0"/>
          <w:sz w:val="28"/>
          <w:szCs w:val="28"/>
          <w:shd w:val="clear" w:color="auto" w:fill="auto"/>
          <w:lang w:eastAsia="zh-CN"/>
        </w:rPr>
        <w:t>）</w:t>
      </w:r>
      <w:r>
        <w:rPr>
          <w:rFonts w:ascii="宋体" w:hAnsi="宋体" w:eastAsia="宋体" w:cs="宋体"/>
          <w:b/>
          <w:color w:val="auto"/>
          <w:spacing w:val="0"/>
          <w:position w:val="0"/>
          <w:sz w:val="28"/>
          <w:szCs w:val="28"/>
          <w:shd w:val="clear" w:color="auto" w:fill="auto"/>
        </w:rPr>
        <w:t>医用内窥镜冷光源</w:t>
      </w:r>
    </w:p>
    <w:p w14:paraId="4CD9955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val="en-US" w:eastAsia="zh-CN"/>
        </w:rPr>
      </w:pPr>
      <w:r>
        <w:rPr>
          <w:rFonts w:hint="eastAsia" w:ascii="宋体" w:hAnsi="宋体" w:eastAsia="宋体" w:cs="宋体"/>
          <w:color w:val="000000"/>
          <w:spacing w:val="0"/>
          <w:position w:val="0"/>
          <w:sz w:val="21"/>
          <w:szCs w:val="21"/>
          <w:shd w:val="clear" w:color="auto" w:fill="auto"/>
          <w:lang w:val="en-US" w:eastAsia="zh-CN"/>
        </w:rPr>
        <w:t>2.1</w:t>
      </w:r>
      <w:r>
        <w:rPr>
          <w:rFonts w:hint="eastAsia" w:ascii="宋体" w:hAnsi="宋体" w:cs="宋体"/>
          <w:color w:val="000000"/>
          <w:spacing w:val="0"/>
          <w:position w:val="0"/>
          <w:sz w:val="21"/>
          <w:szCs w:val="21"/>
          <w:shd w:val="clear" w:color="auto" w:fill="auto"/>
          <w:lang w:val="en-US" w:eastAsia="zh-CN"/>
        </w:rPr>
        <w:t xml:space="preserve"> </w:t>
      </w:r>
      <w:r>
        <w:rPr>
          <w:rFonts w:hint="eastAsia" w:ascii="宋体" w:hAnsi="宋体" w:eastAsia="宋体" w:cs="宋体"/>
          <w:color w:val="000000"/>
          <w:spacing w:val="0"/>
          <w:position w:val="0"/>
          <w:sz w:val="21"/>
          <w:szCs w:val="21"/>
          <w:shd w:val="clear" w:color="auto" w:fill="auto"/>
          <w:lang w:val="en-US" w:eastAsia="zh-CN"/>
        </w:rPr>
        <w:t>LED冷光源具有≥7寸触摸屏；</w:t>
      </w:r>
    </w:p>
    <w:p w14:paraId="44A30A74">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val="en-US" w:eastAsia="zh-CN"/>
        </w:rPr>
      </w:pPr>
      <w:r>
        <w:rPr>
          <w:rFonts w:hint="eastAsia" w:ascii="宋体" w:hAnsi="宋体" w:eastAsia="宋体" w:cs="宋体"/>
          <w:color w:val="000000"/>
          <w:spacing w:val="0"/>
          <w:position w:val="0"/>
          <w:sz w:val="21"/>
          <w:szCs w:val="21"/>
          <w:shd w:val="clear" w:color="auto" w:fill="auto"/>
          <w:lang w:val="en-US" w:eastAsia="zh-CN"/>
        </w:rPr>
        <w:t>2.2灯泡：LED灯珠；</w:t>
      </w:r>
    </w:p>
    <w:p w14:paraId="218D1CE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val="en-US" w:eastAsia="zh-CN"/>
        </w:rPr>
      </w:pPr>
      <w:r>
        <w:rPr>
          <w:rFonts w:hint="eastAsia" w:ascii="宋体" w:hAnsi="宋体" w:eastAsia="宋体" w:cs="宋体"/>
          <w:color w:val="000000"/>
          <w:spacing w:val="0"/>
          <w:position w:val="0"/>
          <w:sz w:val="21"/>
          <w:szCs w:val="21"/>
          <w:shd w:val="clear" w:color="auto" w:fill="auto"/>
          <w:lang w:val="en-US" w:eastAsia="zh-CN"/>
        </w:rPr>
        <w:t>2.3色温： 3000K～7000K；</w:t>
      </w:r>
    </w:p>
    <w:p w14:paraId="3E69A37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val="en-US" w:eastAsia="zh-CN"/>
        </w:rPr>
      </w:pPr>
      <w:r>
        <w:rPr>
          <w:rFonts w:hint="eastAsia" w:ascii="宋体" w:hAnsi="宋体" w:eastAsia="宋体" w:cs="宋体"/>
          <w:color w:val="000000"/>
          <w:spacing w:val="0"/>
          <w:position w:val="0"/>
          <w:sz w:val="21"/>
          <w:szCs w:val="21"/>
          <w:shd w:val="clear" w:color="auto" w:fill="auto"/>
          <w:lang w:val="en-US" w:eastAsia="zh-CN"/>
        </w:rPr>
        <w:t>2.4显色指数： ≥90；</w:t>
      </w:r>
    </w:p>
    <w:p w14:paraId="58BE57A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default" w:ascii="宋体" w:hAnsi="宋体" w:eastAsia="宋体" w:cs="宋体"/>
          <w:color w:val="000000"/>
          <w:spacing w:val="0"/>
          <w:position w:val="0"/>
          <w:sz w:val="21"/>
          <w:szCs w:val="21"/>
          <w:shd w:val="clear" w:color="auto" w:fill="auto"/>
          <w:lang w:val="en-US" w:eastAsia="zh-CN"/>
        </w:rPr>
      </w:pPr>
      <w:r>
        <w:rPr>
          <w:rFonts w:hint="eastAsia" w:ascii="宋体" w:hAnsi="宋体" w:eastAsia="宋体" w:cs="宋体"/>
          <w:color w:val="000000"/>
          <w:spacing w:val="0"/>
          <w:position w:val="0"/>
          <w:sz w:val="21"/>
          <w:szCs w:val="21"/>
          <w:shd w:val="clear" w:color="auto" w:fill="auto"/>
          <w:lang w:val="en-US" w:eastAsia="zh-CN"/>
        </w:rPr>
        <w:t>2.5光通量：800lm</w:t>
      </w:r>
    </w:p>
    <w:p w14:paraId="0E40E18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val="en-US" w:eastAsia="zh-CN"/>
        </w:rPr>
      </w:pPr>
      <w:r>
        <w:rPr>
          <w:rFonts w:hint="eastAsia" w:ascii="宋体" w:hAnsi="宋体" w:eastAsia="宋体" w:cs="宋体"/>
          <w:color w:val="000000"/>
          <w:spacing w:val="0"/>
          <w:position w:val="0"/>
          <w:sz w:val="21"/>
          <w:szCs w:val="21"/>
          <w:shd w:val="clear" w:color="auto" w:fill="auto"/>
          <w:lang w:val="en-US" w:eastAsia="zh-CN"/>
        </w:rPr>
        <w:t>2.6光谱范围：400~700nm；</w:t>
      </w:r>
    </w:p>
    <w:p w14:paraId="6F002C8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val="en-US" w:eastAsia="zh-CN"/>
        </w:rPr>
      </w:pPr>
      <w:r>
        <w:rPr>
          <w:rFonts w:hint="eastAsia" w:ascii="宋体" w:hAnsi="宋体" w:eastAsia="宋体" w:cs="宋体"/>
          <w:color w:val="000000"/>
          <w:spacing w:val="0"/>
          <w:position w:val="0"/>
          <w:sz w:val="21"/>
          <w:szCs w:val="21"/>
          <w:shd w:val="clear" w:color="auto" w:fill="auto"/>
          <w:lang w:val="en-US" w:eastAsia="zh-CN"/>
        </w:rPr>
        <w:t>2.7噪声：  ≤60dB；</w:t>
      </w:r>
    </w:p>
    <w:p w14:paraId="4B29A774">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default" w:ascii="宋体" w:hAnsi="宋体" w:eastAsia="宋体" w:cs="宋体"/>
          <w:color w:val="000000"/>
          <w:spacing w:val="0"/>
          <w:position w:val="0"/>
          <w:sz w:val="21"/>
          <w:szCs w:val="21"/>
          <w:shd w:val="clear" w:color="auto" w:fill="auto"/>
          <w:lang w:val="en-US" w:eastAsia="zh-CN"/>
        </w:rPr>
      </w:pPr>
      <w:r>
        <w:rPr>
          <w:rFonts w:hint="eastAsia" w:ascii="宋体" w:hAnsi="宋体" w:eastAsia="宋体" w:cs="宋体"/>
          <w:color w:val="000000"/>
          <w:spacing w:val="0"/>
          <w:position w:val="0"/>
          <w:sz w:val="21"/>
          <w:szCs w:val="21"/>
          <w:shd w:val="clear" w:color="auto" w:fill="auto"/>
          <w:lang w:val="en-US" w:eastAsia="zh-CN"/>
        </w:rPr>
        <w:t>2.8输入功率：200VA</w:t>
      </w:r>
    </w:p>
    <w:p w14:paraId="32BD776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val="en-US" w:eastAsia="zh-CN"/>
        </w:rPr>
      </w:pPr>
      <w:r>
        <w:rPr>
          <w:rFonts w:hint="eastAsia" w:ascii="宋体" w:hAnsi="宋体" w:eastAsia="宋体" w:cs="宋体"/>
          <w:color w:val="000000"/>
          <w:spacing w:val="0"/>
          <w:position w:val="0"/>
          <w:sz w:val="21"/>
          <w:szCs w:val="21"/>
          <w:shd w:val="clear" w:color="auto" w:fill="auto"/>
          <w:lang w:val="en-US" w:eastAsia="zh-CN"/>
        </w:rPr>
        <w:t>2.9亮度调节：可调</w:t>
      </w:r>
    </w:p>
    <w:p w14:paraId="7CBB851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left"/>
        <w:textAlignment w:val="auto"/>
        <w:rPr>
          <w:rFonts w:hint="eastAsia" w:ascii="宋体" w:hAnsi="宋体" w:eastAsia="宋体" w:cs="宋体"/>
          <w:color w:val="000000"/>
          <w:spacing w:val="0"/>
          <w:position w:val="0"/>
          <w:sz w:val="21"/>
          <w:szCs w:val="21"/>
          <w:shd w:val="clear" w:color="auto" w:fill="auto"/>
          <w:lang w:val="en-US" w:eastAsia="zh-CN"/>
        </w:rPr>
      </w:pPr>
      <w:r>
        <w:rPr>
          <w:rFonts w:hint="eastAsia" w:ascii="宋体" w:hAnsi="宋体" w:eastAsia="宋体" w:cs="宋体"/>
          <w:color w:val="000000"/>
          <w:spacing w:val="0"/>
          <w:position w:val="0"/>
          <w:sz w:val="21"/>
          <w:szCs w:val="21"/>
          <w:shd w:val="clear" w:color="auto" w:fill="auto"/>
          <w:lang w:val="en-US" w:eastAsia="zh-CN"/>
        </w:rPr>
        <w:t>2.10灯泡寿命：≥30000小时；</w:t>
      </w:r>
    </w:p>
    <w:p w14:paraId="4E1CB0C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left"/>
        <w:textAlignment w:val="auto"/>
        <w:outlineLvl w:val="9"/>
        <w:rPr>
          <w:rFonts w:hint="default"/>
          <w:color w:val="000000"/>
          <w:sz w:val="24"/>
          <w:szCs w:val="24"/>
          <w:lang w:val="en-US" w:eastAsia="zh-CN"/>
        </w:rPr>
      </w:pPr>
      <w:r>
        <w:rPr>
          <w:rFonts w:hint="eastAsia"/>
          <w:b/>
          <w:sz w:val="28"/>
          <w:szCs w:val="28"/>
          <w:lang w:val="en-US" w:eastAsia="zh-CN"/>
        </w:rPr>
        <w:t>（三）显示器</w:t>
      </w:r>
    </w:p>
    <w:p w14:paraId="31D4FC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3.1面板: IPS 27” Full HD (1920x1080)</w:t>
      </w:r>
    </w:p>
    <w:p w14:paraId="6094BE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3.2输入: HDMI  x 1, S-Video x 1, Composite x 1, 3G-SDI x 1, DVI-I x 1</w:t>
      </w:r>
    </w:p>
    <w:p w14:paraId="28F009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3.3输出: 3G-SDI x 1, DVI-I x 1</w:t>
      </w:r>
    </w:p>
    <w:p w14:paraId="2631504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562" w:firstLineChars="200"/>
        <w:jc w:val="both"/>
        <w:textAlignment w:val="auto"/>
        <w:rPr>
          <w:rFonts w:ascii="Calibri" w:hAnsi="Calibri" w:eastAsia="Calibri" w:cs="Calibri"/>
          <w:b/>
          <w:color w:val="auto"/>
          <w:spacing w:val="0"/>
          <w:position w:val="0"/>
          <w:sz w:val="28"/>
          <w:szCs w:val="28"/>
          <w:shd w:val="clear" w:color="auto" w:fill="auto"/>
        </w:rPr>
      </w:pPr>
      <w:r>
        <w:rPr>
          <w:rFonts w:hint="eastAsia" w:ascii="宋体" w:hAnsi="宋体" w:eastAsia="宋体" w:cs="宋体"/>
          <w:b/>
          <w:color w:val="auto"/>
          <w:spacing w:val="0"/>
          <w:position w:val="0"/>
          <w:sz w:val="28"/>
          <w:szCs w:val="28"/>
          <w:shd w:val="clear" w:color="auto" w:fill="auto"/>
          <w:lang w:eastAsia="zh-CN"/>
        </w:rPr>
        <w:t>（四）金属</w:t>
      </w:r>
      <w:r>
        <w:rPr>
          <w:rFonts w:ascii="宋体" w:hAnsi="宋体" w:eastAsia="宋体" w:cs="宋体"/>
          <w:b/>
          <w:color w:val="auto"/>
          <w:spacing w:val="0"/>
          <w:position w:val="0"/>
          <w:sz w:val="28"/>
          <w:szCs w:val="28"/>
          <w:shd w:val="clear" w:color="auto" w:fill="auto"/>
        </w:rPr>
        <w:t>推车</w:t>
      </w:r>
    </w:p>
    <w:p w14:paraId="4D5D9C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宋体" w:hAnsi="宋体" w:eastAsia="宋体" w:cs="宋体"/>
          <w:color w:val="000000"/>
          <w:spacing w:val="0"/>
          <w:position w:val="0"/>
          <w:sz w:val="21"/>
          <w:szCs w:val="21"/>
          <w:shd w:val="clear" w:color="auto" w:fill="auto"/>
          <w:lang w:eastAsia="zh-CN"/>
        </w:rPr>
      </w:pPr>
      <w:r>
        <w:rPr>
          <w:rFonts w:hint="eastAsia"/>
          <w:color w:val="000000"/>
          <w:sz w:val="21"/>
          <w:szCs w:val="21"/>
          <w:lang w:val="en-US" w:eastAsia="zh-CN"/>
        </w:rPr>
        <w:t>金属推车，饰角颜色可选。</w:t>
      </w:r>
    </w:p>
    <w:p w14:paraId="2614CD34">
      <w:pPr>
        <w:keepNext w:val="0"/>
        <w:keepLines w:val="0"/>
        <w:pageBreakBefore w:val="0"/>
        <w:widowControl w:val="0"/>
        <w:kinsoku/>
        <w:wordWrap/>
        <w:overflowPunct/>
        <w:topLinePunct w:val="0"/>
        <w:autoSpaceDE/>
        <w:autoSpaceDN/>
        <w:bidi w:val="0"/>
        <w:adjustRightInd/>
        <w:snapToGrid/>
        <w:spacing w:line="192" w:lineRule="auto"/>
        <w:ind w:firstLine="562" w:firstLineChars="200"/>
        <w:textAlignment w:val="auto"/>
        <w:rPr>
          <w:rFonts w:hint="eastAsia" w:ascii="黑体" w:eastAsia="黑体"/>
          <w:sz w:val="28"/>
          <w:szCs w:val="28"/>
        </w:rPr>
      </w:pPr>
      <w:r>
        <w:rPr>
          <w:rFonts w:hint="eastAsia"/>
          <w:b/>
          <w:bCs/>
          <w:color w:val="000000"/>
          <w:sz w:val="28"/>
          <w:szCs w:val="28"/>
          <w:lang w:val="en-US" w:eastAsia="zh-CN"/>
        </w:rPr>
        <w:t>（五）高清工作站</w:t>
      </w:r>
    </w:p>
    <w:p w14:paraId="70BFF66C">
      <w:pPr>
        <w:keepNext w:val="0"/>
        <w:keepLines w:val="0"/>
        <w:pageBreakBefore w:val="0"/>
        <w:widowControl w:val="0"/>
        <w:numPr>
          <w:ilvl w:val="0"/>
          <w:numId w:val="1"/>
        </w:numPr>
        <w:kinsoku/>
        <w:wordWrap/>
        <w:overflowPunct/>
        <w:topLinePunct w:val="0"/>
        <w:autoSpaceDE/>
        <w:autoSpaceDN/>
        <w:bidi w:val="0"/>
        <w:adjustRightInd/>
        <w:snapToGrid/>
        <w:spacing w:line="192" w:lineRule="auto"/>
        <w:ind w:firstLine="420" w:firstLineChars="200"/>
        <w:textAlignment w:val="auto"/>
        <w:rPr>
          <w:rFonts w:hint="eastAsia" w:ascii="宋体" w:hAnsi="宋体"/>
          <w:szCs w:val="21"/>
          <w:lang w:val="en-US" w:eastAsia="zh-CN"/>
        </w:rPr>
      </w:pPr>
      <w:r>
        <w:rPr>
          <w:rFonts w:hint="eastAsia" w:ascii="宋体" w:hAnsi="宋体"/>
          <w:szCs w:val="21"/>
          <w:lang w:val="en-US" w:eastAsia="zh-CN"/>
        </w:rPr>
        <w:t>采集卡：高清采集卡</w:t>
      </w:r>
    </w:p>
    <w:p w14:paraId="698A73BE">
      <w:pPr>
        <w:keepNext w:val="0"/>
        <w:keepLines w:val="0"/>
        <w:pageBreakBefore w:val="0"/>
        <w:widowControl w:val="0"/>
        <w:numPr>
          <w:ilvl w:val="0"/>
          <w:numId w:val="1"/>
        </w:numPr>
        <w:kinsoku/>
        <w:wordWrap/>
        <w:overflowPunct/>
        <w:topLinePunct w:val="0"/>
        <w:autoSpaceDE/>
        <w:autoSpaceDN/>
        <w:bidi w:val="0"/>
        <w:adjustRightInd/>
        <w:snapToGrid/>
        <w:spacing w:line="192" w:lineRule="auto"/>
        <w:ind w:firstLine="420" w:firstLineChars="200"/>
        <w:textAlignment w:val="auto"/>
        <w:rPr>
          <w:rFonts w:hint="eastAsia" w:ascii="宋体" w:hAnsi="宋体"/>
          <w:szCs w:val="21"/>
          <w:lang w:val="en-US" w:eastAsia="zh-CN"/>
        </w:rPr>
      </w:pPr>
      <w:r>
        <w:rPr>
          <w:rFonts w:hint="eastAsia" w:ascii="宋体" w:hAnsi="宋体"/>
          <w:szCs w:val="21"/>
        </w:rPr>
        <w:t>显示器：</w:t>
      </w:r>
      <w:r>
        <w:rPr>
          <w:rFonts w:hint="eastAsia" w:ascii="Calibri" w:hAnsi="Calibri" w:eastAsia="宋体" w:cs="Times New Roman"/>
          <w:color w:val="auto"/>
          <w:kern w:val="2"/>
          <w:sz w:val="22"/>
          <w:szCs w:val="22"/>
          <w:lang w:val="en-US" w:eastAsia="zh-CN" w:bidi="ar-SA"/>
        </w:rPr>
        <w:t>≥</w:t>
      </w:r>
      <w:r>
        <w:rPr>
          <w:rFonts w:hint="eastAsia" w:ascii="宋体" w:hAnsi="宋体"/>
          <w:szCs w:val="21"/>
          <w:lang w:val="en-US" w:eastAsia="zh-CN"/>
        </w:rPr>
        <w:t>21.5</w:t>
      </w:r>
      <w:r>
        <w:rPr>
          <w:rFonts w:hint="eastAsia" w:ascii="宋体" w:hAnsi="宋体"/>
          <w:szCs w:val="21"/>
        </w:rPr>
        <w:t>寸液晶</w:t>
      </w:r>
      <w:r>
        <w:rPr>
          <w:rFonts w:hint="eastAsia" w:ascii="宋体" w:hAnsi="宋体"/>
          <w:szCs w:val="21"/>
          <w:lang w:val="en-US" w:eastAsia="zh-CN"/>
        </w:rPr>
        <w:t>显示</w:t>
      </w:r>
      <w:r>
        <w:rPr>
          <w:rFonts w:hint="eastAsia" w:ascii="宋体" w:hAnsi="宋体"/>
          <w:szCs w:val="21"/>
        </w:rPr>
        <w:t>器；</w:t>
      </w:r>
    </w:p>
    <w:p w14:paraId="11D34DE6">
      <w:pPr>
        <w:keepNext w:val="0"/>
        <w:keepLines w:val="0"/>
        <w:pageBreakBefore w:val="0"/>
        <w:widowControl w:val="0"/>
        <w:numPr>
          <w:ilvl w:val="0"/>
          <w:numId w:val="1"/>
        </w:numPr>
        <w:kinsoku/>
        <w:wordWrap/>
        <w:overflowPunct/>
        <w:topLinePunct w:val="0"/>
        <w:autoSpaceDE/>
        <w:autoSpaceDN/>
        <w:bidi w:val="0"/>
        <w:adjustRightInd/>
        <w:snapToGrid/>
        <w:spacing w:line="192" w:lineRule="auto"/>
        <w:ind w:firstLine="420" w:firstLineChars="200"/>
        <w:textAlignment w:val="auto"/>
        <w:rPr>
          <w:rFonts w:hint="eastAsia" w:ascii="宋体" w:hAnsi="宋体"/>
          <w:szCs w:val="21"/>
          <w:lang w:val="en-US" w:eastAsia="zh-CN"/>
        </w:rPr>
      </w:pPr>
      <w:r>
        <w:rPr>
          <w:rFonts w:hint="eastAsia" w:ascii="宋体" w:hAnsi="宋体"/>
          <w:szCs w:val="21"/>
        </w:rPr>
        <w:t>打印机：彩色打印机；</w:t>
      </w:r>
    </w:p>
    <w:p w14:paraId="7BD91450">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设备配置清单（包含但不限于）</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3067"/>
        <w:gridCol w:w="2125"/>
        <w:gridCol w:w="2125"/>
      </w:tblGrid>
      <w:tr w14:paraId="6925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2" w:type="dxa"/>
            <w:noWrap w:val="0"/>
            <w:vAlign w:val="center"/>
          </w:tcPr>
          <w:p w14:paraId="28A4FAD9">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序号</w:t>
            </w:r>
          </w:p>
        </w:tc>
        <w:tc>
          <w:tcPr>
            <w:tcW w:w="3067" w:type="dxa"/>
            <w:noWrap w:val="0"/>
            <w:vAlign w:val="center"/>
          </w:tcPr>
          <w:p w14:paraId="593501AC">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名称</w:t>
            </w:r>
          </w:p>
        </w:tc>
        <w:tc>
          <w:tcPr>
            <w:tcW w:w="2125" w:type="dxa"/>
            <w:noWrap w:val="0"/>
            <w:vAlign w:val="center"/>
          </w:tcPr>
          <w:p w14:paraId="7D2FA3DE">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单位</w:t>
            </w:r>
          </w:p>
        </w:tc>
        <w:tc>
          <w:tcPr>
            <w:tcW w:w="2125" w:type="dxa"/>
            <w:noWrap w:val="0"/>
            <w:vAlign w:val="center"/>
          </w:tcPr>
          <w:p w14:paraId="0F49D0B7">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数量</w:t>
            </w:r>
          </w:p>
        </w:tc>
      </w:tr>
      <w:tr w14:paraId="2B04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2" w:type="dxa"/>
            <w:noWrap w:val="0"/>
            <w:vAlign w:val="center"/>
          </w:tcPr>
          <w:p w14:paraId="57DD797D">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3067" w:type="dxa"/>
            <w:noWrap w:val="0"/>
            <w:vAlign w:val="center"/>
          </w:tcPr>
          <w:p w14:paraId="4D1F1B60">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超高清内窥镜主机</w:t>
            </w:r>
          </w:p>
        </w:tc>
        <w:tc>
          <w:tcPr>
            <w:tcW w:w="2125" w:type="dxa"/>
            <w:noWrap w:val="0"/>
            <w:vAlign w:val="center"/>
          </w:tcPr>
          <w:p w14:paraId="456C70E5">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2125" w:type="dxa"/>
            <w:noWrap w:val="0"/>
            <w:vAlign w:val="center"/>
          </w:tcPr>
          <w:p w14:paraId="10478C13">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14:paraId="750C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2" w:type="dxa"/>
            <w:noWrap w:val="0"/>
            <w:vAlign w:val="center"/>
          </w:tcPr>
          <w:p w14:paraId="56AAC245">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3067" w:type="dxa"/>
            <w:noWrap w:val="0"/>
            <w:vAlign w:val="center"/>
          </w:tcPr>
          <w:p w14:paraId="7D8E2D58">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光学适配器</w:t>
            </w:r>
          </w:p>
        </w:tc>
        <w:tc>
          <w:tcPr>
            <w:tcW w:w="2125" w:type="dxa"/>
            <w:noWrap w:val="0"/>
            <w:vAlign w:val="center"/>
          </w:tcPr>
          <w:p w14:paraId="4623CF01">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把</w:t>
            </w:r>
          </w:p>
        </w:tc>
        <w:tc>
          <w:tcPr>
            <w:tcW w:w="2125" w:type="dxa"/>
            <w:noWrap w:val="0"/>
            <w:vAlign w:val="center"/>
          </w:tcPr>
          <w:p w14:paraId="2EE3F085">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14:paraId="78AD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2" w:type="dxa"/>
            <w:noWrap w:val="0"/>
            <w:vAlign w:val="center"/>
          </w:tcPr>
          <w:p w14:paraId="596A1A9D">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3067" w:type="dxa"/>
            <w:noWrap w:val="0"/>
            <w:vAlign w:val="center"/>
          </w:tcPr>
          <w:p w14:paraId="50CFCBAF">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医用LED冷光源</w:t>
            </w:r>
          </w:p>
        </w:tc>
        <w:tc>
          <w:tcPr>
            <w:tcW w:w="2125" w:type="dxa"/>
            <w:noWrap w:val="0"/>
            <w:vAlign w:val="center"/>
          </w:tcPr>
          <w:p w14:paraId="75D7E120">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2125" w:type="dxa"/>
            <w:noWrap w:val="0"/>
            <w:vAlign w:val="center"/>
          </w:tcPr>
          <w:p w14:paraId="63EF1E28">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14:paraId="0544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2" w:type="dxa"/>
            <w:noWrap w:val="0"/>
            <w:vAlign w:val="center"/>
          </w:tcPr>
          <w:p w14:paraId="34AC1320">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3067" w:type="dxa"/>
            <w:noWrap w:val="0"/>
            <w:vAlign w:val="center"/>
          </w:tcPr>
          <w:p w14:paraId="6D87C6C0">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导光束</w:t>
            </w:r>
          </w:p>
        </w:tc>
        <w:tc>
          <w:tcPr>
            <w:tcW w:w="2125" w:type="dxa"/>
            <w:noWrap w:val="0"/>
            <w:vAlign w:val="center"/>
          </w:tcPr>
          <w:p w14:paraId="1F486842">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条</w:t>
            </w:r>
          </w:p>
        </w:tc>
        <w:tc>
          <w:tcPr>
            <w:tcW w:w="2125" w:type="dxa"/>
            <w:noWrap w:val="0"/>
            <w:vAlign w:val="center"/>
          </w:tcPr>
          <w:p w14:paraId="258D9864">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14:paraId="44F9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2" w:type="dxa"/>
            <w:noWrap w:val="0"/>
            <w:vAlign w:val="center"/>
          </w:tcPr>
          <w:p w14:paraId="3F0992B1">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3067" w:type="dxa"/>
            <w:noWrap w:val="0"/>
            <w:vAlign w:val="center"/>
          </w:tcPr>
          <w:p w14:paraId="28F2A121">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医用推车</w:t>
            </w:r>
          </w:p>
        </w:tc>
        <w:tc>
          <w:tcPr>
            <w:tcW w:w="2125" w:type="dxa"/>
            <w:noWrap w:val="0"/>
            <w:vAlign w:val="center"/>
          </w:tcPr>
          <w:p w14:paraId="7E168C59">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2125" w:type="dxa"/>
            <w:noWrap w:val="0"/>
            <w:vAlign w:val="center"/>
          </w:tcPr>
          <w:p w14:paraId="63BF6D5D">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14:paraId="31C5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2" w:type="dxa"/>
            <w:noWrap w:val="0"/>
            <w:vAlign w:val="center"/>
          </w:tcPr>
          <w:p w14:paraId="65527E85">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3067" w:type="dxa"/>
            <w:noWrap w:val="0"/>
            <w:vAlign w:val="center"/>
          </w:tcPr>
          <w:p w14:paraId="38899207">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医用LED高清监视器</w:t>
            </w:r>
          </w:p>
        </w:tc>
        <w:tc>
          <w:tcPr>
            <w:tcW w:w="2125" w:type="dxa"/>
            <w:noWrap w:val="0"/>
            <w:vAlign w:val="center"/>
          </w:tcPr>
          <w:p w14:paraId="4C48F9D2">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2125" w:type="dxa"/>
            <w:noWrap w:val="0"/>
            <w:vAlign w:val="center"/>
          </w:tcPr>
          <w:p w14:paraId="5F44E629">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14:paraId="783A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2" w:type="dxa"/>
            <w:noWrap w:val="0"/>
            <w:vAlign w:val="center"/>
          </w:tcPr>
          <w:p w14:paraId="41CAC32A">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3067" w:type="dxa"/>
            <w:noWrap w:val="0"/>
            <w:vAlign w:val="center"/>
          </w:tcPr>
          <w:p w14:paraId="16055587">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高清工作站</w:t>
            </w:r>
          </w:p>
        </w:tc>
        <w:tc>
          <w:tcPr>
            <w:tcW w:w="2125" w:type="dxa"/>
            <w:noWrap w:val="0"/>
            <w:vAlign w:val="center"/>
          </w:tcPr>
          <w:p w14:paraId="40F57A64">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2125" w:type="dxa"/>
            <w:noWrap w:val="0"/>
            <w:vAlign w:val="center"/>
          </w:tcPr>
          <w:p w14:paraId="44BFB03B">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bl>
    <w:p w14:paraId="4F59754A">
      <w:pPr>
        <w:pStyle w:val="24"/>
        <w:rPr>
          <w:rFonts w:hint="eastAsia" w:eastAsiaTheme="minorEastAsia"/>
          <w:color w:val="FF0000"/>
          <w:lang w:val="en-US" w:eastAsia="zh-CN"/>
        </w:rPr>
      </w:pPr>
    </w:p>
    <w:p w14:paraId="33C037A6">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7BC2C554">
      <w:pPr>
        <w:pStyle w:val="50"/>
        <w:rPr>
          <w:rFonts w:hint="eastAsia" w:ascii="宋体" w:hAnsi="宋体" w:eastAsia="宋体" w:cs="宋体"/>
          <w:b/>
          <w:bCs/>
          <w:color w:val="auto"/>
          <w:kern w:val="2"/>
          <w:sz w:val="21"/>
          <w:szCs w:val="24"/>
          <w:highlight w:val="none"/>
          <w:lang w:val="en-US" w:eastAsia="zh-CN" w:bidi="ar-SA"/>
        </w:rPr>
      </w:pPr>
    </w:p>
    <w:p w14:paraId="41737D04">
      <w:pPr>
        <w:pStyle w:val="50"/>
        <w:rPr>
          <w:rFonts w:hint="eastAsia" w:ascii="宋体" w:hAnsi="宋体" w:eastAsia="宋体" w:cs="宋体"/>
          <w:b/>
          <w:bCs/>
          <w:color w:val="auto"/>
          <w:kern w:val="2"/>
          <w:sz w:val="21"/>
          <w:szCs w:val="24"/>
          <w:highlight w:val="none"/>
          <w:lang w:val="en-US" w:eastAsia="zh-CN" w:bidi="ar-SA"/>
        </w:rPr>
      </w:pPr>
    </w:p>
    <w:p w14:paraId="4235F853">
      <w:pPr>
        <w:pStyle w:val="50"/>
        <w:rPr>
          <w:rFonts w:hint="eastAsia" w:ascii="宋体" w:hAnsi="宋体" w:eastAsia="宋体" w:cs="宋体"/>
          <w:b/>
          <w:bCs/>
          <w:color w:val="auto"/>
          <w:kern w:val="2"/>
          <w:sz w:val="21"/>
          <w:szCs w:val="24"/>
          <w:highlight w:val="none"/>
          <w:lang w:val="en-US" w:eastAsia="zh-CN" w:bidi="ar-SA"/>
        </w:rPr>
      </w:pPr>
    </w:p>
    <w:p w14:paraId="04EA2D64">
      <w:pPr>
        <w:pStyle w:val="50"/>
        <w:rPr>
          <w:rFonts w:hint="eastAsia" w:ascii="宋体" w:hAnsi="宋体" w:eastAsia="宋体" w:cs="宋体"/>
          <w:b/>
          <w:bCs/>
          <w:color w:val="auto"/>
          <w:kern w:val="2"/>
          <w:sz w:val="21"/>
          <w:szCs w:val="24"/>
          <w:highlight w:val="none"/>
          <w:lang w:val="en-US" w:eastAsia="zh-CN" w:bidi="ar-SA"/>
        </w:rPr>
      </w:pPr>
    </w:p>
    <w:p w14:paraId="0CC0210B">
      <w:pPr>
        <w:pStyle w:val="50"/>
        <w:rPr>
          <w:rFonts w:hint="eastAsia" w:ascii="宋体" w:hAnsi="宋体" w:eastAsia="宋体" w:cs="宋体"/>
          <w:b/>
          <w:bCs/>
          <w:color w:val="auto"/>
          <w:kern w:val="2"/>
          <w:sz w:val="21"/>
          <w:szCs w:val="24"/>
          <w:highlight w:val="none"/>
          <w:lang w:val="en-US" w:eastAsia="zh-CN" w:bidi="ar-SA"/>
        </w:rPr>
      </w:pPr>
    </w:p>
    <w:p w14:paraId="27A37746">
      <w:pPr>
        <w:pStyle w:val="50"/>
        <w:rPr>
          <w:rFonts w:hint="eastAsia" w:ascii="宋体" w:hAnsi="宋体" w:eastAsia="宋体" w:cs="宋体"/>
          <w:b/>
          <w:bCs/>
          <w:color w:val="auto"/>
          <w:kern w:val="2"/>
          <w:sz w:val="21"/>
          <w:szCs w:val="24"/>
          <w:highlight w:val="none"/>
          <w:lang w:val="en-US" w:eastAsia="zh-CN" w:bidi="ar-SA"/>
        </w:rPr>
      </w:pPr>
    </w:p>
    <w:p w14:paraId="5702F2F3">
      <w:pPr>
        <w:pStyle w:val="50"/>
        <w:rPr>
          <w:rFonts w:hint="eastAsia" w:ascii="宋体" w:hAnsi="宋体" w:eastAsia="宋体" w:cs="宋体"/>
          <w:b/>
          <w:bCs/>
          <w:color w:val="auto"/>
          <w:kern w:val="2"/>
          <w:sz w:val="21"/>
          <w:szCs w:val="24"/>
          <w:highlight w:val="none"/>
          <w:lang w:val="en-US" w:eastAsia="zh-CN" w:bidi="ar-SA"/>
        </w:rPr>
      </w:pPr>
    </w:p>
    <w:p w14:paraId="160A0B67">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C1BC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E5D00C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        </w:t>
            </w:r>
          </w:p>
        </w:tc>
      </w:tr>
      <w:tr w14:paraId="5C148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E8F138">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182BD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61FA94">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7"/>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w:t>
            </w:r>
            <w:r>
              <w:rPr>
                <w:rFonts w:hint="eastAsia" w:cs="宋体"/>
                <w:kern w:val="2"/>
                <w:sz w:val="21"/>
                <w:szCs w:val="21"/>
                <w:highlight w:val="none"/>
                <w:lang w:val="en-US" w:eastAsia="zh-CN"/>
              </w:rPr>
              <w:t>保</w:t>
            </w:r>
            <w:r>
              <w:rPr>
                <w:rFonts w:hint="eastAsia" w:ascii="宋体" w:hAnsi="宋体" w:eastAsia="宋体" w:cs="宋体"/>
                <w:kern w:val="2"/>
                <w:sz w:val="21"/>
                <w:szCs w:val="21"/>
                <w:highlight w:val="none"/>
              </w:rPr>
              <w:t>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57252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F514F2B">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108CBB">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1083E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83792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cs="宋体"/>
                <w:kern w:val="2"/>
                <w:sz w:val="21"/>
                <w:szCs w:val="21"/>
                <w:highlight w:val="none"/>
                <w:lang w:val="en-US" w:eastAsia="zh-CN"/>
              </w:rPr>
              <w:t>1.</w:t>
            </w: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144B000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p w14:paraId="53DEA6B7">
            <w:pPr>
              <w:pStyle w:val="7"/>
              <w:spacing w:beforeAutospacing="0" w:afterAutospacing="0" w:line="360" w:lineRule="auto"/>
              <w:rPr>
                <w:rFonts w:hint="eastAsia" w:ascii="宋体" w:hAnsi="宋体" w:eastAsia="宋体" w:cs="宋体"/>
                <w:kern w:val="2"/>
                <w:sz w:val="21"/>
                <w:szCs w:val="21"/>
                <w:highlight w:val="none"/>
              </w:rPr>
            </w:pPr>
            <w:r>
              <w:rPr>
                <w:rFonts w:hint="eastAsia" w:cs="宋体"/>
                <w:kern w:val="2"/>
                <w:sz w:val="21"/>
                <w:szCs w:val="21"/>
                <w:highlight w:val="none"/>
                <w:lang w:val="en-US" w:eastAsia="zh-CN"/>
              </w:rPr>
              <w:t>2.</w:t>
            </w:r>
            <w:r>
              <w:rPr>
                <w:rFonts w:hint="eastAsia" w:ascii="宋体" w:hAnsi="宋体" w:eastAsia="宋体" w:cs="宋体"/>
                <w:kern w:val="2"/>
                <w:sz w:val="21"/>
                <w:szCs w:val="21"/>
                <w:highlight w:val="none"/>
                <w:lang w:val="en-US" w:eastAsia="zh-CN"/>
              </w:rPr>
              <w:t>所有设备按照医院实际要求免费开放端口，免费为医院对接院内信息系统。质保期内免费进行软件升级。</w:t>
            </w:r>
          </w:p>
        </w:tc>
      </w:tr>
      <w:tr w14:paraId="71B33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736E476">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57A2F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F22315D">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7B454B87">
      <w:pPr>
        <w:pStyle w:val="24"/>
        <w:rPr>
          <w:rFonts w:hint="eastAsia" w:ascii="宋体" w:hAnsi="宋体" w:eastAsia="宋体" w:cs="宋体"/>
          <w:color w:val="auto"/>
          <w:highlight w:val="none"/>
        </w:rPr>
      </w:pPr>
    </w:p>
    <w:p w14:paraId="7EF932AE">
      <w:pPr>
        <w:pStyle w:val="24"/>
        <w:rPr>
          <w:rFonts w:hint="eastAsia" w:ascii="宋体" w:hAnsi="宋体" w:eastAsia="宋体" w:cs="宋体"/>
          <w:color w:val="auto"/>
          <w:highlight w:val="none"/>
        </w:rPr>
      </w:pPr>
    </w:p>
    <w:p w14:paraId="3DA35D5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3C6040B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采购预算：250000元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:250000元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2921A74C">
      <w:pPr>
        <w:rPr>
          <w:rFonts w:hint="eastAsia"/>
          <w:sz w:val="24"/>
          <w:szCs w:val="24"/>
          <w:lang w:val="en-US" w:eastAsia="zh-CN"/>
        </w:rPr>
      </w:pP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42</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lang w:val="en-US" w:eastAsia="zh-CN"/>
              </w:rPr>
              <w:t>分，技术参数有一项不满足的扣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2.产品综合评议（8分）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4</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4</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5FC2144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p w14:paraId="0FAE2FC2">
            <w:pPr>
              <w:pStyle w:val="8"/>
              <w:pageBreakBefore w:val="0"/>
              <w:kinsoku/>
              <w:wordWrap/>
              <w:overflowPunct/>
              <w:topLinePunct w:val="0"/>
              <w:autoSpaceDE/>
              <w:autoSpaceDN/>
              <w:bidi w:val="0"/>
              <w:adjustRightInd/>
              <w:spacing w:before="0" w:after="0"/>
              <w:textAlignment w:val="auto"/>
              <w:rPr>
                <w:rFonts w:hint="eastAsia"/>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注：延长不足一年不加分。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（产品至少包含主机，同品牌同型号）</w:t>
            </w:r>
            <w:r>
              <w:rPr>
                <w:rFonts w:hint="eastAsia" w:ascii="宋体" w:hAnsi="宋体" w:eastAsia="宋体" w:cs="宋体"/>
                <w:color w:val="auto"/>
                <w:kern w:val="2"/>
                <w:sz w:val="24"/>
                <w:szCs w:val="24"/>
                <w:highlight w:val="none"/>
                <w:lang w:val="en-US" w:eastAsia="zh-CN" w:bidi="ar-SA"/>
              </w:rPr>
              <w:t>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4AA88918">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售后服务不符合本项目特点，不能满足项目需求的得1分。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256519703"/>
      <w:bookmarkStart w:id="42" w:name="_Toc326786897"/>
    </w:p>
    <w:p w14:paraId="05CD0826">
      <w:pP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br w:type="page"/>
      </w:r>
    </w:p>
    <w:p w14:paraId="5A0BE0D1">
      <w:pPr>
        <w:pStyle w:val="2"/>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4" w:name="_Toc15804"/>
      <w:bookmarkStart w:id="65"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default" w:eastAsia="宋体"/>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434CA188">
            <w:pPr>
              <w:widowControl w:val="0"/>
              <w:spacing w:line="320" w:lineRule="exact"/>
              <w:jc w:val="center"/>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color w:val="auto"/>
                <w:highlight w:val="none"/>
                <w:vertAlign w:val="baseline"/>
              </w:rPr>
            </w:pPr>
          </w:p>
        </w:tc>
        <w:tc>
          <w:tcPr>
            <w:tcW w:w="1181" w:type="dxa"/>
            <w:vMerge w:val="restart"/>
          </w:tcPr>
          <w:p w14:paraId="1411B170">
            <w:pPr>
              <w:widowControl w:val="0"/>
              <w:rPr>
                <w:color w:val="auto"/>
                <w:highlight w:val="none"/>
                <w:vertAlign w:val="baseline"/>
              </w:rPr>
            </w:pPr>
          </w:p>
        </w:tc>
        <w:tc>
          <w:tcPr>
            <w:tcW w:w="1341" w:type="dxa"/>
          </w:tcPr>
          <w:p w14:paraId="538C956D">
            <w:pPr>
              <w:widowControl w:val="0"/>
              <w:rPr>
                <w:color w:val="auto"/>
                <w:highlight w:val="none"/>
                <w:vertAlign w:val="baseline"/>
              </w:rPr>
            </w:pPr>
          </w:p>
        </w:tc>
        <w:tc>
          <w:tcPr>
            <w:tcW w:w="1225" w:type="dxa"/>
          </w:tcPr>
          <w:p w14:paraId="74877ABD">
            <w:pPr>
              <w:widowControl w:val="0"/>
              <w:rPr>
                <w:color w:val="auto"/>
                <w:highlight w:val="none"/>
                <w:vertAlign w:val="baseline"/>
              </w:rPr>
            </w:pPr>
          </w:p>
        </w:tc>
        <w:tc>
          <w:tcPr>
            <w:tcW w:w="995" w:type="dxa"/>
          </w:tcPr>
          <w:p w14:paraId="46285D21">
            <w:pPr>
              <w:widowControl w:val="0"/>
              <w:rPr>
                <w:color w:val="auto"/>
                <w:highlight w:val="none"/>
                <w:vertAlign w:val="baseline"/>
              </w:rPr>
            </w:pPr>
          </w:p>
        </w:tc>
        <w:tc>
          <w:tcPr>
            <w:tcW w:w="995" w:type="dxa"/>
          </w:tcPr>
          <w:p w14:paraId="30AA1993">
            <w:pPr>
              <w:widowControl w:val="0"/>
              <w:rPr>
                <w:color w:val="auto"/>
                <w:highlight w:val="none"/>
                <w:vertAlign w:val="baseline"/>
              </w:rPr>
            </w:pPr>
          </w:p>
        </w:tc>
        <w:tc>
          <w:tcPr>
            <w:tcW w:w="1107" w:type="dxa"/>
          </w:tcPr>
          <w:p w14:paraId="3FDE21BE">
            <w:pPr>
              <w:widowControl w:val="0"/>
              <w:rPr>
                <w:color w:val="auto"/>
                <w:highlight w:val="none"/>
                <w:vertAlign w:val="baseline"/>
              </w:rPr>
            </w:pPr>
          </w:p>
        </w:tc>
        <w:tc>
          <w:tcPr>
            <w:tcW w:w="883" w:type="dxa"/>
          </w:tcPr>
          <w:p w14:paraId="2A5C917F">
            <w:pPr>
              <w:widowControl w:val="0"/>
              <w:rPr>
                <w:color w:val="auto"/>
                <w:highlight w:val="none"/>
                <w:vertAlign w:val="baseline"/>
              </w:rPr>
            </w:pPr>
          </w:p>
        </w:tc>
        <w:tc>
          <w:tcPr>
            <w:tcW w:w="995" w:type="dxa"/>
          </w:tcPr>
          <w:p w14:paraId="2BC032BB">
            <w:pPr>
              <w:widowControl w:val="0"/>
              <w:rPr>
                <w:color w:val="auto"/>
                <w:highlight w:val="none"/>
                <w:vertAlign w:val="baseline"/>
              </w:rPr>
            </w:pPr>
          </w:p>
        </w:tc>
        <w:tc>
          <w:tcPr>
            <w:tcW w:w="1061" w:type="dxa"/>
          </w:tcPr>
          <w:p w14:paraId="43AF7AB5">
            <w:pPr>
              <w:widowControl w:val="0"/>
              <w:rPr>
                <w:color w:val="auto"/>
                <w:highlight w:val="none"/>
                <w:vertAlign w:val="baseline"/>
              </w:rPr>
            </w:pPr>
          </w:p>
        </w:tc>
        <w:tc>
          <w:tcPr>
            <w:tcW w:w="1061" w:type="dxa"/>
          </w:tcPr>
          <w:p w14:paraId="3CD0599F">
            <w:pPr>
              <w:widowControl w:val="0"/>
              <w:rPr>
                <w:color w:val="auto"/>
                <w:highlight w:val="none"/>
                <w:vertAlign w:val="baseline"/>
              </w:rPr>
            </w:pPr>
          </w:p>
        </w:tc>
        <w:tc>
          <w:tcPr>
            <w:tcW w:w="1213" w:type="dxa"/>
          </w:tcPr>
          <w:p w14:paraId="351E7283">
            <w:pPr>
              <w:widowControl w:val="0"/>
              <w:rPr>
                <w:color w:val="auto"/>
                <w:highlight w:val="none"/>
                <w:vertAlign w:val="baseline"/>
              </w:rPr>
            </w:pPr>
          </w:p>
        </w:tc>
        <w:tc>
          <w:tcPr>
            <w:tcW w:w="1584" w:type="dxa"/>
          </w:tcPr>
          <w:p w14:paraId="47A41BCD">
            <w:pPr>
              <w:widowControl w:val="0"/>
              <w:rPr>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color w:val="auto"/>
                <w:highlight w:val="none"/>
                <w:vertAlign w:val="baseline"/>
              </w:rPr>
            </w:pPr>
          </w:p>
        </w:tc>
        <w:tc>
          <w:tcPr>
            <w:tcW w:w="1181" w:type="dxa"/>
            <w:vMerge w:val="continue"/>
          </w:tcPr>
          <w:p w14:paraId="040A03DA">
            <w:pPr>
              <w:widowControl w:val="0"/>
              <w:rPr>
                <w:color w:val="auto"/>
                <w:highlight w:val="none"/>
                <w:vertAlign w:val="baseline"/>
              </w:rPr>
            </w:pPr>
          </w:p>
        </w:tc>
        <w:tc>
          <w:tcPr>
            <w:tcW w:w="1341" w:type="dxa"/>
          </w:tcPr>
          <w:p w14:paraId="6D655FCD">
            <w:pPr>
              <w:widowControl w:val="0"/>
              <w:rPr>
                <w:color w:val="auto"/>
                <w:highlight w:val="none"/>
                <w:vertAlign w:val="baseline"/>
              </w:rPr>
            </w:pPr>
          </w:p>
        </w:tc>
        <w:tc>
          <w:tcPr>
            <w:tcW w:w="1225" w:type="dxa"/>
          </w:tcPr>
          <w:p w14:paraId="5E1CE5CD">
            <w:pPr>
              <w:widowControl w:val="0"/>
              <w:rPr>
                <w:color w:val="auto"/>
                <w:highlight w:val="none"/>
                <w:vertAlign w:val="baseline"/>
              </w:rPr>
            </w:pPr>
          </w:p>
        </w:tc>
        <w:tc>
          <w:tcPr>
            <w:tcW w:w="995" w:type="dxa"/>
          </w:tcPr>
          <w:p w14:paraId="6FFF8D39">
            <w:pPr>
              <w:widowControl w:val="0"/>
              <w:rPr>
                <w:color w:val="auto"/>
                <w:highlight w:val="none"/>
                <w:vertAlign w:val="baseline"/>
              </w:rPr>
            </w:pPr>
          </w:p>
        </w:tc>
        <w:tc>
          <w:tcPr>
            <w:tcW w:w="995" w:type="dxa"/>
          </w:tcPr>
          <w:p w14:paraId="69EFFFF9">
            <w:pPr>
              <w:widowControl w:val="0"/>
              <w:rPr>
                <w:color w:val="auto"/>
                <w:highlight w:val="none"/>
                <w:vertAlign w:val="baseline"/>
              </w:rPr>
            </w:pPr>
          </w:p>
        </w:tc>
        <w:tc>
          <w:tcPr>
            <w:tcW w:w="1107" w:type="dxa"/>
          </w:tcPr>
          <w:p w14:paraId="0D9181D5">
            <w:pPr>
              <w:widowControl w:val="0"/>
              <w:rPr>
                <w:color w:val="auto"/>
                <w:highlight w:val="none"/>
                <w:vertAlign w:val="baseline"/>
              </w:rPr>
            </w:pPr>
          </w:p>
        </w:tc>
        <w:tc>
          <w:tcPr>
            <w:tcW w:w="883" w:type="dxa"/>
          </w:tcPr>
          <w:p w14:paraId="55638291">
            <w:pPr>
              <w:widowControl w:val="0"/>
              <w:rPr>
                <w:color w:val="auto"/>
                <w:highlight w:val="none"/>
                <w:vertAlign w:val="baseline"/>
              </w:rPr>
            </w:pPr>
          </w:p>
        </w:tc>
        <w:tc>
          <w:tcPr>
            <w:tcW w:w="995" w:type="dxa"/>
          </w:tcPr>
          <w:p w14:paraId="18AD76A8">
            <w:pPr>
              <w:widowControl w:val="0"/>
              <w:rPr>
                <w:color w:val="auto"/>
                <w:highlight w:val="none"/>
                <w:vertAlign w:val="baseline"/>
              </w:rPr>
            </w:pPr>
          </w:p>
        </w:tc>
        <w:tc>
          <w:tcPr>
            <w:tcW w:w="1061" w:type="dxa"/>
          </w:tcPr>
          <w:p w14:paraId="3E848191">
            <w:pPr>
              <w:widowControl w:val="0"/>
              <w:rPr>
                <w:color w:val="auto"/>
                <w:highlight w:val="none"/>
                <w:vertAlign w:val="baseline"/>
              </w:rPr>
            </w:pPr>
          </w:p>
        </w:tc>
        <w:tc>
          <w:tcPr>
            <w:tcW w:w="1061" w:type="dxa"/>
          </w:tcPr>
          <w:p w14:paraId="5A6786BD">
            <w:pPr>
              <w:widowControl w:val="0"/>
              <w:rPr>
                <w:color w:val="auto"/>
                <w:highlight w:val="none"/>
                <w:vertAlign w:val="baseline"/>
              </w:rPr>
            </w:pPr>
          </w:p>
        </w:tc>
        <w:tc>
          <w:tcPr>
            <w:tcW w:w="1213" w:type="dxa"/>
          </w:tcPr>
          <w:p w14:paraId="4A951FB8">
            <w:pPr>
              <w:widowControl w:val="0"/>
              <w:rPr>
                <w:color w:val="auto"/>
                <w:highlight w:val="none"/>
                <w:vertAlign w:val="baseline"/>
              </w:rPr>
            </w:pPr>
          </w:p>
        </w:tc>
        <w:tc>
          <w:tcPr>
            <w:tcW w:w="1584" w:type="dxa"/>
          </w:tcPr>
          <w:p w14:paraId="554D3838">
            <w:pPr>
              <w:widowControl w:val="0"/>
              <w:rPr>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573" w:type="dxa"/>
            <w:vMerge w:val="restart"/>
          </w:tcPr>
          <w:p w14:paraId="6D387E14">
            <w:pPr>
              <w:widowControl w:val="0"/>
              <w:rPr>
                <w:color w:val="auto"/>
                <w:highlight w:val="none"/>
                <w:vertAlign w:val="baseline"/>
              </w:rPr>
            </w:pPr>
          </w:p>
        </w:tc>
        <w:tc>
          <w:tcPr>
            <w:tcW w:w="1181" w:type="dxa"/>
            <w:vMerge w:val="restart"/>
          </w:tcPr>
          <w:p w14:paraId="0D9E80CF">
            <w:pPr>
              <w:widowControl w:val="0"/>
              <w:rPr>
                <w:color w:val="auto"/>
                <w:highlight w:val="none"/>
                <w:vertAlign w:val="baseline"/>
              </w:rPr>
            </w:pPr>
          </w:p>
        </w:tc>
        <w:tc>
          <w:tcPr>
            <w:tcW w:w="1341" w:type="dxa"/>
          </w:tcPr>
          <w:p w14:paraId="1E7399C3">
            <w:pPr>
              <w:widowControl w:val="0"/>
              <w:rPr>
                <w:color w:val="auto"/>
                <w:highlight w:val="none"/>
                <w:vertAlign w:val="baseline"/>
              </w:rPr>
            </w:pPr>
          </w:p>
        </w:tc>
        <w:tc>
          <w:tcPr>
            <w:tcW w:w="1225" w:type="dxa"/>
          </w:tcPr>
          <w:p w14:paraId="3F37E071">
            <w:pPr>
              <w:widowControl w:val="0"/>
              <w:rPr>
                <w:color w:val="auto"/>
                <w:highlight w:val="none"/>
                <w:vertAlign w:val="baseline"/>
              </w:rPr>
            </w:pPr>
          </w:p>
        </w:tc>
        <w:tc>
          <w:tcPr>
            <w:tcW w:w="995" w:type="dxa"/>
          </w:tcPr>
          <w:p w14:paraId="3C6E9A35">
            <w:pPr>
              <w:widowControl w:val="0"/>
              <w:rPr>
                <w:color w:val="auto"/>
                <w:highlight w:val="none"/>
                <w:vertAlign w:val="baseline"/>
              </w:rPr>
            </w:pPr>
          </w:p>
        </w:tc>
        <w:tc>
          <w:tcPr>
            <w:tcW w:w="995" w:type="dxa"/>
          </w:tcPr>
          <w:p w14:paraId="439A493E">
            <w:pPr>
              <w:widowControl w:val="0"/>
              <w:rPr>
                <w:color w:val="auto"/>
                <w:highlight w:val="none"/>
                <w:vertAlign w:val="baseline"/>
              </w:rPr>
            </w:pPr>
          </w:p>
        </w:tc>
        <w:tc>
          <w:tcPr>
            <w:tcW w:w="1107" w:type="dxa"/>
          </w:tcPr>
          <w:p w14:paraId="6DA472CA">
            <w:pPr>
              <w:widowControl w:val="0"/>
              <w:rPr>
                <w:color w:val="auto"/>
                <w:highlight w:val="none"/>
                <w:vertAlign w:val="baseline"/>
              </w:rPr>
            </w:pPr>
          </w:p>
        </w:tc>
        <w:tc>
          <w:tcPr>
            <w:tcW w:w="883" w:type="dxa"/>
          </w:tcPr>
          <w:p w14:paraId="4B709168">
            <w:pPr>
              <w:widowControl w:val="0"/>
              <w:rPr>
                <w:color w:val="auto"/>
                <w:highlight w:val="none"/>
                <w:vertAlign w:val="baseline"/>
              </w:rPr>
            </w:pPr>
          </w:p>
        </w:tc>
        <w:tc>
          <w:tcPr>
            <w:tcW w:w="995" w:type="dxa"/>
          </w:tcPr>
          <w:p w14:paraId="0406CE2F">
            <w:pPr>
              <w:widowControl w:val="0"/>
              <w:rPr>
                <w:color w:val="auto"/>
                <w:highlight w:val="none"/>
                <w:vertAlign w:val="baseline"/>
              </w:rPr>
            </w:pPr>
          </w:p>
        </w:tc>
        <w:tc>
          <w:tcPr>
            <w:tcW w:w="1061" w:type="dxa"/>
          </w:tcPr>
          <w:p w14:paraId="51830342">
            <w:pPr>
              <w:widowControl w:val="0"/>
              <w:rPr>
                <w:color w:val="auto"/>
                <w:highlight w:val="none"/>
                <w:vertAlign w:val="baseline"/>
              </w:rPr>
            </w:pPr>
          </w:p>
        </w:tc>
        <w:tc>
          <w:tcPr>
            <w:tcW w:w="1061" w:type="dxa"/>
          </w:tcPr>
          <w:p w14:paraId="19B6E307">
            <w:pPr>
              <w:widowControl w:val="0"/>
              <w:rPr>
                <w:color w:val="auto"/>
                <w:highlight w:val="none"/>
                <w:vertAlign w:val="baseline"/>
              </w:rPr>
            </w:pPr>
          </w:p>
        </w:tc>
        <w:tc>
          <w:tcPr>
            <w:tcW w:w="1213" w:type="dxa"/>
          </w:tcPr>
          <w:p w14:paraId="3E3FE638">
            <w:pPr>
              <w:widowControl w:val="0"/>
              <w:rPr>
                <w:color w:val="auto"/>
                <w:highlight w:val="none"/>
                <w:vertAlign w:val="baseline"/>
              </w:rPr>
            </w:pPr>
          </w:p>
        </w:tc>
        <w:tc>
          <w:tcPr>
            <w:tcW w:w="1584" w:type="dxa"/>
          </w:tcPr>
          <w:p w14:paraId="71BF78D1">
            <w:pPr>
              <w:widowControl w:val="0"/>
              <w:rPr>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color w:val="auto"/>
                <w:highlight w:val="none"/>
                <w:vertAlign w:val="baseline"/>
              </w:rPr>
            </w:pPr>
          </w:p>
        </w:tc>
        <w:tc>
          <w:tcPr>
            <w:tcW w:w="1181" w:type="dxa"/>
            <w:vMerge w:val="continue"/>
          </w:tcPr>
          <w:p w14:paraId="321CC1BD">
            <w:pPr>
              <w:widowControl w:val="0"/>
              <w:rPr>
                <w:color w:val="auto"/>
                <w:highlight w:val="none"/>
                <w:vertAlign w:val="baseline"/>
              </w:rPr>
            </w:pPr>
          </w:p>
        </w:tc>
        <w:tc>
          <w:tcPr>
            <w:tcW w:w="1341" w:type="dxa"/>
          </w:tcPr>
          <w:p w14:paraId="177DB5E9">
            <w:pPr>
              <w:widowControl w:val="0"/>
              <w:rPr>
                <w:color w:val="auto"/>
                <w:highlight w:val="none"/>
                <w:vertAlign w:val="baseline"/>
              </w:rPr>
            </w:pPr>
          </w:p>
        </w:tc>
        <w:tc>
          <w:tcPr>
            <w:tcW w:w="1225" w:type="dxa"/>
          </w:tcPr>
          <w:p w14:paraId="74208401">
            <w:pPr>
              <w:widowControl w:val="0"/>
              <w:rPr>
                <w:color w:val="auto"/>
                <w:highlight w:val="none"/>
                <w:vertAlign w:val="baseline"/>
              </w:rPr>
            </w:pPr>
          </w:p>
        </w:tc>
        <w:tc>
          <w:tcPr>
            <w:tcW w:w="995" w:type="dxa"/>
          </w:tcPr>
          <w:p w14:paraId="1C3E1A61">
            <w:pPr>
              <w:widowControl w:val="0"/>
              <w:rPr>
                <w:color w:val="auto"/>
                <w:highlight w:val="none"/>
                <w:vertAlign w:val="baseline"/>
              </w:rPr>
            </w:pPr>
          </w:p>
        </w:tc>
        <w:tc>
          <w:tcPr>
            <w:tcW w:w="995" w:type="dxa"/>
          </w:tcPr>
          <w:p w14:paraId="045B7522">
            <w:pPr>
              <w:widowControl w:val="0"/>
              <w:rPr>
                <w:color w:val="auto"/>
                <w:highlight w:val="none"/>
                <w:vertAlign w:val="baseline"/>
              </w:rPr>
            </w:pPr>
          </w:p>
        </w:tc>
        <w:tc>
          <w:tcPr>
            <w:tcW w:w="1107" w:type="dxa"/>
          </w:tcPr>
          <w:p w14:paraId="495D32C7">
            <w:pPr>
              <w:widowControl w:val="0"/>
              <w:rPr>
                <w:color w:val="auto"/>
                <w:highlight w:val="none"/>
                <w:vertAlign w:val="baseline"/>
              </w:rPr>
            </w:pPr>
          </w:p>
        </w:tc>
        <w:tc>
          <w:tcPr>
            <w:tcW w:w="883" w:type="dxa"/>
          </w:tcPr>
          <w:p w14:paraId="6707E9BC">
            <w:pPr>
              <w:widowControl w:val="0"/>
              <w:rPr>
                <w:color w:val="auto"/>
                <w:highlight w:val="none"/>
                <w:vertAlign w:val="baseline"/>
              </w:rPr>
            </w:pPr>
          </w:p>
        </w:tc>
        <w:tc>
          <w:tcPr>
            <w:tcW w:w="995" w:type="dxa"/>
          </w:tcPr>
          <w:p w14:paraId="3D0459B3">
            <w:pPr>
              <w:widowControl w:val="0"/>
              <w:rPr>
                <w:color w:val="auto"/>
                <w:highlight w:val="none"/>
                <w:vertAlign w:val="baseline"/>
              </w:rPr>
            </w:pPr>
          </w:p>
        </w:tc>
        <w:tc>
          <w:tcPr>
            <w:tcW w:w="1061" w:type="dxa"/>
          </w:tcPr>
          <w:p w14:paraId="079689F5">
            <w:pPr>
              <w:widowControl w:val="0"/>
              <w:rPr>
                <w:color w:val="auto"/>
                <w:highlight w:val="none"/>
                <w:vertAlign w:val="baseline"/>
              </w:rPr>
            </w:pPr>
          </w:p>
        </w:tc>
        <w:tc>
          <w:tcPr>
            <w:tcW w:w="1061" w:type="dxa"/>
          </w:tcPr>
          <w:p w14:paraId="0417379A">
            <w:pPr>
              <w:widowControl w:val="0"/>
              <w:rPr>
                <w:color w:val="auto"/>
                <w:highlight w:val="none"/>
                <w:vertAlign w:val="baseline"/>
              </w:rPr>
            </w:pPr>
          </w:p>
        </w:tc>
        <w:tc>
          <w:tcPr>
            <w:tcW w:w="1213" w:type="dxa"/>
          </w:tcPr>
          <w:p w14:paraId="60DE824B">
            <w:pPr>
              <w:widowControl w:val="0"/>
              <w:rPr>
                <w:color w:val="auto"/>
                <w:highlight w:val="none"/>
                <w:vertAlign w:val="baseline"/>
              </w:rPr>
            </w:pPr>
          </w:p>
        </w:tc>
        <w:tc>
          <w:tcPr>
            <w:tcW w:w="1584" w:type="dxa"/>
          </w:tcPr>
          <w:p w14:paraId="544ED074">
            <w:pPr>
              <w:widowControl w:val="0"/>
              <w:rPr>
                <w:color w:val="auto"/>
                <w:highlight w:val="none"/>
                <w:vertAlign w:val="baseline"/>
              </w:rPr>
            </w:pPr>
          </w:p>
        </w:tc>
      </w:tr>
    </w:tbl>
    <w:p w14:paraId="5C36BDA2">
      <w:pPr>
        <w:rPr>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default"/>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w:t>
            </w:r>
            <w:r>
              <w:rPr>
                <w:rFonts w:hint="eastAsia" w:ascii="宋体" w:hAnsi="宋体" w:cs="宋体"/>
                <w:b/>
                <w:bCs/>
                <w:snapToGrid w:val="0"/>
                <w:color w:val="auto"/>
                <w:kern w:val="0"/>
                <w:sz w:val="21"/>
                <w:szCs w:val="21"/>
                <w:highlight w:val="none"/>
                <w:lang w:val="en-US" w:eastAsia="zh-CN" w:bidi="ar"/>
              </w:rPr>
              <w:t>及注册证号</w:t>
            </w:r>
          </w:p>
        </w:tc>
        <w:tc>
          <w:tcPr>
            <w:tcW w:w="1134" w:type="dxa"/>
            <w:vAlign w:val="center"/>
          </w:tcPr>
          <w:p w14:paraId="3EA06616">
            <w:pPr>
              <w:keepNext w:val="0"/>
              <w:keepLines w:val="0"/>
              <w:widowControl/>
              <w:suppressLineNumbers w:val="0"/>
              <w:jc w:val="center"/>
              <w:rPr>
                <w:rFonts w:hint="eastAsia" w:asciiTheme="minorEastAsia" w:hAnsiTheme="minorEastAsia"/>
                <w:b/>
                <w:bCs/>
                <w:szCs w:val="21"/>
                <w:highlight w:val="none"/>
              </w:rPr>
            </w:pPr>
            <w:r>
              <w:rPr>
                <w:rFonts w:hint="eastAsia" w:asciiTheme="minorEastAsia" w:hAnsiTheme="minorEastAsia"/>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szCs w:val="21"/>
                <w:highlight w:val="none"/>
                <w:lang w:eastAsia="zh-CN"/>
              </w:rPr>
              <w:t>（</w:t>
            </w:r>
            <w:r>
              <w:rPr>
                <w:rFonts w:hint="eastAsia" w:cs="宋体" w:asciiTheme="minorEastAsia" w:hAnsiTheme="minorEastAsia"/>
                <w:b/>
                <w:bCs/>
                <w:szCs w:val="21"/>
                <w:highlight w:val="none"/>
              </w:rPr>
              <w:t>按注册证规格型号填写</w:t>
            </w:r>
            <w:r>
              <w:rPr>
                <w:rFonts w:hint="eastAsia" w:asciiTheme="minorEastAsia" w:hAnsiTheme="minorEastAsia"/>
                <w:b/>
                <w:bCs/>
                <w:szCs w:val="21"/>
                <w:highlight w:val="none"/>
                <w:lang w:eastAsia="zh-CN"/>
              </w:rPr>
              <w:t>）</w:t>
            </w:r>
          </w:p>
        </w:tc>
        <w:tc>
          <w:tcPr>
            <w:tcW w:w="986"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50DD40B">
            <w:pPr>
              <w:widowControl w:val="0"/>
              <w:spacing w:line="320" w:lineRule="exact"/>
              <w:jc w:val="center"/>
              <w:outlineLvl w:val="0"/>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收费金额</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color w:val="auto"/>
                <w:highlight w:val="none"/>
                <w:vertAlign w:val="baseline"/>
              </w:rPr>
            </w:pPr>
          </w:p>
        </w:tc>
        <w:tc>
          <w:tcPr>
            <w:tcW w:w="1185" w:type="dxa"/>
          </w:tcPr>
          <w:p w14:paraId="0F341263">
            <w:pPr>
              <w:widowControl w:val="0"/>
              <w:rPr>
                <w:color w:val="auto"/>
                <w:highlight w:val="none"/>
                <w:vertAlign w:val="baseline"/>
              </w:rPr>
            </w:pPr>
          </w:p>
        </w:tc>
        <w:tc>
          <w:tcPr>
            <w:tcW w:w="1200" w:type="dxa"/>
          </w:tcPr>
          <w:p w14:paraId="5E2811FC">
            <w:pPr>
              <w:widowControl w:val="0"/>
              <w:rPr>
                <w:color w:val="auto"/>
                <w:highlight w:val="none"/>
                <w:vertAlign w:val="baseline"/>
              </w:rPr>
            </w:pPr>
          </w:p>
        </w:tc>
        <w:tc>
          <w:tcPr>
            <w:tcW w:w="1134" w:type="dxa"/>
          </w:tcPr>
          <w:p w14:paraId="4138DDFD">
            <w:pPr>
              <w:widowControl w:val="0"/>
              <w:rPr>
                <w:color w:val="auto"/>
                <w:highlight w:val="none"/>
                <w:vertAlign w:val="baseline"/>
              </w:rPr>
            </w:pPr>
          </w:p>
        </w:tc>
        <w:tc>
          <w:tcPr>
            <w:tcW w:w="986" w:type="dxa"/>
          </w:tcPr>
          <w:p w14:paraId="6406ADBC">
            <w:pPr>
              <w:widowControl w:val="0"/>
              <w:rPr>
                <w:color w:val="auto"/>
                <w:highlight w:val="none"/>
                <w:vertAlign w:val="baseline"/>
              </w:rPr>
            </w:pPr>
          </w:p>
        </w:tc>
        <w:tc>
          <w:tcPr>
            <w:tcW w:w="986" w:type="dxa"/>
          </w:tcPr>
          <w:p w14:paraId="23110391">
            <w:pPr>
              <w:widowControl w:val="0"/>
              <w:rPr>
                <w:color w:val="auto"/>
                <w:highlight w:val="none"/>
                <w:vertAlign w:val="baseline"/>
              </w:rPr>
            </w:pPr>
          </w:p>
        </w:tc>
        <w:tc>
          <w:tcPr>
            <w:tcW w:w="986" w:type="dxa"/>
          </w:tcPr>
          <w:p w14:paraId="403934A1">
            <w:pPr>
              <w:widowControl w:val="0"/>
              <w:rPr>
                <w:color w:val="auto"/>
                <w:highlight w:val="none"/>
                <w:vertAlign w:val="baseline"/>
              </w:rPr>
            </w:pPr>
          </w:p>
        </w:tc>
        <w:tc>
          <w:tcPr>
            <w:tcW w:w="708" w:type="dxa"/>
          </w:tcPr>
          <w:p w14:paraId="542CE9FA">
            <w:pPr>
              <w:widowControl w:val="0"/>
              <w:rPr>
                <w:color w:val="auto"/>
                <w:highlight w:val="none"/>
                <w:vertAlign w:val="baseline"/>
              </w:rPr>
            </w:pPr>
          </w:p>
        </w:tc>
        <w:tc>
          <w:tcPr>
            <w:tcW w:w="1125" w:type="dxa"/>
          </w:tcPr>
          <w:p w14:paraId="1C229079">
            <w:pPr>
              <w:widowControl w:val="0"/>
              <w:rPr>
                <w:color w:val="auto"/>
                <w:highlight w:val="none"/>
                <w:vertAlign w:val="baseline"/>
              </w:rPr>
            </w:pPr>
          </w:p>
        </w:tc>
        <w:tc>
          <w:tcPr>
            <w:tcW w:w="1275" w:type="dxa"/>
          </w:tcPr>
          <w:p w14:paraId="0535F847">
            <w:pPr>
              <w:widowControl w:val="0"/>
              <w:rPr>
                <w:color w:val="auto"/>
                <w:highlight w:val="none"/>
                <w:vertAlign w:val="baseline"/>
              </w:rPr>
            </w:pPr>
          </w:p>
        </w:tc>
        <w:tc>
          <w:tcPr>
            <w:tcW w:w="1500" w:type="dxa"/>
          </w:tcPr>
          <w:p w14:paraId="2034F975">
            <w:pPr>
              <w:widowControl w:val="0"/>
              <w:rPr>
                <w:color w:val="auto"/>
                <w:highlight w:val="none"/>
                <w:vertAlign w:val="baseline"/>
              </w:rPr>
            </w:pPr>
          </w:p>
        </w:tc>
        <w:tc>
          <w:tcPr>
            <w:tcW w:w="1405"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color w:val="auto"/>
                <w:highlight w:val="none"/>
                <w:vertAlign w:val="baseline"/>
              </w:rPr>
            </w:pPr>
          </w:p>
        </w:tc>
        <w:tc>
          <w:tcPr>
            <w:tcW w:w="1185" w:type="dxa"/>
          </w:tcPr>
          <w:p w14:paraId="6F728AC8">
            <w:pPr>
              <w:widowControl w:val="0"/>
              <w:rPr>
                <w:color w:val="auto"/>
                <w:highlight w:val="none"/>
                <w:vertAlign w:val="baseline"/>
              </w:rPr>
            </w:pPr>
          </w:p>
        </w:tc>
        <w:tc>
          <w:tcPr>
            <w:tcW w:w="1200" w:type="dxa"/>
          </w:tcPr>
          <w:p w14:paraId="5DC1D47F">
            <w:pPr>
              <w:widowControl w:val="0"/>
              <w:rPr>
                <w:color w:val="auto"/>
                <w:highlight w:val="none"/>
                <w:vertAlign w:val="baseline"/>
              </w:rPr>
            </w:pPr>
          </w:p>
        </w:tc>
        <w:tc>
          <w:tcPr>
            <w:tcW w:w="1134" w:type="dxa"/>
          </w:tcPr>
          <w:p w14:paraId="0736C76F">
            <w:pPr>
              <w:widowControl w:val="0"/>
              <w:rPr>
                <w:color w:val="auto"/>
                <w:highlight w:val="none"/>
                <w:vertAlign w:val="baseline"/>
              </w:rPr>
            </w:pPr>
          </w:p>
        </w:tc>
        <w:tc>
          <w:tcPr>
            <w:tcW w:w="986" w:type="dxa"/>
          </w:tcPr>
          <w:p w14:paraId="4A635A5B">
            <w:pPr>
              <w:widowControl w:val="0"/>
              <w:rPr>
                <w:color w:val="auto"/>
                <w:highlight w:val="none"/>
                <w:vertAlign w:val="baseline"/>
              </w:rPr>
            </w:pPr>
          </w:p>
        </w:tc>
        <w:tc>
          <w:tcPr>
            <w:tcW w:w="986" w:type="dxa"/>
          </w:tcPr>
          <w:p w14:paraId="41FF43D8">
            <w:pPr>
              <w:widowControl w:val="0"/>
              <w:rPr>
                <w:color w:val="auto"/>
                <w:highlight w:val="none"/>
                <w:vertAlign w:val="baseline"/>
              </w:rPr>
            </w:pPr>
          </w:p>
        </w:tc>
        <w:tc>
          <w:tcPr>
            <w:tcW w:w="986" w:type="dxa"/>
          </w:tcPr>
          <w:p w14:paraId="739BF70B">
            <w:pPr>
              <w:widowControl w:val="0"/>
              <w:rPr>
                <w:color w:val="auto"/>
                <w:highlight w:val="none"/>
                <w:vertAlign w:val="baseline"/>
              </w:rPr>
            </w:pPr>
          </w:p>
        </w:tc>
        <w:tc>
          <w:tcPr>
            <w:tcW w:w="708" w:type="dxa"/>
          </w:tcPr>
          <w:p w14:paraId="21217D12">
            <w:pPr>
              <w:widowControl w:val="0"/>
              <w:rPr>
                <w:color w:val="auto"/>
                <w:highlight w:val="none"/>
                <w:vertAlign w:val="baseline"/>
              </w:rPr>
            </w:pPr>
          </w:p>
        </w:tc>
        <w:tc>
          <w:tcPr>
            <w:tcW w:w="1125" w:type="dxa"/>
          </w:tcPr>
          <w:p w14:paraId="2D25857A">
            <w:pPr>
              <w:widowControl w:val="0"/>
              <w:rPr>
                <w:color w:val="auto"/>
                <w:highlight w:val="none"/>
                <w:vertAlign w:val="baseline"/>
              </w:rPr>
            </w:pPr>
          </w:p>
        </w:tc>
        <w:tc>
          <w:tcPr>
            <w:tcW w:w="1275" w:type="dxa"/>
          </w:tcPr>
          <w:p w14:paraId="4976030C">
            <w:pPr>
              <w:widowControl w:val="0"/>
              <w:rPr>
                <w:color w:val="auto"/>
                <w:highlight w:val="none"/>
                <w:vertAlign w:val="baseline"/>
              </w:rPr>
            </w:pPr>
          </w:p>
        </w:tc>
        <w:tc>
          <w:tcPr>
            <w:tcW w:w="1500" w:type="dxa"/>
          </w:tcPr>
          <w:p w14:paraId="5664F5DB">
            <w:pPr>
              <w:widowControl w:val="0"/>
              <w:rPr>
                <w:color w:val="auto"/>
                <w:highlight w:val="none"/>
                <w:vertAlign w:val="baseline"/>
              </w:rPr>
            </w:pPr>
          </w:p>
        </w:tc>
        <w:tc>
          <w:tcPr>
            <w:tcW w:w="1405"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color w:val="auto"/>
                <w:highlight w:val="none"/>
                <w:vertAlign w:val="baseline"/>
              </w:rPr>
            </w:pPr>
          </w:p>
        </w:tc>
        <w:tc>
          <w:tcPr>
            <w:tcW w:w="1185" w:type="dxa"/>
          </w:tcPr>
          <w:p w14:paraId="0D8A01B7">
            <w:pPr>
              <w:widowControl w:val="0"/>
              <w:rPr>
                <w:color w:val="auto"/>
                <w:highlight w:val="none"/>
                <w:vertAlign w:val="baseline"/>
              </w:rPr>
            </w:pPr>
          </w:p>
        </w:tc>
        <w:tc>
          <w:tcPr>
            <w:tcW w:w="1200" w:type="dxa"/>
          </w:tcPr>
          <w:p w14:paraId="5D2869C6">
            <w:pPr>
              <w:widowControl w:val="0"/>
              <w:rPr>
                <w:color w:val="auto"/>
                <w:highlight w:val="none"/>
                <w:vertAlign w:val="baseline"/>
              </w:rPr>
            </w:pPr>
          </w:p>
        </w:tc>
        <w:tc>
          <w:tcPr>
            <w:tcW w:w="1134" w:type="dxa"/>
          </w:tcPr>
          <w:p w14:paraId="1AA351AF">
            <w:pPr>
              <w:widowControl w:val="0"/>
              <w:rPr>
                <w:color w:val="auto"/>
                <w:highlight w:val="none"/>
                <w:vertAlign w:val="baseline"/>
              </w:rPr>
            </w:pPr>
          </w:p>
        </w:tc>
        <w:tc>
          <w:tcPr>
            <w:tcW w:w="986" w:type="dxa"/>
          </w:tcPr>
          <w:p w14:paraId="709D356D">
            <w:pPr>
              <w:widowControl w:val="0"/>
              <w:rPr>
                <w:color w:val="auto"/>
                <w:highlight w:val="none"/>
                <w:vertAlign w:val="baseline"/>
              </w:rPr>
            </w:pPr>
          </w:p>
        </w:tc>
        <w:tc>
          <w:tcPr>
            <w:tcW w:w="986" w:type="dxa"/>
          </w:tcPr>
          <w:p w14:paraId="140B3B78">
            <w:pPr>
              <w:widowControl w:val="0"/>
              <w:rPr>
                <w:color w:val="auto"/>
                <w:highlight w:val="none"/>
                <w:vertAlign w:val="baseline"/>
              </w:rPr>
            </w:pPr>
          </w:p>
        </w:tc>
        <w:tc>
          <w:tcPr>
            <w:tcW w:w="986" w:type="dxa"/>
          </w:tcPr>
          <w:p w14:paraId="7187B6F3">
            <w:pPr>
              <w:widowControl w:val="0"/>
              <w:rPr>
                <w:color w:val="auto"/>
                <w:highlight w:val="none"/>
                <w:vertAlign w:val="baseline"/>
              </w:rPr>
            </w:pPr>
          </w:p>
        </w:tc>
        <w:tc>
          <w:tcPr>
            <w:tcW w:w="708" w:type="dxa"/>
          </w:tcPr>
          <w:p w14:paraId="782C0C79">
            <w:pPr>
              <w:widowControl w:val="0"/>
              <w:rPr>
                <w:color w:val="auto"/>
                <w:highlight w:val="none"/>
                <w:vertAlign w:val="baseline"/>
              </w:rPr>
            </w:pPr>
          </w:p>
        </w:tc>
        <w:tc>
          <w:tcPr>
            <w:tcW w:w="1125" w:type="dxa"/>
          </w:tcPr>
          <w:p w14:paraId="3BA3AD13">
            <w:pPr>
              <w:widowControl w:val="0"/>
              <w:rPr>
                <w:color w:val="auto"/>
                <w:highlight w:val="none"/>
                <w:vertAlign w:val="baseline"/>
              </w:rPr>
            </w:pPr>
          </w:p>
        </w:tc>
        <w:tc>
          <w:tcPr>
            <w:tcW w:w="1275" w:type="dxa"/>
          </w:tcPr>
          <w:p w14:paraId="3F864AE3">
            <w:pPr>
              <w:widowControl w:val="0"/>
              <w:rPr>
                <w:color w:val="auto"/>
                <w:highlight w:val="none"/>
                <w:vertAlign w:val="baseline"/>
              </w:rPr>
            </w:pPr>
          </w:p>
        </w:tc>
        <w:tc>
          <w:tcPr>
            <w:tcW w:w="1500" w:type="dxa"/>
          </w:tcPr>
          <w:p w14:paraId="6D48088E">
            <w:pPr>
              <w:widowControl w:val="0"/>
              <w:rPr>
                <w:color w:val="auto"/>
                <w:highlight w:val="none"/>
                <w:vertAlign w:val="baseline"/>
              </w:rPr>
            </w:pPr>
          </w:p>
        </w:tc>
        <w:tc>
          <w:tcPr>
            <w:tcW w:w="1405"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color w:val="auto"/>
                <w:highlight w:val="none"/>
                <w:vertAlign w:val="baseline"/>
              </w:rPr>
            </w:pPr>
          </w:p>
        </w:tc>
        <w:tc>
          <w:tcPr>
            <w:tcW w:w="1185" w:type="dxa"/>
            <w:vMerge w:val="continue"/>
          </w:tcPr>
          <w:p w14:paraId="4D0CA1FD">
            <w:pPr>
              <w:widowControl w:val="0"/>
              <w:rPr>
                <w:color w:val="auto"/>
                <w:highlight w:val="none"/>
                <w:vertAlign w:val="baseline"/>
              </w:rPr>
            </w:pPr>
          </w:p>
        </w:tc>
        <w:tc>
          <w:tcPr>
            <w:tcW w:w="1185" w:type="dxa"/>
          </w:tcPr>
          <w:p w14:paraId="23AB6B66">
            <w:pPr>
              <w:widowControl w:val="0"/>
              <w:rPr>
                <w:color w:val="auto"/>
                <w:highlight w:val="none"/>
                <w:vertAlign w:val="baseline"/>
              </w:rPr>
            </w:pPr>
          </w:p>
        </w:tc>
        <w:tc>
          <w:tcPr>
            <w:tcW w:w="1200" w:type="dxa"/>
          </w:tcPr>
          <w:p w14:paraId="6B29D694">
            <w:pPr>
              <w:widowControl w:val="0"/>
              <w:rPr>
                <w:color w:val="auto"/>
                <w:highlight w:val="none"/>
                <w:vertAlign w:val="baseline"/>
              </w:rPr>
            </w:pPr>
          </w:p>
        </w:tc>
        <w:tc>
          <w:tcPr>
            <w:tcW w:w="1134" w:type="dxa"/>
          </w:tcPr>
          <w:p w14:paraId="424656BF">
            <w:pPr>
              <w:widowControl w:val="0"/>
              <w:rPr>
                <w:color w:val="auto"/>
                <w:highlight w:val="none"/>
                <w:vertAlign w:val="baseline"/>
              </w:rPr>
            </w:pPr>
          </w:p>
        </w:tc>
        <w:tc>
          <w:tcPr>
            <w:tcW w:w="986" w:type="dxa"/>
          </w:tcPr>
          <w:p w14:paraId="7D39357A">
            <w:pPr>
              <w:widowControl w:val="0"/>
              <w:rPr>
                <w:color w:val="auto"/>
                <w:highlight w:val="none"/>
                <w:vertAlign w:val="baseline"/>
              </w:rPr>
            </w:pPr>
          </w:p>
        </w:tc>
        <w:tc>
          <w:tcPr>
            <w:tcW w:w="986" w:type="dxa"/>
          </w:tcPr>
          <w:p w14:paraId="747DFEFE">
            <w:pPr>
              <w:widowControl w:val="0"/>
              <w:rPr>
                <w:color w:val="auto"/>
                <w:highlight w:val="none"/>
                <w:vertAlign w:val="baseline"/>
              </w:rPr>
            </w:pPr>
          </w:p>
        </w:tc>
        <w:tc>
          <w:tcPr>
            <w:tcW w:w="986" w:type="dxa"/>
          </w:tcPr>
          <w:p w14:paraId="3CDE67A2">
            <w:pPr>
              <w:widowControl w:val="0"/>
              <w:rPr>
                <w:color w:val="auto"/>
                <w:highlight w:val="none"/>
                <w:vertAlign w:val="baseline"/>
              </w:rPr>
            </w:pPr>
          </w:p>
        </w:tc>
        <w:tc>
          <w:tcPr>
            <w:tcW w:w="708" w:type="dxa"/>
          </w:tcPr>
          <w:p w14:paraId="5D8AC925">
            <w:pPr>
              <w:widowControl w:val="0"/>
              <w:rPr>
                <w:color w:val="auto"/>
                <w:highlight w:val="none"/>
                <w:vertAlign w:val="baseline"/>
              </w:rPr>
            </w:pPr>
          </w:p>
        </w:tc>
        <w:tc>
          <w:tcPr>
            <w:tcW w:w="1125" w:type="dxa"/>
          </w:tcPr>
          <w:p w14:paraId="3D2C7340">
            <w:pPr>
              <w:widowControl w:val="0"/>
              <w:rPr>
                <w:color w:val="auto"/>
                <w:highlight w:val="none"/>
                <w:vertAlign w:val="baseline"/>
              </w:rPr>
            </w:pPr>
          </w:p>
        </w:tc>
        <w:tc>
          <w:tcPr>
            <w:tcW w:w="1275" w:type="dxa"/>
          </w:tcPr>
          <w:p w14:paraId="4A016A1F">
            <w:pPr>
              <w:widowControl w:val="0"/>
              <w:rPr>
                <w:color w:val="auto"/>
                <w:highlight w:val="none"/>
                <w:vertAlign w:val="baseline"/>
              </w:rPr>
            </w:pPr>
          </w:p>
        </w:tc>
        <w:tc>
          <w:tcPr>
            <w:tcW w:w="1500" w:type="dxa"/>
          </w:tcPr>
          <w:p w14:paraId="6AA74C35">
            <w:pPr>
              <w:widowControl w:val="0"/>
              <w:rPr>
                <w:color w:val="auto"/>
                <w:highlight w:val="none"/>
                <w:vertAlign w:val="baseline"/>
              </w:rPr>
            </w:pPr>
          </w:p>
        </w:tc>
        <w:tc>
          <w:tcPr>
            <w:tcW w:w="1405" w:type="dxa"/>
          </w:tcPr>
          <w:p w14:paraId="091E8271">
            <w:pPr>
              <w:widowControl w:val="0"/>
              <w:rPr>
                <w:color w:val="auto"/>
                <w:highlight w:val="none"/>
                <w:vertAlign w:val="baseline"/>
              </w:rPr>
            </w:pPr>
          </w:p>
        </w:tc>
      </w:tr>
    </w:tbl>
    <w:p w14:paraId="367C1593">
      <w:pPr>
        <w:rPr>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FF0000"/>
                <w:sz w:val="21"/>
                <w:szCs w:val="21"/>
                <w:highlight w:val="none"/>
                <w:lang w:val="en-US" w:eastAsia="zh-CN"/>
              </w:rPr>
              <w:t>（每条参数需做显著标记）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9960"/>
      <w:bookmarkStart w:id="68" w:name="_Toc2042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90B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221DFC9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shd w:val="clear" w:color="auto" w:fill="auto"/>
            <w:noWrap w:val="0"/>
            <w:vAlign w:val="center"/>
          </w:tcPr>
          <w:p w14:paraId="0AD5906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其他要求</w:t>
            </w:r>
          </w:p>
        </w:tc>
        <w:tc>
          <w:tcPr>
            <w:tcW w:w="2198" w:type="dxa"/>
            <w:noWrap w:val="0"/>
            <w:vAlign w:val="center"/>
          </w:tcPr>
          <w:p w14:paraId="7191E3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F1144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A697D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7EE0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D40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F79CC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EC35075">
            <w:pPr>
              <w:pStyle w:val="7"/>
              <w:ind w:left="0" w:leftChars="0"/>
              <w:jc w:val="center"/>
              <w:rPr>
                <w:rFonts w:hint="eastAsia" w:ascii="宋体" w:hAnsi="宋体" w:eastAsia="宋体" w:cs="宋体"/>
                <w:color w:val="auto"/>
                <w:sz w:val="21"/>
                <w:szCs w:val="21"/>
                <w:highlight w:val="none"/>
              </w:rPr>
            </w:pPr>
            <w:r>
              <w:rPr>
                <w:rFonts w:hint="eastAsia" w:cs="宋体"/>
                <w:color w:val="auto"/>
                <w:kern w:val="0"/>
                <w:sz w:val="21"/>
                <w:szCs w:val="21"/>
                <w:highlight w:val="none"/>
                <w:lang w:val="en-US" w:eastAsia="zh-CN" w:bidi="ar-SA"/>
              </w:rPr>
              <w:t>...</w:t>
            </w:r>
          </w:p>
        </w:tc>
        <w:tc>
          <w:tcPr>
            <w:tcW w:w="2198" w:type="dxa"/>
            <w:noWrap w:val="0"/>
            <w:vAlign w:val="center"/>
          </w:tcPr>
          <w:p w14:paraId="251102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C3A4B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7CA9B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E338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DD64557">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12939"/>
      <w:bookmarkStart w:id="74" w:name="_Toc3051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3342"/>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5688740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color w:val="auto"/>
          <w:sz w:val="24"/>
          <w:szCs w:val="24"/>
          <w:highlight w:val="none"/>
          <w:lang w:val="en-US" w:eastAsia="zh-CN"/>
        </w:rPr>
        <w:t>投标产品技术</w:t>
      </w:r>
      <w:r>
        <w:rPr>
          <w:rFonts w:hint="eastAsia" w:cs="宋体"/>
          <w:b/>
          <w:bCs/>
          <w:color w:val="auto"/>
          <w:sz w:val="24"/>
          <w:szCs w:val="24"/>
          <w:highlight w:val="none"/>
          <w:lang w:val="en-US" w:eastAsia="zh-CN"/>
        </w:rPr>
        <w:t>参数证明</w:t>
      </w:r>
      <w:r>
        <w:rPr>
          <w:rFonts w:hint="eastAsia" w:ascii="宋体" w:hAnsi="宋体" w:eastAsia="宋体" w:cs="宋体"/>
          <w:b/>
          <w:bCs/>
          <w:color w:val="auto"/>
          <w:sz w:val="24"/>
          <w:szCs w:val="24"/>
          <w:highlight w:val="none"/>
          <w:lang w:val="en-US" w:eastAsia="zh-CN"/>
        </w:rPr>
        <w:t>资料：</w:t>
      </w:r>
    </w:p>
    <w:p w14:paraId="5FD496F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cs="宋体"/>
          <w:b/>
          <w:bCs/>
          <w:sz w:val="24"/>
          <w:szCs w:val="24"/>
          <w:highlight w:val="none"/>
          <w:lang w:val="en-US" w:eastAsia="zh-CN"/>
        </w:rPr>
      </w:pPr>
      <w:r>
        <w:rPr>
          <w:rFonts w:hint="eastAsia" w:cs="宋体"/>
          <w:b/>
          <w:bCs/>
          <w:sz w:val="24"/>
          <w:szCs w:val="24"/>
          <w:highlight w:val="none"/>
          <w:lang w:val="en-US" w:eastAsia="zh-CN"/>
        </w:rPr>
        <w:t>（1）</w:t>
      </w:r>
      <w:r>
        <w:rPr>
          <w:rFonts w:hint="eastAsia" w:ascii="宋体" w:hAnsi="宋体" w:eastAsia="宋体" w:cs="宋体"/>
          <w:b/>
          <w:bCs/>
          <w:sz w:val="24"/>
          <w:szCs w:val="24"/>
          <w:highlight w:val="none"/>
          <w:lang w:val="en-US" w:eastAsia="zh-CN"/>
        </w:rPr>
        <w:t>所投产品的医疗器械注册证【含附件：产品技术要求（如有）】或医疗器械备案凭证</w:t>
      </w:r>
      <w:r>
        <w:rPr>
          <w:rFonts w:hint="eastAsia" w:cs="宋体"/>
          <w:b/>
          <w:bCs/>
          <w:sz w:val="24"/>
          <w:szCs w:val="24"/>
          <w:highlight w:val="none"/>
          <w:lang w:val="en-US" w:eastAsia="zh-CN"/>
        </w:rPr>
        <w:t>；</w:t>
      </w:r>
    </w:p>
    <w:p w14:paraId="1E3431F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52DDBCBF">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cs="宋体"/>
          <w:b/>
          <w:bCs w:val="0"/>
          <w:color w:val="auto"/>
          <w:sz w:val="24"/>
          <w:szCs w:val="24"/>
          <w:highlight w:val="none"/>
          <w:lang w:val="en-US" w:eastAsia="zh-CN"/>
        </w:rPr>
      </w:pPr>
      <w:r>
        <w:rPr>
          <w:rFonts w:hint="eastAsia" w:cs="宋体"/>
          <w:b/>
          <w:bCs/>
          <w:sz w:val="24"/>
          <w:szCs w:val="24"/>
          <w:highlight w:val="none"/>
          <w:lang w:val="en-US" w:eastAsia="zh-CN"/>
        </w:rPr>
        <w:t>（2）</w:t>
      </w:r>
      <w:r>
        <w:rPr>
          <w:rFonts w:hint="eastAsia" w:ascii="宋体" w:hAnsi="宋体" w:eastAsia="宋体" w:cs="宋体"/>
          <w:b/>
          <w:bCs/>
          <w:sz w:val="24"/>
          <w:szCs w:val="24"/>
          <w:highlight w:val="none"/>
          <w:lang w:val="en-US" w:eastAsia="zh-CN"/>
        </w:rPr>
        <w:t>按照采购文件“第二章 采购需求 二、技术要求”及“评分标准”中的要求提供产品技术</w:t>
      </w:r>
      <w:r>
        <w:rPr>
          <w:rFonts w:hint="eastAsia" w:cs="宋体"/>
          <w:b/>
          <w:bCs/>
          <w:sz w:val="24"/>
          <w:szCs w:val="24"/>
          <w:highlight w:val="none"/>
          <w:lang w:val="en-US" w:eastAsia="zh-CN"/>
        </w:rPr>
        <w:t>参数</w:t>
      </w:r>
      <w:r>
        <w:rPr>
          <w:rFonts w:hint="eastAsia" w:ascii="宋体" w:hAnsi="宋体" w:eastAsia="宋体" w:cs="宋体"/>
          <w:b/>
          <w:bCs/>
          <w:sz w:val="24"/>
          <w:szCs w:val="24"/>
          <w:highlight w:val="none"/>
          <w:lang w:val="en-US" w:eastAsia="zh-CN"/>
        </w:rPr>
        <w:t>证明文件。</w:t>
      </w:r>
    </w:p>
    <w:p w14:paraId="4AA2FDFB">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BFC715-04BA-46DF-A6BF-662BAF86CBF1}"/>
  </w:font>
  <w:font w:name="黑体">
    <w:panose1 w:val="02010609060101010101"/>
    <w:charset w:val="86"/>
    <w:family w:val="auto"/>
    <w:pitch w:val="default"/>
    <w:sig w:usb0="800002BF" w:usb1="38CF7CFA" w:usb2="00000016" w:usb3="00000000" w:csb0="00040001" w:csb1="00000000"/>
    <w:embedRegular r:id="rId2" w:fontKey="{4C41D5DB-E557-45F2-9F64-6028852482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F2EC42F-5191-4EA1-8699-DC0468E0B334}"/>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4" w:fontKey="{E86AE5ED-4955-4FF2-B992-4A853680F978}"/>
  </w:font>
  <w:font w:name="仿宋_GB2312">
    <w:panose1 w:val="02010609030101010101"/>
    <w:charset w:val="86"/>
    <w:family w:val="auto"/>
    <w:pitch w:val="default"/>
    <w:sig w:usb0="00000001" w:usb1="080E0000" w:usb2="00000000" w:usb3="00000000" w:csb0="00040000" w:csb1="00000000"/>
    <w:embedRegular r:id="rId5" w:fontKey="{FD611C29-FEDC-4475-851B-617845AC58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驻马店市中心医院耳鼻喉图像系统采购项目采购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EF19B"/>
    <w:multiLevelType w:val="singleLevel"/>
    <w:tmpl w:val="D3BEF19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179A9"/>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4B63E2"/>
    <w:rsid w:val="0E541CA2"/>
    <w:rsid w:val="0E576B35"/>
    <w:rsid w:val="0E594756"/>
    <w:rsid w:val="0E5F5D30"/>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784266"/>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274005"/>
    <w:rsid w:val="113329E7"/>
    <w:rsid w:val="113F294C"/>
    <w:rsid w:val="11437C85"/>
    <w:rsid w:val="11575085"/>
    <w:rsid w:val="116021A5"/>
    <w:rsid w:val="1166372C"/>
    <w:rsid w:val="11700D10"/>
    <w:rsid w:val="1178125A"/>
    <w:rsid w:val="118441E0"/>
    <w:rsid w:val="1196056D"/>
    <w:rsid w:val="11B85B3D"/>
    <w:rsid w:val="11CD20A0"/>
    <w:rsid w:val="11D34654"/>
    <w:rsid w:val="11E61731"/>
    <w:rsid w:val="11E85A7D"/>
    <w:rsid w:val="12010480"/>
    <w:rsid w:val="12062D4C"/>
    <w:rsid w:val="120E707F"/>
    <w:rsid w:val="121D0051"/>
    <w:rsid w:val="12413D84"/>
    <w:rsid w:val="126D16E4"/>
    <w:rsid w:val="127A7D1C"/>
    <w:rsid w:val="12836D8B"/>
    <w:rsid w:val="12993BC0"/>
    <w:rsid w:val="12AB0349"/>
    <w:rsid w:val="12B66520"/>
    <w:rsid w:val="12CB18A0"/>
    <w:rsid w:val="12CD57F1"/>
    <w:rsid w:val="12CE5941"/>
    <w:rsid w:val="12CE7AFA"/>
    <w:rsid w:val="12D67466"/>
    <w:rsid w:val="12DA08F3"/>
    <w:rsid w:val="13036052"/>
    <w:rsid w:val="13272A5D"/>
    <w:rsid w:val="132A2A6A"/>
    <w:rsid w:val="13391D1D"/>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4196D"/>
    <w:rsid w:val="20784063"/>
    <w:rsid w:val="207E346A"/>
    <w:rsid w:val="208B04A1"/>
    <w:rsid w:val="208E12C3"/>
    <w:rsid w:val="209502A3"/>
    <w:rsid w:val="20EA3839"/>
    <w:rsid w:val="2100305C"/>
    <w:rsid w:val="210F579E"/>
    <w:rsid w:val="21163FF0"/>
    <w:rsid w:val="211B39F2"/>
    <w:rsid w:val="21224762"/>
    <w:rsid w:val="212550B5"/>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996582"/>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58183B"/>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3237F"/>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1C127C"/>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2B649F"/>
    <w:rsid w:val="393D055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9E3651"/>
    <w:rsid w:val="3EB61473"/>
    <w:rsid w:val="3EC66011"/>
    <w:rsid w:val="3ECD4126"/>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6F380F"/>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1D51BC"/>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340D"/>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C6A4B"/>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152C6"/>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50598B"/>
    <w:rsid w:val="626369CC"/>
    <w:rsid w:val="6267666C"/>
    <w:rsid w:val="627D6831"/>
    <w:rsid w:val="62811B1C"/>
    <w:rsid w:val="62900B2E"/>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52C29"/>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EF4481"/>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1E0044"/>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7FA61C2"/>
    <w:rsid w:val="68016A6B"/>
    <w:rsid w:val="680201B7"/>
    <w:rsid w:val="68040309"/>
    <w:rsid w:val="68060525"/>
    <w:rsid w:val="68362BFB"/>
    <w:rsid w:val="683D085A"/>
    <w:rsid w:val="683F1130"/>
    <w:rsid w:val="684456A1"/>
    <w:rsid w:val="684C2838"/>
    <w:rsid w:val="684E756D"/>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BA1153"/>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D756A"/>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55AF0"/>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2D2DA9"/>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12207</Words>
  <Characters>12960</Characters>
  <Lines>50</Lines>
  <Paragraphs>68</Paragraphs>
  <TotalTime>0</TotalTime>
  <ScaleCrop>false</ScaleCrop>
  <LinksUpToDate>false</LinksUpToDate>
  <CharactersWithSpaces>13491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2026-04-29T07:58:04Z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