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7BF2E3B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r>
        <w:rPr>
          <w:rFonts w:hint="eastAsia" w:cs="宋体"/>
          <w:b/>
          <w:bCs/>
          <w:color w:val="auto"/>
          <w:sz w:val="48"/>
          <w:szCs w:val="48"/>
          <w:highlight w:val="none"/>
          <w:lang w:val="en-US" w:eastAsia="zh-CN"/>
        </w:rPr>
        <w:t>院区发光字、LED更换</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及维修</w:t>
      </w:r>
      <w:r>
        <w:rPr>
          <w:rFonts w:hint="eastAsia" w:ascii="宋体" w:hAnsi="宋体" w:eastAsia="宋体" w:cs="宋体"/>
          <w:b/>
          <w:bCs/>
          <w:color w:val="auto"/>
          <w:sz w:val="48"/>
          <w:szCs w:val="48"/>
          <w:highlight w:val="none"/>
          <w:lang w:val="en-US" w:eastAsia="zh-CN"/>
        </w:rPr>
        <w:t>项目</w:t>
      </w:r>
    </w:p>
    <w:p w14:paraId="43B7407E">
      <w:pPr>
        <w:pStyle w:val="20"/>
        <w:bidi w:val="0"/>
        <w:jc w:val="center"/>
        <w:rPr>
          <w:rStyle w:val="44"/>
          <w:rFonts w:hint="eastAsia" w:cs="宋体"/>
          <w:b/>
          <w:bCs/>
          <w:color w:val="auto"/>
          <w:sz w:val="44"/>
          <w:szCs w:val="44"/>
          <w:highlight w:val="none"/>
          <w:lang w:val="en-US" w:eastAsia="zh-CN"/>
        </w:rPr>
      </w:pPr>
    </w:p>
    <w:p w14:paraId="3041D311">
      <w:pPr>
        <w:pStyle w:val="20"/>
        <w:bidi w:val="0"/>
        <w:jc w:val="center"/>
        <w:rPr>
          <w:rStyle w:val="44"/>
          <w:rFonts w:hint="eastAsia" w:cs="宋体"/>
          <w:b/>
          <w:bCs/>
          <w:color w:val="auto"/>
          <w:sz w:val="44"/>
          <w:szCs w:val="44"/>
          <w:highlight w:val="none"/>
          <w:lang w:val="en-US" w:eastAsia="zh-CN"/>
        </w:rPr>
      </w:pPr>
    </w:p>
    <w:p w14:paraId="6DF2E8CA">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方正公文小标宋" w:hAnsi="方正公文小标宋" w:eastAsia="方正公文小标宋" w:cs="方正公文小标宋"/>
          <w:b w:val="0"/>
          <w:bCs w:val="0"/>
          <w:color w:val="auto"/>
          <w:sz w:val="56"/>
          <w:szCs w:val="56"/>
          <w:highlight w:val="none"/>
        </w:rPr>
      </w:pPr>
      <w:r>
        <w:rPr>
          <w:rStyle w:val="44"/>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4"/>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3235EE5F">
      <w:pPr>
        <w:pStyle w:val="20"/>
        <w:bidi w:val="0"/>
        <w:jc w:val="center"/>
        <w:rPr>
          <w:rStyle w:val="44"/>
          <w:rFonts w:hint="eastAsia" w:ascii="宋体" w:hAnsi="宋体" w:eastAsia="宋体" w:cs="宋体"/>
          <w:b/>
          <w:bCs/>
          <w:color w:val="auto"/>
          <w:sz w:val="48"/>
          <w:szCs w:val="48"/>
          <w:highlight w:val="none"/>
        </w:rPr>
      </w:pPr>
    </w:p>
    <w:p w14:paraId="544678A3">
      <w:pPr>
        <w:pStyle w:val="20"/>
        <w:bidi w:val="0"/>
        <w:jc w:val="center"/>
        <w:rPr>
          <w:rStyle w:val="44"/>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285" w:firstLineChars="400"/>
        <w:textAlignment w:val="auto"/>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285" w:firstLineChars="400"/>
        <w:textAlignment w:val="auto"/>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驻马店市晨崴采购代理有限公司</w:t>
      </w:r>
    </w:p>
    <w:p w14:paraId="4FCBE59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285" w:firstLineChars="400"/>
        <w:jc w:val="both"/>
        <w:textAlignment w:val="auto"/>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04</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16</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驻马店市中心医院院区发光字、LED更换及维修项目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eastAsia="zh-CN"/>
        </w:rPr>
        <w:t>院区发光字、LED更换及维修</w:t>
      </w:r>
      <w:r>
        <w:rPr>
          <w:rFonts w:hint="eastAsia" w:ascii="宋体" w:hAnsi="宋体" w:eastAsia="宋体" w:cs="宋体"/>
          <w:color w:val="auto"/>
          <w:sz w:val="24"/>
          <w:szCs w:val="32"/>
          <w:highlight w:val="none"/>
          <w:u w:val="single"/>
        </w:rPr>
        <w:t>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驻马店市中心医院院区发光字、LED更换及维修项目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eastAsia="zh-CN"/>
        </w:rPr>
        <w:t>43万元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、供货周期：一年</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16639"/>
      <w:bookmarkStart w:id="6" w:name="_Toc18607"/>
      <w:bookmarkStart w:id="7" w:name="_Toc27704"/>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643"/>
      <w:bookmarkStart w:id="9" w:name="_Toc30971"/>
      <w:bookmarkStart w:id="10" w:name="_Toc9562"/>
      <w:bookmarkStart w:id="11" w:name="_Toc23395"/>
      <w:bookmarkStart w:id="12" w:name="_Toc782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085451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17</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21</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bookmarkStart w:id="79" w:name="_GoBack"/>
      <w:bookmarkEnd w:id="79"/>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3412149556</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0738"/>
      <w:bookmarkStart w:id="14" w:name="_Toc25869"/>
      <w:bookmarkStart w:id="15" w:name="_Toc15135"/>
      <w:bookmarkStart w:id="16" w:name="_Toc27480"/>
      <w:bookmarkStart w:id="17" w:name="_Toc15111"/>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0287"/>
      <w:bookmarkStart w:id="19" w:name="_Toc30918"/>
      <w:bookmarkStart w:id="20" w:name="_Toc29784"/>
      <w:bookmarkStart w:id="21" w:name="_Toc6523"/>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16291"/>
      <w:bookmarkStart w:id="25" w:name="_Toc3604"/>
      <w:bookmarkStart w:id="26" w:name="_Toc31928"/>
      <w:bookmarkStart w:id="27" w:name="_Toc24274"/>
      <w:bookmarkStart w:id="28" w:name="_Toc27370"/>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27A0CA9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2.采购代理机构：驻马店市晨崴采购代理有限公司</w:t>
      </w:r>
    </w:p>
    <w:p w14:paraId="5BC5E6F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 xml:space="preserve">地址：驻马店市解放路西段天腾盛世20号楼1单元3层 </w:t>
      </w:r>
    </w:p>
    <w:p w14:paraId="7A04574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 xml:space="preserve">联系人：胡女士 </w:t>
      </w:r>
    </w:p>
    <w:p w14:paraId="5C21E77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联系方式：0396-2288885</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16</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驻马店市中心医院院区发光字、LED更换及维修项目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4"/>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3000"/>
        <w:gridCol w:w="1352"/>
        <w:gridCol w:w="1408"/>
        <w:gridCol w:w="1871"/>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19"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3000"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1352"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1408"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871"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19"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3000" w:type="dxa"/>
            <w:shd w:val="clear" w:color="auto" w:fill="auto"/>
            <w:vAlign w:val="center"/>
          </w:tcPr>
          <w:p w14:paraId="37787A2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院区发光字、LED更换</w:t>
            </w:r>
          </w:p>
          <w:p w14:paraId="0C03D9A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及维修</w:t>
            </w:r>
          </w:p>
        </w:tc>
        <w:tc>
          <w:tcPr>
            <w:tcW w:w="1352"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140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年</w:t>
            </w:r>
          </w:p>
        </w:tc>
        <w:tc>
          <w:tcPr>
            <w:tcW w:w="1871"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43万元</w:t>
            </w:r>
          </w:p>
        </w:tc>
      </w:tr>
      <w:tr w14:paraId="7CAA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19"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631" w:type="dxa"/>
            <w:gridSpan w:val="4"/>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仿宋" w:hAnsi="仿宋" w:eastAsia="仿宋" w:cs="仿宋"/>
                <w:b/>
                <w:bCs/>
                <w:color w:val="auto"/>
                <w:sz w:val="24"/>
                <w:szCs w:val="24"/>
                <w:vertAlign w:val="baseline"/>
                <w:lang w:val="en-US" w:eastAsia="zh-CN"/>
              </w:rPr>
              <w:t>43万元/年</w:t>
            </w:r>
          </w:p>
        </w:tc>
      </w:tr>
      <w:tr w14:paraId="2DC7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19"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631" w:type="dxa"/>
            <w:gridSpan w:val="4"/>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仿宋" w:hAnsi="仿宋" w:eastAsia="仿宋" w:cs="仿宋"/>
                <w:b/>
                <w:bCs/>
                <w:color w:val="auto"/>
                <w:sz w:val="24"/>
                <w:szCs w:val="24"/>
                <w:vertAlign w:val="baseline"/>
                <w:lang w:val="en-US" w:eastAsia="zh-CN"/>
              </w:rPr>
              <w:t>年预算金额43万元，根据日常维修据实结算。</w:t>
            </w:r>
          </w:p>
        </w:tc>
      </w:tr>
    </w:tbl>
    <w:p w14:paraId="7D96F7E8">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5D15AB7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4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（1）供应商根据采购清单，结合工程现场情况，设计、制作、安装符合要求的LED灯箱、广告牌，并提供相关的服务。</w:t>
      </w:r>
    </w:p>
    <w:p w14:paraId="7C4D756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4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（2）如遇甲方有任何原因的紧急任务，乙方应极力配合予以完成，随叫随到，不得推诿，2小时内到货。</w:t>
      </w:r>
    </w:p>
    <w:p w14:paraId="393FE236">
      <w:pPr>
        <w:pStyle w:val="5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（3）甲方如有需要设计方案的任务，乙方应在接到任务后 2 天内提供设计初稿。所有设计方案必须经过采购人的确认，对不符合要求的，必须无条件修改设计方案，直至采购人满意。</w:t>
      </w:r>
    </w:p>
    <w:p w14:paraId="5B915E24">
      <w:pPr>
        <w:pStyle w:val="50"/>
        <w:keepNext w:val="0"/>
        <w:keepLines w:val="0"/>
        <w:pageBreakBefore w:val="0"/>
        <w:kinsoku/>
        <w:wordWrap/>
        <w:overflowPunct/>
        <w:topLinePunct w:val="0"/>
        <w:autoSpaceDE/>
        <w:autoSpaceDN/>
        <w:bidi w:val="0"/>
        <w:spacing w:line="460" w:lineRule="exact"/>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采购清单</w:t>
      </w:r>
    </w:p>
    <w:tbl>
      <w:tblPr>
        <w:tblStyle w:val="33"/>
        <w:tblW w:w="8657" w:type="dxa"/>
        <w:tblInd w:w="-87" w:type="dxa"/>
        <w:tblLayout w:type="fixed"/>
        <w:tblCellMar>
          <w:top w:w="0" w:type="dxa"/>
          <w:left w:w="0" w:type="dxa"/>
          <w:bottom w:w="0" w:type="dxa"/>
          <w:right w:w="0" w:type="dxa"/>
        </w:tblCellMar>
      </w:tblPr>
      <w:tblGrid>
        <w:gridCol w:w="1113"/>
        <w:gridCol w:w="2810"/>
        <w:gridCol w:w="2314"/>
        <w:gridCol w:w="1074"/>
        <w:gridCol w:w="1346"/>
      </w:tblGrid>
      <w:tr w14:paraId="20611D73">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90DB6">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rPr>
              <w:t>序号</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6582D">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rPr>
              <w:t>名称</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5FF4">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rPr>
              <w:t>材质</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EEF0">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rPr>
              <w:t>单位</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F513">
            <w:pPr>
              <w:widowControl/>
              <w:jc w:val="center"/>
              <w:textAlignment w:val="center"/>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拦标价</w:t>
            </w:r>
          </w:p>
        </w:tc>
      </w:tr>
      <w:tr w14:paraId="7F413DDA">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54D6">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6D65">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单色电源</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1B0F">
            <w:pPr>
              <w:widowControl/>
              <w:jc w:val="center"/>
              <w:textAlignment w:val="center"/>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rPr>
              <w:t>铝壳  5v40A</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154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台</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2824">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207</w:t>
            </w:r>
            <w:r>
              <w:rPr>
                <w:rFonts w:hint="eastAsia" w:ascii="宋体" w:hAnsi="宋体" w:eastAsia="宋体" w:cs="宋体"/>
                <w:color w:val="auto"/>
                <w:sz w:val="24"/>
                <w:szCs w:val="24"/>
              </w:rPr>
              <w:t>元</w:t>
            </w:r>
          </w:p>
        </w:tc>
      </w:tr>
      <w:tr w14:paraId="204E9048">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411E">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C1863">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eastAsia="zh-CN"/>
              </w:rPr>
              <w:t>全彩屏电源</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659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铝壳 12V40A</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F67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台</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1E88">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315</w:t>
            </w:r>
            <w:r>
              <w:rPr>
                <w:rFonts w:hint="eastAsia" w:ascii="宋体" w:hAnsi="宋体" w:eastAsia="宋体" w:cs="宋体"/>
                <w:color w:val="auto"/>
                <w:sz w:val="24"/>
                <w:szCs w:val="24"/>
              </w:rPr>
              <w:t>元</w:t>
            </w:r>
          </w:p>
        </w:tc>
      </w:tr>
      <w:tr w14:paraId="5B6FBC75">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88AE">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62D2F">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eastAsia="zh-CN"/>
              </w:rPr>
              <w:t>发光字电源</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E359">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铝壳 12V40A</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8EF3">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630D">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315</w:t>
            </w:r>
            <w:r>
              <w:rPr>
                <w:rFonts w:hint="eastAsia" w:ascii="宋体" w:hAnsi="宋体" w:eastAsia="宋体" w:cs="宋体"/>
                <w:color w:val="auto"/>
                <w:sz w:val="24"/>
                <w:szCs w:val="24"/>
              </w:rPr>
              <w:t>元</w:t>
            </w:r>
          </w:p>
        </w:tc>
      </w:tr>
      <w:tr w14:paraId="19B5B3EB">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F69B">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7FBD0">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LED单色显示屏</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010F">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F5.0单元板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492B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A265">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w:t>
            </w:r>
            <w:r>
              <w:rPr>
                <w:rFonts w:hint="eastAsia" w:ascii="宋体" w:hAnsi="宋体" w:eastAsia="宋体" w:cs="宋体"/>
                <w:color w:val="auto"/>
                <w:sz w:val="24"/>
                <w:szCs w:val="24"/>
              </w:rPr>
              <w:t>元</w:t>
            </w:r>
          </w:p>
        </w:tc>
      </w:tr>
      <w:tr w14:paraId="43037B0A">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A897">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5061">
            <w:pPr>
              <w:widowControl/>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LED</w:t>
            </w:r>
            <w:r>
              <w:rPr>
                <w:rFonts w:hint="eastAsia" w:ascii="宋体" w:hAnsi="宋体" w:eastAsia="宋体" w:cs="宋体"/>
                <w:color w:val="auto"/>
                <w:kern w:val="0"/>
                <w:sz w:val="24"/>
                <w:szCs w:val="24"/>
                <w:lang w:eastAsia="zh-CN"/>
              </w:rPr>
              <w:t>单色显示屏</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53BA">
            <w:pPr>
              <w:widowControl/>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P4.75单元板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780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B04C">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w:t>
            </w:r>
            <w:r>
              <w:rPr>
                <w:rFonts w:hint="eastAsia" w:ascii="宋体" w:hAnsi="宋体" w:eastAsia="宋体" w:cs="宋体"/>
                <w:color w:val="auto"/>
                <w:sz w:val="24"/>
                <w:szCs w:val="24"/>
              </w:rPr>
              <w:t>元</w:t>
            </w:r>
          </w:p>
        </w:tc>
      </w:tr>
      <w:tr w14:paraId="2A95C686">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34C0">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CCFF">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LED单色显示屏</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5526">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P10单元板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652F">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B9F4">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117</w:t>
            </w:r>
            <w:r>
              <w:rPr>
                <w:rFonts w:hint="eastAsia" w:ascii="宋体" w:hAnsi="宋体" w:eastAsia="宋体" w:cs="宋体"/>
                <w:color w:val="auto"/>
                <w:sz w:val="24"/>
                <w:szCs w:val="24"/>
              </w:rPr>
              <w:t>元</w:t>
            </w:r>
          </w:p>
        </w:tc>
      </w:tr>
      <w:tr w14:paraId="368BF80F">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F4DE">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6A4B">
            <w:pPr>
              <w:widowControl/>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LED</w:t>
            </w:r>
            <w:r>
              <w:rPr>
                <w:rFonts w:hint="eastAsia" w:ascii="宋体" w:hAnsi="宋体" w:eastAsia="宋体" w:cs="宋体"/>
                <w:color w:val="auto"/>
                <w:kern w:val="0"/>
                <w:sz w:val="24"/>
                <w:szCs w:val="24"/>
                <w:lang w:eastAsia="zh-CN"/>
              </w:rPr>
              <w:t>全彩显示屏</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83C58">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P2.0单元板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82B6">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6F46">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315</w:t>
            </w:r>
            <w:r>
              <w:rPr>
                <w:rFonts w:hint="eastAsia" w:ascii="宋体" w:hAnsi="宋体" w:eastAsia="宋体" w:cs="宋体"/>
                <w:color w:val="auto"/>
                <w:sz w:val="24"/>
                <w:szCs w:val="24"/>
              </w:rPr>
              <w:t>元</w:t>
            </w:r>
          </w:p>
        </w:tc>
      </w:tr>
      <w:tr w14:paraId="042F33D3">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1412">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8F0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控制系统单色屏</w:t>
            </w:r>
            <w:r>
              <w:rPr>
                <w:rFonts w:hint="eastAsia" w:ascii="宋体" w:hAnsi="宋体" w:eastAsia="宋体" w:cs="宋体"/>
                <w:color w:val="auto"/>
                <w:sz w:val="24"/>
                <w:szCs w:val="24"/>
                <w:lang w:val="en-US" w:eastAsia="zh-CN"/>
              </w:rPr>
              <w:t>08接收卡</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EF40">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802.11b/g/n</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16D3">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390E">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270</w:t>
            </w:r>
            <w:r>
              <w:rPr>
                <w:rFonts w:hint="eastAsia" w:ascii="宋体" w:hAnsi="宋体" w:eastAsia="宋体" w:cs="宋体"/>
                <w:color w:val="auto"/>
                <w:sz w:val="24"/>
                <w:szCs w:val="24"/>
              </w:rPr>
              <w:t>元</w:t>
            </w:r>
          </w:p>
        </w:tc>
      </w:tr>
      <w:tr w14:paraId="02D25A43">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99EC">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689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控制系统单色屏</w:t>
            </w:r>
            <w:r>
              <w:rPr>
                <w:rFonts w:hint="eastAsia" w:ascii="宋体" w:hAnsi="宋体" w:eastAsia="宋体" w:cs="宋体"/>
                <w:color w:val="auto"/>
                <w:sz w:val="24"/>
                <w:szCs w:val="24"/>
                <w:lang w:val="en-US" w:eastAsia="zh-CN"/>
              </w:rPr>
              <w:t>12接收卡</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8E0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802.11b/g/n</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A6E8A">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994D">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324</w:t>
            </w:r>
            <w:r>
              <w:rPr>
                <w:rFonts w:hint="eastAsia" w:ascii="宋体" w:hAnsi="宋体" w:eastAsia="宋体" w:cs="宋体"/>
                <w:color w:val="auto"/>
                <w:sz w:val="24"/>
                <w:szCs w:val="24"/>
              </w:rPr>
              <w:t>元</w:t>
            </w:r>
          </w:p>
        </w:tc>
      </w:tr>
      <w:tr w14:paraId="2132FE91">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0300">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E06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视频接收器</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CA2D">
            <w:pPr>
              <w:widowControl/>
              <w:jc w:val="center"/>
              <w:textAlignment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HUB75</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9E2C">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台</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B755">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2700</w:t>
            </w:r>
            <w:r>
              <w:rPr>
                <w:rFonts w:hint="eastAsia" w:ascii="宋体" w:hAnsi="宋体" w:eastAsia="宋体" w:cs="宋体"/>
                <w:color w:val="auto"/>
                <w:sz w:val="24"/>
                <w:szCs w:val="24"/>
              </w:rPr>
              <w:t>元</w:t>
            </w:r>
          </w:p>
        </w:tc>
      </w:tr>
      <w:tr w14:paraId="2C6AEAFC">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AACB4">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55C8">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不锈钢包边发光字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11F1">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亚克力面板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C645">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07CA">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450</w:t>
            </w:r>
            <w:r>
              <w:rPr>
                <w:rFonts w:hint="eastAsia" w:ascii="宋体" w:hAnsi="宋体" w:eastAsia="宋体" w:cs="宋体"/>
                <w:color w:val="auto"/>
                <w:sz w:val="24"/>
                <w:szCs w:val="24"/>
              </w:rPr>
              <w:t>元</w:t>
            </w:r>
          </w:p>
        </w:tc>
      </w:tr>
      <w:tr w14:paraId="23D6FA67">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1AA1C">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97EF">
            <w:pPr>
              <w:widowControl/>
              <w:ind w:firstLine="480" w:firstLineChars="20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LED数码管</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AA6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24v铝壳LED光源</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3B385">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E07A">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126</w:t>
            </w:r>
            <w:r>
              <w:rPr>
                <w:rFonts w:hint="eastAsia" w:ascii="宋体" w:hAnsi="宋体" w:eastAsia="宋体" w:cs="宋体"/>
                <w:color w:val="auto"/>
                <w:sz w:val="24"/>
                <w:szCs w:val="24"/>
              </w:rPr>
              <w:t>元</w:t>
            </w:r>
          </w:p>
        </w:tc>
      </w:tr>
      <w:tr w14:paraId="3D3E4745">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883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E33FB">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亚克力包边发光字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571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亚克力面板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9D7ED">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C546">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432</w:t>
            </w:r>
            <w:r>
              <w:rPr>
                <w:rFonts w:hint="eastAsia" w:ascii="宋体" w:hAnsi="宋体" w:eastAsia="宋体" w:cs="宋体"/>
                <w:color w:val="auto"/>
                <w:sz w:val="24"/>
                <w:szCs w:val="24"/>
              </w:rPr>
              <w:t>元</w:t>
            </w:r>
          </w:p>
        </w:tc>
      </w:tr>
      <w:tr w14:paraId="014B0675">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E3B4">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20581">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烤漆LED发光字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2E25">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烤漆镀锌板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7570">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F052">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360</w:t>
            </w:r>
            <w:r>
              <w:rPr>
                <w:rFonts w:hint="eastAsia" w:ascii="宋体" w:hAnsi="宋体" w:eastAsia="宋体" w:cs="宋体"/>
                <w:color w:val="auto"/>
                <w:sz w:val="24"/>
                <w:szCs w:val="24"/>
              </w:rPr>
              <w:t>元</w:t>
            </w:r>
          </w:p>
        </w:tc>
      </w:tr>
      <w:tr w14:paraId="33B87D69">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C51E">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A4AD9">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不锈钢框架</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487A">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不锈钢方管</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E2621">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8CC8">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324</w:t>
            </w:r>
            <w:r>
              <w:rPr>
                <w:rFonts w:hint="eastAsia" w:ascii="宋体" w:hAnsi="宋体" w:eastAsia="宋体" w:cs="宋体"/>
                <w:color w:val="auto"/>
                <w:sz w:val="24"/>
                <w:szCs w:val="24"/>
              </w:rPr>
              <w:t>元</w:t>
            </w:r>
          </w:p>
        </w:tc>
      </w:tr>
      <w:tr w14:paraId="3D28DD4F">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DCF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143C2">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镀锌角铁框架</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551D">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镀锌角铁</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123BF">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368B">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270</w:t>
            </w:r>
            <w:r>
              <w:rPr>
                <w:rFonts w:hint="eastAsia" w:ascii="宋体" w:hAnsi="宋体" w:eastAsia="宋体" w:cs="宋体"/>
                <w:color w:val="auto"/>
                <w:sz w:val="24"/>
                <w:szCs w:val="24"/>
              </w:rPr>
              <w:t>元</w:t>
            </w:r>
          </w:p>
        </w:tc>
      </w:tr>
      <w:tr w14:paraId="0D86E27F">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0E5A">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9247">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铝塑板门头招牌</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07855">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铝塑板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93F0">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E38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414</w:t>
            </w:r>
            <w:r>
              <w:rPr>
                <w:rFonts w:hint="eastAsia" w:ascii="宋体" w:hAnsi="宋体" w:eastAsia="宋体" w:cs="宋体"/>
                <w:color w:val="auto"/>
                <w:sz w:val="24"/>
                <w:szCs w:val="24"/>
              </w:rPr>
              <w:t>元</w:t>
            </w:r>
          </w:p>
        </w:tc>
      </w:tr>
      <w:tr w14:paraId="79EA4344">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D4ED">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4D85">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Pvc字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1166">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PVC面板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2F94">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544B8">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180</w:t>
            </w:r>
            <w:r>
              <w:rPr>
                <w:rFonts w:hint="eastAsia" w:ascii="宋体" w:hAnsi="宋体" w:eastAsia="宋体" w:cs="宋体"/>
                <w:color w:val="auto"/>
                <w:sz w:val="24"/>
                <w:szCs w:val="24"/>
              </w:rPr>
              <w:t>元</w:t>
            </w:r>
          </w:p>
        </w:tc>
      </w:tr>
      <w:tr w14:paraId="626011D0">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7C2B2">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139A">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无边字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66478">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亚克力面板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4B99">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72B4">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360</w:t>
            </w:r>
            <w:r>
              <w:rPr>
                <w:rFonts w:hint="eastAsia" w:ascii="宋体" w:hAnsi="宋体" w:eastAsia="宋体" w:cs="宋体"/>
                <w:color w:val="auto"/>
                <w:sz w:val="24"/>
                <w:szCs w:val="24"/>
              </w:rPr>
              <w:t>元</w:t>
            </w:r>
          </w:p>
        </w:tc>
      </w:tr>
      <w:tr w14:paraId="2CD47445">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BA922">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10F7F">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LED发光灯箱</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A72B">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铝型材UV软膜</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46F2">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B506">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495</w:t>
            </w:r>
            <w:r>
              <w:rPr>
                <w:rFonts w:hint="eastAsia" w:ascii="宋体" w:hAnsi="宋体" w:eastAsia="宋体" w:cs="宋体"/>
                <w:color w:val="auto"/>
                <w:sz w:val="24"/>
                <w:szCs w:val="24"/>
              </w:rPr>
              <w:t>元</w:t>
            </w:r>
          </w:p>
        </w:tc>
      </w:tr>
      <w:tr w14:paraId="501A8935">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F23E6">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18CA">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LED射灯</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2F5D5">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LED光源铝壳200W</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61F4">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62D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360</w:t>
            </w:r>
            <w:r>
              <w:rPr>
                <w:rFonts w:hint="eastAsia" w:ascii="宋体" w:hAnsi="宋体" w:eastAsia="宋体" w:cs="宋体"/>
                <w:color w:val="auto"/>
                <w:sz w:val="24"/>
                <w:szCs w:val="24"/>
              </w:rPr>
              <w:t>元</w:t>
            </w:r>
          </w:p>
        </w:tc>
      </w:tr>
      <w:tr w14:paraId="21046349">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AF6DB">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602F">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LED定时系统</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90E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2P/63A/空开38/220V接触器</w:t>
            </w:r>
          </w:p>
          <w:p w14:paraId="3A0F561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10A/220V时控</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1A38">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87D5">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1350</w:t>
            </w:r>
            <w:r>
              <w:rPr>
                <w:rFonts w:hint="eastAsia" w:ascii="宋体" w:hAnsi="宋体" w:eastAsia="宋体" w:cs="宋体"/>
                <w:color w:val="auto"/>
                <w:sz w:val="24"/>
                <w:szCs w:val="24"/>
              </w:rPr>
              <w:t>元</w:t>
            </w:r>
          </w:p>
        </w:tc>
      </w:tr>
      <w:tr w14:paraId="11DD65AF">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80B2">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8559">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高空下吊绳</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6EA1D">
            <w:pPr>
              <w:autoSpaceDE w:val="0"/>
              <w:autoSpaceDN w:val="0"/>
              <w:spacing w:line="300" w:lineRule="atLeast"/>
              <w:jc w:val="center"/>
              <w:rPr>
                <w:rFonts w:hint="eastAsia" w:ascii="宋体" w:hAnsi="宋体" w:eastAsia="宋体" w:cs="宋体"/>
                <w:color w:val="auto"/>
                <w:sz w:val="24"/>
                <w:szCs w:val="24"/>
                <w:lang w:val="en-US"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F3D1">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/天</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3226">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1170</w:t>
            </w:r>
            <w:r>
              <w:rPr>
                <w:rFonts w:hint="eastAsia" w:ascii="宋体" w:hAnsi="宋体" w:eastAsia="宋体" w:cs="宋体"/>
                <w:color w:val="auto"/>
                <w:sz w:val="24"/>
                <w:szCs w:val="24"/>
              </w:rPr>
              <w:t>元</w:t>
            </w:r>
          </w:p>
        </w:tc>
      </w:tr>
      <w:tr w14:paraId="18BEB868">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A9F5">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BD6F0">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旧字刷漆翻新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不含高空作业</w:t>
            </w:r>
            <w:r>
              <w:rPr>
                <w:rFonts w:hint="eastAsia" w:ascii="宋体" w:hAnsi="宋体" w:eastAsia="宋体" w:cs="宋体"/>
                <w:color w:val="auto"/>
                <w:sz w:val="24"/>
                <w:szCs w:val="24"/>
                <w:lang w:eastAsia="zh-CN"/>
              </w:rPr>
              <w:t>）</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1277">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汽车烤漆</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D885">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E1BE">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260</w:t>
            </w:r>
            <w:r>
              <w:rPr>
                <w:rFonts w:hint="eastAsia" w:ascii="宋体" w:hAnsi="宋体" w:eastAsia="宋体" w:cs="宋体"/>
                <w:color w:val="auto"/>
                <w:sz w:val="24"/>
                <w:szCs w:val="24"/>
              </w:rPr>
              <w:t>元</w:t>
            </w:r>
          </w:p>
        </w:tc>
      </w:tr>
      <w:tr w14:paraId="560F334D">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3FEC">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4023">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1号</w:t>
            </w:r>
            <w:r>
              <w:rPr>
                <w:rFonts w:hint="eastAsia" w:ascii="宋体" w:hAnsi="宋体" w:eastAsia="宋体" w:cs="宋体"/>
                <w:color w:val="auto"/>
                <w:sz w:val="24"/>
                <w:szCs w:val="24"/>
              </w:rPr>
              <w:t>国旗更换</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04963">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绸缎布</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2D39">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面</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2E9A">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180</w:t>
            </w:r>
            <w:r>
              <w:rPr>
                <w:rFonts w:hint="eastAsia" w:ascii="宋体" w:hAnsi="宋体" w:eastAsia="宋体" w:cs="宋体"/>
                <w:color w:val="auto"/>
                <w:sz w:val="24"/>
                <w:szCs w:val="24"/>
              </w:rPr>
              <w:t>元</w:t>
            </w:r>
          </w:p>
        </w:tc>
      </w:tr>
      <w:tr w14:paraId="337FC446">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911C">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E82E">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2.4米*0.4米</w:t>
            </w:r>
            <w:r>
              <w:rPr>
                <w:rFonts w:hint="eastAsia" w:ascii="宋体" w:hAnsi="宋体" w:eastAsia="宋体" w:cs="宋体"/>
                <w:color w:val="auto"/>
                <w:sz w:val="24"/>
                <w:szCs w:val="24"/>
              </w:rPr>
              <w:t>不锈钢牌</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538D">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不锈钢板材</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89F5">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3164">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315</w:t>
            </w:r>
            <w:r>
              <w:rPr>
                <w:rFonts w:hint="eastAsia" w:ascii="宋体" w:hAnsi="宋体" w:eastAsia="宋体" w:cs="宋体"/>
                <w:color w:val="auto"/>
                <w:sz w:val="24"/>
                <w:szCs w:val="24"/>
              </w:rPr>
              <w:t>元</w:t>
            </w:r>
          </w:p>
        </w:tc>
      </w:tr>
      <w:tr w14:paraId="1CFA73B6">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EA4D">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3BAB">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不锈钢精工字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F748">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不锈钢板材</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E91B">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CD08D">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315</w:t>
            </w:r>
            <w:r>
              <w:rPr>
                <w:rFonts w:hint="eastAsia" w:ascii="宋体" w:hAnsi="宋体" w:eastAsia="宋体" w:cs="宋体"/>
                <w:color w:val="auto"/>
                <w:sz w:val="24"/>
                <w:szCs w:val="24"/>
              </w:rPr>
              <w:t>元</w:t>
            </w:r>
          </w:p>
        </w:tc>
      </w:tr>
      <w:tr w14:paraId="02B10BB3">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8517">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78E9">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烤漆精工字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C9F2">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镀锌板烤漆</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33732">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81BEB">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252</w:t>
            </w:r>
            <w:r>
              <w:rPr>
                <w:rFonts w:hint="eastAsia" w:ascii="宋体" w:hAnsi="宋体" w:eastAsia="宋体" w:cs="宋体"/>
                <w:color w:val="auto"/>
                <w:sz w:val="24"/>
                <w:szCs w:val="24"/>
              </w:rPr>
              <w:t>元</w:t>
            </w:r>
          </w:p>
        </w:tc>
      </w:tr>
      <w:tr w14:paraId="02DD9360">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62BD">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2451">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吊车施工费</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C5B98">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30吨吊车</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FAD2">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天</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9444">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2250</w:t>
            </w:r>
            <w:r>
              <w:rPr>
                <w:rFonts w:hint="eastAsia" w:ascii="宋体" w:hAnsi="宋体" w:eastAsia="宋体" w:cs="宋体"/>
                <w:color w:val="auto"/>
                <w:sz w:val="24"/>
                <w:szCs w:val="24"/>
              </w:rPr>
              <w:t>元</w:t>
            </w:r>
          </w:p>
        </w:tc>
      </w:tr>
      <w:tr w14:paraId="3F21C707">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348D3">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CE3E">
            <w:pPr>
              <w:autoSpaceDE w:val="0"/>
              <w:autoSpaceDN w:val="0"/>
              <w:spacing w:before="0" w:line="300" w:lineRule="atLeas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LED穿孔字更换灯珠</w:t>
            </w:r>
          </w:p>
          <w:p w14:paraId="2051C1FD">
            <w:pPr>
              <w:autoSpaceDE w:val="0"/>
              <w:autoSpaceDN w:val="0"/>
              <w:spacing w:before="0" w:line="300" w:lineRule="atLeas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不含高空作业</w:t>
            </w:r>
            <w:r>
              <w:rPr>
                <w:rFonts w:hint="eastAsia" w:ascii="宋体" w:hAnsi="宋体" w:eastAsia="宋体" w:cs="宋体"/>
                <w:color w:val="auto"/>
                <w:sz w:val="24"/>
                <w:szCs w:val="24"/>
                <w:lang w:eastAsia="zh-CN"/>
              </w:rPr>
              <w:t>）</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A5BC4">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LED灯珠</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141E0">
            <w:pPr>
              <w:autoSpaceDE w:val="0"/>
              <w:autoSpaceDN w:val="0"/>
              <w:spacing w:before="0" w:line="300" w:lineRule="atLeas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7AD7">
            <w:pPr>
              <w:autoSpaceDE w:val="0"/>
              <w:autoSpaceDN w:val="0"/>
              <w:spacing w:before="0" w:line="300" w:lineRule="atLeas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260元</w:t>
            </w:r>
          </w:p>
        </w:tc>
      </w:tr>
      <w:tr w14:paraId="5B0E13D8">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6B51">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D9340">
            <w:pPr>
              <w:autoSpaceDE w:val="0"/>
              <w:autoSpaceDN w:val="0"/>
              <w:spacing w:before="0" w:line="300" w:lineRule="atLeas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水晶字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38EF6">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水晶面板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F545">
            <w:pPr>
              <w:autoSpaceDE w:val="0"/>
              <w:autoSpaceDN w:val="0"/>
              <w:spacing w:before="0" w:line="300" w:lineRule="atLeas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6E85">
            <w:pPr>
              <w:autoSpaceDE w:val="0"/>
              <w:autoSpaceDN w:val="0"/>
              <w:spacing w:before="0" w:line="300" w:lineRule="atLeas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270元</w:t>
            </w:r>
          </w:p>
        </w:tc>
      </w:tr>
      <w:tr w14:paraId="183B5F73">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B8B0">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9056">
            <w:pPr>
              <w:autoSpaceDE w:val="0"/>
              <w:autoSpaceDN w:val="0"/>
              <w:spacing w:line="300"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拆除、</w:t>
            </w:r>
            <w:r>
              <w:rPr>
                <w:rFonts w:hint="eastAsia" w:ascii="宋体" w:hAnsi="宋体" w:eastAsia="宋体" w:cs="宋体"/>
                <w:color w:val="auto"/>
                <w:sz w:val="24"/>
                <w:szCs w:val="24"/>
                <w:lang w:eastAsia="zh-CN"/>
              </w:rPr>
              <w:t>维修人工费</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F457">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每人每天</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2BE0">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/天</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2E5E">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315元</w:t>
            </w:r>
          </w:p>
        </w:tc>
      </w:tr>
      <w:tr w14:paraId="01E416F4">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9D5B">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F280">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LED灯箱更换画面</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CEDD">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UV软膜</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F066A">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000A">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315元</w:t>
            </w:r>
          </w:p>
        </w:tc>
      </w:tr>
      <w:tr w14:paraId="45772DD7">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968F">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B6138">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LED灯箱更换光源</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4B99">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LED灯珠</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D0E0">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211AC">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342元</w:t>
            </w:r>
          </w:p>
        </w:tc>
      </w:tr>
      <w:tr w14:paraId="6C86F38E">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922A">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609C">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喷绘布招牌画面</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C2FD">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精品加厚喷绘布</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0BBD">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1D594">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90元</w:t>
            </w:r>
          </w:p>
        </w:tc>
      </w:tr>
      <w:tr w14:paraId="71565794">
        <w:tblPrEx>
          <w:tblCellMar>
            <w:top w:w="0" w:type="dxa"/>
            <w:left w:w="0" w:type="dxa"/>
            <w:bottom w:w="0" w:type="dxa"/>
            <w:right w:w="0" w:type="dxa"/>
          </w:tblCellMar>
        </w:tblPrEx>
        <w:trPr>
          <w:trHeight w:val="454" w:hRule="atLeast"/>
        </w:trPr>
        <w:tc>
          <w:tcPr>
            <w:tcW w:w="865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1244">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合计：16315元</w:t>
            </w:r>
          </w:p>
        </w:tc>
      </w:tr>
    </w:tbl>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5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48"/>
        <w:gridCol w:w="7411"/>
      </w:tblGrid>
      <w:tr w14:paraId="3CE75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4E1508CB">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供货周期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1044340F">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w:t>
            </w:r>
          </w:p>
        </w:tc>
      </w:tr>
      <w:tr w14:paraId="7BC3F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CBEC6C9">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411" w:type="dxa"/>
            <w:tcBorders>
              <w:top w:val="single" w:color="auto" w:sz="4" w:space="0"/>
              <w:left w:val="single" w:color="auto" w:sz="4" w:space="0"/>
              <w:bottom w:val="single" w:color="auto" w:sz="4" w:space="0"/>
              <w:right w:val="single" w:color="auto" w:sz="4" w:space="0"/>
            </w:tcBorders>
            <w:noWrap/>
            <w:vAlign w:val="center"/>
          </w:tcPr>
          <w:p w14:paraId="662F67FE">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货到后，根据指定的使用地点、并且组装、安装，安全可靠，可交付</w:t>
            </w:r>
            <w:r>
              <w:rPr>
                <w:rFonts w:hint="eastAsia"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使用。</w:t>
            </w:r>
          </w:p>
        </w:tc>
      </w:tr>
      <w:tr w14:paraId="78ED8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5312A8F7">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4AC8C1A3">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自标识标牌安装完毕并验收合格办理移交手续之日起不少于2年。</w:t>
            </w:r>
          </w:p>
        </w:tc>
      </w:tr>
      <w:tr w14:paraId="5F0B0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F30C94B">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411" w:type="dxa"/>
            <w:tcBorders>
              <w:top w:val="single" w:color="auto" w:sz="4" w:space="0"/>
              <w:left w:val="single" w:color="auto" w:sz="4" w:space="0"/>
              <w:bottom w:val="single" w:color="auto" w:sz="4" w:space="0"/>
              <w:right w:val="single" w:color="auto" w:sz="4" w:space="0"/>
            </w:tcBorders>
            <w:noWrap/>
            <w:vAlign w:val="center"/>
          </w:tcPr>
          <w:p w14:paraId="028B7ED5">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按实际采购量据实结算</w:t>
            </w:r>
          </w:p>
        </w:tc>
      </w:tr>
      <w:tr w14:paraId="5B0CA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0E68DBBB">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售后服务</w:t>
            </w:r>
          </w:p>
        </w:tc>
        <w:tc>
          <w:tcPr>
            <w:tcW w:w="7411" w:type="dxa"/>
            <w:tcBorders>
              <w:top w:val="single" w:color="auto" w:sz="4" w:space="0"/>
              <w:left w:val="single" w:color="auto" w:sz="4" w:space="0"/>
              <w:bottom w:val="single" w:color="auto" w:sz="4" w:space="0"/>
              <w:right w:val="single" w:color="auto" w:sz="4" w:space="0"/>
            </w:tcBorders>
            <w:noWrap/>
            <w:vAlign w:val="center"/>
          </w:tcPr>
          <w:p w14:paraId="4687E8E3">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宋体" w:hAnsi="宋体" w:eastAsia="宋体" w:cs="宋体"/>
                <w:color w:val="FF0000"/>
                <w:sz w:val="21"/>
                <w:szCs w:val="21"/>
                <w:highlight w:val="none"/>
                <w:lang w:val="en-US" w:eastAsia="zh-CN"/>
              </w:rPr>
            </w:pPr>
            <w:r>
              <w:rPr>
                <w:rFonts w:hint="default" w:ascii="宋体" w:hAnsi="宋体" w:eastAsia="宋体" w:cs="宋体"/>
                <w:color w:val="auto"/>
                <w:sz w:val="21"/>
                <w:szCs w:val="21"/>
                <w:highlight w:val="none"/>
                <w:lang w:val="en-US" w:eastAsia="zh-CN"/>
              </w:rPr>
              <w:t>①不符合质量要求的货品，退货并重新制作，供应商需在12小时内响应，24小时解决问题</w:t>
            </w:r>
            <w:r>
              <w:rPr>
                <w:rFonts w:hint="eastAsia" w:cs="宋体"/>
                <w:color w:val="auto"/>
                <w:sz w:val="21"/>
                <w:szCs w:val="21"/>
                <w:highlight w:val="none"/>
                <w:lang w:val="en-US" w:eastAsia="zh-CN"/>
              </w:rPr>
              <w:t>。</w:t>
            </w:r>
          </w:p>
          <w:p w14:paraId="04807D5C">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color w:val="auto"/>
                <w:highlight w:val="none"/>
                <w:lang w:val="en-US" w:eastAsia="zh-CN"/>
              </w:rPr>
            </w:pPr>
            <w:r>
              <w:rPr>
                <w:rFonts w:hint="default" w:ascii="宋体" w:hAnsi="宋体" w:eastAsia="宋体" w:cs="宋体"/>
                <w:color w:val="auto"/>
                <w:sz w:val="21"/>
                <w:szCs w:val="21"/>
                <w:highlight w:val="none"/>
                <w:lang w:val="en-US" w:eastAsia="zh-CN"/>
              </w:rPr>
              <w:fldChar w:fldCharType="begin"/>
            </w:r>
            <w:r>
              <w:rPr>
                <w:rFonts w:hint="default" w:ascii="宋体" w:hAnsi="宋体" w:eastAsia="宋体" w:cs="宋体"/>
                <w:color w:val="auto"/>
                <w:sz w:val="21"/>
                <w:szCs w:val="21"/>
                <w:highlight w:val="none"/>
                <w:lang w:val="en-US" w:eastAsia="zh-CN"/>
              </w:rPr>
              <w:instrText xml:space="preserve"> = 2 \* GB3 \* MERGEFORMAT </w:instrText>
            </w:r>
            <w:r>
              <w:rPr>
                <w:rFonts w:hint="default" w:ascii="宋体" w:hAnsi="宋体" w:eastAsia="宋体" w:cs="宋体"/>
                <w:color w:val="auto"/>
                <w:sz w:val="21"/>
                <w:szCs w:val="21"/>
                <w:highlight w:val="none"/>
                <w:lang w:val="en-US" w:eastAsia="zh-CN"/>
              </w:rPr>
              <w:fldChar w:fldCharType="separate"/>
            </w:r>
            <w:r>
              <w:rPr>
                <w:rFonts w:hint="default" w:ascii="宋体" w:hAnsi="宋体" w:eastAsia="宋体" w:cs="宋体"/>
                <w:color w:val="auto"/>
                <w:sz w:val="21"/>
                <w:szCs w:val="21"/>
                <w:highlight w:val="none"/>
                <w:lang w:val="en-US" w:eastAsia="zh-CN"/>
              </w:rPr>
              <w:t>②</w:t>
            </w:r>
            <w:r>
              <w:rPr>
                <w:rFonts w:hint="default" w:ascii="宋体" w:hAnsi="宋体" w:eastAsia="宋体" w:cs="宋体"/>
                <w:color w:val="auto"/>
                <w:sz w:val="21"/>
                <w:szCs w:val="21"/>
                <w:highlight w:val="none"/>
                <w:lang w:val="en-US" w:eastAsia="zh-CN"/>
              </w:rPr>
              <w:fldChar w:fldCharType="end"/>
            </w:r>
            <w:r>
              <w:rPr>
                <w:rFonts w:hint="default" w:ascii="宋体" w:hAnsi="宋体" w:eastAsia="宋体" w:cs="宋体"/>
                <w:color w:val="auto"/>
                <w:sz w:val="21"/>
                <w:szCs w:val="21"/>
                <w:highlight w:val="none"/>
                <w:lang w:val="en-US" w:eastAsia="zh-CN"/>
              </w:rPr>
              <w:t>质保期间，在规定的售后服务响应时间内，供应商不能满足采购人合理要求的，采购人可以找第三方进行维修，其费用由供应商承担。</w:t>
            </w:r>
          </w:p>
        </w:tc>
      </w:tr>
    </w:tbl>
    <w:p w14:paraId="5A2D106C">
      <w:pPr>
        <w:pStyle w:val="24"/>
        <w:rPr>
          <w:rFonts w:hint="eastAsia" w:ascii="宋体" w:hAnsi="宋体" w:eastAsia="宋体" w:cs="宋体"/>
          <w:color w:val="auto"/>
          <w:highlight w:val="none"/>
        </w:rPr>
      </w:pPr>
    </w:p>
    <w:p w14:paraId="79EF7B58">
      <w:pPr>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43万元</w:t>
            </w:r>
            <w:r>
              <w:rPr>
                <w:rFonts w:hint="eastAsia" w:ascii="宋体" w:hAnsi="宋体" w:cs="宋体"/>
                <w:color w:val="auto"/>
                <w:sz w:val="24"/>
                <w:szCs w:val="32"/>
                <w:highlight w:val="none"/>
                <w:lang w:val="en-US" w:eastAsia="zh-CN"/>
              </w:rPr>
              <w:t>。</w:t>
            </w:r>
          </w:p>
          <w:p w14:paraId="20139F3F">
            <w:pPr>
              <w:widowControl/>
              <w:snapToGrid w:val="0"/>
              <w:spacing w:line="440" w:lineRule="exact"/>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1.1本项目磋商以综合折扣率（%）报价。</w:t>
            </w:r>
          </w:p>
          <w:p w14:paraId="2F96C630">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供应商磋商报价以清单综合单价控制价为基准价格，整体报出综合折扣率。供应商所报综合折扣率不得大于100%，否则将被作为无效响应；报价包括各种税金、运输费、材料费等所有费用，供货期限内医院不再承担任何其他费用。 </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成交金额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320040</wp:posOffset>
                            </wp:positionH>
                            <wp:positionV relativeFrom="paragraph">
                              <wp:posOffset>43815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pt;margin-top:3.45pt;height:24.05pt;width:76.4pt;z-index:251659264;mso-width-relative:page;mso-height-relative:page;" fillcolor="#FFFFFF [3201]" filled="t" stroked="f" coordsize="21600,21600" o:gfxdata="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JNEw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w:t>
      </w:r>
    </w:p>
    <w:p w14:paraId="2921A74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color w:val="auto"/>
          <w:sz w:val="24"/>
          <w:szCs w:val="24"/>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w:t>
      </w:r>
      <w:r>
        <w:rPr>
          <w:rFonts w:hint="eastAsia" w:ascii="宋体" w:hAnsi="宋体" w:cs="宋体"/>
          <w:color w:val="auto"/>
          <w:kern w:val="0"/>
          <w:sz w:val="24"/>
          <w:szCs w:val="24"/>
          <w:highlight w:val="none"/>
          <w:lang w:val="en-US" w:eastAsia="zh-CN"/>
        </w:rPr>
        <w:t>六十五</w:t>
      </w:r>
      <w:r>
        <w:rPr>
          <w:rFonts w:hint="eastAsia" w:ascii="宋体" w:hAnsi="宋体" w:eastAsia="宋体" w:cs="宋体"/>
          <w:color w:val="auto"/>
          <w:kern w:val="0"/>
          <w:sz w:val="24"/>
          <w:szCs w:val="24"/>
          <w:highlight w:val="none"/>
        </w:rPr>
        <w:t>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7.2</w:t>
      </w:r>
      <w:r>
        <w:rPr>
          <w:rFonts w:hint="eastAsia" w:ascii="宋体" w:hAnsi="宋体" w:cs="宋体"/>
          <w:color w:val="auto"/>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color w:val="auto"/>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color w:val="auto"/>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50DB691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w:t>
      </w:r>
      <w:r>
        <w:rPr>
          <w:rFonts w:hint="eastAsia" w:ascii="宋体" w:hAnsi="宋体" w:cs="宋体"/>
          <w:color w:val="auto"/>
          <w:kern w:val="0"/>
          <w:sz w:val="24"/>
          <w:szCs w:val="24"/>
          <w:highlight w:val="none"/>
          <w:lang w:val="en-US" w:eastAsia="zh-CN"/>
        </w:rPr>
        <w:t>综合折扣率（%）</w:t>
      </w:r>
      <w:r>
        <w:rPr>
          <w:rFonts w:hint="eastAsia" w:ascii="宋体" w:hAnsi="宋体" w:eastAsia="宋体" w:cs="宋体"/>
          <w:color w:val="auto"/>
          <w:kern w:val="0"/>
          <w:sz w:val="24"/>
          <w:szCs w:val="24"/>
          <w:highlight w:val="none"/>
        </w:rPr>
        <w:t>为计算单位。</w:t>
      </w:r>
    </w:p>
    <w:p w14:paraId="79FBA93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07D876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39C04FA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383B729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color w:val="auto"/>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3"/>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34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37EE72AF">
            <w:pPr>
              <w:keepNext w:val="0"/>
              <w:keepLines w:val="0"/>
              <w:pageBreakBefore w:val="0"/>
              <w:widowControl w:val="0"/>
              <w:tabs>
                <w:tab w:val="left" w:pos="3000"/>
              </w:tabs>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D68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239" w:type="dxa"/>
            <w:noWrap w:val="0"/>
            <w:vAlign w:val="center"/>
          </w:tcPr>
          <w:p w14:paraId="367D0A92">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4C46911F">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56394607">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p>
          <w:p w14:paraId="77ED5A83">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评标基准值的确定：满足</w:t>
            </w:r>
            <w:r>
              <w:rPr>
                <w:rFonts w:hint="eastAsia" w:ascii="宋体" w:hAnsi="宋体" w:eastAsia="宋体" w:cs="宋体"/>
                <w:b w:val="0"/>
                <w:bCs w:val="0"/>
                <w:color w:val="auto"/>
                <w:sz w:val="24"/>
                <w:szCs w:val="24"/>
                <w:highlight w:val="none"/>
                <w:u w:val="none"/>
                <w:lang w:val="en-US" w:eastAsia="zh-CN"/>
              </w:rPr>
              <w:t>采购</w:t>
            </w:r>
            <w:r>
              <w:rPr>
                <w:rFonts w:hint="eastAsia" w:ascii="宋体" w:hAnsi="宋体" w:eastAsia="宋体" w:cs="宋体"/>
                <w:b w:val="0"/>
                <w:bCs w:val="0"/>
                <w:color w:val="auto"/>
                <w:sz w:val="24"/>
                <w:szCs w:val="24"/>
                <w:highlight w:val="none"/>
                <w:u w:val="none"/>
              </w:rPr>
              <w:t>文件要求且</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价格最低的有效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报价为评标基准价。</w:t>
            </w:r>
          </w:p>
          <w:p w14:paraId="6502C476">
            <w:pPr>
              <w:pStyle w:val="5"/>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报价得分=（评标基准价/有效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30分</w:t>
            </w:r>
          </w:p>
        </w:tc>
      </w:tr>
      <w:tr w14:paraId="3DD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07E38393">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技术部分（54分）</w:t>
            </w:r>
          </w:p>
        </w:tc>
        <w:tc>
          <w:tcPr>
            <w:tcW w:w="1473" w:type="dxa"/>
            <w:noWrap w:val="0"/>
            <w:vAlign w:val="center"/>
          </w:tcPr>
          <w:p w14:paraId="79C2B49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36</w:t>
            </w:r>
            <w:r>
              <w:rPr>
                <w:rFonts w:hint="eastAsia" w:ascii="宋体" w:hAnsi="宋体" w:eastAsia="宋体" w:cs="宋体"/>
                <w:b w:val="0"/>
                <w:bCs w:val="0"/>
                <w:color w:val="auto"/>
                <w:sz w:val="24"/>
                <w:szCs w:val="24"/>
                <w:highlight w:val="none"/>
                <w:lang w:val="en-US" w:eastAsia="zh-CN"/>
              </w:rPr>
              <w:t>分</w:t>
            </w:r>
            <w:r>
              <w:rPr>
                <w:rFonts w:hint="eastAsia" w:ascii="宋体" w:hAnsi="宋体" w:cs="宋体"/>
                <w:b w:val="0"/>
                <w:bCs w:val="0"/>
                <w:color w:val="auto"/>
                <w:sz w:val="24"/>
                <w:szCs w:val="24"/>
                <w:highlight w:val="none"/>
                <w:lang w:val="en-US" w:eastAsia="zh-CN"/>
              </w:rPr>
              <w:t>）</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lang w:val="en-US" w:eastAsia="zh-CN"/>
              </w:rPr>
              <w:t>分，有一项不满足的扣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分，扣完为止；如得分为0，则磋商无效。 </w:t>
            </w:r>
          </w:p>
          <w:p w14:paraId="4369E3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供应商需如实填写技术偏离表，并标注偏离情况。</w:t>
            </w:r>
          </w:p>
        </w:tc>
      </w:tr>
      <w:tr w14:paraId="5FDA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continue"/>
            <w:noWrap w:val="0"/>
            <w:vAlign w:val="center"/>
          </w:tcPr>
          <w:p w14:paraId="1703AC7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7F287E09">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2.产品综合评议（</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5B2D17A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评委根据供应商对所提供产品的品牌知名度及市场占有率、产品耐用性等进行打分。</w:t>
            </w:r>
          </w:p>
          <w:p w14:paraId="09A70ED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产品的品牌知名度及市场占有率高、产品耐用性强的得</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分；</w:t>
            </w:r>
          </w:p>
          <w:p w14:paraId="26A2CEE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产品的品牌知名度及市场占有率较高、产品耐用性较强的得</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p w14:paraId="0D7458D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产品的品牌知名度及市场占有率、产品耐用性一般的得3分；</w:t>
            </w:r>
          </w:p>
          <w:p w14:paraId="712D171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产品的品牌知名度及市场占有率、产品耐用性差的得1分。</w:t>
            </w:r>
          </w:p>
        </w:tc>
      </w:tr>
      <w:tr w14:paraId="156E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077F62B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343809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.质量保障方案（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分）</w:t>
            </w:r>
          </w:p>
        </w:tc>
        <w:tc>
          <w:tcPr>
            <w:tcW w:w="6770" w:type="dxa"/>
            <w:noWrap w:val="0"/>
            <w:vAlign w:val="center"/>
          </w:tcPr>
          <w:p w14:paraId="4754BDA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供应商针对本项目提供</w:t>
            </w:r>
            <w:r>
              <w:rPr>
                <w:rFonts w:hint="eastAsia" w:ascii="宋体" w:hAnsi="宋体" w:cs="宋体"/>
                <w:color w:val="auto"/>
                <w:kern w:val="0"/>
                <w:sz w:val="24"/>
                <w:szCs w:val="24"/>
              </w:rPr>
              <w:t>质量保障方案</w:t>
            </w:r>
            <w:r>
              <w:rPr>
                <w:rFonts w:hint="eastAsia" w:ascii="宋体" w:hAnsi="宋体" w:eastAsia="宋体" w:cs="宋体"/>
                <w:b w:val="0"/>
                <w:bCs w:val="0"/>
                <w:color w:val="auto"/>
                <w:sz w:val="24"/>
                <w:szCs w:val="24"/>
                <w:highlight w:val="none"/>
                <w:lang w:val="en-US" w:eastAsia="zh-CN"/>
              </w:rPr>
              <w:t>：包含（但不限于）以下内容：①</w:t>
            </w:r>
            <w:r>
              <w:rPr>
                <w:rFonts w:hint="eastAsia" w:ascii="宋体" w:hAnsi="宋体" w:cs="宋体"/>
                <w:color w:val="auto"/>
                <w:sz w:val="24"/>
                <w:szCs w:val="24"/>
              </w:rPr>
              <w:t>供货时间安排及保障措施；</w:t>
            </w:r>
            <w:r>
              <w:rPr>
                <w:rFonts w:hint="eastAsia" w:ascii="宋体" w:hAnsi="宋体" w:eastAsia="宋体" w:cs="宋体"/>
                <w:b w:val="0"/>
                <w:bCs w:val="0"/>
                <w:color w:val="auto"/>
                <w:sz w:val="24"/>
                <w:szCs w:val="24"/>
                <w:highlight w:val="none"/>
                <w:lang w:val="en-US" w:eastAsia="zh-CN"/>
              </w:rPr>
              <w:t>②产品质量保障措施</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③</w:t>
            </w:r>
            <w:r>
              <w:rPr>
                <w:rFonts w:hint="eastAsia" w:ascii="宋体" w:hAnsi="宋体" w:cs="宋体"/>
                <w:color w:val="auto"/>
                <w:sz w:val="24"/>
                <w:szCs w:val="24"/>
              </w:rPr>
              <w:t>人员配备及职责分工</w:t>
            </w:r>
            <w:r>
              <w:rPr>
                <w:rFonts w:hint="eastAsia" w:ascii="宋体" w:hAnsi="宋体" w:cs="宋体"/>
                <w:color w:val="auto"/>
                <w:sz w:val="24"/>
                <w:szCs w:val="24"/>
                <w:lang w:eastAsia="zh-CN"/>
              </w:rPr>
              <w:t>。</w:t>
            </w:r>
          </w:p>
          <w:p w14:paraId="4CE5C226">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措施</w:t>
            </w:r>
            <w:r>
              <w:rPr>
                <w:rFonts w:hint="eastAsia" w:ascii="宋体" w:hAnsi="宋体" w:cs="宋体"/>
                <w:color w:val="auto"/>
                <w:sz w:val="24"/>
                <w:szCs w:val="24"/>
              </w:rPr>
              <w:t>具体详实、人员及工具配备合理、完全满足采购需求的得</w:t>
            </w:r>
            <w:r>
              <w:rPr>
                <w:rFonts w:hint="eastAsia" w:ascii="宋体" w:hAnsi="宋体" w:cs="宋体"/>
                <w:color w:val="auto"/>
                <w:sz w:val="24"/>
                <w:szCs w:val="24"/>
                <w:lang w:val="en-US" w:eastAsia="zh-CN"/>
              </w:rPr>
              <w:t>9</w:t>
            </w:r>
            <w:r>
              <w:rPr>
                <w:rFonts w:hint="eastAsia" w:ascii="宋体" w:hAnsi="宋体" w:cs="宋体"/>
                <w:color w:val="auto"/>
                <w:sz w:val="24"/>
                <w:szCs w:val="24"/>
              </w:rPr>
              <w:t>分；</w:t>
            </w:r>
          </w:p>
          <w:p w14:paraId="7B1F3FDE">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color w:val="auto"/>
                <w:sz w:val="24"/>
                <w:szCs w:val="24"/>
              </w:rPr>
            </w:pPr>
            <w:r>
              <w:rPr>
                <w:rFonts w:hint="eastAsia" w:ascii="宋体" w:hAnsi="宋体" w:cs="宋体"/>
                <w:color w:val="auto"/>
                <w:sz w:val="24"/>
                <w:szCs w:val="24"/>
              </w:rPr>
              <w:t>有较具体的措施，</w:t>
            </w:r>
            <w:r>
              <w:rPr>
                <w:rFonts w:hint="eastAsia" w:ascii="宋体" w:hAnsi="宋体" w:cs="宋体"/>
                <w:color w:val="auto"/>
                <w:sz w:val="24"/>
                <w:szCs w:val="24"/>
                <w:lang w:val="en-US" w:eastAsia="zh-CN"/>
              </w:rPr>
              <w:t>人员配备基本合理，</w:t>
            </w:r>
            <w:r>
              <w:rPr>
                <w:rFonts w:hint="eastAsia" w:ascii="宋体" w:hAnsi="宋体" w:cs="宋体"/>
                <w:color w:val="auto"/>
                <w:sz w:val="24"/>
                <w:szCs w:val="24"/>
              </w:rPr>
              <w:t>基本满足采购需求的得</w:t>
            </w:r>
            <w:r>
              <w:rPr>
                <w:rFonts w:hint="eastAsia" w:ascii="宋体" w:hAnsi="宋体" w:cs="宋体"/>
                <w:color w:val="auto"/>
                <w:sz w:val="24"/>
                <w:szCs w:val="24"/>
                <w:lang w:val="en-US" w:eastAsia="zh-CN"/>
              </w:rPr>
              <w:t>6</w:t>
            </w:r>
            <w:r>
              <w:rPr>
                <w:rFonts w:hint="eastAsia" w:ascii="宋体" w:hAnsi="宋体" w:cs="宋体"/>
                <w:color w:val="auto"/>
                <w:sz w:val="24"/>
                <w:szCs w:val="24"/>
              </w:rPr>
              <w:t>分；</w:t>
            </w:r>
          </w:p>
          <w:p w14:paraId="2E066FB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方案内容不详细，合理性、可行性差的得</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分；</w:t>
            </w:r>
          </w:p>
          <w:p w14:paraId="04BE108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缺项得0分。</w:t>
            </w:r>
          </w:p>
        </w:tc>
      </w:tr>
      <w:tr w14:paraId="641E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6CD3009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057F336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4CE4C3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6F6A3B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年01月01日以来具有的类似项目(以合同文件为准），每提供一份得2分，最多得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75CE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3038F18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7376821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7DDEB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w:t>
            </w:r>
            <w:r>
              <w:rPr>
                <w:rFonts w:hint="eastAsia" w:ascii="宋体" w:hAnsi="宋体" w:eastAsia="宋体" w:cs="宋体"/>
                <w:b w:val="0"/>
                <w:bCs w:val="0"/>
                <w:color w:val="auto"/>
                <w:sz w:val="24"/>
                <w:szCs w:val="24"/>
                <w:highlight w:val="none"/>
                <w:lang w:val="en-US" w:eastAsia="zh-CN"/>
              </w:rPr>
              <w:t>故障响应时间、应急维修措施</w:t>
            </w:r>
            <w:r>
              <w:rPr>
                <w:rFonts w:hint="eastAsia" w:ascii="宋体" w:hAnsi="宋体" w:cs="宋体"/>
                <w:b w:val="0"/>
                <w:bCs w:val="0"/>
                <w:color w:val="auto"/>
                <w:sz w:val="24"/>
                <w:szCs w:val="24"/>
                <w:highlight w:val="none"/>
                <w:lang w:val="en-US" w:eastAsia="zh-CN"/>
              </w:rPr>
              <w:t>及备品备件</w:t>
            </w:r>
            <w:r>
              <w:rPr>
                <w:rFonts w:hint="eastAsia" w:ascii="宋体" w:hAnsi="宋体" w:eastAsia="宋体" w:cs="宋体"/>
                <w:b w:val="0"/>
                <w:bCs w:val="0"/>
                <w:color w:val="auto"/>
                <w:sz w:val="24"/>
                <w:szCs w:val="24"/>
                <w:highlight w:val="none"/>
                <w:lang w:val="en-US" w:eastAsia="zh-CN"/>
              </w:rPr>
              <w:t>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630FFF6E">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w:t>
            </w:r>
            <w:r>
              <w:rPr>
                <w:rFonts w:hint="eastAsia" w:ascii="宋体" w:hAnsi="宋体" w:eastAsia="宋体" w:cs="宋体"/>
                <w:b w:val="0"/>
                <w:bCs w:val="0"/>
                <w:color w:val="auto"/>
                <w:sz w:val="24"/>
                <w:szCs w:val="24"/>
                <w:highlight w:val="none"/>
                <w:lang w:val="en-US" w:eastAsia="zh-CN"/>
              </w:rPr>
              <w:t>人员</w:t>
            </w:r>
            <w:r>
              <w:rPr>
                <w:rFonts w:hint="eastAsia" w:ascii="宋体" w:hAnsi="宋体" w:cs="宋体"/>
                <w:b w:val="0"/>
                <w:bCs w:val="0"/>
                <w:color w:val="auto"/>
                <w:sz w:val="24"/>
                <w:szCs w:val="24"/>
                <w:highlight w:val="none"/>
                <w:lang w:val="en-US" w:eastAsia="zh-CN"/>
              </w:rPr>
              <w:t>配备充足、</w:t>
            </w:r>
            <w:r>
              <w:rPr>
                <w:rFonts w:hint="eastAsia" w:ascii="宋体" w:hAnsi="宋体" w:eastAsia="宋体" w:cs="宋体"/>
                <w:b w:val="0"/>
                <w:bCs w:val="0"/>
                <w:color w:val="auto"/>
                <w:sz w:val="24"/>
                <w:szCs w:val="24"/>
                <w:highlight w:val="none"/>
                <w:lang w:val="en-US" w:eastAsia="zh-CN"/>
              </w:rPr>
              <w:t>故障响应时间极快、应急维修措施可行</w:t>
            </w:r>
            <w:r>
              <w:rPr>
                <w:rFonts w:hint="eastAsia" w:ascii="宋体" w:hAnsi="宋体" w:cs="宋体"/>
                <w:b w:val="0"/>
                <w:bCs w:val="0"/>
                <w:color w:val="auto"/>
                <w:sz w:val="24"/>
                <w:szCs w:val="24"/>
                <w:highlight w:val="none"/>
                <w:lang w:val="en-US" w:eastAsia="zh-CN"/>
              </w:rPr>
              <w:t>、备品备件充足的</w:t>
            </w:r>
            <w:r>
              <w:rPr>
                <w:rFonts w:hint="eastAsia" w:ascii="宋体" w:hAnsi="宋体" w:eastAsia="宋体" w:cs="宋体"/>
                <w:b w:val="0"/>
                <w:bCs w:val="0"/>
                <w:color w:val="auto"/>
                <w:sz w:val="24"/>
                <w:szCs w:val="24"/>
                <w:highlight w:val="none"/>
                <w:lang w:val="en-US" w:eastAsia="zh-CN"/>
              </w:rPr>
              <w:t>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9657C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具有</w:t>
            </w:r>
            <w:r>
              <w:rPr>
                <w:rFonts w:hint="eastAsia" w:ascii="宋体" w:hAnsi="宋体" w:eastAsia="宋体" w:cs="宋体"/>
                <w:b w:val="0"/>
                <w:bCs w:val="0"/>
                <w:color w:val="auto"/>
                <w:sz w:val="24"/>
                <w:szCs w:val="24"/>
                <w:highlight w:val="none"/>
                <w:lang w:val="en-US" w:eastAsia="zh-CN"/>
              </w:rPr>
              <w:t>人员</w:t>
            </w:r>
            <w:r>
              <w:rPr>
                <w:rFonts w:hint="eastAsia" w:ascii="宋体" w:hAnsi="宋体" w:cs="宋体"/>
                <w:b w:val="0"/>
                <w:bCs w:val="0"/>
                <w:color w:val="auto"/>
                <w:sz w:val="24"/>
                <w:szCs w:val="24"/>
                <w:highlight w:val="none"/>
                <w:lang w:val="en-US" w:eastAsia="zh-CN"/>
              </w:rPr>
              <w:t>配备、</w:t>
            </w:r>
            <w:r>
              <w:rPr>
                <w:rFonts w:hint="eastAsia" w:ascii="宋体" w:hAnsi="宋体" w:eastAsia="宋体" w:cs="宋体"/>
                <w:b w:val="0"/>
                <w:bCs w:val="0"/>
                <w:color w:val="auto"/>
                <w:sz w:val="24"/>
                <w:szCs w:val="24"/>
                <w:highlight w:val="none"/>
                <w:lang w:val="en-US" w:eastAsia="zh-CN"/>
              </w:rPr>
              <w:t>故障响应时间快、应急维修措施较合理</w:t>
            </w:r>
            <w:r>
              <w:rPr>
                <w:rFonts w:hint="eastAsia" w:ascii="宋体" w:hAnsi="宋体" w:cs="宋体"/>
                <w:b w:val="0"/>
                <w:bCs w:val="0"/>
                <w:color w:val="auto"/>
                <w:sz w:val="24"/>
                <w:szCs w:val="24"/>
                <w:highlight w:val="none"/>
                <w:lang w:val="en-US" w:eastAsia="zh-CN"/>
              </w:rPr>
              <w:t>、配备的有备品备件</w:t>
            </w:r>
            <w:r>
              <w:rPr>
                <w:rFonts w:hint="eastAsia" w:ascii="宋体" w:hAnsi="宋体" w:eastAsia="宋体" w:cs="宋体"/>
                <w:b w:val="0"/>
                <w:bCs w:val="0"/>
                <w:color w:val="auto"/>
                <w:sz w:val="24"/>
                <w:szCs w:val="24"/>
                <w:highlight w:val="none"/>
                <w:lang w:val="en-US" w:eastAsia="zh-CN"/>
              </w:rPr>
              <w:t>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77644BE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符合本项目特点，人员</w:t>
            </w:r>
            <w:r>
              <w:rPr>
                <w:rFonts w:hint="eastAsia" w:ascii="宋体" w:hAnsi="宋体" w:cs="宋体"/>
                <w:b w:val="0"/>
                <w:bCs w:val="0"/>
                <w:color w:val="auto"/>
                <w:sz w:val="24"/>
                <w:szCs w:val="24"/>
                <w:highlight w:val="none"/>
                <w:lang w:val="en-US" w:eastAsia="zh-CN"/>
              </w:rPr>
              <w:t>配备不完善、</w:t>
            </w:r>
            <w:r>
              <w:rPr>
                <w:rFonts w:hint="eastAsia" w:ascii="宋体" w:hAnsi="宋体" w:eastAsia="宋体" w:cs="宋体"/>
                <w:b w:val="0"/>
                <w:bCs w:val="0"/>
                <w:color w:val="auto"/>
                <w:sz w:val="24"/>
                <w:szCs w:val="24"/>
                <w:highlight w:val="none"/>
                <w:lang w:val="en-US" w:eastAsia="zh-CN"/>
              </w:rPr>
              <w:t>故障响应时间较长、应急维修措施</w:t>
            </w:r>
            <w:r>
              <w:rPr>
                <w:rFonts w:hint="eastAsia" w:ascii="宋体" w:hAnsi="宋体" w:cs="宋体"/>
                <w:b w:val="0"/>
                <w:bCs w:val="0"/>
                <w:color w:val="auto"/>
                <w:sz w:val="24"/>
                <w:szCs w:val="24"/>
                <w:highlight w:val="none"/>
                <w:lang w:val="en-US" w:eastAsia="zh-CN"/>
              </w:rPr>
              <w:t>及备品备件</w:t>
            </w:r>
            <w:r>
              <w:rPr>
                <w:rFonts w:hint="eastAsia" w:ascii="宋体" w:hAnsi="宋体" w:eastAsia="宋体" w:cs="宋体"/>
                <w:b w:val="0"/>
                <w:bCs w:val="0"/>
                <w:color w:val="auto"/>
                <w:sz w:val="24"/>
                <w:szCs w:val="24"/>
                <w:highlight w:val="none"/>
                <w:lang w:val="en-US" w:eastAsia="zh-CN"/>
              </w:rPr>
              <w:t>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1C87900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售后服务不符合本项目特点，无法满足项目需求的得1分。</w:t>
            </w:r>
          </w:p>
          <w:p w14:paraId="068131CE">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6CD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235ABDA9">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p>
          <w:p w14:paraId="618FDC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14A5C9F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45F2B71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046D8EFD">
      <w:pPr>
        <w:rPr>
          <w:rFonts w:hint="eastAsia" w:ascii="宋体" w:hAnsi="宋体" w:eastAsia="宋体" w:cs="宋体"/>
          <w:b/>
          <w:color w:val="auto"/>
          <w:highlight w:val="none"/>
        </w:rPr>
      </w:pPr>
    </w:p>
    <w:p w14:paraId="6FAD3FD6">
      <w:pPr>
        <w:pStyle w:val="2"/>
        <w:rPr>
          <w:rFonts w:hint="eastAsia" w:ascii="宋体" w:hAnsi="宋体" w:eastAsia="宋体" w:cs="宋体"/>
          <w:b/>
          <w:color w:val="auto"/>
          <w:highlight w:val="none"/>
        </w:rPr>
      </w:pPr>
    </w:p>
    <w:p w14:paraId="3FEC0717">
      <w:pPr>
        <w:rPr>
          <w:rFonts w:hint="eastAsia"/>
          <w:color w:val="auto"/>
        </w:rPr>
        <w:sectPr>
          <w:footerReference r:id="rId5" w:type="default"/>
          <w:pgSz w:w="11906" w:h="16838"/>
          <w:pgMar w:top="1417" w:right="1474" w:bottom="1417" w:left="1474" w:header="851" w:footer="624" w:gutter="0"/>
          <w:pgNumType w:fmt="decimal"/>
          <w:cols w:space="720" w:num="1"/>
          <w:docGrid w:type="lines" w:linePitch="319" w:charSpace="0"/>
        </w:sectPr>
      </w:pPr>
    </w:p>
    <w:bookmarkEnd w:id="37"/>
    <w:p w14:paraId="2CCD7513">
      <w:pPr>
        <w:rPr>
          <w:rFonts w:hint="eastAsia" w:ascii="宋体" w:hAnsi="宋体" w:eastAsia="宋体" w:cs="宋体"/>
          <w:color w:val="auto"/>
          <w:highlight w:val="none"/>
        </w:rPr>
      </w:pPr>
      <w:bookmarkStart w:id="39" w:name="_Toc1482"/>
      <w:bookmarkStart w:id="40" w:name="_Toc1947"/>
      <w:bookmarkStart w:id="41" w:name="_Toc256519703"/>
      <w:bookmarkStart w:id="42"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我方仔细研究了</w:t>
      </w:r>
      <w:r>
        <w:rPr>
          <w:rFonts w:hint="eastAsia" w:asciiTheme="minorEastAsia" w:hAnsiTheme="minorEastAsia"/>
          <w:bCs/>
          <w:color w:val="auto"/>
          <w:sz w:val="24"/>
          <w:szCs w:val="24"/>
          <w:highlight w:val="none"/>
          <w:u w:val="single"/>
        </w:rPr>
        <w:t>（项目名称：</w:t>
      </w:r>
      <w:r>
        <w:rPr>
          <w:rFonts w:hint="eastAsia" w:asciiTheme="minorEastAsia" w:hAnsiTheme="minorEastAsia"/>
          <w:bCs/>
          <w:color w:val="auto"/>
          <w:sz w:val="24"/>
          <w:szCs w:val="24"/>
          <w:highlight w:val="none"/>
          <w:u w:val="single"/>
          <w:lang w:val="en-US" w:eastAsia="zh-CN"/>
        </w:rPr>
        <w:t xml:space="preserve">              </w:t>
      </w:r>
      <w:r>
        <w:rPr>
          <w:rFonts w:hint="eastAsia" w:asciiTheme="minorEastAsia" w:hAnsiTheme="minorEastAsia"/>
          <w:bCs/>
          <w:color w:val="auto"/>
          <w:sz w:val="24"/>
          <w:szCs w:val="24"/>
          <w:highlight w:val="none"/>
          <w:u w:val="single"/>
        </w:rPr>
        <w:t>）</w:t>
      </w:r>
      <w:r>
        <w:rPr>
          <w:rFonts w:hint="eastAsia" w:asciiTheme="minorEastAsia" w:hAnsiTheme="minorEastAsia"/>
          <w:color w:val="auto"/>
          <w:sz w:val="24"/>
          <w:szCs w:val="24"/>
          <w:highlight w:val="none"/>
          <w:lang w:val="en-US" w:eastAsia="zh-CN"/>
        </w:rPr>
        <w:t>采购</w:t>
      </w:r>
      <w:r>
        <w:rPr>
          <w:rFonts w:hint="eastAsia" w:asciiTheme="minorEastAsia" w:hAnsiTheme="minorEastAsia"/>
          <w:color w:val="auto"/>
          <w:sz w:val="24"/>
          <w:szCs w:val="24"/>
          <w:highlight w:val="none"/>
        </w:rPr>
        <w:t>文件的全部内容，决定参加该项目的磋商活动并按要求提交响应文件。我们郑重声明以下诸点并负法律责任</w:t>
      </w:r>
      <w:r>
        <w:rPr>
          <w:rFonts w:asciiTheme="minorEastAsia" w:hAnsiTheme="minorEastAsia"/>
          <w:color w:val="auto"/>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color w:val="auto"/>
          <w:sz w:val="24"/>
          <w:szCs w:val="24"/>
          <w:highlight w:val="none"/>
        </w:rPr>
        <w:t>我方响应文件有效期为自磋商之日</w:t>
      </w:r>
      <w:r>
        <w:rPr>
          <w:rFonts w:hint="eastAsia" w:asciiTheme="minorEastAsia" w:hAnsiTheme="minorEastAsia"/>
          <w:color w:val="auto"/>
          <w:sz w:val="24"/>
          <w:szCs w:val="24"/>
          <w:highlight w:val="none"/>
          <w:u w:val="none"/>
        </w:rPr>
        <w:t>起</w:t>
      </w:r>
      <w:r>
        <w:rPr>
          <w:rFonts w:asciiTheme="minorEastAsia" w:hAnsiTheme="minorEastAsia"/>
          <w:color w:val="auto"/>
          <w:sz w:val="24"/>
          <w:szCs w:val="24"/>
          <w:highlight w:val="none"/>
          <w:u w:val="none"/>
        </w:rPr>
        <w:t>90</w:t>
      </w:r>
      <w:r>
        <w:rPr>
          <w:rFonts w:hint="eastAsia" w:asciiTheme="minorEastAsia" w:hAnsiTheme="minorEastAsia"/>
          <w:color w:val="auto"/>
          <w:sz w:val="24"/>
          <w:szCs w:val="24"/>
          <w:highlight w:val="none"/>
          <w:u w:val="none"/>
        </w:rPr>
        <w:t>天</w:t>
      </w:r>
      <w:r>
        <w:rPr>
          <w:rFonts w:hint="eastAsia" w:asciiTheme="minorEastAsia" w:hAnsiTheme="minorEastAsia"/>
          <w:color w:val="auto"/>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374C11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widowControl/>
              <w:snapToGrid w:val="0"/>
              <w:spacing w:before="50" w:after="50"/>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kern w:val="0"/>
                <w:sz w:val="24"/>
                <w:szCs w:val="24"/>
                <w:highlight w:val="none"/>
                <w:lang w:eastAsia="zh-CN"/>
              </w:rPr>
              <w:t>磋商报价（综合折扣率）</w:t>
            </w:r>
          </w:p>
        </w:tc>
        <w:tc>
          <w:tcPr>
            <w:tcW w:w="7708" w:type="dxa"/>
            <w:noWrap/>
            <w:vAlign w:val="center"/>
          </w:tcPr>
          <w:p w14:paraId="05A11423">
            <w:pPr>
              <w:rPr>
                <w:rFonts w:ascii="宋体" w:cs="宋体"/>
                <w:color w:val="auto"/>
                <w:sz w:val="24"/>
                <w:szCs w:val="24"/>
                <w:highlight w:val="none"/>
              </w:rPr>
            </w:pPr>
            <w:r>
              <w:rPr>
                <w:rFonts w:hint="eastAsia" w:ascii="宋体" w:hAnsi="宋体" w:cs="宋体"/>
                <w:color w:val="auto"/>
                <w:sz w:val="24"/>
                <w:szCs w:val="24"/>
                <w:highlight w:val="none"/>
              </w:rPr>
              <w:t>大写：百分之</w:t>
            </w:r>
            <w:r>
              <w:rPr>
                <w:color w:val="auto"/>
                <w:sz w:val="24"/>
                <w:szCs w:val="32"/>
                <w:highlight w:val="none"/>
                <w:u w:val="single"/>
              </w:rPr>
              <w:t xml:space="preserve">          </w:t>
            </w:r>
            <w:r>
              <w:rPr>
                <w:rFonts w:ascii="宋体" w:hAnsi="宋体" w:cs="宋体"/>
                <w:color w:val="auto"/>
                <w:sz w:val="24"/>
                <w:szCs w:val="24"/>
                <w:highlight w:val="none"/>
              </w:rPr>
              <w:t xml:space="preserve">        </w:t>
            </w:r>
          </w:p>
          <w:p w14:paraId="3238EA97">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小写：</w:t>
            </w:r>
            <w:r>
              <w:rPr>
                <w:color w:val="auto"/>
                <w:sz w:val="24"/>
                <w:szCs w:val="32"/>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56E7F544">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40DE2BF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96E67A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247646D">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单位：人民币（元）</w:t>
      </w:r>
    </w:p>
    <w:tbl>
      <w:tblPr>
        <w:tblStyle w:val="33"/>
        <w:tblpPr w:leftFromText="180" w:rightFromText="180" w:vertAnchor="text" w:horzAnchor="page" w:tblpX="1095" w:tblpY="449"/>
        <w:tblOverlap w:val="never"/>
        <w:tblW w:w="973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2336"/>
        <w:gridCol w:w="1586"/>
        <w:gridCol w:w="1586"/>
        <w:gridCol w:w="1612"/>
        <w:gridCol w:w="916"/>
        <w:gridCol w:w="984"/>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716"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336"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586"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586"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default" w:ascii="宋体" w:hAnsi="宋体" w:eastAsia="宋体" w:cs="宋体"/>
                <w:color w:val="auto"/>
                <w:spacing w:val="20"/>
                <w:kern w:val="0"/>
                <w:sz w:val="24"/>
                <w:szCs w:val="24"/>
                <w:highlight w:val="none"/>
                <w:lang w:val="en-US" w:eastAsia="zh-CN" w:bidi="ar-SA"/>
              </w:rPr>
              <w:t>材质</w:t>
            </w:r>
          </w:p>
        </w:tc>
        <w:tc>
          <w:tcPr>
            <w:tcW w:w="1612"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916"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984"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6"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336"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612"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984"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6"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336"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612"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984"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6"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336"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612"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984"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6"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336"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612"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984"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6"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2336"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1586"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1586"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1612"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916"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984"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6"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p>
        </w:tc>
        <w:tc>
          <w:tcPr>
            <w:tcW w:w="2336"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586"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612"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84"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bl>
    <w:p w14:paraId="48F290DC">
      <w:pPr>
        <w:pStyle w:val="32"/>
        <w:rPr>
          <w:rFonts w:hint="eastAsia" w:ascii="宋体" w:hAnsi="宋体" w:eastAsia="宋体" w:cs="宋体"/>
          <w:color w:val="auto"/>
          <w:sz w:val="21"/>
          <w:szCs w:val="21"/>
          <w:highlight w:val="none"/>
          <w:lang w:eastAsia="zh-CN"/>
        </w:rPr>
      </w:pPr>
    </w:p>
    <w:p w14:paraId="6E399BFB">
      <w:pPr>
        <w:pStyle w:val="32"/>
        <w:keepNext w:val="0"/>
        <w:keepLines w:val="0"/>
        <w:pageBreakBefore w:val="0"/>
        <w:kinsoku/>
        <w:wordWrap/>
        <w:overflowPunct/>
        <w:topLinePunct w:val="0"/>
        <w:autoSpaceDE/>
        <w:autoSpaceDN/>
        <w:bidi w:val="0"/>
        <w:adjustRightInd/>
        <w:snapToGrid/>
        <w:spacing w:beforeAutospacing="0" w:afterAutospacing="0" w:line="460" w:lineRule="exact"/>
        <w:ind w:firstLine="210"/>
        <w:textAlignment w:val="auto"/>
        <w:rPr>
          <w:rFonts w:ascii="宋体" w:cs="宋体"/>
          <w:color w:val="auto"/>
          <w:sz w:val="24"/>
          <w:szCs w:val="24"/>
          <w:highlight w:val="none"/>
        </w:rPr>
      </w:pPr>
      <w:r>
        <w:rPr>
          <w:rFonts w:hint="eastAsia" w:ascii="宋体" w:hAnsi="宋体" w:cs="宋体"/>
          <w:color w:val="auto"/>
          <w:sz w:val="24"/>
          <w:szCs w:val="24"/>
          <w:highlight w:val="none"/>
        </w:rPr>
        <w:t>注：</w:t>
      </w:r>
      <w:r>
        <w:rPr>
          <w:rFonts w:ascii="宋体" w:hAnsi="宋体" w:cs="宋体"/>
          <w:color w:val="auto"/>
          <w:sz w:val="24"/>
          <w:szCs w:val="24"/>
          <w:highlight w:val="none"/>
        </w:rPr>
        <w:t>1.</w:t>
      </w:r>
      <w:r>
        <w:rPr>
          <w:rFonts w:hint="eastAsia" w:ascii="宋体" w:hAnsi="宋体" w:cs="宋体"/>
          <w:color w:val="auto"/>
          <w:sz w:val="24"/>
          <w:szCs w:val="24"/>
          <w:highlight w:val="none"/>
        </w:rPr>
        <w:t>本表中的数量暂按“</w:t>
      </w:r>
      <w:r>
        <w:rPr>
          <w:rFonts w:ascii="宋体" w:hAnsi="宋体" w:cs="宋体"/>
          <w:color w:val="auto"/>
          <w:sz w:val="24"/>
          <w:szCs w:val="24"/>
          <w:highlight w:val="none"/>
        </w:rPr>
        <w:t>1</w:t>
      </w:r>
      <w:r>
        <w:rPr>
          <w:rFonts w:hint="eastAsia" w:ascii="宋体" w:hAnsi="宋体" w:cs="宋体"/>
          <w:color w:val="auto"/>
          <w:sz w:val="24"/>
          <w:szCs w:val="24"/>
          <w:highlight w:val="none"/>
        </w:rPr>
        <w:t>”计取。</w:t>
      </w:r>
    </w:p>
    <w:p w14:paraId="3B128F4F">
      <w:pPr>
        <w:pStyle w:val="32"/>
        <w:keepNext w:val="0"/>
        <w:keepLines w:val="0"/>
        <w:pageBreakBefore w:val="0"/>
        <w:kinsoku/>
        <w:wordWrap/>
        <w:overflowPunct/>
        <w:topLinePunct w:val="0"/>
        <w:autoSpaceDE/>
        <w:autoSpaceDN/>
        <w:bidi w:val="0"/>
        <w:adjustRightInd/>
        <w:snapToGrid/>
        <w:spacing w:beforeAutospacing="0" w:afterAutospacing="0" w:line="460" w:lineRule="exact"/>
        <w:ind w:firstLine="720" w:firstLineChars="300"/>
        <w:textAlignment w:val="auto"/>
        <w:rPr>
          <w:rFonts w:ascii="宋体" w:cs="宋体"/>
          <w:b/>
          <w:bCs/>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本表中的单价是指</w:t>
      </w:r>
      <w:r>
        <w:rPr>
          <w:rFonts w:hint="eastAsia" w:ascii="宋体" w:hAnsi="宋体" w:cs="宋体"/>
          <w:b/>
          <w:bCs/>
          <w:color w:val="auto"/>
          <w:sz w:val="24"/>
          <w:szCs w:val="24"/>
          <w:highlight w:val="none"/>
        </w:rPr>
        <w:t>“每项</w:t>
      </w:r>
      <w:r>
        <w:rPr>
          <w:rFonts w:hint="eastAsia" w:ascii="宋体" w:hAnsi="宋体" w:cs="宋体"/>
          <w:b/>
          <w:bCs/>
          <w:color w:val="auto"/>
          <w:sz w:val="24"/>
          <w:szCs w:val="24"/>
          <w:highlight w:val="none"/>
          <w:lang w:val="en-US" w:eastAsia="zh-CN"/>
        </w:rPr>
        <w:t>货物</w:t>
      </w:r>
      <w:r>
        <w:rPr>
          <w:rFonts w:hint="eastAsia" w:ascii="宋体" w:hAnsi="宋体" w:cs="宋体"/>
          <w:b/>
          <w:bCs/>
          <w:color w:val="auto"/>
          <w:sz w:val="24"/>
          <w:szCs w:val="24"/>
          <w:highlight w:val="none"/>
        </w:rPr>
        <w:t>折扣后的单价”。</w:t>
      </w:r>
    </w:p>
    <w:p w14:paraId="199269C7">
      <w:pPr>
        <w:pStyle w:val="16"/>
        <w:keepNext w:val="0"/>
        <w:keepLines w:val="0"/>
        <w:pageBreakBefore w:val="0"/>
        <w:kinsoku/>
        <w:wordWrap/>
        <w:overflowPunct/>
        <w:topLinePunct w:val="0"/>
        <w:autoSpaceDE/>
        <w:autoSpaceDN/>
        <w:bidi w:val="0"/>
        <w:adjustRightInd/>
        <w:snapToGrid/>
        <w:spacing w:beforeAutospacing="0" w:afterAutospacing="0" w:line="460" w:lineRule="exact"/>
        <w:ind w:firstLine="720" w:firstLineChars="300"/>
        <w:textAlignment w:val="auto"/>
        <w:rPr>
          <w:rFonts w:hint="eastAsia" w:ascii="宋体" w:cs="宋体"/>
          <w:color w:val="auto"/>
          <w:kern w:val="0"/>
          <w:sz w:val="24"/>
          <w:szCs w:val="24"/>
          <w:highlight w:val="none"/>
        </w:rPr>
      </w:pPr>
      <w:r>
        <w:rPr>
          <w:rFonts w:hint="eastAsia" w:ascii="宋体" w:cs="宋体"/>
          <w:color w:val="auto"/>
          <w:kern w:val="0"/>
          <w:sz w:val="24"/>
          <w:szCs w:val="24"/>
          <w:highlight w:val="none"/>
        </w:rPr>
        <w:t>3.货物序号、名称与采购需求中</w:t>
      </w:r>
      <w:r>
        <w:rPr>
          <w:rFonts w:hint="eastAsia"/>
          <w:b/>
          <w:iCs/>
          <w:color w:val="auto"/>
          <w:sz w:val="24"/>
          <w:szCs w:val="24"/>
          <w:highlight w:val="none"/>
        </w:rPr>
        <w:t>采购清单</w:t>
      </w:r>
      <w:r>
        <w:rPr>
          <w:rFonts w:hint="eastAsia" w:ascii="宋体" w:cs="宋体"/>
          <w:color w:val="auto"/>
          <w:kern w:val="0"/>
          <w:sz w:val="24"/>
          <w:szCs w:val="24"/>
          <w:highlight w:val="none"/>
        </w:rPr>
        <w:t>一一对应。</w:t>
      </w:r>
    </w:p>
    <w:p w14:paraId="3D274ABC">
      <w:pPr>
        <w:pStyle w:val="16"/>
        <w:keepNext w:val="0"/>
        <w:keepLines w:val="0"/>
        <w:pageBreakBefore w:val="0"/>
        <w:kinsoku/>
        <w:wordWrap/>
        <w:overflowPunct/>
        <w:topLinePunct w:val="0"/>
        <w:autoSpaceDE/>
        <w:autoSpaceDN/>
        <w:bidi w:val="0"/>
        <w:adjustRightInd/>
        <w:snapToGrid/>
        <w:spacing w:beforeAutospacing="0" w:afterAutospacing="0" w:line="460" w:lineRule="exact"/>
        <w:ind w:firstLine="720" w:firstLineChars="300"/>
        <w:textAlignment w:val="auto"/>
        <w:rPr>
          <w:rFonts w:hint="eastAsia" w:ascii="宋体" w:cs="宋体"/>
          <w:color w:val="auto"/>
          <w:kern w:val="0"/>
          <w:sz w:val="24"/>
          <w:szCs w:val="24"/>
          <w:highlight w:val="none"/>
          <w:lang w:eastAsia="zh-CN"/>
        </w:rPr>
      </w:pPr>
    </w:p>
    <w:p w14:paraId="6111CC48">
      <w:pPr>
        <w:pStyle w:val="16"/>
        <w:rPr>
          <w:rFonts w:hint="eastAsia"/>
          <w:color w:val="auto"/>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15804"/>
      <w:bookmarkStart w:id="65" w:name="_Toc226"/>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color w:val="auto"/>
          <w:sz w:val="24"/>
          <w:szCs w:val="32"/>
          <w:highlight w:val="none"/>
        </w:rPr>
      </w:pPr>
      <w:r>
        <w:rPr>
          <w:rFonts w:hint="eastAsia" w:asciiTheme="minorEastAsia" w:hAnsiTheme="minorEastAsia"/>
          <w:b/>
          <w:bCs/>
          <w:color w:val="auto"/>
          <w:sz w:val="24"/>
          <w:szCs w:val="32"/>
          <w:highlight w:val="none"/>
          <w:lang w:val="en-US" w:eastAsia="zh-CN"/>
        </w:rPr>
        <w:t>注：</w:t>
      </w:r>
      <w:r>
        <w:rPr>
          <w:rFonts w:hint="eastAsia" w:asciiTheme="minorEastAsia" w:hAnsiTheme="minorEastAsia"/>
          <w:b/>
          <w:bCs/>
          <w:color w:val="auto"/>
          <w:sz w:val="24"/>
          <w:szCs w:val="32"/>
          <w:highlight w:val="none"/>
        </w:rPr>
        <w:t>本表中“偏离</w:t>
      </w:r>
      <w:r>
        <w:rPr>
          <w:rFonts w:hint="eastAsia" w:asciiTheme="minorEastAsia" w:hAnsiTheme="minorEastAsia"/>
          <w:b/>
          <w:bCs/>
          <w:color w:val="auto"/>
          <w:sz w:val="24"/>
          <w:szCs w:val="32"/>
          <w:highlight w:val="none"/>
          <w:lang w:val="en-US" w:eastAsia="zh-CN"/>
        </w:rPr>
        <w:t>情况</w:t>
      </w:r>
      <w:r>
        <w:rPr>
          <w:rFonts w:hint="eastAsia" w:asciiTheme="minorEastAsia" w:hAnsiTheme="minorEastAsia"/>
          <w:b/>
          <w:bCs/>
          <w:color w:val="auto"/>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4168"/>
      <w:bookmarkStart w:id="67" w:name="_Toc29960"/>
      <w:bookmarkStart w:id="68" w:name="_Toc2042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color w:val="auto"/>
          <w:sz w:val="24"/>
          <w:szCs w:val="32"/>
          <w:highlight w:val="none"/>
        </w:rPr>
      </w:pPr>
      <w:r>
        <w:rPr>
          <w:rFonts w:hint="eastAsia" w:asciiTheme="minorEastAsia" w:hAnsiTheme="minorEastAsia"/>
          <w:b/>
          <w:bCs/>
          <w:color w:val="auto"/>
          <w:sz w:val="24"/>
          <w:szCs w:val="32"/>
          <w:highlight w:val="none"/>
          <w:lang w:val="en-US" w:eastAsia="zh-CN"/>
        </w:rPr>
        <w:t>注：</w:t>
      </w:r>
      <w:r>
        <w:rPr>
          <w:rFonts w:hint="eastAsia" w:asciiTheme="minorEastAsia" w:hAnsiTheme="minorEastAsia"/>
          <w:b/>
          <w:bCs/>
          <w:color w:val="auto"/>
          <w:sz w:val="24"/>
          <w:szCs w:val="32"/>
          <w:highlight w:val="none"/>
        </w:rPr>
        <w:t>本表中“偏离</w:t>
      </w:r>
      <w:r>
        <w:rPr>
          <w:rFonts w:hint="eastAsia" w:asciiTheme="minorEastAsia" w:hAnsiTheme="minorEastAsia"/>
          <w:b/>
          <w:bCs/>
          <w:color w:val="auto"/>
          <w:sz w:val="24"/>
          <w:szCs w:val="32"/>
          <w:highlight w:val="none"/>
          <w:lang w:val="en-US" w:eastAsia="zh-CN"/>
        </w:rPr>
        <w:t>情况</w:t>
      </w:r>
      <w:r>
        <w:rPr>
          <w:rFonts w:hint="eastAsia" w:asciiTheme="minorEastAsia" w:hAnsiTheme="minorEastAsia"/>
          <w:b/>
          <w:bCs/>
          <w:color w:val="auto"/>
          <w:sz w:val="24"/>
          <w:szCs w:val="32"/>
          <w:highlight w:val="none"/>
        </w:rPr>
        <w:t>”只有三种状态（正偏离、无偏离、负偏离）</w:t>
      </w:r>
    </w:p>
    <w:p w14:paraId="341DFBA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3976"/>
      <w:bookmarkStart w:id="73" w:name="_Toc30519"/>
      <w:bookmarkStart w:id="74" w:name="_Toc1293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18105"/>
      <w:bookmarkStart w:id="76" w:name="_Toc24693"/>
      <w:bookmarkStart w:id="77" w:name="_Toc3342"/>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1"/>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FF07DD1">
      <w:pPr>
        <w:pStyle w:val="11"/>
        <w:spacing w:beforeAutospacing="0" w:afterAutospacing="0" w:line="480" w:lineRule="auto"/>
        <w:jc w:val="both"/>
        <w:rPr>
          <w:rFonts w:hint="eastAsia" w:ascii="宋体" w:hAnsi="宋体" w:eastAsia="宋体" w:cs="宋体"/>
          <w:bCs/>
          <w:color w:val="auto"/>
          <w:sz w:val="24"/>
          <w:szCs w:val="24"/>
          <w:highlight w:val="none"/>
        </w:rPr>
      </w:pPr>
    </w:p>
    <w:p w14:paraId="6B0AB042">
      <w:pPr>
        <w:pStyle w:val="11"/>
        <w:spacing w:beforeAutospacing="0" w:afterAutospacing="0" w:line="480" w:lineRule="auto"/>
        <w:jc w:val="both"/>
        <w:rPr>
          <w:rFonts w:hint="eastAsia" w:ascii="宋体" w:hAnsi="宋体" w:eastAsia="宋体" w:cs="宋体"/>
          <w:bCs/>
          <w:color w:val="auto"/>
          <w:sz w:val="24"/>
          <w:szCs w:val="24"/>
          <w:highlight w:val="none"/>
        </w:rPr>
      </w:pPr>
    </w:p>
    <w:p w14:paraId="55055A43">
      <w:pPr>
        <w:pStyle w:val="11"/>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color w:val="auto"/>
          <w:sz w:val="24"/>
          <w:szCs w:val="24"/>
          <w:highlight w:val="none"/>
          <w:lang w:val="en-US"/>
        </w:rPr>
      </w:pPr>
      <w:r>
        <w:rPr>
          <w:rFonts w:hint="eastAsia" w:cs="宋体"/>
          <w:b/>
          <w:bCs w:val="0"/>
          <w:color w:val="auto"/>
          <w:sz w:val="24"/>
          <w:szCs w:val="24"/>
          <w:highlight w:val="none"/>
          <w:lang w:val="en-US" w:eastAsia="zh-CN"/>
        </w:rPr>
        <w:t>9.2</w:t>
      </w:r>
      <w:bookmarkStart w:id="78" w:name="_Toc17966"/>
      <w:r>
        <w:rPr>
          <w:rFonts w:hint="eastAsia" w:cs="宋体"/>
          <w:b/>
          <w:bCs w:val="0"/>
          <w:color w:val="auto"/>
          <w:sz w:val="24"/>
          <w:szCs w:val="24"/>
          <w:highlight w:val="none"/>
          <w:lang w:val="en-US" w:eastAsia="zh-CN"/>
        </w:rPr>
        <w:t xml:space="preserve"> 评分标准中需提供的证明材料</w:t>
      </w:r>
    </w:p>
    <w:p w14:paraId="17CF5863">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color w:val="auto"/>
          <w:sz w:val="24"/>
          <w:szCs w:val="24"/>
          <w:highlight w:val="none"/>
        </w:rPr>
      </w:pPr>
    </w:p>
    <w:p w14:paraId="22A041B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color w:val="auto"/>
          <w:sz w:val="24"/>
          <w:szCs w:val="24"/>
          <w:highlight w:val="none"/>
        </w:rPr>
      </w:pPr>
    </w:p>
    <w:p w14:paraId="260EEDA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color w:val="auto"/>
          <w:sz w:val="24"/>
          <w:szCs w:val="24"/>
          <w:highlight w:val="none"/>
        </w:rPr>
      </w:pPr>
    </w:p>
    <w:p w14:paraId="44D2F11A">
      <w:pPr>
        <w:pStyle w:val="11"/>
        <w:spacing w:beforeAutospacing="0" w:afterAutospacing="0" w:line="480" w:lineRule="auto"/>
        <w:ind w:firstLine="540" w:firstLineChars="224"/>
        <w:jc w:val="both"/>
        <w:rPr>
          <w:rFonts w:cs="Arial" w:asciiTheme="minorEastAsia" w:hAnsiTheme="minorEastAsia"/>
          <w:color w:val="auto"/>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color w:val="auto"/>
          <w:sz w:val="24"/>
          <w:szCs w:val="24"/>
          <w:highlight w:val="none"/>
        </w:rPr>
        <w:t>销售业绩</w:t>
      </w:r>
    </w:p>
    <w:tbl>
      <w:tblPr>
        <w:tblStyle w:val="33"/>
        <w:tblW w:w="75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187"/>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color w:val="auto"/>
                <w:sz w:val="24"/>
                <w:highlight w:val="none"/>
                <w:lang w:val="en-US" w:eastAsia="zh-CN"/>
              </w:rPr>
            </w:pPr>
            <w:r>
              <w:rPr>
                <w:rFonts w:hint="eastAsia" w:cs="Arial" w:asciiTheme="minorEastAsia" w:hAnsiTheme="minorEastAsia"/>
                <w:color w:val="auto"/>
                <w:sz w:val="24"/>
                <w:highlight w:val="none"/>
                <w:lang w:val="en-US" w:eastAsia="zh-CN"/>
              </w:rPr>
              <w:t>序号</w:t>
            </w:r>
          </w:p>
        </w:tc>
        <w:tc>
          <w:tcPr>
            <w:tcW w:w="1950" w:type="dxa"/>
            <w:vAlign w:val="center"/>
          </w:tcPr>
          <w:p w14:paraId="5D77AEB6">
            <w:pPr>
              <w:spacing w:before="120"/>
              <w:jc w:val="center"/>
              <w:rPr>
                <w:rFonts w:cs="Arial" w:asciiTheme="minorEastAsia" w:hAnsiTheme="minorEastAsia"/>
                <w:color w:val="auto"/>
                <w:sz w:val="24"/>
                <w:highlight w:val="none"/>
              </w:rPr>
            </w:pPr>
            <w:r>
              <w:rPr>
                <w:rFonts w:cs="Arial" w:asciiTheme="minorEastAsia" w:hAnsiTheme="minorEastAsia"/>
                <w:color w:val="auto"/>
                <w:sz w:val="24"/>
                <w:highlight w:val="none"/>
              </w:rPr>
              <w:t>销售用户</w:t>
            </w:r>
          </w:p>
        </w:tc>
        <w:tc>
          <w:tcPr>
            <w:tcW w:w="2028" w:type="dxa"/>
            <w:vAlign w:val="center"/>
          </w:tcPr>
          <w:p w14:paraId="788302A4">
            <w:pPr>
              <w:spacing w:before="120"/>
              <w:jc w:val="center"/>
              <w:rPr>
                <w:rFonts w:cs="Arial" w:asciiTheme="minorEastAsia" w:hAnsiTheme="minorEastAsia"/>
                <w:color w:val="auto"/>
                <w:sz w:val="24"/>
                <w:highlight w:val="none"/>
              </w:rPr>
            </w:pPr>
            <w:r>
              <w:rPr>
                <w:rFonts w:hint="eastAsia" w:cs="Arial" w:asciiTheme="minorEastAsia" w:hAnsiTheme="minorEastAsia"/>
                <w:color w:val="auto"/>
                <w:sz w:val="24"/>
                <w:highlight w:val="none"/>
                <w:lang w:val="en-US" w:eastAsia="zh-CN"/>
              </w:rPr>
              <w:t>联系人及</w:t>
            </w:r>
            <w:r>
              <w:rPr>
                <w:rFonts w:cs="Arial" w:asciiTheme="minorEastAsia" w:hAnsiTheme="minorEastAsia"/>
                <w:color w:val="auto"/>
                <w:sz w:val="24"/>
                <w:highlight w:val="none"/>
              </w:rPr>
              <w:t>联系</w:t>
            </w:r>
            <w:r>
              <w:rPr>
                <w:rFonts w:hint="eastAsia" w:cs="Arial" w:asciiTheme="minorEastAsia" w:hAnsiTheme="minorEastAsia"/>
                <w:color w:val="auto"/>
                <w:sz w:val="24"/>
                <w:highlight w:val="none"/>
              </w:rPr>
              <w:t>电话</w:t>
            </w:r>
          </w:p>
        </w:tc>
        <w:tc>
          <w:tcPr>
            <w:tcW w:w="2187" w:type="dxa"/>
            <w:vAlign w:val="center"/>
          </w:tcPr>
          <w:p w14:paraId="0CD37DB9">
            <w:pPr>
              <w:spacing w:before="120"/>
              <w:jc w:val="center"/>
              <w:rPr>
                <w:rFonts w:cs="Arial" w:asciiTheme="minorEastAsia" w:hAnsiTheme="minorEastAsia"/>
                <w:color w:val="auto"/>
                <w:sz w:val="24"/>
                <w:highlight w:val="none"/>
              </w:rPr>
            </w:pPr>
            <w:r>
              <w:rPr>
                <w:rFonts w:hint="eastAsia" w:cs="Arial" w:asciiTheme="minorEastAsia" w:hAnsiTheme="minorEastAsia"/>
                <w:color w:val="auto"/>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color w:val="auto"/>
                <w:highlight w:val="none"/>
              </w:rPr>
            </w:pPr>
          </w:p>
        </w:tc>
        <w:tc>
          <w:tcPr>
            <w:tcW w:w="1950" w:type="dxa"/>
            <w:vAlign w:val="center"/>
          </w:tcPr>
          <w:p w14:paraId="0B354FD7">
            <w:pPr>
              <w:spacing w:before="120"/>
              <w:jc w:val="center"/>
              <w:rPr>
                <w:rFonts w:cs="Arial" w:asciiTheme="minorEastAsia" w:hAnsiTheme="minorEastAsia"/>
                <w:color w:val="auto"/>
                <w:highlight w:val="none"/>
              </w:rPr>
            </w:pPr>
          </w:p>
        </w:tc>
        <w:tc>
          <w:tcPr>
            <w:tcW w:w="2028" w:type="dxa"/>
            <w:vAlign w:val="center"/>
          </w:tcPr>
          <w:p w14:paraId="61E60ADA">
            <w:pPr>
              <w:spacing w:before="120"/>
              <w:jc w:val="center"/>
              <w:rPr>
                <w:rFonts w:cs="Arial" w:asciiTheme="minorEastAsia" w:hAnsiTheme="minorEastAsia"/>
                <w:color w:val="auto"/>
                <w:highlight w:val="none"/>
              </w:rPr>
            </w:pPr>
          </w:p>
        </w:tc>
        <w:tc>
          <w:tcPr>
            <w:tcW w:w="2187" w:type="dxa"/>
            <w:vAlign w:val="center"/>
          </w:tcPr>
          <w:p w14:paraId="04447730">
            <w:pPr>
              <w:spacing w:before="120"/>
              <w:jc w:val="center"/>
              <w:rPr>
                <w:rFonts w:cs="Arial" w:asciiTheme="minorEastAsia" w:hAnsiTheme="minorEastAsia"/>
                <w:color w:val="auto"/>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color w:val="auto"/>
                <w:highlight w:val="none"/>
              </w:rPr>
            </w:pPr>
          </w:p>
        </w:tc>
        <w:tc>
          <w:tcPr>
            <w:tcW w:w="1950" w:type="dxa"/>
            <w:vAlign w:val="center"/>
          </w:tcPr>
          <w:p w14:paraId="2DA219B5">
            <w:pPr>
              <w:spacing w:before="120"/>
              <w:jc w:val="center"/>
              <w:rPr>
                <w:rFonts w:cs="Arial" w:asciiTheme="minorEastAsia" w:hAnsiTheme="minorEastAsia"/>
                <w:color w:val="auto"/>
                <w:highlight w:val="none"/>
              </w:rPr>
            </w:pPr>
          </w:p>
        </w:tc>
        <w:tc>
          <w:tcPr>
            <w:tcW w:w="2028" w:type="dxa"/>
            <w:vAlign w:val="center"/>
          </w:tcPr>
          <w:p w14:paraId="2C3F9359">
            <w:pPr>
              <w:spacing w:before="120"/>
              <w:jc w:val="center"/>
              <w:rPr>
                <w:rFonts w:cs="Arial" w:asciiTheme="minorEastAsia" w:hAnsiTheme="minorEastAsia"/>
                <w:color w:val="auto"/>
                <w:highlight w:val="none"/>
              </w:rPr>
            </w:pPr>
          </w:p>
        </w:tc>
        <w:tc>
          <w:tcPr>
            <w:tcW w:w="2187" w:type="dxa"/>
            <w:vAlign w:val="center"/>
          </w:tcPr>
          <w:p w14:paraId="104FB69F">
            <w:pPr>
              <w:spacing w:before="120"/>
              <w:jc w:val="center"/>
              <w:rPr>
                <w:rFonts w:cs="Arial" w:asciiTheme="minorEastAsia" w:hAnsiTheme="minorEastAsia"/>
                <w:color w:val="auto"/>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color w:val="auto"/>
                <w:highlight w:val="none"/>
              </w:rPr>
            </w:pPr>
          </w:p>
        </w:tc>
        <w:tc>
          <w:tcPr>
            <w:tcW w:w="1950" w:type="dxa"/>
            <w:vAlign w:val="center"/>
          </w:tcPr>
          <w:p w14:paraId="0EC68B0F">
            <w:pPr>
              <w:spacing w:before="120"/>
              <w:jc w:val="center"/>
              <w:rPr>
                <w:rFonts w:cs="Arial" w:asciiTheme="minorEastAsia" w:hAnsiTheme="minorEastAsia"/>
                <w:color w:val="auto"/>
                <w:highlight w:val="none"/>
              </w:rPr>
            </w:pPr>
          </w:p>
        </w:tc>
        <w:tc>
          <w:tcPr>
            <w:tcW w:w="2028" w:type="dxa"/>
            <w:vAlign w:val="center"/>
          </w:tcPr>
          <w:p w14:paraId="1A92A840">
            <w:pPr>
              <w:spacing w:before="120"/>
              <w:jc w:val="center"/>
              <w:rPr>
                <w:rFonts w:cs="Arial" w:asciiTheme="minorEastAsia" w:hAnsiTheme="minorEastAsia"/>
                <w:color w:val="auto"/>
                <w:highlight w:val="none"/>
              </w:rPr>
            </w:pPr>
          </w:p>
        </w:tc>
        <w:tc>
          <w:tcPr>
            <w:tcW w:w="2187" w:type="dxa"/>
            <w:vAlign w:val="center"/>
          </w:tcPr>
          <w:p w14:paraId="4ED4F07A">
            <w:pPr>
              <w:spacing w:before="120"/>
              <w:jc w:val="center"/>
              <w:rPr>
                <w:rFonts w:cs="Arial" w:asciiTheme="minorEastAsia" w:hAnsiTheme="minorEastAsia"/>
                <w:color w:val="auto"/>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color w:val="auto"/>
                <w:highlight w:val="none"/>
              </w:rPr>
            </w:pPr>
          </w:p>
        </w:tc>
        <w:tc>
          <w:tcPr>
            <w:tcW w:w="1950" w:type="dxa"/>
            <w:vAlign w:val="center"/>
          </w:tcPr>
          <w:p w14:paraId="1B2F6ED2">
            <w:pPr>
              <w:spacing w:before="120"/>
              <w:jc w:val="center"/>
              <w:rPr>
                <w:rFonts w:cs="Arial" w:asciiTheme="minorEastAsia" w:hAnsiTheme="minorEastAsia"/>
                <w:color w:val="auto"/>
                <w:highlight w:val="none"/>
              </w:rPr>
            </w:pPr>
          </w:p>
        </w:tc>
        <w:tc>
          <w:tcPr>
            <w:tcW w:w="2028" w:type="dxa"/>
            <w:vAlign w:val="center"/>
          </w:tcPr>
          <w:p w14:paraId="5A6E5E8B">
            <w:pPr>
              <w:spacing w:before="120"/>
              <w:jc w:val="center"/>
              <w:rPr>
                <w:rFonts w:cs="Arial" w:asciiTheme="minorEastAsia" w:hAnsiTheme="minorEastAsia"/>
                <w:color w:val="auto"/>
                <w:highlight w:val="none"/>
              </w:rPr>
            </w:pPr>
          </w:p>
        </w:tc>
        <w:tc>
          <w:tcPr>
            <w:tcW w:w="2187" w:type="dxa"/>
            <w:vAlign w:val="center"/>
          </w:tcPr>
          <w:p w14:paraId="2D89B567">
            <w:pPr>
              <w:spacing w:before="120"/>
              <w:jc w:val="center"/>
              <w:rPr>
                <w:rFonts w:cs="Arial" w:asciiTheme="minorEastAsia" w:hAnsiTheme="minorEastAsia"/>
                <w:color w:val="auto"/>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color w:val="auto"/>
                <w:highlight w:val="none"/>
              </w:rPr>
            </w:pPr>
          </w:p>
        </w:tc>
        <w:tc>
          <w:tcPr>
            <w:tcW w:w="1950" w:type="dxa"/>
            <w:vAlign w:val="center"/>
          </w:tcPr>
          <w:p w14:paraId="6EC5F5FE">
            <w:pPr>
              <w:spacing w:before="120"/>
              <w:jc w:val="center"/>
              <w:rPr>
                <w:rFonts w:cs="Arial" w:asciiTheme="minorEastAsia" w:hAnsiTheme="minorEastAsia"/>
                <w:color w:val="auto"/>
                <w:highlight w:val="none"/>
              </w:rPr>
            </w:pPr>
          </w:p>
        </w:tc>
        <w:tc>
          <w:tcPr>
            <w:tcW w:w="2028" w:type="dxa"/>
            <w:vAlign w:val="center"/>
          </w:tcPr>
          <w:p w14:paraId="2EE9EADA">
            <w:pPr>
              <w:spacing w:before="120"/>
              <w:jc w:val="center"/>
              <w:rPr>
                <w:rFonts w:cs="Arial" w:asciiTheme="minorEastAsia" w:hAnsiTheme="minorEastAsia"/>
                <w:color w:val="auto"/>
                <w:highlight w:val="none"/>
              </w:rPr>
            </w:pPr>
          </w:p>
        </w:tc>
        <w:tc>
          <w:tcPr>
            <w:tcW w:w="2187" w:type="dxa"/>
            <w:vAlign w:val="center"/>
          </w:tcPr>
          <w:p w14:paraId="2827C9D7">
            <w:pPr>
              <w:spacing w:before="120"/>
              <w:jc w:val="center"/>
              <w:rPr>
                <w:rFonts w:cs="Arial" w:asciiTheme="minorEastAsia" w:hAnsiTheme="minorEastAsia"/>
                <w:color w:val="auto"/>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color w:val="auto"/>
                <w:highlight w:val="none"/>
              </w:rPr>
            </w:pPr>
          </w:p>
        </w:tc>
        <w:tc>
          <w:tcPr>
            <w:tcW w:w="1950" w:type="dxa"/>
            <w:vAlign w:val="center"/>
          </w:tcPr>
          <w:p w14:paraId="3904317C">
            <w:pPr>
              <w:spacing w:before="120"/>
              <w:jc w:val="center"/>
              <w:rPr>
                <w:rFonts w:cs="Arial" w:asciiTheme="minorEastAsia" w:hAnsiTheme="minorEastAsia"/>
                <w:color w:val="auto"/>
                <w:highlight w:val="none"/>
              </w:rPr>
            </w:pPr>
          </w:p>
        </w:tc>
        <w:tc>
          <w:tcPr>
            <w:tcW w:w="2028" w:type="dxa"/>
            <w:vAlign w:val="center"/>
          </w:tcPr>
          <w:p w14:paraId="3797DB3D">
            <w:pPr>
              <w:spacing w:before="120"/>
              <w:jc w:val="center"/>
              <w:rPr>
                <w:rFonts w:cs="Arial" w:asciiTheme="minorEastAsia" w:hAnsiTheme="minorEastAsia"/>
                <w:color w:val="auto"/>
                <w:highlight w:val="none"/>
              </w:rPr>
            </w:pPr>
          </w:p>
        </w:tc>
        <w:tc>
          <w:tcPr>
            <w:tcW w:w="2187" w:type="dxa"/>
            <w:vAlign w:val="center"/>
          </w:tcPr>
          <w:p w14:paraId="54B94AE8">
            <w:pPr>
              <w:spacing w:before="120"/>
              <w:jc w:val="center"/>
              <w:rPr>
                <w:rFonts w:cs="Arial" w:asciiTheme="minorEastAsia" w:hAnsiTheme="minorEastAsia"/>
                <w:color w:val="auto"/>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color w:val="auto"/>
                <w:highlight w:val="none"/>
              </w:rPr>
            </w:pPr>
          </w:p>
        </w:tc>
        <w:tc>
          <w:tcPr>
            <w:tcW w:w="1950" w:type="dxa"/>
            <w:vAlign w:val="center"/>
          </w:tcPr>
          <w:p w14:paraId="1313E78D">
            <w:pPr>
              <w:spacing w:before="120"/>
              <w:jc w:val="center"/>
              <w:rPr>
                <w:rFonts w:cs="Arial" w:asciiTheme="minorEastAsia" w:hAnsiTheme="minorEastAsia"/>
                <w:color w:val="auto"/>
                <w:highlight w:val="none"/>
              </w:rPr>
            </w:pPr>
          </w:p>
        </w:tc>
        <w:tc>
          <w:tcPr>
            <w:tcW w:w="2028" w:type="dxa"/>
            <w:vAlign w:val="center"/>
          </w:tcPr>
          <w:p w14:paraId="2E509206">
            <w:pPr>
              <w:spacing w:before="120"/>
              <w:jc w:val="center"/>
              <w:rPr>
                <w:rFonts w:cs="Arial" w:asciiTheme="minorEastAsia" w:hAnsiTheme="minorEastAsia"/>
                <w:color w:val="auto"/>
                <w:highlight w:val="none"/>
              </w:rPr>
            </w:pPr>
          </w:p>
        </w:tc>
        <w:tc>
          <w:tcPr>
            <w:tcW w:w="2187" w:type="dxa"/>
            <w:vAlign w:val="center"/>
          </w:tcPr>
          <w:p w14:paraId="79E06EF4">
            <w:pPr>
              <w:spacing w:before="120"/>
              <w:jc w:val="center"/>
              <w:rPr>
                <w:rFonts w:cs="Arial" w:asciiTheme="minorEastAsia" w:hAnsiTheme="minorEastAsia"/>
                <w:color w:val="auto"/>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color w:val="auto"/>
                <w:highlight w:val="none"/>
              </w:rPr>
            </w:pPr>
          </w:p>
        </w:tc>
        <w:tc>
          <w:tcPr>
            <w:tcW w:w="1950" w:type="dxa"/>
            <w:vAlign w:val="center"/>
          </w:tcPr>
          <w:p w14:paraId="561AB2CF">
            <w:pPr>
              <w:spacing w:before="120"/>
              <w:jc w:val="center"/>
              <w:rPr>
                <w:rFonts w:cs="Arial" w:asciiTheme="minorEastAsia" w:hAnsiTheme="minorEastAsia"/>
                <w:color w:val="auto"/>
                <w:highlight w:val="none"/>
              </w:rPr>
            </w:pPr>
          </w:p>
        </w:tc>
        <w:tc>
          <w:tcPr>
            <w:tcW w:w="2028" w:type="dxa"/>
            <w:vAlign w:val="center"/>
          </w:tcPr>
          <w:p w14:paraId="0E56BECE">
            <w:pPr>
              <w:spacing w:before="120"/>
              <w:jc w:val="center"/>
              <w:rPr>
                <w:rFonts w:cs="Arial" w:asciiTheme="minorEastAsia" w:hAnsiTheme="minorEastAsia"/>
                <w:color w:val="auto"/>
                <w:highlight w:val="none"/>
              </w:rPr>
            </w:pPr>
          </w:p>
        </w:tc>
        <w:tc>
          <w:tcPr>
            <w:tcW w:w="2187" w:type="dxa"/>
            <w:vAlign w:val="center"/>
          </w:tcPr>
          <w:p w14:paraId="4147F08F">
            <w:pPr>
              <w:spacing w:before="120"/>
              <w:jc w:val="center"/>
              <w:rPr>
                <w:rFonts w:cs="Arial" w:asciiTheme="minorEastAsia" w:hAnsiTheme="minorEastAsia"/>
                <w:color w:val="auto"/>
                <w:highlight w:val="none"/>
              </w:rPr>
            </w:pPr>
          </w:p>
        </w:tc>
      </w:tr>
    </w:tbl>
    <w:p w14:paraId="5016CED6">
      <w:pPr>
        <w:spacing w:line="380" w:lineRule="exact"/>
        <w:rPr>
          <w:rFonts w:hint="default" w:eastAsia="宋体" w:asciiTheme="minorEastAsia" w:hAnsiTheme="minorEastAsia"/>
          <w:b/>
          <w:color w:val="auto"/>
          <w:szCs w:val="21"/>
          <w:highlight w:val="none"/>
          <w:lang w:val="en-US" w:eastAsia="zh-CN"/>
        </w:rPr>
      </w:pPr>
      <w:r>
        <w:rPr>
          <w:rFonts w:hint="eastAsia" w:asciiTheme="minorEastAsia" w:hAnsiTheme="minorEastAsia"/>
          <w:b/>
          <w:color w:val="auto"/>
          <w:szCs w:val="21"/>
          <w:highlight w:val="none"/>
        </w:rPr>
        <w:t>注：供应商需在本表后附</w:t>
      </w:r>
      <w:r>
        <w:rPr>
          <w:rFonts w:hint="eastAsia" w:asciiTheme="minorEastAsia" w:hAnsiTheme="minorEastAsia"/>
          <w:b/>
          <w:color w:val="auto"/>
          <w:szCs w:val="21"/>
          <w:highlight w:val="none"/>
          <w:lang w:val="en-US" w:eastAsia="zh-CN"/>
        </w:rPr>
        <w:t>销售业绩</w:t>
      </w:r>
      <w:r>
        <w:rPr>
          <w:rFonts w:hint="eastAsia" w:asciiTheme="minorEastAsia" w:hAnsiTheme="minorEastAsia"/>
          <w:b/>
          <w:color w:val="auto"/>
          <w:szCs w:val="21"/>
          <w:highlight w:val="none"/>
        </w:rPr>
        <w:t>合同</w:t>
      </w:r>
      <w:r>
        <w:rPr>
          <w:rFonts w:hint="eastAsia" w:asciiTheme="minorEastAsia" w:hAnsiTheme="minorEastAsia"/>
          <w:b/>
          <w:color w:val="auto"/>
          <w:szCs w:val="21"/>
          <w:highlight w:val="none"/>
          <w:lang w:val="en-US" w:eastAsia="zh-CN"/>
        </w:rPr>
        <w:t>。</w:t>
      </w:r>
    </w:p>
    <w:p w14:paraId="4718F638">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1"/>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1E7CEBF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E466F06-559E-4613-8AFA-18D41C2ADE8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8B66F02E-00FB-4FC6-9C52-4D57F2DB7279}"/>
  </w:font>
  <w:font w:name="仿宋">
    <w:panose1 w:val="02010609060101010101"/>
    <w:charset w:val="86"/>
    <w:family w:val="modern"/>
    <w:pitch w:val="default"/>
    <w:sig w:usb0="800002BF" w:usb1="38CF7CFA" w:usb2="00000016" w:usb3="00000000" w:csb0="00040001" w:csb1="00000000"/>
    <w:embedRegular r:id="rId3" w:fontKey="{C05DF431-038F-4FEC-8970-FDB492553F8F}"/>
  </w:font>
  <w:font w:name="仿宋_GB2312">
    <w:panose1 w:val="02010609030101010101"/>
    <w:charset w:val="86"/>
    <w:family w:val="auto"/>
    <w:pitch w:val="default"/>
    <w:sig w:usb0="00000001" w:usb1="080E0000" w:usb2="00000000" w:usb3="00000000" w:csb0="00040000" w:csb1="00000000"/>
    <w:embedRegular r:id="rId4" w:fontKey="{F88B88A5-B8DD-456D-B676-AAB9051C22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驻马店市中心医院院区发光字、LED更换及维修项目采购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DC883"/>
    <w:multiLevelType w:val="singleLevel"/>
    <w:tmpl w:val="FE7DC88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2E41A8"/>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10AF6"/>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B636A"/>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9E65669"/>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660F9A"/>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691FB0"/>
    <w:rsid w:val="0E95596D"/>
    <w:rsid w:val="0EAE6205"/>
    <w:rsid w:val="0EAE6579"/>
    <w:rsid w:val="0EAF4BC3"/>
    <w:rsid w:val="0EAF71BF"/>
    <w:rsid w:val="0ECE6257"/>
    <w:rsid w:val="0EE24651"/>
    <w:rsid w:val="0EE4129D"/>
    <w:rsid w:val="0F0B7106"/>
    <w:rsid w:val="0F171032"/>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27F72"/>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2E35CB"/>
    <w:rsid w:val="1C3861F8"/>
    <w:rsid w:val="1C4032FE"/>
    <w:rsid w:val="1C424981"/>
    <w:rsid w:val="1C4E77C9"/>
    <w:rsid w:val="1C555978"/>
    <w:rsid w:val="1C6554A1"/>
    <w:rsid w:val="1C705992"/>
    <w:rsid w:val="1C7971B7"/>
    <w:rsid w:val="1C8036FB"/>
    <w:rsid w:val="1C917D91"/>
    <w:rsid w:val="1CAB1D11"/>
    <w:rsid w:val="1CAB2820"/>
    <w:rsid w:val="1CD402EC"/>
    <w:rsid w:val="1CD76EF2"/>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02D45"/>
    <w:rsid w:val="1E0345E3"/>
    <w:rsid w:val="1E1B7B7F"/>
    <w:rsid w:val="1E443370"/>
    <w:rsid w:val="1E656063"/>
    <w:rsid w:val="1E6B06A5"/>
    <w:rsid w:val="1E7554E1"/>
    <w:rsid w:val="1E7F7D9E"/>
    <w:rsid w:val="1E840DA4"/>
    <w:rsid w:val="1EA00084"/>
    <w:rsid w:val="1EA5444C"/>
    <w:rsid w:val="1EA5569B"/>
    <w:rsid w:val="1EB350EF"/>
    <w:rsid w:val="1EC21749"/>
    <w:rsid w:val="1EEB7C4E"/>
    <w:rsid w:val="1EFD1033"/>
    <w:rsid w:val="1EFE0DA3"/>
    <w:rsid w:val="1F072441"/>
    <w:rsid w:val="1F171B83"/>
    <w:rsid w:val="1F27794D"/>
    <w:rsid w:val="1F2D4691"/>
    <w:rsid w:val="1F2D491A"/>
    <w:rsid w:val="1F3F789D"/>
    <w:rsid w:val="1F4E5D32"/>
    <w:rsid w:val="1F503858"/>
    <w:rsid w:val="1F66355F"/>
    <w:rsid w:val="1F674479"/>
    <w:rsid w:val="1F6A2B6C"/>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524E0"/>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5FC0296"/>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BE72FA"/>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AF2D35"/>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AD392F"/>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C63A0"/>
    <w:rsid w:val="32E429C1"/>
    <w:rsid w:val="32F32A2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0B78F6"/>
    <w:rsid w:val="341E4CAB"/>
    <w:rsid w:val="34205B4A"/>
    <w:rsid w:val="342235BE"/>
    <w:rsid w:val="34346E4D"/>
    <w:rsid w:val="34584EE2"/>
    <w:rsid w:val="347A1C51"/>
    <w:rsid w:val="347D373F"/>
    <w:rsid w:val="34922A93"/>
    <w:rsid w:val="34956481"/>
    <w:rsid w:val="34A35871"/>
    <w:rsid w:val="34C06C9D"/>
    <w:rsid w:val="34C71A6F"/>
    <w:rsid w:val="34C93A39"/>
    <w:rsid w:val="34DF24AE"/>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9F4F25"/>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A5FD2"/>
    <w:rsid w:val="38CC268D"/>
    <w:rsid w:val="38DF1FDA"/>
    <w:rsid w:val="38EC2960"/>
    <w:rsid w:val="390069DD"/>
    <w:rsid w:val="3902603A"/>
    <w:rsid w:val="39030CF9"/>
    <w:rsid w:val="39091F35"/>
    <w:rsid w:val="392536E2"/>
    <w:rsid w:val="39465F15"/>
    <w:rsid w:val="39505209"/>
    <w:rsid w:val="396453C5"/>
    <w:rsid w:val="39893797"/>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335C3C"/>
    <w:rsid w:val="3C491519"/>
    <w:rsid w:val="3C495480"/>
    <w:rsid w:val="3C4C3A42"/>
    <w:rsid w:val="3C557EA4"/>
    <w:rsid w:val="3C6F0167"/>
    <w:rsid w:val="3C71667B"/>
    <w:rsid w:val="3C7C75E3"/>
    <w:rsid w:val="3C827F9E"/>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9646D4"/>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963015"/>
    <w:rsid w:val="3F964D35"/>
    <w:rsid w:val="3F9E5AC2"/>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D480A"/>
    <w:rsid w:val="411B59C4"/>
    <w:rsid w:val="412A32F8"/>
    <w:rsid w:val="417F433E"/>
    <w:rsid w:val="418A1D66"/>
    <w:rsid w:val="418A4550"/>
    <w:rsid w:val="41923405"/>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635180"/>
    <w:rsid w:val="42731488"/>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486FC5"/>
    <w:rsid w:val="43526885"/>
    <w:rsid w:val="43591DDA"/>
    <w:rsid w:val="435A0DF2"/>
    <w:rsid w:val="436C42E1"/>
    <w:rsid w:val="437102E7"/>
    <w:rsid w:val="437C210F"/>
    <w:rsid w:val="43847F02"/>
    <w:rsid w:val="438F113C"/>
    <w:rsid w:val="439E7EFB"/>
    <w:rsid w:val="43AD109A"/>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240818"/>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6326A"/>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0F163E"/>
    <w:rsid w:val="48185C56"/>
    <w:rsid w:val="48254C34"/>
    <w:rsid w:val="48450F81"/>
    <w:rsid w:val="48455675"/>
    <w:rsid w:val="484E729D"/>
    <w:rsid w:val="48566773"/>
    <w:rsid w:val="485A23C2"/>
    <w:rsid w:val="48623B31"/>
    <w:rsid w:val="48691107"/>
    <w:rsid w:val="48895289"/>
    <w:rsid w:val="48A16B62"/>
    <w:rsid w:val="48AE0D54"/>
    <w:rsid w:val="48BC6222"/>
    <w:rsid w:val="48BF2D31"/>
    <w:rsid w:val="48C245E9"/>
    <w:rsid w:val="48DB312A"/>
    <w:rsid w:val="48DF49D9"/>
    <w:rsid w:val="492108CC"/>
    <w:rsid w:val="492928A1"/>
    <w:rsid w:val="49413F52"/>
    <w:rsid w:val="494F6304"/>
    <w:rsid w:val="49792B95"/>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E3B79"/>
    <w:rsid w:val="4B520DF4"/>
    <w:rsid w:val="4B603107"/>
    <w:rsid w:val="4B7342A7"/>
    <w:rsid w:val="4B773D97"/>
    <w:rsid w:val="4B7A5635"/>
    <w:rsid w:val="4B8240BF"/>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8D4534"/>
    <w:rsid w:val="4C8F5111"/>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70B92"/>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24AEE"/>
    <w:rsid w:val="4FD86DCF"/>
    <w:rsid w:val="4FE70EC5"/>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91BD8"/>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DD3E25"/>
    <w:rsid w:val="53E15798"/>
    <w:rsid w:val="53EB297B"/>
    <w:rsid w:val="53EC4BF7"/>
    <w:rsid w:val="53F671DE"/>
    <w:rsid w:val="53F758A1"/>
    <w:rsid w:val="540D5A7F"/>
    <w:rsid w:val="542E2BC2"/>
    <w:rsid w:val="54352A96"/>
    <w:rsid w:val="54447390"/>
    <w:rsid w:val="544B514D"/>
    <w:rsid w:val="545E1D01"/>
    <w:rsid w:val="54627026"/>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1B7A15"/>
    <w:rsid w:val="56234F28"/>
    <w:rsid w:val="562C1C22"/>
    <w:rsid w:val="56586573"/>
    <w:rsid w:val="56666B5B"/>
    <w:rsid w:val="56717635"/>
    <w:rsid w:val="567333AD"/>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AD5A20"/>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A55DA"/>
    <w:rsid w:val="5BBB7CD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460D2"/>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BB607C"/>
    <w:rsid w:val="60D31D71"/>
    <w:rsid w:val="60FF21D9"/>
    <w:rsid w:val="610C0686"/>
    <w:rsid w:val="611063C8"/>
    <w:rsid w:val="6118702B"/>
    <w:rsid w:val="611E37D0"/>
    <w:rsid w:val="613021B3"/>
    <w:rsid w:val="61306A6A"/>
    <w:rsid w:val="613253FD"/>
    <w:rsid w:val="61421F29"/>
    <w:rsid w:val="61521F2D"/>
    <w:rsid w:val="615F221E"/>
    <w:rsid w:val="61637D56"/>
    <w:rsid w:val="61712185"/>
    <w:rsid w:val="618B7207"/>
    <w:rsid w:val="61907E69"/>
    <w:rsid w:val="61A90D68"/>
    <w:rsid w:val="61B22578"/>
    <w:rsid w:val="61B43A15"/>
    <w:rsid w:val="61DA0425"/>
    <w:rsid w:val="61E436AB"/>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737FB"/>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416899"/>
    <w:rsid w:val="64582686"/>
    <w:rsid w:val="64673C87"/>
    <w:rsid w:val="64877733"/>
    <w:rsid w:val="64925346"/>
    <w:rsid w:val="64A170D2"/>
    <w:rsid w:val="64A251DD"/>
    <w:rsid w:val="64BC182A"/>
    <w:rsid w:val="64D326E6"/>
    <w:rsid w:val="64F46001"/>
    <w:rsid w:val="650242F0"/>
    <w:rsid w:val="65365B2B"/>
    <w:rsid w:val="653F447E"/>
    <w:rsid w:val="65542778"/>
    <w:rsid w:val="655829AF"/>
    <w:rsid w:val="656B70C3"/>
    <w:rsid w:val="657038D9"/>
    <w:rsid w:val="65711400"/>
    <w:rsid w:val="658F4798"/>
    <w:rsid w:val="659B1EBA"/>
    <w:rsid w:val="659C3AAC"/>
    <w:rsid w:val="65A11CE5"/>
    <w:rsid w:val="65A25BD8"/>
    <w:rsid w:val="65A83379"/>
    <w:rsid w:val="65B461E9"/>
    <w:rsid w:val="65BE39A8"/>
    <w:rsid w:val="65C23A09"/>
    <w:rsid w:val="65C92FEA"/>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DB507B"/>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0240D"/>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8718C"/>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77577"/>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8B6AC0"/>
    <w:rsid w:val="6A9701A5"/>
    <w:rsid w:val="6AA03032"/>
    <w:rsid w:val="6AA86FEC"/>
    <w:rsid w:val="6AB06526"/>
    <w:rsid w:val="6ACB20F7"/>
    <w:rsid w:val="6AD54E94"/>
    <w:rsid w:val="6ADA35A3"/>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1E43"/>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16758"/>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C375E1"/>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8C0D6B"/>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772BBC"/>
    <w:rsid w:val="7A846E66"/>
    <w:rsid w:val="7A8F7F06"/>
    <w:rsid w:val="7A904DD0"/>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EE6EAE"/>
    <w:rsid w:val="7BF538C2"/>
    <w:rsid w:val="7BF66C24"/>
    <w:rsid w:val="7BFA1CC7"/>
    <w:rsid w:val="7BFB70B3"/>
    <w:rsid w:val="7C0251DA"/>
    <w:rsid w:val="7C0C0E4A"/>
    <w:rsid w:val="7C0E41D1"/>
    <w:rsid w:val="7C1052F2"/>
    <w:rsid w:val="7C21292C"/>
    <w:rsid w:val="7C2154D6"/>
    <w:rsid w:val="7C2668D9"/>
    <w:rsid w:val="7C285892"/>
    <w:rsid w:val="7C32497F"/>
    <w:rsid w:val="7C3C69AE"/>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37D0D"/>
    <w:rsid w:val="7D983576"/>
    <w:rsid w:val="7D9F0AD0"/>
    <w:rsid w:val="7DB22BDF"/>
    <w:rsid w:val="7DBA173E"/>
    <w:rsid w:val="7DD12BB7"/>
    <w:rsid w:val="7DF223A2"/>
    <w:rsid w:val="7DFF0955"/>
    <w:rsid w:val="7E0B750E"/>
    <w:rsid w:val="7E1939E8"/>
    <w:rsid w:val="7E1D3A7B"/>
    <w:rsid w:val="7E2400E7"/>
    <w:rsid w:val="7E2822EA"/>
    <w:rsid w:val="7E2A20CE"/>
    <w:rsid w:val="7E355A7B"/>
    <w:rsid w:val="7E3D14A6"/>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11520</Words>
  <Characters>12265</Characters>
  <Lines>50</Lines>
  <Paragraphs>68</Paragraphs>
  <TotalTime>7</TotalTime>
  <ScaleCrop>false</ScaleCrop>
  <LinksUpToDate>false</LinksUpToDate>
  <CharactersWithSpaces>13161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2026-04-07T07:23:00Z</cp:lastPrinted>
  <dcterms:modified xsi:type="dcterms:W3CDTF">2026-04-17T00:02:26Z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