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22C0DF5">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驻马店市中心医院全院分体空调运营</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服务项目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6A8C9F93">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AA54F81">
      <w:pPr>
        <w:pStyle w:val="8"/>
        <w:rPr>
          <w:rFonts w:hint="eastAsia"/>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驻马店市晨崴采购代理有限公司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驻马店市中心医院全院分体空调运营服务项目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全院分体空调运营服务</w:t>
      </w:r>
      <w:r>
        <w:rPr>
          <w:rFonts w:hint="eastAsia" w:ascii="宋体" w:hAnsi="宋体" w:cs="宋体"/>
          <w:color w:val="auto"/>
          <w:sz w:val="24"/>
          <w:szCs w:val="32"/>
          <w:highlight w:val="none"/>
          <w:u w:val="single"/>
          <w:lang w:val="en-US" w:eastAsia="zh-CN"/>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驻马店市中心医院全院分体空调运营服务项目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26万元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7823"/>
      <w:bookmarkStart w:id="11" w:name="_Toc9562"/>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3412149556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27370"/>
      <w:bookmarkStart w:id="26" w:name="_Toc3604"/>
      <w:bookmarkStart w:id="27" w:name="_Toc31928"/>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D220F8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2BF88F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A3EC6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052D0F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7A0CA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2.采购代理机构：驻马店市晨崴采购代理有限公司</w:t>
      </w:r>
    </w:p>
    <w:p w14:paraId="5BC5E6F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地址：驻马店市解放路西段天腾盛世20号楼1单元3层 </w:t>
      </w:r>
    </w:p>
    <w:p w14:paraId="7A0457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联系人：胡女士 </w:t>
      </w:r>
    </w:p>
    <w:p w14:paraId="5C21E77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联系方式：0396-2288885</w:t>
      </w:r>
    </w:p>
    <w:p w14:paraId="1B221C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4D7B9A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bookmarkStart w:id="79" w:name="_GoBack"/>
      <w:bookmarkEnd w:id="79"/>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驻马店市中心医院全院分体空调运营服务项目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240"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622"/>
        <w:gridCol w:w="850"/>
        <w:gridCol w:w="967"/>
        <w:gridCol w:w="1393"/>
        <w:gridCol w:w="1281"/>
        <w:gridCol w:w="1065"/>
      </w:tblGrid>
      <w:tr w14:paraId="36E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9A4316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622" w:type="dxa"/>
            <w:vAlign w:val="center"/>
          </w:tcPr>
          <w:p w14:paraId="2C17E92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850" w:type="dxa"/>
            <w:vAlign w:val="center"/>
          </w:tcPr>
          <w:p w14:paraId="49BC841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967" w:type="dxa"/>
            <w:vAlign w:val="center"/>
          </w:tcPr>
          <w:p w14:paraId="474D763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393" w:type="dxa"/>
            <w:vAlign w:val="center"/>
          </w:tcPr>
          <w:p w14:paraId="4F273DE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资金</w:t>
            </w:r>
          </w:p>
          <w:p w14:paraId="4786B25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预算</w:t>
            </w:r>
          </w:p>
        </w:tc>
        <w:tc>
          <w:tcPr>
            <w:tcW w:w="1281" w:type="dxa"/>
            <w:vAlign w:val="center"/>
          </w:tcPr>
          <w:p w14:paraId="2C81745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w:t>
            </w:r>
          </w:p>
          <w:p w14:paraId="6E88FA1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性质</w:t>
            </w:r>
          </w:p>
        </w:tc>
        <w:tc>
          <w:tcPr>
            <w:tcW w:w="1065" w:type="dxa"/>
            <w:vAlign w:val="center"/>
          </w:tcPr>
          <w:p w14:paraId="3A844FA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国产/</w:t>
            </w:r>
          </w:p>
          <w:p w14:paraId="463324C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22" w:type="dxa"/>
            <w:vAlign w:val="center"/>
          </w:tcPr>
          <w:p w14:paraId="0DB5E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全院分体空调运营服务</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c>
          <w:tcPr>
            <w:tcW w:w="967"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附后</w:t>
            </w:r>
          </w:p>
        </w:tc>
        <w:tc>
          <w:tcPr>
            <w:tcW w:w="1393"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26万元</w:t>
            </w:r>
          </w:p>
        </w:tc>
        <w:tc>
          <w:tcPr>
            <w:tcW w:w="1281"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c>
          <w:tcPr>
            <w:tcW w:w="1065"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2"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2622"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1393"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26万元</w:t>
            </w:r>
          </w:p>
        </w:tc>
        <w:tc>
          <w:tcPr>
            <w:tcW w:w="1281" w:type="dxa"/>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1065"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2"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8178"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招一家供应商</w:t>
            </w:r>
          </w:p>
        </w:tc>
      </w:tr>
    </w:tbl>
    <w:p w14:paraId="10E84755">
      <w:pPr>
        <w:pStyle w:val="7"/>
        <w:keepNext w:val="0"/>
        <w:keepLines w:val="0"/>
        <w:pageBreakBefore w:val="0"/>
        <w:widowControl/>
        <w:numPr>
          <w:ilvl w:val="0"/>
          <w:numId w:val="0"/>
        </w:numPr>
        <w:kinsoku/>
        <w:wordWrap/>
        <w:overflowPunct/>
        <w:topLinePunct w:val="0"/>
        <w:autoSpaceDE/>
        <w:autoSpaceDN/>
        <w:bidi w:val="0"/>
        <w:adjustRightInd/>
        <w:snapToGrid w:val="0"/>
        <w:spacing w:before="161" w:beforeLines="50" w:beforeAutospacing="0" w:after="161" w:afterLines="50" w:afterAutospacing="0" w:line="460" w:lineRule="exact"/>
        <w:jc w:val="both"/>
        <w:textAlignment w:val="auto"/>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二、服务技术要求：</w:t>
      </w:r>
    </w:p>
    <w:p w14:paraId="6A17283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1.</w:t>
      </w:r>
      <w:r>
        <w:rPr>
          <w:rFonts w:hint="eastAsia" w:ascii="宋体" w:hAnsi="宋体" w:eastAsia="宋体" w:cs="宋体"/>
          <w:i w:val="0"/>
          <w:iCs/>
          <w:sz w:val="24"/>
          <w:szCs w:val="24"/>
          <w:highlight w:val="none"/>
          <w:u w:val="none"/>
          <w:lang w:val="en-US" w:eastAsia="zh-CN"/>
        </w:rPr>
        <w:t>负责全院1300余台分体空调的运营服务，负责空调的巡查、清洗、维修及拆移机等工作，包括中心院区、妇儿院区、康复分院、通达门诊。</w:t>
      </w:r>
    </w:p>
    <w:p w14:paraId="326CD1D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2.</w:t>
      </w:r>
      <w:r>
        <w:rPr>
          <w:rFonts w:hint="eastAsia" w:ascii="宋体" w:hAnsi="宋体" w:eastAsia="宋体" w:cs="宋体"/>
          <w:i w:val="0"/>
          <w:iCs/>
          <w:sz w:val="24"/>
          <w:szCs w:val="24"/>
          <w:highlight w:val="none"/>
          <w:u w:val="none"/>
          <w:lang w:val="en-US" w:eastAsia="zh-CN"/>
        </w:rPr>
        <w:t>人员要求：维修人员至少3人，要求</w:t>
      </w:r>
      <w:r>
        <w:rPr>
          <w:rFonts w:hint="eastAsia" w:ascii="宋体" w:hAnsi="宋体" w:eastAsia="宋体" w:cs="宋体"/>
          <w:iCs/>
          <w:kern w:val="2"/>
          <w:sz w:val="24"/>
          <w:szCs w:val="24"/>
          <w:u w:val="none"/>
          <w:lang w:val="en-US" w:eastAsia="zh-CN" w:bidi="ar"/>
        </w:rPr>
        <w:t>早上7:30-下午6:00在院区驻场，其余时间接到医院通知后须15分钟内到场，能满足医院日常维修工作和应急需求。</w:t>
      </w:r>
    </w:p>
    <w:p w14:paraId="07678DD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3.</w:t>
      </w:r>
      <w:r>
        <w:rPr>
          <w:rFonts w:hint="eastAsia" w:ascii="宋体" w:hAnsi="宋体" w:eastAsia="宋体" w:cs="宋体"/>
          <w:i w:val="0"/>
          <w:iCs/>
          <w:sz w:val="24"/>
          <w:szCs w:val="24"/>
          <w:highlight w:val="none"/>
          <w:u w:val="none"/>
          <w:lang w:val="en-US" w:eastAsia="zh-CN"/>
        </w:rPr>
        <w:t>每年对全院分体空调（室内机和室外机）进行全面清洗保养≥2次，出现临时性堵塞情况随时清洗，保证室内机和室外机干净、清洁；室内机和室外机的连接管、保温套、电源线、排水管保持干净整洁，无老化现象。</w:t>
      </w:r>
    </w:p>
    <w:p w14:paraId="296CA7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4.</w:t>
      </w:r>
      <w:r>
        <w:rPr>
          <w:rFonts w:hint="eastAsia" w:ascii="宋体" w:hAnsi="宋体" w:eastAsia="宋体" w:cs="宋体"/>
          <w:i w:val="0"/>
          <w:iCs/>
          <w:sz w:val="24"/>
          <w:szCs w:val="24"/>
          <w:highlight w:val="none"/>
          <w:u w:val="none"/>
          <w:lang w:val="en-US" w:eastAsia="zh-CN"/>
        </w:rPr>
        <w:t>每月对全院分体空调巡查≥2次，记录完整。</w:t>
      </w:r>
    </w:p>
    <w:p w14:paraId="67B783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5.</w:t>
      </w:r>
      <w:r>
        <w:rPr>
          <w:rFonts w:hint="eastAsia" w:ascii="宋体" w:hAnsi="宋体" w:eastAsia="宋体" w:cs="宋体"/>
          <w:i w:val="0"/>
          <w:iCs/>
          <w:sz w:val="24"/>
          <w:szCs w:val="24"/>
          <w:highlight w:val="none"/>
          <w:u w:val="none"/>
          <w:lang w:val="en-US" w:eastAsia="zh-CN"/>
        </w:rPr>
        <w:t>负责分体空调日常维修服务，含所有配件的免费更换，包括老化的保温套、包扎带更换，及拆机、装机过程中需要配备的配件、管线、支架、防护网等，不能因空调老旧等原因拒绝或拖延维修；所有更换配件应保证全新原装，除因空调使用时间过长，原厂已无法提供配件，须经主管部门确认并同意后再更换替代件。</w:t>
      </w:r>
    </w:p>
    <w:p w14:paraId="1929291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6.</w:t>
      </w:r>
      <w:r>
        <w:rPr>
          <w:rFonts w:hint="eastAsia" w:ascii="宋体" w:hAnsi="宋体" w:eastAsia="宋体" w:cs="宋体"/>
          <w:i w:val="0"/>
          <w:iCs/>
          <w:sz w:val="24"/>
          <w:szCs w:val="24"/>
          <w:highlight w:val="none"/>
          <w:u w:val="none"/>
          <w:lang w:val="en-US" w:eastAsia="zh-CN"/>
        </w:rPr>
        <w:t>接到科室报修后应立即到达报修科室，简单维修当天内解决所报故障，复杂问题48小时内解决所报故障，维修完成后须经科室签字确认。若未能在维修时效内解决故障，医院有权选择其他维修单位维修，届时产生的费用和责任由供应商承担。</w:t>
      </w:r>
    </w:p>
    <w:p w14:paraId="59B0282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7.</w:t>
      </w:r>
      <w:r>
        <w:rPr>
          <w:rFonts w:hint="eastAsia" w:ascii="宋体" w:hAnsi="宋体" w:eastAsia="宋体" w:cs="宋体"/>
          <w:i w:val="0"/>
          <w:iCs/>
          <w:sz w:val="24"/>
          <w:szCs w:val="24"/>
          <w:highlight w:val="none"/>
          <w:u w:val="none"/>
          <w:lang w:val="en-US" w:eastAsia="zh-CN"/>
        </w:rPr>
        <w:t>供应商对现场施工维修人员的安全、施工设备的安全负责，涉及高空作业人员需持合法有效的高空作业证，并在保证安全的前提下进行操作，高空作业应采取防坠落措施方可进行，同时设置有警示标识。如施工过程中造成自身或其他人员伤亡、设备损坏等事件，全部由供应商负责。</w:t>
      </w:r>
    </w:p>
    <w:p w14:paraId="3093052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kern w:val="2"/>
          <w:sz w:val="24"/>
          <w:szCs w:val="24"/>
          <w:u w:val="none"/>
          <w:lang w:val="en-US" w:eastAsia="zh-CN" w:bidi="ar-SA"/>
        </w:rPr>
      </w:pPr>
      <w:r>
        <w:rPr>
          <w:rFonts w:hint="eastAsia" w:ascii="宋体" w:hAnsi="宋体" w:cs="宋体"/>
          <w:i w:val="0"/>
          <w:iCs/>
          <w:sz w:val="24"/>
          <w:szCs w:val="24"/>
          <w:highlight w:val="none"/>
          <w:u w:val="none"/>
          <w:lang w:val="en-US" w:eastAsia="zh-CN"/>
        </w:rPr>
        <w:t>8.</w:t>
      </w:r>
      <w:r>
        <w:rPr>
          <w:rFonts w:hint="eastAsia" w:ascii="宋体" w:hAnsi="宋体" w:eastAsia="宋体" w:cs="宋体"/>
          <w:i w:val="0"/>
          <w:iCs/>
          <w:sz w:val="24"/>
          <w:szCs w:val="24"/>
          <w:highlight w:val="none"/>
          <w:u w:val="none"/>
          <w:lang w:val="en-US" w:eastAsia="zh-CN"/>
        </w:rPr>
        <w:t>服务期内，运营服务费用不变，与空调数量的增减无关。</w:t>
      </w:r>
    </w:p>
    <w:p w14:paraId="49DF6E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cs="宋体"/>
          <w:i w:val="0"/>
          <w:iCs/>
          <w:kern w:val="2"/>
          <w:sz w:val="24"/>
          <w:szCs w:val="24"/>
          <w:u w:val="none"/>
          <w:lang w:val="en-US" w:eastAsia="zh-CN" w:bidi="ar-SA"/>
        </w:rPr>
        <w:t>9.</w:t>
      </w:r>
      <w:r>
        <w:rPr>
          <w:rFonts w:hint="eastAsia" w:ascii="宋体" w:hAnsi="宋体" w:eastAsia="宋体" w:cs="宋体"/>
          <w:i w:val="0"/>
          <w:iCs/>
          <w:sz w:val="24"/>
          <w:szCs w:val="24"/>
          <w:highlight w:val="none"/>
          <w:u w:val="none"/>
          <w:lang w:val="en-US" w:eastAsia="zh-CN"/>
        </w:rPr>
        <w:t>医院每月对供应商运营管理情况进行考核，考核结果与当月费用挂钩。</w:t>
      </w:r>
    </w:p>
    <w:p w14:paraId="43D05592">
      <w:pPr>
        <w:pStyle w:val="50"/>
        <w:rPr>
          <w:rFonts w:hint="eastAsia" w:ascii="宋体" w:hAnsi="宋体" w:eastAsia="宋体" w:cs="宋体"/>
          <w:b/>
          <w:bCs/>
          <w:color w:val="auto"/>
          <w:kern w:val="2"/>
          <w:sz w:val="21"/>
          <w:szCs w:val="24"/>
          <w:highlight w:val="none"/>
          <w:lang w:val="en-US" w:eastAsia="zh-CN" w:bidi="ar-SA"/>
        </w:rPr>
      </w:pPr>
    </w:p>
    <w:p w14:paraId="7BAFBF47">
      <w:pPr>
        <w:jc w:val="center"/>
        <w:rPr>
          <w:rFonts w:hint="eastAsia" w:ascii="宋体" w:hAnsi="宋体" w:eastAsia="宋体" w:cs="宋体"/>
          <w:b/>
          <w:bCs/>
          <w:color w:val="auto"/>
          <w:sz w:val="30"/>
          <w:szCs w:val="30"/>
          <w:highlight w:val="none"/>
        </w:rPr>
      </w:pPr>
    </w:p>
    <w:p w14:paraId="51324B2D">
      <w:pPr>
        <w:jc w:val="center"/>
        <w:rPr>
          <w:rFonts w:hint="eastAsia" w:ascii="宋体" w:hAnsi="宋体" w:eastAsia="宋体" w:cs="宋体"/>
          <w:b/>
          <w:bCs/>
          <w:color w:val="auto"/>
          <w:sz w:val="30"/>
          <w:szCs w:val="30"/>
          <w:highlight w:val="none"/>
        </w:rPr>
      </w:pPr>
    </w:p>
    <w:p w14:paraId="68858E64">
      <w:pPr>
        <w:jc w:val="center"/>
        <w:rPr>
          <w:rFonts w:hint="eastAsia" w:ascii="宋体" w:hAnsi="宋体" w:eastAsia="宋体" w:cs="宋体"/>
          <w:b/>
          <w:bCs/>
          <w:color w:val="auto"/>
          <w:sz w:val="30"/>
          <w:szCs w:val="30"/>
          <w:highlight w:val="none"/>
        </w:rPr>
      </w:pPr>
    </w:p>
    <w:p w14:paraId="7E236F27">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w:t>
            </w:r>
            <w:r>
              <w:rPr>
                <w:rFonts w:hint="default" w:ascii="宋体" w:hAnsi="宋体" w:eastAsia="宋体" w:cs="宋体"/>
                <w:color w:val="auto"/>
                <w:kern w:val="2"/>
                <w:sz w:val="21"/>
                <w:szCs w:val="24"/>
                <w:highlight w:val="none"/>
                <w:lang w:val="en-US" w:eastAsia="zh-CN" w:bidi="ar-SA"/>
              </w:rPr>
              <w:t>年</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14073776">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26万元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26万元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w:t>
      </w:r>
      <w:r>
        <w:rPr>
          <w:rFonts w:hint="eastAsia" w:ascii="宋体" w:hAnsi="宋体" w:cs="宋体"/>
          <w:color w:val="auto"/>
          <w:kern w:val="0"/>
          <w:sz w:val="24"/>
          <w:szCs w:val="24"/>
          <w:highlight w:val="none"/>
          <w:lang w:val="en-US" w:eastAsia="zh-CN"/>
        </w:rPr>
        <w:t>六十五</w:t>
      </w:r>
      <w:r>
        <w:rPr>
          <w:rFonts w:hint="eastAsia" w:ascii="宋体" w:hAnsi="宋体" w:eastAsia="宋体" w:cs="宋体"/>
          <w:color w:val="auto"/>
          <w:kern w:val="0"/>
          <w:sz w:val="24"/>
          <w:szCs w:val="24"/>
          <w:highlight w:val="none"/>
        </w:rPr>
        <w:t>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w:t>
            </w:r>
            <w:r>
              <w:rPr>
                <w:rFonts w:hint="eastAsia"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rPr>
              <w:t>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w:t>
            </w:r>
            <w:r>
              <w:rPr>
                <w:rFonts w:hint="eastAsia" w:ascii="宋体" w:hAnsi="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1.技术服务响应（27分）</w:t>
            </w:r>
          </w:p>
        </w:tc>
        <w:tc>
          <w:tcPr>
            <w:tcW w:w="6770" w:type="dxa"/>
            <w:noWrap w:val="0"/>
            <w:vAlign w:val="center"/>
          </w:tcPr>
          <w:p w14:paraId="4B6A7976">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根据“第二章 采购需求  二、服务技术要求”进行响应。</w:t>
            </w:r>
          </w:p>
          <w:p w14:paraId="3D27F557">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完全符合磋商文件服务要求的得</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val="en-US" w:eastAsia="zh-CN"/>
              </w:rPr>
              <w:t>分，每有一项负偏离在</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val="en-US" w:eastAsia="zh-CN"/>
              </w:rPr>
              <w:t>分基础上扣3分，扣完为止；若得分为0，则磋商无效。</w:t>
            </w:r>
          </w:p>
          <w:p w14:paraId="608A59E9">
            <w:pPr>
              <w:keepNext w:val="0"/>
              <w:keepLines w:val="0"/>
              <w:pageBreakBefore w:val="0"/>
              <w:kinsoku/>
              <w:wordWrap/>
              <w:overflowPunct/>
              <w:topLinePunct w:val="0"/>
              <w:bidi w:val="0"/>
              <w:spacing w:line="360" w:lineRule="exact"/>
              <w:jc w:val="left"/>
              <w:textAlignment w:val="auto"/>
              <w:rPr>
                <w:rFonts w:hint="default"/>
                <w:color w:val="auto"/>
                <w:lang w:val="en-US" w:eastAsia="zh-CN"/>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lang w:val="en-US" w:eastAsia="zh-CN"/>
              </w:rPr>
              <w:t>供应商需如实填写技术响应表，并标注偏离情况。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EB0CCC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2.年度服务计划</w:t>
            </w:r>
          </w:p>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c>
          <w:tcPr>
            <w:tcW w:w="6770" w:type="dxa"/>
            <w:noWrap w:val="0"/>
            <w:vAlign w:val="center"/>
          </w:tcPr>
          <w:p w14:paraId="2DD500F0">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应根据本项目的情况提供针对本</w:t>
            </w:r>
            <w:r>
              <w:rPr>
                <w:rFonts w:ascii="宋体" w:hAnsi="宋体" w:eastAsia="宋体" w:cs="宋体"/>
                <w:color w:val="auto"/>
                <w:sz w:val="24"/>
                <w:szCs w:val="24"/>
                <w:highlight w:val="none"/>
              </w:rPr>
              <w:t>项目的</w:t>
            </w:r>
            <w:r>
              <w:rPr>
                <w:rFonts w:hint="eastAsia" w:asciiTheme="minorEastAsia" w:hAnsiTheme="minorEastAsia" w:eastAsiaTheme="minorEastAsia" w:cstheme="minorEastAsia"/>
                <w:color w:val="auto"/>
                <w:sz w:val="24"/>
                <w:szCs w:val="24"/>
                <w:highlight w:val="none"/>
                <w:lang w:val="en-US" w:eastAsia="zh-CN"/>
              </w:rPr>
              <w:t>年度服务计划</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应包含且不限于</w:t>
            </w:r>
            <w:r>
              <w:rPr>
                <w:rFonts w:hint="eastAsia" w:asciiTheme="minorEastAsia" w:hAnsiTheme="minorEastAsia" w:eastAsiaTheme="minorEastAsia" w:cstheme="minorEastAsia"/>
                <w:color w:val="auto"/>
                <w:sz w:val="24"/>
                <w:szCs w:val="24"/>
                <w:highlight w:val="none"/>
                <w:lang w:eastAsia="zh-CN"/>
              </w:rPr>
              <w:t>：</w:t>
            </w:r>
          </w:p>
          <w:p w14:paraId="4CABADBE">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sz w:val="24"/>
                <w:szCs w:val="24"/>
                <w:highlight w:val="none"/>
                <w:lang w:val="en-US" w:eastAsia="zh-CN"/>
              </w:rPr>
              <w:t>年度</w:t>
            </w:r>
            <w:r>
              <w:rPr>
                <w:rFonts w:hint="eastAsia" w:asciiTheme="minorEastAsia" w:hAnsiTheme="minorEastAsia" w:eastAsiaTheme="minorEastAsia" w:cstheme="minorEastAsia"/>
                <w:color w:val="auto"/>
                <w:sz w:val="24"/>
                <w:szCs w:val="24"/>
                <w:highlight w:val="none"/>
              </w:rPr>
              <w:t>维护保养</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lang w:eastAsia="zh-CN"/>
              </w:rPr>
              <w:t>；</w:t>
            </w:r>
          </w:p>
          <w:p w14:paraId="6B9A498A">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lang w:val="en-US" w:eastAsia="zh-CN"/>
              </w:rPr>
              <w:t>日常维修服务方案；</w:t>
            </w:r>
          </w:p>
          <w:p w14:paraId="10D5B553">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rPr>
              <w:t>售后服务网点</w:t>
            </w:r>
            <w:r>
              <w:rPr>
                <w:rFonts w:hint="eastAsia" w:asciiTheme="minorEastAsia" w:hAnsiTheme="minorEastAsia" w:eastAsiaTheme="minorEastAsia" w:cstheme="minorEastAsia"/>
                <w:color w:val="auto"/>
                <w:sz w:val="24"/>
                <w:szCs w:val="24"/>
                <w:lang w:eastAsia="zh-CN"/>
              </w:rPr>
              <w:t>；</w:t>
            </w:r>
          </w:p>
          <w:p w14:paraId="34281656">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④</w:t>
            </w:r>
            <w:r>
              <w:rPr>
                <w:rFonts w:ascii="宋体" w:hAnsi="宋体" w:eastAsia="宋体" w:cs="宋体"/>
                <w:b w:val="0"/>
                <w:bCs w:val="0"/>
                <w:color w:val="auto"/>
                <w:kern w:val="2"/>
                <w:sz w:val="24"/>
                <w:szCs w:val="24"/>
                <w:lang w:val="en-US" w:eastAsia="zh-CN" w:bidi="ar-SA"/>
              </w:rPr>
              <w:t>应急响应方案</w:t>
            </w:r>
            <w:r>
              <w:rPr>
                <w:rFonts w:hint="eastAsia" w:ascii="宋体" w:hAnsi="宋体" w:eastAsia="宋体" w:cs="宋体"/>
                <w:b w:val="0"/>
                <w:bCs w:val="0"/>
                <w:color w:val="auto"/>
                <w:kern w:val="2"/>
                <w:sz w:val="24"/>
                <w:szCs w:val="24"/>
                <w:lang w:val="en-US" w:eastAsia="zh-CN" w:bidi="ar-SA"/>
              </w:rPr>
              <w:t>（包括但不限于故障、停机等相关措施）</w:t>
            </w:r>
          </w:p>
          <w:p w14:paraId="18D3FC11">
            <w:pPr>
              <w:keepNext w:val="0"/>
              <w:keepLines w:val="0"/>
              <w:pageBreakBefore w:val="0"/>
              <w:kinsoku/>
              <w:wordWrap/>
              <w:overflowPunct/>
              <w:topLinePunct w:val="0"/>
              <w:bidi w:val="0"/>
              <w:spacing w:line="360" w:lineRule="exact"/>
              <w:jc w:val="left"/>
              <w:textAlignment w:val="auto"/>
              <w:rPr>
                <w:rFonts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val="en-US" w:eastAsia="zh-CN"/>
              </w:rPr>
              <w:t>方案</w:t>
            </w:r>
            <w:r>
              <w:rPr>
                <w:rFonts w:hint="eastAsia" w:asciiTheme="minorEastAsia" w:hAnsiTheme="minorEastAsia" w:eastAsiaTheme="minorEastAsia" w:cstheme="minorEastAsia"/>
                <w:color w:val="auto"/>
                <w:sz w:val="24"/>
                <w:szCs w:val="24"/>
              </w:rPr>
              <w:t>全面详尽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针对性强，完全满足采购需求</w:t>
            </w:r>
            <w:r>
              <w:rPr>
                <w:rFonts w:hint="eastAsia" w:asciiTheme="minorEastAsia" w:hAnsiTheme="minorEastAsia" w:eastAsiaTheme="minorEastAsia" w:cstheme="minorEastAsia"/>
                <w:color w:val="auto"/>
                <w:sz w:val="24"/>
                <w:szCs w:val="24"/>
              </w:rPr>
              <w:t>的</w:t>
            </w:r>
            <w:r>
              <w:rPr>
                <w:rFonts w:ascii="宋体" w:hAnsi="宋体" w:eastAsia="宋体" w:cs="宋体"/>
                <w:color w:val="auto"/>
                <w:sz w:val="24"/>
                <w:szCs w:val="24"/>
              </w:rPr>
              <w:t>得</w:t>
            </w:r>
            <w:r>
              <w:rPr>
                <w:rFonts w:hint="eastAsia" w:ascii="宋体" w:hAnsi="宋体" w:cs="宋体"/>
                <w:color w:val="auto"/>
                <w:sz w:val="24"/>
                <w:szCs w:val="24"/>
                <w:lang w:val="en-US" w:eastAsia="zh-CN"/>
              </w:rPr>
              <w:t>10</w:t>
            </w:r>
            <w:r>
              <w:rPr>
                <w:rFonts w:ascii="宋体" w:hAnsi="宋体" w:eastAsia="宋体" w:cs="宋体"/>
                <w:color w:val="auto"/>
                <w:sz w:val="24"/>
                <w:szCs w:val="24"/>
              </w:rPr>
              <w:t>分；</w:t>
            </w:r>
          </w:p>
          <w:p w14:paraId="1E0A6D27">
            <w:pPr>
              <w:keepNext w:val="0"/>
              <w:keepLines w:val="0"/>
              <w:pageBreakBefore w:val="0"/>
              <w:kinsoku/>
              <w:wordWrap/>
              <w:overflowPunct/>
              <w:topLinePunct w:val="0"/>
              <w:bidi w:val="0"/>
              <w:spacing w:line="360" w:lineRule="exact"/>
              <w:jc w:val="left"/>
              <w:textAlignment w:val="auto"/>
              <w:rPr>
                <w:rFonts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val="en-US" w:eastAsia="zh-CN"/>
              </w:rPr>
              <w:t>方案</w:t>
            </w:r>
            <w:r>
              <w:rPr>
                <w:rFonts w:hint="eastAsia" w:ascii="宋体" w:hAnsi="宋体" w:cs="宋体"/>
                <w:color w:val="auto"/>
                <w:sz w:val="24"/>
                <w:szCs w:val="24"/>
                <w:lang w:val="en-US" w:eastAsia="zh-CN"/>
              </w:rPr>
              <w:t>基本完善</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针对性较强，</w:t>
            </w:r>
            <w:r>
              <w:rPr>
                <w:rFonts w:hint="eastAsia" w:ascii="宋体" w:hAnsi="宋体" w:eastAsia="宋体" w:cs="宋体"/>
                <w:color w:val="auto"/>
                <w:sz w:val="24"/>
                <w:szCs w:val="24"/>
                <w:lang w:val="en-US" w:eastAsia="zh-CN"/>
              </w:rPr>
              <w:t>基本满足采购需求</w:t>
            </w:r>
            <w:r>
              <w:rPr>
                <w:rFonts w:ascii="宋体" w:hAnsi="宋体" w:eastAsia="宋体" w:cs="宋体"/>
                <w:color w:val="auto"/>
                <w:sz w:val="24"/>
                <w:szCs w:val="24"/>
              </w:rPr>
              <w:t>的得</w:t>
            </w:r>
            <w:r>
              <w:rPr>
                <w:rFonts w:hint="eastAsia" w:ascii="宋体" w:hAnsi="宋体" w:cs="宋体"/>
                <w:color w:val="auto"/>
                <w:sz w:val="24"/>
                <w:szCs w:val="24"/>
                <w:lang w:val="en-US" w:eastAsia="zh-CN"/>
              </w:rPr>
              <w:t>7</w:t>
            </w:r>
            <w:r>
              <w:rPr>
                <w:rFonts w:ascii="宋体" w:hAnsi="宋体" w:eastAsia="宋体" w:cs="宋体"/>
                <w:color w:val="auto"/>
                <w:sz w:val="24"/>
                <w:szCs w:val="24"/>
              </w:rPr>
              <w:t>分；</w:t>
            </w:r>
          </w:p>
          <w:p w14:paraId="0ECE873E">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方案有缺项漏项，有待完善的得4分；</w:t>
            </w:r>
          </w:p>
          <w:p w14:paraId="6C838128">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方案不符合项目实际，难以满足采购需求的得1分。</w:t>
            </w:r>
          </w:p>
          <w:p w14:paraId="5A33A159">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未提供不得分。</w:t>
            </w:r>
          </w:p>
        </w:tc>
      </w:tr>
      <w:tr w14:paraId="6A78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05B411D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0F3DDEA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3.项目实施方案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10分）</w:t>
            </w:r>
          </w:p>
        </w:tc>
        <w:tc>
          <w:tcPr>
            <w:tcW w:w="6770" w:type="dxa"/>
            <w:noWrap w:val="0"/>
            <w:vAlign w:val="center"/>
          </w:tcPr>
          <w:p w14:paraId="53FB10AD">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根据供应商提供的项目实施方案，</w:t>
            </w:r>
            <w:r>
              <w:rPr>
                <w:rFonts w:hint="eastAsia" w:asciiTheme="minorEastAsia" w:hAnsiTheme="minorEastAsia" w:eastAsiaTheme="minorEastAsia" w:cstheme="minorEastAsia"/>
                <w:color w:val="auto"/>
                <w:sz w:val="24"/>
                <w:szCs w:val="24"/>
              </w:rPr>
              <w:t>包含且不限于</w:t>
            </w:r>
            <w:r>
              <w:rPr>
                <w:rFonts w:hint="eastAsia" w:asciiTheme="minorEastAsia" w:hAnsiTheme="minorEastAsia" w:eastAsiaTheme="minorEastAsia" w:cstheme="minorEastAsia"/>
                <w:color w:val="auto"/>
                <w:sz w:val="24"/>
                <w:szCs w:val="24"/>
                <w:lang w:eastAsia="zh-CN"/>
              </w:rPr>
              <w:t>：</w:t>
            </w:r>
          </w:p>
          <w:p w14:paraId="414863CC">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lang w:val="en-US" w:eastAsia="zh-CN"/>
              </w:rPr>
              <w:t>维修响应时间及故障解决时间；</w:t>
            </w:r>
            <w:r>
              <w:rPr>
                <w:rFonts w:hint="eastAsia" w:asciiTheme="minorEastAsia" w:hAnsiTheme="minorEastAsia" w:eastAsia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lang w:val="en-US" w:eastAsia="zh-CN"/>
              </w:rPr>
              <w:t>每月巡查方案；</w:t>
            </w:r>
            <w:r>
              <w:rPr>
                <w:rFonts w:hint="eastAsia" w:asciiTheme="minorEastAsia" w:hAnsiTheme="minorEastAsia" w:eastAsia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lang w:val="en-US" w:eastAsia="zh-CN"/>
              </w:rPr>
              <w:t>档案记录</w:t>
            </w:r>
          </w:p>
          <w:p w14:paraId="586BB44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供应商响应及时、档案记录要求完整、描述详尽全面具体的，得10分；</w:t>
            </w:r>
          </w:p>
          <w:p w14:paraId="38C1E859">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供应商响应较及时、档案记录要求较完整、描述较详尽全面具体的，得7分；</w:t>
            </w:r>
          </w:p>
          <w:p w14:paraId="0F53B571">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供应商响应时间较长，有缺项漏项，有待完善的得4分；</w:t>
            </w:r>
          </w:p>
          <w:p w14:paraId="2E414C19">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方案不能满足项目实际，难以满足采购需求的得1分。</w:t>
            </w:r>
          </w:p>
          <w:p w14:paraId="1B970792">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未提供本项不得分。</w:t>
            </w:r>
          </w:p>
        </w:tc>
      </w:tr>
      <w:tr w14:paraId="571F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3DD7D78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610A4E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4.配件库</w:t>
            </w:r>
          </w:p>
          <w:p w14:paraId="75BA1EB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（7分）</w:t>
            </w:r>
          </w:p>
        </w:tc>
        <w:tc>
          <w:tcPr>
            <w:tcW w:w="6770" w:type="dxa"/>
            <w:noWrap w:val="0"/>
            <w:vAlign w:val="center"/>
          </w:tcPr>
          <w:p w14:paraId="7BFF6E57">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根据供应商针对本项目提供的配件库进行评分，包含但不限于：1.备件库距离；2.备件种类及数量情况；3.备件更换流程等。</w:t>
            </w:r>
          </w:p>
          <w:p w14:paraId="2941679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配件种类、数量及方便性完全满足采购人需求的得7分；</w:t>
            </w:r>
          </w:p>
          <w:p w14:paraId="191E5DB4">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配件种类、数量及方便性能一般满足采购人需求的得4分。</w:t>
            </w:r>
          </w:p>
          <w:p w14:paraId="245F1553">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配件种类不齐全、距离较远，得1分；</w:t>
            </w:r>
          </w:p>
          <w:p w14:paraId="7B2D08D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缺项的得0分。</w:t>
            </w:r>
          </w:p>
          <w:p w14:paraId="008DC6C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（注：需提供备件库租赁或买卖合同、提供备件库照片）。</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70EB91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1.人员配备方案</w:t>
            </w:r>
          </w:p>
          <w:p w14:paraId="00B2DAD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w:t>
            </w:r>
          </w:p>
        </w:tc>
        <w:tc>
          <w:tcPr>
            <w:tcW w:w="6770" w:type="dxa"/>
            <w:noWrap w:val="0"/>
            <w:vAlign w:val="center"/>
          </w:tcPr>
          <w:p w14:paraId="370C16D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根据供应商针对本项目提供的</w:t>
            </w:r>
            <w:r>
              <w:rPr>
                <w:rFonts w:hint="eastAsia" w:ascii="宋体" w:hAnsi="宋体" w:cs="宋体"/>
                <w:b w:val="0"/>
                <w:bCs w:val="0"/>
                <w:color w:val="auto"/>
                <w:kern w:val="2"/>
                <w:sz w:val="24"/>
                <w:szCs w:val="24"/>
                <w:highlight w:val="none"/>
                <w:lang w:val="en-US" w:eastAsia="zh-CN" w:bidi="ar-SA"/>
              </w:rPr>
              <w:t>维修</w:t>
            </w:r>
            <w:r>
              <w:rPr>
                <w:rFonts w:hint="eastAsia" w:ascii="宋体" w:hAnsi="宋体" w:eastAsia="宋体" w:cs="宋体"/>
                <w:b w:val="0"/>
                <w:bCs w:val="0"/>
                <w:color w:val="auto"/>
                <w:kern w:val="2"/>
                <w:sz w:val="24"/>
                <w:szCs w:val="24"/>
                <w:highlight w:val="none"/>
                <w:lang w:val="en-US" w:eastAsia="zh-CN" w:bidi="ar-SA"/>
              </w:rPr>
              <w:t>人员配备</w:t>
            </w:r>
            <w:r>
              <w:rPr>
                <w:rFonts w:hint="eastAsia" w:ascii="宋体" w:hAnsi="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高空作业人员配备</w:t>
            </w:r>
            <w:r>
              <w:rPr>
                <w:rFonts w:hint="eastAsia" w:ascii="宋体" w:hAnsi="宋体" w:eastAsia="宋体" w:cs="宋体"/>
                <w:b w:val="0"/>
                <w:bCs w:val="0"/>
                <w:color w:val="auto"/>
                <w:kern w:val="2"/>
                <w:sz w:val="24"/>
                <w:szCs w:val="24"/>
                <w:highlight w:val="none"/>
                <w:lang w:val="en-US" w:eastAsia="zh-CN" w:bidi="ar-SA"/>
              </w:rPr>
              <w:t>进行评审：</w:t>
            </w:r>
          </w:p>
          <w:p w14:paraId="25C316D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人员配备安排合理、专业技术能力强、设备维护经验丰富且持证上岗，能完全满足采购需求的得</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w:t>
            </w:r>
          </w:p>
          <w:p w14:paraId="13AB15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人员配备较合理、专业能力较强，经验较丰富，基本满足采购需求的得</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分；</w:t>
            </w:r>
          </w:p>
          <w:p w14:paraId="51C50757">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人员配备基本合理，但专业性一般的得4分；</w:t>
            </w:r>
          </w:p>
          <w:p w14:paraId="52802B1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人员配备不足，专业性有待提升，难以满足采购需求的得1分；</w:t>
            </w:r>
          </w:p>
          <w:p w14:paraId="3E6DF491">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未提供不得分。</w:t>
            </w:r>
          </w:p>
          <w:p w14:paraId="3548B92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注：提供人员清单及相关证书。</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FF0000"/>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line="360" w:lineRule="exact"/>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w:t>
            </w:r>
            <w:r>
              <w:rPr>
                <w:rFonts w:hint="eastAsia" w:cs="宋体"/>
                <w:color w:val="auto"/>
                <w:kern w:val="2"/>
                <w:sz w:val="24"/>
                <w:szCs w:val="24"/>
                <w:highlight w:val="none"/>
                <w:lang w:val="en-US" w:eastAsia="zh-CN" w:bidi="ar-SA"/>
              </w:rPr>
              <w:t>类似业绩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359091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5A193425">
      <w:pPr>
        <w:rPr>
          <w:rFonts w:hint="eastAsia" w:ascii="宋体" w:hAnsi="宋体" w:eastAsia="宋体" w:cs="宋体"/>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bookmarkStart w:id="50" w:name="_Toc28392"/>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采购</w:t>
      </w:r>
      <w:r>
        <w:rPr>
          <w:rFonts w:hint="eastAsia" w:asciiTheme="minorEastAsia" w:hAnsiTheme="minorEastAsia"/>
          <w:color w:val="auto"/>
          <w:sz w:val="24"/>
          <w:szCs w:val="24"/>
          <w:highlight w:val="none"/>
        </w:rPr>
        <w:t>文件的全部内容，决定参加该项目的磋商活动并按要求提交响应文件。我们郑重声明以下诸点并负法律责任</w:t>
      </w:r>
      <w:r>
        <w:rPr>
          <w:rFonts w:asciiTheme="minorEastAsia" w:hAnsiTheme="minorEastAsia"/>
          <w:color w:val="auto"/>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57412C83">
      <w:pPr>
        <w:rPr>
          <w:rFonts w:hint="eastAsia" w:ascii="宋体" w:hAnsi="宋体" w:cs="宋体"/>
          <w:color w:val="auto"/>
          <w:sz w:val="24"/>
          <w:szCs w:val="24"/>
          <w:highlight w:val="none"/>
          <w:lang w:val="en-US" w:eastAsia="zh-CN"/>
        </w:rPr>
      </w:pPr>
      <w:bookmarkStart w:id="64" w:name="_Toc226"/>
      <w:bookmarkStart w:id="65" w:name="_Toc15804"/>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520" w:firstLineChars="1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附件5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570" w:firstLineChars="17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附件6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附件7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附件8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2"/>
        <w:rPr>
          <w:rFonts w:hint="default"/>
          <w:lang w:val="en-US" w:eastAsia="zh-CN"/>
        </w:rPr>
      </w:pPr>
    </w:p>
    <w:p w14:paraId="497C2512">
      <w:pPr>
        <w:pStyle w:val="22"/>
        <w:rPr>
          <w:rFonts w:hint="default"/>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8.2评分标准中需提供的证明材料</w:t>
      </w:r>
    </w:p>
    <w:p w14:paraId="718DD9F8">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4"/>
        <w:tblW w:w="7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1"/>
        <w:gridCol w:w="1608"/>
        <w:gridCol w:w="1803"/>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3021"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60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803"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392D7448">
            <w:pPr>
              <w:spacing w:before="120"/>
              <w:jc w:val="center"/>
              <w:rPr>
                <w:rFonts w:cs="Arial" w:asciiTheme="minorEastAsia" w:hAnsiTheme="minorEastAsia"/>
                <w:highlight w:val="none"/>
              </w:rPr>
            </w:pPr>
          </w:p>
        </w:tc>
        <w:tc>
          <w:tcPr>
            <w:tcW w:w="3021" w:type="dxa"/>
            <w:vAlign w:val="center"/>
          </w:tcPr>
          <w:p w14:paraId="0B354FD7">
            <w:pPr>
              <w:spacing w:before="120"/>
              <w:jc w:val="center"/>
              <w:rPr>
                <w:rFonts w:cs="Arial" w:asciiTheme="minorEastAsia" w:hAnsiTheme="minorEastAsia"/>
                <w:highlight w:val="none"/>
              </w:rPr>
            </w:pPr>
          </w:p>
        </w:tc>
        <w:tc>
          <w:tcPr>
            <w:tcW w:w="1608" w:type="dxa"/>
            <w:vAlign w:val="center"/>
          </w:tcPr>
          <w:p w14:paraId="61E60ADA">
            <w:pPr>
              <w:spacing w:before="120"/>
              <w:jc w:val="center"/>
              <w:rPr>
                <w:rFonts w:cs="Arial" w:asciiTheme="minorEastAsia" w:hAnsiTheme="minorEastAsia"/>
                <w:highlight w:val="none"/>
              </w:rPr>
            </w:pPr>
          </w:p>
        </w:tc>
        <w:tc>
          <w:tcPr>
            <w:tcW w:w="1803"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5B8AF551">
            <w:pPr>
              <w:spacing w:before="120"/>
              <w:jc w:val="center"/>
              <w:rPr>
                <w:rFonts w:cs="Arial" w:asciiTheme="minorEastAsia" w:hAnsiTheme="minorEastAsia"/>
                <w:highlight w:val="none"/>
              </w:rPr>
            </w:pPr>
          </w:p>
        </w:tc>
        <w:tc>
          <w:tcPr>
            <w:tcW w:w="3021" w:type="dxa"/>
            <w:vAlign w:val="center"/>
          </w:tcPr>
          <w:p w14:paraId="2DA219B5">
            <w:pPr>
              <w:spacing w:before="120"/>
              <w:jc w:val="center"/>
              <w:rPr>
                <w:rFonts w:cs="Arial" w:asciiTheme="minorEastAsia" w:hAnsiTheme="minorEastAsia"/>
                <w:highlight w:val="none"/>
              </w:rPr>
            </w:pPr>
          </w:p>
        </w:tc>
        <w:tc>
          <w:tcPr>
            <w:tcW w:w="1608" w:type="dxa"/>
            <w:vAlign w:val="center"/>
          </w:tcPr>
          <w:p w14:paraId="2C3F9359">
            <w:pPr>
              <w:spacing w:before="120"/>
              <w:jc w:val="center"/>
              <w:rPr>
                <w:rFonts w:cs="Arial" w:asciiTheme="minorEastAsia" w:hAnsiTheme="minorEastAsia"/>
                <w:highlight w:val="none"/>
              </w:rPr>
            </w:pPr>
          </w:p>
        </w:tc>
        <w:tc>
          <w:tcPr>
            <w:tcW w:w="1803"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5237FDB6">
            <w:pPr>
              <w:spacing w:before="120"/>
              <w:jc w:val="center"/>
              <w:rPr>
                <w:rFonts w:cs="Arial" w:asciiTheme="minorEastAsia" w:hAnsiTheme="minorEastAsia"/>
                <w:highlight w:val="none"/>
              </w:rPr>
            </w:pPr>
          </w:p>
        </w:tc>
        <w:tc>
          <w:tcPr>
            <w:tcW w:w="3021" w:type="dxa"/>
            <w:vAlign w:val="center"/>
          </w:tcPr>
          <w:p w14:paraId="0EC68B0F">
            <w:pPr>
              <w:spacing w:before="120"/>
              <w:jc w:val="center"/>
              <w:rPr>
                <w:rFonts w:cs="Arial" w:asciiTheme="minorEastAsia" w:hAnsiTheme="minorEastAsia"/>
                <w:highlight w:val="none"/>
              </w:rPr>
            </w:pPr>
          </w:p>
        </w:tc>
        <w:tc>
          <w:tcPr>
            <w:tcW w:w="1608" w:type="dxa"/>
            <w:vAlign w:val="center"/>
          </w:tcPr>
          <w:p w14:paraId="1A92A840">
            <w:pPr>
              <w:spacing w:before="120"/>
              <w:jc w:val="center"/>
              <w:rPr>
                <w:rFonts w:cs="Arial" w:asciiTheme="minorEastAsia" w:hAnsiTheme="minorEastAsia"/>
                <w:highlight w:val="none"/>
              </w:rPr>
            </w:pPr>
          </w:p>
        </w:tc>
        <w:tc>
          <w:tcPr>
            <w:tcW w:w="1803"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7CBAE2E1">
            <w:pPr>
              <w:spacing w:before="120"/>
              <w:jc w:val="center"/>
              <w:rPr>
                <w:rFonts w:cs="Arial" w:asciiTheme="minorEastAsia" w:hAnsiTheme="minorEastAsia"/>
                <w:highlight w:val="none"/>
              </w:rPr>
            </w:pPr>
          </w:p>
        </w:tc>
        <w:tc>
          <w:tcPr>
            <w:tcW w:w="3021" w:type="dxa"/>
            <w:vAlign w:val="center"/>
          </w:tcPr>
          <w:p w14:paraId="1B2F6ED2">
            <w:pPr>
              <w:spacing w:before="120"/>
              <w:jc w:val="center"/>
              <w:rPr>
                <w:rFonts w:cs="Arial" w:asciiTheme="minorEastAsia" w:hAnsiTheme="minorEastAsia"/>
                <w:highlight w:val="none"/>
              </w:rPr>
            </w:pPr>
          </w:p>
        </w:tc>
        <w:tc>
          <w:tcPr>
            <w:tcW w:w="1608" w:type="dxa"/>
            <w:vAlign w:val="center"/>
          </w:tcPr>
          <w:p w14:paraId="5A6E5E8B">
            <w:pPr>
              <w:spacing w:before="120"/>
              <w:jc w:val="center"/>
              <w:rPr>
                <w:rFonts w:cs="Arial" w:asciiTheme="minorEastAsia" w:hAnsiTheme="minorEastAsia"/>
                <w:highlight w:val="none"/>
              </w:rPr>
            </w:pPr>
          </w:p>
        </w:tc>
        <w:tc>
          <w:tcPr>
            <w:tcW w:w="1803"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443FA176">
            <w:pPr>
              <w:spacing w:before="120"/>
              <w:jc w:val="center"/>
              <w:rPr>
                <w:rFonts w:cs="Arial" w:asciiTheme="minorEastAsia" w:hAnsiTheme="minorEastAsia"/>
                <w:highlight w:val="none"/>
              </w:rPr>
            </w:pPr>
          </w:p>
        </w:tc>
        <w:tc>
          <w:tcPr>
            <w:tcW w:w="3021" w:type="dxa"/>
            <w:vAlign w:val="center"/>
          </w:tcPr>
          <w:p w14:paraId="6EC5F5FE">
            <w:pPr>
              <w:spacing w:before="120"/>
              <w:jc w:val="center"/>
              <w:rPr>
                <w:rFonts w:cs="Arial" w:asciiTheme="minorEastAsia" w:hAnsiTheme="minorEastAsia"/>
                <w:highlight w:val="none"/>
              </w:rPr>
            </w:pPr>
          </w:p>
        </w:tc>
        <w:tc>
          <w:tcPr>
            <w:tcW w:w="1608" w:type="dxa"/>
            <w:vAlign w:val="center"/>
          </w:tcPr>
          <w:p w14:paraId="2EE9EADA">
            <w:pPr>
              <w:spacing w:before="120"/>
              <w:jc w:val="center"/>
              <w:rPr>
                <w:rFonts w:cs="Arial" w:asciiTheme="minorEastAsia" w:hAnsiTheme="minorEastAsia"/>
                <w:highlight w:val="none"/>
              </w:rPr>
            </w:pPr>
          </w:p>
        </w:tc>
        <w:tc>
          <w:tcPr>
            <w:tcW w:w="1803"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73627E7B">
            <w:pPr>
              <w:spacing w:before="120"/>
              <w:jc w:val="center"/>
              <w:rPr>
                <w:rFonts w:cs="Arial" w:asciiTheme="minorEastAsia" w:hAnsiTheme="minorEastAsia"/>
                <w:color w:val="auto"/>
                <w:highlight w:val="none"/>
              </w:rPr>
            </w:pPr>
          </w:p>
        </w:tc>
        <w:tc>
          <w:tcPr>
            <w:tcW w:w="3021" w:type="dxa"/>
            <w:vAlign w:val="center"/>
          </w:tcPr>
          <w:p w14:paraId="3904317C">
            <w:pPr>
              <w:spacing w:before="120"/>
              <w:jc w:val="center"/>
              <w:rPr>
                <w:rFonts w:cs="Arial" w:asciiTheme="minorEastAsia" w:hAnsiTheme="minorEastAsia"/>
                <w:color w:val="auto"/>
                <w:highlight w:val="none"/>
              </w:rPr>
            </w:pPr>
          </w:p>
        </w:tc>
        <w:tc>
          <w:tcPr>
            <w:tcW w:w="1608" w:type="dxa"/>
            <w:vAlign w:val="center"/>
          </w:tcPr>
          <w:p w14:paraId="3797DB3D">
            <w:pPr>
              <w:spacing w:before="120"/>
              <w:jc w:val="center"/>
              <w:rPr>
                <w:rFonts w:cs="Arial" w:asciiTheme="minorEastAsia" w:hAnsiTheme="minorEastAsia"/>
                <w:color w:val="auto"/>
                <w:highlight w:val="none"/>
              </w:rPr>
            </w:pPr>
          </w:p>
        </w:tc>
        <w:tc>
          <w:tcPr>
            <w:tcW w:w="1803" w:type="dxa"/>
            <w:vAlign w:val="center"/>
          </w:tcPr>
          <w:p w14:paraId="54B94AE8">
            <w:pPr>
              <w:spacing w:before="120"/>
              <w:jc w:val="center"/>
              <w:rPr>
                <w:rFonts w:cs="Arial" w:asciiTheme="minorEastAsia" w:hAnsiTheme="minorEastAsia"/>
                <w:color w:val="auto"/>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07DE1F7E">
            <w:pPr>
              <w:spacing w:before="120"/>
              <w:jc w:val="center"/>
              <w:rPr>
                <w:rFonts w:cs="Arial" w:asciiTheme="minorEastAsia" w:hAnsiTheme="minorEastAsia"/>
                <w:color w:val="auto"/>
                <w:highlight w:val="none"/>
              </w:rPr>
            </w:pPr>
          </w:p>
        </w:tc>
        <w:tc>
          <w:tcPr>
            <w:tcW w:w="3021" w:type="dxa"/>
            <w:vAlign w:val="center"/>
          </w:tcPr>
          <w:p w14:paraId="1313E78D">
            <w:pPr>
              <w:spacing w:before="120"/>
              <w:jc w:val="center"/>
              <w:rPr>
                <w:rFonts w:cs="Arial" w:asciiTheme="minorEastAsia" w:hAnsiTheme="minorEastAsia"/>
                <w:color w:val="auto"/>
                <w:highlight w:val="none"/>
              </w:rPr>
            </w:pPr>
          </w:p>
        </w:tc>
        <w:tc>
          <w:tcPr>
            <w:tcW w:w="1608" w:type="dxa"/>
            <w:vAlign w:val="center"/>
          </w:tcPr>
          <w:p w14:paraId="2E509206">
            <w:pPr>
              <w:spacing w:before="120"/>
              <w:jc w:val="center"/>
              <w:rPr>
                <w:rFonts w:cs="Arial" w:asciiTheme="minorEastAsia" w:hAnsiTheme="minorEastAsia"/>
                <w:color w:val="auto"/>
                <w:highlight w:val="none"/>
              </w:rPr>
            </w:pPr>
          </w:p>
        </w:tc>
        <w:tc>
          <w:tcPr>
            <w:tcW w:w="1803" w:type="dxa"/>
            <w:vAlign w:val="center"/>
          </w:tcPr>
          <w:p w14:paraId="79E06EF4">
            <w:pPr>
              <w:spacing w:before="120"/>
              <w:jc w:val="center"/>
              <w:rPr>
                <w:rFonts w:cs="Arial" w:asciiTheme="minorEastAsia" w:hAnsiTheme="minorEastAsia"/>
                <w:color w:val="auto"/>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62B57E21">
            <w:pPr>
              <w:spacing w:before="120"/>
              <w:jc w:val="center"/>
              <w:rPr>
                <w:rFonts w:cs="Arial" w:asciiTheme="minorEastAsia" w:hAnsiTheme="minorEastAsia"/>
                <w:color w:val="auto"/>
                <w:highlight w:val="none"/>
              </w:rPr>
            </w:pPr>
          </w:p>
        </w:tc>
        <w:tc>
          <w:tcPr>
            <w:tcW w:w="3021" w:type="dxa"/>
            <w:vAlign w:val="center"/>
          </w:tcPr>
          <w:p w14:paraId="561AB2CF">
            <w:pPr>
              <w:spacing w:before="120"/>
              <w:jc w:val="center"/>
              <w:rPr>
                <w:rFonts w:cs="Arial" w:asciiTheme="minorEastAsia" w:hAnsiTheme="minorEastAsia"/>
                <w:color w:val="auto"/>
                <w:highlight w:val="none"/>
              </w:rPr>
            </w:pPr>
          </w:p>
        </w:tc>
        <w:tc>
          <w:tcPr>
            <w:tcW w:w="1608" w:type="dxa"/>
            <w:vAlign w:val="center"/>
          </w:tcPr>
          <w:p w14:paraId="0E56BECE">
            <w:pPr>
              <w:spacing w:before="120"/>
              <w:jc w:val="center"/>
              <w:rPr>
                <w:rFonts w:cs="Arial" w:asciiTheme="minorEastAsia" w:hAnsiTheme="minorEastAsia"/>
                <w:color w:val="auto"/>
                <w:highlight w:val="none"/>
              </w:rPr>
            </w:pPr>
          </w:p>
        </w:tc>
        <w:tc>
          <w:tcPr>
            <w:tcW w:w="1803" w:type="dxa"/>
            <w:vAlign w:val="center"/>
          </w:tcPr>
          <w:p w14:paraId="4147F08F">
            <w:pPr>
              <w:spacing w:before="120"/>
              <w:jc w:val="center"/>
              <w:rPr>
                <w:rFonts w:cs="Arial" w:asciiTheme="minorEastAsia" w:hAnsiTheme="minorEastAsia"/>
                <w:color w:val="auto"/>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43ED76-FAAB-4116-87CB-15B10237606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2" w:fontKey="{F726858D-BE42-4A33-BFA2-F83D912284E7}"/>
  </w:font>
  <w:font w:name="仿宋_GB2312">
    <w:panose1 w:val="02010609030101010101"/>
    <w:charset w:val="86"/>
    <w:family w:val="auto"/>
    <w:pitch w:val="default"/>
    <w:sig w:usb0="00000001" w:usb1="080E0000" w:usb2="00000000" w:usb3="00000000" w:csb0="00040000" w:csb1="00000000"/>
    <w:embedRegular r:id="rId3" w:fontKey="{0F5C6668-C125-49F1-B5D8-8C39D98ABC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驻马店市中心医院全院分体空调运营服务项目采购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4F1218"/>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993"/>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114A6"/>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AE0317"/>
    <w:rsid w:val="02B04EBD"/>
    <w:rsid w:val="02B97DFD"/>
    <w:rsid w:val="02C866AB"/>
    <w:rsid w:val="02CB7F49"/>
    <w:rsid w:val="02D92EF7"/>
    <w:rsid w:val="02DA4665"/>
    <w:rsid w:val="02ED6112"/>
    <w:rsid w:val="02F40325"/>
    <w:rsid w:val="02FA082F"/>
    <w:rsid w:val="031126C4"/>
    <w:rsid w:val="031C0676"/>
    <w:rsid w:val="031E62CB"/>
    <w:rsid w:val="0323019C"/>
    <w:rsid w:val="03351867"/>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54128"/>
    <w:rsid w:val="04870542"/>
    <w:rsid w:val="04B30F7A"/>
    <w:rsid w:val="050E236F"/>
    <w:rsid w:val="05121E5F"/>
    <w:rsid w:val="0516614E"/>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0F639F"/>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4B3407"/>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4C7436"/>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4F76B2"/>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63DA0"/>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65124"/>
    <w:rsid w:val="0C9D50DC"/>
    <w:rsid w:val="0CA5271D"/>
    <w:rsid w:val="0CAA0BCF"/>
    <w:rsid w:val="0CAC4D10"/>
    <w:rsid w:val="0CC53C5B"/>
    <w:rsid w:val="0CC72121"/>
    <w:rsid w:val="0CEE5A21"/>
    <w:rsid w:val="0CF12CA2"/>
    <w:rsid w:val="0D05268E"/>
    <w:rsid w:val="0D0646E7"/>
    <w:rsid w:val="0D0C38CA"/>
    <w:rsid w:val="0D123874"/>
    <w:rsid w:val="0D206810"/>
    <w:rsid w:val="0D4861FD"/>
    <w:rsid w:val="0D735465"/>
    <w:rsid w:val="0D9D0734"/>
    <w:rsid w:val="0DA27AF9"/>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BB70C4"/>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B18A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631AD8"/>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447F8"/>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06971"/>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247B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7E3384"/>
    <w:rsid w:val="179D33A9"/>
    <w:rsid w:val="179F2E61"/>
    <w:rsid w:val="17A06264"/>
    <w:rsid w:val="17BE19D3"/>
    <w:rsid w:val="17C227C0"/>
    <w:rsid w:val="17D66D7C"/>
    <w:rsid w:val="17DB07D7"/>
    <w:rsid w:val="17DE0EDF"/>
    <w:rsid w:val="17EE5BFF"/>
    <w:rsid w:val="17FA6EAF"/>
    <w:rsid w:val="18097740"/>
    <w:rsid w:val="18136133"/>
    <w:rsid w:val="184055B9"/>
    <w:rsid w:val="184A2082"/>
    <w:rsid w:val="185A16FC"/>
    <w:rsid w:val="185D3C42"/>
    <w:rsid w:val="185F38AF"/>
    <w:rsid w:val="18697B91"/>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9C5D44"/>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BF36AB9"/>
    <w:rsid w:val="1C002CEE"/>
    <w:rsid w:val="1C0876C1"/>
    <w:rsid w:val="1C180F75"/>
    <w:rsid w:val="1C27223D"/>
    <w:rsid w:val="1C3861F8"/>
    <w:rsid w:val="1C394FAC"/>
    <w:rsid w:val="1C4032FE"/>
    <w:rsid w:val="1C424981"/>
    <w:rsid w:val="1C4E77C9"/>
    <w:rsid w:val="1C555978"/>
    <w:rsid w:val="1C6554A1"/>
    <w:rsid w:val="1C705992"/>
    <w:rsid w:val="1C7971B7"/>
    <w:rsid w:val="1C8036FB"/>
    <w:rsid w:val="1C917D91"/>
    <w:rsid w:val="1CAB1D11"/>
    <w:rsid w:val="1CAB2820"/>
    <w:rsid w:val="1CD402EC"/>
    <w:rsid w:val="1CDF6F49"/>
    <w:rsid w:val="1CE617B0"/>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9A1F0A"/>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1FFC12EA"/>
    <w:rsid w:val="200A3A07"/>
    <w:rsid w:val="200D1749"/>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00062"/>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475AC4"/>
    <w:rsid w:val="255B6AB3"/>
    <w:rsid w:val="25647C5C"/>
    <w:rsid w:val="257572C3"/>
    <w:rsid w:val="25790E85"/>
    <w:rsid w:val="25823C3E"/>
    <w:rsid w:val="25856F37"/>
    <w:rsid w:val="25965D3D"/>
    <w:rsid w:val="25972C60"/>
    <w:rsid w:val="25974C6F"/>
    <w:rsid w:val="259A75DB"/>
    <w:rsid w:val="259D1676"/>
    <w:rsid w:val="25A353EB"/>
    <w:rsid w:val="25A93CC2"/>
    <w:rsid w:val="25AD64F9"/>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542BB"/>
    <w:rsid w:val="278A18D2"/>
    <w:rsid w:val="27983FEE"/>
    <w:rsid w:val="27A34941"/>
    <w:rsid w:val="27A97FAA"/>
    <w:rsid w:val="27AE736E"/>
    <w:rsid w:val="27EE3A7B"/>
    <w:rsid w:val="27FA25B3"/>
    <w:rsid w:val="28033B5E"/>
    <w:rsid w:val="280E42B1"/>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AC1E1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676A97"/>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B74FA"/>
    <w:rsid w:val="33CC3D88"/>
    <w:rsid w:val="33D939C5"/>
    <w:rsid w:val="33DD0306"/>
    <w:rsid w:val="33FD3B57"/>
    <w:rsid w:val="33FD722F"/>
    <w:rsid w:val="3400362D"/>
    <w:rsid w:val="340B09C5"/>
    <w:rsid w:val="341E4CAB"/>
    <w:rsid w:val="34205B4A"/>
    <w:rsid w:val="34360E17"/>
    <w:rsid w:val="3439090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3B04F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A3FF3"/>
    <w:rsid w:val="39E82BB3"/>
    <w:rsid w:val="39EB39E0"/>
    <w:rsid w:val="39EE7A9E"/>
    <w:rsid w:val="39EF02D4"/>
    <w:rsid w:val="3A08699C"/>
    <w:rsid w:val="3A11342A"/>
    <w:rsid w:val="3A12378C"/>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2714BA"/>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20BB5"/>
    <w:rsid w:val="3C9E1C4F"/>
    <w:rsid w:val="3CC17F13"/>
    <w:rsid w:val="3CD15B81"/>
    <w:rsid w:val="3CD50B40"/>
    <w:rsid w:val="3CE31410"/>
    <w:rsid w:val="3CE320A3"/>
    <w:rsid w:val="3CE9196C"/>
    <w:rsid w:val="3CF15105"/>
    <w:rsid w:val="3CF80E03"/>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DC080D"/>
    <w:rsid w:val="3EF9316D"/>
    <w:rsid w:val="3F222DB1"/>
    <w:rsid w:val="3F2B709E"/>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04729"/>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A2175"/>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B032DA"/>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6A72"/>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3FD36FF"/>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665E4"/>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36FDC"/>
    <w:rsid w:val="4BC66ACD"/>
    <w:rsid w:val="4BCF5981"/>
    <w:rsid w:val="4BD846DB"/>
    <w:rsid w:val="4BEB69A2"/>
    <w:rsid w:val="4BF441D2"/>
    <w:rsid w:val="4BFC604B"/>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397978"/>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73610"/>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5A77E4"/>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76689F"/>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C4B82"/>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10F37"/>
    <w:rsid w:val="53C421A6"/>
    <w:rsid w:val="53EB297B"/>
    <w:rsid w:val="53EC4BF7"/>
    <w:rsid w:val="53F671DE"/>
    <w:rsid w:val="53F758A1"/>
    <w:rsid w:val="540D5A7F"/>
    <w:rsid w:val="542E2BC2"/>
    <w:rsid w:val="54352A96"/>
    <w:rsid w:val="54447390"/>
    <w:rsid w:val="544B514D"/>
    <w:rsid w:val="545E1D01"/>
    <w:rsid w:val="54674051"/>
    <w:rsid w:val="5472334E"/>
    <w:rsid w:val="547F2161"/>
    <w:rsid w:val="54935B8F"/>
    <w:rsid w:val="54994D7E"/>
    <w:rsid w:val="54996B2C"/>
    <w:rsid w:val="549D3677"/>
    <w:rsid w:val="54B03E76"/>
    <w:rsid w:val="54B35714"/>
    <w:rsid w:val="54BB2F47"/>
    <w:rsid w:val="54BF230B"/>
    <w:rsid w:val="54CC6227"/>
    <w:rsid w:val="54D10F9B"/>
    <w:rsid w:val="54D23DEC"/>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466840"/>
    <w:rsid w:val="56586573"/>
    <w:rsid w:val="56666B5B"/>
    <w:rsid w:val="56717635"/>
    <w:rsid w:val="56764C4B"/>
    <w:rsid w:val="56990B7C"/>
    <w:rsid w:val="569E1126"/>
    <w:rsid w:val="56A8690E"/>
    <w:rsid w:val="56B51C18"/>
    <w:rsid w:val="56B52A1C"/>
    <w:rsid w:val="56B679AB"/>
    <w:rsid w:val="56B80DEB"/>
    <w:rsid w:val="56D976B4"/>
    <w:rsid w:val="56E0560F"/>
    <w:rsid w:val="56E06E61"/>
    <w:rsid w:val="56E9366F"/>
    <w:rsid w:val="56EF3C74"/>
    <w:rsid w:val="56F653FE"/>
    <w:rsid w:val="57007337"/>
    <w:rsid w:val="570B1AB1"/>
    <w:rsid w:val="57272B15"/>
    <w:rsid w:val="57355264"/>
    <w:rsid w:val="574448FC"/>
    <w:rsid w:val="57561D39"/>
    <w:rsid w:val="57572CCF"/>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6B07E0"/>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32C9A"/>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D4669C"/>
    <w:rsid w:val="5BE03293"/>
    <w:rsid w:val="5BF03D58"/>
    <w:rsid w:val="5BF20AFB"/>
    <w:rsid w:val="5C1A6BB2"/>
    <w:rsid w:val="5C205D85"/>
    <w:rsid w:val="5C284A34"/>
    <w:rsid w:val="5C306D31"/>
    <w:rsid w:val="5C37233A"/>
    <w:rsid w:val="5C4557EC"/>
    <w:rsid w:val="5C5355FE"/>
    <w:rsid w:val="5C5A49A5"/>
    <w:rsid w:val="5C6519EA"/>
    <w:rsid w:val="5C6715FE"/>
    <w:rsid w:val="5C6F4105"/>
    <w:rsid w:val="5CBB7F6F"/>
    <w:rsid w:val="5CC248CE"/>
    <w:rsid w:val="5CC826A5"/>
    <w:rsid w:val="5CF07506"/>
    <w:rsid w:val="5CF1327E"/>
    <w:rsid w:val="5D042FB1"/>
    <w:rsid w:val="5D3A2E77"/>
    <w:rsid w:val="5D442CB4"/>
    <w:rsid w:val="5D4C6846"/>
    <w:rsid w:val="5D746389"/>
    <w:rsid w:val="5D7C3F11"/>
    <w:rsid w:val="5D8B5480"/>
    <w:rsid w:val="5D971C5A"/>
    <w:rsid w:val="5D9D49E0"/>
    <w:rsid w:val="5DA01E9E"/>
    <w:rsid w:val="5DAD3649"/>
    <w:rsid w:val="5DC310BE"/>
    <w:rsid w:val="5DC32E6C"/>
    <w:rsid w:val="5DC6470A"/>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4D1265"/>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16EC6"/>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17495"/>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626D0"/>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26A56"/>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7C062B"/>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537B4"/>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7D4B2E"/>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125276"/>
    <w:rsid w:val="6D162FB8"/>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12037"/>
    <w:rsid w:val="6E2214E9"/>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084B83"/>
    <w:rsid w:val="6F174DC6"/>
    <w:rsid w:val="6F1E2E65"/>
    <w:rsid w:val="6F26325B"/>
    <w:rsid w:val="6F286FD3"/>
    <w:rsid w:val="6F2F2D9E"/>
    <w:rsid w:val="6F3275E5"/>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4E4817"/>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2B6906"/>
    <w:rsid w:val="713420C5"/>
    <w:rsid w:val="71347EB1"/>
    <w:rsid w:val="713954C7"/>
    <w:rsid w:val="713F70AB"/>
    <w:rsid w:val="71452CD8"/>
    <w:rsid w:val="71583F2D"/>
    <w:rsid w:val="7158683A"/>
    <w:rsid w:val="715B2F52"/>
    <w:rsid w:val="7167680B"/>
    <w:rsid w:val="71764F23"/>
    <w:rsid w:val="717B1905"/>
    <w:rsid w:val="71881188"/>
    <w:rsid w:val="71946576"/>
    <w:rsid w:val="71967E84"/>
    <w:rsid w:val="7197629F"/>
    <w:rsid w:val="71A61873"/>
    <w:rsid w:val="71AF4936"/>
    <w:rsid w:val="71B12351"/>
    <w:rsid w:val="71BB4E1E"/>
    <w:rsid w:val="71CD79BE"/>
    <w:rsid w:val="71D07496"/>
    <w:rsid w:val="71D75D0F"/>
    <w:rsid w:val="71DE1BCB"/>
    <w:rsid w:val="71F437A4"/>
    <w:rsid w:val="72062ED0"/>
    <w:rsid w:val="72113D4E"/>
    <w:rsid w:val="721919B3"/>
    <w:rsid w:val="721A6098"/>
    <w:rsid w:val="721D18D3"/>
    <w:rsid w:val="72310D1A"/>
    <w:rsid w:val="724539F8"/>
    <w:rsid w:val="7252306F"/>
    <w:rsid w:val="725D6B54"/>
    <w:rsid w:val="7294672D"/>
    <w:rsid w:val="7295497F"/>
    <w:rsid w:val="72986FA0"/>
    <w:rsid w:val="72A17C99"/>
    <w:rsid w:val="72A2709C"/>
    <w:rsid w:val="72A5093A"/>
    <w:rsid w:val="72AD7197"/>
    <w:rsid w:val="72AF6F7E"/>
    <w:rsid w:val="72BD2C86"/>
    <w:rsid w:val="72CD226C"/>
    <w:rsid w:val="72D13C9A"/>
    <w:rsid w:val="72D27981"/>
    <w:rsid w:val="73047407"/>
    <w:rsid w:val="73047904"/>
    <w:rsid w:val="731A4E85"/>
    <w:rsid w:val="73253EFA"/>
    <w:rsid w:val="73353A6C"/>
    <w:rsid w:val="734C1A6A"/>
    <w:rsid w:val="73555EBD"/>
    <w:rsid w:val="735663B7"/>
    <w:rsid w:val="735C5949"/>
    <w:rsid w:val="73671287"/>
    <w:rsid w:val="736B7EB2"/>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5D4ADD"/>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6C3C49"/>
    <w:rsid w:val="7680773A"/>
    <w:rsid w:val="76832D41"/>
    <w:rsid w:val="768B2C28"/>
    <w:rsid w:val="76AC2297"/>
    <w:rsid w:val="76BB1CAB"/>
    <w:rsid w:val="76C04050"/>
    <w:rsid w:val="76D67314"/>
    <w:rsid w:val="76E00193"/>
    <w:rsid w:val="76E65049"/>
    <w:rsid w:val="76FA74A7"/>
    <w:rsid w:val="77076007"/>
    <w:rsid w:val="770F77AA"/>
    <w:rsid w:val="77183DD1"/>
    <w:rsid w:val="771A36A5"/>
    <w:rsid w:val="77413F7E"/>
    <w:rsid w:val="77464076"/>
    <w:rsid w:val="7758241F"/>
    <w:rsid w:val="77640DC4"/>
    <w:rsid w:val="776C1D72"/>
    <w:rsid w:val="777A7D22"/>
    <w:rsid w:val="777E28EC"/>
    <w:rsid w:val="77835654"/>
    <w:rsid w:val="7797109C"/>
    <w:rsid w:val="779A2A38"/>
    <w:rsid w:val="779F004E"/>
    <w:rsid w:val="77B4450A"/>
    <w:rsid w:val="77B46E73"/>
    <w:rsid w:val="77C94169"/>
    <w:rsid w:val="77D45F4A"/>
    <w:rsid w:val="77E37A12"/>
    <w:rsid w:val="77F42148"/>
    <w:rsid w:val="77FE3468"/>
    <w:rsid w:val="780B1240"/>
    <w:rsid w:val="782347DB"/>
    <w:rsid w:val="78250553"/>
    <w:rsid w:val="783B17B1"/>
    <w:rsid w:val="784E2046"/>
    <w:rsid w:val="78546F0C"/>
    <w:rsid w:val="78632A79"/>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D833A4"/>
    <w:rsid w:val="79E30EE8"/>
    <w:rsid w:val="79E34934"/>
    <w:rsid w:val="79EA664C"/>
    <w:rsid w:val="79F205CB"/>
    <w:rsid w:val="79F9627A"/>
    <w:rsid w:val="79FC3536"/>
    <w:rsid w:val="79FF6948"/>
    <w:rsid w:val="7A044199"/>
    <w:rsid w:val="7A0657CF"/>
    <w:rsid w:val="7A1F5BDD"/>
    <w:rsid w:val="7A2F3BBF"/>
    <w:rsid w:val="7A2F459A"/>
    <w:rsid w:val="7A322A39"/>
    <w:rsid w:val="7A347D0C"/>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 w:val="7FF34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41"/>
    <w:basedOn w:val="36"/>
    <w:qFormat/>
    <w:uiPriority w:val="0"/>
    <w:rPr>
      <w:rFonts w:hint="default" w:ascii="Tahoma" w:hAnsi="Tahoma" w:eastAsia="Tahoma" w:cs="Tahoma"/>
      <w:color w:val="000000"/>
      <w:sz w:val="20"/>
      <w:szCs w:val="20"/>
      <w:u w:val="none"/>
    </w:rPr>
  </w:style>
  <w:style w:type="character" w:customStyle="1" w:styleId="99">
    <w:name w:val="font51"/>
    <w:basedOn w:val="36"/>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11295</Words>
  <Characters>11817</Characters>
  <Lines>50</Lines>
  <Paragraphs>68</Paragraphs>
  <TotalTime>6</TotalTime>
  <ScaleCrop>false</ScaleCrop>
  <LinksUpToDate>false</LinksUpToDate>
  <CharactersWithSpaces>12682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2026-04-09T00:22:00Z</cp:lastPrinted>
  <dcterms:modified xsi:type="dcterms:W3CDTF">2026-04-17T00:02:07Z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73B219BABFBB403E96404BE6EE97FCC8_13</vt:lpwstr>
  </property>
  <property fmtid="{D5CDD505-2E9C-101B-9397-08002B2CF9AE}" pid="4" name="KSOTemplateDocerSaveRecord">
    <vt:lpwstr>eyJoZGlkIjoiMzU0MTZjMjFkMjFjOGMwYTIzNWEzZDljNjYxZWI0MmYiLCJ1c2VySWQiOiIxNjg0NTc5MjM2In0=</vt:lpwstr>
  </property>
</Properties>
</file>