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143148A">
      <w:pPr>
        <w:pStyle w:val="20"/>
        <w:widowControl w:val="0"/>
        <w:spacing w:beforeLines="50"/>
        <w:jc w:val="center"/>
        <w:rPr>
          <w:b/>
          <w:bCs/>
          <w:sz w:val="52"/>
          <w:szCs w:val="52"/>
          <w:highlight w:val="none"/>
        </w:rPr>
      </w:pPr>
    </w:p>
    <w:p w14:paraId="256B68BB">
      <w:pPr>
        <w:pStyle w:val="20"/>
        <w:widowControl w:val="0"/>
        <w:spacing w:beforeLines="50"/>
        <w:jc w:val="center"/>
        <w:rPr>
          <w:b/>
          <w:bCs/>
          <w:sz w:val="44"/>
          <w:szCs w:val="48"/>
          <w:highlight w:val="none"/>
        </w:rPr>
      </w:pPr>
      <w:r>
        <w:rPr>
          <w:rFonts w:hint="eastAsia"/>
          <w:b/>
          <w:bCs/>
          <w:sz w:val="44"/>
          <w:szCs w:val="48"/>
          <w:highlight w:val="none"/>
        </w:rPr>
        <w:t>驻马店市中心医院康复分院病房楼改造项目</w:t>
      </w:r>
    </w:p>
    <w:p w14:paraId="282B2582">
      <w:pPr>
        <w:pStyle w:val="20"/>
        <w:widowControl w:val="0"/>
        <w:spacing w:beforeLines="50"/>
        <w:jc w:val="center"/>
        <w:rPr>
          <w:b/>
          <w:bCs/>
          <w:sz w:val="48"/>
          <w:szCs w:val="48"/>
          <w:highlight w:val="none"/>
        </w:rPr>
      </w:pPr>
      <w:r>
        <w:rPr>
          <w:rFonts w:hint="eastAsia"/>
          <w:b/>
          <w:bCs/>
          <w:sz w:val="44"/>
          <w:szCs w:val="48"/>
          <w:highlight w:val="none"/>
        </w:rPr>
        <w:t>屋面防水工程</w:t>
      </w:r>
    </w:p>
    <w:p w14:paraId="4B91FD37">
      <w:pPr>
        <w:pStyle w:val="20"/>
        <w:jc w:val="center"/>
        <w:rPr>
          <w:rStyle w:val="45"/>
          <w:b/>
          <w:bCs/>
          <w:color w:val="auto"/>
          <w:sz w:val="44"/>
          <w:szCs w:val="44"/>
          <w:highlight w:val="none"/>
        </w:rPr>
      </w:pPr>
    </w:p>
    <w:p w14:paraId="080C19B4">
      <w:pPr>
        <w:pStyle w:val="20"/>
        <w:jc w:val="center"/>
        <w:rPr>
          <w:rStyle w:val="45"/>
          <w:b/>
          <w:bCs/>
          <w:color w:val="auto"/>
          <w:sz w:val="44"/>
          <w:szCs w:val="44"/>
          <w:highlight w:val="none"/>
        </w:rPr>
      </w:pPr>
    </w:p>
    <w:p w14:paraId="23501E2F">
      <w:pPr>
        <w:pStyle w:val="20"/>
        <w:jc w:val="center"/>
        <w:rPr>
          <w:rStyle w:val="45"/>
          <w:rFonts w:ascii="方正公文小标宋" w:hAnsi="方正公文小标宋" w:eastAsia="方正公文小标宋" w:cs="方正公文小标宋"/>
          <w:color w:val="auto"/>
          <w:sz w:val="56"/>
          <w:szCs w:val="56"/>
          <w:highlight w:val="none"/>
        </w:rPr>
      </w:pPr>
      <w:r>
        <w:rPr>
          <w:rStyle w:val="45"/>
          <w:rFonts w:hint="eastAsia" w:ascii="方正公文小标宋" w:hAnsi="方正公文小标宋" w:eastAsia="方正公文小标宋" w:cs="方正公文小标宋"/>
          <w:color w:val="auto"/>
          <w:sz w:val="56"/>
          <w:szCs w:val="56"/>
          <w:highlight w:val="none"/>
        </w:rPr>
        <w:t>竞争性磋商文件</w:t>
      </w:r>
    </w:p>
    <w:p w14:paraId="0A7D60F1">
      <w:pPr>
        <w:pStyle w:val="20"/>
        <w:jc w:val="center"/>
        <w:rPr>
          <w:rStyle w:val="45"/>
          <w:b/>
          <w:bCs/>
          <w:color w:val="auto"/>
          <w:sz w:val="48"/>
          <w:szCs w:val="48"/>
          <w:highlight w:val="none"/>
        </w:rPr>
      </w:pPr>
    </w:p>
    <w:p w14:paraId="55258728">
      <w:pPr>
        <w:pStyle w:val="20"/>
        <w:jc w:val="center"/>
        <w:rPr>
          <w:rStyle w:val="45"/>
          <w:b/>
          <w:bCs/>
          <w:color w:val="auto"/>
          <w:sz w:val="48"/>
          <w:szCs w:val="48"/>
          <w:highlight w:val="none"/>
        </w:rPr>
      </w:pPr>
    </w:p>
    <w:p w14:paraId="2305A35B">
      <w:pPr>
        <w:pStyle w:val="20"/>
        <w:jc w:val="center"/>
        <w:rPr>
          <w:rStyle w:val="45"/>
          <w:b/>
          <w:bCs/>
          <w:color w:val="auto"/>
          <w:sz w:val="48"/>
          <w:szCs w:val="48"/>
          <w:highlight w:val="none"/>
        </w:rPr>
      </w:pPr>
    </w:p>
    <w:p w14:paraId="6BAFE408">
      <w:pPr>
        <w:tabs>
          <w:tab w:val="left" w:pos="2700"/>
          <w:tab w:val="left" w:pos="2880"/>
          <w:tab w:val="left" w:pos="3060"/>
          <w:tab w:val="left" w:pos="7560"/>
        </w:tabs>
        <w:snapToGrid w:val="0"/>
        <w:spacing w:line="480" w:lineRule="auto"/>
        <w:rPr>
          <w:rFonts w:ascii="宋体" w:hAnsi="宋体" w:cs="宋体"/>
          <w:b/>
          <w:bCs/>
          <w:spacing w:val="-10"/>
          <w:sz w:val="34"/>
          <w:szCs w:val="34"/>
          <w:highlight w:val="none"/>
        </w:rPr>
      </w:pPr>
    </w:p>
    <w:p w14:paraId="42EEEE4E">
      <w:pPr>
        <w:tabs>
          <w:tab w:val="left" w:pos="2700"/>
          <w:tab w:val="left" w:pos="2880"/>
          <w:tab w:val="left" w:pos="3060"/>
          <w:tab w:val="left" w:pos="7560"/>
        </w:tabs>
        <w:snapToGrid w:val="0"/>
        <w:spacing w:line="480" w:lineRule="auto"/>
        <w:ind w:firstLine="1928" w:firstLineChars="600"/>
        <w:rPr>
          <w:rFonts w:ascii="宋体" w:hAnsi="宋体" w:cs="宋体"/>
          <w:b/>
          <w:bCs/>
          <w:spacing w:val="-10"/>
          <w:sz w:val="34"/>
          <w:szCs w:val="34"/>
          <w:highlight w:val="none"/>
        </w:rPr>
      </w:pPr>
      <w:r>
        <w:rPr>
          <w:rFonts w:hint="eastAsia" w:ascii="宋体" w:hAnsi="宋体" w:cs="宋体"/>
          <w:b/>
          <w:bCs/>
          <w:spacing w:val="-10"/>
          <w:sz w:val="34"/>
          <w:szCs w:val="34"/>
          <w:highlight w:val="none"/>
        </w:rPr>
        <w:t>采   购   人：驻马店市中心医院</w:t>
      </w:r>
    </w:p>
    <w:p w14:paraId="37A8B94A">
      <w:pPr>
        <w:tabs>
          <w:tab w:val="left" w:pos="2700"/>
          <w:tab w:val="left" w:pos="2880"/>
          <w:tab w:val="left" w:pos="3060"/>
          <w:tab w:val="left" w:pos="7560"/>
        </w:tabs>
        <w:snapToGrid w:val="0"/>
        <w:spacing w:line="480" w:lineRule="auto"/>
        <w:ind w:firstLine="1928" w:firstLineChars="600"/>
        <w:rPr>
          <w:rFonts w:ascii="宋体" w:hAnsi="宋体" w:cs="宋体"/>
          <w:b/>
          <w:bCs/>
          <w:spacing w:val="-10"/>
          <w:sz w:val="34"/>
          <w:szCs w:val="34"/>
          <w:highlight w:val="none"/>
        </w:rPr>
      </w:pPr>
      <w:r>
        <w:rPr>
          <w:rFonts w:hint="eastAsia" w:ascii="宋体" w:hAnsi="宋体" w:cs="宋体"/>
          <w:b/>
          <w:bCs/>
          <w:spacing w:val="-10"/>
          <w:sz w:val="34"/>
          <w:szCs w:val="34"/>
          <w:highlight w:val="none"/>
        </w:rPr>
        <w:t>采购代理机构：驻马店市成浩招投标代理有限公司</w:t>
      </w:r>
    </w:p>
    <w:p w14:paraId="28FF2E9D">
      <w:pPr>
        <w:tabs>
          <w:tab w:val="left" w:pos="2700"/>
          <w:tab w:val="left" w:pos="2880"/>
          <w:tab w:val="left" w:pos="3060"/>
          <w:tab w:val="left" w:pos="7560"/>
        </w:tabs>
        <w:snapToGrid w:val="0"/>
        <w:spacing w:line="480" w:lineRule="auto"/>
        <w:ind w:firstLine="1928" w:firstLineChars="600"/>
        <w:rPr>
          <w:rFonts w:ascii="宋体" w:hAnsi="宋体" w:cs="宋体"/>
          <w:b/>
          <w:bCs/>
          <w:spacing w:val="-10"/>
          <w:sz w:val="34"/>
          <w:szCs w:val="34"/>
          <w:highlight w:val="none"/>
        </w:rPr>
      </w:pPr>
      <w:r>
        <w:rPr>
          <w:rFonts w:hint="eastAsia" w:ascii="宋体" w:hAnsi="宋体" w:cs="宋体"/>
          <w:b/>
          <w:bCs/>
          <w:spacing w:val="-10"/>
          <w:sz w:val="34"/>
          <w:szCs w:val="34"/>
          <w:highlight w:val="none"/>
        </w:rPr>
        <w:t>日        期：2026年 2月</w:t>
      </w:r>
    </w:p>
    <w:p w14:paraId="1211CF7A">
      <w:pPr>
        <w:tabs>
          <w:tab w:val="left" w:pos="2505"/>
          <w:tab w:val="center" w:pos="4535"/>
        </w:tabs>
        <w:snapToGrid w:val="0"/>
        <w:spacing w:line="480" w:lineRule="auto"/>
        <w:jc w:val="center"/>
        <w:rPr>
          <w:rFonts w:ascii="宋体" w:hAnsi="宋体" w:cs="宋体"/>
          <w:b/>
          <w:sz w:val="36"/>
          <w:szCs w:val="36"/>
          <w:highlight w:val="none"/>
        </w:rPr>
        <w:sectPr>
          <w:pgSz w:w="11923" w:h="16838"/>
          <w:pgMar w:top="1304" w:right="1417" w:bottom="992" w:left="1417" w:header="720" w:footer="720" w:gutter="0"/>
          <w:pgNumType w:start="1"/>
          <w:cols w:space="720" w:num="1"/>
          <w:docGrid w:type="lines" w:linePitch="312" w:charSpace="0"/>
        </w:sectPr>
      </w:pPr>
    </w:p>
    <w:p w14:paraId="0DCCD89D">
      <w:pPr>
        <w:rPr>
          <w:rFonts w:ascii="宋体" w:hAnsi="宋体" w:cs="宋体"/>
          <w:bCs/>
          <w:sz w:val="24"/>
          <w:highlight w:val="none"/>
        </w:rPr>
      </w:pPr>
    </w:p>
    <w:p w14:paraId="707CA747">
      <w:pPr>
        <w:jc w:val="center"/>
        <w:rPr>
          <w:rFonts w:ascii="宋体" w:hAnsi="宋体" w:cs="宋体"/>
          <w:b/>
          <w:bCs/>
          <w:sz w:val="36"/>
          <w:szCs w:val="36"/>
          <w:highlight w:val="none"/>
        </w:rPr>
      </w:pPr>
      <w:r>
        <w:rPr>
          <w:rFonts w:hint="eastAsia" w:ascii="宋体" w:hAnsi="宋体" w:cs="宋体"/>
          <w:b/>
          <w:bCs/>
          <w:sz w:val="36"/>
          <w:szCs w:val="36"/>
          <w:highlight w:val="none"/>
        </w:rPr>
        <w:t>目录</w:t>
      </w:r>
    </w:p>
    <w:p w14:paraId="2DEE008D">
      <w:pPr>
        <w:pStyle w:val="54"/>
        <w:rPr>
          <w:color w:val="auto"/>
          <w:highlight w:val="none"/>
        </w:rPr>
      </w:pPr>
    </w:p>
    <w:p w14:paraId="39472998">
      <w:pPr>
        <w:pStyle w:val="26"/>
        <w:tabs>
          <w:tab w:val="right" w:leader="dot" w:pos="8958"/>
        </w:tabs>
        <w:spacing w:line="500" w:lineRule="exact"/>
        <w:rPr>
          <w:rFonts w:ascii="宋体" w:hAnsi="宋体" w:cs="宋体"/>
          <w:highlight w:val="none"/>
        </w:rPr>
      </w:pPr>
      <w:r>
        <w:rPr>
          <w:rFonts w:hint="eastAsia" w:ascii="宋体" w:hAnsi="宋体" w:cs="宋体"/>
          <w:b/>
          <w:bCs/>
          <w:sz w:val="32"/>
          <w:szCs w:val="32"/>
          <w:highlight w:val="none"/>
        </w:rPr>
        <w:fldChar w:fldCharType="begin"/>
      </w:r>
      <w:r>
        <w:rPr>
          <w:rFonts w:hint="eastAsia" w:ascii="宋体" w:hAnsi="宋体" w:cs="宋体"/>
          <w:b/>
          <w:bCs/>
          <w:sz w:val="32"/>
          <w:szCs w:val="32"/>
          <w:highlight w:val="none"/>
        </w:rPr>
        <w:instrText xml:space="preserve">TOC \o "1-1" \h \u </w:instrText>
      </w:r>
      <w:r>
        <w:rPr>
          <w:rFonts w:hint="eastAsia" w:ascii="宋体" w:hAnsi="宋体" w:cs="宋体"/>
          <w:b/>
          <w:bCs/>
          <w:sz w:val="32"/>
          <w:szCs w:val="32"/>
          <w:highlight w:val="none"/>
        </w:rPr>
        <w:fldChar w:fldCharType="separate"/>
      </w:r>
      <w:r>
        <w:rPr>
          <w:highlight w:val="none"/>
        </w:rPr>
        <w:fldChar w:fldCharType="begin"/>
      </w:r>
      <w:r>
        <w:rPr>
          <w:highlight w:val="none"/>
        </w:rPr>
        <w:instrText xml:space="preserve"> HYPERLINK \l "_Toc26528" </w:instrText>
      </w:r>
      <w:r>
        <w:rPr>
          <w:highlight w:val="none"/>
        </w:rPr>
        <w:fldChar w:fldCharType="separate"/>
      </w:r>
      <w:r>
        <w:rPr>
          <w:rFonts w:hint="eastAsia" w:ascii="宋体" w:hAnsi="宋体" w:cs="宋体"/>
          <w:szCs w:val="32"/>
          <w:highlight w:val="none"/>
        </w:rPr>
        <w:t>第一章  竞争性磋商公告</w:t>
      </w:r>
      <w:r>
        <w:rPr>
          <w:rFonts w:hint="eastAsia" w:ascii="宋体" w:hAnsi="宋体" w:cs="宋体"/>
          <w:highlight w:val="none"/>
        </w:rPr>
        <w:tab/>
      </w:r>
      <w:r>
        <w:rPr>
          <w:rFonts w:hint="eastAsia" w:ascii="宋体" w:hAnsi="宋体" w:cs="宋体"/>
          <w:highlight w:val="none"/>
        </w:rPr>
        <w:fldChar w:fldCharType="begin"/>
      </w:r>
      <w:r>
        <w:rPr>
          <w:rFonts w:hint="eastAsia" w:ascii="宋体" w:hAnsi="宋体" w:cs="宋体"/>
          <w:highlight w:val="none"/>
        </w:rPr>
        <w:instrText xml:space="preserve"> PAGEREF _Toc26528 \h </w:instrText>
      </w:r>
      <w:r>
        <w:rPr>
          <w:rFonts w:hint="eastAsia" w:ascii="宋体" w:hAnsi="宋体" w:cs="宋体"/>
          <w:highlight w:val="none"/>
        </w:rPr>
        <w:fldChar w:fldCharType="separate"/>
      </w:r>
      <w:r>
        <w:rPr>
          <w:rFonts w:hint="eastAsia" w:ascii="宋体" w:hAnsi="宋体" w:cs="宋体"/>
          <w:highlight w:val="none"/>
        </w:rPr>
        <w:t>2</w:t>
      </w:r>
      <w:r>
        <w:rPr>
          <w:rFonts w:hint="eastAsia" w:ascii="宋体" w:hAnsi="宋体" w:cs="宋体"/>
          <w:highlight w:val="none"/>
        </w:rPr>
        <w:fldChar w:fldCharType="end"/>
      </w:r>
      <w:r>
        <w:rPr>
          <w:rFonts w:hint="eastAsia" w:ascii="宋体" w:hAnsi="宋体" w:cs="宋体"/>
          <w:highlight w:val="none"/>
        </w:rPr>
        <w:fldChar w:fldCharType="end"/>
      </w:r>
    </w:p>
    <w:p w14:paraId="1CDE8F31">
      <w:pPr>
        <w:pStyle w:val="26"/>
        <w:tabs>
          <w:tab w:val="right" w:leader="dot" w:pos="8958"/>
        </w:tabs>
        <w:spacing w:line="500" w:lineRule="exact"/>
        <w:rPr>
          <w:rFonts w:ascii="宋体" w:hAnsi="宋体" w:cs="宋体"/>
          <w:highlight w:val="none"/>
        </w:rPr>
      </w:pPr>
      <w:r>
        <w:rPr>
          <w:highlight w:val="none"/>
        </w:rPr>
        <w:fldChar w:fldCharType="begin"/>
      </w:r>
      <w:r>
        <w:rPr>
          <w:highlight w:val="none"/>
        </w:rPr>
        <w:instrText xml:space="preserve"> HYPERLINK \l "_Toc19124" </w:instrText>
      </w:r>
      <w:r>
        <w:rPr>
          <w:highlight w:val="none"/>
        </w:rPr>
        <w:fldChar w:fldCharType="separate"/>
      </w:r>
      <w:r>
        <w:rPr>
          <w:rFonts w:hint="eastAsia" w:ascii="宋体" w:hAnsi="宋体" w:cs="宋体"/>
          <w:szCs w:val="32"/>
          <w:highlight w:val="none"/>
        </w:rPr>
        <w:t>第二章  采购需求</w:t>
      </w:r>
      <w:r>
        <w:rPr>
          <w:rFonts w:hint="eastAsia" w:ascii="宋体" w:hAnsi="宋体" w:cs="宋体"/>
          <w:highlight w:val="none"/>
        </w:rPr>
        <w:tab/>
      </w:r>
      <w:r>
        <w:rPr>
          <w:rFonts w:hint="eastAsia" w:ascii="宋体" w:hAnsi="宋体" w:cs="宋体"/>
          <w:highlight w:val="none"/>
        </w:rPr>
        <w:fldChar w:fldCharType="begin"/>
      </w:r>
      <w:r>
        <w:rPr>
          <w:rFonts w:hint="eastAsia" w:ascii="宋体" w:hAnsi="宋体" w:cs="宋体"/>
          <w:highlight w:val="none"/>
        </w:rPr>
        <w:instrText xml:space="preserve"> PAGEREF _Toc19124 \h </w:instrText>
      </w:r>
      <w:r>
        <w:rPr>
          <w:rFonts w:hint="eastAsia" w:ascii="宋体" w:hAnsi="宋体" w:cs="宋体"/>
          <w:highlight w:val="none"/>
        </w:rPr>
        <w:fldChar w:fldCharType="separate"/>
      </w:r>
      <w:r>
        <w:rPr>
          <w:rFonts w:hint="eastAsia" w:ascii="宋体" w:hAnsi="宋体" w:cs="宋体"/>
          <w:highlight w:val="none"/>
        </w:rPr>
        <w:t>4</w:t>
      </w:r>
      <w:r>
        <w:rPr>
          <w:rFonts w:hint="eastAsia" w:ascii="宋体" w:hAnsi="宋体" w:cs="宋体"/>
          <w:highlight w:val="none"/>
        </w:rPr>
        <w:fldChar w:fldCharType="end"/>
      </w:r>
      <w:r>
        <w:rPr>
          <w:rFonts w:hint="eastAsia" w:ascii="宋体" w:hAnsi="宋体" w:cs="宋体"/>
          <w:highlight w:val="none"/>
        </w:rPr>
        <w:fldChar w:fldCharType="end"/>
      </w:r>
    </w:p>
    <w:p w14:paraId="13A4C315">
      <w:pPr>
        <w:pStyle w:val="26"/>
        <w:tabs>
          <w:tab w:val="right" w:leader="dot" w:pos="8958"/>
        </w:tabs>
        <w:spacing w:line="500" w:lineRule="exact"/>
        <w:rPr>
          <w:rFonts w:ascii="宋体" w:hAnsi="宋体" w:cs="宋体"/>
          <w:highlight w:val="none"/>
        </w:rPr>
      </w:pPr>
      <w:r>
        <w:rPr>
          <w:highlight w:val="none"/>
        </w:rPr>
        <w:fldChar w:fldCharType="begin"/>
      </w:r>
      <w:r>
        <w:rPr>
          <w:highlight w:val="none"/>
        </w:rPr>
        <w:instrText xml:space="preserve"> HYPERLINK \l "_Toc8501" </w:instrText>
      </w:r>
      <w:r>
        <w:rPr>
          <w:highlight w:val="none"/>
        </w:rPr>
        <w:fldChar w:fldCharType="separate"/>
      </w:r>
      <w:r>
        <w:rPr>
          <w:rFonts w:hint="eastAsia" w:ascii="宋体" w:hAnsi="宋体" w:cs="宋体"/>
          <w:bCs/>
          <w:szCs w:val="32"/>
          <w:highlight w:val="none"/>
        </w:rPr>
        <w:t>第三章  供应商须知</w:t>
      </w:r>
      <w:r>
        <w:rPr>
          <w:rFonts w:hint="eastAsia" w:ascii="宋体" w:hAnsi="宋体" w:cs="宋体"/>
          <w:highlight w:val="none"/>
        </w:rPr>
        <w:tab/>
      </w:r>
      <w:r>
        <w:rPr>
          <w:rFonts w:hint="eastAsia" w:ascii="宋体" w:hAnsi="宋体" w:cs="宋体"/>
          <w:highlight w:val="none"/>
        </w:rPr>
        <w:t>5</w:t>
      </w:r>
      <w:r>
        <w:rPr>
          <w:rFonts w:hint="eastAsia" w:ascii="宋体" w:hAnsi="宋体" w:cs="宋体"/>
          <w:highlight w:val="none"/>
        </w:rPr>
        <w:fldChar w:fldCharType="end"/>
      </w:r>
    </w:p>
    <w:p w14:paraId="472E003A">
      <w:pPr>
        <w:pStyle w:val="26"/>
        <w:tabs>
          <w:tab w:val="right" w:leader="dot" w:pos="8958"/>
        </w:tabs>
        <w:spacing w:line="500" w:lineRule="exact"/>
        <w:rPr>
          <w:rFonts w:ascii="宋体" w:hAnsi="宋体" w:cs="宋体"/>
          <w:highlight w:val="none"/>
        </w:rPr>
      </w:pPr>
      <w:r>
        <w:rPr>
          <w:highlight w:val="none"/>
        </w:rPr>
        <w:fldChar w:fldCharType="begin"/>
      </w:r>
      <w:r>
        <w:rPr>
          <w:highlight w:val="none"/>
        </w:rPr>
        <w:instrText xml:space="preserve"> HYPERLINK \l "_Toc31399" </w:instrText>
      </w:r>
      <w:r>
        <w:rPr>
          <w:highlight w:val="none"/>
        </w:rPr>
        <w:fldChar w:fldCharType="separate"/>
      </w:r>
      <w:r>
        <w:rPr>
          <w:rFonts w:hint="eastAsia" w:ascii="宋体" w:hAnsi="宋体" w:cs="宋体"/>
          <w:bCs/>
          <w:kern w:val="0"/>
          <w:szCs w:val="32"/>
          <w:highlight w:val="none"/>
        </w:rPr>
        <w:t>第四章  评标办法及评分标准</w:t>
      </w:r>
      <w:r>
        <w:rPr>
          <w:rFonts w:hint="eastAsia" w:ascii="宋体" w:hAnsi="宋体" w:cs="宋体"/>
          <w:highlight w:val="none"/>
        </w:rPr>
        <w:tab/>
      </w:r>
      <w:r>
        <w:rPr>
          <w:rFonts w:hint="eastAsia" w:ascii="宋体" w:hAnsi="宋体" w:cs="宋体"/>
          <w:highlight w:val="none"/>
        </w:rPr>
        <w:fldChar w:fldCharType="begin"/>
      </w:r>
      <w:r>
        <w:rPr>
          <w:rFonts w:hint="eastAsia" w:ascii="宋体" w:hAnsi="宋体" w:cs="宋体"/>
          <w:highlight w:val="none"/>
        </w:rPr>
        <w:instrText xml:space="preserve"> PAGEREF _Toc31399 \h </w:instrText>
      </w:r>
      <w:r>
        <w:rPr>
          <w:rFonts w:hint="eastAsia" w:ascii="宋体" w:hAnsi="宋体" w:cs="宋体"/>
          <w:highlight w:val="none"/>
        </w:rPr>
        <w:fldChar w:fldCharType="separate"/>
      </w:r>
      <w:r>
        <w:rPr>
          <w:rFonts w:hint="eastAsia" w:ascii="宋体" w:hAnsi="宋体" w:cs="宋体"/>
          <w:highlight w:val="none"/>
        </w:rPr>
        <w:t>15</w:t>
      </w:r>
      <w:r>
        <w:rPr>
          <w:rFonts w:hint="eastAsia" w:ascii="宋体" w:hAnsi="宋体" w:cs="宋体"/>
          <w:highlight w:val="none"/>
        </w:rPr>
        <w:fldChar w:fldCharType="end"/>
      </w:r>
      <w:r>
        <w:rPr>
          <w:rFonts w:hint="eastAsia" w:ascii="宋体" w:hAnsi="宋体" w:cs="宋体"/>
          <w:highlight w:val="none"/>
        </w:rPr>
        <w:fldChar w:fldCharType="end"/>
      </w:r>
    </w:p>
    <w:p w14:paraId="70FEB45F">
      <w:pPr>
        <w:pStyle w:val="26"/>
        <w:tabs>
          <w:tab w:val="right" w:leader="dot" w:pos="8958"/>
        </w:tabs>
        <w:spacing w:line="500" w:lineRule="exact"/>
        <w:rPr>
          <w:rFonts w:ascii="宋体" w:hAnsi="宋体" w:cs="宋体"/>
          <w:highlight w:val="none"/>
        </w:rPr>
      </w:pPr>
      <w:r>
        <w:rPr>
          <w:highlight w:val="none"/>
        </w:rPr>
        <w:fldChar w:fldCharType="begin"/>
      </w:r>
      <w:r>
        <w:rPr>
          <w:highlight w:val="none"/>
        </w:rPr>
        <w:instrText xml:space="preserve"> HYPERLINK \l "_Toc11904" </w:instrText>
      </w:r>
      <w:r>
        <w:rPr>
          <w:highlight w:val="none"/>
        </w:rPr>
        <w:fldChar w:fldCharType="separate"/>
      </w:r>
      <w:r>
        <w:rPr>
          <w:rFonts w:hint="eastAsia" w:ascii="宋体" w:hAnsi="宋体" w:cs="宋体"/>
          <w:szCs w:val="28"/>
          <w:highlight w:val="none"/>
        </w:rPr>
        <w:t>第五章  采购合同</w:t>
      </w:r>
      <w:r>
        <w:rPr>
          <w:rFonts w:hint="eastAsia" w:ascii="宋体" w:hAnsi="宋体" w:cs="宋体"/>
          <w:highlight w:val="none"/>
        </w:rPr>
        <w:tab/>
      </w:r>
      <w:r>
        <w:rPr>
          <w:rFonts w:hint="eastAsia" w:ascii="宋体" w:hAnsi="宋体" w:cs="宋体"/>
          <w:highlight w:val="none"/>
        </w:rPr>
        <w:t>17</w:t>
      </w:r>
      <w:r>
        <w:rPr>
          <w:rFonts w:hint="eastAsia" w:ascii="宋体" w:hAnsi="宋体" w:cs="宋体"/>
          <w:highlight w:val="none"/>
        </w:rPr>
        <w:fldChar w:fldCharType="end"/>
      </w:r>
    </w:p>
    <w:p w14:paraId="5005A4CA">
      <w:pPr>
        <w:pStyle w:val="26"/>
        <w:tabs>
          <w:tab w:val="right" w:leader="dot" w:pos="8958"/>
        </w:tabs>
        <w:spacing w:line="500" w:lineRule="exact"/>
        <w:rPr>
          <w:highlight w:val="none"/>
        </w:rPr>
      </w:pPr>
      <w:r>
        <w:rPr>
          <w:highlight w:val="none"/>
        </w:rPr>
        <w:fldChar w:fldCharType="begin"/>
      </w:r>
      <w:r>
        <w:rPr>
          <w:highlight w:val="none"/>
        </w:rPr>
        <w:instrText xml:space="preserve"> HYPERLINK \l "_Toc18702" </w:instrText>
      </w:r>
      <w:r>
        <w:rPr>
          <w:highlight w:val="none"/>
        </w:rPr>
        <w:fldChar w:fldCharType="separate"/>
      </w:r>
      <w:r>
        <w:rPr>
          <w:rFonts w:hint="eastAsia" w:ascii="宋体" w:hAnsi="宋体" w:cs="宋体"/>
          <w:szCs w:val="32"/>
          <w:highlight w:val="none"/>
        </w:rPr>
        <w:t>第六章  响应文件格式</w:t>
      </w:r>
      <w:r>
        <w:rPr>
          <w:rFonts w:hint="eastAsia" w:ascii="宋体" w:hAnsi="宋体" w:cs="宋体"/>
          <w:highlight w:val="none"/>
        </w:rPr>
        <w:tab/>
      </w:r>
      <w:r>
        <w:rPr>
          <w:rFonts w:hint="eastAsia" w:ascii="宋体" w:hAnsi="宋体" w:cs="宋体"/>
          <w:highlight w:val="none"/>
        </w:rPr>
        <w:t>18</w:t>
      </w:r>
      <w:r>
        <w:rPr>
          <w:rFonts w:hint="eastAsia" w:ascii="宋体" w:hAnsi="宋体" w:cs="宋体"/>
          <w:highlight w:val="none"/>
        </w:rPr>
        <w:fldChar w:fldCharType="end"/>
      </w:r>
    </w:p>
    <w:p w14:paraId="40CA1AB0">
      <w:pPr>
        <w:pStyle w:val="84"/>
        <w:tabs>
          <w:tab w:val="right" w:leader="dot" w:pos="8300"/>
        </w:tabs>
        <w:snapToGrid w:val="0"/>
        <w:spacing w:line="360" w:lineRule="auto"/>
        <w:rPr>
          <w:rFonts w:ascii="宋体" w:hAnsi="宋体" w:cs="宋体"/>
          <w:sz w:val="32"/>
          <w:szCs w:val="32"/>
          <w:highlight w:val="none"/>
        </w:rPr>
      </w:pPr>
      <w:r>
        <w:rPr>
          <w:rFonts w:hint="eastAsia" w:ascii="宋体" w:hAnsi="宋体" w:cs="宋体"/>
          <w:bCs/>
          <w:szCs w:val="32"/>
          <w:highlight w:val="none"/>
        </w:rPr>
        <w:fldChar w:fldCharType="end"/>
      </w:r>
    </w:p>
    <w:p w14:paraId="1ED00DB8">
      <w:pPr>
        <w:spacing w:line="440" w:lineRule="exact"/>
        <w:rPr>
          <w:rFonts w:ascii="宋体" w:hAnsi="宋体" w:cs="宋体"/>
          <w:b/>
          <w:sz w:val="32"/>
          <w:szCs w:val="32"/>
          <w:highlight w:val="none"/>
        </w:rPr>
      </w:pPr>
    </w:p>
    <w:p w14:paraId="573E5D1A">
      <w:pPr>
        <w:spacing w:line="360" w:lineRule="auto"/>
        <w:ind w:firstLine="2409" w:firstLineChars="600"/>
        <w:rPr>
          <w:rFonts w:ascii="宋体" w:hAnsi="宋体" w:cs="宋体"/>
          <w:b/>
          <w:sz w:val="40"/>
          <w:szCs w:val="40"/>
          <w:highlight w:val="none"/>
        </w:rPr>
        <w:sectPr>
          <w:headerReference r:id="rId3" w:type="default"/>
          <w:footerReference r:id="rId4" w:type="default"/>
          <w:pgSz w:w="11906" w:h="16838"/>
          <w:pgMar w:top="1417" w:right="1474" w:bottom="1417" w:left="1474" w:header="851" w:footer="624" w:gutter="0"/>
          <w:pgNumType w:start="1"/>
          <w:cols w:space="720" w:num="1"/>
          <w:docGrid w:type="lines" w:linePitch="319" w:charSpace="0"/>
        </w:sectPr>
      </w:pPr>
    </w:p>
    <w:p w14:paraId="0259AAD8">
      <w:pPr>
        <w:spacing w:line="360" w:lineRule="auto"/>
        <w:jc w:val="center"/>
        <w:outlineLvl w:val="0"/>
        <w:rPr>
          <w:rFonts w:ascii="宋体" w:hAnsi="宋体" w:cs="宋体"/>
          <w:b/>
          <w:sz w:val="32"/>
          <w:szCs w:val="32"/>
          <w:highlight w:val="none"/>
        </w:rPr>
      </w:pPr>
      <w:bookmarkStart w:id="0" w:name="_Toc26528"/>
      <w:r>
        <w:rPr>
          <w:rFonts w:hint="eastAsia" w:ascii="宋体" w:hAnsi="宋体" w:cs="宋体"/>
          <w:b/>
          <w:sz w:val="32"/>
          <w:szCs w:val="32"/>
          <w:highlight w:val="none"/>
        </w:rPr>
        <w:t>第一章  竞争性磋商采购公告</w:t>
      </w:r>
      <w:bookmarkEnd w:id="0"/>
    </w:p>
    <w:p w14:paraId="0E6954D9">
      <w:pPr>
        <w:widowControl/>
        <w:adjustRightInd w:val="0"/>
        <w:snapToGrid w:val="0"/>
        <w:spacing w:line="324" w:lineRule="auto"/>
        <w:jc w:val="center"/>
        <w:rPr>
          <w:rFonts w:ascii="宋体" w:hAnsi="宋体" w:cs="宋体"/>
          <w:b/>
          <w:kern w:val="0"/>
          <w:sz w:val="28"/>
          <w:szCs w:val="28"/>
          <w:highlight w:val="none"/>
        </w:rPr>
      </w:pPr>
      <w:r>
        <w:rPr>
          <w:rFonts w:hint="eastAsia" w:ascii="宋体" w:hAnsi="宋体" w:cs="宋体"/>
          <w:b/>
          <w:kern w:val="0"/>
          <w:sz w:val="28"/>
          <w:szCs w:val="28"/>
          <w:highlight w:val="none"/>
        </w:rPr>
        <w:t>驻马店市中心医院康复分院病房楼改造项目屋面防水工程</w:t>
      </w:r>
    </w:p>
    <w:p w14:paraId="158D0201">
      <w:pPr>
        <w:widowControl/>
        <w:adjustRightInd w:val="0"/>
        <w:snapToGrid w:val="0"/>
        <w:spacing w:line="324" w:lineRule="auto"/>
        <w:jc w:val="center"/>
        <w:rPr>
          <w:rFonts w:ascii="宋体" w:hAnsi="宋体" w:cs="宋体"/>
          <w:b/>
          <w:kern w:val="0"/>
          <w:sz w:val="28"/>
          <w:szCs w:val="28"/>
          <w:highlight w:val="none"/>
        </w:rPr>
      </w:pPr>
      <w:r>
        <w:rPr>
          <w:rFonts w:hint="eastAsia" w:ascii="宋体" w:hAnsi="宋体" w:cs="宋体"/>
          <w:b/>
          <w:kern w:val="0"/>
          <w:sz w:val="28"/>
          <w:szCs w:val="28"/>
          <w:highlight w:val="none"/>
        </w:rPr>
        <w:t>竞争性磋商公告</w:t>
      </w:r>
    </w:p>
    <w:p w14:paraId="5A7982BD">
      <w:pPr>
        <w:widowControl/>
        <w:tabs>
          <w:tab w:val="left" w:pos="840"/>
        </w:tabs>
        <w:snapToGrid w:val="0"/>
        <w:spacing w:line="324" w:lineRule="auto"/>
        <w:ind w:firstLine="420" w:firstLineChars="200"/>
        <w:jc w:val="left"/>
        <w:rPr>
          <w:rFonts w:ascii="宋体" w:hAnsi="宋体" w:cs="宋体"/>
          <w:sz w:val="24"/>
          <w:highlight w:val="none"/>
        </w:rPr>
      </w:pPr>
      <w:r>
        <w:rPr>
          <w:rFonts w:hint="eastAsia"/>
          <w:szCs w:val="32"/>
          <w:highlight w:val="none"/>
        </w:rPr>
        <w:t xml:space="preserve"> </w:t>
      </w:r>
      <w:r>
        <w:rPr>
          <w:rFonts w:hint="eastAsia" w:ascii="宋体" w:hAnsi="宋体" w:cs="宋体"/>
          <w:sz w:val="24"/>
          <w:highlight w:val="none"/>
          <w:shd w:val="clear" w:color="auto" w:fill="FFFFFF"/>
        </w:rPr>
        <w:t>驻马店市中心医院现对驻马店市中心医院康复分院病房楼改造项目屋面防水工程进行院内竞争性磋商采购，欢迎符合资格条件的供应商前来报名并获取采购文件。</w:t>
      </w:r>
    </w:p>
    <w:p w14:paraId="27462545">
      <w:pPr>
        <w:widowControl/>
        <w:snapToGrid w:val="0"/>
        <w:spacing w:line="324" w:lineRule="auto"/>
        <w:jc w:val="left"/>
        <w:outlineLvl w:val="1"/>
        <w:rPr>
          <w:rFonts w:ascii="宋体" w:hAnsi="宋体" w:cs="宋体"/>
          <w:b/>
          <w:bCs/>
          <w:sz w:val="24"/>
          <w:highlight w:val="none"/>
          <w:shd w:val="clear" w:color="auto" w:fill="FFFFFF"/>
        </w:rPr>
      </w:pPr>
      <w:r>
        <w:rPr>
          <w:rFonts w:hint="eastAsia" w:ascii="宋体" w:hAnsi="宋体" w:cs="宋体"/>
          <w:b/>
          <w:bCs/>
          <w:sz w:val="24"/>
          <w:highlight w:val="none"/>
          <w:shd w:val="clear" w:color="auto" w:fill="FFFFFF"/>
        </w:rPr>
        <w:t>一、项目基本情况</w:t>
      </w:r>
    </w:p>
    <w:p w14:paraId="56464897">
      <w:pPr>
        <w:widowControl/>
        <w:tabs>
          <w:tab w:val="left" w:pos="840"/>
        </w:tabs>
        <w:snapToGrid w:val="0"/>
        <w:spacing w:line="324" w:lineRule="auto"/>
        <w:ind w:firstLine="480" w:firstLineChars="200"/>
        <w:jc w:val="left"/>
        <w:rPr>
          <w:rFonts w:ascii="宋体" w:hAnsi="宋体" w:cs="宋体"/>
          <w:sz w:val="24"/>
          <w:highlight w:val="none"/>
          <w:shd w:val="clear" w:color="auto" w:fill="FFFFFF"/>
        </w:rPr>
      </w:pPr>
      <w:r>
        <w:rPr>
          <w:rFonts w:hint="eastAsia" w:ascii="宋体" w:hAnsi="宋体" w:cs="宋体"/>
          <w:sz w:val="24"/>
          <w:highlight w:val="none"/>
          <w:shd w:val="clear" w:color="auto" w:fill="FFFFFF"/>
        </w:rPr>
        <w:t>1、采购项目名称：驻马店市中心医院康复分院病房楼改造项目屋面防水工程</w:t>
      </w:r>
    </w:p>
    <w:p w14:paraId="42057122">
      <w:pPr>
        <w:widowControl/>
        <w:tabs>
          <w:tab w:val="left" w:pos="840"/>
        </w:tabs>
        <w:snapToGrid w:val="0"/>
        <w:spacing w:line="324" w:lineRule="auto"/>
        <w:ind w:firstLine="480" w:firstLineChars="200"/>
        <w:jc w:val="left"/>
        <w:rPr>
          <w:rFonts w:ascii="宋体" w:hAnsi="宋体" w:cs="宋体"/>
          <w:sz w:val="24"/>
          <w:highlight w:val="none"/>
          <w:shd w:val="clear" w:color="auto" w:fill="FFFFFF"/>
        </w:rPr>
      </w:pPr>
      <w:r>
        <w:rPr>
          <w:rFonts w:hint="eastAsia" w:ascii="宋体" w:hAnsi="宋体" w:cs="宋体"/>
          <w:sz w:val="24"/>
          <w:highlight w:val="none"/>
          <w:shd w:val="clear" w:color="auto" w:fill="FFFFFF"/>
        </w:rPr>
        <w:t>2、采购需求：具体详见详见图纸及工程量清单</w:t>
      </w:r>
    </w:p>
    <w:p w14:paraId="374006CC">
      <w:pPr>
        <w:widowControl/>
        <w:tabs>
          <w:tab w:val="left" w:pos="840"/>
        </w:tabs>
        <w:snapToGrid w:val="0"/>
        <w:spacing w:line="324" w:lineRule="auto"/>
        <w:ind w:firstLine="480" w:firstLineChars="200"/>
        <w:jc w:val="left"/>
        <w:rPr>
          <w:rFonts w:ascii="宋体" w:hAnsi="宋体" w:cs="宋体"/>
          <w:sz w:val="24"/>
          <w:highlight w:val="none"/>
          <w:shd w:val="clear" w:color="auto" w:fill="FFFFFF"/>
        </w:rPr>
      </w:pPr>
      <w:r>
        <w:rPr>
          <w:rFonts w:hint="eastAsia" w:ascii="宋体" w:hAnsi="宋体" w:cs="宋体"/>
          <w:sz w:val="24"/>
          <w:highlight w:val="none"/>
          <w:shd w:val="clear" w:color="auto" w:fill="FFFFFF"/>
        </w:rPr>
        <w:t>3</w:t>
      </w:r>
      <w:bookmarkStart w:id="1" w:name="_Toc26725"/>
      <w:r>
        <w:rPr>
          <w:rFonts w:hint="eastAsia" w:ascii="宋体" w:hAnsi="宋体" w:cs="宋体"/>
          <w:sz w:val="24"/>
          <w:highlight w:val="none"/>
          <w:shd w:val="clear" w:color="auto" w:fill="FFFFFF"/>
        </w:rPr>
        <w:t>、预算金额：341000元</w:t>
      </w:r>
    </w:p>
    <w:p w14:paraId="5F1E3379">
      <w:pPr>
        <w:widowControl/>
        <w:tabs>
          <w:tab w:val="left" w:pos="840"/>
        </w:tabs>
        <w:snapToGrid w:val="0"/>
        <w:spacing w:line="324" w:lineRule="auto"/>
        <w:ind w:firstLine="480" w:firstLineChars="200"/>
        <w:jc w:val="left"/>
        <w:rPr>
          <w:rFonts w:ascii="宋体" w:hAnsi="宋体" w:cs="宋体"/>
          <w:sz w:val="24"/>
          <w:highlight w:val="none"/>
          <w:shd w:val="clear" w:color="auto" w:fill="FFFFFF"/>
        </w:rPr>
      </w:pPr>
      <w:r>
        <w:rPr>
          <w:rFonts w:hint="eastAsia" w:ascii="宋体" w:hAnsi="宋体" w:cs="宋体"/>
          <w:sz w:val="24"/>
          <w:highlight w:val="none"/>
          <w:shd w:val="clear" w:color="auto" w:fill="FFFFFF"/>
        </w:rPr>
        <w:t>4、工期：45日历天</w:t>
      </w:r>
    </w:p>
    <w:p w14:paraId="121B021F">
      <w:pPr>
        <w:widowControl/>
        <w:tabs>
          <w:tab w:val="left" w:pos="840"/>
        </w:tabs>
        <w:snapToGrid w:val="0"/>
        <w:spacing w:line="324" w:lineRule="auto"/>
        <w:ind w:firstLine="480" w:firstLineChars="200"/>
        <w:jc w:val="left"/>
        <w:rPr>
          <w:rFonts w:ascii="宋体" w:hAnsi="宋体" w:cs="宋体"/>
          <w:sz w:val="24"/>
          <w:highlight w:val="none"/>
          <w:shd w:val="clear" w:color="auto" w:fill="FFFFFF"/>
        </w:rPr>
      </w:pPr>
      <w:r>
        <w:rPr>
          <w:rFonts w:hint="eastAsia" w:ascii="宋体" w:hAnsi="宋体" w:cs="宋体"/>
          <w:sz w:val="24"/>
          <w:highlight w:val="none"/>
          <w:shd w:val="clear" w:color="auto" w:fill="FFFFFF"/>
        </w:rPr>
        <w:t>5、质量要求：合格</w:t>
      </w:r>
    </w:p>
    <w:p w14:paraId="55D689D0">
      <w:pPr>
        <w:widowControl/>
        <w:snapToGrid w:val="0"/>
        <w:spacing w:line="324" w:lineRule="auto"/>
        <w:jc w:val="left"/>
        <w:outlineLvl w:val="1"/>
        <w:rPr>
          <w:rFonts w:ascii="宋体" w:hAnsi="宋体" w:cs="宋体"/>
          <w:b/>
          <w:bCs/>
          <w:sz w:val="24"/>
          <w:highlight w:val="none"/>
          <w:shd w:val="clear" w:color="auto" w:fill="FFFFFF"/>
        </w:rPr>
      </w:pPr>
      <w:bookmarkStart w:id="2" w:name="_Toc16639"/>
      <w:bookmarkStart w:id="3" w:name="_Toc23626"/>
      <w:bookmarkStart w:id="4" w:name="_Toc18607"/>
      <w:bookmarkStart w:id="5" w:name="_Toc27704"/>
      <w:r>
        <w:rPr>
          <w:rFonts w:hint="eastAsia" w:ascii="宋体" w:hAnsi="宋体" w:cs="宋体"/>
          <w:b/>
          <w:bCs/>
          <w:sz w:val="24"/>
          <w:highlight w:val="none"/>
          <w:shd w:val="clear" w:color="auto" w:fill="FFFFFF"/>
        </w:rPr>
        <w:t>二、</w:t>
      </w:r>
      <w:bookmarkEnd w:id="1"/>
      <w:bookmarkEnd w:id="2"/>
      <w:bookmarkEnd w:id="3"/>
      <w:bookmarkEnd w:id="4"/>
      <w:bookmarkEnd w:id="5"/>
      <w:r>
        <w:rPr>
          <w:rFonts w:hint="eastAsia" w:ascii="宋体" w:hAnsi="宋体" w:cs="宋体"/>
          <w:b/>
          <w:bCs/>
          <w:sz w:val="24"/>
          <w:highlight w:val="none"/>
          <w:shd w:val="clear" w:color="auto" w:fill="FFFFFF"/>
        </w:rPr>
        <w:t>供应商资格要求：</w:t>
      </w:r>
    </w:p>
    <w:p w14:paraId="317FB636">
      <w:pPr>
        <w:widowControl/>
        <w:tabs>
          <w:tab w:val="left" w:pos="840"/>
        </w:tabs>
        <w:snapToGrid w:val="0"/>
        <w:spacing w:line="324" w:lineRule="auto"/>
        <w:ind w:firstLine="480" w:firstLineChars="200"/>
        <w:jc w:val="left"/>
        <w:rPr>
          <w:rFonts w:ascii="宋体" w:hAnsi="宋体" w:cs="宋体"/>
          <w:sz w:val="24"/>
          <w:highlight w:val="none"/>
          <w:shd w:val="clear" w:color="auto" w:fill="FFFFFF"/>
        </w:rPr>
      </w:pPr>
      <w:bookmarkStart w:id="6" w:name="_Toc23395"/>
      <w:bookmarkStart w:id="7" w:name="_Toc7823"/>
      <w:bookmarkStart w:id="8" w:name="_Toc30971"/>
      <w:bookmarkStart w:id="9" w:name="_Toc30643"/>
      <w:bookmarkStart w:id="10" w:name="_Toc9562"/>
      <w:r>
        <w:rPr>
          <w:rFonts w:hint="eastAsia" w:ascii="宋体" w:hAnsi="宋体" w:cs="宋体"/>
          <w:sz w:val="24"/>
          <w:highlight w:val="none"/>
          <w:shd w:val="clear" w:color="auto" w:fill="FFFFFF"/>
        </w:rPr>
        <w:t>1、具有独立承担民事责任的能力（提供营业执照或其他证明材料）；</w:t>
      </w:r>
    </w:p>
    <w:p w14:paraId="18C26B5B">
      <w:pPr>
        <w:widowControl/>
        <w:tabs>
          <w:tab w:val="left" w:pos="840"/>
        </w:tabs>
        <w:snapToGrid w:val="0"/>
        <w:spacing w:line="324" w:lineRule="auto"/>
        <w:ind w:firstLine="480" w:firstLineChars="200"/>
        <w:jc w:val="left"/>
        <w:rPr>
          <w:rFonts w:ascii="宋体" w:hAnsi="宋体" w:cs="宋体"/>
          <w:sz w:val="24"/>
          <w:highlight w:val="none"/>
          <w:shd w:val="clear" w:color="auto" w:fill="FFFFFF"/>
        </w:rPr>
      </w:pPr>
      <w:r>
        <w:rPr>
          <w:rFonts w:hint="eastAsia" w:ascii="宋体" w:hAnsi="宋体" w:cs="宋体"/>
          <w:sz w:val="24"/>
          <w:highlight w:val="none"/>
          <w:shd w:val="clear" w:color="auto" w:fill="FFFFFF"/>
        </w:rPr>
        <w:t>2、具有良好的商业信誉和健全的财务会计制度（提供经审计的2024年度财务报告或者其基本开户银行出具的资信证明）；</w:t>
      </w:r>
    </w:p>
    <w:p w14:paraId="30394CED">
      <w:pPr>
        <w:widowControl/>
        <w:tabs>
          <w:tab w:val="left" w:pos="840"/>
        </w:tabs>
        <w:snapToGrid w:val="0"/>
        <w:spacing w:line="324" w:lineRule="auto"/>
        <w:ind w:firstLine="480" w:firstLineChars="200"/>
        <w:jc w:val="left"/>
        <w:rPr>
          <w:rFonts w:ascii="宋体" w:hAnsi="宋体" w:cs="宋体"/>
          <w:sz w:val="24"/>
          <w:highlight w:val="none"/>
          <w:shd w:val="clear" w:color="auto" w:fill="FFFFFF"/>
        </w:rPr>
      </w:pPr>
      <w:r>
        <w:rPr>
          <w:rFonts w:hint="eastAsia" w:ascii="宋体" w:hAnsi="宋体" w:cs="宋体"/>
          <w:sz w:val="24"/>
          <w:highlight w:val="none"/>
          <w:shd w:val="clear" w:color="auto" w:fill="FFFFFF"/>
        </w:rPr>
        <w:t>3、具有依法缴纳税收和社会保障资金的良好记录（提供采购活动近六个月任意一个月的依法缴纳税收和缴纳社保的证明；依法免税或不需要缴纳社会保障资金的，应提供相应文件证明其依法免税或不需要缴纳社会保障资金）。</w:t>
      </w:r>
    </w:p>
    <w:p w14:paraId="4DD070C6">
      <w:pPr>
        <w:widowControl/>
        <w:tabs>
          <w:tab w:val="left" w:pos="840"/>
        </w:tabs>
        <w:snapToGrid w:val="0"/>
        <w:spacing w:line="360" w:lineRule="auto"/>
        <w:ind w:firstLine="480" w:firstLineChars="200"/>
        <w:jc w:val="left"/>
        <w:rPr>
          <w:rFonts w:ascii="宋体" w:hAnsi="宋体" w:cs="宋体"/>
          <w:sz w:val="24"/>
          <w:highlight w:val="none"/>
          <w:shd w:val="clear" w:color="auto" w:fill="FFFFFF"/>
        </w:rPr>
      </w:pPr>
      <w:r>
        <w:rPr>
          <w:rFonts w:hint="eastAsia" w:ascii="宋体" w:hAnsi="宋体" w:cs="宋体"/>
          <w:sz w:val="24"/>
          <w:highlight w:val="none"/>
          <w:shd w:val="clear" w:color="auto" w:fill="FFFFFF"/>
        </w:rPr>
        <w:t>4、具有履行合同所必需的设备和专业技术能力（提供书面承诺函）；</w:t>
      </w:r>
    </w:p>
    <w:p w14:paraId="7F75E6F1">
      <w:pPr>
        <w:widowControl/>
        <w:tabs>
          <w:tab w:val="left" w:pos="840"/>
        </w:tabs>
        <w:snapToGrid w:val="0"/>
        <w:spacing w:line="360" w:lineRule="auto"/>
        <w:ind w:firstLine="480" w:firstLineChars="200"/>
        <w:jc w:val="left"/>
        <w:rPr>
          <w:sz w:val="24"/>
          <w:szCs w:val="32"/>
          <w:highlight w:val="none"/>
        </w:rPr>
      </w:pPr>
      <w:r>
        <w:rPr>
          <w:rFonts w:hint="eastAsia" w:ascii="宋体" w:hAnsi="宋体" w:cs="宋体"/>
          <w:sz w:val="24"/>
          <w:highlight w:val="none"/>
          <w:shd w:val="clear" w:color="auto" w:fill="FFFFFF"/>
        </w:rPr>
        <w:t>5、参加本采购活动前三年内，在经营活动中没有重大违法记录（提供书面承诺函）；</w:t>
      </w:r>
    </w:p>
    <w:p w14:paraId="68116B72">
      <w:pPr>
        <w:widowControl/>
        <w:tabs>
          <w:tab w:val="left" w:pos="840"/>
        </w:tabs>
        <w:snapToGrid w:val="0"/>
        <w:spacing w:line="324" w:lineRule="auto"/>
        <w:ind w:firstLine="480" w:firstLineChars="200"/>
        <w:jc w:val="left"/>
        <w:rPr>
          <w:rFonts w:ascii="宋体" w:hAnsi="宋体" w:cs="宋体"/>
          <w:sz w:val="24"/>
          <w:highlight w:val="none"/>
          <w:shd w:val="clear" w:color="auto" w:fill="FFFFFF"/>
        </w:rPr>
      </w:pPr>
      <w:r>
        <w:rPr>
          <w:rFonts w:hint="eastAsia" w:ascii="宋体" w:hAnsi="宋体" w:cs="宋体"/>
          <w:sz w:val="24"/>
          <w:highlight w:val="none"/>
          <w:shd w:val="clear" w:color="auto" w:fill="FFFFFF"/>
        </w:rPr>
        <w:t>6、根据《关于在政府采购活动中查询及使用信用记录有关问题的通知》（财库【2016】125号）的规定，对列入失信被执行人、重大税收违法失信主体、政府采购严重违法失信行为记录名单的供应商，拒绝参与本项目政府采购活动（提供在“信用中国”、“中国政府采购网”等网站查询的相关材料并加盖公章，查询内容为在“信用中国”网站及其跳转网站中查询“失信被执行人”和“重大税收违法失信主体名单”，在“中国政府采购网”查询“政府采购严重违法失信行为记录名单”，无以上记录的供应商方可参加本次磋商活动）；</w:t>
      </w:r>
    </w:p>
    <w:p w14:paraId="665957B7">
      <w:pPr>
        <w:widowControl/>
        <w:tabs>
          <w:tab w:val="left" w:pos="840"/>
        </w:tabs>
        <w:snapToGrid w:val="0"/>
        <w:spacing w:line="324" w:lineRule="auto"/>
        <w:ind w:firstLine="480" w:firstLineChars="200"/>
        <w:jc w:val="left"/>
        <w:rPr>
          <w:rFonts w:ascii="宋体" w:hAnsi="宋体" w:cs="宋体"/>
          <w:sz w:val="24"/>
          <w:highlight w:val="none"/>
          <w:shd w:val="clear" w:color="auto" w:fill="FFFFFF"/>
        </w:rPr>
      </w:pPr>
      <w:r>
        <w:rPr>
          <w:rFonts w:hint="eastAsia" w:ascii="宋体" w:hAnsi="宋体" w:cs="宋体"/>
          <w:sz w:val="24"/>
          <w:highlight w:val="none"/>
          <w:shd w:val="clear" w:color="auto" w:fill="FFFFFF"/>
        </w:rPr>
        <w:t>7、单位负责人为同一人或者存在直接控股、管理关系的不同供应商，不得参加同一合同项下的磋商（</w:t>
      </w:r>
      <w:r>
        <w:rPr>
          <w:rFonts w:hint="eastAsia" w:ascii="宋体" w:hAnsi="宋体" w:cs="宋体"/>
          <w:kern w:val="0"/>
          <w:sz w:val="24"/>
          <w:highlight w:val="none"/>
        </w:rPr>
        <w:t>提供承诺函</w:t>
      </w:r>
      <w:r>
        <w:rPr>
          <w:rFonts w:hint="eastAsia" w:ascii="宋体" w:hAnsi="宋体" w:cs="宋体"/>
          <w:sz w:val="24"/>
          <w:highlight w:val="none"/>
          <w:shd w:val="clear" w:color="auto" w:fill="FFFFFF"/>
        </w:rPr>
        <w:t>）。</w:t>
      </w:r>
      <w:bookmarkStart w:id="75" w:name="_GoBack"/>
      <w:bookmarkEnd w:id="75"/>
    </w:p>
    <w:p w14:paraId="6FE69BFD">
      <w:pPr>
        <w:widowControl/>
        <w:tabs>
          <w:tab w:val="left" w:pos="840"/>
        </w:tabs>
        <w:snapToGrid w:val="0"/>
        <w:spacing w:line="324" w:lineRule="auto"/>
        <w:ind w:firstLine="480" w:firstLineChars="200"/>
        <w:jc w:val="left"/>
        <w:rPr>
          <w:rFonts w:ascii="宋体" w:hAnsi="宋体" w:cs="宋体"/>
          <w:sz w:val="24"/>
          <w:highlight w:val="none"/>
          <w:shd w:val="clear" w:color="auto" w:fill="FFFFFF"/>
        </w:rPr>
      </w:pPr>
      <w:r>
        <w:rPr>
          <w:rFonts w:hint="eastAsia" w:ascii="宋体" w:hAnsi="宋体" w:cs="宋体"/>
          <w:sz w:val="24"/>
          <w:highlight w:val="none"/>
          <w:shd w:val="clear" w:color="auto" w:fill="FFFFFF"/>
        </w:rPr>
        <w:t>8、本项目特定资格要求：</w:t>
      </w:r>
    </w:p>
    <w:p w14:paraId="6FA70A07">
      <w:pPr>
        <w:widowControl/>
        <w:tabs>
          <w:tab w:val="left" w:pos="840"/>
        </w:tabs>
        <w:snapToGrid w:val="0"/>
        <w:spacing w:line="324" w:lineRule="auto"/>
        <w:ind w:firstLine="480" w:firstLineChars="200"/>
        <w:jc w:val="left"/>
        <w:rPr>
          <w:rFonts w:ascii="宋体" w:hAnsi="宋体" w:cs="宋体"/>
          <w:sz w:val="24"/>
          <w:highlight w:val="none"/>
          <w:shd w:val="clear" w:color="auto" w:fill="FFFFFF"/>
        </w:rPr>
      </w:pPr>
      <w:r>
        <w:rPr>
          <w:rFonts w:hint="eastAsia" w:ascii="宋体" w:hAnsi="宋体" w:cs="宋体"/>
          <w:sz w:val="24"/>
          <w:highlight w:val="none"/>
          <w:shd w:val="clear" w:color="auto" w:fill="FFFFFF"/>
        </w:rPr>
        <w:t>供应商须具有建设行政主管部门颁发的建筑装饰装修工程专业承包贰级（含贰级）以上，具有有效的企业安全生产许可证；拟派项目负责人须具有贰级（含贰级）以上建筑工程专业注册建造师资格，且具备有效的安全生产考核合格证书。</w:t>
      </w:r>
    </w:p>
    <w:p w14:paraId="0C075E56">
      <w:pPr>
        <w:widowControl/>
        <w:snapToGrid w:val="0"/>
        <w:spacing w:line="324" w:lineRule="auto"/>
        <w:ind w:firstLine="480" w:firstLineChars="200"/>
        <w:jc w:val="left"/>
        <w:outlineLvl w:val="1"/>
        <w:rPr>
          <w:rFonts w:ascii="宋体" w:hAnsi="宋体" w:cs="宋体"/>
          <w:sz w:val="24"/>
          <w:highlight w:val="none"/>
          <w:shd w:val="clear" w:color="auto" w:fill="FFFFFF"/>
        </w:rPr>
      </w:pPr>
      <w:r>
        <w:rPr>
          <w:rFonts w:hint="eastAsia" w:ascii="宋体" w:hAnsi="宋体" w:cs="宋体"/>
          <w:sz w:val="24"/>
          <w:highlight w:val="none"/>
          <w:shd w:val="clear" w:color="auto" w:fill="FFFFFF"/>
        </w:rPr>
        <w:t>9、不接受联合体磋商。</w:t>
      </w:r>
    </w:p>
    <w:p w14:paraId="7AFFD73E">
      <w:pPr>
        <w:widowControl/>
        <w:snapToGrid w:val="0"/>
        <w:spacing w:line="324" w:lineRule="auto"/>
        <w:jc w:val="left"/>
        <w:outlineLvl w:val="1"/>
        <w:rPr>
          <w:rFonts w:ascii="宋体" w:hAnsi="宋体" w:cs="宋体"/>
          <w:b/>
          <w:bCs/>
          <w:sz w:val="24"/>
          <w:highlight w:val="none"/>
        </w:rPr>
      </w:pPr>
      <w:r>
        <w:rPr>
          <w:rFonts w:hint="eastAsia" w:ascii="宋体" w:hAnsi="宋体" w:cs="宋体"/>
          <w:b/>
          <w:bCs/>
          <w:sz w:val="24"/>
          <w:highlight w:val="none"/>
        </w:rPr>
        <w:t>三、获取采购文件</w:t>
      </w:r>
      <w:bookmarkEnd w:id="6"/>
      <w:bookmarkEnd w:id="7"/>
      <w:bookmarkEnd w:id="8"/>
      <w:bookmarkEnd w:id="9"/>
      <w:bookmarkEnd w:id="10"/>
    </w:p>
    <w:p w14:paraId="4953588B">
      <w:pPr>
        <w:widowControl/>
        <w:adjustRightInd w:val="0"/>
        <w:snapToGrid w:val="0"/>
        <w:spacing w:line="324" w:lineRule="auto"/>
        <w:ind w:firstLine="480" w:firstLineChars="200"/>
        <w:jc w:val="left"/>
        <w:rPr>
          <w:rFonts w:ascii="宋体" w:hAnsi="宋体" w:cs="宋体"/>
          <w:sz w:val="24"/>
          <w:highlight w:val="none"/>
          <w:shd w:val="clear" w:color="auto" w:fill="FFFFFF"/>
        </w:rPr>
      </w:pPr>
      <w:r>
        <w:rPr>
          <w:rFonts w:hint="eastAsia" w:ascii="宋体" w:hAnsi="宋体" w:cs="宋体"/>
          <w:sz w:val="24"/>
          <w:highlight w:val="none"/>
          <w:shd w:val="clear" w:color="auto" w:fill="FFFFFF"/>
        </w:rPr>
        <w:t>1. 报名时间：2026年</w:t>
      </w:r>
      <w:r>
        <w:rPr>
          <w:rFonts w:hint="eastAsia" w:ascii="宋体" w:hAnsi="宋体" w:cs="宋体"/>
          <w:sz w:val="24"/>
          <w:highlight w:val="none"/>
          <w:shd w:val="clear" w:color="auto" w:fill="FFFFFF"/>
          <w:lang w:val="en-US" w:eastAsia="zh-CN"/>
        </w:rPr>
        <w:t>3</w:t>
      </w:r>
      <w:r>
        <w:rPr>
          <w:rFonts w:hint="eastAsia" w:ascii="宋体" w:hAnsi="宋体" w:cs="宋体"/>
          <w:sz w:val="24"/>
          <w:highlight w:val="none"/>
          <w:shd w:val="clear" w:color="auto" w:fill="FFFFFF"/>
        </w:rPr>
        <w:t>月</w:t>
      </w:r>
      <w:r>
        <w:rPr>
          <w:rFonts w:hint="eastAsia" w:ascii="宋体" w:hAnsi="宋体" w:cs="宋体"/>
          <w:sz w:val="24"/>
          <w:highlight w:val="none"/>
          <w:shd w:val="clear" w:color="auto" w:fill="FFFFFF"/>
          <w:lang w:val="en-US" w:eastAsia="zh-CN"/>
        </w:rPr>
        <w:t>2</w:t>
      </w:r>
      <w:r>
        <w:rPr>
          <w:rFonts w:hint="eastAsia" w:ascii="宋体" w:hAnsi="宋体" w:cs="宋体"/>
          <w:sz w:val="24"/>
          <w:highlight w:val="none"/>
          <w:shd w:val="clear" w:color="auto" w:fill="FFFFFF"/>
        </w:rPr>
        <w:t>日-2026年</w:t>
      </w:r>
      <w:r>
        <w:rPr>
          <w:rFonts w:hint="eastAsia" w:ascii="宋体" w:hAnsi="宋体" w:cs="宋体"/>
          <w:sz w:val="24"/>
          <w:highlight w:val="none"/>
          <w:shd w:val="clear" w:color="auto" w:fill="FFFFFF"/>
          <w:lang w:val="en-US" w:eastAsia="zh-CN"/>
        </w:rPr>
        <w:t>3</w:t>
      </w:r>
      <w:r>
        <w:rPr>
          <w:rFonts w:hint="eastAsia" w:ascii="宋体" w:hAnsi="宋体" w:cs="宋体"/>
          <w:sz w:val="24"/>
          <w:highlight w:val="none"/>
          <w:shd w:val="clear" w:color="auto" w:fill="FFFFFF"/>
        </w:rPr>
        <w:t>月</w:t>
      </w:r>
      <w:r>
        <w:rPr>
          <w:rFonts w:hint="eastAsia" w:ascii="宋体" w:hAnsi="宋体" w:cs="宋体"/>
          <w:sz w:val="24"/>
          <w:highlight w:val="none"/>
          <w:shd w:val="clear" w:color="auto" w:fill="FFFFFF"/>
          <w:lang w:val="en-US" w:eastAsia="zh-CN"/>
        </w:rPr>
        <w:t>4</w:t>
      </w:r>
      <w:r>
        <w:rPr>
          <w:rFonts w:hint="eastAsia" w:ascii="宋体" w:hAnsi="宋体" w:cs="宋体"/>
          <w:sz w:val="24"/>
          <w:highlight w:val="none"/>
          <w:shd w:val="clear" w:color="auto" w:fill="FFFFFF"/>
        </w:rPr>
        <w:t>日，上午08：00-下午17:30（北京时间，法定节假日除外）。</w:t>
      </w:r>
    </w:p>
    <w:p w14:paraId="7477C0E9">
      <w:pPr>
        <w:widowControl/>
        <w:snapToGrid w:val="0"/>
        <w:spacing w:line="324" w:lineRule="auto"/>
        <w:ind w:firstLine="480" w:firstLineChars="200"/>
        <w:jc w:val="left"/>
        <w:rPr>
          <w:rFonts w:ascii="宋体" w:hAnsi="宋体" w:cs="宋体"/>
          <w:kern w:val="0"/>
          <w:sz w:val="24"/>
          <w:highlight w:val="none"/>
        </w:rPr>
      </w:pPr>
      <w:r>
        <w:rPr>
          <w:rFonts w:hint="eastAsia" w:ascii="宋体" w:hAnsi="宋体" w:cs="宋体"/>
          <w:kern w:val="0"/>
          <w:sz w:val="24"/>
          <w:highlight w:val="none"/>
          <w:shd w:val="clear" w:color="auto" w:fill="FFFFFF"/>
        </w:rPr>
        <w:t>2. 凡报名成功的供应商无故不来参与投标的，列入我院黑名单，一年内不得参与我院任何采购活动。</w:t>
      </w:r>
    </w:p>
    <w:p w14:paraId="01C58402">
      <w:pPr>
        <w:widowControl/>
        <w:wordWrap w:val="0"/>
        <w:snapToGrid w:val="0"/>
        <w:spacing w:line="324" w:lineRule="auto"/>
        <w:ind w:firstLine="480" w:firstLineChars="200"/>
        <w:jc w:val="left"/>
        <w:rPr>
          <w:rFonts w:ascii="宋体" w:hAnsi="宋体" w:cs="宋体"/>
          <w:kern w:val="0"/>
          <w:sz w:val="24"/>
          <w:highlight w:val="none"/>
          <w:u w:val="single"/>
          <w:shd w:val="clear" w:color="auto" w:fill="FFFFFF"/>
        </w:rPr>
      </w:pPr>
      <w:r>
        <w:rPr>
          <w:rFonts w:hint="eastAsia" w:ascii="宋体" w:hAnsi="宋体" w:cs="宋体"/>
          <w:kern w:val="0"/>
          <w:sz w:val="24"/>
          <w:highlight w:val="none"/>
          <w:shd w:val="clear" w:color="auto" w:fill="FFFFFF"/>
        </w:rPr>
        <w:t>3. 采购文件获取方式：供应商须把填写完整的报名登记表及本磋商公告第二项供应商资格要求中需提供加盖单位公章的相关资料扫描件按序排版为PDF格式文件，发送至以下邮箱：</w:t>
      </w:r>
      <w:r>
        <w:rPr>
          <w:highlight w:val="none"/>
        </w:rPr>
        <w:fldChar w:fldCharType="begin"/>
      </w:r>
      <w:r>
        <w:rPr>
          <w:highlight w:val="none"/>
        </w:rPr>
        <w:instrText xml:space="preserve"> HYPERLINK "mailto:hnwxzb2@163.com并标明XX" </w:instrText>
      </w:r>
      <w:r>
        <w:rPr>
          <w:highlight w:val="none"/>
        </w:rPr>
        <w:fldChar w:fldCharType="separate"/>
      </w:r>
      <w:r>
        <w:rPr>
          <w:rFonts w:hint="eastAsia" w:ascii="宋体" w:hAnsi="宋体" w:cs="宋体"/>
          <w:kern w:val="0"/>
          <w:sz w:val="24"/>
          <w:highlight w:val="none"/>
          <w:shd w:val="clear" w:color="auto" w:fill="FFFFFF"/>
        </w:rPr>
        <w:t>2155019208@qq.com，并标明“XX公司XX</w:t>
      </w:r>
      <w:r>
        <w:rPr>
          <w:rFonts w:hint="eastAsia" w:ascii="宋体" w:hAnsi="宋体" w:cs="宋体"/>
          <w:kern w:val="0"/>
          <w:sz w:val="24"/>
          <w:highlight w:val="none"/>
          <w:shd w:val="clear" w:color="auto" w:fill="FFFFFF"/>
        </w:rPr>
        <w:fldChar w:fldCharType="end"/>
      </w:r>
      <w:r>
        <w:rPr>
          <w:rFonts w:hint="eastAsia" w:ascii="宋体" w:hAnsi="宋体" w:cs="宋体"/>
          <w:kern w:val="0"/>
          <w:sz w:val="24"/>
          <w:highlight w:val="none"/>
          <w:shd w:val="clear" w:color="auto" w:fill="FFFFFF"/>
        </w:rPr>
        <w:t>项目+联系人及电话”</w:t>
      </w:r>
    </w:p>
    <w:p w14:paraId="5331B02B">
      <w:pPr>
        <w:widowControl/>
        <w:wordWrap w:val="0"/>
        <w:snapToGrid w:val="0"/>
        <w:spacing w:line="324" w:lineRule="auto"/>
        <w:ind w:left="420" w:leftChars="200"/>
        <w:jc w:val="left"/>
        <w:rPr>
          <w:rFonts w:ascii="宋体" w:hAnsi="宋体" w:cs="宋体"/>
          <w:kern w:val="0"/>
          <w:sz w:val="24"/>
          <w:highlight w:val="none"/>
        </w:rPr>
      </w:pPr>
      <w:r>
        <w:rPr>
          <w:rFonts w:hint="eastAsia" w:ascii="宋体" w:hAnsi="宋体" w:cs="宋体"/>
          <w:kern w:val="0"/>
          <w:sz w:val="24"/>
          <w:highlight w:val="none"/>
          <w:shd w:val="clear" w:color="auto" w:fill="FFFFFF"/>
        </w:rPr>
        <w:t>4. 报名表：请从附件中下载。</w:t>
      </w:r>
    </w:p>
    <w:p w14:paraId="68E869D7">
      <w:pPr>
        <w:widowControl/>
        <w:snapToGrid w:val="0"/>
        <w:spacing w:line="324" w:lineRule="auto"/>
        <w:jc w:val="left"/>
        <w:outlineLvl w:val="1"/>
        <w:rPr>
          <w:rFonts w:ascii="宋体" w:hAnsi="宋体" w:cs="宋体"/>
          <w:b/>
          <w:bCs/>
          <w:sz w:val="24"/>
          <w:highlight w:val="none"/>
        </w:rPr>
      </w:pPr>
      <w:bookmarkStart w:id="11" w:name="_Toc15135"/>
      <w:bookmarkStart w:id="12" w:name="_Toc10738"/>
      <w:bookmarkStart w:id="13" w:name="_Toc15111"/>
      <w:bookmarkStart w:id="14" w:name="_Toc27480"/>
      <w:bookmarkStart w:id="15" w:name="_Toc25869"/>
      <w:r>
        <w:rPr>
          <w:rFonts w:hint="eastAsia" w:ascii="宋体" w:hAnsi="宋体" w:cs="宋体"/>
          <w:b/>
          <w:bCs/>
          <w:sz w:val="24"/>
          <w:highlight w:val="none"/>
          <w:shd w:val="clear" w:color="auto" w:fill="FFFFFF"/>
        </w:rPr>
        <w:t>四、磋商截止时间及地点</w:t>
      </w:r>
      <w:bookmarkEnd w:id="11"/>
      <w:bookmarkEnd w:id="12"/>
      <w:bookmarkEnd w:id="13"/>
      <w:bookmarkEnd w:id="14"/>
      <w:bookmarkEnd w:id="15"/>
    </w:p>
    <w:p w14:paraId="7906BD34">
      <w:pPr>
        <w:widowControl/>
        <w:snapToGrid w:val="0"/>
        <w:spacing w:line="324" w:lineRule="auto"/>
        <w:ind w:firstLine="480" w:firstLineChars="200"/>
        <w:jc w:val="left"/>
        <w:rPr>
          <w:rFonts w:ascii="宋体" w:hAnsi="宋体" w:cs="宋体"/>
          <w:kern w:val="0"/>
          <w:sz w:val="24"/>
          <w:highlight w:val="none"/>
        </w:rPr>
      </w:pPr>
      <w:r>
        <w:rPr>
          <w:rFonts w:hint="eastAsia" w:ascii="宋体" w:hAnsi="宋体" w:cs="宋体"/>
          <w:kern w:val="0"/>
          <w:sz w:val="24"/>
          <w:highlight w:val="none"/>
          <w:shd w:val="clear" w:color="auto" w:fill="FFFFFF"/>
        </w:rPr>
        <w:t>1. 时间：</w:t>
      </w:r>
      <w:r>
        <w:rPr>
          <w:rFonts w:hint="eastAsia" w:ascii="宋体" w:hAnsi="宋体" w:cs="宋体"/>
          <w:sz w:val="24"/>
          <w:highlight w:val="none"/>
        </w:rPr>
        <w:t>另行通知</w:t>
      </w:r>
      <w:r>
        <w:rPr>
          <w:rFonts w:hint="eastAsia" w:ascii="宋体" w:hAnsi="宋体" w:cs="宋体"/>
          <w:kern w:val="0"/>
          <w:sz w:val="24"/>
          <w:highlight w:val="none"/>
          <w:shd w:val="clear" w:color="auto" w:fill="FFFFFF"/>
        </w:rPr>
        <w:t>。</w:t>
      </w:r>
    </w:p>
    <w:p w14:paraId="6D7373C9">
      <w:pPr>
        <w:widowControl/>
        <w:snapToGrid w:val="0"/>
        <w:spacing w:line="324" w:lineRule="auto"/>
        <w:ind w:firstLine="480" w:firstLineChars="200"/>
        <w:jc w:val="left"/>
        <w:rPr>
          <w:rFonts w:ascii="宋体" w:hAnsi="宋体" w:cs="宋体"/>
          <w:kern w:val="0"/>
          <w:sz w:val="24"/>
          <w:highlight w:val="none"/>
          <w:shd w:val="clear" w:color="auto" w:fill="FFFFFF"/>
        </w:rPr>
      </w:pPr>
      <w:r>
        <w:rPr>
          <w:rFonts w:hint="eastAsia" w:ascii="宋体" w:hAnsi="宋体" w:cs="宋体"/>
          <w:kern w:val="0"/>
          <w:sz w:val="24"/>
          <w:highlight w:val="none"/>
          <w:shd w:val="clear" w:color="auto" w:fill="FFFFFF"/>
        </w:rPr>
        <w:t>2. 地点：</w:t>
      </w:r>
      <w:r>
        <w:rPr>
          <w:rFonts w:hint="eastAsia" w:ascii="宋体" w:hAnsi="宋体" w:cs="宋体"/>
          <w:sz w:val="24"/>
          <w:highlight w:val="none"/>
        </w:rPr>
        <w:t>另行通知</w:t>
      </w:r>
      <w:r>
        <w:rPr>
          <w:rFonts w:hint="eastAsia" w:ascii="宋体" w:hAnsi="宋体" w:cs="宋体"/>
          <w:kern w:val="0"/>
          <w:sz w:val="24"/>
          <w:highlight w:val="none"/>
          <w:shd w:val="clear" w:color="auto" w:fill="FFFFFF"/>
        </w:rPr>
        <w:t>。</w:t>
      </w:r>
    </w:p>
    <w:p w14:paraId="05C5C540">
      <w:pPr>
        <w:widowControl/>
        <w:snapToGrid w:val="0"/>
        <w:spacing w:line="324" w:lineRule="auto"/>
        <w:jc w:val="left"/>
        <w:outlineLvl w:val="1"/>
        <w:rPr>
          <w:rFonts w:ascii="宋体" w:hAnsi="宋体" w:cs="宋体"/>
          <w:b/>
          <w:bCs/>
          <w:sz w:val="24"/>
          <w:highlight w:val="none"/>
        </w:rPr>
      </w:pPr>
      <w:r>
        <w:rPr>
          <w:rFonts w:hint="eastAsia" w:ascii="宋体" w:hAnsi="宋体" w:cs="宋体"/>
          <w:b/>
          <w:bCs/>
          <w:sz w:val="24"/>
          <w:highlight w:val="none"/>
          <w:shd w:val="clear" w:color="auto" w:fill="FFFFFF"/>
        </w:rPr>
        <w:t>五、磋商时间及地点</w:t>
      </w:r>
    </w:p>
    <w:p w14:paraId="145CED5E">
      <w:pPr>
        <w:widowControl/>
        <w:snapToGrid w:val="0"/>
        <w:spacing w:line="324" w:lineRule="auto"/>
        <w:ind w:firstLine="480" w:firstLineChars="200"/>
        <w:jc w:val="left"/>
        <w:rPr>
          <w:rFonts w:ascii="宋体" w:hAnsi="宋体" w:cs="宋体"/>
          <w:kern w:val="0"/>
          <w:sz w:val="24"/>
          <w:highlight w:val="none"/>
        </w:rPr>
      </w:pPr>
      <w:r>
        <w:rPr>
          <w:rFonts w:hint="eastAsia" w:ascii="宋体" w:hAnsi="宋体" w:cs="宋体"/>
          <w:kern w:val="0"/>
          <w:sz w:val="24"/>
          <w:highlight w:val="none"/>
          <w:shd w:val="clear" w:color="auto" w:fill="FFFFFF"/>
        </w:rPr>
        <w:t>1. 时间：</w:t>
      </w:r>
      <w:r>
        <w:rPr>
          <w:rFonts w:hint="eastAsia" w:ascii="宋体" w:hAnsi="宋体" w:cs="宋体"/>
          <w:sz w:val="24"/>
          <w:highlight w:val="none"/>
        </w:rPr>
        <w:t>另行通知</w:t>
      </w:r>
      <w:r>
        <w:rPr>
          <w:rFonts w:hint="eastAsia" w:ascii="宋体" w:hAnsi="宋体" w:cs="宋体"/>
          <w:kern w:val="0"/>
          <w:sz w:val="24"/>
          <w:highlight w:val="none"/>
          <w:shd w:val="clear" w:color="auto" w:fill="FFFFFF"/>
        </w:rPr>
        <w:t>。</w:t>
      </w:r>
    </w:p>
    <w:p w14:paraId="0C6F6F9A">
      <w:pPr>
        <w:widowControl/>
        <w:snapToGrid w:val="0"/>
        <w:spacing w:line="324" w:lineRule="auto"/>
        <w:ind w:firstLine="480" w:firstLineChars="200"/>
        <w:jc w:val="left"/>
        <w:rPr>
          <w:rFonts w:ascii="宋体" w:hAnsi="宋体" w:cs="宋体"/>
          <w:kern w:val="0"/>
          <w:sz w:val="24"/>
          <w:highlight w:val="none"/>
          <w:shd w:val="clear" w:color="auto" w:fill="FFFFFF"/>
        </w:rPr>
      </w:pPr>
      <w:r>
        <w:rPr>
          <w:rFonts w:hint="eastAsia" w:ascii="宋体" w:hAnsi="宋体" w:cs="宋体"/>
          <w:kern w:val="0"/>
          <w:sz w:val="24"/>
          <w:highlight w:val="none"/>
          <w:shd w:val="clear" w:color="auto" w:fill="FFFFFF"/>
        </w:rPr>
        <w:t>2. 地点：</w:t>
      </w:r>
      <w:r>
        <w:rPr>
          <w:rFonts w:hint="eastAsia" w:ascii="宋体" w:hAnsi="宋体" w:cs="宋体"/>
          <w:sz w:val="24"/>
          <w:highlight w:val="none"/>
        </w:rPr>
        <w:t>另行通知</w:t>
      </w:r>
      <w:r>
        <w:rPr>
          <w:rFonts w:hint="eastAsia" w:ascii="宋体" w:hAnsi="宋体" w:cs="宋体"/>
          <w:kern w:val="0"/>
          <w:sz w:val="24"/>
          <w:highlight w:val="none"/>
          <w:shd w:val="clear" w:color="auto" w:fill="FFFFFF"/>
        </w:rPr>
        <w:t>。</w:t>
      </w:r>
    </w:p>
    <w:p w14:paraId="49839838">
      <w:pPr>
        <w:widowControl/>
        <w:snapToGrid w:val="0"/>
        <w:spacing w:line="324" w:lineRule="auto"/>
        <w:jc w:val="left"/>
        <w:outlineLvl w:val="1"/>
        <w:rPr>
          <w:rFonts w:ascii="宋体" w:hAnsi="宋体" w:cs="宋体"/>
          <w:b/>
          <w:bCs/>
          <w:sz w:val="24"/>
          <w:highlight w:val="none"/>
        </w:rPr>
      </w:pPr>
      <w:bookmarkStart w:id="16" w:name="_Toc20287"/>
      <w:bookmarkStart w:id="17" w:name="_Toc6523"/>
      <w:bookmarkStart w:id="18" w:name="_Toc29784"/>
      <w:bookmarkStart w:id="19" w:name="_Toc30918"/>
      <w:r>
        <w:rPr>
          <w:rFonts w:hint="eastAsia" w:ascii="宋体" w:hAnsi="宋体" w:cs="宋体"/>
          <w:b/>
          <w:bCs/>
          <w:sz w:val="24"/>
          <w:highlight w:val="none"/>
          <w:shd w:val="clear" w:color="auto" w:fill="FFFFFF"/>
        </w:rPr>
        <w:t>六、发布公告的媒介及</w:t>
      </w:r>
      <w:r>
        <w:rPr>
          <w:rFonts w:hint="eastAsia" w:ascii="宋体" w:hAnsi="宋体" w:cs="宋体"/>
          <w:b/>
          <w:bCs/>
          <w:sz w:val="24"/>
          <w:highlight w:val="none"/>
        </w:rPr>
        <w:t>采购</w:t>
      </w:r>
      <w:r>
        <w:rPr>
          <w:rFonts w:hint="eastAsia" w:ascii="宋体" w:hAnsi="宋体" w:cs="宋体"/>
          <w:b/>
          <w:bCs/>
          <w:sz w:val="24"/>
          <w:highlight w:val="none"/>
          <w:shd w:val="clear" w:color="auto" w:fill="FFFFFF"/>
        </w:rPr>
        <w:t>公告期限</w:t>
      </w:r>
      <w:bookmarkEnd w:id="16"/>
      <w:bookmarkEnd w:id="17"/>
      <w:bookmarkEnd w:id="18"/>
      <w:bookmarkEnd w:id="19"/>
    </w:p>
    <w:p w14:paraId="15CA98E1">
      <w:pPr>
        <w:widowControl/>
        <w:snapToGrid w:val="0"/>
        <w:spacing w:line="324" w:lineRule="auto"/>
        <w:ind w:firstLine="480" w:firstLineChars="200"/>
        <w:jc w:val="left"/>
        <w:rPr>
          <w:rFonts w:ascii="宋体" w:hAnsi="宋体" w:cs="宋体"/>
          <w:kern w:val="0"/>
          <w:sz w:val="24"/>
          <w:highlight w:val="none"/>
          <w:shd w:val="clear" w:color="auto" w:fill="FFFFFF"/>
        </w:rPr>
      </w:pPr>
      <w:r>
        <w:rPr>
          <w:rFonts w:hint="eastAsia" w:ascii="宋体" w:hAnsi="宋体" w:cs="宋体"/>
          <w:kern w:val="0"/>
          <w:sz w:val="24"/>
          <w:highlight w:val="none"/>
          <w:shd w:val="clear" w:color="auto" w:fill="FFFFFF"/>
        </w:rPr>
        <w:t>本次</w:t>
      </w:r>
      <w:r>
        <w:rPr>
          <w:rFonts w:hint="eastAsia" w:ascii="宋体" w:hAnsi="宋体" w:cs="宋体"/>
          <w:sz w:val="24"/>
          <w:highlight w:val="none"/>
        </w:rPr>
        <w:t>采购</w:t>
      </w:r>
      <w:r>
        <w:rPr>
          <w:rFonts w:hint="eastAsia" w:ascii="宋体" w:hAnsi="宋体" w:cs="宋体"/>
          <w:kern w:val="0"/>
          <w:sz w:val="24"/>
          <w:highlight w:val="none"/>
          <w:shd w:val="clear" w:color="auto" w:fill="FFFFFF"/>
        </w:rPr>
        <w:t>公告在《驻马店市中心医院》院内网</w:t>
      </w:r>
      <w:r>
        <w:rPr>
          <w:rFonts w:hint="eastAsia" w:ascii="宋体" w:hAnsi="宋体" w:cs="宋体"/>
          <w:sz w:val="24"/>
          <w:highlight w:val="none"/>
        </w:rPr>
        <w:t>上发布，采购公告期限为三个工作日</w:t>
      </w:r>
      <w:r>
        <w:rPr>
          <w:rFonts w:hint="eastAsia" w:ascii="宋体" w:hAnsi="宋体" w:cs="宋体"/>
          <w:kern w:val="0"/>
          <w:sz w:val="24"/>
          <w:highlight w:val="none"/>
          <w:shd w:val="clear" w:color="auto" w:fill="FFFFFF"/>
        </w:rPr>
        <w:t>。</w:t>
      </w:r>
      <w:bookmarkStart w:id="20" w:name="_Toc35393795"/>
      <w:bookmarkStart w:id="21" w:name="_Toc35393626"/>
    </w:p>
    <w:bookmarkEnd w:id="20"/>
    <w:bookmarkEnd w:id="21"/>
    <w:p w14:paraId="7A7DBBB0">
      <w:pPr>
        <w:widowControl/>
        <w:snapToGrid w:val="0"/>
        <w:spacing w:line="324" w:lineRule="auto"/>
        <w:jc w:val="left"/>
        <w:outlineLvl w:val="1"/>
        <w:rPr>
          <w:rFonts w:ascii="宋体" w:hAnsi="宋体" w:cs="宋体"/>
          <w:b/>
          <w:bCs/>
          <w:sz w:val="24"/>
          <w:highlight w:val="none"/>
        </w:rPr>
      </w:pPr>
      <w:bookmarkStart w:id="22" w:name="_Toc27370"/>
      <w:bookmarkStart w:id="23" w:name="_Toc3604"/>
      <w:bookmarkStart w:id="24" w:name="_Toc16291"/>
      <w:bookmarkStart w:id="25" w:name="_Toc31928"/>
      <w:bookmarkStart w:id="26" w:name="_Toc24274"/>
      <w:r>
        <w:rPr>
          <w:rFonts w:hint="eastAsia" w:ascii="宋体" w:hAnsi="宋体" w:cs="宋体"/>
          <w:b/>
          <w:bCs/>
          <w:sz w:val="24"/>
          <w:highlight w:val="none"/>
          <w:shd w:val="clear" w:color="auto" w:fill="FFFFFF"/>
        </w:rPr>
        <w:t>七、</w:t>
      </w:r>
      <w:bookmarkEnd w:id="22"/>
      <w:bookmarkEnd w:id="23"/>
      <w:bookmarkEnd w:id="24"/>
      <w:bookmarkEnd w:id="25"/>
      <w:bookmarkEnd w:id="26"/>
      <w:r>
        <w:rPr>
          <w:rFonts w:hint="eastAsia" w:ascii="宋体" w:hAnsi="宋体" w:cs="宋体"/>
          <w:b/>
          <w:bCs/>
          <w:sz w:val="24"/>
          <w:highlight w:val="none"/>
          <w:shd w:val="clear" w:color="auto" w:fill="FFFFFF"/>
        </w:rPr>
        <w:t>凡对本次招标提出询问，请按照以下方式联系</w:t>
      </w:r>
    </w:p>
    <w:p w14:paraId="36F8BA05">
      <w:pPr>
        <w:widowControl/>
        <w:snapToGrid w:val="0"/>
        <w:spacing w:line="324" w:lineRule="auto"/>
        <w:ind w:firstLine="480" w:firstLineChars="200"/>
        <w:jc w:val="left"/>
        <w:rPr>
          <w:rFonts w:ascii="宋体" w:hAnsi="宋体" w:cs="宋体"/>
          <w:kern w:val="0"/>
          <w:sz w:val="24"/>
          <w:highlight w:val="none"/>
          <w:shd w:val="clear" w:color="auto" w:fill="FFFFFF"/>
        </w:rPr>
      </w:pPr>
      <w:r>
        <w:rPr>
          <w:rFonts w:hint="eastAsia" w:ascii="宋体" w:hAnsi="宋体" w:cs="宋体"/>
          <w:kern w:val="0"/>
          <w:sz w:val="24"/>
          <w:highlight w:val="none"/>
          <w:shd w:val="clear" w:color="auto" w:fill="FFFFFF"/>
        </w:rPr>
        <w:t>1.采购人：驻马店市中心医院</w:t>
      </w:r>
    </w:p>
    <w:p w14:paraId="7B3FCFDB">
      <w:pPr>
        <w:widowControl/>
        <w:snapToGrid w:val="0"/>
        <w:spacing w:line="324" w:lineRule="auto"/>
        <w:ind w:firstLine="480" w:firstLineChars="200"/>
        <w:jc w:val="left"/>
        <w:rPr>
          <w:rFonts w:ascii="宋体" w:hAnsi="宋体" w:cs="宋体"/>
          <w:kern w:val="0"/>
          <w:sz w:val="24"/>
          <w:highlight w:val="none"/>
          <w:shd w:val="clear" w:color="auto" w:fill="FFFFFF"/>
        </w:rPr>
      </w:pPr>
      <w:r>
        <w:rPr>
          <w:rFonts w:hint="eastAsia" w:ascii="宋体" w:hAnsi="宋体" w:cs="宋体"/>
          <w:kern w:val="0"/>
          <w:sz w:val="24"/>
          <w:highlight w:val="none"/>
          <w:shd w:val="clear" w:color="auto" w:fill="FFFFFF"/>
        </w:rPr>
        <w:t xml:space="preserve">  地址：驻马店市中华大道747号</w:t>
      </w:r>
    </w:p>
    <w:p w14:paraId="087E8856">
      <w:pPr>
        <w:widowControl/>
        <w:snapToGrid w:val="0"/>
        <w:spacing w:line="324" w:lineRule="auto"/>
        <w:ind w:firstLine="480" w:firstLineChars="200"/>
        <w:jc w:val="left"/>
        <w:rPr>
          <w:rFonts w:ascii="宋体" w:hAnsi="宋体" w:cs="宋体"/>
          <w:kern w:val="0"/>
          <w:sz w:val="24"/>
          <w:highlight w:val="none"/>
          <w:shd w:val="clear" w:color="auto" w:fill="FFFFFF"/>
        </w:rPr>
      </w:pPr>
      <w:r>
        <w:rPr>
          <w:rFonts w:hint="eastAsia" w:ascii="宋体" w:hAnsi="宋体" w:cs="宋体"/>
          <w:kern w:val="0"/>
          <w:sz w:val="24"/>
          <w:highlight w:val="none"/>
          <w:shd w:val="clear" w:color="auto" w:fill="FFFFFF"/>
        </w:rPr>
        <w:t xml:space="preserve">  联系人：陈先生</w:t>
      </w:r>
    </w:p>
    <w:p w14:paraId="18137420">
      <w:pPr>
        <w:widowControl/>
        <w:snapToGrid w:val="0"/>
        <w:spacing w:line="324" w:lineRule="auto"/>
        <w:ind w:firstLine="480" w:firstLineChars="200"/>
        <w:jc w:val="left"/>
        <w:rPr>
          <w:rFonts w:ascii="宋体" w:hAnsi="宋体" w:cs="宋体"/>
          <w:kern w:val="0"/>
          <w:sz w:val="24"/>
          <w:highlight w:val="none"/>
          <w:shd w:val="clear" w:color="auto" w:fill="FFFFFF"/>
        </w:rPr>
      </w:pPr>
      <w:r>
        <w:rPr>
          <w:rFonts w:hint="eastAsia" w:ascii="宋体" w:hAnsi="宋体" w:cs="宋体"/>
          <w:kern w:val="0"/>
          <w:sz w:val="24"/>
          <w:highlight w:val="none"/>
          <w:shd w:val="clear" w:color="auto" w:fill="FFFFFF"/>
        </w:rPr>
        <w:t xml:space="preserve">  电话：0396-2726379</w:t>
      </w:r>
    </w:p>
    <w:p w14:paraId="522D05B5">
      <w:pPr>
        <w:widowControl/>
        <w:snapToGrid w:val="0"/>
        <w:spacing w:line="460" w:lineRule="exact"/>
        <w:ind w:firstLine="480" w:firstLineChars="200"/>
        <w:jc w:val="left"/>
        <w:rPr>
          <w:rFonts w:ascii="宋体" w:hAnsi="宋体" w:cs="宋体"/>
          <w:kern w:val="0"/>
          <w:sz w:val="24"/>
          <w:highlight w:val="none"/>
          <w:shd w:val="clear" w:color="auto" w:fill="FFFFFF"/>
        </w:rPr>
      </w:pPr>
      <w:r>
        <w:rPr>
          <w:rFonts w:hint="eastAsia" w:ascii="宋体" w:hAnsi="宋体" w:cs="宋体"/>
          <w:kern w:val="0"/>
          <w:sz w:val="24"/>
          <w:highlight w:val="none"/>
          <w:shd w:val="clear" w:color="auto" w:fill="FFFFFF"/>
        </w:rPr>
        <w:t>2.采购代理机构：驻马店市成浩招投标代理有限公司</w:t>
      </w:r>
    </w:p>
    <w:p w14:paraId="50F5C706">
      <w:pPr>
        <w:widowControl/>
        <w:snapToGrid w:val="0"/>
        <w:spacing w:line="460" w:lineRule="exact"/>
        <w:ind w:firstLine="480" w:firstLineChars="200"/>
        <w:jc w:val="left"/>
        <w:rPr>
          <w:rFonts w:ascii="宋体" w:hAnsi="宋体" w:cs="宋体"/>
          <w:kern w:val="0"/>
          <w:sz w:val="24"/>
          <w:highlight w:val="none"/>
          <w:shd w:val="clear" w:color="auto" w:fill="FFFFFF"/>
        </w:rPr>
      </w:pPr>
      <w:r>
        <w:rPr>
          <w:rFonts w:hint="eastAsia" w:ascii="宋体" w:hAnsi="宋体" w:cs="宋体"/>
          <w:kern w:val="0"/>
          <w:sz w:val="24"/>
          <w:highlight w:val="none"/>
          <w:shd w:val="clear" w:color="auto" w:fill="FFFFFF"/>
        </w:rPr>
        <w:t xml:space="preserve">   地址：驻马店市金盾路8号开发区五小公寓楼东单元6楼西户</w:t>
      </w:r>
    </w:p>
    <w:p w14:paraId="68AB83A5">
      <w:pPr>
        <w:widowControl/>
        <w:snapToGrid w:val="0"/>
        <w:spacing w:line="460" w:lineRule="exact"/>
        <w:ind w:firstLine="480" w:firstLineChars="200"/>
        <w:jc w:val="left"/>
        <w:rPr>
          <w:rFonts w:ascii="宋体" w:hAnsi="宋体" w:cs="宋体"/>
          <w:kern w:val="0"/>
          <w:sz w:val="24"/>
          <w:highlight w:val="none"/>
          <w:shd w:val="clear" w:color="auto" w:fill="FFFFFF"/>
        </w:rPr>
      </w:pPr>
      <w:r>
        <w:rPr>
          <w:rFonts w:hint="eastAsia" w:ascii="宋体" w:hAnsi="宋体" w:cs="宋体"/>
          <w:kern w:val="0"/>
          <w:sz w:val="24"/>
          <w:highlight w:val="none"/>
          <w:shd w:val="clear" w:color="auto" w:fill="FFFFFF"/>
        </w:rPr>
        <w:t xml:space="preserve">   联系人：方女士</w:t>
      </w:r>
    </w:p>
    <w:p w14:paraId="21F5A8C8">
      <w:pPr>
        <w:widowControl/>
        <w:snapToGrid w:val="0"/>
        <w:spacing w:line="460" w:lineRule="exact"/>
        <w:ind w:firstLine="480" w:firstLineChars="200"/>
        <w:jc w:val="left"/>
        <w:rPr>
          <w:rFonts w:ascii="宋体" w:hAnsi="宋体" w:cs="宋体"/>
          <w:kern w:val="0"/>
          <w:sz w:val="24"/>
          <w:highlight w:val="none"/>
          <w:shd w:val="clear" w:color="auto" w:fill="FFFFFF"/>
        </w:rPr>
      </w:pPr>
      <w:r>
        <w:rPr>
          <w:rFonts w:hint="eastAsia" w:ascii="宋体" w:hAnsi="宋体" w:cs="宋体"/>
          <w:kern w:val="0"/>
          <w:sz w:val="24"/>
          <w:highlight w:val="none"/>
          <w:shd w:val="clear" w:color="auto" w:fill="FFFFFF"/>
        </w:rPr>
        <w:t xml:space="preserve">   联系方式：17739698825</w:t>
      </w:r>
    </w:p>
    <w:p w14:paraId="5E6F53C3">
      <w:pPr>
        <w:widowControl/>
        <w:snapToGrid w:val="0"/>
        <w:spacing w:line="460" w:lineRule="exact"/>
        <w:ind w:firstLine="480" w:firstLineChars="200"/>
        <w:jc w:val="left"/>
        <w:rPr>
          <w:rFonts w:ascii="宋体" w:hAnsi="宋体" w:cs="宋体"/>
          <w:kern w:val="0"/>
          <w:sz w:val="24"/>
          <w:highlight w:val="none"/>
          <w:shd w:val="clear" w:color="auto" w:fill="FFFFFF"/>
        </w:rPr>
      </w:pPr>
      <w:r>
        <w:rPr>
          <w:rFonts w:hint="eastAsia" w:ascii="宋体" w:hAnsi="宋体" w:cs="宋体"/>
          <w:kern w:val="0"/>
          <w:sz w:val="24"/>
          <w:highlight w:val="none"/>
          <w:shd w:val="clear" w:color="auto" w:fill="FFFFFF"/>
        </w:rPr>
        <w:t>3.监督部门：驻马店市中心医院纪检监察室</w:t>
      </w:r>
    </w:p>
    <w:p w14:paraId="07F1A4E8">
      <w:pPr>
        <w:widowControl/>
        <w:snapToGrid w:val="0"/>
        <w:spacing w:line="460" w:lineRule="exact"/>
        <w:ind w:firstLine="480" w:firstLineChars="200"/>
        <w:jc w:val="left"/>
        <w:rPr>
          <w:rFonts w:ascii="宋体" w:hAnsi="宋体" w:cs="宋体"/>
          <w:kern w:val="0"/>
          <w:sz w:val="24"/>
          <w:highlight w:val="none"/>
          <w:shd w:val="clear" w:color="auto" w:fill="FFFFFF"/>
        </w:rPr>
      </w:pPr>
      <w:r>
        <w:rPr>
          <w:rFonts w:hint="eastAsia" w:ascii="宋体" w:hAnsi="宋体" w:cs="宋体"/>
          <w:kern w:val="0"/>
          <w:sz w:val="24"/>
          <w:highlight w:val="none"/>
          <w:shd w:val="clear" w:color="auto" w:fill="FFFFFF"/>
        </w:rPr>
        <w:t xml:space="preserve">  监督电话：0396-2726678</w:t>
      </w:r>
    </w:p>
    <w:p w14:paraId="6C3B4C9C">
      <w:pPr>
        <w:widowControl/>
        <w:snapToGrid w:val="0"/>
        <w:spacing w:line="324" w:lineRule="auto"/>
        <w:ind w:firstLine="480" w:firstLineChars="200"/>
        <w:jc w:val="right"/>
        <w:rPr>
          <w:rFonts w:ascii="宋体" w:hAnsi="宋体" w:cs="宋体"/>
          <w:kern w:val="0"/>
          <w:sz w:val="24"/>
          <w:highlight w:val="none"/>
          <w:shd w:val="clear" w:color="auto" w:fill="FFFFFF"/>
        </w:rPr>
      </w:pPr>
    </w:p>
    <w:p w14:paraId="2884FF54">
      <w:pPr>
        <w:widowControl/>
        <w:snapToGrid w:val="0"/>
        <w:spacing w:line="324" w:lineRule="auto"/>
        <w:ind w:firstLine="480" w:firstLineChars="200"/>
        <w:jc w:val="right"/>
        <w:rPr>
          <w:rFonts w:ascii="宋体" w:hAnsi="宋体" w:cs="宋体"/>
          <w:kern w:val="0"/>
          <w:sz w:val="24"/>
          <w:highlight w:val="none"/>
          <w:shd w:val="clear" w:color="auto" w:fill="FFFFFF"/>
        </w:rPr>
      </w:pPr>
      <w:r>
        <w:rPr>
          <w:rFonts w:hint="eastAsia" w:ascii="宋体" w:hAnsi="宋体" w:cs="宋体"/>
          <w:kern w:val="0"/>
          <w:sz w:val="24"/>
          <w:highlight w:val="none"/>
          <w:shd w:val="clear" w:color="auto" w:fill="FFFFFF"/>
        </w:rPr>
        <w:t>驻马店市中心医院采购科</w:t>
      </w:r>
    </w:p>
    <w:p w14:paraId="1A55E0A1">
      <w:pPr>
        <w:pStyle w:val="31"/>
        <w:widowControl/>
        <w:snapToGrid w:val="0"/>
        <w:spacing w:before="0" w:beforeAutospacing="0" w:after="0" w:afterAutospacing="0" w:line="324" w:lineRule="auto"/>
        <w:ind w:firstLine="480" w:firstLineChars="200"/>
        <w:jc w:val="center"/>
        <w:rPr>
          <w:rFonts w:hint="eastAsia" w:ascii="宋体" w:hAnsi="宋体" w:cs="宋体"/>
          <w:highlight w:val="none"/>
          <w:shd w:val="clear" w:color="auto" w:fill="FFFFFF"/>
        </w:rPr>
        <w:sectPr>
          <w:footerReference r:id="rId5" w:type="default"/>
          <w:pgSz w:w="11906" w:h="16838"/>
          <w:pgMar w:top="1417" w:right="1474" w:bottom="1417" w:left="1474" w:header="851" w:footer="624" w:gutter="0"/>
          <w:cols w:space="720" w:num="1"/>
          <w:docGrid w:type="lines" w:linePitch="319" w:charSpace="0"/>
        </w:sectPr>
      </w:pPr>
      <w:r>
        <w:rPr>
          <w:rFonts w:hint="eastAsia" w:ascii="宋体" w:hAnsi="宋体" w:cs="宋体"/>
          <w:highlight w:val="none"/>
          <w:shd w:val="clear" w:color="auto" w:fill="FFFFFF"/>
        </w:rPr>
        <w:t xml:space="preserve">                                              2026年</w:t>
      </w:r>
      <w:r>
        <w:rPr>
          <w:rFonts w:hint="eastAsia" w:ascii="宋体" w:hAnsi="宋体" w:cs="宋体"/>
          <w:highlight w:val="none"/>
          <w:shd w:val="clear" w:color="auto" w:fill="FFFFFF"/>
          <w:lang w:val="en-US" w:eastAsia="zh-CN"/>
        </w:rPr>
        <w:t>2</w:t>
      </w:r>
      <w:r>
        <w:rPr>
          <w:rFonts w:hint="eastAsia" w:ascii="宋体" w:hAnsi="宋体" w:cs="宋体"/>
          <w:highlight w:val="none"/>
          <w:shd w:val="clear" w:color="auto" w:fill="FFFFFF"/>
        </w:rPr>
        <w:t>月</w:t>
      </w:r>
      <w:r>
        <w:rPr>
          <w:rFonts w:hint="eastAsia" w:ascii="宋体" w:hAnsi="宋体" w:cs="宋体"/>
          <w:highlight w:val="none"/>
          <w:shd w:val="clear" w:color="auto" w:fill="FFFFFF"/>
          <w:lang w:val="en-US" w:eastAsia="zh-CN"/>
        </w:rPr>
        <w:t>28</w:t>
      </w:r>
      <w:r>
        <w:rPr>
          <w:rFonts w:hint="eastAsia" w:ascii="宋体" w:hAnsi="宋体" w:cs="宋体"/>
          <w:highlight w:val="none"/>
          <w:shd w:val="clear" w:color="auto" w:fill="FFFFFF"/>
        </w:rPr>
        <w:t>日</w:t>
      </w:r>
    </w:p>
    <w:p w14:paraId="31A7950C">
      <w:pPr>
        <w:jc w:val="center"/>
        <w:rPr>
          <w:rFonts w:ascii="宋体" w:hAnsi="宋体" w:cs="宋体"/>
          <w:b/>
          <w:sz w:val="32"/>
          <w:szCs w:val="32"/>
          <w:highlight w:val="none"/>
        </w:rPr>
      </w:pPr>
      <w:bookmarkStart w:id="27" w:name="_Toc19124"/>
      <w:bookmarkStart w:id="28" w:name="_Toc29890"/>
      <w:bookmarkStart w:id="29" w:name="_Toc23793"/>
      <w:r>
        <w:rPr>
          <w:rFonts w:hint="eastAsia" w:ascii="宋体" w:hAnsi="宋体" w:cs="宋体"/>
          <w:b/>
          <w:sz w:val="32"/>
          <w:szCs w:val="32"/>
          <w:highlight w:val="none"/>
        </w:rPr>
        <w:t>第二章  采购需求</w:t>
      </w:r>
      <w:bookmarkEnd w:id="27"/>
      <w:bookmarkStart w:id="30" w:name="_Toc23610"/>
      <w:bookmarkStart w:id="31" w:name="_Toc31536"/>
      <w:bookmarkStart w:id="32" w:name="_Toc9989"/>
    </w:p>
    <w:bookmarkEnd w:id="28"/>
    <w:bookmarkEnd w:id="29"/>
    <w:bookmarkEnd w:id="30"/>
    <w:bookmarkEnd w:id="31"/>
    <w:bookmarkEnd w:id="32"/>
    <w:p w14:paraId="67C92130">
      <w:pPr>
        <w:snapToGrid w:val="0"/>
        <w:spacing w:line="360" w:lineRule="auto"/>
        <w:rPr>
          <w:rFonts w:ascii="宋体" w:hAnsi="宋体" w:cs="宋体"/>
          <w:iCs/>
          <w:sz w:val="24"/>
          <w:highlight w:val="none"/>
        </w:rPr>
      </w:pPr>
      <w:r>
        <w:rPr>
          <w:rFonts w:hint="eastAsia" w:ascii="宋体" w:hAnsi="宋体" w:cs="宋体"/>
          <w:b/>
          <w:bCs/>
          <w:iCs/>
          <w:sz w:val="24"/>
          <w:highlight w:val="none"/>
        </w:rPr>
        <w:t>项目名称：</w:t>
      </w:r>
      <w:r>
        <w:rPr>
          <w:rFonts w:hint="eastAsia" w:ascii="宋体" w:hAnsi="宋体" w:cs="宋体"/>
          <w:sz w:val="24"/>
          <w:highlight w:val="none"/>
          <w:shd w:val="clear" w:color="auto" w:fill="FFFFFF"/>
        </w:rPr>
        <w:t>驻马店市中心医院康复分院病房楼改造项目屋面防水工程</w:t>
      </w:r>
    </w:p>
    <w:p w14:paraId="7618FC3F">
      <w:pPr>
        <w:pStyle w:val="8"/>
        <w:snapToGrid w:val="0"/>
        <w:spacing w:beforeAutospacing="0" w:afterAutospacing="0" w:line="360" w:lineRule="auto"/>
        <w:jc w:val="both"/>
        <w:rPr>
          <w:b/>
          <w:bCs/>
          <w:kern w:val="2"/>
          <w:highlight w:val="none"/>
        </w:rPr>
      </w:pPr>
      <w:r>
        <w:rPr>
          <w:rFonts w:hint="eastAsia"/>
          <w:b/>
          <w:bCs/>
          <w:kern w:val="2"/>
          <w:highlight w:val="none"/>
        </w:rPr>
        <w:t>一、采购标的清单：</w:t>
      </w:r>
    </w:p>
    <w:tbl>
      <w:tblPr>
        <w:tblStyle w:val="35"/>
        <w:tblW w:w="91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6"/>
        <w:gridCol w:w="3472"/>
        <w:gridCol w:w="2082"/>
        <w:gridCol w:w="2372"/>
      </w:tblGrid>
      <w:tr w14:paraId="67545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1236" w:type="dxa"/>
            <w:vAlign w:val="center"/>
          </w:tcPr>
          <w:p w14:paraId="0B0A3D42">
            <w:pPr>
              <w:pStyle w:val="8"/>
              <w:widowControl w:val="0"/>
              <w:spacing w:beforeAutospacing="0" w:line="400" w:lineRule="exact"/>
              <w:jc w:val="center"/>
              <w:rPr>
                <w:highlight w:val="none"/>
              </w:rPr>
            </w:pPr>
            <w:r>
              <w:rPr>
                <w:rFonts w:hint="eastAsia"/>
                <w:b/>
                <w:bCs/>
                <w:highlight w:val="none"/>
              </w:rPr>
              <w:t>序号</w:t>
            </w:r>
          </w:p>
        </w:tc>
        <w:tc>
          <w:tcPr>
            <w:tcW w:w="3472" w:type="dxa"/>
            <w:vAlign w:val="center"/>
          </w:tcPr>
          <w:p w14:paraId="038409E3">
            <w:pPr>
              <w:pStyle w:val="8"/>
              <w:widowControl w:val="0"/>
              <w:spacing w:beforeAutospacing="0" w:line="400" w:lineRule="exact"/>
              <w:jc w:val="center"/>
              <w:rPr>
                <w:highlight w:val="none"/>
              </w:rPr>
            </w:pPr>
            <w:r>
              <w:rPr>
                <w:rFonts w:hint="eastAsia" w:ascii="仿宋" w:hAnsi="仿宋" w:eastAsia="仿宋" w:cs="仿宋"/>
                <w:b/>
                <w:bCs/>
                <w:sz w:val="28"/>
                <w:szCs w:val="28"/>
                <w:highlight w:val="none"/>
              </w:rPr>
              <w:t>标的名称</w:t>
            </w:r>
          </w:p>
        </w:tc>
        <w:tc>
          <w:tcPr>
            <w:tcW w:w="2082" w:type="dxa"/>
            <w:vAlign w:val="center"/>
          </w:tcPr>
          <w:p w14:paraId="3375A775">
            <w:pPr>
              <w:pStyle w:val="8"/>
              <w:widowControl w:val="0"/>
              <w:spacing w:beforeAutospacing="0" w:afterAutospacing="0" w:line="400" w:lineRule="exact"/>
              <w:jc w:val="center"/>
              <w:rPr>
                <w:highlight w:val="none"/>
              </w:rPr>
            </w:pPr>
            <w:r>
              <w:rPr>
                <w:rFonts w:hint="eastAsia"/>
                <w:b/>
                <w:bCs/>
                <w:highlight w:val="none"/>
              </w:rPr>
              <w:t>资金预算</w:t>
            </w:r>
          </w:p>
        </w:tc>
        <w:tc>
          <w:tcPr>
            <w:tcW w:w="2372" w:type="dxa"/>
            <w:vAlign w:val="center"/>
          </w:tcPr>
          <w:p w14:paraId="3945455D">
            <w:pPr>
              <w:pStyle w:val="8"/>
              <w:widowControl w:val="0"/>
              <w:spacing w:beforeAutospacing="0" w:afterAutospacing="0" w:line="400" w:lineRule="exact"/>
              <w:jc w:val="center"/>
              <w:rPr>
                <w:highlight w:val="none"/>
              </w:rPr>
            </w:pPr>
            <w:r>
              <w:rPr>
                <w:rFonts w:hint="eastAsia"/>
                <w:b/>
                <w:bCs/>
                <w:highlight w:val="none"/>
              </w:rPr>
              <w:t>资金性质</w:t>
            </w:r>
          </w:p>
        </w:tc>
      </w:tr>
      <w:tr w14:paraId="38FA3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jc w:val="center"/>
        </w:trPr>
        <w:tc>
          <w:tcPr>
            <w:tcW w:w="1236" w:type="dxa"/>
            <w:shd w:val="clear" w:color="auto" w:fill="auto"/>
            <w:vAlign w:val="center"/>
          </w:tcPr>
          <w:p w14:paraId="5F24169D">
            <w:pPr>
              <w:spacing w:line="560" w:lineRule="exact"/>
              <w:jc w:val="center"/>
              <w:rPr>
                <w:rFonts w:ascii="宋体" w:hAnsi="宋体" w:cs="宋体"/>
                <w:sz w:val="24"/>
                <w:highlight w:val="none"/>
              </w:rPr>
            </w:pPr>
            <w:r>
              <w:rPr>
                <w:rFonts w:hint="eastAsia" w:ascii="宋体" w:hAnsi="宋体" w:cs="宋体"/>
                <w:sz w:val="24"/>
                <w:highlight w:val="none"/>
              </w:rPr>
              <w:t>1</w:t>
            </w:r>
          </w:p>
        </w:tc>
        <w:tc>
          <w:tcPr>
            <w:tcW w:w="3472" w:type="dxa"/>
            <w:shd w:val="clear" w:color="auto" w:fill="auto"/>
            <w:vAlign w:val="center"/>
          </w:tcPr>
          <w:p w14:paraId="68F101D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cs="宋体"/>
                <w:sz w:val="24"/>
                <w:highlight w:val="none"/>
              </w:rPr>
            </w:pPr>
            <w:r>
              <w:rPr>
                <w:rFonts w:hint="eastAsia" w:ascii="宋体" w:hAnsi="宋体" w:cs="宋体"/>
                <w:sz w:val="24"/>
                <w:highlight w:val="none"/>
                <w:shd w:val="clear" w:color="auto" w:fill="FFFFFF"/>
              </w:rPr>
              <w:t>驻马店市中心医院康复分院病房楼改造项目屋面防水工程</w:t>
            </w:r>
          </w:p>
        </w:tc>
        <w:tc>
          <w:tcPr>
            <w:tcW w:w="2082" w:type="dxa"/>
            <w:shd w:val="clear" w:color="auto" w:fill="auto"/>
            <w:vAlign w:val="center"/>
          </w:tcPr>
          <w:p w14:paraId="64CF2B45">
            <w:pPr>
              <w:spacing w:line="560" w:lineRule="exact"/>
              <w:jc w:val="center"/>
              <w:rPr>
                <w:rFonts w:ascii="宋体" w:hAnsi="宋体" w:cs="宋体"/>
                <w:sz w:val="24"/>
                <w:highlight w:val="none"/>
              </w:rPr>
            </w:pPr>
            <w:r>
              <w:rPr>
                <w:rFonts w:hint="eastAsia" w:ascii="宋体" w:hAnsi="宋体" w:cs="宋体"/>
                <w:sz w:val="24"/>
                <w:highlight w:val="none"/>
              </w:rPr>
              <w:t>341000元</w:t>
            </w:r>
          </w:p>
        </w:tc>
        <w:tc>
          <w:tcPr>
            <w:tcW w:w="2372" w:type="dxa"/>
            <w:shd w:val="clear" w:color="auto" w:fill="auto"/>
            <w:vAlign w:val="center"/>
          </w:tcPr>
          <w:p w14:paraId="0E18CCCC">
            <w:pPr>
              <w:spacing w:line="560" w:lineRule="exact"/>
              <w:jc w:val="center"/>
              <w:rPr>
                <w:rFonts w:ascii="宋体" w:hAnsi="宋体" w:cs="宋体"/>
                <w:sz w:val="24"/>
                <w:highlight w:val="none"/>
              </w:rPr>
            </w:pPr>
            <w:r>
              <w:rPr>
                <w:rFonts w:hint="eastAsia" w:ascii="仿宋" w:hAnsi="仿宋" w:eastAsia="仿宋" w:cs="仿宋"/>
                <w:sz w:val="28"/>
                <w:szCs w:val="28"/>
                <w:highlight w:val="none"/>
              </w:rPr>
              <w:t>自筹</w:t>
            </w:r>
          </w:p>
        </w:tc>
      </w:tr>
      <w:tr w14:paraId="5F874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1236" w:type="dxa"/>
            <w:shd w:val="clear" w:color="auto" w:fill="auto"/>
            <w:vAlign w:val="center"/>
          </w:tcPr>
          <w:p w14:paraId="605AB0B1">
            <w:pPr>
              <w:spacing w:line="560" w:lineRule="exact"/>
              <w:jc w:val="center"/>
              <w:rPr>
                <w:rFonts w:hint="eastAsia" w:ascii="宋体" w:hAnsi="宋体" w:eastAsia="宋体" w:cs="宋体"/>
                <w:sz w:val="24"/>
                <w:highlight w:val="none"/>
                <w:lang w:val="en-US" w:eastAsia="zh-CN"/>
              </w:rPr>
            </w:pPr>
            <w:r>
              <w:rPr>
                <w:rFonts w:hint="eastAsia" w:ascii="宋体" w:hAnsi="宋体" w:cs="宋体"/>
                <w:sz w:val="24"/>
                <w:highlight w:val="none"/>
                <w:lang w:val="en-US" w:eastAsia="zh-CN"/>
              </w:rPr>
              <w:t>备注</w:t>
            </w:r>
          </w:p>
        </w:tc>
        <w:tc>
          <w:tcPr>
            <w:tcW w:w="7926" w:type="dxa"/>
            <w:gridSpan w:val="3"/>
            <w:shd w:val="clear" w:color="auto" w:fill="auto"/>
            <w:vAlign w:val="center"/>
          </w:tcPr>
          <w:p w14:paraId="44F05EEF">
            <w:pPr>
              <w:spacing w:line="560" w:lineRule="exact"/>
              <w:jc w:val="center"/>
              <w:rPr>
                <w:rFonts w:hint="eastAsia" w:ascii="仿宋" w:hAnsi="仿宋" w:eastAsia="仿宋" w:cs="仿宋"/>
                <w:sz w:val="28"/>
                <w:szCs w:val="28"/>
                <w:highlight w:val="none"/>
              </w:rPr>
            </w:pPr>
            <w:r>
              <w:rPr>
                <w:rFonts w:hint="eastAsia" w:ascii="宋体" w:hAnsi="宋体" w:cs="宋体"/>
                <w:color w:val="auto"/>
                <w:sz w:val="24"/>
                <w:szCs w:val="24"/>
                <w:highlight w:val="none"/>
                <w:vertAlign w:val="baseline"/>
                <w:lang w:val="en-US" w:eastAsia="zh-CN"/>
              </w:rPr>
              <w:t>工程量清单另行发送</w:t>
            </w:r>
          </w:p>
        </w:tc>
      </w:tr>
    </w:tbl>
    <w:p w14:paraId="61A80043">
      <w:pPr>
        <w:spacing w:line="192" w:lineRule="auto"/>
        <w:rPr>
          <w:rFonts w:ascii="宋体" w:hAnsi="宋体" w:cs="宋体"/>
          <w:b/>
          <w:bCs/>
          <w:sz w:val="24"/>
          <w:highlight w:val="none"/>
        </w:rPr>
      </w:pPr>
    </w:p>
    <w:p w14:paraId="3B192B91">
      <w:pPr>
        <w:keepNext w:val="0"/>
        <w:keepLines w:val="0"/>
        <w:pageBreakBefore w:val="0"/>
        <w:widowControl w:val="0"/>
        <w:kinsoku/>
        <w:wordWrap/>
        <w:overflowPunct/>
        <w:topLinePunct w:val="0"/>
        <w:autoSpaceDE/>
        <w:autoSpaceDN/>
        <w:bidi w:val="0"/>
        <w:adjustRightInd/>
        <w:spacing w:line="460" w:lineRule="exact"/>
        <w:textAlignment w:val="auto"/>
        <w:rPr>
          <w:rFonts w:ascii="宋体" w:hAnsi="宋体" w:cs="宋体"/>
          <w:b/>
          <w:bCs/>
          <w:sz w:val="24"/>
          <w:highlight w:val="none"/>
        </w:rPr>
      </w:pPr>
      <w:r>
        <w:rPr>
          <w:rFonts w:hint="eastAsia" w:ascii="宋体" w:hAnsi="宋体" w:cs="宋体"/>
          <w:b/>
          <w:bCs/>
          <w:sz w:val="24"/>
          <w:highlight w:val="none"/>
        </w:rPr>
        <w:t>二、技术要求：</w:t>
      </w:r>
    </w:p>
    <w:p w14:paraId="5B192FCF">
      <w:pPr>
        <w:keepNext w:val="0"/>
        <w:keepLines w:val="0"/>
        <w:pageBreakBefore w:val="0"/>
        <w:widowControl w:val="0"/>
        <w:kinsoku/>
        <w:wordWrap/>
        <w:overflowPunct/>
        <w:topLinePunct w:val="0"/>
        <w:autoSpaceDE/>
        <w:autoSpaceDN/>
        <w:bidi w:val="0"/>
        <w:adjustRightInd/>
        <w:snapToGrid w:val="0"/>
        <w:spacing w:line="440" w:lineRule="exact"/>
        <w:textAlignment w:val="auto"/>
        <w:rPr>
          <w:rFonts w:ascii="宋体" w:hAnsi="宋体" w:cs="宋体"/>
          <w:sz w:val="24"/>
          <w:highlight w:val="none"/>
          <w:shd w:val="clear" w:color="auto" w:fill="FFFFFF"/>
        </w:rPr>
      </w:pPr>
      <w:r>
        <w:rPr>
          <w:rFonts w:hint="eastAsia" w:ascii="宋体" w:hAnsi="宋体" w:cs="宋体"/>
          <w:sz w:val="24"/>
          <w:highlight w:val="none"/>
          <w:shd w:val="clear" w:color="auto" w:fill="FFFFFF"/>
        </w:rPr>
        <w:t xml:space="preserve">  （一）服务要求：</w:t>
      </w:r>
    </w:p>
    <w:p w14:paraId="033BBDF3">
      <w:pPr>
        <w:keepNext w:val="0"/>
        <w:keepLines w:val="0"/>
        <w:pageBreakBefore w:val="0"/>
        <w:widowControl w:val="0"/>
        <w:kinsoku/>
        <w:wordWrap/>
        <w:overflowPunct/>
        <w:topLinePunct w:val="0"/>
        <w:autoSpaceDE/>
        <w:autoSpaceDN/>
        <w:bidi w:val="0"/>
        <w:adjustRightInd/>
        <w:snapToGrid w:val="0"/>
        <w:spacing w:line="440" w:lineRule="exact"/>
        <w:textAlignment w:val="auto"/>
        <w:rPr>
          <w:rFonts w:ascii="宋体" w:hAnsi="宋体" w:cs="宋体"/>
          <w:sz w:val="24"/>
          <w:highlight w:val="none"/>
          <w:shd w:val="clear" w:color="auto" w:fill="FFFFFF"/>
        </w:rPr>
      </w:pPr>
      <w:r>
        <w:rPr>
          <w:rFonts w:hint="eastAsia" w:ascii="宋体" w:hAnsi="宋体" w:cs="宋体"/>
          <w:sz w:val="24"/>
          <w:highlight w:val="none"/>
          <w:shd w:val="clear" w:color="auto" w:fill="FFFFFF"/>
        </w:rPr>
        <w:t xml:space="preserve">    1、供应商要做好施工组织，保证安全生产和成品保护。</w:t>
      </w:r>
    </w:p>
    <w:p w14:paraId="5DDB7885">
      <w:pPr>
        <w:keepNext w:val="0"/>
        <w:keepLines w:val="0"/>
        <w:pageBreakBefore w:val="0"/>
        <w:widowControl w:val="0"/>
        <w:kinsoku/>
        <w:wordWrap/>
        <w:overflowPunct/>
        <w:topLinePunct w:val="0"/>
        <w:autoSpaceDE/>
        <w:autoSpaceDN/>
        <w:bidi w:val="0"/>
        <w:adjustRightInd/>
        <w:snapToGrid w:val="0"/>
        <w:spacing w:line="440" w:lineRule="exact"/>
        <w:textAlignment w:val="auto"/>
        <w:rPr>
          <w:rFonts w:ascii="宋体" w:hAnsi="宋体" w:cs="宋体"/>
          <w:sz w:val="24"/>
          <w:highlight w:val="none"/>
          <w:shd w:val="clear" w:color="auto" w:fill="FFFFFF"/>
        </w:rPr>
      </w:pPr>
      <w:r>
        <w:rPr>
          <w:rFonts w:hint="eastAsia" w:ascii="宋体" w:hAnsi="宋体" w:cs="宋体"/>
          <w:sz w:val="24"/>
          <w:highlight w:val="none"/>
          <w:shd w:val="clear" w:color="auto" w:fill="FFFFFF"/>
        </w:rPr>
        <w:t xml:space="preserve">    2、在合同履约期中发生意外事故和成品破坏所引起的经济和法律责任，均由供应商承担全部责任。</w:t>
      </w:r>
    </w:p>
    <w:p w14:paraId="64093DA5">
      <w:pPr>
        <w:keepNext w:val="0"/>
        <w:keepLines w:val="0"/>
        <w:pageBreakBefore w:val="0"/>
        <w:widowControl w:val="0"/>
        <w:kinsoku/>
        <w:wordWrap/>
        <w:overflowPunct/>
        <w:topLinePunct w:val="0"/>
        <w:autoSpaceDE/>
        <w:autoSpaceDN/>
        <w:bidi w:val="0"/>
        <w:adjustRightInd/>
        <w:snapToGrid w:val="0"/>
        <w:spacing w:line="440" w:lineRule="exact"/>
        <w:textAlignment w:val="auto"/>
        <w:rPr>
          <w:rFonts w:ascii="宋体" w:hAnsi="宋体" w:cs="宋体"/>
          <w:sz w:val="24"/>
          <w:highlight w:val="none"/>
          <w:shd w:val="clear" w:color="auto" w:fill="FFFFFF"/>
        </w:rPr>
      </w:pPr>
      <w:r>
        <w:rPr>
          <w:rFonts w:hint="eastAsia" w:ascii="宋体" w:hAnsi="宋体" w:cs="宋体"/>
          <w:sz w:val="24"/>
          <w:highlight w:val="none"/>
          <w:shd w:val="clear" w:color="auto" w:fill="FFFFFF"/>
        </w:rPr>
        <w:t xml:space="preserve">    3、必须服从采购单位统一管理，施工过程中密切配合采购单位后勤管理部门和相关职能部门的日常工作。</w:t>
      </w:r>
    </w:p>
    <w:p w14:paraId="39162818">
      <w:pPr>
        <w:keepNext w:val="0"/>
        <w:keepLines w:val="0"/>
        <w:pageBreakBefore w:val="0"/>
        <w:widowControl w:val="0"/>
        <w:kinsoku/>
        <w:wordWrap/>
        <w:overflowPunct/>
        <w:topLinePunct w:val="0"/>
        <w:autoSpaceDE/>
        <w:autoSpaceDN/>
        <w:bidi w:val="0"/>
        <w:adjustRightInd/>
        <w:snapToGrid w:val="0"/>
        <w:spacing w:line="440" w:lineRule="exact"/>
        <w:textAlignment w:val="auto"/>
        <w:rPr>
          <w:rFonts w:ascii="宋体" w:hAnsi="宋体" w:cs="宋体"/>
          <w:sz w:val="24"/>
          <w:highlight w:val="none"/>
          <w:shd w:val="clear" w:color="auto" w:fill="FFFFFF"/>
        </w:rPr>
      </w:pPr>
      <w:r>
        <w:rPr>
          <w:rFonts w:hint="eastAsia" w:ascii="宋体" w:hAnsi="宋体" w:cs="宋体"/>
          <w:sz w:val="24"/>
          <w:highlight w:val="none"/>
          <w:shd w:val="clear" w:color="auto" w:fill="FFFFFF"/>
        </w:rPr>
        <w:t xml:space="preserve">  （二）供应商应指定项目负责人。项目负责人负责项目统筹、协调和管理，须配备认真负责、业务熟练的施工员及各专业技术工人。</w:t>
      </w:r>
    </w:p>
    <w:p w14:paraId="55218867">
      <w:pPr>
        <w:keepNext w:val="0"/>
        <w:keepLines w:val="0"/>
        <w:pageBreakBefore w:val="0"/>
        <w:widowControl w:val="0"/>
        <w:kinsoku/>
        <w:wordWrap/>
        <w:overflowPunct/>
        <w:topLinePunct w:val="0"/>
        <w:autoSpaceDE/>
        <w:autoSpaceDN/>
        <w:bidi w:val="0"/>
        <w:adjustRightInd/>
        <w:snapToGrid w:val="0"/>
        <w:spacing w:line="440" w:lineRule="exact"/>
        <w:textAlignment w:val="auto"/>
        <w:rPr>
          <w:rFonts w:ascii="宋体" w:hAnsi="宋体" w:cs="宋体"/>
          <w:sz w:val="24"/>
          <w:highlight w:val="none"/>
          <w:shd w:val="clear" w:color="auto" w:fill="FFFFFF"/>
        </w:rPr>
      </w:pPr>
      <w:r>
        <w:rPr>
          <w:rFonts w:hint="eastAsia" w:ascii="宋体" w:hAnsi="宋体" w:cs="宋体"/>
          <w:sz w:val="24"/>
          <w:highlight w:val="none"/>
          <w:shd w:val="clear" w:color="auto" w:fill="FFFFFF"/>
        </w:rPr>
        <w:t xml:space="preserve">   （三）材料要求：维修使用的工程材料，需经采购人认可。施工前报样板给采购人选定，采购人认可后方可使用，所选购的材料须有产品合格证、生产许可证等证明材料。</w:t>
      </w:r>
    </w:p>
    <w:p w14:paraId="5A2D59D4">
      <w:pPr>
        <w:spacing w:line="192" w:lineRule="auto"/>
        <w:jc w:val="center"/>
        <w:rPr>
          <w:rFonts w:ascii="宋体" w:hAnsi="宋体" w:cs="宋体"/>
          <w:b/>
          <w:bCs/>
          <w:sz w:val="24"/>
          <w:highlight w:val="none"/>
        </w:rPr>
      </w:pPr>
      <w:bookmarkStart w:id="33" w:name="_Toc8501"/>
      <w:r>
        <w:rPr>
          <w:rFonts w:hint="eastAsia" w:ascii="宋体" w:hAnsi="宋体" w:cs="宋体"/>
          <w:b/>
          <w:bCs/>
          <w:sz w:val="24"/>
          <w:highlight w:val="none"/>
        </w:rPr>
        <w:t>商务要求</w:t>
      </w:r>
    </w:p>
    <w:tbl>
      <w:tblPr>
        <w:tblStyle w:val="34"/>
        <w:tblpPr w:leftFromText="180" w:rightFromText="180" w:vertAnchor="text" w:tblpXSpec="center" w:tblpY="1"/>
        <w:tblOverlap w:val="never"/>
        <w:tblW w:w="948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93"/>
        <w:gridCol w:w="7393"/>
      </w:tblGrid>
      <w:tr w14:paraId="2BA2D88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093" w:type="dxa"/>
            <w:tcBorders>
              <w:top w:val="single" w:color="auto" w:sz="4" w:space="0"/>
              <w:left w:val="single" w:color="auto" w:sz="4" w:space="0"/>
              <w:bottom w:val="single" w:color="auto" w:sz="4" w:space="0"/>
              <w:right w:val="single" w:color="auto" w:sz="4" w:space="0"/>
            </w:tcBorders>
            <w:noWrap/>
            <w:vAlign w:val="center"/>
          </w:tcPr>
          <w:p w14:paraId="38E07CB5">
            <w:pPr>
              <w:widowControl/>
              <w:spacing w:beforeAutospacing="1" w:afterAutospacing="1" w:line="360" w:lineRule="auto"/>
              <w:jc w:val="center"/>
              <w:rPr>
                <w:rFonts w:cs="仿宋" w:asciiTheme="majorEastAsia" w:hAnsiTheme="majorEastAsia" w:eastAsiaTheme="majorEastAsia"/>
                <w:sz w:val="24"/>
                <w:highlight w:val="none"/>
              </w:rPr>
            </w:pPr>
            <w:r>
              <w:rPr>
                <w:rFonts w:hint="eastAsia" w:cs="仿宋" w:asciiTheme="majorEastAsia" w:hAnsiTheme="majorEastAsia" w:eastAsiaTheme="majorEastAsia"/>
                <w:sz w:val="24"/>
                <w:highlight w:val="none"/>
              </w:rPr>
              <w:t>工期要求</w:t>
            </w:r>
          </w:p>
        </w:tc>
        <w:tc>
          <w:tcPr>
            <w:tcW w:w="7393" w:type="dxa"/>
            <w:tcBorders>
              <w:top w:val="single" w:color="auto" w:sz="4" w:space="0"/>
              <w:left w:val="single" w:color="auto" w:sz="4" w:space="0"/>
              <w:bottom w:val="single" w:color="auto" w:sz="4" w:space="0"/>
              <w:right w:val="single" w:color="auto" w:sz="4" w:space="0"/>
            </w:tcBorders>
            <w:noWrap/>
            <w:vAlign w:val="center"/>
          </w:tcPr>
          <w:p w14:paraId="3E48234A">
            <w:pPr>
              <w:widowControl/>
              <w:spacing w:beforeAutospacing="1" w:afterAutospacing="1" w:line="360" w:lineRule="auto"/>
              <w:jc w:val="left"/>
              <w:rPr>
                <w:rFonts w:cs="仿宋" w:asciiTheme="majorEastAsia" w:hAnsiTheme="majorEastAsia" w:eastAsiaTheme="majorEastAsia"/>
                <w:sz w:val="24"/>
                <w:highlight w:val="none"/>
              </w:rPr>
            </w:pPr>
            <w:r>
              <w:rPr>
                <w:rFonts w:hint="eastAsia" w:cs="仿宋" w:asciiTheme="majorEastAsia" w:hAnsiTheme="majorEastAsia" w:eastAsiaTheme="majorEastAsia"/>
                <w:sz w:val="24"/>
                <w:highlight w:val="none"/>
              </w:rPr>
              <w:t>45日历天</w:t>
            </w:r>
          </w:p>
        </w:tc>
      </w:tr>
      <w:tr w14:paraId="714C4D2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093" w:type="dxa"/>
            <w:tcBorders>
              <w:top w:val="single" w:color="auto" w:sz="4" w:space="0"/>
              <w:left w:val="single" w:color="auto" w:sz="4" w:space="0"/>
              <w:bottom w:val="single" w:color="auto" w:sz="4" w:space="0"/>
              <w:right w:val="single" w:color="auto" w:sz="4" w:space="0"/>
            </w:tcBorders>
            <w:noWrap/>
            <w:vAlign w:val="center"/>
          </w:tcPr>
          <w:p w14:paraId="591A5BAD">
            <w:pPr>
              <w:widowControl/>
              <w:spacing w:beforeAutospacing="1" w:afterAutospacing="1" w:line="360" w:lineRule="auto"/>
              <w:jc w:val="center"/>
              <w:rPr>
                <w:rFonts w:cs="仿宋" w:asciiTheme="majorEastAsia" w:hAnsiTheme="majorEastAsia" w:eastAsiaTheme="majorEastAsia"/>
                <w:sz w:val="24"/>
                <w:highlight w:val="none"/>
              </w:rPr>
            </w:pPr>
            <w:r>
              <w:rPr>
                <w:rFonts w:hint="eastAsia" w:cs="仿宋" w:asciiTheme="majorEastAsia" w:hAnsiTheme="majorEastAsia" w:eastAsiaTheme="majorEastAsia"/>
                <w:sz w:val="24"/>
                <w:highlight w:val="none"/>
              </w:rPr>
              <w:t>验收标准</w:t>
            </w:r>
          </w:p>
        </w:tc>
        <w:tc>
          <w:tcPr>
            <w:tcW w:w="7393" w:type="dxa"/>
            <w:tcBorders>
              <w:top w:val="single" w:color="auto" w:sz="4" w:space="0"/>
              <w:left w:val="single" w:color="auto" w:sz="4" w:space="0"/>
              <w:bottom w:val="single" w:color="auto" w:sz="4" w:space="0"/>
              <w:right w:val="single" w:color="auto" w:sz="4" w:space="0"/>
            </w:tcBorders>
            <w:noWrap/>
            <w:vAlign w:val="center"/>
          </w:tcPr>
          <w:p w14:paraId="49C2309C">
            <w:pPr>
              <w:widowControl/>
              <w:spacing w:beforeAutospacing="1" w:afterAutospacing="1" w:line="360" w:lineRule="auto"/>
              <w:jc w:val="left"/>
              <w:rPr>
                <w:rFonts w:cs="仿宋" w:asciiTheme="majorEastAsia" w:hAnsiTheme="majorEastAsia" w:eastAsiaTheme="majorEastAsia"/>
                <w:sz w:val="24"/>
                <w:highlight w:val="none"/>
              </w:rPr>
            </w:pPr>
            <w:r>
              <w:rPr>
                <w:rFonts w:hint="eastAsia" w:cs="仿宋" w:asciiTheme="majorEastAsia" w:hAnsiTheme="majorEastAsia" w:eastAsiaTheme="majorEastAsia"/>
                <w:sz w:val="24"/>
                <w:highlight w:val="none"/>
              </w:rPr>
              <w:t>按照国家现行有关施工及验收规范、技术标准进行施工和验收。</w:t>
            </w:r>
          </w:p>
        </w:tc>
      </w:tr>
      <w:tr w14:paraId="6E9E924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093" w:type="dxa"/>
            <w:tcBorders>
              <w:top w:val="single" w:color="auto" w:sz="4" w:space="0"/>
              <w:left w:val="single" w:color="auto" w:sz="4" w:space="0"/>
              <w:bottom w:val="single" w:color="auto" w:sz="4" w:space="0"/>
              <w:right w:val="single" w:color="auto" w:sz="4" w:space="0"/>
            </w:tcBorders>
            <w:noWrap/>
            <w:vAlign w:val="center"/>
          </w:tcPr>
          <w:p w14:paraId="43BB87DC">
            <w:pPr>
              <w:widowControl/>
              <w:spacing w:beforeAutospacing="1" w:afterAutospacing="1" w:line="360" w:lineRule="auto"/>
              <w:jc w:val="center"/>
              <w:rPr>
                <w:rFonts w:cs="仿宋" w:asciiTheme="majorEastAsia" w:hAnsiTheme="majorEastAsia" w:eastAsiaTheme="majorEastAsia"/>
                <w:sz w:val="24"/>
                <w:highlight w:val="none"/>
              </w:rPr>
            </w:pPr>
            <w:r>
              <w:rPr>
                <w:rFonts w:hint="eastAsia" w:cs="仿宋" w:asciiTheme="majorEastAsia" w:hAnsiTheme="majorEastAsia" w:eastAsiaTheme="majorEastAsia"/>
                <w:sz w:val="24"/>
                <w:highlight w:val="none"/>
              </w:rPr>
              <w:t>质量要求</w:t>
            </w:r>
          </w:p>
        </w:tc>
        <w:tc>
          <w:tcPr>
            <w:tcW w:w="7393" w:type="dxa"/>
            <w:tcBorders>
              <w:top w:val="single" w:color="auto" w:sz="4" w:space="0"/>
              <w:left w:val="single" w:color="auto" w:sz="4" w:space="0"/>
              <w:bottom w:val="single" w:color="auto" w:sz="4" w:space="0"/>
              <w:right w:val="single" w:color="auto" w:sz="4" w:space="0"/>
            </w:tcBorders>
            <w:noWrap/>
            <w:vAlign w:val="center"/>
          </w:tcPr>
          <w:p w14:paraId="3A252D8B">
            <w:pPr>
              <w:widowControl/>
              <w:spacing w:beforeAutospacing="1" w:afterAutospacing="1" w:line="360" w:lineRule="auto"/>
              <w:jc w:val="left"/>
              <w:rPr>
                <w:rFonts w:cs="仿宋" w:asciiTheme="majorEastAsia" w:hAnsiTheme="majorEastAsia" w:eastAsiaTheme="majorEastAsia"/>
                <w:sz w:val="24"/>
                <w:highlight w:val="none"/>
              </w:rPr>
            </w:pPr>
            <w:r>
              <w:rPr>
                <w:rFonts w:hint="eastAsia" w:cs="仿宋" w:asciiTheme="majorEastAsia" w:hAnsiTheme="majorEastAsia" w:eastAsiaTheme="majorEastAsia"/>
                <w:sz w:val="24"/>
                <w:highlight w:val="none"/>
              </w:rPr>
              <w:t>合格。</w:t>
            </w:r>
          </w:p>
        </w:tc>
      </w:tr>
      <w:tr w14:paraId="30C63B4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093" w:type="dxa"/>
            <w:tcBorders>
              <w:top w:val="single" w:color="auto" w:sz="4" w:space="0"/>
              <w:left w:val="single" w:color="auto" w:sz="4" w:space="0"/>
              <w:bottom w:val="single" w:color="auto" w:sz="4" w:space="0"/>
              <w:right w:val="single" w:color="auto" w:sz="4" w:space="0"/>
            </w:tcBorders>
            <w:noWrap/>
            <w:vAlign w:val="center"/>
          </w:tcPr>
          <w:p w14:paraId="4F9D68FD">
            <w:pPr>
              <w:widowControl/>
              <w:spacing w:beforeAutospacing="1" w:afterAutospacing="1" w:line="360" w:lineRule="auto"/>
              <w:jc w:val="center"/>
              <w:rPr>
                <w:rFonts w:cs="仿宋" w:asciiTheme="majorEastAsia" w:hAnsiTheme="majorEastAsia" w:eastAsiaTheme="majorEastAsia"/>
                <w:sz w:val="24"/>
                <w:highlight w:val="none"/>
              </w:rPr>
            </w:pPr>
            <w:r>
              <w:rPr>
                <w:rFonts w:hint="eastAsia" w:cs="仿宋" w:asciiTheme="majorEastAsia" w:hAnsiTheme="majorEastAsia" w:eastAsiaTheme="majorEastAsia"/>
                <w:sz w:val="24"/>
                <w:highlight w:val="none"/>
              </w:rPr>
              <w:t>质保期</w:t>
            </w:r>
          </w:p>
        </w:tc>
        <w:tc>
          <w:tcPr>
            <w:tcW w:w="7393" w:type="dxa"/>
            <w:tcBorders>
              <w:top w:val="single" w:color="auto" w:sz="4" w:space="0"/>
              <w:left w:val="single" w:color="auto" w:sz="4" w:space="0"/>
              <w:bottom w:val="single" w:color="auto" w:sz="4" w:space="0"/>
              <w:right w:val="single" w:color="auto" w:sz="4" w:space="0"/>
            </w:tcBorders>
            <w:noWrap/>
            <w:vAlign w:val="center"/>
          </w:tcPr>
          <w:p w14:paraId="5F8E498F">
            <w:pPr>
              <w:keepNext w:val="0"/>
              <w:keepLines w:val="0"/>
              <w:pageBreakBefore w:val="0"/>
              <w:widowControl/>
              <w:kinsoku/>
              <w:wordWrap/>
              <w:overflowPunct/>
              <w:topLinePunct w:val="0"/>
              <w:autoSpaceDE/>
              <w:autoSpaceDN/>
              <w:bidi w:val="0"/>
              <w:adjustRightInd/>
              <w:snapToGrid/>
              <w:spacing w:beforeAutospacing="1" w:afterAutospacing="1" w:line="460" w:lineRule="exact"/>
              <w:jc w:val="left"/>
              <w:textAlignment w:val="auto"/>
              <w:rPr>
                <w:rFonts w:cs="仿宋" w:asciiTheme="majorEastAsia" w:hAnsiTheme="majorEastAsia" w:eastAsiaTheme="majorEastAsia"/>
                <w:sz w:val="24"/>
                <w:highlight w:val="none"/>
              </w:rPr>
            </w:pPr>
            <w:r>
              <w:rPr>
                <w:rFonts w:hint="eastAsia" w:cs="仿宋" w:asciiTheme="majorEastAsia" w:hAnsiTheme="majorEastAsia" w:eastAsiaTheme="majorEastAsia"/>
                <w:sz w:val="24"/>
                <w:highlight w:val="none"/>
              </w:rPr>
              <w:t>维修项目自验收之日起，防水工程质保期为五年，其余工程质保期为两年。国家有强制质保标准的按照国家标准执行，质保期自验收合格之日起计，如需整改或翻修的，自翻修或整改之日起重新计算维保期。</w:t>
            </w:r>
          </w:p>
        </w:tc>
      </w:tr>
    </w:tbl>
    <w:p w14:paraId="5A282A3C">
      <w:pPr>
        <w:bidi w:val="0"/>
        <w:rPr>
          <w:highlight w:val="none"/>
        </w:rPr>
        <w:sectPr>
          <w:pgSz w:w="11906" w:h="16838"/>
          <w:pgMar w:top="1417" w:right="1474" w:bottom="1417" w:left="1474" w:header="851" w:footer="624" w:gutter="0"/>
          <w:cols w:space="720" w:num="1"/>
          <w:docGrid w:type="lines" w:linePitch="319" w:charSpace="0"/>
        </w:sectPr>
      </w:pPr>
    </w:p>
    <w:p w14:paraId="1EA772BB">
      <w:pPr>
        <w:jc w:val="center"/>
        <w:outlineLvl w:val="0"/>
        <w:rPr>
          <w:rFonts w:ascii="宋体" w:hAnsi="宋体" w:cs="宋体"/>
          <w:b/>
          <w:bCs/>
          <w:sz w:val="32"/>
          <w:szCs w:val="32"/>
          <w:highlight w:val="none"/>
        </w:rPr>
      </w:pPr>
      <w:r>
        <w:rPr>
          <w:rFonts w:hint="eastAsia" w:ascii="宋体" w:hAnsi="宋体" w:cs="宋体"/>
          <w:b/>
          <w:bCs/>
          <w:sz w:val="32"/>
          <w:szCs w:val="32"/>
          <w:highlight w:val="none"/>
        </w:rPr>
        <w:t>第三章  供应商须知</w:t>
      </w:r>
      <w:bookmarkEnd w:id="33"/>
    </w:p>
    <w:p w14:paraId="6ABB257C">
      <w:pPr>
        <w:snapToGrid w:val="0"/>
        <w:spacing w:beforeLines="50" w:line="360" w:lineRule="auto"/>
        <w:jc w:val="center"/>
        <w:outlineLvl w:val="1"/>
        <w:rPr>
          <w:rFonts w:ascii="宋体" w:hAnsi="宋体" w:cs="宋体"/>
          <w:sz w:val="28"/>
          <w:szCs w:val="28"/>
          <w:highlight w:val="none"/>
        </w:rPr>
      </w:pPr>
      <w:r>
        <w:rPr>
          <w:rFonts w:hint="eastAsia" w:ascii="宋体" w:hAnsi="宋体" w:cs="宋体"/>
          <w:sz w:val="28"/>
          <w:szCs w:val="28"/>
          <w:highlight w:val="none"/>
        </w:rPr>
        <w:t>供应商须知前附表</w:t>
      </w:r>
    </w:p>
    <w:tbl>
      <w:tblPr>
        <w:tblStyle w:val="34"/>
        <w:tblW w:w="9840" w:type="dxa"/>
        <w:jc w:val="center"/>
        <w:tblLayout w:type="fixed"/>
        <w:tblCellMar>
          <w:top w:w="0" w:type="dxa"/>
          <w:left w:w="0" w:type="dxa"/>
          <w:bottom w:w="0" w:type="dxa"/>
          <w:right w:w="0" w:type="dxa"/>
        </w:tblCellMar>
      </w:tblPr>
      <w:tblGrid>
        <w:gridCol w:w="926"/>
        <w:gridCol w:w="8914"/>
      </w:tblGrid>
      <w:tr w14:paraId="136D3535">
        <w:tblPrEx>
          <w:tblCellMar>
            <w:top w:w="0" w:type="dxa"/>
            <w:left w:w="0" w:type="dxa"/>
            <w:bottom w:w="0" w:type="dxa"/>
            <w:right w:w="0" w:type="dxa"/>
          </w:tblCellMar>
        </w:tblPrEx>
        <w:trPr>
          <w:trHeight w:val="450" w:hRule="atLeast"/>
          <w:jc w:val="center"/>
        </w:trPr>
        <w:tc>
          <w:tcPr>
            <w:tcW w:w="926"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D89225F">
            <w:pPr>
              <w:widowControl/>
              <w:jc w:val="center"/>
              <w:rPr>
                <w:rFonts w:ascii="宋体" w:hAnsi="宋体" w:cs="宋体"/>
                <w:kern w:val="0"/>
                <w:szCs w:val="21"/>
                <w:highlight w:val="none"/>
              </w:rPr>
            </w:pPr>
            <w:r>
              <w:rPr>
                <w:rFonts w:hint="eastAsia" w:ascii="宋体" w:hAnsi="宋体" w:cs="宋体"/>
                <w:kern w:val="0"/>
                <w:szCs w:val="21"/>
                <w:highlight w:val="none"/>
              </w:rPr>
              <w:t>序号</w:t>
            </w:r>
          </w:p>
        </w:tc>
        <w:tc>
          <w:tcPr>
            <w:tcW w:w="8914"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B2E01E0">
            <w:pPr>
              <w:widowControl/>
              <w:jc w:val="center"/>
              <w:rPr>
                <w:rFonts w:ascii="宋体" w:hAnsi="宋体" w:cs="宋体"/>
                <w:kern w:val="0"/>
                <w:szCs w:val="21"/>
                <w:highlight w:val="none"/>
              </w:rPr>
            </w:pPr>
            <w:r>
              <w:rPr>
                <w:rFonts w:hint="eastAsia" w:ascii="宋体" w:hAnsi="宋体" w:cs="宋体"/>
                <w:kern w:val="0"/>
                <w:szCs w:val="21"/>
                <w:highlight w:val="none"/>
              </w:rPr>
              <w:t>内容、要求</w:t>
            </w:r>
          </w:p>
        </w:tc>
      </w:tr>
      <w:tr w14:paraId="1A93BDFA">
        <w:tblPrEx>
          <w:tblCellMar>
            <w:top w:w="0" w:type="dxa"/>
            <w:left w:w="0" w:type="dxa"/>
            <w:bottom w:w="0" w:type="dxa"/>
            <w:right w:w="0" w:type="dxa"/>
          </w:tblCellMar>
        </w:tblPrEx>
        <w:trPr>
          <w:trHeight w:val="4736"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A6D991D">
            <w:pPr>
              <w:widowControl/>
              <w:snapToGrid w:val="0"/>
              <w:spacing w:line="360" w:lineRule="auto"/>
              <w:jc w:val="center"/>
              <w:rPr>
                <w:rFonts w:ascii="宋体" w:hAnsi="宋体" w:cs="宋体"/>
                <w:kern w:val="0"/>
                <w:szCs w:val="21"/>
                <w:highlight w:val="none"/>
              </w:rPr>
            </w:pPr>
            <w:r>
              <w:rPr>
                <w:rFonts w:hint="eastAsia" w:ascii="宋体" w:hAnsi="宋体" w:cs="宋体"/>
                <w:kern w:val="0"/>
                <w:szCs w:val="21"/>
                <w:highlight w:val="none"/>
              </w:rPr>
              <w:t>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48DFBA3">
            <w:pPr>
              <w:widowControl/>
              <w:snapToGrid w:val="0"/>
              <w:spacing w:line="440" w:lineRule="exact"/>
              <w:jc w:val="left"/>
              <w:rPr>
                <w:rFonts w:ascii="宋体" w:hAnsi="宋体" w:cs="宋体"/>
                <w:kern w:val="0"/>
                <w:sz w:val="24"/>
                <w:highlight w:val="none"/>
              </w:rPr>
            </w:pPr>
            <w:r>
              <w:rPr>
                <w:rFonts w:hint="eastAsia" w:ascii="宋体" w:hAnsi="宋体" w:cs="宋体"/>
                <w:kern w:val="0"/>
                <w:sz w:val="24"/>
                <w:highlight w:val="none"/>
              </w:rPr>
              <w:t>采购预算：</w:t>
            </w:r>
            <w:r>
              <w:rPr>
                <w:rFonts w:hint="eastAsia" w:ascii="宋体" w:hAnsi="宋体" w:cs="宋体"/>
                <w:sz w:val="24"/>
                <w:highlight w:val="none"/>
              </w:rPr>
              <w:t>341000元</w:t>
            </w:r>
            <w:r>
              <w:rPr>
                <w:rFonts w:hint="eastAsia" w:ascii="宋体" w:hAnsi="宋体" w:cs="宋体"/>
                <w:kern w:val="0"/>
                <w:sz w:val="24"/>
                <w:highlight w:val="none"/>
              </w:rPr>
              <w:t>；最高投标限价:</w:t>
            </w:r>
            <w:r>
              <w:rPr>
                <w:rFonts w:hint="eastAsia" w:ascii="宋体" w:hAnsi="宋体" w:cs="宋体"/>
                <w:sz w:val="24"/>
                <w:highlight w:val="none"/>
              </w:rPr>
              <w:t xml:space="preserve"> 341000元</w:t>
            </w:r>
            <w:r>
              <w:rPr>
                <w:rFonts w:hint="eastAsia" w:ascii="宋体" w:hAnsi="宋体" w:cs="宋体"/>
                <w:sz w:val="24"/>
                <w:szCs w:val="32"/>
                <w:highlight w:val="none"/>
              </w:rPr>
              <w:t>。</w:t>
            </w:r>
          </w:p>
          <w:p w14:paraId="727007B0">
            <w:pPr>
              <w:widowControl/>
              <w:spacing w:line="440" w:lineRule="exact"/>
              <w:jc w:val="left"/>
              <w:rPr>
                <w:rFonts w:ascii="宋体" w:hAnsi="宋体" w:cs="宋体"/>
                <w:kern w:val="0"/>
                <w:sz w:val="24"/>
                <w:highlight w:val="none"/>
              </w:rPr>
            </w:pPr>
            <w:r>
              <w:rPr>
                <w:rFonts w:hint="eastAsia" w:ascii="宋体" w:hAnsi="宋体" w:cs="宋体"/>
                <w:kern w:val="0"/>
                <w:sz w:val="24"/>
                <w:highlight w:val="none"/>
              </w:rPr>
              <w:t>1.1本项目磋商以人民币报价。</w:t>
            </w:r>
          </w:p>
          <w:p w14:paraId="067E04C0">
            <w:pPr>
              <w:widowControl/>
              <w:spacing w:line="440" w:lineRule="exact"/>
              <w:jc w:val="left"/>
              <w:rPr>
                <w:rFonts w:ascii="宋体" w:hAnsi="宋体" w:cs="宋体"/>
                <w:kern w:val="0"/>
                <w:sz w:val="24"/>
                <w:highlight w:val="none"/>
              </w:rPr>
            </w:pPr>
            <w:r>
              <w:rPr>
                <w:rFonts w:hint="eastAsia" w:ascii="宋体" w:hAnsi="宋体" w:cs="宋体"/>
                <w:kern w:val="0"/>
                <w:sz w:val="24"/>
                <w:highlight w:val="none"/>
              </w:rPr>
              <w:t>1.2供应商的报价超过采购预算，采购人不能支付的，按废标处理。</w:t>
            </w:r>
          </w:p>
          <w:p w14:paraId="77453B65">
            <w:pPr>
              <w:pStyle w:val="2"/>
              <w:spacing w:before="0" w:after="0"/>
              <w:rPr>
                <w:rFonts w:ascii="宋体" w:hAnsi="宋体" w:eastAsia="宋体" w:cs="宋体"/>
                <w:b w:val="0"/>
                <w:bCs w:val="0"/>
                <w:kern w:val="0"/>
                <w:sz w:val="24"/>
                <w:szCs w:val="24"/>
                <w:highlight w:val="none"/>
              </w:rPr>
            </w:pPr>
            <w:r>
              <w:rPr>
                <w:rFonts w:hint="eastAsia" w:ascii="宋体" w:hAnsi="宋体" w:eastAsia="宋体" w:cs="宋体"/>
                <w:b w:val="0"/>
                <w:bCs w:val="0"/>
                <w:kern w:val="0"/>
                <w:sz w:val="24"/>
                <w:szCs w:val="24"/>
                <w:highlight w:val="none"/>
              </w:rPr>
              <w:t>1.3本项目由成交供应商缴纳造价咨询费     元。</w:t>
            </w:r>
          </w:p>
          <w:p w14:paraId="73FF6A6E">
            <w:pPr>
              <w:widowControl/>
              <w:spacing w:line="440" w:lineRule="exact"/>
              <w:jc w:val="left"/>
              <w:rPr>
                <w:rFonts w:ascii="宋体" w:hAnsi="宋体" w:cs="宋体"/>
                <w:kern w:val="0"/>
                <w:szCs w:val="21"/>
                <w:highlight w:val="none"/>
              </w:rPr>
            </w:pPr>
            <w:r>
              <w:rPr>
                <w:rFonts w:hint="eastAsia" w:ascii="宋体" w:hAnsi="宋体" w:cs="宋体"/>
                <w:kern w:val="0"/>
                <w:sz w:val="24"/>
                <w:highlight w:val="none"/>
              </w:rPr>
              <w:t>1.4本项目由成交供应商缴纳招标代理服务费。代理服务费不得高于《招代理机构服务管理暂行办法》（计价格[2002]1980号）相应标准：</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59"/>
              <w:gridCol w:w="1605"/>
              <w:gridCol w:w="1560"/>
              <w:gridCol w:w="1380"/>
            </w:tblGrid>
            <w:tr w14:paraId="71229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3559" w:type="dxa"/>
                </w:tcPr>
                <w:p w14:paraId="29C7AD8B">
                  <w:pPr>
                    <w:widowControl/>
                    <w:snapToGrid w:val="0"/>
                    <w:rPr>
                      <w:rFonts w:ascii="宋体" w:hAnsi="宋体" w:cs="宋体"/>
                      <w:b/>
                      <w:bCs/>
                      <w:kern w:val="0"/>
                      <w:szCs w:val="21"/>
                      <w:highlight w:val="none"/>
                    </w:rPr>
                  </w:pPr>
                  <w:bookmarkStart w:id="34" w:name="_Toc22953395"/>
                  <w:bookmarkEnd w:id="34"/>
                  <w:bookmarkStart w:id="35" w:name="_Toc22804073"/>
                  <w:bookmarkEnd w:id="35"/>
                  <w:r>
                    <w:rPr>
                      <w:b/>
                      <w:bCs/>
                      <w:highlight w:val="none"/>
                    </w:rPr>
                    <w:pict>
                      <v:shape id="_x0000_s2051" o:spid="_x0000_s2051" o:spt="202" type="#_x0000_t202" style="position:absolute;left:0pt;margin-left:22.75pt;margin-top:8pt;height:24.05pt;width:76.4pt;z-index:251659264;mso-width-relative:page;mso-height-relative:page;" fillcolor="#FFFFFF" filled="t" stroked="f" coordsize="21600,21600" o:gfxdata="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Aawskh1AAA&#10;AAgBAAAPAAAAAAAAAAEAIAAAACIAAABkcnMvZG93bnJldi54bWxQSwECFAAUAAAACACHTuJAXy9V&#10;nFsCAACaBAAADgAAAAAAAAABACAAAAAjAQAAZHJzL2Uyb0RvYy54bWxQSwUGAAAAAAYABgBZAQAA&#10;8AUAAAAA&#10;">
                        <v:path/>
                        <v:fill on="t" focussize="0,0"/>
                        <v:stroke on="f" weight="0.5pt" joinstyle="miter"/>
                        <v:imagedata o:title=""/>
                        <o:lock v:ext="edit"/>
                        <v:textbox>
                          <w:txbxContent>
                            <w:p w14:paraId="09878521">
                              <w:r>
                                <w:rPr>
                                  <w:rFonts w:hint="eastAsia"/>
                                  <w:b/>
                                  <w:bCs/>
                                </w:rPr>
                                <w:t>服务费率类</w:t>
                              </w:r>
                              <w:r>
                                <w:rPr>
                                  <w:rFonts w:hint="eastAsia"/>
                                </w:rPr>
                                <w:t>型</w:t>
                              </w:r>
                            </w:p>
                          </w:txbxContent>
                        </v:textbox>
                      </v:shape>
                    </w:pict>
                  </w:r>
                </w:p>
                <w:p w14:paraId="52DBCDBE">
                  <w:pPr>
                    <w:widowControl/>
                    <w:snapToGrid w:val="0"/>
                    <w:spacing w:line="440" w:lineRule="exact"/>
                    <w:jc w:val="center"/>
                    <w:rPr>
                      <w:rFonts w:ascii="宋体" w:hAnsi="宋体" w:cs="宋体"/>
                      <w:b/>
                      <w:bCs/>
                      <w:kern w:val="0"/>
                      <w:szCs w:val="21"/>
                      <w:highlight w:val="none"/>
                    </w:rPr>
                  </w:pPr>
                  <w:r>
                    <w:rPr>
                      <w:b/>
                      <w:bCs/>
                      <w:highlight w:val="none"/>
                    </w:rPr>
                    <w:pict>
                      <v:shape id="_x0000_s2050" o:spid="_x0000_s2050" o:spt="202" type="#_x0000_t202" style="position:absolute;left:0pt;margin-left:32.5pt;margin-top:18.45pt;height:22.5pt;width:66.65pt;z-index:251660288;mso-width-relative:page;mso-height-relative:page;" fillcolor="#FFFFFF" filled="t" stroked="f" coordsize="21600,21600" o:gfxdata="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AYp5Wq1AAA&#10;AAkBAAAPAAAAAAAAAAEAIAAAACIAAABkcnMvZG93bnJldi54bWxQSwECFAAUAAAACACHTuJA3iYh&#10;e1sCAACaBAAADgAAAAAAAAABACAAAAAjAQAAZHJzL2Uyb0RvYy54bWxQSwUGAAAAAAYABgBZAQAA&#10;8AUAAAAA&#10;">
                        <v:path/>
                        <v:fill on="t" focussize="0,0"/>
                        <v:stroke on="f" weight="0.5pt" joinstyle="miter"/>
                        <v:imagedata o:title=""/>
                        <o:lock v:ext="edit"/>
                        <v:textbox>
                          <w:txbxContent>
                            <w:p w14:paraId="74D90209">
                              <w:pPr>
                                <w:rPr>
                                  <w:b/>
                                  <w:bCs/>
                                </w:rPr>
                              </w:pPr>
                              <w:r>
                                <w:rPr>
                                  <w:rFonts w:hint="eastAsia"/>
                                  <w:b/>
                                  <w:bCs/>
                                </w:rPr>
                                <w:t>中标金额</w:t>
                              </w:r>
                            </w:p>
                          </w:txbxContent>
                        </v:textbox>
                      </v:shape>
                    </w:pict>
                  </w:r>
                </w:p>
              </w:tc>
              <w:tc>
                <w:tcPr>
                  <w:tcW w:w="1605" w:type="dxa"/>
                  <w:vAlign w:val="center"/>
                </w:tcPr>
                <w:p w14:paraId="426A58E0">
                  <w:pPr>
                    <w:widowControl/>
                    <w:snapToGrid w:val="0"/>
                    <w:spacing w:line="440" w:lineRule="exact"/>
                    <w:jc w:val="center"/>
                    <w:rPr>
                      <w:rFonts w:ascii="宋体" w:hAnsi="宋体" w:cs="宋体"/>
                      <w:b/>
                      <w:bCs/>
                      <w:kern w:val="0"/>
                      <w:szCs w:val="21"/>
                      <w:highlight w:val="none"/>
                    </w:rPr>
                  </w:pPr>
                  <w:r>
                    <w:rPr>
                      <w:rFonts w:hint="eastAsia" w:ascii="宋体" w:hAnsi="宋体" w:cs="宋体"/>
                      <w:b/>
                      <w:bCs/>
                      <w:kern w:val="0"/>
                      <w:szCs w:val="21"/>
                      <w:highlight w:val="none"/>
                    </w:rPr>
                    <w:t>货物招标</w:t>
                  </w:r>
                </w:p>
              </w:tc>
              <w:tc>
                <w:tcPr>
                  <w:tcW w:w="1560" w:type="dxa"/>
                  <w:vAlign w:val="center"/>
                </w:tcPr>
                <w:p w14:paraId="796F43DA">
                  <w:pPr>
                    <w:widowControl/>
                    <w:snapToGrid w:val="0"/>
                    <w:spacing w:line="440" w:lineRule="exact"/>
                    <w:jc w:val="center"/>
                    <w:rPr>
                      <w:rFonts w:ascii="宋体" w:hAnsi="宋体" w:cs="宋体"/>
                      <w:b/>
                      <w:bCs/>
                      <w:kern w:val="0"/>
                      <w:szCs w:val="21"/>
                      <w:highlight w:val="none"/>
                    </w:rPr>
                  </w:pPr>
                  <w:r>
                    <w:rPr>
                      <w:rFonts w:hint="eastAsia" w:ascii="宋体" w:hAnsi="宋体" w:cs="宋体"/>
                      <w:b/>
                      <w:bCs/>
                      <w:kern w:val="0"/>
                      <w:szCs w:val="21"/>
                      <w:highlight w:val="none"/>
                    </w:rPr>
                    <w:t>服务招标</w:t>
                  </w:r>
                </w:p>
              </w:tc>
              <w:tc>
                <w:tcPr>
                  <w:tcW w:w="1380" w:type="dxa"/>
                  <w:vAlign w:val="center"/>
                </w:tcPr>
                <w:p w14:paraId="3E6DF520">
                  <w:pPr>
                    <w:widowControl/>
                    <w:snapToGrid w:val="0"/>
                    <w:spacing w:line="440" w:lineRule="exact"/>
                    <w:jc w:val="center"/>
                    <w:rPr>
                      <w:rFonts w:ascii="宋体" w:hAnsi="宋体" w:cs="宋体"/>
                      <w:b/>
                      <w:bCs/>
                      <w:kern w:val="0"/>
                      <w:szCs w:val="21"/>
                      <w:highlight w:val="none"/>
                    </w:rPr>
                  </w:pPr>
                  <w:r>
                    <w:rPr>
                      <w:rFonts w:hint="eastAsia" w:ascii="宋体" w:hAnsi="宋体" w:cs="宋体"/>
                      <w:b/>
                      <w:bCs/>
                      <w:kern w:val="0"/>
                      <w:szCs w:val="21"/>
                      <w:highlight w:val="none"/>
                    </w:rPr>
                    <w:t>工程招标</w:t>
                  </w:r>
                </w:p>
              </w:tc>
            </w:tr>
            <w:tr w14:paraId="53503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3559" w:type="dxa"/>
                  <w:vAlign w:val="center"/>
                </w:tcPr>
                <w:p w14:paraId="1695674A">
                  <w:pPr>
                    <w:widowControl/>
                    <w:snapToGrid w:val="0"/>
                    <w:spacing w:line="440" w:lineRule="exact"/>
                    <w:jc w:val="center"/>
                    <w:rPr>
                      <w:rFonts w:ascii="宋体" w:hAnsi="宋体" w:cs="宋体"/>
                      <w:kern w:val="0"/>
                      <w:szCs w:val="21"/>
                      <w:highlight w:val="none"/>
                    </w:rPr>
                  </w:pPr>
                  <w:r>
                    <w:rPr>
                      <w:rFonts w:hint="eastAsia" w:ascii="宋体" w:hAnsi="宋体" w:cs="宋体"/>
                      <w:kern w:val="0"/>
                      <w:szCs w:val="21"/>
                      <w:highlight w:val="none"/>
                    </w:rPr>
                    <w:t>100万元以下</w:t>
                  </w:r>
                </w:p>
              </w:tc>
              <w:tc>
                <w:tcPr>
                  <w:tcW w:w="1605" w:type="dxa"/>
                  <w:vAlign w:val="center"/>
                </w:tcPr>
                <w:p w14:paraId="41ADCC10">
                  <w:pPr>
                    <w:widowControl/>
                    <w:snapToGrid w:val="0"/>
                    <w:spacing w:line="440" w:lineRule="exact"/>
                    <w:jc w:val="center"/>
                    <w:rPr>
                      <w:rFonts w:ascii="宋体" w:hAnsi="宋体" w:cs="宋体"/>
                      <w:kern w:val="0"/>
                      <w:szCs w:val="21"/>
                      <w:highlight w:val="none"/>
                    </w:rPr>
                  </w:pPr>
                  <w:r>
                    <w:rPr>
                      <w:rFonts w:hint="eastAsia" w:ascii="宋体" w:hAnsi="宋体" w:cs="宋体"/>
                      <w:kern w:val="0"/>
                      <w:szCs w:val="21"/>
                      <w:highlight w:val="none"/>
                    </w:rPr>
                    <w:t>1.5%</w:t>
                  </w:r>
                </w:p>
              </w:tc>
              <w:tc>
                <w:tcPr>
                  <w:tcW w:w="1560" w:type="dxa"/>
                  <w:vAlign w:val="center"/>
                </w:tcPr>
                <w:p w14:paraId="63D3CC8A">
                  <w:pPr>
                    <w:widowControl/>
                    <w:snapToGrid w:val="0"/>
                    <w:spacing w:line="440" w:lineRule="exact"/>
                    <w:jc w:val="center"/>
                    <w:rPr>
                      <w:rFonts w:ascii="宋体" w:hAnsi="宋体" w:cs="宋体"/>
                      <w:kern w:val="0"/>
                      <w:szCs w:val="21"/>
                      <w:highlight w:val="none"/>
                    </w:rPr>
                  </w:pPr>
                  <w:r>
                    <w:rPr>
                      <w:rFonts w:hint="eastAsia" w:ascii="宋体" w:hAnsi="宋体" w:cs="宋体"/>
                      <w:kern w:val="0"/>
                      <w:szCs w:val="21"/>
                      <w:highlight w:val="none"/>
                    </w:rPr>
                    <w:t>1.5%</w:t>
                  </w:r>
                </w:p>
              </w:tc>
              <w:tc>
                <w:tcPr>
                  <w:tcW w:w="1380" w:type="dxa"/>
                  <w:vAlign w:val="center"/>
                </w:tcPr>
                <w:p w14:paraId="7533E5D2">
                  <w:pPr>
                    <w:widowControl/>
                    <w:snapToGrid w:val="0"/>
                    <w:spacing w:line="440" w:lineRule="exact"/>
                    <w:jc w:val="center"/>
                    <w:rPr>
                      <w:rFonts w:ascii="宋体" w:hAnsi="宋体" w:cs="宋体"/>
                      <w:kern w:val="0"/>
                      <w:szCs w:val="21"/>
                      <w:highlight w:val="none"/>
                    </w:rPr>
                  </w:pPr>
                  <w:r>
                    <w:rPr>
                      <w:rFonts w:hint="eastAsia" w:ascii="宋体" w:hAnsi="宋体" w:cs="宋体"/>
                      <w:kern w:val="0"/>
                      <w:szCs w:val="21"/>
                      <w:highlight w:val="none"/>
                    </w:rPr>
                    <w:t>1.0%</w:t>
                  </w:r>
                </w:p>
              </w:tc>
            </w:tr>
          </w:tbl>
          <w:p w14:paraId="45F8F48C">
            <w:pPr>
              <w:widowControl/>
              <w:snapToGrid w:val="0"/>
              <w:spacing w:line="440" w:lineRule="exact"/>
              <w:jc w:val="left"/>
              <w:rPr>
                <w:rFonts w:ascii="宋体" w:hAnsi="宋体" w:cs="宋体"/>
                <w:kern w:val="0"/>
                <w:szCs w:val="21"/>
                <w:highlight w:val="none"/>
              </w:rPr>
            </w:pPr>
          </w:p>
        </w:tc>
      </w:tr>
      <w:tr w14:paraId="78C5244F">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3CD0457">
            <w:pPr>
              <w:widowControl/>
              <w:snapToGrid w:val="0"/>
              <w:spacing w:line="360" w:lineRule="auto"/>
              <w:jc w:val="center"/>
              <w:rPr>
                <w:rFonts w:ascii="宋体" w:hAnsi="宋体" w:cs="宋体"/>
                <w:kern w:val="0"/>
                <w:szCs w:val="21"/>
                <w:highlight w:val="none"/>
              </w:rPr>
            </w:pPr>
            <w:r>
              <w:rPr>
                <w:rFonts w:hint="eastAsia" w:ascii="宋体" w:hAnsi="宋体" w:cs="宋体"/>
                <w:kern w:val="0"/>
                <w:szCs w:val="21"/>
                <w:highlight w:val="none"/>
              </w:rPr>
              <w:t>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2209521">
            <w:pPr>
              <w:widowControl/>
              <w:snapToGrid w:val="0"/>
              <w:spacing w:line="440" w:lineRule="exact"/>
              <w:jc w:val="left"/>
              <w:rPr>
                <w:rFonts w:ascii="宋体" w:hAnsi="宋体" w:cs="宋体"/>
                <w:sz w:val="24"/>
                <w:szCs w:val="32"/>
                <w:highlight w:val="none"/>
              </w:rPr>
            </w:pPr>
            <w:r>
              <w:rPr>
                <w:rFonts w:hint="eastAsia" w:ascii="宋体" w:hAnsi="宋体" w:cs="宋体"/>
                <w:sz w:val="24"/>
                <w:szCs w:val="32"/>
                <w:highlight w:val="none"/>
              </w:rPr>
              <w:t>在原公告发布媒体上发布澄清或修改公告，供应商在提交响应文件截止时间前须自行查看在原公告发布媒体上发布的澄清或修改公告，因供应商未及时查看而造成的后果自负。</w:t>
            </w:r>
          </w:p>
        </w:tc>
      </w:tr>
      <w:tr w14:paraId="5610585B">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0391A71">
            <w:pPr>
              <w:widowControl/>
              <w:snapToGrid w:val="0"/>
              <w:spacing w:line="360" w:lineRule="auto"/>
              <w:jc w:val="center"/>
              <w:rPr>
                <w:rFonts w:ascii="宋体" w:hAnsi="宋体" w:cs="宋体"/>
                <w:kern w:val="0"/>
                <w:szCs w:val="21"/>
                <w:highlight w:val="none"/>
              </w:rPr>
            </w:pPr>
            <w:r>
              <w:rPr>
                <w:rFonts w:hint="eastAsia" w:ascii="宋体" w:hAnsi="宋体" w:cs="宋体"/>
                <w:kern w:val="0"/>
                <w:szCs w:val="21"/>
                <w:highlight w:val="none"/>
              </w:rPr>
              <w:t>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344A554">
            <w:pPr>
              <w:widowControl/>
              <w:snapToGrid w:val="0"/>
              <w:spacing w:line="440" w:lineRule="exact"/>
              <w:jc w:val="left"/>
              <w:rPr>
                <w:rFonts w:ascii="宋体" w:hAnsi="宋体" w:cs="宋体"/>
                <w:sz w:val="24"/>
                <w:szCs w:val="32"/>
                <w:highlight w:val="none"/>
              </w:rPr>
            </w:pPr>
            <w:r>
              <w:rPr>
                <w:rFonts w:hint="eastAsia" w:ascii="宋体" w:hAnsi="宋体" w:cs="宋体"/>
                <w:sz w:val="24"/>
                <w:szCs w:val="32"/>
                <w:highlight w:val="none"/>
              </w:rPr>
              <w:t>响应文件组成：纸质响应文件正本1份、副本2份。</w:t>
            </w:r>
          </w:p>
        </w:tc>
      </w:tr>
      <w:tr w14:paraId="7AEAE715">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42FE1B58">
            <w:pPr>
              <w:widowControl/>
              <w:snapToGrid w:val="0"/>
              <w:spacing w:line="360" w:lineRule="auto"/>
              <w:jc w:val="center"/>
              <w:rPr>
                <w:rFonts w:ascii="宋体" w:hAnsi="宋体" w:cs="宋体"/>
                <w:kern w:val="0"/>
                <w:szCs w:val="21"/>
                <w:highlight w:val="none"/>
              </w:rPr>
            </w:pPr>
            <w:r>
              <w:rPr>
                <w:rFonts w:hint="eastAsia" w:ascii="宋体" w:hAnsi="宋体" w:cs="宋体"/>
                <w:kern w:val="0"/>
                <w:szCs w:val="21"/>
                <w:highlight w:val="none"/>
              </w:rPr>
              <w:t>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90CA67D">
            <w:pPr>
              <w:spacing w:line="440" w:lineRule="exact"/>
              <w:rPr>
                <w:rFonts w:ascii="宋体" w:hAnsi="宋体" w:cs="宋体"/>
                <w:sz w:val="24"/>
                <w:highlight w:val="none"/>
              </w:rPr>
            </w:pPr>
            <w:r>
              <w:rPr>
                <w:rFonts w:hint="eastAsia" w:ascii="宋体" w:hAnsi="宋体" w:cs="宋体"/>
                <w:sz w:val="24"/>
                <w:highlight w:val="none"/>
              </w:rPr>
              <w:t>磋商小组成</w:t>
            </w:r>
            <w:r>
              <w:rPr>
                <w:rFonts w:hint="eastAsia" w:ascii="宋体" w:hAnsi="宋体" w:cs="宋体"/>
                <w:kern w:val="0"/>
                <w:sz w:val="24"/>
                <w:highlight w:val="none"/>
              </w:rPr>
              <w:t>员：</w:t>
            </w:r>
            <w:r>
              <w:rPr>
                <w:rFonts w:hint="eastAsia" w:ascii="宋体" w:hAnsi="宋体" w:cs="宋体"/>
                <w:sz w:val="24"/>
                <w:highlight w:val="none"/>
              </w:rPr>
              <w:t>3</w:t>
            </w:r>
            <w:r>
              <w:rPr>
                <w:rFonts w:hint="eastAsia" w:ascii="宋体" w:hAnsi="宋体" w:cs="宋体"/>
                <w:sz w:val="24"/>
                <w:szCs w:val="32"/>
                <w:highlight w:val="none"/>
              </w:rPr>
              <w:t>人及以上单数</w:t>
            </w:r>
            <w:r>
              <w:rPr>
                <w:rFonts w:hint="eastAsia" w:ascii="宋体" w:hAnsi="宋体" w:cs="宋体"/>
                <w:kern w:val="0"/>
                <w:sz w:val="24"/>
                <w:highlight w:val="none"/>
              </w:rPr>
              <w:t>。</w:t>
            </w:r>
          </w:p>
          <w:p w14:paraId="5638324E">
            <w:pPr>
              <w:widowControl/>
              <w:spacing w:line="440" w:lineRule="exact"/>
              <w:jc w:val="left"/>
              <w:rPr>
                <w:rFonts w:ascii="宋体" w:hAnsi="宋体" w:cs="宋体"/>
                <w:kern w:val="0"/>
                <w:sz w:val="24"/>
                <w:highlight w:val="none"/>
              </w:rPr>
            </w:pPr>
            <w:r>
              <w:rPr>
                <w:rFonts w:hint="eastAsia" w:ascii="宋体" w:hAnsi="宋体" w:cs="宋体"/>
                <w:sz w:val="24"/>
                <w:highlight w:val="none"/>
              </w:rPr>
              <w:t>专家确定方式：</w:t>
            </w:r>
            <w:r>
              <w:rPr>
                <w:rFonts w:hint="eastAsia" w:ascii="宋体" w:hAnsi="宋体" w:cs="宋体"/>
                <w:kern w:val="0"/>
                <w:sz w:val="24"/>
                <w:highlight w:val="none"/>
              </w:rPr>
              <w:t>由评审专家、采购人代表组成</w:t>
            </w:r>
          </w:p>
        </w:tc>
      </w:tr>
      <w:tr w14:paraId="530E59FD">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4CD077AC">
            <w:pPr>
              <w:widowControl/>
              <w:jc w:val="center"/>
              <w:rPr>
                <w:rFonts w:ascii="宋体" w:hAnsi="宋体" w:cs="宋体"/>
                <w:kern w:val="0"/>
                <w:szCs w:val="21"/>
                <w:highlight w:val="none"/>
              </w:rPr>
            </w:pPr>
            <w:r>
              <w:rPr>
                <w:rFonts w:hint="eastAsia" w:ascii="宋体" w:hAnsi="宋体" w:cs="宋体"/>
                <w:kern w:val="0"/>
                <w:szCs w:val="21"/>
                <w:highlight w:val="none"/>
              </w:rPr>
              <w:t>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5315309">
            <w:pPr>
              <w:rPr>
                <w:rFonts w:ascii="宋体" w:hAnsi="宋体" w:cs="宋体"/>
                <w:kern w:val="0"/>
                <w:sz w:val="24"/>
                <w:highlight w:val="none"/>
              </w:rPr>
            </w:pPr>
            <w:r>
              <w:rPr>
                <w:rFonts w:hint="eastAsia" w:ascii="宋体" w:hAnsi="宋体" w:cs="宋体"/>
                <w:sz w:val="24"/>
                <w:highlight w:val="none"/>
              </w:rPr>
              <w:t>评标办法：</w:t>
            </w:r>
            <w:r>
              <w:rPr>
                <w:rFonts w:hint="eastAsia" w:ascii="宋体" w:hAnsi="宋体" w:cs="宋体"/>
                <w:kern w:val="0"/>
                <w:sz w:val="24"/>
                <w:highlight w:val="none"/>
              </w:rPr>
              <w:t>本项目采用</w:t>
            </w:r>
            <w:r>
              <w:rPr>
                <w:rFonts w:hint="eastAsia" w:ascii="宋体" w:hAnsi="宋体" w:cs="宋体"/>
                <w:sz w:val="24"/>
                <w:highlight w:val="none"/>
              </w:rPr>
              <w:t>综合评分法</w:t>
            </w:r>
            <w:r>
              <w:rPr>
                <w:rFonts w:hint="eastAsia" w:ascii="宋体" w:hAnsi="宋体" w:cs="宋体"/>
                <w:kern w:val="0"/>
                <w:sz w:val="24"/>
                <w:highlight w:val="none"/>
              </w:rPr>
              <w:t>。</w:t>
            </w:r>
          </w:p>
        </w:tc>
      </w:tr>
      <w:tr w14:paraId="6BE452C5">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D966A2E">
            <w:pPr>
              <w:widowControl/>
              <w:spacing w:line="460" w:lineRule="atLeast"/>
              <w:jc w:val="center"/>
              <w:rPr>
                <w:rFonts w:ascii="宋体" w:hAnsi="宋体" w:cs="宋体"/>
                <w:kern w:val="0"/>
                <w:szCs w:val="21"/>
                <w:highlight w:val="none"/>
              </w:rPr>
            </w:pPr>
            <w:r>
              <w:rPr>
                <w:rFonts w:hint="eastAsia" w:ascii="宋体" w:hAnsi="宋体" w:cs="宋体"/>
                <w:kern w:val="0"/>
                <w:szCs w:val="21"/>
                <w:highlight w:val="none"/>
              </w:rPr>
              <w:t>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F1AEE34">
            <w:pPr>
              <w:widowControl/>
              <w:spacing w:line="440" w:lineRule="exact"/>
              <w:jc w:val="left"/>
              <w:textAlignment w:val="bottom"/>
              <w:rPr>
                <w:rFonts w:ascii="宋体" w:hAnsi="宋体" w:cs="宋体"/>
                <w:kern w:val="0"/>
                <w:sz w:val="24"/>
                <w:highlight w:val="none"/>
              </w:rPr>
            </w:pPr>
            <w:r>
              <w:rPr>
                <w:rFonts w:hint="eastAsia" w:ascii="宋体" w:hAnsi="宋体" w:cs="宋体"/>
                <w:kern w:val="0"/>
                <w:sz w:val="24"/>
                <w:highlight w:val="none"/>
              </w:rPr>
              <w:t>成交公告及成交通知书：由采购人授权磋商小组确定一名成交供应商并推荐一名成交候选供应商。评审结束后在《驻马店市中心医院》官网上发布成交公告，公示期结束后向成交供应商发出成交通知书。</w:t>
            </w:r>
          </w:p>
        </w:tc>
      </w:tr>
      <w:tr w14:paraId="73BC8454">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7944054">
            <w:pPr>
              <w:widowControl/>
              <w:spacing w:line="460" w:lineRule="atLeast"/>
              <w:jc w:val="center"/>
              <w:rPr>
                <w:rFonts w:ascii="宋体" w:hAnsi="宋体" w:cs="宋体"/>
                <w:kern w:val="0"/>
                <w:szCs w:val="21"/>
                <w:highlight w:val="none"/>
              </w:rPr>
            </w:pPr>
            <w:r>
              <w:rPr>
                <w:rFonts w:hint="eastAsia" w:ascii="宋体" w:hAnsi="宋体" w:cs="宋体"/>
                <w:kern w:val="0"/>
                <w:szCs w:val="21"/>
                <w:highlight w:val="none"/>
              </w:rPr>
              <w:t>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60D2B8D7">
            <w:pPr>
              <w:widowControl/>
              <w:spacing w:line="440" w:lineRule="exact"/>
              <w:jc w:val="left"/>
              <w:textAlignment w:val="bottom"/>
              <w:rPr>
                <w:rFonts w:ascii="宋体" w:hAnsi="宋体" w:cs="宋体"/>
                <w:kern w:val="0"/>
                <w:sz w:val="24"/>
                <w:highlight w:val="none"/>
              </w:rPr>
            </w:pPr>
            <w:r>
              <w:rPr>
                <w:rFonts w:hint="eastAsia" w:ascii="宋体" w:hAnsi="宋体" w:cs="宋体"/>
                <w:kern w:val="0"/>
                <w:sz w:val="24"/>
                <w:highlight w:val="none"/>
              </w:rPr>
              <w:t>采购资金来源：自筹资金。</w:t>
            </w:r>
          </w:p>
        </w:tc>
      </w:tr>
      <w:tr w14:paraId="671284F3">
        <w:tblPrEx>
          <w:tblCellMar>
            <w:top w:w="0" w:type="dxa"/>
            <w:left w:w="0" w:type="dxa"/>
            <w:bottom w:w="0" w:type="dxa"/>
            <w:right w:w="0" w:type="dxa"/>
          </w:tblCellMar>
        </w:tblPrEx>
        <w:trPr>
          <w:trHeight w:val="9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0A73D4D">
            <w:pPr>
              <w:widowControl/>
              <w:snapToGrid w:val="0"/>
              <w:spacing w:line="360" w:lineRule="auto"/>
              <w:jc w:val="center"/>
              <w:rPr>
                <w:rFonts w:ascii="宋体" w:hAnsi="宋体" w:cs="宋体"/>
                <w:kern w:val="0"/>
                <w:szCs w:val="21"/>
                <w:highlight w:val="none"/>
              </w:rPr>
            </w:pPr>
            <w:r>
              <w:rPr>
                <w:rFonts w:hint="eastAsia" w:ascii="宋体" w:hAnsi="宋体" w:cs="宋体"/>
                <w:kern w:val="0"/>
                <w:szCs w:val="21"/>
                <w:highlight w:val="none"/>
              </w:rPr>
              <w:t>8</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926E14B">
            <w:pPr>
              <w:widowControl/>
              <w:spacing w:line="440" w:lineRule="exact"/>
              <w:jc w:val="left"/>
              <w:textAlignment w:val="bottom"/>
              <w:rPr>
                <w:rFonts w:ascii="宋体" w:hAnsi="宋体" w:cs="宋体"/>
                <w:kern w:val="0"/>
                <w:sz w:val="24"/>
                <w:highlight w:val="none"/>
              </w:rPr>
            </w:pPr>
            <w:r>
              <w:rPr>
                <w:rFonts w:hint="eastAsia" w:ascii="宋体" w:hAnsi="宋体" w:cs="宋体"/>
                <w:kern w:val="0"/>
                <w:sz w:val="24"/>
                <w:highlight w:val="none"/>
              </w:rPr>
              <w:t>响应文件有效期：响应文件递交截止期结束后90日。成交供应商的响应文件是合同的组成部分,有效期至合同完全履行止。</w:t>
            </w:r>
          </w:p>
        </w:tc>
      </w:tr>
    </w:tbl>
    <w:p w14:paraId="20641EA6">
      <w:pPr>
        <w:rPr>
          <w:rFonts w:ascii="宋体" w:hAnsi="宋体" w:cs="宋体"/>
          <w:highlight w:val="none"/>
        </w:rPr>
      </w:pPr>
    </w:p>
    <w:p w14:paraId="785C8C45">
      <w:pPr>
        <w:snapToGrid w:val="0"/>
        <w:spacing w:line="360" w:lineRule="auto"/>
        <w:jc w:val="center"/>
        <w:outlineLvl w:val="1"/>
        <w:rPr>
          <w:rFonts w:ascii="宋体" w:hAnsi="宋体" w:cs="宋体"/>
          <w:kern w:val="0"/>
          <w:sz w:val="24"/>
          <w:highlight w:val="none"/>
        </w:rPr>
      </w:pPr>
      <w:bookmarkStart w:id="36" w:name="_Toc4700"/>
      <w:bookmarkStart w:id="37" w:name="_Toc16669"/>
      <w:r>
        <w:rPr>
          <w:rFonts w:hint="eastAsia" w:ascii="宋体" w:hAnsi="宋体" w:cs="宋体"/>
          <w:b/>
          <w:bCs/>
          <w:kern w:val="0"/>
          <w:sz w:val="24"/>
          <w:highlight w:val="none"/>
        </w:rPr>
        <w:t>一 、说 明</w:t>
      </w:r>
    </w:p>
    <w:p w14:paraId="1485D279">
      <w:pPr>
        <w:snapToGrid w:val="0"/>
        <w:spacing w:line="360" w:lineRule="auto"/>
        <w:ind w:firstLine="420"/>
        <w:jc w:val="left"/>
        <w:rPr>
          <w:rFonts w:ascii="宋体" w:hAnsi="宋体" w:cs="宋体"/>
          <w:b/>
          <w:bCs/>
          <w:kern w:val="0"/>
          <w:sz w:val="24"/>
          <w:highlight w:val="none"/>
        </w:rPr>
      </w:pPr>
      <w:r>
        <w:rPr>
          <w:rFonts w:hint="eastAsia" w:ascii="宋体" w:hAnsi="宋体" w:cs="宋体"/>
          <w:b/>
          <w:bCs/>
          <w:kern w:val="0"/>
          <w:sz w:val="24"/>
          <w:highlight w:val="none"/>
        </w:rPr>
        <w:t>1.适用范围</w:t>
      </w:r>
    </w:p>
    <w:p w14:paraId="205C6C0E">
      <w:pPr>
        <w:snapToGrid w:val="0"/>
        <w:spacing w:line="360" w:lineRule="auto"/>
        <w:ind w:firstLine="480" w:firstLineChars="200"/>
        <w:jc w:val="left"/>
        <w:rPr>
          <w:rFonts w:ascii="宋体" w:hAnsi="宋体" w:cs="宋体"/>
          <w:kern w:val="0"/>
          <w:sz w:val="24"/>
          <w:highlight w:val="none"/>
        </w:rPr>
      </w:pPr>
      <w:r>
        <w:rPr>
          <w:rFonts w:hint="eastAsia" w:ascii="宋体" w:hAnsi="宋体" w:cs="宋体"/>
          <w:kern w:val="0"/>
          <w:sz w:val="24"/>
          <w:highlight w:val="none"/>
        </w:rPr>
        <w:t>本采购文件仅适用于驻马店市中心医院采购的工程项目。</w:t>
      </w:r>
    </w:p>
    <w:p w14:paraId="01EE9D1B">
      <w:pPr>
        <w:snapToGrid w:val="0"/>
        <w:spacing w:line="360" w:lineRule="auto"/>
        <w:ind w:firstLine="420"/>
        <w:jc w:val="left"/>
        <w:rPr>
          <w:rFonts w:ascii="宋体" w:hAnsi="宋体" w:cs="宋体"/>
          <w:b/>
          <w:bCs/>
          <w:kern w:val="0"/>
          <w:sz w:val="24"/>
          <w:highlight w:val="none"/>
        </w:rPr>
      </w:pPr>
      <w:r>
        <w:rPr>
          <w:rFonts w:hint="eastAsia" w:ascii="宋体" w:hAnsi="宋体" w:cs="宋体"/>
          <w:b/>
          <w:bCs/>
          <w:kern w:val="0"/>
          <w:sz w:val="24"/>
          <w:highlight w:val="none"/>
        </w:rPr>
        <w:t>2.定义</w:t>
      </w:r>
    </w:p>
    <w:p w14:paraId="52262D09">
      <w:pPr>
        <w:snapToGrid w:val="0"/>
        <w:spacing w:line="360" w:lineRule="auto"/>
        <w:ind w:firstLine="480" w:firstLineChars="200"/>
        <w:jc w:val="left"/>
        <w:rPr>
          <w:rFonts w:ascii="宋体" w:hAnsi="宋体" w:cs="宋体"/>
          <w:kern w:val="0"/>
          <w:sz w:val="24"/>
          <w:highlight w:val="none"/>
        </w:rPr>
      </w:pPr>
      <w:r>
        <w:rPr>
          <w:rFonts w:hint="eastAsia" w:ascii="宋体" w:hAnsi="宋体" w:cs="宋体"/>
          <w:kern w:val="0"/>
          <w:sz w:val="24"/>
          <w:highlight w:val="none"/>
        </w:rPr>
        <w:t>2.1供应商：领取了本采购文件，且已经提交本次响应文件的供应商。</w:t>
      </w:r>
    </w:p>
    <w:p w14:paraId="64326B9A">
      <w:pPr>
        <w:snapToGrid w:val="0"/>
        <w:spacing w:line="360" w:lineRule="auto"/>
        <w:ind w:firstLine="480" w:firstLineChars="200"/>
        <w:jc w:val="left"/>
        <w:rPr>
          <w:rFonts w:ascii="宋体" w:hAnsi="宋体" w:cs="宋体"/>
          <w:kern w:val="0"/>
          <w:sz w:val="24"/>
          <w:highlight w:val="none"/>
        </w:rPr>
      </w:pPr>
      <w:r>
        <w:rPr>
          <w:rFonts w:hint="eastAsia" w:ascii="宋体" w:hAnsi="宋体" w:cs="宋体"/>
          <w:kern w:val="0"/>
          <w:sz w:val="24"/>
          <w:highlight w:val="none"/>
        </w:rPr>
        <w:t>2.2供应商代表：代表供应商参加本次采购活动的供应商的法定代表人或其委托代理人。</w:t>
      </w:r>
    </w:p>
    <w:p w14:paraId="2958D851">
      <w:pPr>
        <w:snapToGrid w:val="0"/>
        <w:spacing w:line="360" w:lineRule="auto"/>
        <w:ind w:firstLine="420"/>
        <w:jc w:val="left"/>
        <w:rPr>
          <w:rFonts w:ascii="宋体" w:hAnsi="宋体" w:cs="宋体"/>
          <w:sz w:val="24"/>
          <w:highlight w:val="none"/>
        </w:rPr>
      </w:pPr>
      <w:r>
        <w:rPr>
          <w:rFonts w:hint="eastAsia" w:ascii="宋体" w:hAnsi="宋体" w:cs="宋体"/>
          <w:b/>
          <w:bCs/>
          <w:kern w:val="0"/>
          <w:sz w:val="24"/>
          <w:highlight w:val="none"/>
        </w:rPr>
        <w:t>3.供应商应提交的证明文件</w:t>
      </w:r>
    </w:p>
    <w:p w14:paraId="6174171D">
      <w:pPr>
        <w:widowControl/>
        <w:tabs>
          <w:tab w:val="left" w:pos="840"/>
        </w:tabs>
        <w:snapToGrid w:val="0"/>
        <w:spacing w:line="324" w:lineRule="auto"/>
        <w:ind w:firstLine="480" w:firstLineChars="200"/>
        <w:jc w:val="left"/>
        <w:rPr>
          <w:rFonts w:ascii="宋体" w:hAnsi="宋体" w:cs="宋体"/>
          <w:sz w:val="24"/>
          <w:highlight w:val="none"/>
          <w:shd w:val="clear" w:color="auto" w:fill="FFFFFF"/>
        </w:rPr>
      </w:pPr>
      <w:r>
        <w:rPr>
          <w:rFonts w:hint="eastAsia" w:ascii="宋体" w:hAnsi="宋体" w:cs="宋体"/>
          <w:sz w:val="24"/>
          <w:highlight w:val="none"/>
          <w:shd w:val="clear" w:color="auto" w:fill="FFFFFF"/>
        </w:rPr>
        <w:t>3.1具有独立承担民事责任的能力（提供营业执照或其他证明材料）；</w:t>
      </w:r>
    </w:p>
    <w:p w14:paraId="39ED0F71">
      <w:pPr>
        <w:widowControl/>
        <w:tabs>
          <w:tab w:val="left" w:pos="840"/>
        </w:tabs>
        <w:snapToGrid w:val="0"/>
        <w:spacing w:line="324" w:lineRule="auto"/>
        <w:ind w:firstLine="480" w:firstLineChars="200"/>
        <w:jc w:val="left"/>
        <w:rPr>
          <w:rFonts w:ascii="宋体" w:hAnsi="宋体" w:cs="宋体"/>
          <w:sz w:val="24"/>
          <w:highlight w:val="none"/>
          <w:shd w:val="clear" w:color="auto" w:fill="FFFFFF"/>
        </w:rPr>
      </w:pPr>
      <w:r>
        <w:rPr>
          <w:rFonts w:hint="eastAsia" w:ascii="宋体" w:hAnsi="宋体" w:cs="宋体"/>
          <w:sz w:val="24"/>
          <w:highlight w:val="none"/>
          <w:shd w:val="clear" w:color="auto" w:fill="FFFFFF"/>
        </w:rPr>
        <w:t>3.2具有良好的商业信誉和健全的财务会计制度（提供经审计的2024年度财务报告或者其基本开户银行出具的资信证明）；</w:t>
      </w:r>
    </w:p>
    <w:p w14:paraId="77E09FDB">
      <w:pPr>
        <w:widowControl/>
        <w:tabs>
          <w:tab w:val="left" w:pos="840"/>
        </w:tabs>
        <w:snapToGrid w:val="0"/>
        <w:spacing w:line="324" w:lineRule="auto"/>
        <w:ind w:firstLine="480" w:firstLineChars="200"/>
        <w:jc w:val="left"/>
        <w:rPr>
          <w:rFonts w:ascii="宋体" w:hAnsi="宋体" w:cs="宋体"/>
          <w:sz w:val="24"/>
          <w:highlight w:val="none"/>
          <w:shd w:val="clear" w:color="auto" w:fill="FFFFFF"/>
        </w:rPr>
      </w:pPr>
      <w:r>
        <w:rPr>
          <w:rFonts w:hint="eastAsia" w:ascii="宋体" w:hAnsi="宋体" w:cs="宋体"/>
          <w:sz w:val="24"/>
          <w:highlight w:val="none"/>
          <w:shd w:val="clear" w:color="auto" w:fill="FFFFFF"/>
        </w:rPr>
        <w:t>3.3具有依法缴纳税收和社会保障资金的良好记录（提供采购活动近六个月任意一个月的依法缴纳税收和缴纳社保的证明；依法免税或不需要缴纳社会保障资金的，应提供相应文件证明其依法免税或不需要缴纳社会保障资金）。</w:t>
      </w:r>
    </w:p>
    <w:p w14:paraId="696B4F15">
      <w:pPr>
        <w:widowControl/>
        <w:tabs>
          <w:tab w:val="left" w:pos="840"/>
        </w:tabs>
        <w:snapToGrid w:val="0"/>
        <w:spacing w:line="360" w:lineRule="auto"/>
        <w:ind w:firstLine="480" w:firstLineChars="200"/>
        <w:jc w:val="left"/>
        <w:rPr>
          <w:rFonts w:ascii="宋体" w:hAnsi="宋体" w:cs="宋体"/>
          <w:sz w:val="24"/>
          <w:highlight w:val="none"/>
          <w:shd w:val="clear" w:color="auto" w:fill="FFFFFF"/>
        </w:rPr>
      </w:pPr>
      <w:r>
        <w:rPr>
          <w:rFonts w:hint="eastAsia" w:ascii="宋体" w:hAnsi="宋体" w:cs="宋体"/>
          <w:sz w:val="24"/>
          <w:highlight w:val="none"/>
          <w:shd w:val="clear" w:color="auto" w:fill="FFFFFF"/>
        </w:rPr>
        <w:t>3.4具有履行合同所必需的设备和专业技术能力（提供书面承诺函）；</w:t>
      </w:r>
    </w:p>
    <w:p w14:paraId="3243091C">
      <w:pPr>
        <w:widowControl/>
        <w:tabs>
          <w:tab w:val="left" w:pos="840"/>
        </w:tabs>
        <w:snapToGrid w:val="0"/>
        <w:spacing w:line="360" w:lineRule="auto"/>
        <w:ind w:firstLine="480" w:firstLineChars="200"/>
        <w:jc w:val="left"/>
        <w:rPr>
          <w:sz w:val="24"/>
          <w:highlight w:val="none"/>
        </w:rPr>
      </w:pPr>
      <w:r>
        <w:rPr>
          <w:rFonts w:hint="eastAsia" w:ascii="宋体" w:hAnsi="宋体" w:cs="宋体"/>
          <w:sz w:val="24"/>
          <w:highlight w:val="none"/>
          <w:shd w:val="clear" w:color="auto" w:fill="FFFFFF"/>
        </w:rPr>
        <w:t>3.5参加本采购活动前三年内，在经营活动中没有重大违法记录（提供书面承诺函）；</w:t>
      </w:r>
    </w:p>
    <w:p w14:paraId="7E43AA8A">
      <w:pPr>
        <w:widowControl/>
        <w:tabs>
          <w:tab w:val="left" w:pos="840"/>
        </w:tabs>
        <w:snapToGrid w:val="0"/>
        <w:spacing w:line="324" w:lineRule="auto"/>
        <w:ind w:firstLine="480" w:firstLineChars="200"/>
        <w:jc w:val="left"/>
        <w:rPr>
          <w:rFonts w:ascii="宋体" w:hAnsi="宋体" w:cs="宋体"/>
          <w:sz w:val="24"/>
          <w:highlight w:val="none"/>
          <w:shd w:val="clear" w:color="auto" w:fill="FFFFFF"/>
        </w:rPr>
      </w:pPr>
      <w:r>
        <w:rPr>
          <w:rFonts w:hint="eastAsia" w:ascii="宋体" w:hAnsi="宋体" w:cs="宋体"/>
          <w:sz w:val="24"/>
          <w:highlight w:val="none"/>
          <w:shd w:val="clear" w:color="auto" w:fill="FFFFFF"/>
        </w:rPr>
        <w:t>3.6根据《关于在政府采购活动中查询及使用信用记录有关问题的通知》（财库【2016】125号）的规定，对列入失信被执行人、重大税收违法失信主体、政府采购严重违法失信行为记录名单的供应商，拒绝参与本项目政府采购活动（提供在“信用中国”、“中国政府采购网”等网站查询的相关材料并加盖公章，查询内容为在“信用中国”网站及其跳转网站中查询“失信被执行人”和“重大税收违法失信主体名单”，在“中国政府采购网”查询“政府采购严重违法失信行为记录名单”，无以上记录的供应商方可参加本次磋商活动）；</w:t>
      </w:r>
    </w:p>
    <w:p w14:paraId="127CAB12">
      <w:pPr>
        <w:widowControl/>
        <w:tabs>
          <w:tab w:val="left" w:pos="840"/>
        </w:tabs>
        <w:snapToGrid w:val="0"/>
        <w:spacing w:line="324" w:lineRule="auto"/>
        <w:ind w:firstLine="480" w:firstLineChars="200"/>
        <w:jc w:val="left"/>
        <w:rPr>
          <w:rFonts w:ascii="宋体" w:hAnsi="宋体" w:cs="宋体"/>
          <w:sz w:val="24"/>
          <w:highlight w:val="none"/>
          <w:shd w:val="clear" w:color="auto" w:fill="FFFFFF"/>
        </w:rPr>
      </w:pPr>
      <w:r>
        <w:rPr>
          <w:rFonts w:hint="eastAsia" w:ascii="宋体" w:hAnsi="宋体" w:cs="宋体"/>
          <w:sz w:val="24"/>
          <w:highlight w:val="none"/>
          <w:shd w:val="clear" w:color="auto" w:fill="FFFFFF"/>
        </w:rPr>
        <w:t>3.7单位负责人为同一人或者存在直接控股、管理关系的不同供应商，不得参加同一合同项下的磋商（</w:t>
      </w:r>
      <w:r>
        <w:rPr>
          <w:rFonts w:hint="eastAsia" w:ascii="宋体" w:hAnsi="宋体" w:cs="宋体"/>
          <w:kern w:val="0"/>
          <w:sz w:val="24"/>
          <w:highlight w:val="none"/>
        </w:rPr>
        <w:t>提供承诺函</w:t>
      </w:r>
      <w:r>
        <w:rPr>
          <w:rFonts w:hint="eastAsia" w:ascii="宋体" w:hAnsi="宋体" w:cs="宋体"/>
          <w:sz w:val="24"/>
          <w:highlight w:val="none"/>
          <w:shd w:val="clear" w:color="auto" w:fill="FFFFFF"/>
        </w:rPr>
        <w:t>）。</w:t>
      </w:r>
    </w:p>
    <w:p w14:paraId="05B025D3">
      <w:pPr>
        <w:widowControl/>
        <w:tabs>
          <w:tab w:val="left" w:pos="840"/>
        </w:tabs>
        <w:snapToGrid w:val="0"/>
        <w:spacing w:line="324" w:lineRule="auto"/>
        <w:ind w:firstLine="480" w:firstLineChars="200"/>
        <w:jc w:val="left"/>
        <w:rPr>
          <w:rFonts w:ascii="宋体" w:hAnsi="宋体" w:cs="宋体"/>
          <w:sz w:val="24"/>
          <w:highlight w:val="none"/>
          <w:shd w:val="clear" w:color="auto" w:fill="FFFFFF"/>
        </w:rPr>
      </w:pPr>
      <w:r>
        <w:rPr>
          <w:rFonts w:hint="eastAsia" w:ascii="宋体" w:hAnsi="宋体" w:cs="宋体"/>
          <w:sz w:val="24"/>
          <w:highlight w:val="none"/>
          <w:shd w:val="clear" w:color="auto" w:fill="FFFFFF"/>
        </w:rPr>
        <w:t>3.8本项目特定资格要求：</w:t>
      </w:r>
    </w:p>
    <w:p w14:paraId="3BB88030">
      <w:pPr>
        <w:widowControl/>
        <w:tabs>
          <w:tab w:val="left" w:pos="840"/>
        </w:tabs>
        <w:snapToGrid w:val="0"/>
        <w:spacing w:line="324" w:lineRule="auto"/>
        <w:ind w:firstLine="480" w:firstLineChars="200"/>
        <w:jc w:val="left"/>
        <w:rPr>
          <w:rFonts w:hint="eastAsia" w:ascii="宋体" w:hAnsi="宋体" w:eastAsia="宋体" w:cs="宋体"/>
          <w:sz w:val="24"/>
          <w:highlight w:val="none"/>
          <w:shd w:val="clear" w:color="auto" w:fill="FFFFFF"/>
          <w:lang w:eastAsia="zh-CN"/>
        </w:rPr>
      </w:pPr>
      <w:r>
        <w:rPr>
          <w:rFonts w:hint="eastAsia" w:ascii="宋体" w:hAnsi="宋体" w:cs="宋体"/>
          <w:sz w:val="24"/>
          <w:highlight w:val="none"/>
          <w:shd w:val="clear" w:color="auto" w:fill="FFFFFF"/>
        </w:rPr>
        <w:t>供应商须具有建设行政主管部门颁发的建筑装饰装修工程专业承包贰级（含贰级）以上，具有有效的企业安全生产许可证；拟派项目负责人须具有贰级（含贰级）以上建筑工程专业注册建造师资格，且具备有效的安全生产考核合格证书</w:t>
      </w:r>
      <w:r>
        <w:rPr>
          <w:rFonts w:hint="eastAsia" w:ascii="宋体" w:hAnsi="宋体" w:cs="宋体"/>
          <w:sz w:val="24"/>
          <w:highlight w:val="none"/>
          <w:shd w:val="clear" w:color="auto" w:fill="FFFFFF"/>
          <w:lang w:eastAsia="zh-CN"/>
        </w:rPr>
        <w:t>。</w:t>
      </w:r>
    </w:p>
    <w:p w14:paraId="6AE73E1F">
      <w:pPr>
        <w:snapToGrid w:val="0"/>
        <w:spacing w:line="360" w:lineRule="auto"/>
        <w:ind w:firstLine="420"/>
        <w:jc w:val="left"/>
        <w:rPr>
          <w:rFonts w:ascii="宋体" w:hAnsi="宋体" w:cs="宋体"/>
          <w:kern w:val="0"/>
          <w:sz w:val="24"/>
          <w:highlight w:val="none"/>
        </w:rPr>
      </w:pPr>
      <w:r>
        <w:rPr>
          <w:rFonts w:hint="eastAsia" w:ascii="宋体" w:hAnsi="宋体" w:cs="宋体"/>
          <w:b/>
          <w:bCs/>
          <w:kern w:val="0"/>
          <w:sz w:val="24"/>
          <w:highlight w:val="none"/>
        </w:rPr>
        <w:t>4.投标费用</w:t>
      </w:r>
    </w:p>
    <w:p w14:paraId="588BD4DD">
      <w:pPr>
        <w:snapToGrid w:val="0"/>
        <w:spacing w:line="360" w:lineRule="auto"/>
        <w:ind w:firstLine="480"/>
        <w:jc w:val="left"/>
        <w:rPr>
          <w:rFonts w:ascii="宋体" w:hAnsi="宋体" w:cs="宋体"/>
          <w:kern w:val="0"/>
          <w:sz w:val="24"/>
          <w:highlight w:val="none"/>
        </w:rPr>
      </w:pPr>
      <w:r>
        <w:rPr>
          <w:rFonts w:hint="eastAsia" w:ascii="宋体" w:hAnsi="宋体" w:cs="宋体"/>
          <w:kern w:val="0"/>
          <w:sz w:val="24"/>
          <w:highlight w:val="none"/>
        </w:rPr>
        <w:t>不论投标结果如何，供应商均应自行承担所有与投标有关的全部费用。</w:t>
      </w:r>
    </w:p>
    <w:p w14:paraId="37FE3559">
      <w:pPr>
        <w:snapToGrid w:val="0"/>
        <w:spacing w:line="360" w:lineRule="auto"/>
        <w:ind w:firstLine="420"/>
        <w:jc w:val="left"/>
        <w:rPr>
          <w:rFonts w:ascii="宋体" w:hAnsi="宋体" w:cs="宋体"/>
          <w:kern w:val="0"/>
          <w:sz w:val="24"/>
          <w:highlight w:val="none"/>
        </w:rPr>
      </w:pPr>
      <w:r>
        <w:rPr>
          <w:rFonts w:hint="eastAsia" w:ascii="宋体" w:hAnsi="宋体" w:cs="宋体"/>
          <w:b/>
          <w:bCs/>
          <w:kern w:val="0"/>
          <w:sz w:val="24"/>
          <w:highlight w:val="none"/>
        </w:rPr>
        <w:t>5.关联企业投标</w:t>
      </w:r>
    </w:p>
    <w:p w14:paraId="2FC7FABC">
      <w:pPr>
        <w:snapToGrid w:val="0"/>
        <w:spacing w:line="360" w:lineRule="auto"/>
        <w:ind w:firstLine="480"/>
        <w:jc w:val="left"/>
        <w:rPr>
          <w:rFonts w:ascii="宋体" w:hAnsi="宋体" w:cs="宋体"/>
          <w:kern w:val="0"/>
          <w:sz w:val="24"/>
          <w:highlight w:val="none"/>
        </w:rPr>
      </w:pPr>
      <w:r>
        <w:rPr>
          <w:rFonts w:hint="eastAsia" w:ascii="宋体" w:hAnsi="宋体" w:cs="宋体"/>
          <w:kern w:val="0"/>
          <w:sz w:val="24"/>
          <w:highlight w:val="none"/>
        </w:rPr>
        <w:t>5.1 本采购文件所称关联企业,是指存在关联关系的企业。“关联关系”的界定适用《中华人民共和国公司法》第二百一十六条、《中华人民共和国政府采购法实施条例》第十八条之规定。</w:t>
      </w:r>
    </w:p>
    <w:p w14:paraId="3AA4E932">
      <w:pPr>
        <w:snapToGrid w:val="0"/>
        <w:spacing w:line="360" w:lineRule="auto"/>
        <w:ind w:firstLine="480"/>
        <w:jc w:val="left"/>
        <w:rPr>
          <w:rFonts w:ascii="宋体" w:hAnsi="宋体" w:cs="宋体"/>
          <w:kern w:val="0"/>
          <w:sz w:val="24"/>
          <w:highlight w:val="none"/>
        </w:rPr>
      </w:pPr>
      <w:r>
        <w:rPr>
          <w:rFonts w:hint="eastAsia" w:ascii="宋体" w:hAnsi="宋体" w:cs="宋体"/>
          <w:kern w:val="0"/>
          <w:sz w:val="24"/>
          <w:highlight w:val="none"/>
        </w:rPr>
        <w:t>5.2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w:t>
      </w:r>
    </w:p>
    <w:p w14:paraId="24E120A3">
      <w:pPr>
        <w:snapToGrid w:val="0"/>
        <w:spacing w:line="360" w:lineRule="auto"/>
        <w:ind w:firstLine="420"/>
        <w:jc w:val="left"/>
        <w:rPr>
          <w:rFonts w:ascii="宋体" w:hAnsi="宋体" w:cs="宋体"/>
          <w:kern w:val="0"/>
          <w:sz w:val="24"/>
          <w:highlight w:val="none"/>
        </w:rPr>
      </w:pPr>
      <w:r>
        <w:rPr>
          <w:rFonts w:hint="eastAsia" w:ascii="宋体" w:hAnsi="宋体" w:cs="宋体"/>
          <w:b/>
          <w:bCs/>
          <w:kern w:val="0"/>
          <w:sz w:val="24"/>
          <w:highlight w:val="none"/>
        </w:rPr>
        <w:t>6.转包与分包</w:t>
      </w:r>
    </w:p>
    <w:p w14:paraId="07EDB564">
      <w:pPr>
        <w:snapToGrid w:val="0"/>
        <w:spacing w:line="360" w:lineRule="auto"/>
        <w:ind w:firstLine="480"/>
        <w:jc w:val="left"/>
        <w:rPr>
          <w:rFonts w:ascii="宋体" w:hAnsi="宋体" w:cs="宋体"/>
          <w:kern w:val="0"/>
          <w:sz w:val="24"/>
          <w:highlight w:val="none"/>
        </w:rPr>
      </w:pPr>
      <w:r>
        <w:rPr>
          <w:rFonts w:hint="eastAsia" w:ascii="宋体" w:hAnsi="宋体" w:cs="宋体"/>
          <w:kern w:val="0"/>
          <w:sz w:val="24"/>
          <w:highlight w:val="none"/>
        </w:rPr>
        <w:t>6.1本项目不允许采取转包方式履行合同。</w:t>
      </w:r>
    </w:p>
    <w:p w14:paraId="7A73A247">
      <w:pPr>
        <w:snapToGrid w:val="0"/>
        <w:spacing w:line="360" w:lineRule="auto"/>
        <w:ind w:firstLine="480"/>
        <w:jc w:val="left"/>
        <w:rPr>
          <w:rFonts w:ascii="宋体" w:hAnsi="宋体" w:cs="宋体"/>
          <w:kern w:val="0"/>
          <w:sz w:val="24"/>
          <w:highlight w:val="none"/>
        </w:rPr>
      </w:pPr>
      <w:r>
        <w:rPr>
          <w:rFonts w:hint="eastAsia" w:ascii="宋体" w:hAnsi="宋体" w:cs="宋体"/>
          <w:kern w:val="0"/>
          <w:sz w:val="24"/>
          <w:highlight w:val="none"/>
        </w:rPr>
        <w:t>6.2本项目不允许采取分包方式履行合同。</w:t>
      </w:r>
    </w:p>
    <w:p w14:paraId="7A931D08">
      <w:pPr>
        <w:snapToGrid w:val="0"/>
        <w:spacing w:line="360" w:lineRule="auto"/>
        <w:ind w:firstLine="420"/>
        <w:jc w:val="left"/>
        <w:rPr>
          <w:rFonts w:ascii="宋体" w:hAnsi="宋体" w:cs="宋体"/>
          <w:kern w:val="0"/>
          <w:sz w:val="24"/>
          <w:highlight w:val="none"/>
        </w:rPr>
      </w:pPr>
      <w:r>
        <w:rPr>
          <w:rFonts w:hint="eastAsia" w:ascii="宋体" w:hAnsi="宋体" w:cs="宋体"/>
          <w:b/>
          <w:bCs/>
          <w:kern w:val="0"/>
          <w:sz w:val="24"/>
          <w:highlight w:val="none"/>
        </w:rPr>
        <w:t>7.特别说明：</w:t>
      </w:r>
    </w:p>
    <w:p w14:paraId="2B0CAA62">
      <w:pPr>
        <w:snapToGrid w:val="0"/>
        <w:spacing w:line="360" w:lineRule="auto"/>
        <w:ind w:firstLine="480"/>
        <w:jc w:val="left"/>
        <w:rPr>
          <w:rFonts w:ascii="宋体" w:hAnsi="宋体" w:cs="宋体"/>
          <w:kern w:val="0"/>
          <w:sz w:val="24"/>
          <w:highlight w:val="none"/>
        </w:rPr>
      </w:pPr>
      <w:r>
        <w:rPr>
          <w:rFonts w:hint="eastAsia" w:ascii="宋体" w:hAnsi="宋体" w:cs="宋体"/>
          <w:kern w:val="0"/>
          <w:sz w:val="24"/>
          <w:highlight w:val="none"/>
        </w:rPr>
        <w:t>7.1供应商代表只能接受一个供应商的委托参加投标。</w:t>
      </w:r>
    </w:p>
    <w:p w14:paraId="488C7D5A">
      <w:pPr>
        <w:snapToGrid w:val="0"/>
        <w:spacing w:line="360" w:lineRule="auto"/>
        <w:ind w:firstLine="480"/>
        <w:jc w:val="left"/>
        <w:rPr>
          <w:rFonts w:ascii="宋体" w:hAnsi="宋体" w:cs="宋体"/>
          <w:kern w:val="0"/>
          <w:sz w:val="24"/>
          <w:highlight w:val="none"/>
        </w:rPr>
      </w:pPr>
      <w:r>
        <w:rPr>
          <w:rFonts w:hint="eastAsia" w:ascii="宋体" w:hAnsi="宋体" w:cs="宋体"/>
          <w:kern w:val="0"/>
          <w:sz w:val="24"/>
          <w:highlight w:val="none"/>
        </w:rPr>
        <w:t>7.2《政府采购法》第二十二条第五款“参加政府采购活动前三年内，在经营活动中没有重大违法记录”，《政府采购法》实施条例第十九条 “重大违法记录是指供应商因违法经营受到刑事处罚或者责令停产停业、吊销许可证或者执照、较大数额罚款等行政处罚。”财政部发布的《关于&lt;中华人民共和国政府采购法实施条例&gt;第十九条第一款“较大数额罚款”具体适用问题的意见》（财库〔2022〕3号）明确，“较大数额罚款”认定为200万元以上，若相关法律、行政法规或国务院部门另有更高标准，则从其规定。 ‌“重大违法记录”包括供应商或者其法定代表人、董事、监事、高级管理人员因经营活动中的违法行为受到行政处罚，但警告和罚款额在人民币3万元以下的行政处罚除外；供应商或其法定代表人、董事、监事、高级管理人员因经营活动中的违法行为受到刑事处罚。</w:t>
      </w:r>
    </w:p>
    <w:p w14:paraId="148B0D7A">
      <w:pPr>
        <w:snapToGrid w:val="0"/>
        <w:spacing w:line="360" w:lineRule="auto"/>
        <w:ind w:firstLine="480"/>
        <w:jc w:val="left"/>
        <w:rPr>
          <w:rFonts w:ascii="宋体" w:hAnsi="宋体" w:cs="宋体"/>
          <w:kern w:val="0"/>
          <w:sz w:val="24"/>
          <w:highlight w:val="none"/>
        </w:rPr>
      </w:pPr>
      <w:r>
        <w:rPr>
          <w:rFonts w:hint="eastAsia" w:ascii="宋体" w:hAnsi="宋体" w:cs="宋体"/>
          <w:kern w:val="0"/>
          <w:sz w:val="24"/>
          <w:highlight w:val="none"/>
        </w:rPr>
        <w:t>7.3供应商在投标活动中提供虚假材料或从事其他违法活动的,其投标无效，由相关部门查处。</w:t>
      </w:r>
    </w:p>
    <w:p w14:paraId="2A99E4ED">
      <w:pPr>
        <w:snapToGrid w:val="0"/>
        <w:spacing w:line="360" w:lineRule="auto"/>
        <w:ind w:firstLine="420"/>
        <w:jc w:val="left"/>
        <w:rPr>
          <w:rFonts w:ascii="宋体" w:hAnsi="宋体" w:cs="宋体"/>
          <w:kern w:val="0"/>
          <w:sz w:val="24"/>
          <w:highlight w:val="none"/>
        </w:rPr>
      </w:pPr>
      <w:r>
        <w:rPr>
          <w:rFonts w:hint="eastAsia" w:ascii="宋体" w:hAnsi="宋体" w:cs="宋体"/>
          <w:b/>
          <w:bCs/>
          <w:kern w:val="0"/>
          <w:sz w:val="24"/>
          <w:highlight w:val="none"/>
        </w:rPr>
        <w:t>8.质疑和投诉</w:t>
      </w:r>
    </w:p>
    <w:p w14:paraId="0CAD2C45">
      <w:pPr>
        <w:snapToGrid w:val="0"/>
        <w:spacing w:line="360" w:lineRule="auto"/>
        <w:ind w:firstLine="470" w:firstLineChars="196"/>
        <w:jc w:val="left"/>
        <w:rPr>
          <w:rFonts w:ascii="宋体" w:hAnsi="宋体" w:cs="宋体"/>
          <w:kern w:val="0"/>
          <w:sz w:val="24"/>
          <w:highlight w:val="none"/>
        </w:rPr>
      </w:pPr>
      <w:r>
        <w:rPr>
          <w:rFonts w:hint="eastAsia" w:ascii="宋体" w:hAnsi="宋体" w:cs="宋体"/>
          <w:kern w:val="0"/>
          <w:sz w:val="24"/>
          <w:highlight w:val="none"/>
        </w:rPr>
        <w:t>8.1</w:t>
      </w:r>
      <w:r>
        <w:rPr>
          <w:rFonts w:hint="eastAsia" w:ascii="宋体" w:hAnsi="宋体" w:cs="宋体"/>
          <w:bCs/>
          <w:kern w:val="0"/>
          <w:sz w:val="24"/>
          <w:highlight w:val="none"/>
        </w:rPr>
        <w:t>供应商认为采购文件使自己的合法权益受到损害的，</w:t>
      </w:r>
      <w:r>
        <w:rPr>
          <w:rFonts w:hint="eastAsia" w:ascii="宋体" w:hAnsi="宋体" w:cs="宋体"/>
          <w:kern w:val="0"/>
          <w:sz w:val="24"/>
          <w:highlight w:val="none"/>
        </w:rPr>
        <w:t>应当在采购公告期限届满之日(或收到采购文件之日)起3个工作日之内向</w:t>
      </w:r>
      <w:r>
        <w:rPr>
          <w:rFonts w:hint="eastAsia" w:ascii="宋体" w:hAnsi="宋体" w:cs="宋体"/>
          <w:bCs/>
          <w:kern w:val="0"/>
          <w:sz w:val="24"/>
          <w:highlight w:val="none"/>
        </w:rPr>
        <w:t>采购人提出质疑；供应商认为磋商过程和成交结果使自己的合法权益受到损害的，应当在知道或者应知其权益受到损害之日起3个工作日内提出质疑。</w:t>
      </w:r>
      <w:r>
        <w:rPr>
          <w:rFonts w:hint="eastAsia" w:ascii="宋体" w:hAnsi="宋体" w:cs="宋体"/>
          <w:kern w:val="0"/>
          <w:sz w:val="24"/>
          <w:highlight w:val="none"/>
        </w:rPr>
        <w:t>逾期不再受理,</w:t>
      </w:r>
      <w:r>
        <w:rPr>
          <w:rFonts w:hint="eastAsia" w:ascii="宋体" w:hAnsi="宋体" w:cs="宋体"/>
          <w:bCs/>
          <w:kern w:val="0"/>
          <w:sz w:val="24"/>
          <w:highlight w:val="none"/>
        </w:rPr>
        <w:t>供应商在法定质疑期内应一次性提出针对同一采购环节的质疑。</w:t>
      </w:r>
      <w:r>
        <w:rPr>
          <w:rFonts w:hint="eastAsia" w:ascii="宋体" w:hAnsi="宋体" w:cs="宋体"/>
          <w:kern w:val="0"/>
          <w:sz w:val="24"/>
          <w:highlight w:val="none"/>
        </w:rPr>
        <w:t>供应商对</w:t>
      </w:r>
      <w:r>
        <w:rPr>
          <w:rFonts w:hint="eastAsia" w:ascii="宋体" w:hAnsi="宋体" w:cs="宋体"/>
          <w:bCs/>
          <w:kern w:val="0"/>
          <w:sz w:val="24"/>
          <w:highlight w:val="none"/>
        </w:rPr>
        <w:t>采购人</w:t>
      </w:r>
      <w:r>
        <w:rPr>
          <w:rFonts w:hint="eastAsia" w:ascii="宋体" w:hAnsi="宋体" w:cs="宋体"/>
          <w:kern w:val="0"/>
          <w:sz w:val="24"/>
          <w:highlight w:val="none"/>
        </w:rPr>
        <w:t>的质疑答复不满意,或</w:t>
      </w:r>
      <w:r>
        <w:rPr>
          <w:rFonts w:hint="eastAsia" w:ascii="宋体" w:hAnsi="宋体" w:cs="宋体"/>
          <w:bCs/>
          <w:kern w:val="0"/>
          <w:sz w:val="24"/>
          <w:highlight w:val="none"/>
        </w:rPr>
        <w:t>采购人</w:t>
      </w:r>
      <w:r>
        <w:rPr>
          <w:rFonts w:hint="eastAsia" w:ascii="宋体" w:hAnsi="宋体" w:cs="宋体"/>
          <w:kern w:val="0"/>
          <w:sz w:val="24"/>
          <w:highlight w:val="none"/>
        </w:rPr>
        <w:t>未在规定时间内作出答复的，可以在答复期满后15个工作日内向医院纪检部门投诉。</w:t>
      </w:r>
    </w:p>
    <w:p w14:paraId="12415BD0">
      <w:pPr>
        <w:shd w:val="clear" w:color="auto" w:fill="FFFFFF"/>
        <w:snapToGrid w:val="0"/>
        <w:spacing w:line="360" w:lineRule="auto"/>
        <w:ind w:firstLine="480"/>
        <w:jc w:val="left"/>
        <w:rPr>
          <w:rFonts w:ascii="宋体" w:hAnsi="宋体" w:cs="宋体"/>
          <w:kern w:val="0"/>
          <w:sz w:val="24"/>
          <w:highlight w:val="none"/>
        </w:rPr>
      </w:pPr>
      <w:r>
        <w:rPr>
          <w:rFonts w:hint="eastAsia" w:ascii="宋体" w:hAnsi="宋体" w:cs="宋体"/>
          <w:kern w:val="0"/>
          <w:sz w:val="24"/>
          <w:highlight w:val="none"/>
        </w:rPr>
        <w:t>8.2</w:t>
      </w:r>
      <w:r>
        <w:rPr>
          <w:rFonts w:hint="eastAsia" w:ascii="宋体" w:hAnsi="宋体" w:cs="宋体"/>
          <w:bCs/>
          <w:kern w:val="0"/>
          <w:sz w:val="24"/>
          <w:highlight w:val="none"/>
        </w:rPr>
        <w:t>质疑、投诉应当采用书面形式，质疑书、投诉书均应明确阐述采购文件、磋商过程和成交结果中使自己合法权益受到损害的实质性内容，提供相关事实、依据和证据及其来源或线索，便于有关单位调查、答复和处理。</w:t>
      </w:r>
    </w:p>
    <w:p w14:paraId="27061951">
      <w:pPr>
        <w:snapToGrid w:val="0"/>
        <w:spacing w:line="360" w:lineRule="auto"/>
        <w:jc w:val="center"/>
        <w:outlineLvl w:val="1"/>
        <w:rPr>
          <w:rFonts w:ascii="宋体" w:hAnsi="宋体" w:cs="宋体"/>
          <w:b/>
          <w:bCs/>
          <w:kern w:val="0"/>
          <w:sz w:val="24"/>
          <w:highlight w:val="none"/>
        </w:rPr>
      </w:pPr>
      <w:r>
        <w:rPr>
          <w:rFonts w:hint="eastAsia" w:ascii="宋体" w:hAnsi="宋体" w:cs="宋体"/>
          <w:b/>
          <w:bCs/>
          <w:kern w:val="0"/>
          <w:sz w:val="24"/>
          <w:highlight w:val="none"/>
        </w:rPr>
        <w:t>二、采购文件</w:t>
      </w:r>
    </w:p>
    <w:p w14:paraId="215C93B3">
      <w:pPr>
        <w:tabs>
          <w:tab w:val="left" w:pos="720"/>
        </w:tabs>
        <w:spacing w:line="360" w:lineRule="auto"/>
        <w:ind w:firstLine="482" w:firstLineChars="200"/>
        <w:rPr>
          <w:rFonts w:ascii="宋体" w:hAnsi="宋体" w:cs="宋体"/>
          <w:b/>
          <w:bCs/>
          <w:kern w:val="0"/>
          <w:sz w:val="24"/>
          <w:highlight w:val="none"/>
        </w:rPr>
      </w:pPr>
      <w:r>
        <w:rPr>
          <w:rFonts w:hint="eastAsia" w:ascii="宋体" w:hAnsi="宋体" w:cs="宋体"/>
          <w:b/>
          <w:bCs/>
          <w:kern w:val="0"/>
          <w:sz w:val="24"/>
          <w:highlight w:val="none"/>
        </w:rPr>
        <w:t>9.采购文件构成</w:t>
      </w:r>
    </w:p>
    <w:p w14:paraId="7F7F7187">
      <w:pPr>
        <w:snapToGrid w:val="0"/>
        <w:spacing w:line="360" w:lineRule="auto"/>
        <w:ind w:firstLine="480" w:firstLineChars="200"/>
        <w:jc w:val="left"/>
        <w:rPr>
          <w:rFonts w:ascii="宋体" w:hAnsi="宋体" w:cs="宋体"/>
          <w:kern w:val="0"/>
          <w:sz w:val="24"/>
          <w:highlight w:val="none"/>
        </w:rPr>
      </w:pPr>
      <w:r>
        <w:rPr>
          <w:rFonts w:hint="eastAsia" w:ascii="宋体" w:hAnsi="宋体" w:cs="宋体"/>
          <w:kern w:val="0"/>
          <w:sz w:val="24"/>
          <w:highlight w:val="none"/>
        </w:rPr>
        <w:t>供应商应仔细阅读采购文件中供应商须知、条款、格式等所有事项，按采购文件的要求制作并提交响应文件，并保证所提供的全部资料的真实性，以使其投标对采购文件做出实质性响应，否则，将承担其投标被拒绝的风险。</w:t>
      </w:r>
    </w:p>
    <w:p w14:paraId="3227E51D">
      <w:pPr>
        <w:snapToGrid w:val="0"/>
        <w:spacing w:line="360" w:lineRule="auto"/>
        <w:ind w:firstLine="477" w:firstLineChars="198"/>
        <w:rPr>
          <w:rFonts w:ascii="宋体" w:hAnsi="宋体" w:cs="宋体"/>
          <w:b/>
          <w:bCs/>
          <w:kern w:val="0"/>
          <w:sz w:val="24"/>
          <w:highlight w:val="none"/>
        </w:rPr>
      </w:pPr>
      <w:r>
        <w:rPr>
          <w:rFonts w:hint="eastAsia" w:ascii="宋体" w:hAnsi="宋体" w:cs="宋体"/>
          <w:b/>
          <w:bCs/>
          <w:kern w:val="0"/>
          <w:sz w:val="24"/>
          <w:highlight w:val="none"/>
        </w:rPr>
        <w:t>10.采购文件的澄清与修改</w:t>
      </w:r>
    </w:p>
    <w:p w14:paraId="3E6CCC77">
      <w:pPr>
        <w:snapToGrid w:val="0"/>
        <w:spacing w:line="360" w:lineRule="auto"/>
        <w:ind w:firstLine="480" w:firstLineChars="200"/>
        <w:jc w:val="left"/>
        <w:rPr>
          <w:rFonts w:ascii="宋体" w:hAnsi="宋体" w:cs="宋体"/>
          <w:kern w:val="0"/>
          <w:sz w:val="24"/>
          <w:highlight w:val="none"/>
        </w:rPr>
      </w:pPr>
      <w:r>
        <w:rPr>
          <w:rFonts w:hint="eastAsia" w:ascii="宋体" w:hAnsi="宋体" w:cs="宋体"/>
          <w:kern w:val="0"/>
          <w:sz w:val="24"/>
          <w:highlight w:val="none"/>
        </w:rPr>
        <w:t>10.1 采购人对已发出的采购文件进行必要澄清、修改或补充的，应当在原采购公告发布媒体上发布更正公告或变更公告。</w:t>
      </w:r>
    </w:p>
    <w:p w14:paraId="585A7D9F">
      <w:pPr>
        <w:snapToGrid w:val="0"/>
        <w:spacing w:line="360" w:lineRule="auto"/>
        <w:ind w:firstLine="480"/>
        <w:jc w:val="left"/>
        <w:rPr>
          <w:rFonts w:ascii="宋体" w:hAnsi="宋体" w:cs="宋体"/>
          <w:kern w:val="0"/>
          <w:sz w:val="24"/>
          <w:highlight w:val="none"/>
        </w:rPr>
      </w:pPr>
      <w:r>
        <w:rPr>
          <w:rFonts w:hint="eastAsia" w:ascii="宋体" w:hAnsi="宋体" w:cs="宋体"/>
          <w:kern w:val="0"/>
          <w:sz w:val="24"/>
          <w:highlight w:val="none"/>
        </w:rPr>
        <w:t>10.2 采购文件澄清、修改或补充的内容为采购文件的组成部分。</w:t>
      </w:r>
    </w:p>
    <w:p w14:paraId="32C7E1FA">
      <w:pPr>
        <w:snapToGrid w:val="0"/>
        <w:spacing w:line="360" w:lineRule="auto"/>
        <w:jc w:val="center"/>
        <w:outlineLvl w:val="1"/>
        <w:rPr>
          <w:rFonts w:ascii="宋体" w:hAnsi="宋体" w:cs="宋体"/>
          <w:b/>
          <w:bCs/>
          <w:kern w:val="0"/>
          <w:sz w:val="24"/>
          <w:highlight w:val="none"/>
        </w:rPr>
      </w:pPr>
      <w:r>
        <w:rPr>
          <w:rFonts w:hint="eastAsia" w:ascii="宋体" w:hAnsi="宋体" w:cs="宋体"/>
          <w:b/>
          <w:bCs/>
          <w:kern w:val="0"/>
          <w:sz w:val="24"/>
          <w:highlight w:val="none"/>
        </w:rPr>
        <w:t>三、响应文件的编制</w:t>
      </w:r>
    </w:p>
    <w:p w14:paraId="6FE7FFE1">
      <w:pPr>
        <w:snapToGrid w:val="0"/>
        <w:spacing w:line="360" w:lineRule="auto"/>
        <w:ind w:firstLine="477" w:firstLineChars="198"/>
        <w:rPr>
          <w:rFonts w:ascii="宋体" w:hAnsi="宋体" w:cs="宋体"/>
          <w:kern w:val="0"/>
          <w:sz w:val="24"/>
          <w:highlight w:val="none"/>
        </w:rPr>
      </w:pPr>
      <w:r>
        <w:rPr>
          <w:rFonts w:hint="eastAsia" w:ascii="宋体" w:hAnsi="宋体" w:cs="宋体"/>
          <w:b/>
          <w:bCs/>
          <w:kern w:val="0"/>
          <w:sz w:val="24"/>
          <w:highlight w:val="none"/>
        </w:rPr>
        <w:t>11.要求</w:t>
      </w:r>
    </w:p>
    <w:p w14:paraId="0D1DF7B7">
      <w:pPr>
        <w:snapToGrid w:val="0"/>
        <w:spacing w:line="360" w:lineRule="auto"/>
        <w:ind w:firstLine="480" w:firstLineChars="200"/>
        <w:jc w:val="left"/>
        <w:rPr>
          <w:rFonts w:ascii="宋体" w:hAnsi="宋体" w:cs="宋体"/>
          <w:kern w:val="0"/>
          <w:sz w:val="24"/>
          <w:highlight w:val="none"/>
        </w:rPr>
      </w:pPr>
      <w:r>
        <w:rPr>
          <w:rFonts w:hint="eastAsia" w:ascii="宋体" w:hAnsi="宋体" w:cs="宋体"/>
          <w:kern w:val="0"/>
          <w:sz w:val="24"/>
          <w:highlight w:val="none"/>
        </w:rPr>
        <w:t>供应商应仔细阅读采购文件的所有内容，按照采购文件提供的格式编写响应文件，不得缺少或留空任何采购文件要求填写的表格或提交的资料。采购文件提供格式的按格式填列，未提供格式的可自行拟定。响应文件应对采购文件的要求作出实质性响应（包括供应商资格要求、技术要求、商务要求和响应文件格式中对磋商的要求），供应商对所提供的全部资料的合法性、真实性负责。</w:t>
      </w:r>
    </w:p>
    <w:p w14:paraId="5592E241">
      <w:pPr>
        <w:snapToGrid w:val="0"/>
        <w:spacing w:line="360" w:lineRule="auto"/>
        <w:ind w:firstLine="477" w:firstLineChars="198"/>
        <w:rPr>
          <w:rFonts w:ascii="宋体" w:hAnsi="宋体" w:cs="宋体"/>
          <w:kern w:val="0"/>
          <w:sz w:val="24"/>
          <w:highlight w:val="none"/>
        </w:rPr>
      </w:pPr>
      <w:r>
        <w:rPr>
          <w:rFonts w:hint="eastAsia" w:ascii="宋体" w:hAnsi="宋体" w:cs="宋体"/>
          <w:b/>
          <w:bCs/>
          <w:kern w:val="0"/>
          <w:sz w:val="24"/>
          <w:highlight w:val="none"/>
        </w:rPr>
        <w:t>12.响应文件的语言和计量单位</w:t>
      </w:r>
    </w:p>
    <w:p w14:paraId="68BF3F90">
      <w:pPr>
        <w:snapToGrid w:val="0"/>
        <w:spacing w:line="360" w:lineRule="auto"/>
        <w:ind w:firstLine="480"/>
        <w:jc w:val="left"/>
        <w:rPr>
          <w:rFonts w:ascii="宋体" w:hAnsi="宋体" w:cs="宋体"/>
          <w:kern w:val="0"/>
          <w:sz w:val="24"/>
          <w:highlight w:val="none"/>
        </w:rPr>
      </w:pPr>
      <w:r>
        <w:rPr>
          <w:rFonts w:hint="eastAsia" w:ascii="宋体" w:hAnsi="宋体" w:cs="宋体"/>
          <w:kern w:val="0"/>
          <w:sz w:val="24"/>
          <w:highlight w:val="none"/>
        </w:rPr>
        <w:t>12.1 响应文件以及供应商与采购人就有关磋商事宜的所有来往函电均应使用简体中文书写。供应商提供的外文资料应附有相应的中文译本，并以中文译本为准。</w:t>
      </w:r>
    </w:p>
    <w:p w14:paraId="174D93C7">
      <w:pPr>
        <w:snapToGrid w:val="0"/>
        <w:spacing w:line="360" w:lineRule="auto"/>
        <w:ind w:firstLine="480"/>
        <w:jc w:val="left"/>
        <w:rPr>
          <w:rFonts w:ascii="宋体" w:hAnsi="宋体" w:cs="宋体"/>
          <w:kern w:val="0"/>
          <w:sz w:val="24"/>
          <w:highlight w:val="none"/>
        </w:rPr>
      </w:pPr>
      <w:r>
        <w:rPr>
          <w:rFonts w:hint="eastAsia" w:ascii="宋体" w:hAnsi="宋体" w:cs="宋体"/>
          <w:kern w:val="0"/>
          <w:sz w:val="24"/>
          <w:highlight w:val="none"/>
        </w:rPr>
        <w:t>12.2关于磋商计量单位，采购文件已有明确规定的，使用采购文件规定的计量单位；采购文件没有规定的，应采用中华人民共和国法定计量单位。</w:t>
      </w:r>
    </w:p>
    <w:p w14:paraId="0E2E4BAB">
      <w:pPr>
        <w:snapToGrid w:val="0"/>
        <w:spacing w:line="360" w:lineRule="auto"/>
        <w:ind w:firstLine="477" w:firstLineChars="198"/>
        <w:rPr>
          <w:rFonts w:ascii="宋体" w:hAnsi="宋体" w:cs="宋体"/>
          <w:b/>
          <w:bCs/>
          <w:kern w:val="0"/>
          <w:sz w:val="24"/>
          <w:highlight w:val="none"/>
        </w:rPr>
      </w:pPr>
      <w:r>
        <w:rPr>
          <w:rFonts w:hint="eastAsia" w:ascii="宋体" w:hAnsi="宋体" w:cs="宋体"/>
          <w:b/>
          <w:bCs/>
          <w:kern w:val="0"/>
          <w:sz w:val="24"/>
          <w:highlight w:val="none"/>
        </w:rPr>
        <w:t>13.响应文件的组成</w:t>
      </w:r>
      <w:r>
        <w:rPr>
          <w:rFonts w:hint="eastAsia" w:ascii="宋体" w:hAnsi="宋体" w:cs="宋体"/>
          <w:kern w:val="0"/>
          <w:sz w:val="24"/>
          <w:highlight w:val="none"/>
        </w:rPr>
        <w:t>。</w:t>
      </w:r>
      <w:r>
        <w:rPr>
          <w:rFonts w:hint="eastAsia" w:ascii="宋体" w:hAnsi="宋体" w:cs="宋体"/>
          <w:b/>
          <w:bCs/>
          <w:kern w:val="0"/>
          <w:sz w:val="24"/>
          <w:highlight w:val="none"/>
        </w:rPr>
        <w:t>响应文件应包括下列部分：</w:t>
      </w:r>
    </w:p>
    <w:p w14:paraId="3FCC1FD4">
      <w:pPr>
        <w:snapToGrid w:val="0"/>
        <w:spacing w:line="360" w:lineRule="auto"/>
        <w:ind w:firstLine="480" w:firstLineChars="200"/>
        <w:jc w:val="left"/>
        <w:rPr>
          <w:rFonts w:ascii="宋体" w:hAnsi="宋体" w:cs="宋体"/>
          <w:kern w:val="0"/>
          <w:sz w:val="24"/>
          <w:highlight w:val="none"/>
        </w:rPr>
      </w:pPr>
      <w:r>
        <w:rPr>
          <w:rFonts w:hint="eastAsia" w:ascii="宋体" w:hAnsi="宋体" w:cs="宋体"/>
          <w:kern w:val="0"/>
          <w:sz w:val="24"/>
          <w:highlight w:val="none"/>
        </w:rPr>
        <w:t>13.1竞争性磋商响应书</w:t>
      </w:r>
    </w:p>
    <w:p w14:paraId="10C9A922">
      <w:pPr>
        <w:snapToGrid w:val="0"/>
        <w:spacing w:line="360" w:lineRule="auto"/>
        <w:ind w:firstLine="480" w:firstLineChars="200"/>
        <w:jc w:val="left"/>
        <w:rPr>
          <w:rFonts w:ascii="宋体" w:hAnsi="宋体" w:cs="宋体"/>
          <w:kern w:val="0"/>
          <w:sz w:val="24"/>
          <w:highlight w:val="none"/>
        </w:rPr>
      </w:pPr>
      <w:r>
        <w:rPr>
          <w:rFonts w:hint="eastAsia" w:ascii="宋体" w:hAnsi="宋体" w:cs="宋体"/>
          <w:kern w:val="0"/>
          <w:sz w:val="24"/>
          <w:highlight w:val="none"/>
        </w:rPr>
        <w:t>13.2初次报价一览表</w:t>
      </w:r>
    </w:p>
    <w:p w14:paraId="2A641E13">
      <w:pPr>
        <w:snapToGrid w:val="0"/>
        <w:spacing w:line="360" w:lineRule="auto"/>
        <w:ind w:firstLine="480" w:firstLineChars="200"/>
        <w:jc w:val="left"/>
        <w:rPr>
          <w:rFonts w:ascii="宋体" w:hAnsi="宋体" w:cs="宋体"/>
          <w:kern w:val="0"/>
          <w:sz w:val="24"/>
          <w:highlight w:val="none"/>
        </w:rPr>
      </w:pPr>
      <w:r>
        <w:rPr>
          <w:rFonts w:hint="eastAsia" w:ascii="宋体" w:hAnsi="宋体" w:cs="宋体"/>
          <w:kern w:val="0"/>
          <w:sz w:val="24"/>
          <w:highlight w:val="none"/>
        </w:rPr>
        <w:t>13.3</w:t>
      </w:r>
      <w:r>
        <w:rPr>
          <w:rFonts w:hint="eastAsia" w:ascii="宋体" w:hAnsi="宋体" w:cs="宋体"/>
          <w:sz w:val="24"/>
          <w:highlight w:val="none"/>
        </w:rPr>
        <w:t>项目预算书</w:t>
      </w:r>
    </w:p>
    <w:p w14:paraId="0ED34EE4">
      <w:pPr>
        <w:snapToGrid w:val="0"/>
        <w:spacing w:line="360" w:lineRule="auto"/>
        <w:ind w:firstLine="480" w:firstLineChars="200"/>
        <w:jc w:val="left"/>
        <w:rPr>
          <w:rFonts w:ascii="宋体" w:hAnsi="宋体" w:cs="宋体"/>
          <w:kern w:val="0"/>
          <w:sz w:val="24"/>
          <w:highlight w:val="none"/>
        </w:rPr>
      </w:pPr>
      <w:r>
        <w:rPr>
          <w:rFonts w:hint="eastAsia" w:ascii="宋体" w:hAnsi="宋体" w:cs="宋体"/>
          <w:kern w:val="0"/>
          <w:sz w:val="24"/>
          <w:highlight w:val="none"/>
        </w:rPr>
        <w:t>13.4施工组织设计</w:t>
      </w:r>
    </w:p>
    <w:p w14:paraId="3493EC8D">
      <w:pPr>
        <w:snapToGrid w:val="0"/>
        <w:spacing w:line="360" w:lineRule="auto"/>
        <w:ind w:left="208" w:leftChars="99" w:firstLine="240" w:firstLineChars="100"/>
        <w:jc w:val="left"/>
        <w:rPr>
          <w:rFonts w:ascii="宋体" w:hAnsi="宋体" w:cs="宋体"/>
          <w:kern w:val="0"/>
          <w:sz w:val="24"/>
          <w:highlight w:val="none"/>
        </w:rPr>
      </w:pPr>
      <w:r>
        <w:rPr>
          <w:rFonts w:hint="eastAsia" w:ascii="宋体" w:hAnsi="宋体" w:cs="宋体"/>
          <w:kern w:val="0"/>
          <w:sz w:val="24"/>
          <w:highlight w:val="none"/>
        </w:rPr>
        <w:t>13.5法定代表人身份证明</w:t>
      </w:r>
    </w:p>
    <w:p w14:paraId="5273D17D">
      <w:pPr>
        <w:snapToGrid w:val="0"/>
        <w:spacing w:line="360" w:lineRule="auto"/>
        <w:ind w:firstLine="480" w:firstLineChars="200"/>
        <w:jc w:val="left"/>
        <w:rPr>
          <w:rFonts w:ascii="宋体" w:hAnsi="宋体" w:cs="宋体"/>
          <w:kern w:val="0"/>
          <w:sz w:val="24"/>
          <w:highlight w:val="none"/>
        </w:rPr>
      </w:pPr>
      <w:r>
        <w:rPr>
          <w:rFonts w:hint="eastAsia" w:ascii="宋体" w:hAnsi="宋体" w:cs="宋体"/>
          <w:kern w:val="0"/>
          <w:sz w:val="24"/>
          <w:highlight w:val="none"/>
        </w:rPr>
        <w:t>13.7法定代表人授权书</w:t>
      </w:r>
    </w:p>
    <w:p w14:paraId="7F9CC186">
      <w:pPr>
        <w:snapToGrid w:val="0"/>
        <w:spacing w:line="360" w:lineRule="auto"/>
        <w:ind w:firstLine="480" w:firstLineChars="200"/>
        <w:jc w:val="left"/>
        <w:rPr>
          <w:rFonts w:ascii="宋体" w:hAnsi="宋体" w:cs="宋体"/>
          <w:kern w:val="0"/>
          <w:sz w:val="24"/>
          <w:highlight w:val="none"/>
        </w:rPr>
      </w:pPr>
      <w:r>
        <w:rPr>
          <w:rFonts w:hint="eastAsia" w:ascii="宋体" w:hAnsi="宋体" w:cs="宋体"/>
          <w:kern w:val="0"/>
          <w:sz w:val="24"/>
          <w:highlight w:val="none"/>
        </w:rPr>
        <w:t>13.8证明文件</w:t>
      </w:r>
    </w:p>
    <w:p w14:paraId="35BF4D2C">
      <w:pPr>
        <w:snapToGrid w:val="0"/>
        <w:spacing w:line="360" w:lineRule="auto"/>
        <w:ind w:firstLine="477" w:firstLineChars="198"/>
        <w:rPr>
          <w:rFonts w:ascii="宋体" w:hAnsi="宋体" w:cs="宋体"/>
          <w:b/>
          <w:kern w:val="0"/>
          <w:sz w:val="24"/>
          <w:highlight w:val="none"/>
        </w:rPr>
      </w:pPr>
      <w:r>
        <w:rPr>
          <w:rFonts w:hint="eastAsia" w:ascii="宋体" w:hAnsi="宋体" w:cs="宋体"/>
          <w:b/>
          <w:kern w:val="0"/>
          <w:sz w:val="24"/>
          <w:highlight w:val="none"/>
        </w:rPr>
        <w:t>14.响应文件有效期</w:t>
      </w:r>
    </w:p>
    <w:p w14:paraId="68B97534">
      <w:pPr>
        <w:snapToGrid w:val="0"/>
        <w:spacing w:line="360" w:lineRule="auto"/>
        <w:ind w:firstLine="480"/>
        <w:jc w:val="left"/>
        <w:rPr>
          <w:rFonts w:ascii="宋体" w:hAnsi="宋体" w:cs="宋体"/>
          <w:kern w:val="0"/>
          <w:sz w:val="24"/>
          <w:highlight w:val="none"/>
        </w:rPr>
      </w:pPr>
      <w:r>
        <w:rPr>
          <w:rFonts w:hint="eastAsia" w:ascii="宋体" w:hAnsi="宋体" w:cs="宋体"/>
          <w:kern w:val="0"/>
          <w:sz w:val="24"/>
          <w:highlight w:val="none"/>
        </w:rPr>
        <w:t>响应文件应自规定的磋商之日起，在“供应商须知”规定的时间内保持有效。磋商有效期不足的投标将被视为非实质性响应，并予以拒绝。</w:t>
      </w:r>
    </w:p>
    <w:p w14:paraId="7960B778">
      <w:pPr>
        <w:snapToGrid w:val="0"/>
        <w:spacing w:line="360" w:lineRule="auto"/>
        <w:ind w:firstLine="477" w:firstLineChars="198"/>
        <w:rPr>
          <w:rFonts w:ascii="宋体" w:hAnsi="宋体" w:cs="宋体"/>
          <w:kern w:val="0"/>
          <w:sz w:val="24"/>
          <w:highlight w:val="none"/>
        </w:rPr>
      </w:pPr>
      <w:r>
        <w:rPr>
          <w:rFonts w:hint="eastAsia" w:ascii="宋体" w:hAnsi="宋体" w:cs="宋体"/>
          <w:b/>
          <w:bCs/>
          <w:kern w:val="0"/>
          <w:sz w:val="24"/>
          <w:highlight w:val="none"/>
        </w:rPr>
        <w:t>15.投标报价</w:t>
      </w:r>
    </w:p>
    <w:p w14:paraId="306F2DB4">
      <w:pPr>
        <w:snapToGrid w:val="0"/>
        <w:spacing w:line="360" w:lineRule="auto"/>
        <w:ind w:firstLine="480" w:firstLineChars="200"/>
        <w:jc w:val="left"/>
        <w:rPr>
          <w:rFonts w:ascii="宋体" w:hAnsi="宋体" w:cs="宋体"/>
          <w:kern w:val="0"/>
          <w:sz w:val="24"/>
          <w:highlight w:val="none"/>
        </w:rPr>
      </w:pPr>
      <w:r>
        <w:rPr>
          <w:rFonts w:hint="eastAsia" w:ascii="宋体" w:hAnsi="宋体" w:cs="宋体"/>
          <w:kern w:val="0"/>
          <w:sz w:val="24"/>
          <w:highlight w:val="none"/>
        </w:rPr>
        <w:t>15.1 所有磋商报价均以人民币元为计算单位。</w:t>
      </w:r>
    </w:p>
    <w:p w14:paraId="6DDB84E9">
      <w:pPr>
        <w:snapToGrid w:val="0"/>
        <w:spacing w:line="360" w:lineRule="auto"/>
        <w:ind w:firstLine="480" w:firstLineChars="200"/>
        <w:jc w:val="left"/>
        <w:rPr>
          <w:rFonts w:ascii="宋体" w:hAnsi="宋体" w:cs="宋体"/>
          <w:kern w:val="0"/>
          <w:sz w:val="24"/>
          <w:highlight w:val="none"/>
        </w:rPr>
      </w:pPr>
      <w:r>
        <w:rPr>
          <w:rFonts w:hint="eastAsia" w:ascii="宋体" w:hAnsi="宋体" w:cs="宋体"/>
          <w:kern w:val="0"/>
          <w:sz w:val="24"/>
          <w:highlight w:val="none"/>
        </w:rPr>
        <w:t>15.2 供应商要按初次报价一览表的内容填写。</w:t>
      </w:r>
    </w:p>
    <w:p w14:paraId="7E9DE947">
      <w:pPr>
        <w:snapToGrid w:val="0"/>
        <w:spacing w:line="360" w:lineRule="auto"/>
        <w:ind w:firstLine="480" w:firstLineChars="200"/>
        <w:jc w:val="left"/>
        <w:rPr>
          <w:rFonts w:ascii="宋体" w:hAnsi="宋体" w:cs="宋体"/>
          <w:kern w:val="0"/>
          <w:sz w:val="24"/>
          <w:highlight w:val="none"/>
        </w:rPr>
      </w:pPr>
      <w:r>
        <w:rPr>
          <w:rFonts w:hint="eastAsia" w:ascii="宋体" w:hAnsi="宋体" w:cs="宋体"/>
          <w:kern w:val="0"/>
          <w:sz w:val="24"/>
          <w:highlight w:val="none"/>
        </w:rPr>
        <w:t xml:space="preserve">15.3 </w:t>
      </w:r>
      <w:r>
        <w:rPr>
          <w:rFonts w:hint="eastAsia" w:ascii="宋体" w:hAnsi="宋体" w:cs="宋体"/>
          <w:spacing w:val="10"/>
          <w:kern w:val="0"/>
          <w:sz w:val="24"/>
          <w:highlight w:val="none"/>
        </w:rPr>
        <w:t>供应商投报多标包的，应对每标包分别报价并分别填报</w:t>
      </w:r>
      <w:r>
        <w:rPr>
          <w:rFonts w:hint="eastAsia" w:ascii="宋体" w:hAnsi="宋体" w:cs="宋体"/>
          <w:kern w:val="0"/>
          <w:sz w:val="24"/>
          <w:highlight w:val="none"/>
        </w:rPr>
        <w:t>初次报价一览表</w:t>
      </w:r>
      <w:r>
        <w:rPr>
          <w:rFonts w:hint="eastAsia" w:ascii="宋体" w:hAnsi="宋体" w:cs="宋体"/>
          <w:spacing w:val="10"/>
          <w:kern w:val="0"/>
          <w:sz w:val="24"/>
          <w:highlight w:val="none"/>
        </w:rPr>
        <w:t>。</w:t>
      </w:r>
    </w:p>
    <w:p w14:paraId="6BAEAF70">
      <w:pPr>
        <w:snapToGrid w:val="0"/>
        <w:spacing w:line="360" w:lineRule="auto"/>
        <w:ind w:firstLine="480" w:firstLineChars="200"/>
        <w:jc w:val="left"/>
        <w:rPr>
          <w:rFonts w:ascii="宋体" w:hAnsi="宋体" w:cs="宋体"/>
          <w:kern w:val="0"/>
          <w:sz w:val="24"/>
          <w:highlight w:val="none"/>
        </w:rPr>
      </w:pPr>
      <w:r>
        <w:rPr>
          <w:rFonts w:hint="eastAsia" w:ascii="宋体" w:hAnsi="宋体" w:cs="宋体"/>
          <w:kern w:val="0"/>
          <w:sz w:val="24"/>
          <w:highlight w:val="none"/>
        </w:rPr>
        <w:t>15.4 初次报价一览表中标明的价格在政府采购合同执行过程中是固定不变的，供应商不得以任何理由予以变更。以可调整的价格提交的投标将被作为无效投标处理。</w:t>
      </w:r>
    </w:p>
    <w:p w14:paraId="318238C2">
      <w:pPr>
        <w:snapToGrid w:val="0"/>
        <w:spacing w:line="360" w:lineRule="auto"/>
        <w:ind w:firstLine="480" w:firstLineChars="200"/>
        <w:jc w:val="left"/>
        <w:rPr>
          <w:rFonts w:ascii="宋体" w:hAnsi="宋体" w:cs="宋体"/>
          <w:kern w:val="0"/>
          <w:sz w:val="24"/>
          <w:highlight w:val="none"/>
        </w:rPr>
      </w:pPr>
      <w:r>
        <w:rPr>
          <w:rFonts w:hint="eastAsia" w:ascii="宋体" w:hAnsi="宋体" w:cs="宋体"/>
          <w:kern w:val="0"/>
          <w:sz w:val="24"/>
          <w:highlight w:val="none"/>
        </w:rPr>
        <w:t>15.5 采购人不接受可选择的投标报价。</w:t>
      </w:r>
    </w:p>
    <w:p w14:paraId="4443D455">
      <w:pPr>
        <w:snapToGrid w:val="0"/>
        <w:spacing w:line="360" w:lineRule="auto"/>
        <w:ind w:firstLine="480" w:firstLineChars="200"/>
        <w:jc w:val="left"/>
        <w:rPr>
          <w:rFonts w:ascii="宋体" w:hAnsi="宋体" w:cs="宋体"/>
          <w:kern w:val="0"/>
          <w:sz w:val="24"/>
          <w:highlight w:val="none"/>
        </w:rPr>
      </w:pPr>
      <w:r>
        <w:rPr>
          <w:rFonts w:hint="eastAsia" w:ascii="宋体" w:hAnsi="宋体" w:cs="宋体"/>
          <w:kern w:val="0"/>
          <w:sz w:val="24"/>
          <w:highlight w:val="none"/>
        </w:rPr>
        <w:t>15.6 对于供应商在初次报价一览表和响应文件中列出的赠送条款，在评审时不得作为价格评分因素或者调整评标价格的依据。</w:t>
      </w:r>
    </w:p>
    <w:p w14:paraId="44B713B4">
      <w:pPr>
        <w:snapToGrid w:val="0"/>
        <w:spacing w:line="360" w:lineRule="auto"/>
        <w:ind w:firstLine="477" w:firstLineChars="198"/>
        <w:rPr>
          <w:rFonts w:ascii="宋体" w:hAnsi="宋体" w:cs="宋体"/>
          <w:b/>
          <w:kern w:val="0"/>
          <w:sz w:val="24"/>
          <w:highlight w:val="none"/>
        </w:rPr>
      </w:pPr>
      <w:r>
        <w:rPr>
          <w:rFonts w:hint="eastAsia" w:ascii="宋体" w:hAnsi="宋体" w:cs="宋体"/>
          <w:b/>
          <w:kern w:val="0"/>
          <w:sz w:val="24"/>
          <w:highlight w:val="none"/>
        </w:rPr>
        <w:t>16.</w:t>
      </w:r>
      <w:r>
        <w:rPr>
          <w:rFonts w:hint="eastAsia" w:ascii="宋体" w:hAnsi="宋体" w:cs="宋体"/>
          <w:b/>
          <w:bCs/>
          <w:kern w:val="0"/>
          <w:sz w:val="24"/>
          <w:highlight w:val="none"/>
        </w:rPr>
        <w:t>响应</w:t>
      </w:r>
      <w:r>
        <w:rPr>
          <w:rFonts w:hint="eastAsia" w:ascii="宋体" w:hAnsi="宋体" w:cs="宋体"/>
          <w:b/>
          <w:kern w:val="0"/>
          <w:sz w:val="24"/>
          <w:highlight w:val="none"/>
        </w:rPr>
        <w:t>文件的签署及其他规定</w:t>
      </w:r>
    </w:p>
    <w:p w14:paraId="7B33A183">
      <w:pPr>
        <w:snapToGrid w:val="0"/>
        <w:spacing w:line="360" w:lineRule="auto"/>
        <w:ind w:firstLine="475" w:firstLineChars="198"/>
        <w:rPr>
          <w:rFonts w:ascii="宋体" w:hAnsi="宋体" w:cs="宋体"/>
          <w:kern w:val="0"/>
          <w:sz w:val="24"/>
          <w:highlight w:val="none"/>
        </w:rPr>
      </w:pPr>
      <w:r>
        <w:rPr>
          <w:rFonts w:hint="eastAsia" w:ascii="宋体" w:hAnsi="宋体" w:cs="宋体"/>
          <w:kern w:val="0"/>
          <w:sz w:val="24"/>
          <w:highlight w:val="none"/>
        </w:rPr>
        <w:t>16.1响应文件应按第六章“响应文件格式”进行编写，如有必要，可以增加附页，作为响应文件的组成部分。其中，磋商报价一览表在满足采购文件实质性要求的基础上，可以提出比采购文件要求更有利于采购人的承诺。</w:t>
      </w:r>
    </w:p>
    <w:p w14:paraId="2CDC55ED">
      <w:pPr>
        <w:snapToGrid w:val="0"/>
        <w:spacing w:line="360" w:lineRule="auto"/>
        <w:ind w:firstLine="475" w:firstLineChars="198"/>
        <w:rPr>
          <w:rFonts w:ascii="宋体" w:hAnsi="宋体" w:cs="宋体"/>
          <w:kern w:val="0"/>
          <w:sz w:val="24"/>
          <w:highlight w:val="none"/>
        </w:rPr>
      </w:pPr>
      <w:r>
        <w:rPr>
          <w:rFonts w:hint="eastAsia" w:ascii="宋体" w:hAnsi="宋体" w:cs="宋体"/>
          <w:kern w:val="0"/>
          <w:sz w:val="24"/>
          <w:highlight w:val="none"/>
        </w:rPr>
        <w:t>16.2响应文件应用不褪色的材料书写或打印，并由供应商的法定代表人盖章或盖单位公章；响应文件应尽量避免涂改、行间插字或删除，如果出现上述情况，改动之处应加盖单位公章或由供应商的法定代表人盖章确认。</w:t>
      </w:r>
    </w:p>
    <w:p w14:paraId="56E189BA">
      <w:pPr>
        <w:snapToGrid w:val="0"/>
        <w:spacing w:line="360" w:lineRule="auto"/>
        <w:ind w:firstLine="475" w:firstLineChars="198"/>
        <w:rPr>
          <w:rFonts w:ascii="宋体" w:hAnsi="宋体" w:cs="宋体"/>
          <w:kern w:val="0"/>
          <w:sz w:val="24"/>
          <w:highlight w:val="none"/>
        </w:rPr>
      </w:pPr>
      <w:r>
        <w:rPr>
          <w:rFonts w:hint="eastAsia" w:ascii="宋体" w:hAnsi="宋体" w:cs="宋体"/>
          <w:kern w:val="0"/>
          <w:sz w:val="24"/>
          <w:highlight w:val="none"/>
        </w:rPr>
        <w:t>16.3响应文件份数见供应商须知前附表。响应文件正本和副本的封面上应清楚地标记“正本”或“副本”的字样。</w:t>
      </w:r>
    </w:p>
    <w:p w14:paraId="3360B581">
      <w:pPr>
        <w:snapToGrid w:val="0"/>
        <w:spacing w:line="360" w:lineRule="auto"/>
        <w:jc w:val="center"/>
        <w:outlineLvl w:val="1"/>
        <w:rPr>
          <w:rFonts w:ascii="宋体" w:hAnsi="宋体" w:cs="宋体"/>
          <w:b/>
          <w:bCs/>
          <w:kern w:val="0"/>
          <w:sz w:val="24"/>
          <w:highlight w:val="none"/>
        </w:rPr>
      </w:pPr>
      <w:r>
        <w:rPr>
          <w:rFonts w:hint="eastAsia" w:ascii="宋体" w:hAnsi="宋体" w:cs="宋体"/>
          <w:b/>
          <w:bCs/>
          <w:kern w:val="0"/>
          <w:sz w:val="24"/>
          <w:highlight w:val="none"/>
        </w:rPr>
        <w:t>四、响应文件的递交</w:t>
      </w:r>
    </w:p>
    <w:p w14:paraId="170013CC">
      <w:pPr>
        <w:snapToGrid w:val="0"/>
        <w:spacing w:line="360" w:lineRule="auto"/>
        <w:ind w:firstLine="477" w:firstLineChars="198"/>
        <w:rPr>
          <w:rFonts w:ascii="宋体" w:hAnsi="宋体" w:cs="宋体"/>
          <w:b/>
          <w:kern w:val="0"/>
          <w:sz w:val="24"/>
          <w:highlight w:val="none"/>
        </w:rPr>
      </w:pPr>
      <w:r>
        <w:rPr>
          <w:rFonts w:hint="eastAsia" w:ascii="宋体" w:hAnsi="宋体" w:cs="宋体"/>
          <w:b/>
          <w:kern w:val="0"/>
          <w:sz w:val="24"/>
          <w:highlight w:val="none"/>
        </w:rPr>
        <w:t>17.响应文件的密封、标记</w:t>
      </w:r>
    </w:p>
    <w:p w14:paraId="15C9A2FD">
      <w:pPr>
        <w:spacing w:line="360" w:lineRule="auto"/>
        <w:ind w:firstLine="484" w:firstLineChars="202"/>
        <w:rPr>
          <w:rFonts w:ascii="宋体" w:hAnsi="宋体" w:cs="宋体"/>
          <w:kern w:val="0"/>
          <w:sz w:val="24"/>
          <w:highlight w:val="none"/>
        </w:rPr>
      </w:pPr>
      <w:r>
        <w:rPr>
          <w:rFonts w:hint="eastAsia" w:ascii="宋体" w:hAnsi="宋体" w:cs="宋体"/>
          <w:kern w:val="0"/>
          <w:sz w:val="24"/>
          <w:highlight w:val="none"/>
        </w:rPr>
        <w:t>17.1</w:t>
      </w:r>
      <w:r>
        <w:rPr>
          <w:rFonts w:hint="eastAsia" w:ascii="宋体" w:hAnsi="宋体" w:cs="宋体"/>
          <w:sz w:val="24"/>
          <w:highlight w:val="none"/>
        </w:rPr>
        <w:t>响应文件应密封包装，并在封套的封口处加盖供应商单位章或由供应商的法定代表人（单位负责人）或其授权的代理人签字。</w:t>
      </w:r>
    </w:p>
    <w:p w14:paraId="4D13B7FA">
      <w:pPr>
        <w:snapToGrid w:val="0"/>
        <w:spacing w:line="360" w:lineRule="auto"/>
        <w:ind w:firstLine="480" w:firstLineChars="200"/>
        <w:jc w:val="left"/>
        <w:rPr>
          <w:rFonts w:ascii="宋体" w:hAnsi="宋体" w:cs="宋体"/>
          <w:sz w:val="24"/>
          <w:highlight w:val="none"/>
        </w:rPr>
      </w:pPr>
      <w:r>
        <w:rPr>
          <w:rFonts w:hint="eastAsia" w:ascii="宋体" w:hAnsi="宋体" w:cs="宋体"/>
          <w:sz w:val="24"/>
          <w:highlight w:val="none"/>
        </w:rPr>
        <w:t>17.2 未按本章第17.1项要求密封的</w:t>
      </w:r>
      <w:r>
        <w:rPr>
          <w:rFonts w:hint="eastAsia" w:ascii="宋体" w:hAnsi="宋体" w:cs="宋体"/>
          <w:kern w:val="0"/>
          <w:sz w:val="24"/>
          <w:highlight w:val="none"/>
        </w:rPr>
        <w:t>响应</w:t>
      </w:r>
      <w:r>
        <w:rPr>
          <w:rFonts w:hint="eastAsia" w:ascii="宋体" w:hAnsi="宋体" w:cs="宋体"/>
          <w:sz w:val="24"/>
          <w:highlight w:val="none"/>
        </w:rPr>
        <w:t>文件，采购人不予受理。</w:t>
      </w:r>
    </w:p>
    <w:p w14:paraId="6228D89D">
      <w:pPr>
        <w:snapToGrid w:val="0"/>
        <w:spacing w:line="360" w:lineRule="auto"/>
        <w:ind w:firstLine="477" w:firstLineChars="198"/>
        <w:rPr>
          <w:rFonts w:ascii="宋体" w:hAnsi="宋体" w:cs="宋体"/>
          <w:b/>
          <w:kern w:val="0"/>
          <w:sz w:val="24"/>
          <w:highlight w:val="none"/>
        </w:rPr>
      </w:pPr>
      <w:r>
        <w:rPr>
          <w:rFonts w:hint="eastAsia" w:ascii="宋体" w:hAnsi="宋体" w:cs="宋体"/>
          <w:b/>
          <w:kern w:val="0"/>
          <w:sz w:val="24"/>
          <w:highlight w:val="none"/>
        </w:rPr>
        <w:t>18. 响应文件的递交</w:t>
      </w:r>
    </w:p>
    <w:p w14:paraId="687D43C1">
      <w:pPr>
        <w:autoSpaceDE w:val="0"/>
        <w:autoSpaceDN w:val="0"/>
        <w:adjustRightInd w:val="0"/>
        <w:snapToGrid w:val="0"/>
        <w:spacing w:line="360" w:lineRule="auto"/>
        <w:ind w:right="-34" w:rightChars="-16" w:firstLine="480" w:firstLineChars="200"/>
        <w:jc w:val="left"/>
        <w:rPr>
          <w:rFonts w:ascii="宋体" w:hAnsi="宋体" w:cs="宋体"/>
          <w:kern w:val="0"/>
          <w:sz w:val="24"/>
          <w:highlight w:val="none"/>
        </w:rPr>
      </w:pPr>
      <w:r>
        <w:rPr>
          <w:rFonts w:hint="eastAsia" w:ascii="宋体" w:hAnsi="宋体" w:cs="宋体"/>
          <w:kern w:val="0"/>
          <w:sz w:val="24"/>
          <w:highlight w:val="none"/>
        </w:rPr>
        <w:t>18.1 供应商应在规定的磋商截止时间前递交响应文件。</w:t>
      </w:r>
    </w:p>
    <w:p w14:paraId="43B39E30">
      <w:pPr>
        <w:autoSpaceDE w:val="0"/>
        <w:autoSpaceDN w:val="0"/>
        <w:adjustRightInd w:val="0"/>
        <w:snapToGrid w:val="0"/>
        <w:spacing w:line="360" w:lineRule="auto"/>
        <w:ind w:right="-34" w:rightChars="-16" w:firstLine="480" w:firstLineChars="200"/>
        <w:jc w:val="left"/>
        <w:rPr>
          <w:rFonts w:ascii="宋体" w:hAnsi="宋体" w:cs="宋体"/>
          <w:kern w:val="0"/>
          <w:sz w:val="24"/>
          <w:highlight w:val="none"/>
        </w:rPr>
      </w:pPr>
      <w:r>
        <w:rPr>
          <w:rFonts w:hint="eastAsia" w:ascii="宋体" w:hAnsi="宋体" w:cs="宋体"/>
          <w:kern w:val="0"/>
          <w:sz w:val="24"/>
          <w:highlight w:val="none"/>
        </w:rPr>
        <w:t>18.2 逾期送达的或者未送达指定地点的响应文件，采购人不予受理。</w:t>
      </w:r>
    </w:p>
    <w:p w14:paraId="34A132F3">
      <w:pPr>
        <w:snapToGrid w:val="0"/>
        <w:spacing w:line="360" w:lineRule="auto"/>
        <w:ind w:firstLine="477" w:firstLineChars="198"/>
        <w:rPr>
          <w:rFonts w:ascii="宋体" w:hAnsi="宋体" w:cs="宋体"/>
          <w:b/>
          <w:kern w:val="0"/>
          <w:sz w:val="24"/>
          <w:highlight w:val="none"/>
        </w:rPr>
      </w:pPr>
      <w:r>
        <w:rPr>
          <w:rFonts w:hint="eastAsia" w:ascii="宋体" w:hAnsi="宋体" w:cs="宋体"/>
          <w:b/>
          <w:kern w:val="0"/>
          <w:sz w:val="24"/>
          <w:highlight w:val="none"/>
        </w:rPr>
        <w:t>19. 响应文件的修改和撤回</w:t>
      </w:r>
    </w:p>
    <w:p w14:paraId="2CD3E49A">
      <w:pPr>
        <w:snapToGrid w:val="0"/>
        <w:spacing w:line="360" w:lineRule="auto"/>
        <w:ind w:firstLine="480" w:firstLineChars="200"/>
        <w:jc w:val="left"/>
        <w:rPr>
          <w:rFonts w:ascii="宋体" w:hAnsi="宋体" w:cs="宋体"/>
          <w:kern w:val="0"/>
          <w:sz w:val="24"/>
          <w:highlight w:val="none"/>
        </w:rPr>
      </w:pPr>
      <w:r>
        <w:rPr>
          <w:rFonts w:hint="eastAsia" w:ascii="宋体" w:hAnsi="宋体" w:cs="宋体"/>
          <w:kern w:val="0"/>
          <w:sz w:val="24"/>
          <w:highlight w:val="none"/>
        </w:rPr>
        <w:t>19.1 供应商在投标截止时间前，可以对所提交的响应文件进行补充、修改或者撤回，并书面通知采购人。补充、修改的内容和撤回通知应当按本须知要求签署、盖章、密封，并作为响应文件的组成部分。</w:t>
      </w:r>
    </w:p>
    <w:p w14:paraId="60158CEC">
      <w:pPr>
        <w:snapToGrid w:val="0"/>
        <w:spacing w:line="360" w:lineRule="auto"/>
        <w:ind w:firstLine="480" w:firstLineChars="200"/>
        <w:jc w:val="left"/>
        <w:rPr>
          <w:rFonts w:ascii="宋体" w:hAnsi="宋体" w:cs="宋体"/>
          <w:kern w:val="0"/>
          <w:sz w:val="24"/>
          <w:highlight w:val="none"/>
        </w:rPr>
      </w:pPr>
      <w:r>
        <w:rPr>
          <w:rFonts w:hint="eastAsia" w:ascii="宋体" w:hAnsi="宋体" w:cs="宋体"/>
          <w:kern w:val="0"/>
          <w:sz w:val="24"/>
          <w:highlight w:val="none"/>
        </w:rPr>
        <w:t>19.2 供应商在磋商截止期后不得修改、撤回响应文件。供应商在投标截止期后修改响应文件的，其投标将被拒绝。</w:t>
      </w:r>
    </w:p>
    <w:p w14:paraId="1B72D656">
      <w:pPr>
        <w:snapToGrid w:val="0"/>
        <w:spacing w:line="360" w:lineRule="auto"/>
        <w:jc w:val="center"/>
        <w:outlineLvl w:val="1"/>
        <w:rPr>
          <w:rFonts w:ascii="宋体" w:hAnsi="宋体" w:cs="宋体"/>
          <w:b/>
          <w:bCs/>
          <w:kern w:val="0"/>
          <w:sz w:val="24"/>
          <w:highlight w:val="none"/>
        </w:rPr>
      </w:pPr>
      <w:r>
        <w:rPr>
          <w:rFonts w:hint="eastAsia" w:ascii="宋体" w:hAnsi="宋体" w:cs="宋体"/>
          <w:b/>
          <w:bCs/>
          <w:kern w:val="0"/>
          <w:sz w:val="24"/>
          <w:highlight w:val="none"/>
        </w:rPr>
        <w:t>五、评标</w:t>
      </w:r>
    </w:p>
    <w:p w14:paraId="5ECDF109">
      <w:pPr>
        <w:snapToGrid w:val="0"/>
        <w:spacing w:line="360" w:lineRule="auto"/>
        <w:ind w:firstLine="482" w:firstLineChars="200"/>
        <w:jc w:val="left"/>
        <w:rPr>
          <w:rFonts w:ascii="宋体" w:hAnsi="宋体" w:cs="宋体"/>
          <w:kern w:val="0"/>
          <w:sz w:val="24"/>
          <w:highlight w:val="none"/>
        </w:rPr>
      </w:pPr>
      <w:r>
        <w:rPr>
          <w:rFonts w:hint="eastAsia" w:ascii="宋体" w:hAnsi="宋体" w:cs="宋体"/>
          <w:b/>
          <w:bCs/>
          <w:kern w:val="0"/>
          <w:sz w:val="24"/>
          <w:highlight w:val="none"/>
        </w:rPr>
        <w:t>20. 组建磋商小组</w:t>
      </w:r>
    </w:p>
    <w:p w14:paraId="57EEDE01">
      <w:pPr>
        <w:snapToGrid w:val="0"/>
        <w:spacing w:line="360" w:lineRule="auto"/>
        <w:ind w:firstLine="480" w:firstLineChars="200"/>
        <w:jc w:val="left"/>
        <w:rPr>
          <w:rFonts w:ascii="宋体" w:hAnsi="宋体" w:cs="宋体"/>
          <w:kern w:val="0"/>
          <w:sz w:val="24"/>
          <w:highlight w:val="none"/>
        </w:rPr>
      </w:pPr>
      <w:r>
        <w:rPr>
          <w:rFonts w:hint="eastAsia" w:ascii="宋体" w:hAnsi="宋体" w:cs="宋体"/>
          <w:kern w:val="0"/>
          <w:sz w:val="24"/>
          <w:highlight w:val="none"/>
        </w:rPr>
        <w:t>20.1 磋商由评审小组负责。评审小组由采购人的代表和有关技术、经济等方面的专家组成，成员人数应当为3人及以上单数。其中，技术、经济等方面的专家不得少于成员总数的三分之二。评审小组应当推选组长，但采购人代表不得担任组长。</w:t>
      </w:r>
    </w:p>
    <w:p w14:paraId="6E6DE48A">
      <w:pPr>
        <w:snapToGrid w:val="0"/>
        <w:spacing w:line="360" w:lineRule="auto"/>
        <w:ind w:firstLine="480" w:firstLineChars="200"/>
        <w:jc w:val="left"/>
        <w:rPr>
          <w:rFonts w:ascii="宋体" w:hAnsi="宋体" w:cs="宋体"/>
          <w:sz w:val="24"/>
          <w:highlight w:val="none"/>
        </w:rPr>
      </w:pPr>
      <w:r>
        <w:rPr>
          <w:rFonts w:hint="eastAsia" w:ascii="宋体" w:hAnsi="宋体" w:cs="宋体"/>
          <w:kern w:val="0"/>
          <w:sz w:val="24"/>
          <w:highlight w:val="none"/>
        </w:rPr>
        <w:t>20.2磋商小组成员要依法独立评审，并对评审意见承担个人责任。</w:t>
      </w:r>
      <w:r>
        <w:rPr>
          <w:rFonts w:hint="eastAsia" w:ascii="宋体" w:hAnsi="宋体" w:cs="宋体"/>
          <w:sz w:val="24"/>
          <w:highlight w:val="none"/>
        </w:rPr>
        <w:t>磋商小组成员对需要共同认定的事项存在争议的，按照少数服从多数的原则</w:t>
      </w:r>
      <w:r>
        <w:rPr>
          <w:rFonts w:hint="eastAsia" w:ascii="宋体" w:hAnsi="宋体" w:cs="宋体"/>
          <w:kern w:val="0"/>
          <w:sz w:val="24"/>
          <w:highlight w:val="none"/>
        </w:rPr>
        <w:t>做</w:t>
      </w:r>
      <w:r>
        <w:rPr>
          <w:rFonts w:hint="eastAsia" w:ascii="宋体" w:hAnsi="宋体" w:cs="宋体"/>
          <w:sz w:val="24"/>
          <w:highlight w:val="none"/>
        </w:rPr>
        <w:t>出结论。持不同意见的磋商小组成员应当在评审报告上签署不同意见</w:t>
      </w:r>
      <w:r>
        <w:rPr>
          <w:rFonts w:hint="eastAsia" w:ascii="宋体" w:hAnsi="宋体" w:cs="宋体"/>
          <w:kern w:val="0"/>
          <w:sz w:val="24"/>
          <w:highlight w:val="none"/>
        </w:rPr>
        <w:t>并说明</w:t>
      </w:r>
      <w:r>
        <w:rPr>
          <w:rFonts w:hint="eastAsia" w:ascii="宋体" w:hAnsi="宋体" w:cs="宋体"/>
          <w:sz w:val="24"/>
          <w:highlight w:val="none"/>
        </w:rPr>
        <w:t>理由，否则视为同意。</w:t>
      </w:r>
    </w:p>
    <w:p w14:paraId="1956E17D">
      <w:pPr>
        <w:snapToGrid w:val="0"/>
        <w:spacing w:line="360" w:lineRule="auto"/>
        <w:ind w:firstLine="482" w:firstLineChars="200"/>
        <w:jc w:val="left"/>
        <w:rPr>
          <w:rFonts w:ascii="宋体" w:hAnsi="宋体" w:cs="宋体"/>
          <w:b/>
          <w:bCs/>
          <w:sz w:val="24"/>
          <w:highlight w:val="none"/>
        </w:rPr>
      </w:pPr>
      <w:r>
        <w:rPr>
          <w:rFonts w:hint="eastAsia" w:ascii="宋体" w:hAnsi="宋体" w:cs="宋体"/>
          <w:b/>
          <w:bCs/>
          <w:sz w:val="24"/>
          <w:highlight w:val="none"/>
        </w:rPr>
        <w:t xml:space="preserve">21. </w:t>
      </w:r>
      <w:r>
        <w:rPr>
          <w:rFonts w:hint="eastAsia" w:ascii="宋体" w:hAnsi="宋体" w:cs="宋体"/>
          <w:b/>
          <w:bCs/>
          <w:kern w:val="0"/>
          <w:sz w:val="24"/>
          <w:highlight w:val="none"/>
        </w:rPr>
        <w:t>响应</w:t>
      </w:r>
      <w:r>
        <w:rPr>
          <w:rFonts w:hint="eastAsia" w:ascii="宋体" w:hAnsi="宋体" w:cs="宋体"/>
          <w:b/>
          <w:bCs/>
          <w:sz w:val="24"/>
          <w:highlight w:val="none"/>
        </w:rPr>
        <w:t>文件的初审</w:t>
      </w:r>
    </w:p>
    <w:p w14:paraId="15DC0788">
      <w:pPr>
        <w:snapToGrid w:val="0"/>
        <w:spacing w:line="360" w:lineRule="auto"/>
        <w:ind w:firstLine="480" w:firstLineChars="200"/>
        <w:jc w:val="left"/>
        <w:rPr>
          <w:rFonts w:ascii="宋体" w:hAnsi="宋体" w:cs="宋体"/>
          <w:kern w:val="0"/>
          <w:sz w:val="24"/>
          <w:highlight w:val="none"/>
        </w:rPr>
      </w:pPr>
      <w:r>
        <w:rPr>
          <w:rFonts w:hint="eastAsia" w:ascii="宋体" w:hAnsi="宋体" w:cs="宋体"/>
          <w:kern w:val="0"/>
          <w:sz w:val="24"/>
          <w:highlight w:val="none"/>
        </w:rPr>
        <w:t>21.1 响应文件报价出现前后不一致的，除采购文件另有规定外，修正错误的原则如下：</w:t>
      </w:r>
    </w:p>
    <w:p w14:paraId="6120B3D8">
      <w:pPr>
        <w:pStyle w:val="31"/>
        <w:shd w:val="clear" w:color="auto" w:fill="FFFFFF"/>
        <w:snapToGrid w:val="0"/>
        <w:spacing w:before="0" w:beforeAutospacing="0" w:after="0" w:afterAutospacing="0" w:line="360" w:lineRule="auto"/>
        <w:ind w:firstLine="480" w:firstLineChars="200"/>
        <w:jc w:val="both"/>
        <w:rPr>
          <w:rFonts w:ascii="宋体" w:hAnsi="宋体" w:cs="宋体"/>
          <w:highlight w:val="none"/>
        </w:rPr>
      </w:pPr>
      <w:r>
        <w:rPr>
          <w:rFonts w:hint="eastAsia" w:ascii="宋体" w:hAnsi="宋体" w:cs="宋体"/>
          <w:highlight w:val="none"/>
        </w:rPr>
        <w:t>21.1.1响应文件</w:t>
      </w:r>
      <w:r>
        <w:rPr>
          <w:rFonts w:hint="eastAsia" w:ascii="宋体" w:hAnsi="宋体" w:cs="宋体"/>
          <w:highlight w:val="none"/>
          <w:shd w:val="clear" w:color="auto" w:fill="FFFFFF"/>
        </w:rPr>
        <w:t>初次报价一览表（报价表）内容与响应文件中相应内容不一致的，以初次报价一览表（报价表）为准；</w:t>
      </w:r>
    </w:p>
    <w:p w14:paraId="664B8019">
      <w:pPr>
        <w:pStyle w:val="31"/>
        <w:shd w:val="clear" w:color="auto" w:fill="FFFFFF"/>
        <w:snapToGrid w:val="0"/>
        <w:spacing w:before="0" w:beforeAutospacing="0" w:after="0" w:afterAutospacing="0" w:line="360" w:lineRule="auto"/>
        <w:ind w:firstLine="480" w:firstLineChars="200"/>
        <w:jc w:val="both"/>
        <w:rPr>
          <w:rFonts w:ascii="宋体" w:hAnsi="宋体" w:cs="宋体"/>
          <w:highlight w:val="none"/>
        </w:rPr>
      </w:pPr>
      <w:r>
        <w:rPr>
          <w:rFonts w:hint="eastAsia" w:ascii="宋体" w:hAnsi="宋体" w:cs="宋体"/>
          <w:highlight w:val="none"/>
        </w:rPr>
        <w:t>21.1.2</w:t>
      </w:r>
      <w:r>
        <w:rPr>
          <w:rFonts w:hint="eastAsia" w:ascii="宋体" w:hAnsi="宋体" w:cs="宋体"/>
          <w:highlight w:val="none"/>
          <w:shd w:val="clear" w:color="auto" w:fill="FFFFFF"/>
        </w:rPr>
        <w:t>大写金额</w:t>
      </w:r>
      <w:r>
        <w:rPr>
          <w:rFonts w:hint="eastAsia" w:ascii="宋体" w:hAnsi="宋体" w:cs="宋体"/>
          <w:highlight w:val="none"/>
        </w:rPr>
        <w:t>与</w:t>
      </w:r>
      <w:r>
        <w:rPr>
          <w:rFonts w:hint="eastAsia" w:ascii="宋体" w:hAnsi="宋体" w:cs="宋体"/>
          <w:highlight w:val="none"/>
          <w:shd w:val="clear" w:color="auto" w:fill="FFFFFF"/>
        </w:rPr>
        <w:t>小写金额不一致的，以大写金额为准；</w:t>
      </w:r>
    </w:p>
    <w:p w14:paraId="211DD8CA">
      <w:pPr>
        <w:pStyle w:val="31"/>
        <w:shd w:val="clear" w:color="auto" w:fill="FFFFFF"/>
        <w:snapToGrid w:val="0"/>
        <w:spacing w:before="0" w:beforeAutospacing="0" w:after="0" w:afterAutospacing="0" w:line="360" w:lineRule="auto"/>
        <w:ind w:firstLine="480" w:firstLineChars="200"/>
        <w:jc w:val="both"/>
        <w:rPr>
          <w:rFonts w:ascii="宋体" w:hAnsi="宋体" w:cs="宋体"/>
          <w:highlight w:val="none"/>
        </w:rPr>
      </w:pPr>
      <w:r>
        <w:rPr>
          <w:rFonts w:hint="eastAsia" w:ascii="宋体" w:hAnsi="宋体" w:cs="宋体"/>
          <w:highlight w:val="none"/>
        </w:rPr>
        <w:t>21.1.3</w:t>
      </w:r>
      <w:r>
        <w:rPr>
          <w:rFonts w:hint="eastAsia" w:ascii="宋体" w:hAnsi="宋体" w:cs="宋体"/>
          <w:highlight w:val="none"/>
          <w:shd w:val="clear" w:color="auto" w:fill="FFFFFF"/>
        </w:rPr>
        <w:t>单价金额小数点或者百分比有明显错位的，以初次报价一览表的总价为准，并修改单价；</w:t>
      </w:r>
    </w:p>
    <w:p w14:paraId="5DD316CA">
      <w:pPr>
        <w:pStyle w:val="31"/>
        <w:shd w:val="clear" w:color="auto" w:fill="FFFFFF"/>
        <w:snapToGrid w:val="0"/>
        <w:spacing w:before="0" w:beforeAutospacing="0" w:after="0" w:afterAutospacing="0" w:line="360" w:lineRule="auto"/>
        <w:ind w:firstLine="480" w:firstLineChars="200"/>
        <w:jc w:val="both"/>
        <w:rPr>
          <w:rFonts w:ascii="宋体" w:hAnsi="宋体" w:cs="宋体"/>
          <w:highlight w:val="none"/>
        </w:rPr>
      </w:pPr>
      <w:r>
        <w:rPr>
          <w:rFonts w:hint="eastAsia" w:ascii="宋体" w:hAnsi="宋体" w:cs="宋体"/>
          <w:highlight w:val="none"/>
        </w:rPr>
        <w:t>21.1.4</w:t>
      </w:r>
      <w:r>
        <w:rPr>
          <w:rFonts w:hint="eastAsia" w:ascii="宋体" w:hAnsi="宋体" w:cs="宋体"/>
          <w:highlight w:val="none"/>
          <w:shd w:val="clear" w:color="auto" w:fill="FFFFFF"/>
        </w:rPr>
        <w:t>总价金额与按单价汇总金额不一致的，以单价金额计算结果为准。</w:t>
      </w:r>
    </w:p>
    <w:p w14:paraId="77C92093">
      <w:pPr>
        <w:snapToGrid w:val="0"/>
        <w:spacing w:line="360" w:lineRule="auto"/>
        <w:ind w:firstLine="480" w:firstLineChars="200"/>
        <w:jc w:val="left"/>
        <w:rPr>
          <w:rFonts w:ascii="宋体" w:hAnsi="宋体" w:cs="宋体"/>
          <w:kern w:val="0"/>
          <w:sz w:val="24"/>
          <w:highlight w:val="none"/>
        </w:rPr>
      </w:pPr>
      <w:r>
        <w:rPr>
          <w:rFonts w:hint="eastAsia" w:ascii="宋体" w:hAnsi="宋体" w:cs="宋体"/>
          <w:kern w:val="0"/>
          <w:sz w:val="24"/>
          <w:highlight w:val="none"/>
        </w:rPr>
        <w:t>21.1.5对不同文字文本响应文件的解释发生异议的，以中文文本为准。</w:t>
      </w:r>
    </w:p>
    <w:p w14:paraId="7C7BD19F">
      <w:pPr>
        <w:snapToGrid w:val="0"/>
        <w:spacing w:line="360" w:lineRule="auto"/>
        <w:ind w:firstLine="480" w:firstLineChars="200"/>
        <w:jc w:val="left"/>
        <w:rPr>
          <w:rFonts w:ascii="宋体" w:hAnsi="宋体" w:cs="宋体"/>
          <w:kern w:val="0"/>
          <w:sz w:val="24"/>
          <w:highlight w:val="none"/>
        </w:rPr>
      </w:pPr>
      <w:r>
        <w:rPr>
          <w:rFonts w:hint="eastAsia" w:ascii="宋体" w:hAnsi="宋体" w:cs="宋体"/>
          <w:kern w:val="0"/>
          <w:sz w:val="24"/>
          <w:highlight w:val="none"/>
        </w:rPr>
        <w:t>21.1.6同时出现两种以上不一致的，按照前款规定的顺序修正。修正后的报价按照财政部87号令第五十一条第二款的规定经供应商确认后产生约束力，供应商不确认的，其投标无效。</w:t>
      </w:r>
    </w:p>
    <w:p w14:paraId="72F6A428">
      <w:pPr>
        <w:snapToGrid w:val="0"/>
        <w:spacing w:line="360" w:lineRule="auto"/>
        <w:ind w:firstLine="480" w:firstLineChars="200"/>
        <w:jc w:val="left"/>
        <w:rPr>
          <w:rFonts w:ascii="宋体" w:hAnsi="宋体" w:cs="宋体"/>
          <w:kern w:val="0"/>
          <w:sz w:val="24"/>
          <w:highlight w:val="none"/>
        </w:rPr>
      </w:pPr>
      <w:r>
        <w:rPr>
          <w:rFonts w:hint="eastAsia" w:ascii="宋体" w:hAnsi="宋体" w:cs="宋体"/>
          <w:kern w:val="0"/>
          <w:sz w:val="24"/>
          <w:highlight w:val="none"/>
        </w:rPr>
        <w:t>21.2 资格性检查和符合性检查。</w:t>
      </w:r>
    </w:p>
    <w:p w14:paraId="61F5A8D2">
      <w:pPr>
        <w:tabs>
          <w:tab w:val="left" w:pos="0"/>
        </w:tabs>
        <w:snapToGrid w:val="0"/>
        <w:spacing w:line="360" w:lineRule="auto"/>
        <w:ind w:firstLine="480" w:firstLineChars="200"/>
        <w:contextualSpacing/>
        <w:jc w:val="left"/>
        <w:rPr>
          <w:rFonts w:ascii="宋体" w:hAnsi="宋体" w:cs="宋体"/>
          <w:sz w:val="24"/>
          <w:highlight w:val="none"/>
        </w:rPr>
      </w:pPr>
      <w:r>
        <w:rPr>
          <w:rFonts w:hint="eastAsia" w:ascii="宋体" w:hAnsi="宋体" w:cs="宋体"/>
          <w:kern w:val="0"/>
          <w:sz w:val="24"/>
          <w:highlight w:val="none"/>
        </w:rPr>
        <w:t>21.2.1</w:t>
      </w:r>
      <w:r>
        <w:rPr>
          <w:rFonts w:hint="eastAsia" w:ascii="宋体" w:hAnsi="宋体" w:cs="宋体"/>
          <w:sz w:val="24"/>
          <w:highlight w:val="none"/>
        </w:rPr>
        <w:t>资格性检查</w:t>
      </w:r>
    </w:p>
    <w:p w14:paraId="6CE94A62">
      <w:pPr>
        <w:tabs>
          <w:tab w:val="left" w:pos="0"/>
        </w:tabs>
        <w:snapToGrid w:val="0"/>
        <w:spacing w:line="360" w:lineRule="auto"/>
        <w:ind w:firstLine="480" w:firstLineChars="200"/>
        <w:contextualSpacing/>
        <w:jc w:val="left"/>
        <w:rPr>
          <w:rFonts w:ascii="宋体" w:hAnsi="宋体" w:cs="宋体"/>
          <w:sz w:val="24"/>
          <w:highlight w:val="none"/>
        </w:rPr>
      </w:pPr>
      <w:r>
        <w:rPr>
          <w:rFonts w:hint="eastAsia" w:ascii="宋体" w:hAnsi="宋体" w:cs="宋体"/>
          <w:sz w:val="24"/>
          <w:highlight w:val="none"/>
        </w:rPr>
        <w:t>采购人委托代购代理机构按采购公告第二项和采购文件第三章3.供应商应提交的证明文件所述的资格标准对供应商进行资格审查,以确定其是否具备磋商资格。如果供应商不具备磋商资格、不满足采购文件所规定的资格标准或提供资格证明文件不全,其投标将被作为无效磋商。</w:t>
      </w:r>
    </w:p>
    <w:p w14:paraId="0EF8C0B4">
      <w:pPr>
        <w:snapToGrid w:val="0"/>
        <w:spacing w:line="360" w:lineRule="auto"/>
        <w:ind w:firstLine="480" w:firstLineChars="200"/>
        <w:jc w:val="left"/>
        <w:rPr>
          <w:rFonts w:ascii="宋体" w:hAnsi="宋体" w:cs="宋体"/>
          <w:sz w:val="24"/>
          <w:highlight w:val="none"/>
        </w:rPr>
      </w:pPr>
      <w:r>
        <w:rPr>
          <w:rFonts w:hint="eastAsia" w:ascii="宋体" w:hAnsi="宋体" w:cs="宋体"/>
          <w:sz w:val="24"/>
          <w:highlight w:val="none"/>
        </w:rPr>
        <w:t>21.2.2 资格审查后合格的供应商不足3家的，不得评标。</w:t>
      </w:r>
    </w:p>
    <w:p w14:paraId="04EBC26F">
      <w:pPr>
        <w:snapToGrid w:val="0"/>
        <w:spacing w:line="360" w:lineRule="auto"/>
        <w:ind w:firstLine="480" w:firstLineChars="200"/>
        <w:jc w:val="left"/>
        <w:rPr>
          <w:rFonts w:ascii="宋体" w:hAnsi="宋体" w:cs="宋体"/>
          <w:sz w:val="24"/>
          <w:highlight w:val="none"/>
        </w:rPr>
      </w:pPr>
      <w:r>
        <w:rPr>
          <w:rFonts w:hint="eastAsia" w:ascii="宋体" w:hAnsi="宋体" w:cs="宋体"/>
          <w:kern w:val="0"/>
          <w:sz w:val="24"/>
          <w:highlight w:val="none"/>
        </w:rPr>
        <w:t>21.2.3 符合性检查。依据采购文件的规定，磋商小组将从</w:t>
      </w:r>
      <w:r>
        <w:rPr>
          <w:rFonts w:hint="eastAsia" w:ascii="宋体" w:hAnsi="宋体" w:cs="宋体"/>
          <w:sz w:val="24"/>
          <w:highlight w:val="none"/>
          <w:shd w:val="clear" w:color="auto" w:fill="FFFFFF"/>
        </w:rPr>
        <w:t>响应文件</w:t>
      </w:r>
      <w:r>
        <w:rPr>
          <w:rFonts w:hint="eastAsia" w:ascii="宋体" w:hAnsi="宋体" w:cs="宋体"/>
          <w:kern w:val="0"/>
          <w:sz w:val="24"/>
          <w:highlight w:val="none"/>
        </w:rPr>
        <w:t>的有效性、完整性和对采购文件的响应程度进行审查，以确定是否符合对采购文件的实质性要求作出响应。对没有实质性响应的响应文件将不进行评估，其投标被作为无效磋商。凡有下列情况之一者，响应文件也将被视为未实质性响应采购文件要求：</w:t>
      </w:r>
    </w:p>
    <w:p w14:paraId="20B9E65E">
      <w:pPr>
        <w:snapToGrid w:val="0"/>
        <w:spacing w:line="360" w:lineRule="auto"/>
        <w:ind w:firstLine="482" w:firstLineChars="200"/>
        <w:jc w:val="left"/>
        <w:rPr>
          <w:rFonts w:ascii="宋体" w:hAnsi="宋体" w:cs="宋体"/>
          <w:b/>
          <w:bCs/>
          <w:kern w:val="0"/>
          <w:sz w:val="24"/>
          <w:highlight w:val="none"/>
        </w:rPr>
      </w:pPr>
      <w:r>
        <w:rPr>
          <w:rFonts w:hint="eastAsia" w:ascii="宋体" w:hAnsi="宋体" w:cs="宋体"/>
          <w:b/>
          <w:bCs/>
          <w:kern w:val="0"/>
          <w:sz w:val="24"/>
          <w:highlight w:val="none"/>
        </w:rPr>
        <w:t>（1）响应文件未按规定签字、盖章的。</w:t>
      </w:r>
    </w:p>
    <w:p w14:paraId="2B0DDFE5">
      <w:pPr>
        <w:snapToGrid w:val="0"/>
        <w:spacing w:line="360" w:lineRule="auto"/>
        <w:ind w:firstLine="482" w:firstLineChars="200"/>
        <w:jc w:val="left"/>
        <w:rPr>
          <w:rFonts w:ascii="宋体" w:hAnsi="宋体" w:cs="宋体"/>
          <w:b/>
          <w:bCs/>
          <w:kern w:val="0"/>
          <w:sz w:val="24"/>
          <w:highlight w:val="none"/>
        </w:rPr>
      </w:pPr>
      <w:r>
        <w:rPr>
          <w:rFonts w:hint="eastAsia" w:ascii="宋体" w:hAnsi="宋体" w:cs="宋体"/>
          <w:b/>
          <w:bCs/>
          <w:kern w:val="0"/>
          <w:sz w:val="24"/>
          <w:highlight w:val="none"/>
        </w:rPr>
        <w:t>（2）未按磋商文件规定报价，报价均超过采购预算或最高限价的。</w:t>
      </w:r>
    </w:p>
    <w:p w14:paraId="52302C27">
      <w:pPr>
        <w:snapToGrid w:val="0"/>
        <w:spacing w:line="360" w:lineRule="auto"/>
        <w:ind w:firstLine="482" w:firstLineChars="200"/>
        <w:jc w:val="left"/>
        <w:rPr>
          <w:rFonts w:ascii="宋体" w:hAnsi="宋体" w:cs="宋体"/>
          <w:b/>
          <w:bCs/>
          <w:kern w:val="0"/>
          <w:sz w:val="24"/>
          <w:highlight w:val="none"/>
        </w:rPr>
      </w:pPr>
      <w:r>
        <w:rPr>
          <w:rFonts w:hint="eastAsia" w:ascii="宋体" w:hAnsi="宋体" w:cs="宋体"/>
          <w:b/>
          <w:bCs/>
          <w:kern w:val="0"/>
          <w:sz w:val="24"/>
          <w:highlight w:val="none"/>
        </w:rPr>
        <w:t>（3）不符合采购文件中规定的其它实质性条款。</w:t>
      </w:r>
    </w:p>
    <w:p w14:paraId="1BB757C2">
      <w:pPr>
        <w:tabs>
          <w:tab w:val="left" w:pos="0"/>
        </w:tabs>
        <w:snapToGrid w:val="0"/>
        <w:spacing w:line="360" w:lineRule="auto"/>
        <w:ind w:firstLine="480" w:firstLineChars="200"/>
        <w:contextualSpacing/>
        <w:jc w:val="left"/>
        <w:rPr>
          <w:rFonts w:ascii="宋体" w:hAnsi="宋体" w:cs="宋体"/>
          <w:kern w:val="0"/>
          <w:sz w:val="24"/>
          <w:highlight w:val="none"/>
        </w:rPr>
      </w:pPr>
      <w:r>
        <w:rPr>
          <w:rFonts w:hint="eastAsia" w:ascii="宋体" w:hAnsi="宋体" w:cs="宋体"/>
          <w:kern w:val="0"/>
          <w:sz w:val="24"/>
          <w:highlight w:val="none"/>
        </w:rPr>
        <w:t>磋商小组决定投标的响应性只根据响应文件本身的内容，而不寻求其他的外部证据。</w:t>
      </w:r>
    </w:p>
    <w:p w14:paraId="139E28D0">
      <w:pPr>
        <w:snapToGrid w:val="0"/>
        <w:spacing w:line="360" w:lineRule="auto"/>
        <w:ind w:firstLine="480" w:firstLineChars="200"/>
        <w:jc w:val="left"/>
        <w:rPr>
          <w:rFonts w:ascii="宋体" w:hAnsi="宋体" w:cs="宋体"/>
          <w:kern w:val="0"/>
          <w:sz w:val="24"/>
          <w:highlight w:val="none"/>
        </w:rPr>
      </w:pPr>
      <w:r>
        <w:rPr>
          <w:rFonts w:hint="eastAsia" w:ascii="宋体" w:hAnsi="宋体" w:cs="宋体"/>
          <w:kern w:val="0"/>
          <w:sz w:val="24"/>
          <w:highlight w:val="none"/>
        </w:rPr>
        <w:t>21.2.4 对资格性检查和符合性检查不合格的供应商，应当面告知其理由。</w:t>
      </w:r>
    </w:p>
    <w:p w14:paraId="38952D33">
      <w:pPr>
        <w:pStyle w:val="31"/>
        <w:snapToGrid w:val="0"/>
        <w:spacing w:before="0" w:beforeAutospacing="0" w:after="0" w:afterAutospacing="0" w:line="360" w:lineRule="auto"/>
        <w:ind w:firstLine="480" w:firstLineChars="200"/>
        <w:jc w:val="both"/>
        <w:rPr>
          <w:rFonts w:ascii="宋体" w:hAnsi="宋体" w:cs="宋体"/>
          <w:highlight w:val="none"/>
        </w:rPr>
      </w:pPr>
      <w:r>
        <w:rPr>
          <w:rFonts w:hint="eastAsia" w:ascii="宋体" w:hAnsi="宋体" w:cs="宋体"/>
          <w:highlight w:val="none"/>
        </w:rPr>
        <w:t>21.3 在评审过程中，磋商小组发现供应商有下列情形之一的，视为供应商串通投标，其磋商无效：</w:t>
      </w:r>
    </w:p>
    <w:p w14:paraId="6630088B">
      <w:pPr>
        <w:tabs>
          <w:tab w:val="left" w:pos="0"/>
        </w:tabs>
        <w:snapToGrid w:val="0"/>
        <w:spacing w:line="360" w:lineRule="auto"/>
        <w:ind w:left="105" w:leftChars="50" w:firstLine="360" w:firstLineChars="150"/>
        <w:contextualSpacing/>
        <w:jc w:val="left"/>
        <w:rPr>
          <w:rFonts w:ascii="宋体" w:hAnsi="宋体" w:cs="宋体"/>
          <w:kern w:val="0"/>
          <w:sz w:val="24"/>
          <w:highlight w:val="none"/>
        </w:rPr>
      </w:pPr>
      <w:r>
        <w:rPr>
          <w:rFonts w:hint="eastAsia" w:ascii="宋体" w:hAnsi="宋体" w:cs="宋体"/>
          <w:kern w:val="0"/>
          <w:sz w:val="24"/>
          <w:highlight w:val="none"/>
        </w:rPr>
        <w:t>21.3.1不同供应商的</w:t>
      </w:r>
      <w:r>
        <w:rPr>
          <w:rFonts w:hint="eastAsia" w:ascii="宋体" w:hAnsi="宋体" w:cs="宋体"/>
          <w:sz w:val="24"/>
          <w:highlight w:val="none"/>
          <w:shd w:val="clear" w:color="auto" w:fill="FFFFFF"/>
        </w:rPr>
        <w:t>响应文件</w:t>
      </w:r>
      <w:r>
        <w:rPr>
          <w:rFonts w:hint="eastAsia" w:ascii="宋体" w:hAnsi="宋体" w:cs="宋体"/>
          <w:kern w:val="0"/>
          <w:sz w:val="24"/>
          <w:highlight w:val="none"/>
        </w:rPr>
        <w:t>异常一致。</w:t>
      </w:r>
    </w:p>
    <w:p w14:paraId="16EFFAB6">
      <w:pPr>
        <w:tabs>
          <w:tab w:val="left" w:pos="0"/>
        </w:tabs>
        <w:snapToGrid w:val="0"/>
        <w:spacing w:line="360" w:lineRule="auto"/>
        <w:ind w:left="105" w:leftChars="50" w:firstLine="360" w:firstLineChars="150"/>
        <w:contextualSpacing/>
        <w:jc w:val="left"/>
        <w:rPr>
          <w:rFonts w:ascii="宋体" w:hAnsi="宋体" w:cs="宋体"/>
          <w:sz w:val="24"/>
          <w:highlight w:val="none"/>
        </w:rPr>
      </w:pPr>
      <w:r>
        <w:rPr>
          <w:rFonts w:hint="eastAsia" w:ascii="宋体" w:hAnsi="宋体" w:cs="宋体"/>
          <w:sz w:val="24"/>
          <w:highlight w:val="none"/>
        </w:rPr>
        <w:t>21.3.2不同供应商的</w:t>
      </w:r>
      <w:r>
        <w:rPr>
          <w:rFonts w:hint="eastAsia" w:ascii="宋体" w:hAnsi="宋体" w:cs="宋体"/>
          <w:sz w:val="24"/>
          <w:highlight w:val="none"/>
          <w:shd w:val="clear" w:color="auto" w:fill="FFFFFF"/>
        </w:rPr>
        <w:t>响应文件</w:t>
      </w:r>
      <w:r>
        <w:rPr>
          <w:rFonts w:hint="eastAsia" w:ascii="宋体" w:hAnsi="宋体" w:cs="宋体"/>
          <w:sz w:val="24"/>
          <w:highlight w:val="none"/>
        </w:rPr>
        <w:t>由同一单位或者个人编制；</w:t>
      </w:r>
    </w:p>
    <w:p w14:paraId="135E967B">
      <w:pPr>
        <w:tabs>
          <w:tab w:val="left" w:pos="0"/>
        </w:tabs>
        <w:snapToGrid w:val="0"/>
        <w:spacing w:line="360" w:lineRule="auto"/>
        <w:ind w:left="105" w:leftChars="50" w:firstLine="360" w:firstLineChars="150"/>
        <w:contextualSpacing/>
        <w:jc w:val="left"/>
        <w:rPr>
          <w:rFonts w:ascii="宋体" w:hAnsi="宋体" w:cs="宋体"/>
          <w:sz w:val="24"/>
          <w:highlight w:val="none"/>
        </w:rPr>
      </w:pPr>
      <w:r>
        <w:rPr>
          <w:rFonts w:hint="eastAsia" w:ascii="宋体" w:hAnsi="宋体" w:cs="宋体"/>
          <w:sz w:val="24"/>
          <w:highlight w:val="none"/>
        </w:rPr>
        <w:t>21.3.3不同供应商委托同一单位或者个人办理投标事宜；</w:t>
      </w:r>
    </w:p>
    <w:p w14:paraId="75294C7B">
      <w:pPr>
        <w:tabs>
          <w:tab w:val="left" w:pos="0"/>
        </w:tabs>
        <w:snapToGrid w:val="0"/>
        <w:spacing w:line="360" w:lineRule="auto"/>
        <w:ind w:left="105" w:leftChars="50" w:firstLine="360" w:firstLineChars="150"/>
        <w:contextualSpacing/>
        <w:jc w:val="left"/>
        <w:rPr>
          <w:rFonts w:ascii="宋体" w:hAnsi="宋体" w:cs="宋体"/>
          <w:sz w:val="24"/>
          <w:highlight w:val="none"/>
        </w:rPr>
      </w:pPr>
      <w:r>
        <w:rPr>
          <w:rFonts w:hint="eastAsia" w:ascii="宋体" w:hAnsi="宋体" w:cs="宋体"/>
          <w:sz w:val="24"/>
          <w:highlight w:val="none"/>
        </w:rPr>
        <w:t>21.3.4不同供应商的</w:t>
      </w:r>
      <w:r>
        <w:rPr>
          <w:rFonts w:hint="eastAsia" w:ascii="宋体" w:hAnsi="宋体" w:cs="宋体"/>
          <w:sz w:val="24"/>
          <w:highlight w:val="none"/>
          <w:shd w:val="clear" w:color="auto" w:fill="FFFFFF"/>
        </w:rPr>
        <w:t>响应文件</w:t>
      </w:r>
      <w:r>
        <w:rPr>
          <w:rFonts w:hint="eastAsia" w:ascii="宋体" w:hAnsi="宋体" w:cs="宋体"/>
          <w:sz w:val="24"/>
          <w:highlight w:val="none"/>
        </w:rPr>
        <w:t>载明的项目管理成员或者联系人员为同一人；　　</w:t>
      </w:r>
    </w:p>
    <w:p w14:paraId="6F80BB48">
      <w:pPr>
        <w:tabs>
          <w:tab w:val="left" w:pos="0"/>
        </w:tabs>
        <w:snapToGrid w:val="0"/>
        <w:spacing w:line="360" w:lineRule="auto"/>
        <w:ind w:left="105" w:leftChars="50" w:firstLine="360" w:firstLineChars="150"/>
        <w:contextualSpacing/>
        <w:jc w:val="left"/>
        <w:rPr>
          <w:rFonts w:ascii="宋体" w:hAnsi="宋体" w:cs="宋体"/>
          <w:sz w:val="24"/>
          <w:highlight w:val="none"/>
        </w:rPr>
      </w:pPr>
      <w:r>
        <w:rPr>
          <w:rFonts w:hint="eastAsia" w:ascii="宋体" w:hAnsi="宋体" w:cs="宋体"/>
          <w:sz w:val="24"/>
          <w:highlight w:val="none"/>
        </w:rPr>
        <w:t>21.3.5不同供应商的</w:t>
      </w:r>
      <w:r>
        <w:rPr>
          <w:rFonts w:hint="eastAsia" w:ascii="宋体" w:hAnsi="宋体" w:cs="宋体"/>
          <w:sz w:val="24"/>
          <w:highlight w:val="none"/>
          <w:shd w:val="clear" w:color="auto" w:fill="FFFFFF"/>
        </w:rPr>
        <w:t>响应文件</w:t>
      </w:r>
      <w:r>
        <w:rPr>
          <w:rFonts w:hint="eastAsia" w:ascii="宋体" w:hAnsi="宋体" w:cs="宋体"/>
          <w:sz w:val="24"/>
          <w:highlight w:val="none"/>
        </w:rPr>
        <w:t>相互混装；</w:t>
      </w:r>
    </w:p>
    <w:p w14:paraId="2D7DE5E8">
      <w:pPr>
        <w:adjustRightInd w:val="0"/>
        <w:snapToGrid w:val="0"/>
        <w:spacing w:line="360" w:lineRule="auto"/>
        <w:ind w:left="19" w:leftChars="9" w:firstLine="456" w:firstLineChars="190"/>
        <w:jc w:val="left"/>
        <w:textAlignment w:val="baseline"/>
        <w:rPr>
          <w:rFonts w:ascii="宋体" w:hAnsi="宋体" w:cs="宋体"/>
          <w:sz w:val="24"/>
          <w:highlight w:val="none"/>
        </w:rPr>
      </w:pPr>
      <w:r>
        <w:rPr>
          <w:rFonts w:hint="eastAsia" w:ascii="宋体" w:hAnsi="宋体" w:cs="宋体"/>
          <w:kern w:val="0"/>
          <w:sz w:val="24"/>
          <w:highlight w:val="none"/>
        </w:rPr>
        <w:t>21.3.6 有证据证明供应商串通投标的其他情形的；</w:t>
      </w:r>
    </w:p>
    <w:p w14:paraId="6B46925F">
      <w:pPr>
        <w:snapToGrid w:val="0"/>
        <w:spacing w:line="360" w:lineRule="auto"/>
        <w:ind w:firstLine="480" w:firstLineChars="200"/>
        <w:jc w:val="left"/>
        <w:rPr>
          <w:rFonts w:ascii="宋体" w:hAnsi="宋体" w:cs="宋体"/>
          <w:kern w:val="0"/>
          <w:sz w:val="24"/>
          <w:highlight w:val="none"/>
        </w:rPr>
      </w:pPr>
      <w:r>
        <w:rPr>
          <w:rFonts w:hint="eastAsia" w:ascii="宋体" w:hAnsi="宋体" w:cs="宋体"/>
          <w:kern w:val="0"/>
          <w:sz w:val="24"/>
          <w:highlight w:val="none"/>
        </w:rPr>
        <w:t>21.3.7磋商小组认定的其他串通投标情形。</w:t>
      </w:r>
    </w:p>
    <w:p w14:paraId="278E1FE0">
      <w:pPr>
        <w:tabs>
          <w:tab w:val="left" w:pos="0"/>
        </w:tabs>
        <w:snapToGrid w:val="0"/>
        <w:spacing w:line="360" w:lineRule="auto"/>
        <w:ind w:left="105" w:leftChars="50" w:firstLine="361" w:firstLineChars="150"/>
        <w:contextualSpacing/>
        <w:jc w:val="left"/>
        <w:rPr>
          <w:rFonts w:ascii="宋体" w:hAnsi="宋体" w:cs="宋体"/>
          <w:b/>
          <w:bCs/>
          <w:sz w:val="24"/>
          <w:highlight w:val="none"/>
        </w:rPr>
      </w:pPr>
      <w:r>
        <w:rPr>
          <w:rFonts w:hint="eastAsia" w:ascii="宋体" w:hAnsi="宋体" w:cs="宋体"/>
          <w:b/>
          <w:bCs/>
          <w:sz w:val="24"/>
          <w:highlight w:val="none"/>
        </w:rPr>
        <w:t>21.4磋商</w:t>
      </w:r>
    </w:p>
    <w:p w14:paraId="7556A5B4">
      <w:pPr>
        <w:widowControl/>
        <w:kinsoku w:val="0"/>
        <w:autoSpaceDE w:val="0"/>
        <w:autoSpaceDN w:val="0"/>
        <w:adjustRightInd w:val="0"/>
        <w:snapToGrid w:val="0"/>
        <w:spacing w:line="360" w:lineRule="auto"/>
        <w:ind w:firstLine="482" w:firstLineChars="200"/>
        <w:textAlignment w:val="baseline"/>
        <w:rPr>
          <w:rFonts w:ascii="宋体" w:hAnsi="宋体" w:cs="宋体"/>
          <w:b/>
          <w:bCs/>
          <w:sz w:val="24"/>
          <w:highlight w:val="none"/>
        </w:rPr>
      </w:pPr>
      <w:r>
        <w:rPr>
          <w:rFonts w:hint="eastAsia" w:ascii="宋体" w:hAnsi="宋体" w:cs="宋体"/>
          <w:b/>
          <w:bCs/>
          <w:sz w:val="24"/>
          <w:highlight w:val="none"/>
        </w:rPr>
        <w:t>对资格性检查和符合性检查合格的供应商，进入本次磋商程序。</w:t>
      </w:r>
    </w:p>
    <w:p w14:paraId="4227059B">
      <w:pPr>
        <w:widowControl/>
        <w:kinsoku w:val="0"/>
        <w:autoSpaceDE w:val="0"/>
        <w:autoSpaceDN w:val="0"/>
        <w:adjustRightInd w:val="0"/>
        <w:snapToGrid w:val="0"/>
        <w:spacing w:line="360" w:lineRule="auto"/>
        <w:ind w:firstLine="482" w:firstLineChars="200"/>
        <w:textAlignment w:val="baseline"/>
        <w:rPr>
          <w:rFonts w:ascii="宋体" w:hAnsi="宋体" w:cs="宋体"/>
          <w:b/>
          <w:bCs/>
          <w:sz w:val="24"/>
          <w:highlight w:val="none"/>
        </w:rPr>
      </w:pPr>
      <w:r>
        <w:rPr>
          <w:rFonts w:hint="eastAsia" w:ascii="宋体" w:hAnsi="宋体" w:cs="宋体"/>
          <w:b/>
          <w:bCs/>
          <w:sz w:val="24"/>
          <w:highlight w:val="none"/>
        </w:rPr>
        <w:t>21.4.1 磋商小组通过随机方式确定参加磋商供应商的磋商顺序，所有成员集中与供应商按照顺序分别单独进行磋商。在磋商中，磋商的任何一方不得透露与磋商有关的其他供应商的技术资料、价格和其他信息。在磋商过程中，磋商小组可以根据磋商文件和磋商情况实质性变动采购需求中的技术、服务要求及合同条款，但不得变动磋商文件的其他内容。实质性变动的内容须经采购人代表确认。磋商文件有实质性变动的，磋商小组应当以书面形式通知所有参加磋商供应商。</w:t>
      </w:r>
    </w:p>
    <w:p w14:paraId="2FA6A23E">
      <w:pPr>
        <w:widowControl/>
        <w:kinsoku w:val="0"/>
        <w:autoSpaceDE w:val="0"/>
        <w:autoSpaceDN w:val="0"/>
        <w:adjustRightInd w:val="0"/>
        <w:snapToGrid w:val="0"/>
        <w:spacing w:line="360" w:lineRule="auto"/>
        <w:ind w:firstLine="482" w:firstLineChars="200"/>
        <w:textAlignment w:val="baseline"/>
        <w:rPr>
          <w:rFonts w:ascii="宋体" w:hAnsi="宋体" w:cs="宋体"/>
          <w:kern w:val="0"/>
          <w:sz w:val="24"/>
          <w:highlight w:val="none"/>
        </w:rPr>
      </w:pPr>
      <w:r>
        <w:rPr>
          <w:rFonts w:hint="eastAsia" w:ascii="宋体" w:hAnsi="宋体" w:cs="宋体"/>
          <w:b/>
          <w:bCs/>
          <w:sz w:val="24"/>
          <w:highlight w:val="none"/>
        </w:rPr>
        <w:t>21.4.2 本次竞争性磋商进行</w:t>
      </w:r>
      <w:r>
        <w:rPr>
          <w:rFonts w:hint="eastAsia" w:ascii="宋体" w:hAnsi="宋体" w:cs="宋体"/>
          <w:b/>
          <w:bCs/>
          <w:sz w:val="24"/>
          <w:highlight w:val="none"/>
          <w:u w:val="single"/>
        </w:rPr>
        <w:t xml:space="preserve"> 多 </w:t>
      </w:r>
      <w:r>
        <w:rPr>
          <w:rFonts w:hint="eastAsia" w:ascii="宋体" w:hAnsi="宋体" w:cs="宋体"/>
          <w:b/>
          <w:bCs/>
          <w:sz w:val="24"/>
          <w:highlight w:val="none"/>
        </w:rPr>
        <w:t>轮次报价（二次及以上），并给予每个供应商相同的机会。响应文件报价为第一轮报价，以后轮次报价不得高于上一轮次报价（除竞争性磋商文件有实质性变动外），否则将被视为未实质性响应竞争性磋商文件。磋商报价以供应商的最后一轮次报价为准。</w:t>
      </w:r>
    </w:p>
    <w:p w14:paraId="016BBFCC">
      <w:pPr>
        <w:snapToGrid w:val="0"/>
        <w:spacing w:line="360" w:lineRule="auto"/>
        <w:ind w:firstLine="482" w:firstLineChars="200"/>
        <w:jc w:val="left"/>
        <w:rPr>
          <w:rFonts w:ascii="宋体" w:hAnsi="宋体" w:cs="宋体"/>
          <w:kern w:val="0"/>
          <w:sz w:val="24"/>
          <w:highlight w:val="none"/>
        </w:rPr>
      </w:pPr>
      <w:r>
        <w:rPr>
          <w:rFonts w:hint="eastAsia" w:ascii="宋体" w:hAnsi="宋体" w:cs="宋体"/>
          <w:b/>
          <w:bCs/>
          <w:kern w:val="0"/>
          <w:sz w:val="24"/>
          <w:highlight w:val="none"/>
        </w:rPr>
        <w:t>22. 响应文件的澄清</w:t>
      </w:r>
    </w:p>
    <w:p w14:paraId="3F2D04C3">
      <w:pPr>
        <w:snapToGrid w:val="0"/>
        <w:spacing w:line="360" w:lineRule="auto"/>
        <w:ind w:firstLine="480" w:firstLineChars="200"/>
        <w:jc w:val="left"/>
        <w:rPr>
          <w:rFonts w:ascii="宋体" w:hAnsi="宋体" w:cs="宋体"/>
          <w:kern w:val="0"/>
          <w:sz w:val="24"/>
          <w:highlight w:val="none"/>
        </w:rPr>
      </w:pPr>
      <w:r>
        <w:rPr>
          <w:rFonts w:hint="eastAsia" w:ascii="宋体" w:hAnsi="宋体" w:cs="宋体"/>
          <w:kern w:val="0"/>
          <w:sz w:val="24"/>
          <w:highlight w:val="none"/>
        </w:rPr>
        <w:t>22.1评审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75A95508">
      <w:pPr>
        <w:snapToGrid w:val="0"/>
        <w:spacing w:line="360" w:lineRule="auto"/>
        <w:ind w:firstLine="480" w:firstLineChars="200"/>
        <w:jc w:val="left"/>
        <w:rPr>
          <w:rFonts w:ascii="宋体" w:hAnsi="宋体" w:cs="宋体"/>
          <w:kern w:val="0"/>
          <w:sz w:val="24"/>
          <w:highlight w:val="none"/>
        </w:rPr>
      </w:pPr>
      <w:r>
        <w:rPr>
          <w:rFonts w:hint="eastAsia" w:ascii="宋体" w:hAnsi="宋体" w:cs="宋体"/>
          <w:kern w:val="0"/>
          <w:sz w:val="24"/>
          <w:highlight w:val="none"/>
        </w:rPr>
        <w:t>22.2评审小组要求供应商澄清、说明或者更正响应文件应当以书面形式作出。供应商的澄清、说明或者更正应当由法定代表人或其授权代表签字或者加盖公章。</w:t>
      </w:r>
    </w:p>
    <w:p w14:paraId="1D636211">
      <w:pPr>
        <w:snapToGrid w:val="0"/>
        <w:spacing w:line="360" w:lineRule="auto"/>
        <w:ind w:firstLine="482" w:firstLineChars="200"/>
        <w:jc w:val="left"/>
        <w:rPr>
          <w:rFonts w:ascii="宋体" w:hAnsi="宋体" w:cs="宋体"/>
          <w:kern w:val="0"/>
          <w:sz w:val="24"/>
          <w:highlight w:val="none"/>
        </w:rPr>
      </w:pPr>
      <w:r>
        <w:rPr>
          <w:rFonts w:hint="eastAsia" w:ascii="宋体" w:hAnsi="宋体" w:cs="宋体"/>
          <w:b/>
          <w:bCs/>
          <w:kern w:val="0"/>
          <w:sz w:val="24"/>
          <w:highlight w:val="none"/>
        </w:rPr>
        <w:t>23. 评标过程及保密原则</w:t>
      </w:r>
    </w:p>
    <w:p w14:paraId="43133C21">
      <w:pPr>
        <w:snapToGrid w:val="0"/>
        <w:spacing w:line="360" w:lineRule="auto"/>
        <w:ind w:firstLine="480" w:firstLineChars="200"/>
        <w:jc w:val="left"/>
        <w:rPr>
          <w:rFonts w:ascii="宋体" w:hAnsi="宋体" w:cs="宋体"/>
          <w:kern w:val="0"/>
          <w:sz w:val="24"/>
          <w:highlight w:val="none"/>
        </w:rPr>
      </w:pPr>
      <w:r>
        <w:rPr>
          <w:rFonts w:hint="eastAsia" w:ascii="宋体" w:hAnsi="宋体" w:cs="宋体"/>
          <w:kern w:val="0"/>
          <w:sz w:val="24"/>
          <w:highlight w:val="none"/>
        </w:rPr>
        <w:t>23.1 凡与本次采购有关人员对属于审查、澄清、评价和比较磋商的有关资料以及定标意向等，均不得向供应商或其他人员透露。否则,将按有关规定追究相关人员的责任。</w:t>
      </w:r>
    </w:p>
    <w:p w14:paraId="68592AF4">
      <w:pPr>
        <w:snapToGrid w:val="0"/>
        <w:spacing w:line="360" w:lineRule="auto"/>
        <w:ind w:firstLine="480" w:firstLineChars="200"/>
        <w:jc w:val="left"/>
        <w:rPr>
          <w:rFonts w:ascii="宋体" w:hAnsi="宋体" w:cs="宋体"/>
          <w:sz w:val="24"/>
          <w:highlight w:val="none"/>
        </w:rPr>
      </w:pPr>
      <w:r>
        <w:rPr>
          <w:rFonts w:hint="eastAsia" w:ascii="宋体" w:hAnsi="宋体" w:cs="宋体"/>
          <w:kern w:val="0"/>
          <w:sz w:val="24"/>
          <w:highlight w:val="none"/>
        </w:rPr>
        <w:t>23.2 在评标期间，供应商试图影响或干预评审的任何行为，将导致其磋商被作为无效磋商，并承担相应的法律责任。</w:t>
      </w:r>
    </w:p>
    <w:p w14:paraId="57506A71">
      <w:pPr>
        <w:snapToGrid w:val="0"/>
        <w:spacing w:line="360" w:lineRule="auto"/>
        <w:jc w:val="center"/>
        <w:outlineLvl w:val="1"/>
        <w:rPr>
          <w:rFonts w:ascii="宋体" w:hAnsi="宋体" w:cs="宋体"/>
          <w:b/>
          <w:bCs/>
          <w:kern w:val="0"/>
          <w:sz w:val="24"/>
          <w:highlight w:val="none"/>
        </w:rPr>
      </w:pPr>
      <w:r>
        <w:rPr>
          <w:rFonts w:hint="eastAsia" w:ascii="宋体" w:hAnsi="宋体" w:cs="宋体"/>
          <w:b/>
          <w:bCs/>
          <w:kern w:val="0"/>
          <w:sz w:val="24"/>
          <w:highlight w:val="none"/>
        </w:rPr>
        <w:t>六、成交结果</w:t>
      </w:r>
    </w:p>
    <w:p w14:paraId="1B757BB4">
      <w:pPr>
        <w:snapToGrid w:val="0"/>
        <w:spacing w:line="360" w:lineRule="auto"/>
        <w:ind w:firstLine="482" w:firstLineChars="200"/>
        <w:rPr>
          <w:rFonts w:ascii="宋体" w:hAnsi="宋体" w:cs="宋体"/>
          <w:kern w:val="0"/>
          <w:sz w:val="24"/>
          <w:highlight w:val="none"/>
        </w:rPr>
      </w:pPr>
      <w:r>
        <w:rPr>
          <w:rFonts w:hint="eastAsia" w:ascii="宋体" w:hAnsi="宋体" w:cs="宋体"/>
          <w:b/>
          <w:bCs/>
          <w:kern w:val="0"/>
          <w:sz w:val="24"/>
          <w:highlight w:val="none"/>
        </w:rPr>
        <w:t>24. 成交原则</w:t>
      </w:r>
    </w:p>
    <w:p w14:paraId="32E18989">
      <w:pPr>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采用综合评分法的，评标结果按评审后得分由高到低顺序排列。</w:t>
      </w:r>
      <w:r>
        <w:rPr>
          <w:rFonts w:hint="eastAsia" w:ascii="宋体" w:hAnsi="宋体" w:cs="宋体"/>
          <w:sz w:val="24"/>
          <w:highlight w:val="none"/>
          <w:shd w:val="clear" w:color="auto" w:fill="FFFFFF"/>
        </w:rPr>
        <w:t>响应文件</w:t>
      </w:r>
      <w:r>
        <w:rPr>
          <w:rFonts w:hint="eastAsia" w:ascii="宋体" w:hAnsi="宋体" w:cs="宋体"/>
          <w:sz w:val="24"/>
          <w:highlight w:val="none"/>
        </w:rPr>
        <w:t>满足采购文件全部实质性要求，且按照评审因素的量化指标评审得分最高的供应商为排名第一的成交供应商，以此类推。得分相同的，按磋商报价由低到高顺序排列。得分且磋商报价相同的，按技术部分得分顺序排列。得分与技术指标优劣均相同的，通过随机抽取产生。</w:t>
      </w:r>
    </w:p>
    <w:p w14:paraId="4C721DFF">
      <w:pPr>
        <w:snapToGrid w:val="0"/>
        <w:spacing w:line="360" w:lineRule="auto"/>
        <w:ind w:firstLine="482" w:firstLineChars="200"/>
        <w:rPr>
          <w:rFonts w:ascii="宋体" w:hAnsi="宋体" w:cs="宋体"/>
          <w:kern w:val="0"/>
          <w:sz w:val="24"/>
          <w:highlight w:val="none"/>
        </w:rPr>
      </w:pPr>
      <w:r>
        <w:rPr>
          <w:rFonts w:hint="eastAsia" w:ascii="宋体" w:hAnsi="宋体" w:cs="宋体"/>
          <w:b/>
          <w:bCs/>
          <w:kern w:val="0"/>
          <w:sz w:val="24"/>
          <w:highlight w:val="none"/>
        </w:rPr>
        <w:t>25. 确定成交供应商和成交候选供应商</w:t>
      </w:r>
    </w:p>
    <w:p w14:paraId="6CDCA740">
      <w:pPr>
        <w:snapToGrid w:val="0"/>
        <w:spacing w:line="360" w:lineRule="auto"/>
        <w:ind w:firstLine="480" w:firstLineChars="200"/>
        <w:jc w:val="left"/>
        <w:rPr>
          <w:rFonts w:ascii="宋体" w:hAnsi="宋体" w:cs="宋体"/>
          <w:kern w:val="0"/>
          <w:sz w:val="24"/>
          <w:highlight w:val="none"/>
        </w:rPr>
      </w:pPr>
      <w:r>
        <w:rPr>
          <w:rFonts w:hint="eastAsia" w:ascii="宋体" w:hAnsi="宋体" w:cs="宋体"/>
          <w:bCs/>
          <w:kern w:val="0"/>
          <w:sz w:val="24"/>
          <w:highlight w:val="none"/>
        </w:rPr>
        <w:t>本项目由采购人授权磋商小组确定一名成交供应商并推荐一名成交候选供应商</w:t>
      </w:r>
      <w:r>
        <w:rPr>
          <w:rFonts w:hint="eastAsia" w:ascii="宋体" w:hAnsi="宋体" w:cs="宋体"/>
          <w:kern w:val="0"/>
          <w:sz w:val="24"/>
          <w:highlight w:val="none"/>
        </w:rPr>
        <w:t>。</w:t>
      </w:r>
    </w:p>
    <w:p w14:paraId="17D27455">
      <w:pPr>
        <w:snapToGrid w:val="0"/>
        <w:spacing w:line="360" w:lineRule="auto"/>
        <w:ind w:firstLine="482" w:firstLineChars="200"/>
        <w:rPr>
          <w:rFonts w:ascii="宋体" w:hAnsi="宋体" w:cs="宋体"/>
          <w:b/>
          <w:bCs/>
          <w:kern w:val="0"/>
          <w:sz w:val="24"/>
          <w:highlight w:val="none"/>
        </w:rPr>
      </w:pPr>
      <w:r>
        <w:rPr>
          <w:rFonts w:hint="eastAsia" w:ascii="宋体" w:hAnsi="宋体" w:cs="宋体"/>
          <w:b/>
          <w:bCs/>
          <w:kern w:val="0"/>
          <w:sz w:val="24"/>
          <w:highlight w:val="none"/>
        </w:rPr>
        <w:t>26. 成交通知书及成交结果公告</w:t>
      </w:r>
    </w:p>
    <w:p w14:paraId="3CBA5DF8">
      <w:pPr>
        <w:snapToGrid w:val="0"/>
        <w:spacing w:line="360" w:lineRule="auto"/>
        <w:ind w:firstLine="480" w:firstLineChars="200"/>
        <w:jc w:val="left"/>
        <w:rPr>
          <w:rFonts w:ascii="宋体" w:hAnsi="宋体" w:cs="宋体"/>
          <w:kern w:val="0"/>
          <w:sz w:val="24"/>
          <w:highlight w:val="none"/>
        </w:rPr>
      </w:pPr>
      <w:r>
        <w:rPr>
          <w:rFonts w:hint="eastAsia" w:ascii="宋体" w:hAnsi="宋体" w:cs="宋体"/>
          <w:kern w:val="0"/>
          <w:sz w:val="24"/>
          <w:highlight w:val="none"/>
        </w:rPr>
        <w:t>26.1评审结束后，采购人将成交供应商的情况在本采购项目采购公告发布的同一媒介予以公示，公示期限1个工作日，公示期结束后向成交供应商发出成交通知书。</w:t>
      </w:r>
    </w:p>
    <w:p w14:paraId="699FCD89">
      <w:pPr>
        <w:snapToGrid w:val="0"/>
        <w:spacing w:line="360" w:lineRule="auto"/>
        <w:ind w:firstLine="480" w:firstLineChars="200"/>
        <w:jc w:val="left"/>
        <w:rPr>
          <w:rFonts w:ascii="宋体" w:hAnsi="宋体" w:cs="宋体"/>
          <w:kern w:val="0"/>
          <w:sz w:val="24"/>
          <w:highlight w:val="none"/>
        </w:rPr>
      </w:pPr>
      <w:r>
        <w:rPr>
          <w:rFonts w:hint="eastAsia" w:ascii="宋体" w:hAnsi="宋体" w:cs="宋体"/>
          <w:kern w:val="0"/>
          <w:sz w:val="24"/>
          <w:highlight w:val="none"/>
        </w:rPr>
        <w:t>26.2采购人与成交供应商应当在成交通知书发出之日起 30 日内，按照磋商文件确定的合同文本以及磋商标的、规格型号、磋商金额、磋商数量、技术和服务要求等事项签订采购合同。</w:t>
      </w:r>
    </w:p>
    <w:p w14:paraId="07A6FD79">
      <w:pPr>
        <w:snapToGrid w:val="0"/>
        <w:spacing w:line="360" w:lineRule="auto"/>
        <w:ind w:firstLine="480" w:firstLineChars="200"/>
        <w:jc w:val="left"/>
        <w:rPr>
          <w:rFonts w:ascii="宋体" w:hAnsi="宋体" w:cs="宋体"/>
          <w:kern w:val="0"/>
          <w:sz w:val="24"/>
          <w:highlight w:val="none"/>
        </w:rPr>
      </w:pPr>
      <w:r>
        <w:rPr>
          <w:rFonts w:hint="eastAsia" w:ascii="宋体" w:hAnsi="宋体" w:cs="宋体"/>
          <w:kern w:val="0"/>
          <w:sz w:val="24"/>
          <w:highlight w:val="none"/>
        </w:rPr>
        <w:t>26.3成交通知书对采购人和成交供应商具有同等法律效力。成交通知书发出后，采购人改变成交结果，或者成交供应商放弃成交，应按相关法律、规章、规范性文件的要求承担相应的法律责任。</w:t>
      </w:r>
    </w:p>
    <w:p w14:paraId="6D8AF26B">
      <w:pPr>
        <w:snapToGrid w:val="0"/>
        <w:spacing w:line="360" w:lineRule="auto"/>
        <w:ind w:firstLine="480" w:firstLineChars="200"/>
        <w:jc w:val="left"/>
        <w:rPr>
          <w:rFonts w:ascii="宋体" w:hAnsi="宋体" w:cs="宋体"/>
          <w:bCs/>
          <w:kern w:val="0"/>
          <w:sz w:val="24"/>
          <w:highlight w:val="none"/>
        </w:rPr>
      </w:pPr>
      <w:r>
        <w:rPr>
          <w:rFonts w:hint="eastAsia" w:ascii="宋体" w:hAnsi="宋体" w:cs="宋体"/>
          <w:kern w:val="0"/>
          <w:sz w:val="24"/>
          <w:highlight w:val="none"/>
        </w:rPr>
        <w:t>26</w:t>
      </w:r>
      <w:r>
        <w:rPr>
          <w:rFonts w:hint="eastAsia" w:ascii="宋体" w:hAnsi="宋体" w:cs="宋体"/>
          <w:bCs/>
          <w:kern w:val="0"/>
          <w:sz w:val="24"/>
          <w:highlight w:val="none"/>
        </w:rPr>
        <w:t>.4成交通知书将作为签订合同的依据。合同签订后，成交通知书成为合同的一部分。</w:t>
      </w:r>
    </w:p>
    <w:p w14:paraId="6F242393">
      <w:pPr>
        <w:snapToGrid w:val="0"/>
        <w:spacing w:line="360" w:lineRule="auto"/>
        <w:ind w:firstLine="480" w:firstLineChars="200"/>
        <w:jc w:val="left"/>
        <w:rPr>
          <w:sz w:val="24"/>
          <w:highlight w:val="none"/>
        </w:rPr>
      </w:pPr>
      <w:r>
        <w:rPr>
          <w:rFonts w:hint="eastAsia" w:ascii="宋体" w:hAnsi="宋体" w:cs="宋体"/>
          <w:kern w:val="0"/>
          <w:sz w:val="24"/>
          <w:highlight w:val="none"/>
        </w:rPr>
        <w:t>26.5采购文件、采购文件的修改文件、成交供应商的</w:t>
      </w:r>
      <w:r>
        <w:rPr>
          <w:rFonts w:hint="eastAsia" w:ascii="宋体" w:hAnsi="宋体" w:cs="宋体"/>
          <w:sz w:val="24"/>
          <w:highlight w:val="none"/>
          <w:shd w:val="clear" w:color="auto" w:fill="FFFFFF"/>
        </w:rPr>
        <w:t>响应文件</w:t>
      </w:r>
      <w:r>
        <w:rPr>
          <w:rFonts w:hint="eastAsia" w:ascii="宋体" w:hAnsi="宋体" w:cs="宋体"/>
          <w:kern w:val="0"/>
          <w:sz w:val="24"/>
          <w:highlight w:val="none"/>
        </w:rPr>
        <w:t>、补充或修改的文件及澄清或承诺文件等，均为双方签订合同的组成部分，并与合同一并作为本采购文件所列采购项目的互补性法律文件，与合同具有同等法律效力。</w:t>
      </w:r>
    </w:p>
    <w:p w14:paraId="17D431FA">
      <w:pPr>
        <w:snapToGrid w:val="0"/>
        <w:spacing w:line="360" w:lineRule="auto"/>
        <w:ind w:firstLine="482" w:firstLineChars="200"/>
        <w:rPr>
          <w:rFonts w:ascii="宋体" w:hAnsi="宋体" w:cs="宋体"/>
          <w:b/>
          <w:bCs/>
          <w:kern w:val="0"/>
          <w:sz w:val="24"/>
          <w:highlight w:val="none"/>
        </w:rPr>
      </w:pPr>
      <w:r>
        <w:rPr>
          <w:rFonts w:hint="eastAsia" w:ascii="宋体" w:hAnsi="宋体" w:cs="宋体"/>
          <w:b/>
          <w:bCs/>
          <w:kern w:val="0"/>
          <w:sz w:val="24"/>
          <w:highlight w:val="none"/>
        </w:rPr>
        <w:t>27. 采购人宣布废标的权利</w:t>
      </w:r>
    </w:p>
    <w:p w14:paraId="4C8076BB">
      <w:pPr>
        <w:snapToGrid w:val="0"/>
        <w:spacing w:line="360" w:lineRule="auto"/>
        <w:ind w:firstLine="480" w:firstLineChars="200"/>
        <w:jc w:val="left"/>
        <w:rPr>
          <w:rFonts w:ascii="宋体" w:hAnsi="宋体" w:cs="宋体"/>
          <w:bCs/>
          <w:kern w:val="0"/>
          <w:sz w:val="24"/>
          <w:highlight w:val="none"/>
        </w:rPr>
      </w:pPr>
      <w:r>
        <w:rPr>
          <w:rFonts w:hint="eastAsia" w:ascii="宋体" w:hAnsi="宋体" w:cs="宋体"/>
          <w:bCs/>
          <w:kern w:val="0"/>
          <w:sz w:val="24"/>
          <w:highlight w:val="none"/>
        </w:rPr>
        <w:t>出现下列情况之一时，采购人有权宣布废标，并将理由通知所有供应商：</w:t>
      </w:r>
    </w:p>
    <w:p w14:paraId="716A1A9D">
      <w:pPr>
        <w:snapToGrid w:val="0"/>
        <w:spacing w:line="360" w:lineRule="auto"/>
        <w:ind w:firstLine="480" w:firstLineChars="200"/>
        <w:jc w:val="left"/>
        <w:rPr>
          <w:rFonts w:ascii="宋体" w:hAnsi="宋体" w:cs="宋体"/>
          <w:bCs/>
          <w:kern w:val="0"/>
          <w:sz w:val="24"/>
          <w:highlight w:val="none"/>
        </w:rPr>
      </w:pPr>
      <w:r>
        <w:rPr>
          <w:rFonts w:hint="eastAsia" w:ascii="宋体" w:hAnsi="宋体" w:cs="宋体"/>
          <w:bCs/>
          <w:kern w:val="0"/>
          <w:sz w:val="24"/>
          <w:highlight w:val="none"/>
        </w:rPr>
        <w:t>（1）出现影响采购公正的违法、违规行为的。</w:t>
      </w:r>
    </w:p>
    <w:p w14:paraId="3F5C5931">
      <w:pPr>
        <w:snapToGrid w:val="0"/>
        <w:spacing w:line="360" w:lineRule="auto"/>
        <w:ind w:firstLine="480" w:firstLineChars="200"/>
        <w:jc w:val="left"/>
        <w:rPr>
          <w:rFonts w:ascii="宋体" w:hAnsi="宋体" w:cs="宋体"/>
          <w:bCs/>
          <w:kern w:val="0"/>
          <w:sz w:val="24"/>
          <w:highlight w:val="none"/>
        </w:rPr>
      </w:pPr>
      <w:r>
        <w:rPr>
          <w:rFonts w:hint="eastAsia" w:ascii="宋体" w:hAnsi="宋体" w:cs="宋体"/>
          <w:bCs/>
          <w:kern w:val="0"/>
          <w:sz w:val="24"/>
          <w:highlight w:val="none"/>
        </w:rPr>
        <w:t>（2）供应商的报价均超过了采购预算金额，采购人不能支付的。</w:t>
      </w:r>
    </w:p>
    <w:p w14:paraId="5132371D">
      <w:pPr>
        <w:snapToGrid w:val="0"/>
        <w:spacing w:line="360" w:lineRule="auto"/>
        <w:ind w:firstLine="480" w:firstLineChars="200"/>
        <w:jc w:val="left"/>
        <w:rPr>
          <w:rFonts w:ascii="宋体" w:hAnsi="宋体" w:cs="宋体"/>
          <w:bCs/>
          <w:kern w:val="0"/>
          <w:sz w:val="24"/>
          <w:highlight w:val="none"/>
        </w:rPr>
      </w:pPr>
      <w:r>
        <w:rPr>
          <w:rFonts w:hint="eastAsia" w:ascii="宋体" w:hAnsi="宋体" w:cs="宋体"/>
          <w:bCs/>
          <w:kern w:val="0"/>
          <w:sz w:val="24"/>
          <w:highlight w:val="none"/>
        </w:rPr>
        <w:t>（3）因重大变故，采购任务取消的。</w:t>
      </w:r>
    </w:p>
    <w:p w14:paraId="2240208C">
      <w:pPr>
        <w:snapToGrid w:val="0"/>
        <w:spacing w:line="360" w:lineRule="auto"/>
        <w:ind w:firstLine="480" w:firstLineChars="200"/>
        <w:rPr>
          <w:rFonts w:ascii="宋体" w:hAnsi="宋体" w:cs="宋体"/>
          <w:b/>
          <w:kern w:val="0"/>
          <w:sz w:val="24"/>
          <w:highlight w:val="none"/>
        </w:rPr>
      </w:pPr>
      <w:r>
        <w:rPr>
          <w:rFonts w:hint="eastAsia" w:ascii="宋体" w:hAnsi="宋体" w:cs="宋体"/>
          <w:bCs/>
          <w:kern w:val="0"/>
          <w:sz w:val="24"/>
          <w:highlight w:val="none"/>
        </w:rPr>
        <w:t>（4）</w:t>
      </w:r>
      <w:r>
        <w:rPr>
          <w:rFonts w:hint="eastAsia" w:ascii="宋体" w:hAnsi="宋体" w:cs="宋体"/>
          <w:sz w:val="24"/>
          <w:highlight w:val="none"/>
        </w:rPr>
        <w:t>投标截止后供应商不足3家或通过资格性检查或符合性检查的供应商不足3家的</w:t>
      </w:r>
    </w:p>
    <w:p w14:paraId="5985A1B1">
      <w:pPr>
        <w:rPr>
          <w:rFonts w:ascii="宋体" w:hAnsi="宋体" w:cs="宋体"/>
          <w:sz w:val="24"/>
          <w:highlight w:val="none"/>
        </w:rPr>
      </w:pPr>
      <w:r>
        <w:rPr>
          <w:rFonts w:hint="eastAsia" w:ascii="宋体" w:hAnsi="宋体" w:cs="宋体"/>
          <w:sz w:val="24"/>
          <w:highlight w:val="none"/>
        </w:rPr>
        <w:br w:type="page"/>
      </w:r>
    </w:p>
    <w:p w14:paraId="7BCE4D39">
      <w:pPr>
        <w:widowControl/>
        <w:snapToGrid w:val="0"/>
        <w:jc w:val="center"/>
        <w:outlineLvl w:val="0"/>
        <w:rPr>
          <w:rFonts w:ascii="宋体" w:hAnsi="宋体" w:cs="宋体"/>
          <w:kern w:val="0"/>
          <w:sz w:val="24"/>
          <w:highlight w:val="none"/>
        </w:rPr>
      </w:pPr>
      <w:bookmarkStart w:id="38" w:name="_Toc31399"/>
      <w:r>
        <w:rPr>
          <w:rFonts w:hint="eastAsia" w:ascii="宋体" w:hAnsi="宋体" w:cs="宋体"/>
          <w:b/>
          <w:bCs/>
          <w:kern w:val="0"/>
          <w:sz w:val="32"/>
          <w:szCs w:val="32"/>
          <w:highlight w:val="none"/>
        </w:rPr>
        <w:t>第四章  评标办法及评分标准</w:t>
      </w:r>
      <w:bookmarkEnd w:id="36"/>
      <w:bookmarkEnd w:id="38"/>
    </w:p>
    <w:p w14:paraId="5F94E9B5">
      <w:pPr>
        <w:tabs>
          <w:tab w:val="left" w:pos="1620"/>
        </w:tabs>
        <w:snapToGrid w:val="0"/>
        <w:spacing w:line="400" w:lineRule="exact"/>
        <w:rPr>
          <w:rFonts w:ascii="宋体" w:hAnsi="宋体" w:cs="宋体"/>
          <w:b/>
          <w:bCs/>
          <w:sz w:val="24"/>
          <w:highlight w:val="none"/>
        </w:rPr>
      </w:pPr>
      <w:r>
        <w:rPr>
          <w:rFonts w:hint="eastAsia" w:ascii="宋体" w:hAnsi="宋体" w:cs="宋体"/>
          <w:b/>
          <w:bCs/>
          <w:sz w:val="24"/>
          <w:highlight w:val="none"/>
        </w:rPr>
        <w:t>（一）评标原则</w:t>
      </w:r>
    </w:p>
    <w:p w14:paraId="37C07B1E">
      <w:pPr>
        <w:tabs>
          <w:tab w:val="left" w:pos="1620"/>
        </w:tabs>
        <w:snapToGrid w:val="0"/>
        <w:spacing w:line="400" w:lineRule="exact"/>
        <w:ind w:firstLine="528" w:firstLineChars="220"/>
        <w:rPr>
          <w:rFonts w:ascii="宋体" w:hAnsi="宋体" w:cs="宋体"/>
          <w:sz w:val="24"/>
          <w:highlight w:val="none"/>
        </w:rPr>
      </w:pPr>
      <w:r>
        <w:rPr>
          <w:rFonts w:hint="eastAsia" w:ascii="宋体" w:hAnsi="宋体" w:cs="宋体"/>
          <w:sz w:val="24"/>
          <w:highlight w:val="none"/>
        </w:rPr>
        <w:t>按照“公平、公正”的原则对待所有供应商，按照采购文件的相关规定进行评标、定标。</w:t>
      </w:r>
    </w:p>
    <w:p w14:paraId="3C07CB14">
      <w:pPr>
        <w:tabs>
          <w:tab w:val="left" w:pos="1620"/>
        </w:tabs>
        <w:snapToGrid w:val="0"/>
        <w:spacing w:line="400" w:lineRule="exact"/>
        <w:rPr>
          <w:rFonts w:ascii="宋体" w:hAnsi="宋体" w:cs="宋体"/>
          <w:b/>
          <w:bCs/>
          <w:sz w:val="24"/>
          <w:highlight w:val="none"/>
        </w:rPr>
      </w:pPr>
      <w:r>
        <w:rPr>
          <w:rFonts w:hint="eastAsia" w:ascii="宋体" w:hAnsi="宋体" w:cs="宋体"/>
          <w:b/>
          <w:bCs/>
          <w:sz w:val="24"/>
          <w:highlight w:val="none"/>
        </w:rPr>
        <w:t>（二）评标办法</w:t>
      </w:r>
    </w:p>
    <w:p w14:paraId="3AD23393">
      <w:pPr>
        <w:tabs>
          <w:tab w:val="left" w:pos="1620"/>
        </w:tabs>
        <w:snapToGrid w:val="0"/>
        <w:spacing w:line="400" w:lineRule="exact"/>
        <w:ind w:firstLine="528" w:firstLineChars="220"/>
        <w:rPr>
          <w:rFonts w:ascii="宋体" w:hAnsi="宋体" w:cs="宋体"/>
          <w:sz w:val="24"/>
          <w:highlight w:val="none"/>
        </w:rPr>
      </w:pPr>
      <w:r>
        <w:rPr>
          <w:rFonts w:hint="eastAsia" w:ascii="宋体" w:hAnsi="宋体" w:cs="宋体"/>
          <w:sz w:val="24"/>
          <w:highlight w:val="none"/>
        </w:rPr>
        <w:t>1．本项目采用综合评分法，总分为100分。</w:t>
      </w:r>
    </w:p>
    <w:p w14:paraId="5A0F69C2">
      <w:pPr>
        <w:tabs>
          <w:tab w:val="left" w:pos="1620"/>
        </w:tabs>
        <w:snapToGrid w:val="0"/>
        <w:spacing w:line="400" w:lineRule="exact"/>
        <w:ind w:firstLine="528" w:firstLineChars="220"/>
        <w:rPr>
          <w:rFonts w:ascii="宋体" w:hAnsi="宋体" w:cs="宋体"/>
          <w:sz w:val="24"/>
          <w:highlight w:val="none"/>
        </w:rPr>
      </w:pPr>
      <w:r>
        <w:rPr>
          <w:rFonts w:hint="eastAsia" w:ascii="宋体" w:hAnsi="宋体" w:cs="宋体"/>
          <w:sz w:val="24"/>
          <w:highlight w:val="none"/>
        </w:rPr>
        <w:t>2．磋商小组按照采购文件中规定的评标方法和标准，对</w:t>
      </w:r>
      <w:r>
        <w:rPr>
          <w:rFonts w:hint="eastAsia" w:ascii="宋体" w:hAnsi="宋体" w:cs="宋体"/>
          <w:kern w:val="0"/>
          <w:sz w:val="24"/>
          <w:highlight w:val="none"/>
        </w:rPr>
        <w:t>响应</w:t>
      </w:r>
      <w:r>
        <w:rPr>
          <w:rFonts w:hint="eastAsia" w:ascii="宋体" w:hAnsi="宋体" w:cs="宋体"/>
          <w:sz w:val="24"/>
          <w:highlight w:val="none"/>
        </w:rPr>
        <w:t>文件进行综合比较与评价。</w:t>
      </w:r>
    </w:p>
    <w:p w14:paraId="0082EBB6">
      <w:pPr>
        <w:tabs>
          <w:tab w:val="left" w:pos="1620"/>
        </w:tabs>
        <w:snapToGrid w:val="0"/>
        <w:spacing w:line="400" w:lineRule="exact"/>
        <w:ind w:firstLine="528" w:firstLineChars="220"/>
        <w:rPr>
          <w:rFonts w:ascii="宋体" w:hAnsi="宋体" w:cs="宋体"/>
          <w:sz w:val="24"/>
          <w:highlight w:val="none"/>
        </w:rPr>
      </w:pPr>
      <w:r>
        <w:rPr>
          <w:rFonts w:hint="eastAsia" w:ascii="宋体" w:hAnsi="宋体" w:cs="宋体"/>
          <w:sz w:val="24"/>
          <w:highlight w:val="none"/>
        </w:rPr>
        <w:t>3.评标结果按评审后得分由高到低顺序排列，得分相同的，按投标报价由低到高顺序排列。得分且投标报价相同的，按技术部分得分顺序排列。</w:t>
      </w:r>
    </w:p>
    <w:p w14:paraId="352D4579">
      <w:pPr>
        <w:tabs>
          <w:tab w:val="left" w:pos="1620"/>
        </w:tabs>
        <w:snapToGrid w:val="0"/>
        <w:spacing w:line="400" w:lineRule="exact"/>
        <w:ind w:firstLine="528" w:firstLineChars="220"/>
        <w:rPr>
          <w:rFonts w:ascii="宋体" w:hAnsi="宋体" w:cs="宋体"/>
          <w:sz w:val="24"/>
          <w:highlight w:val="none"/>
        </w:rPr>
      </w:pPr>
      <w:r>
        <w:rPr>
          <w:rFonts w:hint="eastAsia" w:ascii="宋体" w:hAnsi="宋体" w:cs="宋体"/>
          <w:sz w:val="24"/>
          <w:highlight w:val="none"/>
        </w:rPr>
        <w:t>4.</w:t>
      </w:r>
      <w:r>
        <w:rPr>
          <w:rFonts w:hint="eastAsia" w:ascii="宋体" w:hAnsi="宋体" w:cs="宋体"/>
          <w:kern w:val="0"/>
          <w:sz w:val="24"/>
          <w:highlight w:val="none"/>
        </w:rPr>
        <w:t>响应</w:t>
      </w:r>
      <w:r>
        <w:rPr>
          <w:rFonts w:hint="eastAsia" w:ascii="宋体" w:hAnsi="宋体" w:cs="宋体"/>
          <w:sz w:val="24"/>
          <w:highlight w:val="none"/>
        </w:rPr>
        <w:t>文件满足采购文件全部实质性要求，且评审得分最高的供应商为成交供应商。</w:t>
      </w:r>
    </w:p>
    <w:p w14:paraId="680B8484">
      <w:pPr>
        <w:tabs>
          <w:tab w:val="left" w:pos="1620"/>
        </w:tabs>
        <w:snapToGrid w:val="0"/>
        <w:spacing w:line="400" w:lineRule="exact"/>
        <w:rPr>
          <w:rFonts w:ascii="宋体" w:hAnsi="宋体" w:cs="宋体"/>
          <w:sz w:val="24"/>
          <w:highlight w:val="none"/>
        </w:rPr>
      </w:pPr>
      <w:r>
        <w:rPr>
          <w:rFonts w:hint="eastAsia" w:ascii="宋体" w:hAnsi="宋体" w:cs="宋体"/>
          <w:sz w:val="24"/>
          <w:highlight w:val="none"/>
        </w:rPr>
        <w:t>（三）评标程序</w:t>
      </w:r>
    </w:p>
    <w:tbl>
      <w:tblPr>
        <w:tblStyle w:val="34"/>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1473"/>
        <w:gridCol w:w="6770"/>
      </w:tblGrid>
      <w:tr w14:paraId="7A35C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9482" w:type="dxa"/>
            <w:gridSpan w:val="3"/>
            <w:noWrap/>
            <w:vAlign w:val="center"/>
          </w:tcPr>
          <w:p w14:paraId="01496416">
            <w:pPr>
              <w:tabs>
                <w:tab w:val="left" w:pos="3000"/>
              </w:tabs>
              <w:snapToGrid w:val="0"/>
              <w:jc w:val="center"/>
              <w:rPr>
                <w:rFonts w:ascii="宋体" w:hAnsi="宋体" w:cs="宋体"/>
                <w:color w:val="000000" w:themeColor="text1"/>
                <w:sz w:val="24"/>
                <w:highlight w:val="none"/>
              </w:rPr>
            </w:pPr>
            <w:r>
              <w:rPr>
                <w:rFonts w:hint="eastAsia" w:ascii="宋体" w:hAnsi="宋体" w:cs="宋体"/>
                <w:color w:val="000000" w:themeColor="text1"/>
                <w:sz w:val="24"/>
                <w:highlight w:val="none"/>
              </w:rPr>
              <w:t>评审内容</w:t>
            </w:r>
          </w:p>
        </w:tc>
      </w:tr>
      <w:tr w14:paraId="390BB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5" w:hRule="atLeast"/>
          <w:jc w:val="center"/>
        </w:trPr>
        <w:tc>
          <w:tcPr>
            <w:tcW w:w="1239" w:type="dxa"/>
            <w:noWrap/>
            <w:vAlign w:val="center"/>
          </w:tcPr>
          <w:p w14:paraId="1E63A4E1">
            <w:pPr>
              <w:snapToGrid w:val="0"/>
              <w:spacing w:line="320" w:lineRule="exact"/>
              <w:jc w:val="left"/>
              <w:rPr>
                <w:rFonts w:ascii="宋体" w:hAnsi="宋体" w:cs="宋体"/>
                <w:color w:val="000000" w:themeColor="text1"/>
                <w:sz w:val="24"/>
                <w:highlight w:val="none"/>
              </w:rPr>
            </w:pPr>
            <w:r>
              <w:rPr>
                <w:rFonts w:hint="eastAsia" w:ascii="宋体" w:hAnsi="宋体" w:cs="宋体"/>
                <w:color w:val="000000" w:themeColor="text1"/>
                <w:sz w:val="24"/>
                <w:highlight w:val="none"/>
              </w:rPr>
              <w:t>价格标部分 (35分)</w:t>
            </w:r>
          </w:p>
        </w:tc>
        <w:tc>
          <w:tcPr>
            <w:tcW w:w="8243" w:type="dxa"/>
            <w:gridSpan w:val="2"/>
            <w:noWrap/>
            <w:vAlign w:val="center"/>
          </w:tcPr>
          <w:p w14:paraId="67B83EFF">
            <w:pPr>
              <w:pStyle w:val="5"/>
              <w:snapToGrid w:val="0"/>
              <w:spacing w:line="320" w:lineRule="exact"/>
              <w:jc w:val="both"/>
              <w:rPr>
                <w:rFonts w:hAnsi="宋体"/>
                <w:color w:val="000000" w:themeColor="text1"/>
                <w:highlight w:val="none"/>
              </w:rPr>
            </w:pPr>
            <w:r>
              <w:rPr>
                <w:rFonts w:hint="eastAsia" w:hAnsi="宋体"/>
                <w:color w:val="000000" w:themeColor="text1"/>
                <w:highlight w:val="none"/>
              </w:rPr>
              <w:t>说明：当磋商小组发现供应商的磋商报价明显低于其他磋商报价，使其磋商报价可能低于其个别成本的，磋商小组可对其质询，并要求该供应商做出书面说明和提供相关的证明材料；该供应商不能合理说明或提供证明材料的，磋商小组应按无效磋商处理。</w:t>
            </w:r>
          </w:p>
          <w:p w14:paraId="7B51F12C">
            <w:pPr>
              <w:pStyle w:val="5"/>
              <w:snapToGrid w:val="0"/>
              <w:spacing w:line="320" w:lineRule="exact"/>
              <w:jc w:val="both"/>
              <w:rPr>
                <w:rFonts w:hAnsi="宋体"/>
                <w:color w:val="000000" w:themeColor="text1"/>
                <w:highlight w:val="none"/>
              </w:rPr>
            </w:pPr>
            <w:r>
              <w:rPr>
                <w:rFonts w:hint="eastAsia" w:hAnsi="宋体"/>
                <w:color w:val="000000" w:themeColor="text1"/>
                <w:highlight w:val="none"/>
              </w:rPr>
              <w:t>有效磋商报价：磋商报价不高于采购预算价的为有效磋商报价。</w:t>
            </w:r>
          </w:p>
          <w:p w14:paraId="2FE3CD3B">
            <w:pPr>
              <w:pStyle w:val="5"/>
              <w:snapToGrid w:val="0"/>
              <w:spacing w:line="320" w:lineRule="exact"/>
              <w:jc w:val="both"/>
              <w:rPr>
                <w:rFonts w:hAnsi="宋体"/>
                <w:color w:val="000000" w:themeColor="text1"/>
                <w:highlight w:val="none"/>
              </w:rPr>
            </w:pPr>
            <w:r>
              <w:rPr>
                <w:rFonts w:hint="eastAsia" w:hAnsi="宋体"/>
                <w:color w:val="000000" w:themeColor="text1"/>
                <w:highlight w:val="none"/>
              </w:rPr>
              <w:t>评标基准值的确定：满足采购文件要求且磋商价格最低的有效磋商报价为评标基准价。</w:t>
            </w:r>
          </w:p>
          <w:p w14:paraId="44342A84">
            <w:pPr>
              <w:rPr>
                <w:rFonts w:ascii="宋体" w:hAnsi="宋体" w:cs="宋体"/>
                <w:color w:val="000000" w:themeColor="text1"/>
                <w:sz w:val="24"/>
                <w:highlight w:val="none"/>
              </w:rPr>
            </w:pPr>
            <w:r>
              <w:rPr>
                <w:rFonts w:hint="eastAsia" w:ascii="宋体" w:hAnsi="宋体" w:cs="宋体"/>
                <w:color w:val="000000" w:themeColor="text1"/>
                <w:sz w:val="24"/>
                <w:highlight w:val="none"/>
              </w:rPr>
              <w:t>磋商报价得分=（评标基准价/有效磋商报价）×35分</w:t>
            </w:r>
          </w:p>
        </w:tc>
      </w:tr>
      <w:tr w14:paraId="146FA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5" w:hRule="atLeast"/>
          <w:jc w:val="center"/>
        </w:trPr>
        <w:tc>
          <w:tcPr>
            <w:tcW w:w="1239" w:type="dxa"/>
            <w:vMerge w:val="restart"/>
            <w:noWrap/>
            <w:vAlign w:val="center"/>
          </w:tcPr>
          <w:p w14:paraId="3E79486E">
            <w:pPr>
              <w:snapToGrid w:val="0"/>
              <w:spacing w:line="320" w:lineRule="exact"/>
              <w:jc w:val="center"/>
              <w:rPr>
                <w:rFonts w:ascii="宋体" w:hAnsi="宋体" w:cs="宋体"/>
                <w:color w:val="000000" w:themeColor="text1"/>
                <w:sz w:val="24"/>
                <w:highlight w:val="none"/>
              </w:rPr>
            </w:pPr>
            <w:r>
              <w:rPr>
                <w:rFonts w:hint="eastAsia" w:ascii="宋体" w:hAnsi="宋体" w:cs="宋体"/>
                <w:color w:val="000000" w:themeColor="text1"/>
                <w:sz w:val="24"/>
                <w:highlight w:val="none"/>
              </w:rPr>
              <w:t>技术部分（44分）</w:t>
            </w:r>
          </w:p>
        </w:tc>
        <w:tc>
          <w:tcPr>
            <w:tcW w:w="1473" w:type="dxa"/>
            <w:noWrap/>
            <w:vAlign w:val="center"/>
          </w:tcPr>
          <w:p w14:paraId="735090B2">
            <w:pPr>
              <w:snapToGrid w:val="0"/>
              <w:spacing w:line="320" w:lineRule="exact"/>
              <w:jc w:val="center"/>
              <w:rPr>
                <w:rFonts w:ascii="宋体" w:hAnsi="宋体" w:cs="宋体"/>
                <w:color w:val="000000" w:themeColor="text1"/>
                <w:sz w:val="24"/>
                <w:highlight w:val="none"/>
              </w:rPr>
            </w:pPr>
            <w:r>
              <w:rPr>
                <w:rFonts w:hint="eastAsia" w:ascii="宋体" w:hAnsi="宋体" w:cs="宋体"/>
                <w:color w:val="000000" w:themeColor="text1"/>
                <w:sz w:val="24"/>
                <w:highlight w:val="none"/>
              </w:rPr>
              <w:t>1.施工方案与技术措施（10分）</w:t>
            </w:r>
          </w:p>
        </w:tc>
        <w:tc>
          <w:tcPr>
            <w:tcW w:w="6770" w:type="dxa"/>
            <w:noWrap/>
            <w:vAlign w:val="center"/>
          </w:tcPr>
          <w:p w14:paraId="1C2DABF7">
            <w:pPr>
              <w:widowControl/>
              <w:snapToGrid w:val="0"/>
              <w:spacing w:line="320" w:lineRule="exact"/>
              <w:rPr>
                <w:rFonts w:ascii="宋体" w:hAnsi="宋体" w:cs="宋体"/>
                <w:sz w:val="24"/>
                <w:highlight w:val="none"/>
              </w:rPr>
            </w:pPr>
            <w:r>
              <w:rPr>
                <w:rFonts w:hint="eastAsia" w:ascii="宋体" w:hAnsi="宋体" w:cs="宋体"/>
                <w:sz w:val="24"/>
                <w:highlight w:val="none"/>
              </w:rPr>
              <w:t>供应商应根据采购需求编制完整、详细的施工方案，包含但不限于：1.施工过程重点难点分析、解决方案；2.施工工序及绿色施工等。</w:t>
            </w:r>
          </w:p>
          <w:p w14:paraId="044D09F5">
            <w:pPr>
              <w:widowControl/>
              <w:snapToGrid w:val="0"/>
              <w:spacing w:line="320" w:lineRule="exact"/>
              <w:rPr>
                <w:rFonts w:ascii="宋体" w:hAnsi="宋体" w:cs="宋体"/>
                <w:color w:val="000000" w:themeColor="text1"/>
                <w:sz w:val="24"/>
                <w:highlight w:val="none"/>
              </w:rPr>
            </w:pPr>
            <w:r>
              <w:rPr>
                <w:rFonts w:hint="eastAsia" w:ascii="宋体" w:hAnsi="宋体" w:cs="宋体"/>
                <w:color w:val="000000" w:themeColor="text1"/>
                <w:sz w:val="24"/>
                <w:highlight w:val="none"/>
              </w:rPr>
              <w:t>施工方案有科学先进的施工工艺技术措施和施工办法，对施工难点有先进和合理的建议得 10 分；</w:t>
            </w:r>
          </w:p>
          <w:p w14:paraId="24A8B4B7">
            <w:pPr>
              <w:widowControl/>
              <w:snapToGrid w:val="0"/>
              <w:spacing w:line="320" w:lineRule="exact"/>
              <w:rPr>
                <w:rFonts w:ascii="宋体" w:hAnsi="宋体" w:cs="宋体"/>
                <w:color w:val="000000" w:themeColor="text1"/>
                <w:sz w:val="24"/>
                <w:highlight w:val="none"/>
              </w:rPr>
            </w:pPr>
            <w:r>
              <w:rPr>
                <w:rFonts w:hint="eastAsia" w:ascii="宋体" w:hAnsi="宋体" w:cs="宋体"/>
                <w:color w:val="000000" w:themeColor="text1"/>
                <w:sz w:val="24"/>
                <w:highlight w:val="none"/>
              </w:rPr>
              <w:t>施工方案总体安排基本合理，施工工艺技术措施和施工办法一般，对施工难点有较合理的建议得 7分；</w:t>
            </w:r>
          </w:p>
          <w:p w14:paraId="21FEA457">
            <w:pPr>
              <w:widowControl/>
              <w:snapToGrid w:val="0"/>
              <w:spacing w:line="320" w:lineRule="exact"/>
              <w:rPr>
                <w:rFonts w:ascii="宋体" w:hAnsi="宋体" w:cs="宋体"/>
                <w:color w:val="000000" w:themeColor="text1"/>
                <w:sz w:val="24"/>
                <w:highlight w:val="none"/>
              </w:rPr>
            </w:pPr>
            <w:r>
              <w:rPr>
                <w:rFonts w:hint="eastAsia" w:ascii="宋体" w:hAnsi="宋体" w:cs="宋体"/>
                <w:color w:val="000000" w:themeColor="text1"/>
                <w:sz w:val="24"/>
                <w:highlight w:val="none"/>
              </w:rPr>
              <w:t>施工方案分析、施工工艺有待提升得4分；</w:t>
            </w:r>
          </w:p>
          <w:p w14:paraId="6500DBFB">
            <w:pPr>
              <w:widowControl/>
              <w:snapToGrid w:val="0"/>
              <w:spacing w:line="320" w:lineRule="exact"/>
              <w:rPr>
                <w:rFonts w:ascii="宋体" w:hAnsi="宋体" w:cs="宋体"/>
                <w:color w:val="000000" w:themeColor="text1"/>
                <w:sz w:val="24"/>
                <w:highlight w:val="none"/>
              </w:rPr>
            </w:pPr>
            <w:r>
              <w:rPr>
                <w:rFonts w:hint="eastAsia" w:ascii="宋体" w:hAnsi="宋体" w:cs="宋体"/>
                <w:color w:val="000000" w:themeColor="text1"/>
                <w:sz w:val="24"/>
                <w:highlight w:val="none"/>
              </w:rPr>
              <w:t>施工方案与技术措施仅做简单描述，对施工难点无合理的建议得1分；</w:t>
            </w:r>
          </w:p>
          <w:p w14:paraId="007F8150">
            <w:pPr>
              <w:widowControl/>
              <w:snapToGrid w:val="0"/>
              <w:spacing w:line="320" w:lineRule="exact"/>
              <w:rPr>
                <w:rFonts w:ascii="宋体" w:hAnsi="宋体" w:cs="宋体"/>
                <w:color w:val="000000" w:themeColor="text1"/>
                <w:sz w:val="24"/>
                <w:highlight w:val="none"/>
              </w:rPr>
            </w:pPr>
            <w:r>
              <w:rPr>
                <w:rFonts w:hint="eastAsia" w:ascii="宋体" w:hAnsi="宋体" w:cs="宋体"/>
                <w:color w:val="000000" w:themeColor="text1"/>
                <w:sz w:val="24"/>
                <w:highlight w:val="none"/>
              </w:rPr>
              <w:t>缺项得 0 分。</w:t>
            </w:r>
          </w:p>
        </w:tc>
      </w:tr>
      <w:tr w14:paraId="2B622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1239" w:type="dxa"/>
            <w:vMerge w:val="continue"/>
            <w:noWrap/>
            <w:vAlign w:val="center"/>
          </w:tcPr>
          <w:p w14:paraId="2B0AA2A1">
            <w:pPr>
              <w:snapToGrid w:val="0"/>
              <w:spacing w:line="320" w:lineRule="exact"/>
              <w:jc w:val="center"/>
              <w:rPr>
                <w:rFonts w:ascii="宋体" w:hAnsi="宋体" w:cs="宋体"/>
                <w:color w:val="000000" w:themeColor="text1"/>
                <w:sz w:val="24"/>
                <w:highlight w:val="none"/>
              </w:rPr>
            </w:pPr>
          </w:p>
        </w:tc>
        <w:tc>
          <w:tcPr>
            <w:tcW w:w="1473" w:type="dxa"/>
            <w:noWrap/>
            <w:vAlign w:val="center"/>
          </w:tcPr>
          <w:p w14:paraId="0BDBFC58">
            <w:pPr>
              <w:snapToGrid w:val="0"/>
              <w:spacing w:line="320" w:lineRule="exact"/>
              <w:jc w:val="center"/>
              <w:rPr>
                <w:rFonts w:ascii="宋体" w:hAnsi="宋体" w:cs="宋体"/>
                <w:color w:val="000000" w:themeColor="text1"/>
                <w:sz w:val="24"/>
                <w:highlight w:val="none"/>
              </w:rPr>
            </w:pPr>
            <w:r>
              <w:rPr>
                <w:rFonts w:hint="eastAsia" w:ascii="宋体" w:hAnsi="宋体" w:cs="宋体"/>
                <w:color w:val="000000" w:themeColor="text1"/>
                <w:sz w:val="24"/>
                <w:highlight w:val="none"/>
              </w:rPr>
              <w:t>2.质量管理方案与技术措施（10分）</w:t>
            </w:r>
          </w:p>
        </w:tc>
        <w:tc>
          <w:tcPr>
            <w:tcW w:w="6770" w:type="dxa"/>
            <w:noWrap/>
            <w:vAlign w:val="center"/>
          </w:tcPr>
          <w:p w14:paraId="1C7E3D6A">
            <w:pPr>
              <w:widowControl/>
              <w:snapToGrid w:val="0"/>
              <w:spacing w:line="320" w:lineRule="exact"/>
              <w:rPr>
                <w:rFonts w:ascii="宋体" w:hAnsi="宋体" w:cs="宋体"/>
                <w:sz w:val="24"/>
                <w:highlight w:val="none"/>
              </w:rPr>
            </w:pPr>
            <w:r>
              <w:rPr>
                <w:rFonts w:hint="eastAsia" w:ascii="宋体" w:hAnsi="宋体" w:cs="宋体"/>
                <w:sz w:val="24"/>
                <w:highlight w:val="none"/>
              </w:rPr>
              <w:t>技术组织措施切实可行，确保工程质量的技术组织措施先进合理，质量控制程序及质量保证体系完整，岗位职责分明得 10 分；</w:t>
            </w:r>
          </w:p>
          <w:p w14:paraId="563613AB">
            <w:pPr>
              <w:widowControl/>
              <w:snapToGrid w:val="0"/>
              <w:spacing w:line="320" w:lineRule="exact"/>
              <w:rPr>
                <w:rFonts w:ascii="宋体" w:hAnsi="宋体" w:cs="宋体"/>
                <w:sz w:val="24"/>
                <w:highlight w:val="none"/>
              </w:rPr>
            </w:pPr>
            <w:r>
              <w:rPr>
                <w:rFonts w:hint="eastAsia" w:ascii="宋体" w:hAnsi="宋体" w:cs="宋体"/>
                <w:sz w:val="24"/>
                <w:highlight w:val="none"/>
              </w:rPr>
              <w:t>技术组织措施基本可行，确保工程质量的技术组织措施基本 合理得 7分；</w:t>
            </w:r>
          </w:p>
          <w:p w14:paraId="36947170">
            <w:pPr>
              <w:widowControl/>
              <w:snapToGrid w:val="0"/>
              <w:spacing w:line="320" w:lineRule="exact"/>
              <w:rPr>
                <w:rFonts w:ascii="宋体" w:hAnsi="宋体" w:cs="宋体"/>
                <w:sz w:val="24"/>
                <w:highlight w:val="none"/>
              </w:rPr>
            </w:pPr>
            <w:r>
              <w:rPr>
                <w:rFonts w:hint="eastAsia" w:ascii="宋体" w:hAnsi="宋体" w:cs="宋体"/>
                <w:sz w:val="24"/>
                <w:highlight w:val="none"/>
              </w:rPr>
              <w:t>技术组织措施、工程质量保障措施有待提升得4分；</w:t>
            </w:r>
          </w:p>
          <w:p w14:paraId="2DA7FF2B">
            <w:pPr>
              <w:widowControl/>
              <w:snapToGrid w:val="0"/>
              <w:spacing w:line="320" w:lineRule="exact"/>
              <w:rPr>
                <w:rFonts w:ascii="宋体" w:hAnsi="宋体" w:cs="宋体"/>
                <w:sz w:val="24"/>
                <w:highlight w:val="none"/>
              </w:rPr>
            </w:pPr>
            <w:r>
              <w:rPr>
                <w:rFonts w:hint="eastAsia" w:ascii="宋体" w:hAnsi="宋体" w:cs="宋体"/>
                <w:sz w:val="24"/>
                <w:highlight w:val="none"/>
              </w:rPr>
              <w:t>组织机构形式不合理，工程质量保证措施不可行得 1 分。</w:t>
            </w:r>
          </w:p>
          <w:p w14:paraId="13192E6F">
            <w:pPr>
              <w:widowControl/>
              <w:snapToGrid w:val="0"/>
              <w:spacing w:line="320" w:lineRule="exact"/>
              <w:rPr>
                <w:rFonts w:ascii="宋体" w:hAnsi="宋体" w:cs="宋体"/>
                <w:b/>
                <w:bCs/>
                <w:color w:val="000000"/>
                <w:sz w:val="20"/>
                <w:szCs w:val="20"/>
                <w:highlight w:val="none"/>
              </w:rPr>
            </w:pPr>
            <w:r>
              <w:rPr>
                <w:rFonts w:hint="eastAsia" w:ascii="宋体" w:hAnsi="宋体" w:cs="宋体"/>
                <w:sz w:val="24"/>
                <w:highlight w:val="none"/>
              </w:rPr>
              <w:t>缺项得 0 分。</w:t>
            </w:r>
          </w:p>
        </w:tc>
      </w:tr>
      <w:tr w14:paraId="1BFE5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239" w:type="dxa"/>
            <w:vMerge w:val="continue"/>
            <w:noWrap/>
            <w:vAlign w:val="center"/>
          </w:tcPr>
          <w:p w14:paraId="44A960F4">
            <w:pPr>
              <w:snapToGrid w:val="0"/>
              <w:spacing w:line="320" w:lineRule="exact"/>
              <w:jc w:val="center"/>
              <w:rPr>
                <w:rFonts w:ascii="宋体" w:hAnsi="宋体" w:cs="宋体"/>
                <w:color w:val="000000" w:themeColor="text1"/>
                <w:sz w:val="24"/>
                <w:highlight w:val="none"/>
              </w:rPr>
            </w:pPr>
          </w:p>
        </w:tc>
        <w:tc>
          <w:tcPr>
            <w:tcW w:w="1473" w:type="dxa"/>
            <w:noWrap/>
            <w:vAlign w:val="center"/>
          </w:tcPr>
          <w:p w14:paraId="5F7784DE">
            <w:pPr>
              <w:snapToGrid w:val="0"/>
              <w:spacing w:line="320" w:lineRule="exact"/>
              <w:jc w:val="center"/>
              <w:rPr>
                <w:rFonts w:ascii="宋体" w:hAnsi="宋体" w:cs="宋体"/>
                <w:color w:val="000000" w:themeColor="text1"/>
                <w:sz w:val="24"/>
                <w:highlight w:val="none"/>
              </w:rPr>
            </w:pPr>
            <w:r>
              <w:rPr>
                <w:rFonts w:hint="eastAsia" w:ascii="宋体" w:hAnsi="宋体" w:cs="宋体"/>
                <w:color w:val="000000" w:themeColor="text1"/>
                <w:sz w:val="24"/>
                <w:highlight w:val="none"/>
              </w:rPr>
              <w:t>3.安全管理方案与技术措施、文明及环境保护管理方案与技术措施（10分）</w:t>
            </w:r>
          </w:p>
        </w:tc>
        <w:tc>
          <w:tcPr>
            <w:tcW w:w="6770" w:type="dxa"/>
            <w:noWrap/>
            <w:vAlign w:val="center"/>
          </w:tcPr>
          <w:p w14:paraId="16AD3D95">
            <w:pPr>
              <w:widowControl/>
              <w:snapToGrid w:val="0"/>
              <w:spacing w:line="320" w:lineRule="exact"/>
              <w:rPr>
                <w:rFonts w:ascii="宋体" w:hAnsi="宋体" w:cs="宋体"/>
                <w:sz w:val="24"/>
                <w:highlight w:val="none"/>
              </w:rPr>
            </w:pPr>
            <w:r>
              <w:rPr>
                <w:rFonts w:hint="eastAsia" w:ascii="宋体" w:hAnsi="宋体" w:cs="宋体"/>
                <w:sz w:val="24"/>
                <w:highlight w:val="none"/>
              </w:rPr>
              <w:t>供应商应根据采购需求编制安全管理体系与措施、文明及环境保护管理体系与措施方案，包含但不限于：1.安全责任制度；2.施工现场安全控制；3.应急机制；4.文明施工措施；5.环保施工措施。</w:t>
            </w:r>
          </w:p>
          <w:p w14:paraId="2D753118">
            <w:pPr>
              <w:widowControl/>
              <w:snapToGrid w:val="0"/>
              <w:spacing w:line="320" w:lineRule="exact"/>
              <w:rPr>
                <w:rFonts w:ascii="宋体" w:hAnsi="宋体" w:cs="宋体"/>
                <w:color w:val="000000" w:themeColor="text1"/>
                <w:sz w:val="24"/>
                <w:highlight w:val="none"/>
              </w:rPr>
            </w:pPr>
            <w:r>
              <w:rPr>
                <w:rFonts w:hint="eastAsia" w:ascii="宋体" w:hAnsi="宋体" w:cs="宋体"/>
                <w:sz w:val="24"/>
                <w:highlight w:val="none"/>
              </w:rPr>
              <w:t>方案完整科学、合理、实用，并具有针对性，得10分；</w:t>
            </w:r>
            <w:r>
              <w:rPr>
                <w:rFonts w:hint="eastAsia" w:ascii="宋体" w:hAnsi="宋体" w:cs="宋体"/>
                <w:color w:val="000000" w:themeColor="text1"/>
                <w:sz w:val="24"/>
                <w:highlight w:val="none"/>
              </w:rPr>
              <w:t>方案</w:t>
            </w:r>
            <w:r>
              <w:rPr>
                <w:rFonts w:hint="eastAsia" w:ascii="宋体" w:hAnsi="宋体" w:cs="宋体"/>
                <w:sz w:val="24"/>
                <w:highlight w:val="none"/>
              </w:rPr>
              <w:t>较为清晰、较为详细、技术措施较为健全、较有针对性得7分；</w:t>
            </w:r>
            <w:r>
              <w:rPr>
                <w:rFonts w:hint="eastAsia" w:ascii="宋体" w:hAnsi="宋体" w:cs="宋体"/>
                <w:color w:val="000000" w:themeColor="text1"/>
                <w:sz w:val="24"/>
                <w:highlight w:val="none"/>
              </w:rPr>
              <w:t>方案</w:t>
            </w:r>
            <w:r>
              <w:rPr>
                <w:rFonts w:hint="eastAsia" w:ascii="宋体" w:hAnsi="宋体" w:cs="宋体"/>
                <w:sz w:val="24"/>
                <w:highlight w:val="none"/>
              </w:rPr>
              <w:t>内容一般、技术措施一般，基本具有针对性得4分；</w:t>
            </w:r>
            <w:r>
              <w:rPr>
                <w:rFonts w:hint="eastAsia" w:ascii="宋体" w:hAnsi="宋体" w:cs="宋体"/>
                <w:color w:val="000000" w:themeColor="text1"/>
                <w:sz w:val="24"/>
                <w:highlight w:val="none"/>
              </w:rPr>
              <w:t>方案</w:t>
            </w:r>
            <w:r>
              <w:rPr>
                <w:rFonts w:hint="eastAsia" w:ascii="宋体" w:hAnsi="宋体" w:cs="宋体"/>
                <w:sz w:val="24"/>
                <w:highlight w:val="none"/>
              </w:rPr>
              <w:t>内容不全、技术措施有所欠缺得1分；</w:t>
            </w:r>
            <w:r>
              <w:rPr>
                <w:rFonts w:hint="eastAsia" w:ascii="宋体" w:hAnsi="宋体" w:cs="宋体"/>
                <w:color w:val="000000" w:themeColor="text1"/>
                <w:sz w:val="24"/>
                <w:highlight w:val="none"/>
              </w:rPr>
              <w:t>缺项得0分。</w:t>
            </w:r>
          </w:p>
        </w:tc>
      </w:tr>
      <w:tr w14:paraId="599AA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5" w:hRule="atLeast"/>
          <w:jc w:val="center"/>
        </w:trPr>
        <w:tc>
          <w:tcPr>
            <w:tcW w:w="1239" w:type="dxa"/>
            <w:vMerge w:val="continue"/>
            <w:noWrap/>
            <w:vAlign w:val="center"/>
          </w:tcPr>
          <w:p w14:paraId="2122138A">
            <w:pPr>
              <w:snapToGrid w:val="0"/>
              <w:spacing w:line="320" w:lineRule="exact"/>
              <w:jc w:val="center"/>
              <w:rPr>
                <w:rFonts w:ascii="宋体" w:hAnsi="宋体" w:cs="宋体"/>
                <w:color w:val="000000" w:themeColor="text1"/>
                <w:sz w:val="24"/>
                <w:highlight w:val="none"/>
              </w:rPr>
            </w:pPr>
          </w:p>
        </w:tc>
        <w:tc>
          <w:tcPr>
            <w:tcW w:w="1473" w:type="dxa"/>
            <w:noWrap/>
            <w:vAlign w:val="center"/>
          </w:tcPr>
          <w:p w14:paraId="59F2AC6E">
            <w:pPr>
              <w:snapToGrid w:val="0"/>
              <w:spacing w:line="320" w:lineRule="exact"/>
              <w:jc w:val="center"/>
              <w:rPr>
                <w:rFonts w:ascii="宋体" w:hAnsi="宋体" w:cs="宋体"/>
                <w:color w:val="000000" w:themeColor="text1"/>
                <w:sz w:val="24"/>
                <w:highlight w:val="none"/>
              </w:rPr>
            </w:pPr>
            <w:r>
              <w:rPr>
                <w:rFonts w:hint="eastAsia" w:ascii="宋体" w:hAnsi="宋体" w:cs="宋体"/>
                <w:color w:val="000000" w:themeColor="text1"/>
                <w:sz w:val="24"/>
                <w:highlight w:val="none"/>
              </w:rPr>
              <w:t>4.拟投入资源配备计划（9分）</w:t>
            </w:r>
          </w:p>
        </w:tc>
        <w:tc>
          <w:tcPr>
            <w:tcW w:w="6770" w:type="dxa"/>
            <w:noWrap/>
            <w:vAlign w:val="center"/>
          </w:tcPr>
          <w:p w14:paraId="7A1CBAED">
            <w:pPr>
              <w:widowControl/>
              <w:snapToGrid w:val="0"/>
              <w:spacing w:line="320" w:lineRule="exact"/>
              <w:rPr>
                <w:rFonts w:ascii="宋体" w:hAnsi="宋体" w:cs="宋体"/>
                <w:sz w:val="24"/>
                <w:highlight w:val="none"/>
              </w:rPr>
            </w:pPr>
            <w:r>
              <w:rPr>
                <w:rFonts w:hint="eastAsia" w:ascii="宋体" w:hAnsi="宋体" w:cs="宋体"/>
                <w:color w:val="000000" w:themeColor="text1"/>
                <w:sz w:val="24"/>
                <w:highlight w:val="none"/>
              </w:rPr>
              <w:t>根据供应商拟投入的施工人员、机械设备、物资投入计划综合对比。</w:t>
            </w:r>
            <w:r>
              <w:rPr>
                <w:rFonts w:hint="eastAsia" w:ascii="宋体" w:hAnsi="宋体" w:cs="宋体"/>
                <w:sz w:val="24"/>
                <w:highlight w:val="none"/>
              </w:rPr>
              <w:t>包含但不限于：1.施工人员配备计划；2.机械、设备配备计划；3.材料质量保障措施等。</w:t>
            </w:r>
          </w:p>
          <w:p w14:paraId="759B3212">
            <w:pPr>
              <w:widowControl/>
              <w:snapToGrid w:val="0"/>
              <w:spacing w:line="320" w:lineRule="exact"/>
              <w:rPr>
                <w:rFonts w:ascii="宋体" w:hAnsi="宋体" w:cs="宋体"/>
                <w:color w:val="000000" w:themeColor="text1"/>
                <w:sz w:val="24"/>
                <w:highlight w:val="none"/>
              </w:rPr>
            </w:pPr>
            <w:r>
              <w:rPr>
                <w:rFonts w:hint="eastAsia" w:ascii="宋体" w:hAnsi="宋体" w:cs="宋体"/>
                <w:color w:val="000000" w:themeColor="text1"/>
                <w:sz w:val="24"/>
                <w:highlight w:val="none"/>
              </w:rPr>
              <w:t>计划</w:t>
            </w:r>
            <w:r>
              <w:rPr>
                <w:rFonts w:hint="eastAsia" w:ascii="宋体" w:hAnsi="宋体" w:cs="宋体"/>
                <w:sz w:val="24"/>
                <w:highlight w:val="none"/>
              </w:rPr>
              <w:t>完整科学、合理、实用，并具有针对性，得9分；</w:t>
            </w:r>
            <w:r>
              <w:rPr>
                <w:rFonts w:hint="eastAsia" w:ascii="宋体" w:hAnsi="宋体" w:cs="宋体"/>
                <w:color w:val="000000" w:themeColor="text1"/>
                <w:sz w:val="24"/>
                <w:highlight w:val="none"/>
              </w:rPr>
              <w:t>计划</w:t>
            </w:r>
            <w:r>
              <w:rPr>
                <w:rFonts w:hint="eastAsia" w:ascii="宋体" w:hAnsi="宋体" w:cs="宋体"/>
                <w:sz w:val="24"/>
                <w:highlight w:val="none"/>
              </w:rPr>
              <w:t>较为清晰、较为详细、技术措施较为健全、较有针对性得6分；</w:t>
            </w:r>
            <w:r>
              <w:rPr>
                <w:rFonts w:hint="eastAsia" w:ascii="宋体" w:hAnsi="宋体" w:cs="宋体"/>
                <w:color w:val="000000" w:themeColor="text1"/>
                <w:sz w:val="24"/>
                <w:highlight w:val="none"/>
              </w:rPr>
              <w:t>计划</w:t>
            </w:r>
            <w:r>
              <w:rPr>
                <w:rFonts w:hint="eastAsia" w:ascii="宋体" w:hAnsi="宋体" w:cs="宋体"/>
                <w:sz w:val="24"/>
                <w:highlight w:val="none"/>
              </w:rPr>
              <w:t>内容一般、技术措施一般，基本具有针对性得3分；</w:t>
            </w:r>
            <w:r>
              <w:rPr>
                <w:rFonts w:hint="eastAsia" w:ascii="宋体" w:hAnsi="宋体" w:cs="宋体"/>
                <w:color w:val="000000" w:themeColor="text1"/>
                <w:sz w:val="24"/>
                <w:highlight w:val="none"/>
              </w:rPr>
              <w:t>方案</w:t>
            </w:r>
            <w:r>
              <w:rPr>
                <w:rFonts w:hint="eastAsia" w:ascii="宋体" w:hAnsi="宋体" w:cs="宋体"/>
                <w:sz w:val="24"/>
                <w:highlight w:val="none"/>
              </w:rPr>
              <w:t>内容不全、有所欠缺得1分；</w:t>
            </w:r>
            <w:r>
              <w:rPr>
                <w:rFonts w:hint="eastAsia" w:ascii="宋体" w:hAnsi="宋体" w:cs="宋体"/>
                <w:color w:val="000000" w:themeColor="text1"/>
                <w:sz w:val="24"/>
                <w:highlight w:val="none"/>
              </w:rPr>
              <w:t>缺项得0分。</w:t>
            </w:r>
          </w:p>
        </w:tc>
      </w:tr>
      <w:tr w14:paraId="4204C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jc w:val="center"/>
        </w:trPr>
        <w:tc>
          <w:tcPr>
            <w:tcW w:w="1239" w:type="dxa"/>
            <w:vMerge w:val="continue"/>
            <w:noWrap/>
            <w:vAlign w:val="center"/>
          </w:tcPr>
          <w:p w14:paraId="5F3F9F6F">
            <w:pPr>
              <w:snapToGrid w:val="0"/>
              <w:spacing w:line="320" w:lineRule="exact"/>
              <w:jc w:val="center"/>
              <w:rPr>
                <w:rFonts w:ascii="宋体" w:hAnsi="宋体" w:cs="宋体"/>
                <w:color w:val="000000" w:themeColor="text1"/>
                <w:sz w:val="24"/>
                <w:highlight w:val="none"/>
              </w:rPr>
            </w:pPr>
          </w:p>
        </w:tc>
        <w:tc>
          <w:tcPr>
            <w:tcW w:w="1473" w:type="dxa"/>
            <w:noWrap/>
            <w:vAlign w:val="center"/>
          </w:tcPr>
          <w:p w14:paraId="219377FD">
            <w:pPr>
              <w:snapToGrid w:val="0"/>
              <w:spacing w:line="320" w:lineRule="exact"/>
              <w:jc w:val="center"/>
              <w:rPr>
                <w:rFonts w:ascii="宋体" w:hAnsi="宋体" w:cs="宋体"/>
                <w:color w:val="000000" w:themeColor="text1"/>
                <w:sz w:val="24"/>
                <w:highlight w:val="none"/>
              </w:rPr>
            </w:pPr>
            <w:r>
              <w:rPr>
                <w:rFonts w:hint="eastAsia" w:ascii="宋体" w:hAnsi="宋体" w:cs="宋体"/>
                <w:sz w:val="24"/>
                <w:highlight w:val="none"/>
              </w:rPr>
              <w:t>5.工程进度计划与措施</w:t>
            </w:r>
            <w:r>
              <w:rPr>
                <w:rFonts w:hint="eastAsia" w:ascii="宋体" w:hAnsi="宋体" w:cs="宋体"/>
                <w:color w:val="000000" w:themeColor="text1"/>
                <w:sz w:val="24"/>
                <w:highlight w:val="none"/>
              </w:rPr>
              <w:t>（5分）</w:t>
            </w:r>
          </w:p>
        </w:tc>
        <w:tc>
          <w:tcPr>
            <w:tcW w:w="6770" w:type="dxa"/>
            <w:noWrap/>
            <w:vAlign w:val="center"/>
          </w:tcPr>
          <w:p w14:paraId="00FC1CAA">
            <w:pPr>
              <w:widowControl/>
              <w:snapToGrid w:val="0"/>
              <w:spacing w:line="320" w:lineRule="exact"/>
              <w:rPr>
                <w:rFonts w:ascii="宋体" w:hAnsi="宋体" w:cs="宋体"/>
                <w:sz w:val="24"/>
                <w:highlight w:val="none"/>
              </w:rPr>
            </w:pPr>
            <w:r>
              <w:rPr>
                <w:rFonts w:hint="eastAsia" w:ascii="宋体" w:hAnsi="宋体" w:cs="宋体"/>
                <w:sz w:val="24"/>
                <w:highlight w:val="none"/>
              </w:rPr>
              <w:t>供应商应根据采购需求编制完整、详细的工程进度计划与措施方案，包含但不限于：1.关键节点控制；2.工序衔接计划；3.进度管控机制等。</w:t>
            </w:r>
          </w:p>
          <w:p w14:paraId="1769E7F2">
            <w:pPr>
              <w:widowControl/>
              <w:snapToGrid w:val="0"/>
              <w:spacing w:line="320" w:lineRule="exact"/>
              <w:rPr>
                <w:rFonts w:ascii="宋体" w:hAnsi="宋体" w:cs="宋体"/>
                <w:color w:val="000000" w:themeColor="text1"/>
                <w:sz w:val="24"/>
                <w:highlight w:val="none"/>
              </w:rPr>
            </w:pPr>
            <w:r>
              <w:rPr>
                <w:rFonts w:hint="eastAsia" w:ascii="宋体" w:hAnsi="宋体" w:cs="宋体"/>
                <w:color w:val="000000" w:themeColor="text1"/>
                <w:sz w:val="24"/>
                <w:highlight w:val="none"/>
              </w:rPr>
              <w:t>计划和措施</w:t>
            </w:r>
            <w:r>
              <w:rPr>
                <w:rFonts w:hint="eastAsia" w:ascii="宋体" w:hAnsi="宋体" w:cs="宋体"/>
                <w:sz w:val="24"/>
                <w:highlight w:val="none"/>
              </w:rPr>
              <w:t>完整科学、合理、实用，并具有针对性，得5分；</w:t>
            </w:r>
            <w:r>
              <w:rPr>
                <w:rFonts w:hint="eastAsia" w:ascii="宋体" w:hAnsi="宋体" w:cs="宋体"/>
                <w:color w:val="000000" w:themeColor="text1"/>
                <w:sz w:val="24"/>
                <w:highlight w:val="none"/>
              </w:rPr>
              <w:t>计划和措施</w:t>
            </w:r>
            <w:r>
              <w:rPr>
                <w:rFonts w:hint="eastAsia" w:ascii="宋体" w:hAnsi="宋体" w:cs="宋体"/>
                <w:sz w:val="24"/>
                <w:highlight w:val="none"/>
              </w:rPr>
              <w:t>内容一般、技术措施一般，基本具有针对性得3分；</w:t>
            </w:r>
            <w:r>
              <w:rPr>
                <w:rFonts w:hint="eastAsia" w:ascii="宋体" w:hAnsi="宋体" w:cs="宋体"/>
                <w:color w:val="000000" w:themeColor="text1"/>
                <w:sz w:val="24"/>
                <w:highlight w:val="none"/>
              </w:rPr>
              <w:t>方案</w:t>
            </w:r>
            <w:r>
              <w:rPr>
                <w:rFonts w:hint="eastAsia" w:ascii="宋体" w:hAnsi="宋体" w:cs="宋体"/>
                <w:sz w:val="24"/>
                <w:highlight w:val="none"/>
              </w:rPr>
              <w:t>内容不全、有所欠缺得1分；</w:t>
            </w:r>
            <w:r>
              <w:rPr>
                <w:rFonts w:hint="eastAsia" w:ascii="宋体" w:hAnsi="宋体" w:cs="宋体"/>
                <w:color w:val="000000" w:themeColor="text1"/>
                <w:sz w:val="24"/>
                <w:highlight w:val="none"/>
              </w:rPr>
              <w:t>缺项得0分。</w:t>
            </w:r>
          </w:p>
        </w:tc>
      </w:tr>
      <w:tr w14:paraId="3D10E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239" w:type="dxa"/>
            <w:vMerge w:val="restart"/>
            <w:noWrap/>
            <w:vAlign w:val="center"/>
          </w:tcPr>
          <w:p w14:paraId="4DB25A7A">
            <w:pPr>
              <w:snapToGrid w:val="0"/>
              <w:spacing w:line="320" w:lineRule="exact"/>
              <w:jc w:val="center"/>
              <w:rPr>
                <w:rFonts w:ascii="宋体" w:hAnsi="宋体" w:cs="宋体"/>
                <w:color w:val="000000" w:themeColor="text1"/>
                <w:sz w:val="24"/>
                <w:highlight w:val="none"/>
              </w:rPr>
            </w:pPr>
            <w:r>
              <w:rPr>
                <w:rFonts w:hint="eastAsia" w:ascii="宋体" w:hAnsi="宋体" w:cs="宋体"/>
                <w:color w:val="000000" w:themeColor="text1"/>
                <w:sz w:val="24"/>
                <w:highlight w:val="none"/>
              </w:rPr>
              <w:t>商务评价</w:t>
            </w:r>
          </w:p>
          <w:p w14:paraId="128334AC">
            <w:pPr>
              <w:snapToGrid w:val="0"/>
              <w:spacing w:line="320" w:lineRule="exact"/>
              <w:jc w:val="center"/>
              <w:rPr>
                <w:rFonts w:ascii="宋体" w:hAnsi="宋体" w:cs="宋体"/>
                <w:color w:val="000000" w:themeColor="text1"/>
                <w:sz w:val="24"/>
                <w:highlight w:val="none"/>
              </w:rPr>
            </w:pPr>
            <w:r>
              <w:rPr>
                <w:rFonts w:hint="eastAsia" w:ascii="宋体" w:hAnsi="宋体" w:cs="宋体"/>
                <w:color w:val="000000" w:themeColor="text1"/>
                <w:sz w:val="24"/>
                <w:highlight w:val="none"/>
              </w:rPr>
              <w:t>(21分)</w:t>
            </w:r>
          </w:p>
        </w:tc>
        <w:tc>
          <w:tcPr>
            <w:tcW w:w="1473" w:type="dxa"/>
            <w:tcBorders>
              <w:top w:val="single" w:color="auto" w:sz="4" w:space="0"/>
            </w:tcBorders>
            <w:noWrap/>
            <w:vAlign w:val="center"/>
          </w:tcPr>
          <w:p w14:paraId="4A8935FA">
            <w:pPr>
              <w:snapToGrid w:val="0"/>
              <w:spacing w:line="320" w:lineRule="exact"/>
              <w:jc w:val="center"/>
              <w:rPr>
                <w:rFonts w:ascii="宋体" w:hAnsi="宋体" w:cs="宋体"/>
                <w:color w:val="000000" w:themeColor="text1"/>
                <w:sz w:val="24"/>
                <w:highlight w:val="none"/>
              </w:rPr>
            </w:pPr>
            <w:r>
              <w:rPr>
                <w:rFonts w:hint="eastAsia" w:ascii="宋体" w:hAnsi="宋体" w:cs="宋体"/>
                <w:color w:val="000000" w:themeColor="text1"/>
                <w:sz w:val="24"/>
                <w:highlight w:val="none"/>
              </w:rPr>
              <w:t>1.类似业绩（6分）</w:t>
            </w:r>
          </w:p>
        </w:tc>
        <w:tc>
          <w:tcPr>
            <w:tcW w:w="6770" w:type="dxa"/>
            <w:noWrap/>
            <w:vAlign w:val="center"/>
          </w:tcPr>
          <w:p w14:paraId="1C4FCA74">
            <w:pPr>
              <w:widowControl/>
              <w:snapToGrid w:val="0"/>
              <w:spacing w:line="320" w:lineRule="exact"/>
              <w:rPr>
                <w:rFonts w:ascii="宋体" w:hAnsi="宋体" w:cs="宋体"/>
                <w:color w:val="000000" w:themeColor="text1"/>
                <w:kern w:val="0"/>
                <w:sz w:val="24"/>
                <w:highlight w:val="none"/>
              </w:rPr>
            </w:pPr>
            <w:r>
              <w:rPr>
                <w:rFonts w:hint="eastAsia" w:ascii="宋体" w:hAnsi="宋体" w:cs="宋体"/>
                <w:color w:val="000000" w:themeColor="text1"/>
                <w:kern w:val="0"/>
                <w:sz w:val="24"/>
                <w:highlight w:val="none"/>
              </w:rPr>
              <w:t>供应商自202</w:t>
            </w:r>
            <w:r>
              <w:rPr>
                <w:rFonts w:hint="eastAsia" w:ascii="宋体" w:hAnsi="宋体" w:cs="宋体"/>
                <w:color w:val="000000" w:themeColor="text1"/>
                <w:kern w:val="0"/>
                <w:sz w:val="24"/>
                <w:highlight w:val="none"/>
                <w:lang w:val="en-US" w:eastAsia="zh-CN"/>
              </w:rPr>
              <w:t>3</w:t>
            </w:r>
            <w:r>
              <w:rPr>
                <w:rFonts w:hint="eastAsia" w:ascii="宋体" w:hAnsi="宋体" w:cs="宋体"/>
                <w:color w:val="000000" w:themeColor="text1"/>
                <w:kern w:val="0"/>
                <w:sz w:val="24"/>
                <w:highlight w:val="none"/>
              </w:rPr>
              <w:t>年1月1日以来具有类似工程的业绩，每提供一份得2分，最多得6分。（注：以上业绩以合同为准）。</w:t>
            </w:r>
          </w:p>
        </w:tc>
      </w:tr>
      <w:tr w14:paraId="2E481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jc w:val="center"/>
        </w:trPr>
        <w:tc>
          <w:tcPr>
            <w:tcW w:w="1239" w:type="dxa"/>
            <w:vMerge w:val="continue"/>
            <w:noWrap/>
            <w:vAlign w:val="center"/>
          </w:tcPr>
          <w:p w14:paraId="55339BDA">
            <w:pPr>
              <w:snapToGrid w:val="0"/>
              <w:spacing w:line="320" w:lineRule="exact"/>
              <w:jc w:val="center"/>
              <w:rPr>
                <w:rFonts w:ascii="宋体" w:hAnsi="宋体" w:cs="宋体"/>
                <w:color w:val="000000" w:themeColor="text1"/>
                <w:sz w:val="24"/>
                <w:highlight w:val="none"/>
              </w:rPr>
            </w:pPr>
          </w:p>
        </w:tc>
        <w:tc>
          <w:tcPr>
            <w:tcW w:w="1473" w:type="dxa"/>
            <w:tcBorders>
              <w:top w:val="single" w:color="auto" w:sz="4" w:space="0"/>
            </w:tcBorders>
            <w:noWrap/>
            <w:vAlign w:val="center"/>
          </w:tcPr>
          <w:p w14:paraId="6758A94D">
            <w:pPr>
              <w:snapToGrid w:val="0"/>
              <w:spacing w:line="320" w:lineRule="exact"/>
              <w:jc w:val="center"/>
              <w:rPr>
                <w:rFonts w:ascii="宋体" w:hAnsi="宋体" w:cs="宋体"/>
                <w:color w:val="000000" w:themeColor="text1"/>
                <w:sz w:val="24"/>
                <w:highlight w:val="none"/>
              </w:rPr>
            </w:pPr>
            <w:r>
              <w:rPr>
                <w:rFonts w:hint="eastAsia" w:ascii="宋体" w:hAnsi="宋体" w:cs="宋体"/>
                <w:color w:val="000000" w:themeColor="text1"/>
                <w:sz w:val="24"/>
                <w:highlight w:val="none"/>
              </w:rPr>
              <w:t>2.管理人员配备（10分）</w:t>
            </w:r>
          </w:p>
        </w:tc>
        <w:tc>
          <w:tcPr>
            <w:tcW w:w="6770" w:type="dxa"/>
            <w:noWrap/>
            <w:vAlign w:val="center"/>
          </w:tcPr>
          <w:p w14:paraId="538A0A26">
            <w:pPr>
              <w:widowControl/>
              <w:snapToGrid w:val="0"/>
              <w:spacing w:line="320" w:lineRule="exact"/>
              <w:rPr>
                <w:rFonts w:ascii="宋体" w:hAnsi="宋体" w:cs="宋体"/>
                <w:color w:val="000000" w:themeColor="text1"/>
                <w:sz w:val="24"/>
                <w:highlight w:val="none"/>
              </w:rPr>
            </w:pPr>
            <w:r>
              <w:rPr>
                <w:rFonts w:hint="eastAsia" w:ascii="宋体" w:hAnsi="宋体" w:cs="宋体"/>
                <w:color w:val="000000" w:themeColor="text1"/>
                <w:sz w:val="24"/>
                <w:highlight w:val="none"/>
              </w:rPr>
              <w:t>供应商拟派项目团队配备人员中具有施工员、材料员、质检员、安全员、资料员的，每提供1个得2分，最多得10分。</w:t>
            </w:r>
          </w:p>
          <w:p w14:paraId="760E01C4">
            <w:pPr>
              <w:widowControl/>
              <w:snapToGrid w:val="0"/>
              <w:spacing w:line="320" w:lineRule="exact"/>
              <w:rPr>
                <w:rFonts w:ascii="宋体" w:hAnsi="宋体" w:cs="宋体"/>
                <w:color w:val="000000" w:themeColor="text1"/>
                <w:sz w:val="24"/>
                <w:highlight w:val="none"/>
              </w:rPr>
            </w:pPr>
            <w:r>
              <w:rPr>
                <w:rFonts w:hint="eastAsia" w:ascii="宋体" w:hAnsi="宋体" w:cs="宋体"/>
                <w:color w:val="000000" w:themeColor="text1"/>
                <w:sz w:val="24"/>
                <w:highlight w:val="none"/>
              </w:rPr>
              <w:t>注：提供有效证件及本单位近半年以来任意一个月为其缴纳社保证明材料，新入职的从入职当月起算。</w:t>
            </w:r>
          </w:p>
        </w:tc>
      </w:tr>
      <w:tr w14:paraId="0509C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239" w:type="dxa"/>
            <w:vMerge w:val="continue"/>
            <w:noWrap/>
            <w:vAlign w:val="center"/>
          </w:tcPr>
          <w:p w14:paraId="2C228CE9">
            <w:pPr>
              <w:snapToGrid w:val="0"/>
              <w:spacing w:line="320" w:lineRule="exact"/>
              <w:jc w:val="center"/>
              <w:rPr>
                <w:rFonts w:ascii="宋体" w:hAnsi="宋体" w:cs="宋体"/>
                <w:color w:val="000000" w:themeColor="text1"/>
                <w:sz w:val="24"/>
                <w:highlight w:val="none"/>
              </w:rPr>
            </w:pPr>
          </w:p>
        </w:tc>
        <w:tc>
          <w:tcPr>
            <w:tcW w:w="1473" w:type="dxa"/>
            <w:tcBorders>
              <w:top w:val="single" w:color="auto" w:sz="4" w:space="0"/>
            </w:tcBorders>
            <w:noWrap/>
            <w:vAlign w:val="center"/>
          </w:tcPr>
          <w:p w14:paraId="01EE7102">
            <w:pPr>
              <w:snapToGrid w:val="0"/>
              <w:spacing w:line="320" w:lineRule="exact"/>
              <w:jc w:val="center"/>
              <w:rPr>
                <w:rFonts w:ascii="宋体" w:hAnsi="宋体" w:cs="宋体"/>
                <w:color w:val="000000" w:themeColor="text1"/>
                <w:sz w:val="24"/>
                <w:highlight w:val="none"/>
              </w:rPr>
            </w:pPr>
            <w:r>
              <w:rPr>
                <w:rFonts w:hint="eastAsia" w:ascii="宋体" w:hAnsi="宋体" w:cs="宋体"/>
                <w:color w:val="000000" w:themeColor="text1"/>
                <w:sz w:val="24"/>
                <w:highlight w:val="none"/>
              </w:rPr>
              <w:t>3.售后服务</w:t>
            </w:r>
          </w:p>
          <w:p w14:paraId="0BAF1914">
            <w:pPr>
              <w:snapToGrid w:val="0"/>
              <w:spacing w:line="320" w:lineRule="exact"/>
              <w:jc w:val="center"/>
              <w:rPr>
                <w:rFonts w:ascii="宋体" w:hAnsi="宋体" w:cs="宋体"/>
                <w:color w:val="000000" w:themeColor="text1"/>
                <w:sz w:val="24"/>
                <w:highlight w:val="none"/>
              </w:rPr>
            </w:pPr>
            <w:r>
              <w:rPr>
                <w:rFonts w:hint="eastAsia" w:ascii="宋体" w:hAnsi="宋体" w:cs="宋体"/>
                <w:color w:val="000000" w:themeColor="text1"/>
                <w:sz w:val="24"/>
                <w:highlight w:val="none"/>
              </w:rPr>
              <w:t>(5分)</w:t>
            </w:r>
          </w:p>
        </w:tc>
        <w:tc>
          <w:tcPr>
            <w:tcW w:w="6770" w:type="dxa"/>
            <w:noWrap/>
            <w:vAlign w:val="center"/>
          </w:tcPr>
          <w:p w14:paraId="7A6F42F7">
            <w:pPr>
              <w:widowControl/>
              <w:snapToGrid w:val="0"/>
              <w:spacing w:line="320" w:lineRule="exact"/>
              <w:rPr>
                <w:rFonts w:ascii="宋体" w:hAnsi="宋体" w:cs="宋体"/>
                <w:color w:val="000000" w:themeColor="text1"/>
                <w:sz w:val="24"/>
                <w:highlight w:val="none"/>
              </w:rPr>
            </w:pPr>
            <w:r>
              <w:rPr>
                <w:rFonts w:hint="eastAsia" w:ascii="宋体" w:hAnsi="宋体" w:cs="宋体"/>
                <w:color w:val="000000" w:themeColor="text1"/>
                <w:sz w:val="24"/>
                <w:highlight w:val="none"/>
              </w:rPr>
              <w:t>供应商具有保证技术措施落实到位的承诺和落实不到位的处理承诺，其中包括各关键岗位人员（负责人及相关技术人员等）的在岗、更换等履职尽责、工程保修期内、外的优惠及服务承诺等。</w:t>
            </w:r>
          </w:p>
          <w:p w14:paraId="6448FD37">
            <w:pPr>
              <w:widowControl/>
              <w:snapToGrid w:val="0"/>
              <w:spacing w:line="320" w:lineRule="exact"/>
              <w:rPr>
                <w:rFonts w:ascii="宋体" w:hAnsi="宋体" w:cs="宋体"/>
                <w:color w:val="000000" w:themeColor="text1"/>
                <w:sz w:val="24"/>
                <w:highlight w:val="none"/>
              </w:rPr>
            </w:pPr>
            <w:r>
              <w:rPr>
                <w:rFonts w:hint="eastAsia" w:ascii="宋体" w:hAnsi="宋体" w:cs="宋体"/>
                <w:color w:val="000000" w:themeColor="text1"/>
                <w:sz w:val="24"/>
                <w:highlight w:val="none"/>
              </w:rPr>
              <w:t>承诺全面、详尽，合理、可行性程度强5分；承诺基本全面，合理、可行性程度一般得3分；承诺不全面，合理、可行性程度差得1分。缺项得0分。</w:t>
            </w:r>
          </w:p>
        </w:tc>
      </w:tr>
      <w:tr w14:paraId="77FF9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jc w:val="center"/>
        </w:trPr>
        <w:tc>
          <w:tcPr>
            <w:tcW w:w="1239" w:type="dxa"/>
            <w:noWrap/>
          </w:tcPr>
          <w:p w14:paraId="5C62DA73">
            <w:pPr>
              <w:snapToGrid w:val="0"/>
              <w:spacing w:line="320" w:lineRule="exact"/>
              <w:jc w:val="center"/>
              <w:rPr>
                <w:rFonts w:ascii="宋体" w:hAnsi="宋体" w:cs="宋体"/>
                <w:color w:val="000000" w:themeColor="text1"/>
                <w:sz w:val="24"/>
                <w:highlight w:val="none"/>
              </w:rPr>
            </w:pPr>
            <w:r>
              <w:rPr>
                <w:rFonts w:hint="eastAsia" w:ascii="宋体" w:hAnsi="宋体" w:cs="宋体"/>
                <w:color w:val="000000" w:themeColor="text1"/>
                <w:sz w:val="24"/>
                <w:highlight w:val="none"/>
              </w:rPr>
              <w:t>得分的计算</w:t>
            </w:r>
          </w:p>
        </w:tc>
        <w:tc>
          <w:tcPr>
            <w:tcW w:w="8243" w:type="dxa"/>
            <w:gridSpan w:val="2"/>
            <w:noWrap/>
            <w:vAlign w:val="center"/>
          </w:tcPr>
          <w:p w14:paraId="764D1DBD">
            <w:pPr>
              <w:snapToGrid w:val="0"/>
              <w:spacing w:line="320" w:lineRule="exact"/>
              <w:rPr>
                <w:rFonts w:ascii="宋体" w:hAnsi="宋体" w:cs="宋体"/>
                <w:color w:val="000000" w:themeColor="text1"/>
                <w:sz w:val="24"/>
                <w:highlight w:val="none"/>
              </w:rPr>
            </w:pPr>
            <w:r>
              <w:rPr>
                <w:rFonts w:hint="eastAsia" w:ascii="宋体" w:hAnsi="宋体" w:cs="宋体"/>
                <w:color w:val="000000" w:themeColor="text1"/>
                <w:sz w:val="24"/>
                <w:highlight w:val="none"/>
              </w:rPr>
              <w:t>磋商小组成员评分=各项评分因素的汇总得分。</w:t>
            </w:r>
          </w:p>
          <w:p w14:paraId="76C17E0C">
            <w:pPr>
              <w:snapToGrid w:val="0"/>
              <w:spacing w:line="320" w:lineRule="exact"/>
              <w:rPr>
                <w:rFonts w:ascii="宋体" w:hAnsi="宋体" w:cs="宋体"/>
                <w:color w:val="000000" w:themeColor="text1"/>
                <w:sz w:val="24"/>
                <w:highlight w:val="none"/>
              </w:rPr>
            </w:pPr>
            <w:r>
              <w:rPr>
                <w:rFonts w:hint="eastAsia" w:ascii="宋体" w:hAnsi="宋体" w:cs="宋体"/>
                <w:color w:val="000000" w:themeColor="text1"/>
                <w:sz w:val="24"/>
                <w:highlight w:val="none"/>
              </w:rPr>
              <w:t>评标总得分=磋商小组所有成员合计评分/磋商小组组成人员数。</w:t>
            </w:r>
          </w:p>
        </w:tc>
      </w:tr>
    </w:tbl>
    <w:p w14:paraId="1B6BDD70">
      <w:pPr>
        <w:rPr>
          <w:rFonts w:ascii="宋体" w:hAnsi="宋体" w:cs="宋体"/>
          <w:b/>
          <w:highlight w:val="none"/>
        </w:rPr>
        <w:sectPr>
          <w:pgSz w:w="11906" w:h="16838"/>
          <w:pgMar w:top="1417" w:right="1474" w:bottom="1417" w:left="1474" w:header="851" w:footer="624" w:gutter="0"/>
          <w:cols w:space="720" w:num="1"/>
          <w:docGrid w:type="lines" w:linePitch="319" w:charSpace="0"/>
        </w:sectPr>
      </w:pPr>
    </w:p>
    <w:bookmarkEnd w:id="37"/>
    <w:p w14:paraId="7098C5AC">
      <w:pPr>
        <w:pStyle w:val="3"/>
        <w:snapToGrid w:val="0"/>
        <w:spacing w:before="0" w:after="0" w:line="480" w:lineRule="auto"/>
        <w:jc w:val="center"/>
        <w:rPr>
          <w:rFonts w:ascii="宋体" w:hAnsi="宋体" w:cs="宋体"/>
          <w:sz w:val="28"/>
          <w:szCs w:val="28"/>
          <w:highlight w:val="none"/>
        </w:rPr>
      </w:pPr>
      <w:bookmarkStart w:id="39" w:name="_Toc11904"/>
      <w:bookmarkStart w:id="40" w:name="_Toc1482"/>
      <w:bookmarkStart w:id="41" w:name="_Toc1947"/>
      <w:bookmarkStart w:id="42" w:name="_Toc326786897"/>
      <w:bookmarkStart w:id="43" w:name="_Toc256519703"/>
      <w:r>
        <w:rPr>
          <w:rFonts w:hint="eastAsia" w:ascii="宋体" w:hAnsi="宋体" w:cs="宋体"/>
          <w:sz w:val="28"/>
          <w:szCs w:val="28"/>
          <w:highlight w:val="none"/>
        </w:rPr>
        <w:t>第五章  采购合同</w:t>
      </w:r>
      <w:bookmarkEnd w:id="39"/>
    </w:p>
    <w:p w14:paraId="09A926CC">
      <w:pPr>
        <w:snapToGrid w:val="0"/>
        <w:spacing w:line="360" w:lineRule="auto"/>
        <w:jc w:val="center"/>
        <w:rPr>
          <w:rFonts w:ascii="宋体" w:hAnsi="宋体" w:cs="宋体"/>
          <w:szCs w:val="21"/>
          <w:highlight w:val="none"/>
        </w:rPr>
      </w:pPr>
      <w:r>
        <w:rPr>
          <w:rFonts w:hint="eastAsia" w:ascii="宋体" w:hAnsi="宋体" w:cs="宋体"/>
          <w:szCs w:val="21"/>
          <w:highlight w:val="none"/>
        </w:rPr>
        <w:t>（以实际合同为准）</w:t>
      </w:r>
    </w:p>
    <w:p w14:paraId="44DB431D">
      <w:pPr>
        <w:rPr>
          <w:rFonts w:ascii="宋体" w:hAnsi="宋体" w:cs="宋体"/>
          <w:sz w:val="32"/>
          <w:szCs w:val="32"/>
          <w:highlight w:val="none"/>
        </w:rPr>
      </w:pPr>
    </w:p>
    <w:p w14:paraId="35421E5C">
      <w:pPr>
        <w:rPr>
          <w:rFonts w:ascii="宋体" w:hAnsi="宋体" w:cs="宋体"/>
          <w:highlight w:val="none"/>
        </w:rPr>
      </w:pPr>
      <w:r>
        <w:rPr>
          <w:rFonts w:hint="eastAsia" w:ascii="宋体" w:hAnsi="宋体" w:cs="宋体"/>
          <w:highlight w:val="none"/>
        </w:rPr>
        <w:br w:type="page"/>
      </w:r>
    </w:p>
    <w:p w14:paraId="62414C57">
      <w:pPr>
        <w:pStyle w:val="3"/>
        <w:jc w:val="center"/>
        <w:rPr>
          <w:rFonts w:ascii="宋体" w:hAnsi="宋体" w:cs="宋体"/>
          <w:kern w:val="0"/>
          <w:highlight w:val="none"/>
        </w:rPr>
      </w:pPr>
      <w:bookmarkStart w:id="44" w:name="_Toc18702"/>
      <w:r>
        <w:rPr>
          <w:rFonts w:hint="eastAsia" w:ascii="宋体" w:hAnsi="宋体" w:cs="宋体"/>
          <w:sz w:val="32"/>
          <w:szCs w:val="32"/>
          <w:highlight w:val="none"/>
        </w:rPr>
        <w:t>第六章  响应文件格式</w:t>
      </w:r>
      <w:bookmarkEnd w:id="40"/>
      <w:bookmarkEnd w:id="41"/>
      <w:bookmarkEnd w:id="44"/>
    </w:p>
    <w:p w14:paraId="7D8277C3">
      <w:pPr>
        <w:spacing w:line="440" w:lineRule="exact"/>
        <w:rPr>
          <w:rFonts w:ascii="宋体" w:hAnsi="宋体" w:cs="宋体"/>
          <w:sz w:val="24"/>
          <w:highlight w:val="none"/>
        </w:rPr>
      </w:pPr>
    </w:p>
    <w:p w14:paraId="75C9C928">
      <w:pPr>
        <w:jc w:val="center"/>
        <w:rPr>
          <w:rFonts w:ascii="宋体" w:hAnsi="宋体" w:cs="宋体"/>
          <w:b/>
          <w:bCs/>
          <w:sz w:val="32"/>
          <w:szCs w:val="32"/>
          <w:highlight w:val="none"/>
        </w:rPr>
      </w:pPr>
      <w:bookmarkStart w:id="45" w:name="_Toc13604"/>
      <w:r>
        <w:rPr>
          <w:rFonts w:hint="eastAsia" w:ascii="宋体" w:hAnsi="宋体" w:cs="宋体"/>
          <w:b/>
          <w:bCs/>
          <w:sz w:val="32"/>
          <w:szCs w:val="32"/>
          <w:highlight w:val="none"/>
        </w:rPr>
        <w:t>目    录</w:t>
      </w:r>
      <w:bookmarkEnd w:id="45"/>
    </w:p>
    <w:p w14:paraId="63CCEC68">
      <w:pPr>
        <w:widowControl/>
        <w:wordWrap w:val="0"/>
        <w:spacing w:line="460" w:lineRule="exact"/>
        <w:ind w:firstLine="480" w:firstLineChars="200"/>
        <w:jc w:val="left"/>
        <w:rPr>
          <w:rFonts w:ascii="宋体" w:hAnsi="宋体" w:cs="宋体"/>
          <w:kern w:val="0"/>
          <w:sz w:val="24"/>
          <w:highlight w:val="none"/>
        </w:rPr>
      </w:pPr>
    </w:p>
    <w:p w14:paraId="382FD708">
      <w:pPr>
        <w:snapToGrid w:val="0"/>
        <w:spacing w:line="360" w:lineRule="auto"/>
        <w:ind w:firstLine="480" w:firstLineChars="200"/>
        <w:rPr>
          <w:rFonts w:ascii="宋体" w:hAnsi="宋体" w:cs="宋体"/>
          <w:sz w:val="24"/>
          <w:highlight w:val="none"/>
        </w:rPr>
      </w:pPr>
      <w:bookmarkStart w:id="46" w:name="_Toc11308"/>
      <w:r>
        <w:rPr>
          <w:rFonts w:hint="eastAsia" w:ascii="宋体" w:hAnsi="宋体" w:cs="宋体"/>
          <w:sz w:val="24"/>
          <w:highlight w:val="none"/>
        </w:rPr>
        <w:t>附件1响应文件封面（格式）</w:t>
      </w:r>
      <w:bookmarkEnd w:id="46"/>
    </w:p>
    <w:p w14:paraId="15402497">
      <w:pPr>
        <w:snapToGrid w:val="0"/>
        <w:spacing w:line="360" w:lineRule="auto"/>
        <w:ind w:firstLine="480" w:firstLineChars="200"/>
        <w:rPr>
          <w:rFonts w:ascii="宋体" w:hAnsi="宋体" w:cs="宋体"/>
          <w:sz w:val="24"/>
          <w:highlight w:val="none"/>
        </w:rPr>
      </w:pPr>
      <w:bookmarkStart w:id="47" w:name="_Toc25345"/>
      <w:bookmarkStart w:id="48" w:name="_Toc9579"/>
      <w:r>
        <w:rPr>
          <w:rFonts w:hint="eastAsia" w:ascii="宋体" w:hAnsi="宋体" w:cs="宋体"/>
          <w:sz w:val="24"/>
          <w:highlight w:val="none"/>
        </w:rPr>
        <w:t xml:space="preserve">附件2 </w:t>
      </w:r>
      <w:r>
        <w:rPr>
          <w:rFonts w:hint="eastAsia" w:ascii="宋体" w:hAnsi="宋体" w:cs="宋体"/>
          <w:kern w:val="0"/>
          <w:sz w:val="24"/>
          <w:highlight w:val="none"/>
        </w:rPr>
        <w:t>竞争性磋商响应书</w:t>
      </w:r>
      <w:r>
        <w:rPr>
          <w:rFonts w:hint="eastAsia" w:ascii="宋体" w:hAnsi="宋体" w:cs="宋体"/>
          <w:sz w:val="24"/>
          <w:highlight w:val="none"/>
        </w:rPr>
        <w:t>（格式）</w:t>
      </w:r>
      <w:bookmarkEnd w:id="47"/>
    </w:p>
    <w:p w14:paraId="5543C826">
      <w:pPr>
        <w:snapToGrid w:val="0"/>
        <w:spacing w:line="360" w:lineRule="auto"/>
        <w:ind w:firstLine="480" w:firstLineChars="200"/>
        <w:rPr>
          <w:rFonts w:ascii="宋体" w:hAnsi="宋体" w:cs="宋体"/>
          <w:sz w:val="24"/>
          <w:highlight w:val="none"/>
        </w:rPr>
      </w:pPr>
      <w:bookmarkStart w:id="49" w:name="_Toc10217"/>
      <w:r>
        <w:rPr>
          <w:rFonts w:hint="eastAsia" w:ascii="宋体" w:hAnsi="宋体" w:cs="宋体"/>
          <w:sz w:val="24"/>
          <w:highlight w:val="none"/>
        </w:rPr>
        <w:t xml:space="preserve">附件3 </w:t>
      </w:r>
      <w:r>
        <w:rPr>
          <w:rFonts w:hint="eastAsia" w:ascii="宋体" w:hAnsi="宋体" w:cs="宋体"/>
          <w:kern w:val="0"/>
          <w:sz w:val="24"/>
          <w:highlight w:val="none"/>
        </w:rPr>
        <w:t>初次报价一览表</w:t>
      </w:r>
      <w:r>
        <w:rPr>
          <w:rFonts w:hint="eastAsia" w:ascii="宋体" w:hAnsi="宋体" w:cs="宋体"/>
          <w:sz w:val="24"/>
          <w:highlight w:val="none"/>
        </w:rPr>
        <w:t>（格式）</w:t>
      </w:r>
      <w:bookmarkEnd w:id="49"/>
    </w:p>
    <w:p w14:paraId="58BBA468">
      <w:pPr>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附件4</w:t>
      </w:r>
      <w:bookmarkEnd w:id="48"/>
      <w:r>
        <w:rPr>
          <w:rFonts w:hint="eastAsia" w:ascii="宋体" w:hAnsi="宋体" w:cs="宋体"/>
          <w:sz w:val="24"/>
          <w:highlight w:val="none"/>
        </w:rPr>
        <w:t xml:space="preserve"> 项目预算书</w:t>
      </w:r>
    </w:p>
    <w:p w14:paraId="631DB41D">
      <w:pPr>
        <w:snapToGrid w:val="0"/>
        <w:spacing w:line="360" w:lineRule="auto"/>
        <w:ind w:firstLine="480" w:firstLineChars="200"/>
        <w:rPr>
          <w:rFonts w:ascii="宋体" w:hAnsi="宋体" w:cs="宋体"/>
          <w:sz w:val="24"/>
          <w:highlight w:val="none"/>
        </w:rPr>
      </w:pPr>
      <w:bookmarkStart w:id="50" w:name="_Toc28392"/>
      <w:r>
        <w:rPr>
          <w:rFonts w:hint="eastAsia" w:ascii="宋体" w:hAnsi="宋体" w:cs="宋体"/>
          <w:sz w:val="24"/>
          <w:highlight w:val="none"/>
        </w:rPr>
        <w:t>附件5</w:t>
      </w:r>
      <w:bookmarkEnd w:id="50"/>
      <w:r>
        <w:rPr>
          <w:rFonts w:hint="eastAsia" w:ascii="宋体" w:hAnsi="宋体" w:cs="宋体"/>
          <w:kern w:val="0"/>
          <w:sz w:val="24"/>
          <w:highlight w:val="none"/>
        </w:rPr>
        <w:t>施工组织设计</w:t>
      </w:r>
    </w:p>
    <w:p w14:paraId="046149D2">
      <w:pPr>
        <w:snapToGrid w:val="0"/>
        <w:spacing w:line="360" w:lineRule="auto"/>
        <w:ind w:firstLine="480" w:firstLineChars="200"/>
        <w:rPr>
          <w:rFonts w:ascii="宋体" w:hAnsi="宋体" w:cs="宋体"/>
          <w:sz w:val="24"/>
          <w:highlight w:val="none"/>
        </w:rPr>
      </w:pPr>
      <w:bookmarkStart w:id="51" w:name="_Toc26231"/>
      <w:r>
        <w:rPr>
          <w:rFonts w:hint="eastAsia" w:ascii="宋体" w:hAnsi="宋体" w:cs="宋体"/>
          <w:sz w:val="24"/>
          <w:highlight w:val="none"/>
        </w:rPr>
        <w:t>附件6法定代表人身份证明（格式）</w:t>
      </w:r>
      <w:bookmarkEnd w:id="51"/>
    </w:p>
    <w:p w14:paraId="4C85E1E6">
      <w:pPr>
        <w:snapToGrid w:val="0"/>
        <w:spacing w:line="360" w:lineRule="auto"/>
        <w:ind w:firstLine="480" w:firstLineChars="200"/>
        <w:rPr>
          <w:rFonts w:ascii="宋体" w:hAnsi="宋体" w:cs="宋体"/>
          <w:sz w:val="24"/>
          <w:highlight w:val="none"/>
        </w:rPr>
      </w:pPr>
      <w:bookmarkStart w:id="52" w:name="_Toc18484"/>
      <w:r>
        <w:rPr>
          <w:rFonts w:hint="eastAsia" w:ascii="宋体" w:hAnsi="宋体" w:cs="宋体"/>
          <w:sz w:val="24"/>
          <w:highlight w:val="none"/>
        </w:rPr>
        <w:t>附件7法定代表人授权书（格式）</w:t>
      </w:r>
      <w:bookmarkEnd w:id="52"/>
    </w:p>
    <w:p w14:paraId="60B2649D">
      <w:pPr>
        <w:snapToGrid w:val="0"/>
        <w:spacing w:line="360" w:lineRule="auto"/>
        <w:ind w:firstLine="480" w:firstLineChars="200"/>
        <w:rPr>
          <w:rFonts w:ascii="宋体" w:hAnsi="宋体" w:cs="宋体"/>
          <w:sz w:val="24"/>
          <w:highlight w:val="none"/>
        </w:rPr>
      </w:pPr>
      <w:bookmarkStart w:id="53" w:name="_Toc31857"/>
      <w:r>
        <w:rPr>
          <w:rFonts w:hint="eastAsia" w:ascii="宋体" w:hAnsi="宋体" w:cs="宋体"/>
          <w:sz w:val="24"/>
          <w:highlight w:val="none"/>
        </w:rPr>
        <w:t>附件8 证明文件</w:t>
      </w:r>
      <w:bookmarkEnd w:id="53"/>
    </w:p>
    <w:p w14:paraId="18F9BA2C">
      <w:pPr>
        <w:snapToGrid w:val="0"/>
        <w:spacing w:line="360" w:lineRule="auto"/>
        <w:rPr>
          <w:rFonts w:ascii="宋体" w:hAnsi="宋体" w:cs="宋体"/>
          <w:sz w:val="24"/>
          <w:highlight w:val="none"/>
        </w:rPr>
      </w:pPr>
    </w:p>
    <w:p w14:paraId="57C3FA2E">
      <w:pPr>
        <w:pStyle w:val="33"/>
        <w:ind w:firstLine="210"/>
        <w:rPr>
          <w:rFonts w:ascii="宋体" w:hAnsi="宋体" w:cs="宋体"/>
          <w:highlight w:val="none"/>
        </w:rPr>
      </w:pPr>
    </w:p>
    <w:p w14:paraId="3A1C219A">
      <w:pPr>
        <w:widowControl/>
        <w:wordWrap w:val="0"/>
        <w:snapToGrid w:val="0"/>
        <w:spacing w:line="460" w:lineRule="exact"/>
        <w:ind w:firstLine="482" w:firstLineChars="200"/>
        <w:jc w:val="center"/>
        <w:rPr>
          <w:rFonts w:ascii="宋体" w:hAnsi="宋体" w:cs="宋体"/>
          <w:b/>
          <w:bCs/>
          <w:kern w:val="0"/>
          <w:sz w:val="24"/>
          <w:highlight w:val="none"/>
        </w:rPr>
      </w:pPr>
    </w:p>
    <w:p w14:paraId="482409E6">
      <w:pPr>
        <w:widowControl/>
        <w:wordWrap w:val="0"/>
        <w:snapToGrid w:val="0"/>
        <w:spacing w:line="460" w:lineRule="exact"/>
        <w:ind w:firstLine="482" w:firstLineChars="200"/>
        <w:jc w:val="center"/>
        <w:rPr>
          <w:rFonts w:ascii="宋体" w:hAnsi="宋体" w:cs="宋体"/>
          <w:b/>
          <w:bCs/>
          <w:kern w:val="0"/>
          <w:sz w:val="24"/>
          <w:highlight w:val="none"/>
        </w:rPr>
      </w:pPr>
    </w:p>
    <w:p w14:paraId="5E9C70D2">
      <w:pPr>
        <w:widowControl/>
        <w:wordWrap w:val="0"/>
        <w:snapToGrid w:val="0"/>
        <w:spacing w:line="460" w:lineRule="exact"/>
        <w:ind w:firstLine="482" w:firstLineChars="200"/>
        <w:jc w:val="center"/>
        <w:rPr>
          <w:rFonts w:ascii="宋体" w:hAnsi="宋体" w:cs="宋体"/>
          <w:b/>
          <w:bCs/>
          <w:kern w:val="0"/>
          <w:sz w:val="24"/>
          <w:highlight w:val="none"/>
        </w:rPr>
      </w:pPr>
    </w:p>
    <w:p w14:paraId="5409111C">
      <w:pPr>
        <w:pStyle w:val="4"/>
        <w:rPr>
          <w:rFonts w:ascii="宋体" w:hAnsi="宋体" w:cs="宋体"/>
          <w:b/>
          <w:bCs/>
          <w:kern w:val="0"/>
          <w:sz w:val="24"/>
          <w:highlight w:val="none"/>
        </w:rPr>
      </w:pPr>
    </w:p>
    <w:p w14:paraId="7868388F">
      <w:pPr>
        <w:pStyle w:val="5"/>
        <w:rPr>
          <w:rFonts w:hAnsi="宋体"/>
          <w:b/>
          <w:bCs/>
          <w:color w:val="auto"/>
          <w:highlight w:val="none"/>
        </w:rPr>
      </w:pPr>
    </w:p>
    <w:p w14:paraId="58864C31">
      <w:pPr>
        <w:pStyle w:val="5"/>
        <w:rPr>
          <w:rFonts w:hAnsi="宋体"/>
          <w:b/>
          <w:bCs/>
          <w:color w:val="auto"/>
          <w:highlight w:val="none"/>
        </w:rPr>
      </w:pPr>
    </w:p>
    <w:p w14:paraId="00EA22F9">
      <w:pPr>
        <w:rPr>
          <w:rFonts w:ascii="宋体" w:hAnsi="宋体" w:cs="宋体"/>
          <w:highlight w:val="none"/>
        </w:rPr>
      </w:pPr>
      <w:r>
        <w:rPr>
          <w:rFonts w:hint="eastAsia" w:ascii="宋体" w:hAnsi="宋体" w:cs="宋体"/>
          <w:highlight w:val="none"/>
        </w:rPr>
        <w:br w:type="page"/>
      </w:r>
    </w:p>
    <w:p w14:paraId="2E03D86F">
      <w:pPr>
        <w:pStyle w:val="28"/>
        <w:rPr>
          <w:rFonts w:ascii="宋体" w:hAnsi="宋体" w:cs="宋体"/>
          <w:highlight w:val="none"/>
        </w:rPr>
      </w:pPr>
    </w:p>
    <w:p w14:paraId="34B5BCB9">
      <w:pPr>
        <w:pStyle w:val="2"/>
        <w:snapToGrid w:val="0"/>
        <w:spacing w:before="20" w:after="20" w:line="360" w:lineRule="auto"/>
        <w:rPr>
          <w:rFonts w:ascii="宋体" w:hAnsi="宋体" w:eastAsia="宋体" w:cs="宋体"/>
          <w:sz w:val="28"/>
          <w:szCs w:val="28"/>
          <w:highlight w:val="none"/>
        </w:rPr>
      </w:pPr>
      <w:bookmarkStart w:id="54" w:name="_Toc24743"/>
      <w:bookmarkStart w:id="55" w:name="_Toc31798"/>
      <w:r>
        <w:rPr>
          <w:rFonts w:hint="eastAsia" w:ascii="宋体" w:hAnsi="宋体" w:eastAsia="宋体" w:cs="宋体"/>
          <w:sz w:val="28"/>
          <w:szCs w:val="28"/>
          <w:highlight w:val="none"/>
        </w:rPr>
        <w:t>附件1               响应文件封面（格式）</w:t>
      </w:r>
      <w:bookmarkEnd w:id="54"/>
      <w:bookmarkEnd w:id="55"/>
    </w:p>
    <w:p w14:paraId="4BF35905">
      <w:pPr>
        <w:widowControl/>
        <w:wordWrap w:val="0"/>
        <w:spacing w:line="460" w:lineRule="exact"/>
        <w:ind w:firstLine="482" w:firstLineChars="200"/>
        <w:jc w:val="center"/>
        <w:rPr>
          <w:rFonts w:ascii="宋体" w:hAnsi="宋体" w:cs="宋体"/>
          <w:b/>
          <w:kern w:val="0"/>
          <w:sz w:val="24"/>
          <w:highlight w:val="none"/>
        </w:rPr>
      </w:pPr>
    </w:p>
    <w:p w14:paraId="69237ABF">
      <w:pPr>
        <w:snapToGrid w:val="0"/>
        <w:spacing w:line="360" w:lineRule="auto"/>
        <w:jc w:val="center"/>
        <w:rPr>
          <w:rFonts w:ascii="宋体" w:hAnsi="宋体" w:cs="宋体"/>
          <w:b/>
          <w:spacing w:val="90"/>
          <w:sz w:val="52"/>
          <w:szCs w:val="52"/>
          <w:highlight w:val="none"/>
        </w:rPr>
      </w:pPr>
      <w:r>
        <w:rPr>
          <w:rFonts w:hint="eastAsia" w:ascii="宋体" w:hAnsi="宋体" w:cs="宋体"/>
          <w:b/>
          <w:snapToGrid w:val="0"/>
          <w:kern w:val="0"/>
          <w:sz w:val="44"/>
          <w:szCs w:val="44"/>
          <w:highlight w:val="none"/>
        </w:rPr>
        <w:t>驻马店市中心医院项目</w:t>
      </w:r>
    </w:p>
    <w:p w14:paraId="0D080006">
      <w:pPr>
        <w:snapToGrid w:val="0"/>
        <w:spacing w:line="360" w:lineRule="auto"/>
        <w:jc w:val="center"/>
        <w:rPr>
          <w:rFonts w:ascii="宋体" w:hAnsi="宋体" w:cs="宋体"/>
          <w:b/>
          <w:spacing w:val="90"/>
          <w:sz w:val="52"/>
          <w:szCs w:val="52"/>
          <w:highlight w:val="none"/>
        </w:rPr>
      </w:pPr>
      <w:r>
        <w:rPr>
          <w:rFonts w:hint="eastAsia" w:ascii="宋体" w:hAnsi="宋体" w:cs="宋体"/>
          <w:b/>
          <w:spacing w:val="90"/>
          <w:sz w:val="52"/>
          <w:szCs w:val="52"/>
          <w:highlight w:val="none"/>
        </w:rPr>
        <w:t>响应文件</w:t>
      </w:r>
    </w:p>
    <w:p w14:paraId="3EA363A0">
      <w:pPr>
        <w:spacing w:line="360" w:lineRule="auto"/>
        <w:rPr>
          <w:rFonts w:ascii="宋体" w:hAnsi="宋体" w:cs="宋体"/>
          <w:sz w:val="28"/>
          <w:highlight w:val="none"/>
        </w:rPr>
      </w:pPr>
    </w:p>
    <w:p w14:paraId="52F5B05C">
      <w:pPr>
        <w:pStyle w:val="5"/>
        <w:spacing w:line="360" w:lineRule="auto"/>
        <w:rPr>
          <w:rFonts w:hAnsi="宋体"/>
          <w:color w:val="auto"/>
          <w:highlight w:val="none"/>
        </w:rPr>
      </w:pPr>
    </w:p>
    <w:p w14:paraId="5BBB2D6B">
      <w:pPr>
        <w:pStyle w:val="5"/>
        <w:spacing w:line="360" w:lineRule="auto"/>
        <w:rPr>
          <w:rFonts w:hAnsi="宋体"/>
          <w:color w:val="auto"/>
          <w:highlight w:val="none"/>
        </w:rPr>
      </w:pPr>
    </w:p>
    <w:p w14:paraId="1697CEA9">
      <w:pPr>
        <w:spacing w:line="360" w:lineRule="auto"/>
        <w:rPr>
          <w:rFonts w:ascii="宋体" w:hAnsi="宋体" w:cs="宋体"/>
          <w:sz w:val="28"/>
          <w:highlight w:val="none"/>
        </w:rPr>
      </w:pPr>
    </w:p>
    <w:p w14:paraId="36B6CB26">
      <w:pPr>
        <w:spacing w:line="360" w:lineRule="auto"/>
        <w:rPr>
          <w:rFonts w:ascii="宋体" w:hAnsi="宋体" w:cs="宋体"/>
          <w:sz w:val="28"/>
          <w:highlight w:val="none"/>
        </w:rPr>
      </w:pPr>
    </w:p>
    <w:p w14:paraId="52590C00">
      <w:pPr>
        <w:spacing w:line="360" w:lineRule="auto"/>
        <w:rPr>
          <w:rFonts w:ascii="宋体" w:hAnsi="宋体" w:cs="宋体"/>
          <w:sz w:val="28"/>
          <w:highlight w:val="none"/>
        </w:rPr>
      </w:pPr>
    </w:p>
    <w:p w14:paraId="6B9DD996">
      <w:pPr>
        <w:spacing w:line="360" w:lineRule="auto"/>
        <w:rPr>
          <w:rFonts w:ascii="宋体" w:hAnsi="宋体" w:cs="宋体"/>
          <w:sz w:val="28"/>
          <w:highlight w:val="none"/>
        </w:rPr>
      </w:pPr>
    </w:p>
    <w:p w14:paraId="3212BE02">
      <w:pPr>
        <w:spacing w:line="360" w:lineRule="auto"/>
        <w:rPr>
          <w:rFonts w:ascii="宋体" w:hAnsi="宋体" w:cs="宋体"/>
          <w:sz w:val="28"/>
          <w:highlight w:val="none"/>
        </w:rPr>
      </w:pPr>
    </w:p>
    <w:p w14:paraId="24EEABDF">
      <w:pPr>
        <w:spacing w:line="360" w:lineRule="auto"/>
        <w:rPr>
          <w:rFonts w:ascii="宋体" w:hAnsi="宋体" w:cs="宋体"/>
          <w:sz w:val="28"/>
          <w:highlight w:val="none"/>
        </w:rPr>
      </w:pPr>
    </w:p>
    <w:p w14:paraId="41BCDA64">
      <w:pPr>
        <w:spacing w:line="360" w:lineRule="auto"/>
        <w:jc w:val="center"/>
        <w:rPr>
          <w:rFonts w:ascii="宋体" w:hAnsi="宋体" w:cs="宋体"/>
          <w:sz w:val="28"/>
          <w:szCs w:val="28"/>
          <w:highlight w:val="none"/>
        </w:rPr>
      </w:pPr>
      <w:r>
        <w:rPr>
          <w:rFonts w:hint="eastAsia" w:ascii="宋体" w:hAnsi="宋体" w:cs="宋体"/>
          <w:sz w:val="28"/>
          <w:szCs w:val="28"/>
          <w:highlight w:val="none"/>
        </w:rPr>
        <w:t>供应商：</w:t>
      </w:r>
      <w:r>
        <w:rPr>
          <w:rFonts w:hint="eastAsia" w:ascii="宋体" w:hAnsi="宋体" w:cs="宋体"/>
          <w:sz w:val="28"/>
          <w:szCs w:val="28"/>
          <w:highlight w:val="none"/>
          <w:u w:val="single"/>
        </w:rPr>
        <w:t xml:space="preserve">                 </w:t>
      </w:r>
      <w:r>
        <w:rPr>
          <w:rFonts w:hint="eastAsia" w:ascii="宋体" w:hAnsi="宋体" w:cs="宋体"/>
          <w:sz w:val="28"/>
          <w:szCs w:val="28"/>
          <w:highlight w:val="none"/>
        </w:rPr>
        <w:t>（全称并加盖公章）</w:t>
      </w:r>
    </w:p>
    <w:p w14:paraId="45D01E00">
      <w:pPr>
        <w:widowControl/>
        <w:wordWrap w:val="0"/>
        <w:spacing w:line="460" w:lineRule="exact"/>
        <w:ind w:firstLine="1400" w:firstLineChars="500"/>
        <w:rPr>
          <w:rFonts w:ascii="宋体" w:hAnsi="宋体" w:cs="宋体"/>
          <w:sz w:val="28"/>
          <w:szCs w:val="28"/>
          <w:highlight w:val="none"/>
        </w:rPr>
      </w:pPr>
      <w:r>
        <w:rPr>
          <w:rFonts w:hint="eastAsia" w:ascii="宋体" w:hAnsi="宋体" w:cs="宋体"/>
          <w:sz w:val="28"/>
          <w:szCs w:val="28"/>
          <w:highlight w:val="none"/>
        </w:rPr>
        <w:t>法定代表人或委托代理人（签字或盖章）：</w:t>
      </w:r>
    </w:p>
    <w:p w14:paraId="78FF5BF1">
      <w:pPr>
        <w:widowControl/>
        <w:wordWrap w:val="0"/>
        <w:spacing w:line="460" w:lineRule="exact"/>
        <w:ind w:firstLine="1400" w:firstLineChars="500"/>
        <w:rPr>
          <w:rFonts w:ascii="宋体" w:hAnsi="宋体" w:cs="宋体"/>
          <w:b/>
          <w:kern w:val="0"/>
          <w:sz w:val="24"/>
          <w:highlight w:val="none"/>
        </w:rPr>
      </w:pPr>
      <w:r>
        <w:rPr>
          <w:rFonts w:hint="eastAsia" w:ascii="宋体" w:hAnsi="宋体" w:cs="宋体"/>
          <w:sz w:val="28"/>
          <w:szCs w:val="28"/>
          <w:highlight w:val="none"/>
        </w:rPr>
        <w:t>日期：     年   月   日</w:t>
      </w:r>
    </w:p>
    <w:p w14:paraId="3A97722C">
      <w:pPr>
        <w:widowControl/>
        <w:wordWrap w:val="0"/>
        <w:spacing w:line="460" w:lineRule="exact"/>
        <w:ind w:firstLine="482" w:firstLineChars="200"/>
        <w:jc w:val="left"/>
        <w:rPr>
          <w:rFonts w:ascii="宋体" w:hAnsi="宋体" w:cs="宋体"/>
          <w:b/>
          <w:kern w:val="0"/>
          <w:sz w:val="24"/>
          <w:highlight w:val="none"/>
        </w:rPr>
      </w:pPr>
    </w:p>
    <w:p w14:paraId="5430B7B2">
      <w:pPr>
        <w:pStyle w:val="4"/>
        <w:rPr>
          <w:rFonts w:ascii="宋体" w:hAnsi="宋体" w:cs="宋体"/>
          <w:b/>
          <w:kern w:val="0"/>
          <w:sz w:val="24"/>
          <w:highlight w:val="none"/>
        </w:rPr>
      </w:pPr>
    </w:p>
    <w:p w14:paraId="23B07C93">
      <w:pPr>
        <w:rPr>
          <w:rFonts w:ascii="宋体" w:hAnsi="宋体" w:cs="宋体"/>
          <w:b/>
          <w:kern w:val="0"/>
          <w:sz w:val="24"/>
          <w:highlight w:val="none"/>
        </w:rPr>
      </w:pPr>
      <w:r>
        <w:rPr>
          <w:rFonts w:hint="eastAsia" w:ascii="宋体" w:hAnsi="宋体" w:cs="宋体"/>
          <w:b/>
          <w:kern w:val="0"/>
          <w:sz w:val="24"/>
          <w:highlight w:val="none"/>
        </w:rPr>
        <w:br w:type="page"/>
      </w:r>
    </w:p>
    <w:p w14:paraId="324E3310">
      <w:pPr>
        <w:pStyle w:val="2"/>
        <w:keepNext w:val="0"/>
        <w:snapToGrid w:val="0"/>
        <w:spacing w:before="20" w:after="20" w:line="360" w:lineRule="auto"/>
        <w:jc w:val="center"/>
        <w:rPr>
          <w:rFonts w:ascii="宋体" w:hAnsi="宋体" w:eastAsia="宋体" w:cs="宋体"/>
          <w:sz w:val="28"/>
          <w:szCs w:val="28"/>
          <w:highlight w:val="none"/>
        </w:rPr>
      </w:pPr>
      <w:bookmarkStart w:id="56" w:name="_Toc14560"/>
      <w:bookmarkStart w:id="57" w:name="_Toc8818"/>
      <w:r>
        <w:rPr>
          <w:rFonts w:hint="eastAsia" w:ascii="宋体" w:hAnsi="宋体" w:eastAsia="宋体" w:cs="宋体"/>
          <w:sz w:val="28"/>
          <w:szCs w:val="28"/>
          <w:highlight w:val="none"/>
        </w:rPr>
        <w:t>附件2      竞争性磋商响应书（格式）</w:t>
      </w:r>
      <w:bookmarkEnd w:id="56"/>
      <w:bookmarkEnd w:id="57"/>
    </w:p>
    <w:p w14:paraId="082AE80C">
      <w:pPr>
        <w:wordWrap w:val="0"/>
        <w:snapToGrid w:val="0"/>
        <w:spacing w:line="460" w:lineRule="exact"/>
        <w:jc w:val="left"/>
        <w:rPr>
          <w:rFonts w:ascii="宋体" w:hAnsi="宋体" w:cs="宋体"/>
          <w:kern w:val="0"/>
          <w:sz w:val="24"/>
          <w:highlight w:val="none"/>
        </w:rPr>
      </w:pPr>
      <w:r>
        <w:rPr>
          <w:rFonts w:hint="eastAsia" w:ascii="宋体" w:hAnsi="宋体" w:cs="宋体"/>
          <w:kern w:val="0"/>
          <w:sz w:val="24"/>
          <w:highlight w:val="none"/>
        </w:rPr>
        <w:t>致：</w:t>
      </w:r>
      <w:r>
        <w:rPr>
          <w:rFonts w:hint="eastAsia" w:ascii="宋体" w:hAnsi="宋体" w:cs="宋体"/>
          <w:kern w:val="0"/>
          <w:sz w:val="24"/>
          <w:highlight w:val="none"/>
          <w:u w:val="single"/>
        </w:rPr>
        <w:t>驻马店市中心医院</w:t>
      </w:r>
    </w:p>
    <w:p w14:paraId="2B6E2DA5">
      <w:pPr>
        <w:pStyle w:val="97"/>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rPr>
        <w:t>我方仔细研究了</w:t>
      </w:r>
      <w:r>
        <w:rPr>
          <w:rFonts w:hint="eastAsia" w:asciiTheme="minorEastAsia" w:hAnsiTheme="minorEastAsia"/>
          <w:bCs/>
          <w:color w:val="FF0000"/>
          <w:sz w:val="24"/>
          <w:szCs w:val="24"/>
          <w:highlight w:val="none"/>
          <w:u w:val="single"/>
        </w:rPr>
        <w:t>（项目名称：              ）</w:t>
      </w:r>
      <w:r>
        <w:rPr>
          <w:rFonts w:hint="eastAsia" w:asciiTheme="minorEastAsia" w:hAnsiTheme="minorEastAsia"/>
          <w:sz w:val="24"/>
          <w:szCs w:val="24"/>
          <w:highlight w:val="none"/>
        </w:rPr>
        <w:t>采购文件的全部内容，决定参加该项目的磋商活动并按要求提交响应文件。我们郑重声明以下诸点并负法律责任</w:t>
      </w:r>
      <w:r>
        <w:rPr>
          <w:rFonts w:asciiTheme="minorEastAsia" w:hAnsiTheme="minorEastAsia"/>
          <w:sz w:val="24"/>
          <w:szCs w:val="24"/>
          <w:highlight w:val="none"/>
        </w:rPr>
        <w:t>:</w:t>
      </w:r>
    </w:p>
    <w:p w14:paraId="760C6D8E">
      <w:pPr>
        <w:wordWrap w:val="0"/>
        <w:spacing w:line="360" w:lineRule="auto"/>
        <w:ind w:firstLine="480" w:firstLineChars="200"/>
        <w:jc w:val="left"/>
        <w:rPr>
          <w:rFonts w:ascii="宋体" w:hAnsi="宋体" w:cs="宋体"/>
          <w:kern w:val="0"/>
          <w:sz w:val="24"/>
          <w:highlight w:val="none"/>
        </w:rPr>
      </w:pPr>
      <w:r>
        <w:rPr>
          <w:rFonts w:hint="eastAsia" w:ascii="宋体" w:hAnsi="宋体" w:cs="宋体"/>
          <w:kern w:val="0"/>
          <w:sz w:val="24"/>
          <w:highlight w:val="none"/>
        </w:rPr>
        <w:t>1、我方愿意向贵方提供任何与本竞争性磋商项目有关的数据、情况和技术资料，并保证其真实、合法、有效、完整。</w:t>
      </w:r>
    </w:p>
    <w:p w14:paraId="3362E90D">
      <w:pPr>
        <w:wordWrap w:val="0"/>
        <w:snapToGrid w:val="0"/>
        <w:spacing w:line="460" w:lineRule="exact"/>
        <w:ind w:firstLine="480" w:firstLineChars="200"/>
        <w:jc w:val="left"/>
        <w:rPr>
          <w:rFonts w:ascii="宋体" w:hAnsi="宋体" w:cs="宋体"/>
          <w:kern w:val="0"/>
          <w:sz w:val="24"/>
          <w:highlight w:val="none"/>
        </w:rPr>
      </w:pPr>
      <w:r>
        <w:rPr>
          <w:rFonts w:hint="eastAsia" w:ascii="宋体" w:hAnsi="宋体" w:cs="宋体"/>
          <w:kern w:val="0"/>
          <w:sz w:val="24"/>
          <w:highlight w:val="none"/>
        </w:rPr>
        <w:t>2、我方</w:t>
      </w:r>
      <w:r>
        <w:rPr>
          <w:rFonts w:hint="eastAsia" w:asciiTheme="minorEastAsia" w:hAnsiTheme="minorEastAsia"/>
          <w:sz w:val="24"/>
          <w:highlight w:val="none"/>
        </w:rPr>
        <w:t>我方响应文件有效期为自磋商之日起</w:t>
      </w:r>
      <w:r>
        <w:rPr>
          <w:rFonts w:asciiTheme="minorEastAsia" w:hAnsiTheme="minorEastAsia"/>
          <w:sz w:val="24"/>
          <w:highlight w:val="none"/>
        </w:rPr>
        <w:t>90</w:t>
      </w:r>
      <w:r>
        <w:rPr>
          <w:rFonts w:hint="eastAsia" w:asciiTheme="minorEastAsia" w:hAnsiTheme="minorEastAsia"/>
          <w:sz w:val="24"/>
          <w:highlight w:val="none"/>
        </w:rPr>
        <w:t>天，</w:t>
      </w:r>
      <w:r>
        <w:rPr>
          <w:rFonts w:hint="eastAsia" w:ascii="宋体" w:hAnsi="宋体" w:cs="宋体"/>
          <w:kern w:val="0"/>
          <w:sz w:val="24"/>
          <w:highlight w:val="none"/>
        </w:rPr>
        <w:t>同意在响应文件有效期内遵守本响应文件中的承诺且在此期限期满之前均具有约束力。如果我方成交，响应文件有效期与合同履行期相同。</w:t>
      </w:r>
    </w:p>
    <w:p w14:paraId="31C96BE7">
      <w:pPr>
        <w:wordWrap w:val="0"/>
        <w:snapToGrid w:val="0"/>
        <w:spacing w:line="460" w:lineRule="exact"/>
        <w:ind w:firstLine="480" w:firstLineChars="200"/>
        <w:jc w:val="left"/>
        <w:rPr>
          <w:rFonts w:ascii="宋体" w:hAnsi="宋体" w:cs="宋体"/>
          <w:kern w:val="0"/>
          <w:sz w:val="24"/>
          <w:highlight w:val="none"/>
        </w:rPr>
      </w:pPr>
      <w:r>
        <w:rPr>
          <w:rFonts w:hint="eastAsia" w:ascii="宋体" w:hAnsi="宋体" w:cs="宋体"/>
          <w:kern w:val="0"/>
          <w:sz w:val="24"/>
          <w:highlight w:val="none"/>
        </w:rPr>
        <w:t>3、我方已详细审查全部采购文件，包括修改文件（如有的话）和有关附件，将自行承担因对全部采购文件理解不正确或误解而产生的相应后果。</w:t>
      </w:r>
    </w:p>
    <w:p w14:paraId="76146465">
      <w:pPr>
        <w:wordWrap w:val="0"/>
        <w:spacing w:line="360" w:lineRule="auto"/>
        <w:ind w:firstLine="480" w:firstLineChars="200"/>
        <w:jc w:val="left"/>
        <w:rPr>
          <w:rFonts w:ascii="宋体" w:hAnsi="宋体" w:cs="宋体"/>
          <w:kern w:val="0"/>
          <w:sz w:val="24"/>
          <w:highlight w:val="none"/>
        </w:rPr>
      </w:pPr>
      <w:r>
        <w:rPr>
          <w:rFonts w:hint="eastAsia" w:ascii="宋体" w:hAnsi="宋体" w:cs="宋体"/>
          <w:kern w:val="0"/>
          <w:sz w:val="24"/>
          <w:highlight w:val="none"/>
        </w:rPr>
        <w:t>4、我方尊重磋商小组的评审结果，完全理解本采购项目最低投标价不作为成交的保证。</w:t>
      </w:r>
    </w:p>
    <w:p w14:paraId="207079C4">
      <w:pPr>
        <w:wordWrap w:val="0"/>
        <w:snapToGrid w:val="0"/>
        <w:spacing w:line="460" w:lineRule="exact"/>
        <w:ind w:firstLine="480" w:firstLineChars="200"/>
        <w:jc w:val="left"/>
        <w:rPr>
          <w:rFonts w:ascii="宋体" w:hAnsi="宋体" w:cs="宋体"/>
          <w:kern w:val="0"/>
          <w:sz w:val="24"/>
          <w:highlight w:val="none"/>
        </w:rPr>
      </w:pPr>
      <w:r>
        <w:rPr>
          <w:rFonts w:hint="eastAsia" w:ascii="宋体" w:hAnsi="宋体" w:cs="宋体"/>
          <w:kern w:val="0"/>
          <w:sz w:val="24"/>
          <w:highlight w:val="none"/>
        </w:rPr>
        <w:t>5、如果被确定为成交供应商，我方同意按采购文件的规定领取成交通知书并缴纳服务费。否则，视为我方成交后自动放弃成交资格，承担由此引起的一切后果。</w:t>
      </w:r>
    </w:p>
    <w:p w14:paraId="4ADED5EC">
      <w:pPr>
        <w:wordWrap w:val="0"/>
        <w:spacing w:line="460" w:lineRule="exact"/>
        <w:ind w:firstLine="480" w:firstLineChars="200"/>
        <w:jc w:val="left"/>
        <w:rPr>
          <w:rFonts w:ascii="宋体" w:hAnsi="宋体" w:cs="宋体"/>
          <w:kern w:val="0"/>
          <w:sz w:val="24"/>
          <w:highlight w:val="none"/>
        </w:rPr>
      </w:pPr>
      <w:r>
        <w:rPr>
          <w:rFonts w:hint="eastAsia" w:ascii="宋体" w:hAnsi="宋体" w:cs="宋体"/>
          <w:kern w:val="0"/>
          <w:sz w:val="24"/>
          <w:highlight w:val="none"/>
        </w:rPr>
        <w:t>6、如果被确定为成交供应商，我方同意在领取成交通知书之日起30日内与采购人签订采购合同。否则，视为我方成交后无正当理由不与采购人签订合同并承担相应法律责任。</w:t>
      </w:r>
    </w:p>
    <w:p w14:paraId="2F853695">
      <w:pPr>
        <w:tabs>
          <w:tab w:val="left" w:pos="939"/>
        </w:tabs>
        <w:wordWrap w:val="0"/>
        <w:snapToGrid w:val="0"/>
        <w:spacing w:line="460" w:lineRule="exact"/>
        <w:ind w:firstLine="480" w:firstLineChars="200"/>
        <w:jc w:val="left"/>
        <w:rPr>
          <w:rFonts w:ascii="宋体" w:hAnsi="宋体" w:cs="宋体"/>
          <w:kern w:val="0"/>
          <w:sz w:val="24"/>
          <w:highlight w:val="none"/>
        </w:rPr>
      </w:pPr>
      <w:r>
        <w:rPr>
          <w:rFonts w:hint="eastAsia" w:ascii="宋体" w:hAnsi="宋体" w:cs="宋体"/>
          <w:kern w:val="0"/>
          <w:sz w:val="24"/>
          <w:highlight w:val="none"/>
        </w:rPr>
        <w:t>7、以上事项如有虚假或隐瞒，我方愿意承担一切后果和责任。</w:t>
      </w:r>
    </w:p>
    <w:p w14:paraId="55F4B12B">
      <w:pPr>
        <w:wordWrap w:val="0"/>
        <w:spacing w:line="460" w:lineRule="exact"/>
        <w:ind w:firstLine="480" w:firstLineChars="200"/>
        <w:jc w:val="left"/>
        <w:rPr>
          <w:rFonts w:ascii="宋体" w:hAnsi="宋体" w:cs="宋体"/>
          <w:kern w:val="0"/>
          <w:sz w:val="24"/>
          <w:highlight w:val="none"/>
        </w:rPr>
      </w:pPr>
      <w:r>
        <w:rPr>
          <w:rFonts w:hint="eastAsia" w:ascii="宋体" w:hAnsi="宋体" w:cs="宋体"/>
          <w:kern w:val="0"/>
          <w:sz w:val="24"/>
          <w:highlight w:val="none"/>
        </w:rPr>
        <w:t>8、与磋商有关的一切正式往来通讯请寄（地址电话必须为最新并可以联系到）：</w:t>
      </w:r>
    </w:p>
    <w:p w14:paraId="62C1D1DD">
      <w:pPr>
        <w:wordWrap w:val="0"/>
        <w:spacing w:line="460" w:lineRule="exact"/>
        <w:ind w:firstLine="480" w:firstLineChars="200"/>
        <w:jc w:val="left"/>
        <w:rPr>
          <w:rFonts w:ascii="宋体" w:hAnsi="宋体" w:cs="宋体"/>
          <w:kern w:val="0"/>
          <w:sz w:val="24"/>
          <w:highlight w:val="none"/>
          <w:u w:val="single"/>
        </w:rPr>
      </w:pPr>
      <w:r>
        <w:rPr>
          <w:rFonts w:hint="eastAsia" w:ascii="宋体" w:hAnsi="宋体" w:cs="宋体"/>
          <w:kern w:val="0"/>
          <w:sz w:val="24"/>
          <w:highlight w:val="none"/>
        </w:rPr>
        <w:t xml:space="preserve">   地址：  邮编：</w:t>
      </w:r>
    </w:p>
    <w:p w14:paraId="12CB6819">
      <w:pPr>
        <w:wordWrap w:val="0"/>
        <w:spacing w:line="460" w:lineRule="exact"/>
        <w:ind w:firstLine="480" w:firstLineChars="200"/>
        <w:jc w:val="left"/>
        <w:rPr>
          <w:rFonts w:ascii="宋体" w:hAnsi="宋体" w:cs="宋体"/>
          <w:kern w:val="0"/>
          <w:sz w:val="24"/>
          <w:highlight w:val="none"/>
          <w:u w:val="single"/>
        </w:rPr>
      </w:pPr>
      <w:r>
        <w:rPr>
          <w:rFonts w:hint="eastAsia" w:ascii="宋体" w:hAnsi="宋体" w:cs="宋体"/>
          <w:kern w:val="0"/>
          <w:sz w:val="24"/>
          <w:highlight w:val="none"/>
        </w:rPr>
        <w:t xml:space="preserve">   电话：  传真： </w:t>
      </w:r>
    </w:p>
    <w:p w14:paraId="23529BA0">
      <w:pPr>
        <w:wordWrap w:val="0"/>
        <w:spacing w:line="460" w:lineRule="exact"/>
        <w:ind w:firstLine="480" w:firstLineChars="200"/>
        <w:jc w:val="left"/>
        <w:rPr>
          <w:rFonts w:ascii="宋体" w:hAnsi="宋体" w:cs="宋体"/>
          <w:kern w:val="0"/>
          <w:sz w:val="24"/>
          <w:highlight w:val="none"/>
        </w:rPr>
      </w:pPr>
    </w:p>
    <w:p w14:paraId="3A43E1DB">
      <w:pPr>
        <w:wordWrap w:val="0"/>
        <w:spacing w:line="460" w:lineRule="exact"/>
        <w:ind w:firstLine="840" w:firstLineChars="350"/>
        <w:jc w:val="left"/>
        <w:rPr>
          <w:rFonts w:ascii="宋体" w:hAnsi="宋体" w:cs="宋体"/>
          <w:kern w:val="0"/>
          <w:sz w:val="24"/>
          <w:highlight w:val="none"/>
          <w:u w:val="single"/>
        </w:rPr>
      </w:pPr>
      <w:r>
        <w:rPr>
          <w:rFonts w:hint="eastAsia" w:ascii="宋体" w:hAnsi="宋体" w:cs="宋体"/>
          <w:sz w:val="24"/>
          <w:highlight w:val="none"/>
        </w:rPr>
        <w:t>法定代表人或委托代理人（签字</w:t>
      </w:r>
      <w:r>
        <w:rPr>
          <w:rFonts w:hint="eastAsia" w:ascii="宋体" w:hAnsi="宋体" w:cs="宋体"/>
          <w:kern w:val="0"/>
          <w:sz w:val="24"/>
          <w:highlight w:val="none"/>
        </w:rPr>
        <w:t>或盖章</w:t>
      </w:r>
      <w:r>
        <w:rPr>
          <w:rFonts w:hint="eastAsia" w:ascii="宋体" w:hAnsi="宋体" w:cs="宋体"/>
          <w:sz w:val="24"/>
          <w:highlight w:val="none"/>
        </w:rPr>
        <w:t>）</w:t>
      </w:r>
      <w:r>
        <w:rPr>
          <w:rFonts w:hint="eastAsia" w:ascii="宋体" w:hAnsi="宋体" w:cs="宋体"/>
          <w:kern w:val="0"/>
          <w:sz w:val="24"/>
          <w:highlight w:val="none"/>
        </w:rPr>
        <w:t xml:space="preserve">： </w:t>
      </w:r>
    </w:p>
    <w:p w14:paraId="6635613F">
      <w:pPr>
        <w:wordWrap w:val="0"/>
        <w:spacing w:line="460" w:lineRule="exact"/>
        <w:ind w:firstLine="480" w:firstLineChars="200"/>
        <w:jc w:val="left"/>
        <w:rPr>
          <w:rFonts w:ascii="宋体" w:hAnsi="宋体" w:cs="宋体"/>
          <w:kern w:val="0"/>
          <w:sz w:val="24"/>
          <w:highlight w:val="none"/>
        </w:rPr>
      </w:pPr>
      <w:r>
        <w:rPr>
          <w:rFonts w:hint="eastAsia" w:ascii="宋体" w:hAnsi="宋体" w:cs="宋体"/>
          <w:kern w:val="0"/>
          <w:sz w:val="24"/>
          <w:highlight w:val="none"/>
        </w:rPr>
        <w:t>供应商：</w:t>
      </w:r>
      <w:r>
        <w:rPr>
          <w:rFonts w:hint="eastAsia" w:ascii="宋体" w:hAnsi="宋体" w:cs="宋体"/>
          <w:sz w:val="28"/>
          <w:szCs w:val="28"/>
          <w:highlight w:val="none"/>
          <w:u w:val="single"/>
        </w:rPr>
        <w:t xml:space="preserve">                 </w:t>
      </w:r>
      <w:r>
        <w:rPr>
          <w:rFonts w:hint="eastAsia" w:ascii="宋体" w:hAnsi="宋体" w:cs="宋体"/>
          <w:kern w:val="0"/>
          <w:sz w:val="24"/>
          <w:highlight w:val="none"/>
        </w:rPr>
        <w:t>（全称并加盖公章）</w:t>
      </w:r>
    </w:p>
    <w:p w14:paraId="3D3DF123">
      <w:pPr>
        <w:wordWrap w:val="0"/>
        <w:spacing w:line="460" w:lineRule="exact"/>
        <w:ind w:firstLine="960" w:firstLineChars="400"/>
        <w:jc w:val="left"/>
        <w:rPr>
          <w:rFonts w:ascii="宋体" w:hAnsi="宋体" w:cs="宋体"/>
          <w:kern w:val="0"/>
          <w:sz w:val="24"/>
          <w:highlight w:val="none"/>
        </w:rPr>
      </w:pPr>
      <w:r>
        <w:rPr>
          <w:rFonts w:hint="eastAsia" w:ascii="宋体" w:hAnsi="宋体" w:cs="宋体"/>
          <w:kern w:val="0"/>
          <w:sz w:val="24"/>
          <w:highlight w:val="none"/>
        </w:rPr>
        <w:t xml:space="preserve">日期：    年    月   日 </w:t>
      </w:r>
    </w:p>
    <w:p w14:paraId="6D9D6B85">
      <w:pPr>
        <w:widowControl/>
        <w:wordWrap w:val="0"/>
        <w:snapToGrid w:val="0"/>
        <w:spacing w:before="50" w:after="50" w:line="480" w:lineRule="auto"/>
        <w:jc w:val="left"/>
        <w:rPr>
          <w:rFonts w:ascii="宋体" w:hAnsi="宋体" w:cs="宋体"/>
          <w:b/>
          <w:kern w:val="0"/>
          <w:sz w:val="24"/>
          <w:highlight w:val="none"/>
        </w:rPr>
      </w:pPr>
    </w:p>
    <w:p w14:paraId="7112838B">
      <w:pPr>
        <w:spacing w:line="500" w:lineRule="exact"/>
        <w:jc w:val="center"/>
        <w:rPr>
          <w:rFonts w:ascii="宋体" w:hAnsi="宋体" w:cs="宋体"/>
          <w:b/>
          <w:bCs/>
          <w:sz w:val="24"/>
          <w:highlight w:val="none"/>
        </w:rPr>
      </w:pPr>
    </w:p>
    <w:p w14:paraId="1BC2010F">
      <w:pPr>
        <w:rPr>
          <w:rFonts w:ascii="宋体" w:hAnsi="宋体" w:cs="宋体"/>
          <w:sz w:val="28"/>
          <w:szCs w:val="28"/>
          <w:highlight w:val="none"/>
        </w:rPr>
      </w:pPr>
      <w:r>
        <w:rPr>
          <w:rFonts w:hint="eastAsia" w:ascii="宋体" w:hAnsi="宋体" w:cs="宋体"/>
          <w:sz w:val="28"/>
          <w:szCs w:val="28"/>
          <w:highlight w:val="none"/>
        </w:rPr>
        <w:br w:type="page"/>
      </w:r>
    </w:p>
    <w:p w14:paraId="75BF9128">
      <w:pPr>
        <w:rPr>
          <w:rFonts w:ascii="宋体" w:hAnsi="宋体" w:cs="宋体"/>
          <w:highlight w:val="none"/>
        </w:rPr>
      </w:pPr>
    </w:p>
    <w:p w14:paraId="79A24BE8">
      <w:pPr>
        <w:pStyle w:val="2"/>
        <w:snapToGrid w:val="0"/>
        <w:spacing w:before="20" w:after="20" w:line="360" w:lineRule="auto"/>
        <w:jc w:val="center"/>
        <w:rPr>
          <w:rFonts w:ascii="宋体" w:hAnsi="宋体" w:eastAsia="宋体" w:cs="宋体"/>
          <w:sz w:val="28"/>
          <w:szCs w:val="28"/>
          <w:highlight w:val="none"/>
        </w:rPr>
      </w:pPr>
      <w:bookmarkStart w:id="58" w:name="_Toc7838"/>
      <w:r>
        <w:rPr>
          <w:rFonts w:hint="eastAsia" w:ascii="宋体" w:hAnsi="宋体" w:eastAsia="宋体" w:cs="宋体"/>
          <w:sz w:val="28"/>
          <w:szCs w:val="28"/>
          <w:highlight w:val="none"/>
        </w:rPr>
        <w:t>附件3            初次报价一览表</w:t>
      </w:r>
      <w:bookmarkEnd w:id="58"/>
      <w:r>
        <w:rPr>
          <w:rFonts w:hint="eastAsia" w:ascii="宋体" w:hAnsi="宋体" w:eastAsia="宋体" w:cs="宋体"/>
          <w:sz w:val="28"/>
          <w:szCs w:val="28"/>
          <w:highlight w:val="none"/>
        </w:rPr>
        <w:t>（格式）</w:t>
      </w:r>
    </w:p>
    <w:p w14:paraId="4F3EAF8C">
      <w:pPr>
        <w:spacing w:line="239" w:lineRule="auto"/>
        <w:jc w:val="right"/>
        <w:rPr>
          <w:rFonts w:ascii="宋体" w:hAnsi="宋体" w:cs="宋体"/>
          <w:sz w:val="24"/>
          <w:highlight w:val="none"/>
        </w:rPr>
      </w:pPr>
      <w:r>
        <w:rPr>
          <w:rFonts w:hint="eastAsia" w:ascii="宋体" w:hAnsi="宋体" w:cs="宋体"/>
          <w:sz w:val="24"/>
          <w:highlight w:val="none"/>
        </w:rPr>
        <w:t>单位：人民币（元）</w:t>
      </w:r>
    </w:p>
    <w:p w14:paraId="125B17B2">
      <w:pPr>
        <w:rPr>
          <w:rFonts w:ascii="宋体" w:hAnsi="宋体" w:cs="宋体"/>
          <w:highlight w:val="none"/>
        </w:rPr>
      </w:pPr>
    </w:p>
    <w:tbl>
      <w:tblPr>
        <w:tblStyle w:val="34"/>
        <w:tblW w:w="9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7708"/>
      </w:tblGrid>
      <w:tr w14:paraId="73144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1978" w:type="dxa"/>
            <w:noWrap/>
            <w:vAlign w:val="center"/>
          </w:tcPr>
          <w:p w14:paraId="60470449">
            <w:pPr>
              <w:widowControl/>
              <w:snapToGrid w:val="0"/>
              <w:spacing w:before="50" w:after="50"/>
              <w:jc w:val="center"/>
              <w:rPr>
                <w:rFonts w:ascii="宋体" w:hAnsi="宋体" w:cs="宋体"/>
                <w:b/>
                <w:bCs/>
                <w:sz w:val="24"/>
                <w:highlight w:val="none"/>
              </w:rPr>
            </w:pPr>
            <w:r>
              <w:rPr>
                <w:rFonts w:hint="eastAsia" w:ascii="宋体" w:hAnsi="宋体" w:cs="宋体"/>
                <w:b/>
                <w:bCs/>
                <w:kern w:val="0"/>
                <w:sz w:val="24"/>
                <w:highlight w:val="none"/>
              </w:rPr>
              <w:t>项目名称</w:t>
            </w:r>
          </w:p>
        </w:tc>
        <w:tc>
          <w:tcPr>
            <w:tcW w:w="7708" w:type="dxa"/>
            <w:noWrap/>
            <w:vAlign w:val="center"/>
          </w:tcPr>
          <w:p w14:paraId="7AA703BA">
            <w:pPr>
              <w:rPr>
                <w:rFonts w:ascii="宋体" w:hAnsi="宋体" w:cs="宋体"/>
                <w:bCs/>
                <w:sz w:val="24"/>
                <w:highlight w:val="none"/>
              </w:rPr>
            </w:pPr>
          </w:p>
        </w:tc>
      </w:tr>
      <w:tr w14:paraId="3C9C4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jc w:val="center"/>
        </w:trPr>
        <w:tc>
          <w:tcPr>
            <w:tcW w:w="1978" w:type="dxa"/>
            <w:noWrap/>
            <w:vAlign w:val="center"/>
          </w:tcPr>
          <w:p w14:paraId="595FEDA1">
            <w:pPr>
              <w:widowControl/>
              <w:snapToGrid w:val="0"/>
              <w:spacing w:before="50" w:after="50"/>
              <w:jc w:val="center"/>
              <w:rPr>
                <w:rFonts w:ascii="宋体" w:hAnsi="宋体" w:cs="宋体"/>
                <w:b/>
                <w:bCs/>
                <w:sz w:val="24"/>
                <w:highlight w:val="none"/>
              </w:rPr>
            </w:pPr>
            <w:r>
              <w:rPr>
                <w:rFonts w:hint="eastAsia" w:ascii="宋体" w:hAnsi="宋体" w:cs="宋体"/>
                <w:b/>
                <w:bCs/>
                <w:kern w:val="0"/>
                <w:sz w:val="24"/>
                <w:highlight w:val="none"/>
              </w:rPr>
              <w:t>供应商名称</w:t>
            </w:r>
          </w:p>
        </w:tc>
        <w:tc>
          <w:tcPr>
            <w:tcW w:w="7708" w:type="dxa"/>
            <w:noWrap/>
            <w:vAlign w:val="center"/>
          </w:tcPr>
          <w:p w14:paraId="767352ED">
            <w:pPr>
              <w:rPr>
                <w:rFonts w:ascii="宋体" w:hAnsi="宋体" w:cs="宋体"/>
                <w:sz w:val="24"/>
                <w:highlight w:val="none"/>
              </w:rPr>
            </w:pPr>
          </w:p>
        </w:tc>
      </w:tr>
      <w:tr w14:paraId="6E808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jc w:val="center"/>
        </w:trPr>
        <w:tc>
          <w:tcPr>
            <w:tcW w:w="1978" w:type="dxa"/>
            <w:noWrap/>
            <w:vAlign w:val="center"/>
          </w:tcPr>
          <w:p w14:paraId="5240C7B8">
            <w:pPr>
              <w:jc w:val="center"/>
              <w:rPr>
                <w:rFonts w:ascii="宋体" w:hAnsi="宋体" w:cs="宋体"/>
                <w:b/>
                <w:bCs/>
                <w:spacing w:val="-20"/>
                <w:sz w:val="24"/>
                <w:highlight w:val="none"/>
              </w:rPr>
            </w:pPr>
            <w:r>
              <w:rPr>
                <w:rFonts w:hint="eastAsia" w:ascii="宋体" w:hAnsi="宋体" w:cs="宋体"/>
                <w:b/>
                <w:bCs/>
                <w:sz w:val="24"/>
                <w:highlight w:val="none"/>
              </w:rPr>
              <w:t>磋商报价</w:t>
            </w:r>
          </w:p>
        </w:tc>
        <w:tc>
          <w:tcPr>
            <w:tcW w:w="7708" w:type="dxa"/>
            <w:noWrap/>
            <w:vAlign w:val="center"/>
          </w:tcPr>
          <w:p w14:paraId="7B20B98D">
            <w:pPr>
              <w:spacing w:line="360" w:lineRule="auto"/>
              <w:rPr>
                <w:rFonts w:ascii="宋体" w:hAnsi="宋体" w:cs="宋体"/>
                <w:sz w:val="24"/>
                <w:highlight w:val="none"/>
              </w:rPr>
            </w:pPr>
            <w:r>
              <w:rPr>
                <w:rFonts w:hint="eastAsia" w:ascii="宋体" w:hAnsi="宋体" w:cs="宋体"/>
                <w:sz w:val="24"/>
                <w:highlight w:val="none"/>
              </w:rPr>
              <w:t>大写：</w:t>
            </w:r>
            <w:r>
              <w:rPr>
                <w:rFonts w:hint="eastAsia" w:ascii="宋体" w:hAnsi="宋体" w:cs="宋体"/>
                <w:sz w:val="28"/>
                <w:szCs w:val="28"/>
                <w:highlight w:val="none"/>
              </w:rPr>
              <w:t xml:space="preserve"> </w:t>
            </w:r>
          </w:p>
          <w:p w14:paraId="028033BB">
            <w:pPr>
              <w:spacing w:line="360" w:lineRule="auto"/>
              <w:rPr>
                <w:rFonts w:ascii="宋体" w:hAnsi="宋体" w:cs="宋体"/>
                <w:sz w:val="24"/>
                <w:highlight w:val="none"/>
              </w:rPr>
            </w:pPr>
            <w:r>
              <w:rPr>
                <w:rFonts w:hint="eastAsia" w:ascii="宋体" w:hAnsi="宋体" w:cs="宋体"/>
                <w:sz w:val="24"/>
                <w:highlight w:val="none"/>
              </w:rPr>
              <w:t>小写：</w:t>
            </w:r>
            <w:r>
              <w:rPr>
                <w:rFonts w:hint="eastAsia" w:ascii="宋体" w:hAnsi="宋体" w:cs="宋体"/>
                <w:sz w:val="28"/>
                <w:szCs w:val="28"/>
                <w:highlight w:val="none"/>
              </w:rPr>
              <w:t xml:space="preserve">       </w:t>
            </w:r>
            <w:r>
              <w:rPr>
                <w:rFonts w:hint="eastAsia" w:ascii="宋体" w:hAnsi="宋体" w:cs="宋体"/>
                <w:sz w:val="24"/>
                <w:highlight w:val="none"/>
              </w:rPr>
              <w:t>元（详见项目预算书）</w:t>
            </w:r>
          </w:p>
        </w:tc>
      </w:tr>
      <w:tr w14:paraId="6922F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jc w:val="center"/>
        </w:trPr>
        <w:tc>
          <w:tcPr>
            <w:tcW w:w="1978" w:type="dxa"/>
            <w:noWrap/>
            <w:vAlign w:val="center"/>
          </w:tcPr>
          <w:p w14:paraId="0BE1A30C">
            <w:pPr>
              <w:jc w:val="center"/>
              <w:rPr>
                <w:rFonts w:ascii="宋体" w:hAnsi="宋体" w:cs="宋体"/>
                <w:b/>
                <w:bCs/>
                <w:sz w:val="24"/>
                <w:highlight w:val="none"/>
              </w:rPr>
            </w:pPr>
            <w:r>
              <w:rPr>
                <w:rFonts w:hint="eastAsia" w:ascii="宋体" w:hAnsi="宋体" w:cs="宋体"/>
                <w:b/>
                <w:bCs/>
                <w:sz w:val="24"/>
                <w:highlight w:val="none"/>
              </w:rPr>
              <w:t>项目经理</w:t>
            </w:r>
          </w:p>
        </w:tc>
        <w:tc>
          <w:tcPr>
            <w:tcW w:w="7708" w:type="dxa"/>
            <w:noWrap/>
            <w:vAlign w:val="center"/>
          </w:tcPr>
          <w:p w14:paraId="6FE2D3A5">
            <w:pPr>
              <w:pStyle w:val="21"/>
              <w:ind w:left="0" w:leftChars="0"/>
              <w:rPr>
                <w:rFonts w:cs="宋体"/>
                <w:sz w:val="24"/>
                <w:highlight w:val="none"/>
              </w:rPr>
            </w:pPr>
          </w:p>
        </w:tc>
      </w:tr>
      <w:tr w14:paraId="2B882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jc w:val="center"/>
        </w:trPr>
        <w:tc>
          <w:tcPr>
            <w:tcW w:w="1978" w:type="dxa"/>
            <w:noWrap/>
            <w:vAlign w:val="center"/>
          </w:tcPr>
          <w:p w14:paraId="6A64C934">
            <w:pPr>
              <w:jc w:val="center"/>
              <w:rPr>
                <w:rFonts w:ascii="宋体" w:hAnsi="宋体" w:cs="宋体"/>
                <w:b/>
                <w:bCs/>
                <w:sz w:val="24"/>
                <w:highlight w:val="none"/>
              </w:rPr>
            </w:pPr>
            <w:r>
              <w:rPr>
                <w:rFonts w:hint="eastAsia" w:ascii="宋体" w:hAnsi="宋体" w:cs="宋体"/>
                <w:b/>
                <w:bCs/>
                <w:sz w:val="24"/>
                <w:highlight w:val="none"/>
              </w:rPr>
              <w:t>证书等级及编号</w:t>
            </w:r>
          </w:p>
        </w:tc>
        <w:tc>
          <w:tcPr>
            <w:tcW w:w="7708" w:type="dxa"/>
            <w:noWrap/>
            <w:vAlign w:val="center"/>
          </w:tcPr>
          <w:p w14:paraId="6C58CE0F">
            <w:pPr>
              <w:pStyle w:val="21"/>
              <w:ind w:left="0" w:leftChars="0"/>
              <w:rPr>
                <w:rFonts w:cs="宋体"/>
                <w:sz w:val="24"/>
                <w:highlight w:val="none"/>
              </w:rPr>
            </w:pPr>
          </w:p>
        </w:tc>
      </w:tr>
      <w:tr w14:paraId="57CEE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1978" w:type="dxa"/>
            <w:noWrap/>
            <w:vAlign w:val="center"/>
          </w:tcPr>
          <w:p w14:paraId="3677F137">
            <w:pPr>
              <w:jc w:val="center"/>
              <w:rPr>
                <w:rFonts w:ascii="宋体" w:hAnsi="宋体" w:cs="宋体"/>
                <w:b/>
                <w:bCs/>
                <w:sz w:val="24"/>
                <w:highlight w:val="none"/>
              </w:rPr>
            </w:pPr>
            <w:r>
              <w:rPr>
                <w:rFonts w:hint="eastAsia" w:ascii="宋体" w:hAnsi="宋体" w:cs="宋体"/>
                <w:b/>
                <w:bCs/>
                <w:sz w:val="24"/>
                <w:highlight w:val="none"/>
              </w:rPr>
              <w:t>备  注</w:t>
            </w:r>
          </w:p>
        </w:tc>
        <w:tc>
          <w:tcPr>
            <w:tcW w:w="7708" w:type="dxa"/>
            <w:noWrap/>
            <w:vAlign w:val="center"/>
          </w:tcPr>
          <w:p w14:paraId="233A3382">
            <w:pPr>
              <w:pStyle w:val="21"/>
              <w:ind w:left="0" w:leftChars="0"/>
              <w:rPr>
                <w:rFonts w:cs="宋体"/>
                <w:sz w:val="24"/>
                <w:highlight w:val="none"/>
              </w:rPr>
            </w:pPr>
          </w:p>
        </w:tc>
      </w:tr>
    </w:tbl>
    <w:p w14:paraId="1E7E40E7">
      <w:pPr>
        <w:spacing w:line="360" w:lineRule="auto"/>
        <w:ind w:firstLine="420" w:firstLineChars="200"/>
        <w:jc w:val="center"/>
        <w:rPr>
          <w:rFonts w:ascii="宋体" w:hAnsi="宋体" w:cs="宋体"/>
          <w:szCs w:val="21"/>
          <w:highlight w:val="none"/>
        </w:rPr>
      </w:pPr>
      <w:bookmarkStart w:id="59" w:name="_Toc20877"/>
      <w:bookmarkStart w:id="60" w:name="_Toc11620"/>
    </w:p>
    <w:bookmarkEnd w:id="59"/>
    <w:bookmarkEnd w:id="60"/>
    <w:p w14:paraId="3A5714A2">
      <w:pPr>
        <w:widowControl/>
        <w:kinsoku w:val="0"/>
        <w:autoSpaceDE w:val="0"/>
        <w:autoSpaceDN w:val="0"/>
        <w:adjustRightInd w:val="0"/>
        <w:snapToGrid w:val="0"/>
        <w:spacing w:line="460" w:lineRule="exact"/>
        <w:ind w:firstLine="480" w:firstLineChars="200"/>
        <w:jc w:val="left"/>
        <w:textAlignment w:val="baseline"/>
        <w:rPr>
          <w:rFonts w:hint="eastAsia" w:ascii="宋体" w:hAnsi="宋体" w:cs="宋体"/>
          <w:kern w:val="0"/>
          <w:sz w:val="24"/>
          <w:highlight w:val="none"/>
        </w:rPr>
      </w:pPr>
    </w:p>
    <w:p w14:paraId="54BFB588">
      <w:pPr>
        <w:widowControl/>
        <w:kinsoku w:val="0"/>
        <w:autoSpaceDE w:val="0"/>
        <w:autoSpaceDN w:val="0"/>
        <w:adjustRightInd w:val="0"/>
        <w:snapToGrid w:val="0"/>
        <w:spacing w:line="460" w:lineRule="exact"/>
        <w:ind w:firstLine="480" w:firstLineChars="200"/>
        <w:jc w:val="left"/>
        <w:textAlignment w:val="baseline"/>
        <w:rPr>
          <w:rFonts w:ascii="宋体" w:hAnsi="宋体" w:cs="宋体"/>
          <w:kern w:val="0"/>
          <w:sz w:val="52"/>
          <w:szCs w:val="52"/>
          <w:highlight w:val="none"/>
        </w:rPr>
      </w:pPr>
      <w:r>
        <w:rPr>
          <w:rFonts w:hint="eastAsia" w:ascii="宋体" w:hAnsi="宋体" w:cs="宋体"/>
          <w:kern w:val="0"/>
          <w:sz w:val="24"/>
          <w:highlight w:val="none"/>
        </w:rPr>
        <w:t xml:space="preserve">                       供应商：</w:t>
      </w:r>
      <w:r>
        <w:rPr>
          <w:rFonts w:hint="eastAsia" w:ascii="宋体" w:hAnsi="宋体" w:cs="宋体"/>
          <w:sz w:val="28"/>
          <w:szCs w:val="28"/>
          <w:highlight w:val="none"/>
          <w:u w:val="single"/>
        </w:rPr>
        <w:t xml:space="preserve">                 </w:t>
      </w:r>
      <w:r>
        <w:rPr>
          <w:rFonts w:hint="eastAsia" w:ascii="宋体" w:hAnsi="宋体" w:cs="宋体"/>
          <w:kern w:val="0"/>
          <w:sz w:val="24"/>
          <w:highlight w:val="none"/>
        </w:rPr>
        <w:t>（全称并加盖公章）</w:t>
      </w:r>
    </w:p>
    <w:p w14:paraId="718AB0DD">
      <w:pPr>
        <w:widowControl/>
        <w:kinsoku w:val="0"/>
        <w:autoSpaceDE w:val="0"/>
        <w:autoSpaceDN w:val="0"/>
        <w:adjustRightInd w:val="0"/>
        <w:snapToGrid w:val="0"/>
        <w:spacing w:line="460" w:lineRule="exact"/>
        <w:ind w:firstLine="480" w:firstLineChars="200"/>
        <w:jc w:val="left"/>
        <w:textAlignment w:val="baseline"/>
        <w:rPr>
          <w:rFonts w:ascii="宋体" w:hAnsi="宋体" w:cs="宋体"/>
          <w:kern w:val="0"/>
          <w:sz w:val="24"/>
          <w:highlight w:val="none"/>
        </w:rPr>
      </w:pPr>
      <w:r>
        <w:rPr>
          <w:rFonts w:hint="eastAsia" w:ascii="宋体" w:hAnsi="宋体" w:cs="宋体"/>
          <w:kern w:val="0"/>
          <w:sz w:val="24"/>
          <w:highlight w:val="none"/>
        </w:rPr>
        <w:t xml:space="preserve">                       日期：   年    月    日</w:t>
      </w:r>
    </w:p>
    <w:p w14:paraId="538BE07D">
      <w:pPr>
        <w:rPr>
          <w:rFonts w:ascii="宋体" w:hAnsi="宋体" w:cs="宋体"/>
          <w:highlight w:val="none"/>
        </w:rPr>
      </w:pPr>
    </w:p>
    <w:bookmarkEnd w:id="42"/>
    <w:bookmarkEnd w:id="43"/>
    <w:p w14:paraId="47C4FF66">
      <w:pPr>
        <w:spacing w:before="20" w:after="20"/>
        <w:rPr>
          <w:rFonts w:ascii="宋体" w:hAnsi="宋体" w:cs="宋体"/>
          <w:highlight w:val="none"/>
        </w:rPr>
      </w:pPr>
      <w:bookmarkStart w:id="61" w:name="_Toc22004"/>
      <w:bookmarkStart w:id="62" w:name="_Toc24984"/>
    </w:p>
    <w:p w14:paraId="2BBC890D">
      <w:pPr>
        <w:rPr>
          <w:rFonts w:ascii="宋体" w:hAnsi="宋体" w:cs="宋体"/>
          <w:highlight w:val="none"/>
        </w:rPr>
      </w:pPr>
    </w:p>
    <w:p w14:paraId="15AD2629">
      <w:pPr>
        <w:rPr>
          <w:rFonts w:ascii="宋体" w:hAnsi="宋体" w:cs="宋体"/>
          <w:highlight w:val="none"/>
        </w:rPr>
      </w:pPr>
      <w:r>
        <w:rPr>
          <w:rFonts w:hint="eastAsia" w:ascii="宋体" w:hAnsi="宋体" w:cs="宋体"/>
          <w:highlight w:val="none"/>
        </w:rPr>
        <w:br w:type="page"/>
      </w:r>
    </w:p>
    <w:bookmarkEnd w:id="61"/>
    <w:bookmarkEnd w:id="62"/>
    <w:p w14:paraId="3D3BD01F">
      <w:pPr>
        <w:widowControl/>
        <w:wordWrap w:val="0"/>
        <w:spacing w:line="460" w:lineRule="exact"/>
        <w:ind w:firstLine="1687" w:firstLineChars="600"/>
        <w:jc w:val="left"/>
        <w:rPr>
          <w:rFonts w:ascii="宋体" w:hAnsi="宋体" w:cs="宋体"/>
          <w:b/>
          <w:bCs/>
          <w:sz w:val="28"/>
          <w:szCs w:val="28"/>
          <w:highlight w:val="none"/>
        </w:rPr>
      </w:pPr>
      <w:r>
        <w:rPr>
          <w:rFonts w:hint="eastAsia" w:ascii="宋体" w:hAnsi="宋体" w:cs="宋体"/>
          <w:b/>
          <w:bCs/>
          <w:sz w:val="28"/>
          <w:szCs w:val="28"/>
          <w:highlight w:val="none"/>
        </w:rPr>
        <w:t>附件4              项目预算书</w:t>
      </w:r>
    </w:p>
    <w:p w14:paraId="258C832A">
      <w:pPr>
        <w:widowControl/>
        <w:wordWrap w:val="0"/>
        <w:spacing w:line="460" w:lineRule="exact"/>
        <w:ind w:firstLine="5600" w:firstLineChars="2000"/>
        <w:jc w:val="left"/>
        <w:rPr>
          <w:rFonts w:ascii="宋体" w:hAnsi="宋体" w:cs="宋体"/>
          <w:sz w:val="28"/>
          <w:szCs w:val="28"/>
          <w:highlight w:val="none"/>
        </w:rPr>
      </w:pPr>
    </w:p>
    <w:p w14:paraId="5A7C3A6D">
      <w:pPr>
        <w:pStyle w:val="24"/>
        <w:rPr>
          <w:rFonts w:ascii="宋体" w:hAnsi="宋体" w:cs="宋体"/>
          <w:kern w:val="0"/>
          <w:sz w:val="24"/>
          <w:highlight w:val="none"/>
        </w:rPr>
        <w:sectPr>
          <w:pgSz w:w="11906" w:h="16838"/>
          <w:pgMar w:top="1417" w:right="1474" w:bottom="1417" w:left="1474" w:header="851" w:footer="624" w:gutter="0"/>
          <w:cols w:space="720" w:num="1"/>
          <w:docGrid w:type="lines" w:linePitch="319" w:charSpace="0"/>
        </w:sectPr>
      </w:pPr>
    </w:p>
    <w:p w14:paraId="03B08E85">
      <w:pPr>
        <w:widowControl/>
        <w:wordWrap w:val="0"/>
        <w:spacing w:before="50" w:after="50" w:line="480" w:lineRule="auto"/>
        <w:jc w:val="left"/>
        <w:rPr>
          <w:rFonts w:ascii="宋体" w:hAnsi="宋体"/>
          <w:b/>
          <w:bCs/>
          <w:kern w:val="0"/>
          <w:sz w:val="28"/>
          <w:szCs w:val="28"/>
          <w:highlight w:val="none"/>
        </w:rPr>
      </w:pPr>
      <w:bookmarkStart w:id="63" w:name="_Toc226"/>
      <w:bookmarkStart w:id="64" w:name="_Toc15804"/>
      <w:r>
        <w:rPr>
          <w:rFonts w:hint="eastAsia" w:ascii="宋体" w:hAnsi="宋体" w:cs="宋体"/>
          <w:b/>
          <w:bCs/>
          <w:sz w:val="28"/>
          <w:szCs w:val="28"/>
          <w:highlight w:val="none"/>
        </w:rPr>
        <w:t xml:space="preserve">附件5                       </w:t>
      </w:r>
      <w:r>
        <w:rPr>
          <w:rFonts w:hint="eastAsia" w:ascii="宋体" w:hAnsi="宋体"/>
          <w:b/>
          <w:bCs/>
          <w:kern w:val="0"/>
          <w:sz w:val="28"/>
          <w:szCs w:val="28"/>
          <w:highlight w:val="none"/>
        </w:rPr>
        <w:t>施工组织设计</w:t>
      </w:r>
    </w:p>
    <w:p w14:paraId="5C2BED69">
      <w:pPr>
        <w:widowControl/>
        <w:wordWrap w:val="0"/>
        <w:spacing w:before="50" w:after="50" w:line="480" w:lineRule="auto"/>
        <w:jc w:val="center"/>
        <w:rPr>
          <w:rFonts w:ascii="宋体" w:hAnsi="宋体"/>
          <w:b/>
          <w:bCs/>
          <w:kern w:val="0"/>
          <w:sz w:val="28"/>
          <w:szCs w:val="28"/>
          <w:highlight w:val="none"/>
        </w:rPr>
      </w:pPr>
      <w:r>
        <w:rPr>
          <w:rFonts w:hint="eastAsia" w:ascii="宋体" w:hAnsi="宋体"/>
          <w:b/>
          <w:bCs/>
          <w:kern w:val="0"/>
          <w:sz w:val="28"/>
          <w:szCs w:val="28"/>
          <w:highlight w:val="none"/>
        </w:rPr>
        <w:t xml:space="preserve">     （格式自拟）</w:t>
      </w:r>
    </w:p>
    <w:p w14:paraId="257425A0">
      <w:pPr>
        <w:pStyle w:val="24"/>
        <w:rPr>
          <w:rFonts w:ascii="宋体" w:hAnsi="宋体" w:cs="宋体"/>
          <w:kern w:val="0"/>
          <w:sz w:val="24"/>
          <w:highlight w:val="none"/>
        </w:rPr>
      </w:pPr>
    </w:p>
    <w:p w14:paraId="4D71C9BB">
      <w:pPr>
        <w:pStyle w:val="24"/>
        <w:rPr>
          <w:rFonts w:ascii="宋体" w:hAnsi="宋体" w:cs="宋体"/>
          <w:kern w:val="0"/>
          <w:sz w:val="24"/>
          <w:highlight w:val="none"/>
        </w:rPr>
      </w:pPr>
    </w:p>
    <w:p w14:paraId="3DD6909E">
      <w:pPr>
        <w:pStyle w:val="24"/>
        <w:rPr>
          <w:rFonts w:ascii="宋体" w:hAnsi="宋体" w:cs="宋体"/>
          <w:kern w:val="0"/>
          <w:sz w:val="24"/>
          <w:highlight w:val="none"/>
        </w:rPr>
      </w:pPr>
    </w:p>
    <w:p w14:paraId="22502F61">
      <w:pPr>
        <w:pStyle w:val="24"/>
        <w:rPr>
          <w:rFonts w:ascii="宋体" w:hAnsi="宋体" w:cs="宋体"/>
          <w:kern w:val="0"/>
          <w:sz w:val="24"/>
          <w:highlight w:val="none"/>
        </w:rPr>
      </w:pPr>
    </w:p>
    <w:p w14:paraId="0152A64A">
      <w:pPr>
        <w:pStyle w:val="24"/>
        <w:rPr>
          <w:rFonts w:ascii="宋体" w:hAnsi="宋体" w:cs="宋体"/>
          <w:kern w:val="0"/>
          <w:sz w:val="24"/>
          <w:highlight w:val="none"/>
        </w:rPr>
      </w:pPr>
    </w:p>
    <w:p w14:paraId="3EE0086F">
      <w:pPr>
        <w:pStyle w:val="24"/>
        <w:rPr>
          <w:rFonts w:ascii="宋体" w:hAnsi="宋体" w:cs="宋体"/>
          <w:kern w:val="0"/>
          <w:sz w:val="24"/>
          <w:highlight w:val="none"/>
        </w:rPr>
      </w:pPr>
    </w:p>
    <w:p w14:paraId="1D7F9A30">
      <w:pPr>
        <w:pStyle w:val="24"/>
        <w:rPr>
          <w:rFonts w:ascii="宋体" w:hAnsi="宋体" w:cs="宋体"/>
          <w:kern w:val="0"/>
          <w:sz w:val="24"/>
          <w:highlight w:val="none"/>
        </w:rPr>
      </w:pPr>
    </w:p>
    <w:p w14:paraId="00164C12">
      <w:pPr>
        <w:pStyle w:val="24"/>
        <w:rPr>
          <w:rFonts w:ascii="宋体" w:hAnsi="宋体" w:cs="宋体"/>
          <w:kern w:val="0"/>
          <w:sz w:val="24"/>
          <w:highlight w:val="none"/>
        </w:rPr>
      </w:pPr>
    </w:p>
    <w:p w14:paraId="02C58278">
      <w:pPr>
        <w:pStyle w:val="24"/>
        <w:rPr>
          <w:rFonts w:ascii="宋体" w:hAnsi="宋体" w:cs="宋体"/>
          <w:kern w:val="0"/>
          <w:sz w:val="24"/>
          <w:highlight w:val="none"/>
        </w:rPr>
      </w:pPr>
    </w:p>
    <w:p w14:paraId="382BE49C">
      <w:pPr>
        <w:pStyle w:val="24"/>
        <w:rPr>
          <w:rFonts w:ascii="宋体" w:hAnsi="宋体" w:cs="宋体"/>
          <w:kern w:val="0"/>
          <w:sz w:val="24"/>
          <w:highlight w:val="none"/>
        </w:rPr>
      </w:pPr>
    </w:p>
    <w:p w14:paraId="14CE775E">
      <w:pPr>
        <w:pStyle w:val="24"/>
        <w:rPr>
          <w:rFonts w:ascii="宋体" w:hAnsi="宋体" w:cs="宋体"/>
          <w:kern w:val="0"/>
          <w:sz w:val="24"/>
          <w:highlight w:val="none"/>
        </w:rPr>
        <w:sectPr>
          <w:pgSz w:w="11906" w:h="16838"/>
          <w:pgMar w:top="1417" w:right="1474" w:bottom="1417" w:left="1474" w:header="851" w:footer="624" w:gutter="0"/>
          <w:cols w:space="720" w:num="1"/>
          <w:docGrid w:type="lines" w:linePitch="319" w:charSpace="0"/>
        </w:sectPr>
      </w:pPr>
    </w:p>
    <w:bookmarkEnd w:id="63"/>
    <w:bookmarkEnd w:id="64"/>
    <w:p w14:paraId="1F3B380B">
      <w:pPr>
        <w:pStyle w:val="2"/>
        <w:snapToGrid w:val="0"/>
        <w:spacing w:before="20" w:after="20" w:line="360" w:lineRule="auto"/>
        <w:jc w:val="center"/>
        <w:rPr>
          <w:rFonts w:ascii="宋体" w:hAnsi="宋体" w:eastAsia="宋体" w:cs="宋体"/>
          <w:sz w:val="28"/>
          <w:szCs w:val="28"/>
          <w:highlight w:val="none"/>
        </w:rPr>
      </w:pPr>
      <w:bookmarkStart w:id="65" w:name="_Toc28621"/>
      <w:bookmarkStart w:id="66" w:name="_Toc31526"/>
      <w:bookmarkStart w:id="67" w:name="_Toc29406"/>
      <w:r>
        <w:rPr>
          <w:rFonts w:hint="eastAsia" w:ascii="宋体" w:hAnsi="宋体" w:eastAsia="宋体" w:cs="宋体"/>
          <w:sz w:val="28"/>
          <w:szCs w:val="28"/>
          <w:highlight w:val="none"/>
        </w:rPr>
        <w:t>附件6         法定代表人身份证明（格式）</w:t>
      </w:r>
      <w:bookmarkEnd w:id="65"/>
      <w:bookmarkEnd w:id="66"/>
      <w:bookmarkEnd w:id="67"/>
    </w:p>
    <w:p w14:paraId="7F3DA66C">
      <w:pPr>
        <w:widowControl/>
        <w:wordWrap w:val="0"/>
        <w:spacing w:line="460" w:lineRule="exact"/>
        <w:jc w:val="left"/>
        <w:rPr>
          <w:rFonts w:ascii="宋体" w:hAnsi="宋体" w:cs="宋体"/>
          <w:kern w:val="0"/>
          <w:sz w:val="24"/>
          <w:highlight w:val="none"/>
        </w:rPr>
      </w:pPr>
    </w:p>
    <w:p w14:paraId="36CAAD20">
      <w:pPr>
        <w:widowControl/>
        <w:wordWrap w:val="0"/>
        <w:spacing w:line="460" w:lineRule="exact"/>
        <w:ind w:firstLine="480" w:firstLineChars="200"/>
        <w:jc w:val="left"/>
        <w:rPr>
          <w:rFonts w:ascii="宋体" w:hAnsi="宋体" w:cs="宋体"/>
          <w:kern w:val="0"/>
          <w:sz w:val="24"/>
          <w:highlight w:val="none"/>
        </w:rPr>
      </w:pPr>
      <w:r>
        <w:rPr>
          <w:rFonts w:hint="eastAsia" w:ascii="宋体" w:hAnsi="宋体" w:cs="宋体"/>
          <w:kern w:val="0"/>
          <w:sz w:val="24"/>
          <w:highlight w:val="none"/>
        </w:rPr>
        <w:t>供应商名称：</w:t>
      </w:r>
      <w:r>
        <w:rPr>
          <w:rFonts w:hint="eastAsia" w:ascii="宋体" w:hAnsi="宋体" w:cs="宋体"/>
          <w:sz w:val="28"/>
          <w:szCs w:val="28"/>
          <w:highlight w:val="none"/>
          <w:u w:val="single"/>
        </w:rPr>
        <w:t xml:space="preserve">                 </w:t>
      </w:r>
    </w:p>
    <w:p w14:paraId="38C7A9BB">
      <w:pPr>
        <w:widowControl/>
        <w:wordWrap w:val="0"/>
        <w:spacing w:line="460" w:lineRule="exact"/>
        <w:ind w:firstLine="480" w:firstLineChars="200"/>
        <w:jc w:val="left"/>
        <w:rPr>
          <w:rFonts w:ascii="宋体" w:hAnsi="宋体" w:cs="宋体"/>
          <w:kern w:val="0"/>
          <w:sz w:val="24"/>
          <w:highlight w:val="none"/>
          <w:u w:val="single"/>
        </w:rPr>
      </w:pPr>
      <w:r>
        <w:rPr>
          <w:rFonts w:hint="eastAsia" w:ascii="宋体" w:hAnsi="宋体" w:cs="宋体"/>
          <w:kern w:val="0"/>
          <w:sz w:val="24"/>
          <w:highlight w:val="none"/>
        </w:rPr>
        <w:t>地址：</w:t>
      </w:r>
      <w:r>
        <w:rPr>
          <w:rFonts w:hint="eastAsia" w:ascii="宋体" w:hAnsi="宋体" w:cs="宋体"/>
          <w:sz w:val="28"/>
          <w:szCs w:val="28"/>
          <w:highlight w:val="none"/>
          <w:u w:val="single"/>
        </w:rPr>
        <w:t xml:space="preserve">                 </w:t>
      </w:r>
    </w:p>
    <w:p w14:paraId="43BF5BB4">
      <w:pPr>
        <w:widowControl/>
        <w:wordWrap w:val="0"/>
        <w:spacing w:line="460" w:lineRule="exact"/>
        <w:ind w:firstLine="480" w:firstLineChars="200"/>
        <w:jc w:val="left"/>
        <w:rPr>
          <w:rFonts w:ascii="宋体" w:hAnsi="宋体" w:cs="宋体"/>
          <w:kern w:val="0"/>
          <w:sz w:val="24"/>
          <w:szCs w:val="20"/>
          <w:highlight w:val="none"/>
        </w:rPr>
      </w:pPr>
      <w:r>
        <w:rPr>
          <w:rFonts w:hint="eastAsia" w:ascii="宋体" w:hAnsi="宋体" w:cs="宋体"/>
          <w:kern w:val="0"/>
          <w:sz w:val="24"/>
          <w:highlight w:val="none"/>
        </w:rPr>
        <w:t>成立时间：</w:t>
      </w:r>
      <w:r>
        <w:rPr>
          <w:rFonts w:hint="eastAsia" w:ascii="宋体" w:hAnsi="宋体" w:cs="宋体"/>
          <w:sz w:val="28"/>
          <w:szCs w:val="28"/>
          <w:highlight w:val="none"/>
          <w:u w:val="single"/>
        </w:rPr>
        <w:t xml:space="preserve">     </w:t>
      </w:r>
      <w:r>
        <w:rPr>
          <w:rFonts w:hint="eastAsia" w:ascii="宋体" w:hAnsi="宋体" w:cs="宋体"/>
          <w:kern w:val="0"/>
          <w:sz w:val="24"/>
          <w:szCs w:val="20"/>
          <w:highlight w:val="none"/>
        </w:rPr>
        <w:t>年</w:t>
      </w:r>
      <w:r>
        <w:rPr>
          <w:rFonts w:hint="eastAsia" w:ascii="宋体" w:hAnsi="宋体" w:cs="宋体"/>
          <w:sz w:val="28"/>
          <w:szCs w:val="28"/>
          <w:highlight w:val="none"/>
          <w:u w:val="single"/>
        </w:rPr>
        <w:t xml:space="preserve">     </w:t>
      </w:r>
      <w:r>
        <w:rPr>
          <w:rFonts w:hint="eastAsia" w:ascii="宋体" w:hAnsi="宋体" w:cs="宋体"/>
          <w:kern w:val="0"/>
          <w:sz w:val="24"/>
          <w:szCs w:val="20"/>
          <w:highlight w:val="none"/>
        </w:rPr>
        <w:t>月</w:t>
      </w:r>
      <w:r>
        <w:rPr>
          <w:rFonts w:hint="eastAsia" w:ascii="宋体" w:hAnsi="宋体" w:cs="宋体"/>
          <w:sz w:val="28"/>
          <w:szCs w:val="28"/>
          <w:highlight w:val="none"/>
          <w:u w:val="single"/>
        </w:rPr>
        <w:t xml:space="preserve">     </w:t>
      </w:r>
      <w:r>
        <w:rPr>
          <w:rFonts w:hint="eastAsia" w:ascii="宋体" w:hAnsi="宋体" w:cs="宋体"/>
          <w:kern w:val="0"/>
          <w:sz w:val="24"/>
          <w:szCs w:val="20"/>
          <w:highlight w:val="none"/>
        </w:rPr>
        <w:t>日</w:t>
      </w:r>
    </w:p>
    <w:p w14:paraId="47964906">
      <w:pPr>
        <w:widowControl/>
        <w:wordWrap w:val="0"/>
        <w:spacing w:line="460" w:lineRule="exact"/>
        <w:ind w:firstLine="480" w:firstLineChars="200"/>
        <w:jc w:val="left"/>
        <w:rPr>
          <w:rFonts w:ascii="宋体" w:hAnsi="宋体" w:cs="宋体"/>
          <w:kern w:val="0"/>
          <w:sz w:val="24"/>
          <w:highlight w:val="none"/>
          <w:u w:val="single"/>
        </w:rPr>
      </w:pPr>
      <w:r>
        <w:rPr>
          <w:rFonts w:hint="eastAsia" w:ascii="宋体" w:hAnsi="宋体" w:cs="宋体"/>
          <w:kern w:val="0"/>
          <w:sz w:val="24"/>
          <w:szCs w:val="20"/>
          <w:highlight w:val="none"/>
        </w:rPr>
        <w:t>经营期限：</w:t>
      </w:r>
      <w:r>
        <w:rPr>
          <w:rFonts w:hint="eastAsia" w:ascii="宋体" w:hAnsi="宋体" w:cs="宋体"/>
          <w:sz w:val="28"/>
          <w:szCs w:val="28"/>
          <w:highlight w:val="none"/>
          <w:u w:val="single"/>
        </w:rPr>
        <w:t xml:space="preserve">                 </w:t>
      </w:r>
    </w:p>
    <w:p w14:paraId="1F14F773">
      <w:pPr>
        <w:widowControl/>
        <w:wordWrap w:val="0"/>
        <w:spacing w:line="460" w:lineRule="exact"/>
        <w:ind w:firstLine="480" w:firstLineChars="200"/>
        <w:jc w:val="left"/>
        <w:rPr>
          <w:rFonts w:ascii="宋体" w:hAnsi="宋体" w:cs="宋体"/>
          <w:kern w:val="0"/>
          <w:sz w:val="24"/>
          <w:szCs w:val="20"/>
          <w:highlight w:val="none"/>
        </w:rPr>
      </w:pPr>
      <w:r>
        <w:rPr>
          <w:rFonts w:hint="eastAsia" w:ascii="宋体" w:hAnsi="宋体" w:cs="宋体"/>
          <w:kern w:val="0"/>
          <w:sz w:val="24"/>
          <w:highlight w:val="none"/>
        </w:rPr>
        <w:t>姓名：</w:t>
      </w:r>
      <w:r>
        <w:rPr>
          <w:rFonts w:hint="eastAsia" w:ascii="宋体" w:hAnsi="宋体" w:cs="宋体"/>
          <w:sz w:val="28"/>
          <w:szCs w:val="28"/>
          <w:highlight w:val="none"/>
          <w:u w:val="single"/>
        </w:rPr>
        <w:t xml:space="preserve">     </w:t>
      </w:r>
      <w:r>
        <w:rPr>
          <w:rFonts w:hint="eastAsia" w:ascii="宋体" w:hAnsi="宋体" w:cs="宋体"/>
          <w:kern w:val="0"/>
          <w:sz w:val="24"/>
          <w:szCs w:val="20"/>
          <w:highlight w:val="none"/>
        </w:rPr>
        <w:t>，性别：</w:t>
      </w:r>
      <w:r>
        <w:rPr>
          <w:rFonts w:hint="eastAsia" w:ascii="宋体" w:hAnsi="宋体" w:cs="宋体"/>
          <w:sz w:val="28"/>
          <w:szCs w:val="28"/>
          <w:highlight w:val="none"/>
          <w:u w:val="single"/>
        </w:rPr>
        <w:t xml:space="preserve">     </w:t>
      </w:r>
      <w:r>
        <w:rPr>
          <w:rFonts w:hint="eastAsia" w:ascii="宋体" w:hAnsi="宋体" w:cs="宋体"/>
          <w:kern w:val="0"/>
          <w:sz w:val="24"/>
          <w:szCs w:val="20"/>
          <w:highlight w:val="none"/>
        </w:rPr>
        <w:t>，年龄：</w:t>
      </w:r>
      <w:r>
        <w:rPr>
          <w:rFonts w:hint="eastAsia" w:ascii="宋体" w:hAnsi="宋体" w:cs="宋体"/>
          <w:sz w:val="28"/>
          <w:szCs w:val="28"/>
          <w:highlight w:val="none"/>
          <w:u w:val="single"/>
        </w:rPr>
        <w:t xml:space="preserve">     </w:t>
      </w:r>
      <w:r>
        <w:rPr>
          <w:rFonts w:hint="eastAsia" w:ascii="宋体" w:hAnsi="宋体" w:cs="宋体"/>
          <w:kern w:val="0"/>
          <w:sz w:val="24"/>
          <w:szCs w:val="20"/>
          <w:highlight w:val="none"/>
        </w:rPr>
        <w:t>，职务：</w:t>
      </w:r>
      <w:r>
        <w:rPr>
          <w:rFonts w:hint="eastAsia" w:ascii="宋体" w:hAnsi="宋体" w:cs="宋体"/>
          <w:sz w:val="28"/>
          <w:szCs w:val="28"/>
          <w:highlight w:val="none"/>
          <w:u w:val="single"/>
        </w:rPr>
        <w:t xml:space="preserve">     </w:t>
      </w:r>
      <w:r>
        <w:rPr>
          <w:rFonts w:hint="eastAsia" w:ascii="宋体" w:hAnsi="宋体" w:cs="宋体"/>
          <w:kern w:val="0"/>
          <w:sz w:val="24"/>
          <w:szCs w:val="20"/>
          <w:highlight w:val="none"/>
        </w:rPr>
        <w:t>系</w:t>
      </w:r>
      <w:r>
        <w:rPr>
          <w:rFonts w:hint="eastAsia" w:ascii="宋体" w:hAnsi="宋体" w:cs="宋体"/>
          <w:sz w:val="28"/>
          <w:szCs w:val="28"/>
          <w:highlight w:val="none"/>
          <w:u w:val="single"/>
        </w:rPr>
        <w:t xml:space="preserve">                 </w:t>
      </w:r>
      <w:r>
        <w:rPr>
          <w:rFonts w:hint="eastAsia" w:ascii="宋体" w:hAnsi="宋体" w:cs="宋体"/>
          <w:kern w:val="0"/>
          <w:sz w:val="24"/>
          <w:szCs w:val="20"/>
          <w:highlight w:val="none"/>
        </w:rPr>
        <w:t>（供应商名称）的法定代表人。</w:t>
      </w:r>
    </w:p>
    <w:p w14:paraId="0F1E101C">
      <w:pPr>
        <w:widowControl/>
        <w:wordWrap w:val="0"/>
        <w:spacing w:line="460" w:lineRule="exact"/>
        <w:jc w:val="left"/>
        <w:rPr>
          <w:rFonts w:ascii="宋体" w:hAnsi="宋体" w:cs="宋体"/>
          <w:kern w:val="0"/>
          <w:sz w:val="24"/>
          <w:szCs w:val="20"/>
          <w:highlight w:val="none"/>
        </w:rPr>
      </w:pPr>
    </w:p>
    <w:p w14:paraId="7E372E09">
      <w:pPr>
        <w:widowControl/>
        <w:wordWrap w:val="0"/>
        <w:spacing w:line="460" w:lineRule="exact"/>
        <w:ind w:firstLine="480" w:firstLineChars="200"/>
        <w:jc w:val="left"/>
        <w:rPr>
          <w:rFonts w:ascii="宋体" w:hAnsi="宋体" w:cs="宋体"/>
          <w:kern w:val="0"/>
          <w:sz w:val="24"/>
          <w:szCs w:val="20"/>
          <w:highlight w:val="none"/>
        </w:rPr>
      </w:pPr>
      <w:r>
        <w:rPr>
          <w:rFonts w:hint="eastAsia" w:ascii="宋体" w:hAnsi="宋体" w:cs="宋体"/>
          <w:kern w:val="0"/>
          <w:sz w:val="24"/>
          <w:szCs w:val="20"/>
          <w:highlight w:val="none"/>
        </w:rPr>
        <w:t>特此证明。</w:t>
      </w:r>
    </w:p>
    <w:p w14:paraId="5F03DECF">
      <w:pPr>
        <w:widowControl/>
        <w:wordWrap w:val="0"/>
        <w:spacing w:beforeLines="100" w:afterLines="100" w:line="480" w:lineRule="exact"/>
        <w:jc w:val="center"/>
        <w:rPr>
          <w:rFonts w:ascii="宋体" w:hAnsi="宋体" w:cs="宋体"/>
          <w:b/>
          <w:kern w:val="0"/>
          <w:sz w:val="36"/>
          <w:szCs w:val="36"/>
          <w:highlight w:val="none"/>
        </w:rPr>
      </w:pPr>
    </w:p>
    <w:tbl>
      <w:tblPr>
        <w:tblStyle w:val="34"/>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60"/>
      </w:tblGrid>
      <w:tr w14:paraId="0A8B9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5" w:hRule="atLeast"/>
        </w:trPr>
        <w:tc>
          <w:tcPr>
            <w:tcW w:w="6860" w:type="dxa"/>
            <w:tcBorders>
              <w:top w:val="single" w:color="auto" w:sz="4" w:space="0"/>
              <w:left w:val="single" w:color="auto" w:sz="4" w:space="0"/>
              <w:bottom w:val="single" w:color="auto" w:sz="4" w:space="0"/>
              <w:right w:val="single" w:color="auto" w:sz="4" w:space="0"/>
            </w:tcBorders>
          </w:tcPr>
          <w:p w14:paraId="3198D7C7">
            <w:pPr>
              <w:widowControl/>
              <w:spacing w:line="480" w:lineRule="exact"/>
              <w:jc w:val="left"/>
              <w:rPr>
                <w:rFonts w:ascii="宋体" w:hAnsi="宋体" w:cs="宋体"/>
                <w:bCs/>
                <w:kern w:val="0"/>
                <w:sz w:val="24"/>
                <w:highlight w:val="none"/>
              </w:rPr>
            </w:pPr>
            <w:r>
              <w:rPr>
                <w:rFonts w:hint="eastAsia" w:ascii="宋体" w:hAnsi="宋体" w:cs="宋体"/>
                <w:bCs/>
                <w:kern w:val="0"/>
                <w:sz w:val="24"/>
                <w:highlight w:val="none"/>
              </w:rPr>
              <w:t>此处请粘贴法定代表人身份证明</w:t>
            </w:r>
          </w:p>
          <w:p w14:paraId="56BEDD58">
            <w:pPr>
              <w:widowControl/>
              <w:spacing w:line="480" w:lineRule="exact"/>
              <w:jc w:val="left"/>
              <w:rPr>
                <w:rFonts w:ascii="宋体" w:hAnsi="宋体" w:cs="宋体"/>
                <w:kern w:val="0"/>
                <w:sz w:val="24"/>
                <w:highlight w:val="none"/>
              </w:rPr>
            </w:pPr>
          </w:p>
          <w:p w14:paraId="310537FD">
            <w:pPr>
              <w:widowControl/>
              <w:spacing w:line="480" w:lineRule="exact"/>
              <w:jc w:val="left"/>
              <w:rPr>
                <w:rFonts w:ascii="宋体" w:hAnsi="宋体" w:cs="宋体"/>
                <w:kern w:val="0"/>
                <w:sz w:val="24"/>
                <w:highlight w:val="none"/>
              </w:rPr>
            </w:pPr>
          </w:p>
        </w:tc>
      </w:tr>
    </w:tbl>
    <w:p w14:paraId="56C60FB2">
      <w:pPr>
        <w:widowControl/>
        <w:wordWrap w:val="0"/>
        <w:spacing w:beforeLines="100" w:afterLines="100" w:line="480" w:lineRule="exact"/>
        <w:jc w:val="center"/>
        <w:rPr>
          <w:rFonts w:ascii="宋体" w:hAnsi="宋体" w:cs="宋体"/>
          <w:b/>
          <w:kern w:val="0"/>
          <w:sz w:val="24"/>
          <w:highlight w:val="none"/>
        </w:rPr>
      </w:pPr>
    </w:p>
    <w:p w14:paraId="661AD06A">
      <w:pPr>
        <w:widowControl/>
        <w:wordWrap w:val="0"/>
        <w:spacing w:beforeLines="100" w:afterLines="100" w:line="480" w:lineRule="exact"/>
        <w:jc w:val="center"/>
        <w:rPr>
          <w:rFonts w:ascii="宋体" w:hAnsi="宋体" w:cs="宋体"/>
          <w:b/>
          <w:kern w:val="0"/>
          <w:sz w:val="36"/>
          <w:szCs w:val="36"/>
          <w:highlight w:val="none"/>
        </w:rPr>
      </w:pPr>
    </w:p>
    <w:p w14:paraId="6DC9C1AB">
      <w:pPr>
        <w:widowControl/>
        <w:wordWrap w:val="0"/>
        <w:spacing w:beforeLines="100" w:afterLines="100" w:line="480" w:lineRule="exact"/>
        <w:jc w:val="center"/>
        <w:rPr>
          <w:rFonts w:ascii="宋体" w:hAnsi="宋体" w:cs="宋体"/>
          <w:b/>
          <w:kern w:val="0"/>
          <w:sz w:val="36"/>
          <w:szCs w:val="36"/>
          <w:highlight w:val="none"/>
        </w:rPr>
      </w:pPr>
    </w:p>
    <w:p w14:paraId="75FDEB92">
      <w:pPr>
        <w:widowControl/>
        <w:wordWrap w:val="0"/>
        <w:spacing w:line="480" w:lineRule="exact"/>
        <w:jc w:val="right"/>
        <w:rPr>
          <w:rFonts w:ascii="宋体" w:hAnsi="宋体" w:cs="宋体"/>
          <w:kern w:val="0"/>
          <w:sz w:val="24"/>
          <w:highlight w:val="none"/>
        </w:rPr>
      </w:pPr>
    </w:p>
    <w:p w14:paraId="53C1919D">
      <w:pPr>
        <w:widowControl/>
        <w:wordWrap w:val="0"/>
        <w:spacing w:line="480" w:lineRule="exact"/>
        <w:jc w:val="right"/>
        <w:rPr>
          <w:rFonts w:ascii="宋体" w:hAnsi="宋体" w:cs="宋体"/>
          <w:kern w:val="0"/>
          <w:sz w:val="24"/>
          <w:highlight w:val="none"/>
        </w:rPr>
      </w:pPr>
    </w:p>
    <w:p w14:paraId="22CEF0EE">
      <w:pPr>
        <w:widowControl/>
        <w:wordWrap w:val="0"/>
        <w:snapToGrid w:val="0"/>
        <w:spacing w:line="460" w:lineRule="exact"/>
        <w:ind w:firstLine="2760" w:firstLineChars="1150"/>
        <w:jc w:val="left"/>
        <w:rPr>
          <w:rFonts w:ascii="宋体" w:hAnsi="宋体" w:cs="宋体"/>
          <w:kern w:val="0"/>
          <w:sz w:val="24"/>
          <w:highlight w:val="none"/>
        </w:rPr>
      </w:pPr>
      <w:r>
        <w:rPr>
          <w:rFonts w:hint="eastAsia" w:ascii="宋体" w:hAnsi="宋体" w:cs="宋体"/>
          <w:kern w:val="0"/>
          <w:sz w:val="24"/>
          <w:highlight w:val="none"/>
        </w:rPr>
        <w:t>供应商：</w:t>
      </w:r>
      <w:r>
        <w:rPr>
          <w:rFonts w:hint="eastAsia" w:ascii="宋体" w:hAnsi="宋体" w:cs="宋体"/>
          <w:sz w:val="28"/>
          <w:szCs w:val="28"/>
          <w:highlight w:val="none"/>
          <w:u w:val="single"/>
        </w:rPr>
        <w:t xml:space="preserve">                 </w:t>
      </w:r>
      <w:r>
        <w:rPr>
          <w:rFonts w:hint="eastAsia" w:ascii="宋体" w:hAnsi="宋体" w:cs="宋体"/>
          <w:kern w:val="0"/>
          <w:sz w:val="24"/>
          <w:highlight w:val="none"/>
        </w:rPr>
        <w:t>（全称并加盖公章）</w:t>
      </w:r>
    </w:p>
    <w:p w14:paraId="202B3C44">
      <w:pPr>
        <w:widowControl/>
        <w:kinsoku w:val="0"/>
        <w:autoSpaceDE w:val="0"/>
        <w:autoSpaceDN w:val="0"/>
        <w:adjustRightInd w:val="0"/>
        <w:snapToGrid w:val="0"/>
        <w:spacing w:line="460" w:lineRule="exact"/>
        <w:ind w:firstLine="2880" w:firstLineChars="1200"/>
        <w:jc w:val="left"/>
        <w:textAlignment w:val="baseline"/>
        <w:rPr>
          <w:rFonts w:ascii="宋体" w:hAnsi="宋体" w:cs="宋体"/>
          <w:kern w:val="0"/>
          <w:sz w:val="24"/>
          <w:highlight w:val="none"/>
        </w:rPr>
      </w:pPr>
      <w:r>
        <w:rPr>
          <w:rFonts w:hint="eastAsia" w:ascii="宋体" w:hAnsi="宋体" w:cs="宋体"/>
          <w:kern w:val="0"/>
          <w:sz w:val="24"/>
          <w:highlight w:val="none"/>
        </w:rPr>
        <w:t>日期：   年    月    日</w:t>
      </w:r>
    </w:p>
    <w:p w14:paraId="50199FE8">
      <w:pPr>
        <w:rPr>
          <w:rFonts w:ascii="宋体" w:hAnsi="宋体" w:cs="宋体"/>
          <w:highlight w:val="none"/>
        </w:rPr>
      </w:pPr>
    </w:p>
    <w:p w14:paraId="092CD813">
      <w:pPr>
        <w:rPr>
          <w:rFonts w:ascii="宋体" w:hAnsi="宋体" w:cs="宋体"/>
          <w:highlight w:val="none"/>
        </w:rPr>
      </w:pPr>
      <w:r>
        <w:rPr>
          <w:rFonts w:hint="eastAsia" w:ascii="宋体" w:hAnsi="宋体" w:cs="宋体"/>
          <w:highlight w:val="none"/>
        </w:rPr>
        <w:br w:type="page"/>
      </w:r>
    </w:p>
    <w:p w14:paraId="6EC2A9B1">
      <w:pPr>
        <w:pStyle w:val="2"/>
        <w:snapToGrid w:val="0"/>
        <w:spacing w:before="20" w:after="20" w:line="360" w:lineRule="auto"/>
        <w:jc w:val="center"/>
        <w:rPr>
          <w:rFonts w:ascii="宋体" w:hAnsi="宋体" w:eastAsia="宋体" w:cs="宋体"/>
          <w:sz w:val="28"/>
          <w:szCs w:val="28"/>
          <w:highlight w:val="none"/>
        </w:rPr>
      </w:pPr>
      <w:bookmarkStart w:id="68" w:name="_Toc12939"/>
      <w:bookmarkStart w:id="69" w:name="_Toc30519"/>
      <w:bookmarkStart w:id="70" w:name="_Toc13976"/>
      <w:r>
        <w:rPr>
          <w:rFonts w:hint="eastAsia" w:ascii="宋体" w:hAnsi="宋体" w:eastAsia="宋体" w:cs="宋体"/>
          <w:sz w:val="28"/>
          <w:szCs w:val="28"/>
          <w:highlight w:val="none"/>
        </w:rPr>
        <w:t>附件7         法定代表人授权书（格式）</w:t>
      </w:r>
      <w:bookmarkEnd w:id="68"/>
      <w:bookmarkEnd w:id="69"/>
      <w:bookmarkEnd w:id="70"/>
    </w:p>
    <w:p w14:paraId="5E8F09FE">
      <w:pPr>
        <w:widowControl/>
        <w:tabs>
          <w:tab w:val="left" w:pos="420"/>
          <w:tab w:val="left" w:pos="2160"/>
        </w:tabs>
        <w:wordWrap w:val="0"/>
        <w:spacing w:line="460" w:lineRule="exact"/>
        <w:ind w:firstLine="480" w:firstLineChars="200"/>
        <w:jc w:val="left"/>
        <w:rPr>
          <w:rFonts w:ascii="宋体" w:hAnsi="宋体" w:cs="宋体"/>
          <w:kern w:val="0"/>
          <w:sz w:val="24"/>
          <w:highlight w:val="none"/>
        </w:rPr>
      </w:pPr>
    </w:p>
    <w:p w14:paraId="28BF8620">
      <w:pPr>
        <w:widowControl/>
        <w:wordWrap w:val="0"/>
        <w:snapToGrid w:val="0"/>
        <w:spacing w:line="460" w:lineRule="exact"/>
        <w:jc w:val="left"/>
        <w:rPr>
          <w:rFonts w:ascii="宋体" w:hAnsi="宋体" w:cs="宋体"/>
          <w:b/>
          <w:bCs/>
          <w:kern w:val="0"/>
          <w:sz w:val="24"/>
          <w:highlight w:val="none"/>
        </w:rPr>
      </w:pPr>
      <w:r>
        <w:rPr>
          <w:rFonts w:hint="eastAsia" w:ascii="宋体" w:hAnsi="宋体" w:cs="宋体"/>
          <w:bCs/>
          <w:kern w:val="0"/>
          <w:sz w:val="24"/>
          <w:highlight w:val="none"/>
        </w:rPr>
        <w:t>致：</w:t>
      </w:r>
      <w:r>
        <w:rPr>
          <w:rFonts w:hint="eastAsia" w:ascii="宋体" w:hAnsi="宋体" w:cs="宋体"/>
          <w:kern w:val="0"/>
          <w:sz w:val="24"/>
          <w:highlight w:val="none"/>
          <w:u w:val="single"/>
        </w:rPr>
        <w:t>驻马店市中心医院</w:t>
      </w:r>
      <w:r>
        <w:rPr>
          <w:rFonts w:hint="eastAsia" w:ascii="宋体" w:hAnsi="宋体" w:cs="宋体"/>
          <w:kern w:val="0"/>
          <w:sz w:val="24"/>
          <w:highlight w:val="none"/>
        </w:rPr>
        <w:t>：</w:t>
      </w:r>
    </w:p>
    <w:p w14:paraId="7EE6AD6F">
      <w:pPr>
        <w:widowControl/>
        <w:wordWrap w:val="0"/>
        <w:snapToGrid w:val="0"/>
        <w:spacing w:line="460" w:lineRule="exact"/>
        <w:ind w:firstLine="480" w:firstLineChars="200"/>
        <w:jc w:val="left"/>
        <w:rPr>
          <w:rFonts w:ascii="宋体" w:hAnsi="宋体" w:cs="宋体"/>
          <w:kern w:val="0"/>
          <w:sz w:val="24"/>
          <w:highlight w:val="none"/>
        </w:rPr>
      </w:pPr>
      <w:r>
        <w:rPr>
          <w:rFonts w:hint="eastAsia" w:ascii="宋体" w:hAnsi="宋体" w:cs="宋体"/>
          <w:kern w:val="0"/>
          <w:sz w:val="24"/>
          <w:highlight w:val="none"/>
        </w:rPr>
        <w:t>我</w:t>
      </w:r>
      <w:r>
        <w:rPr>
          <w:rFonts w:hint="eastAsia" w:ascii="宋体" w:hAnsi="宋体" w:cs="宋体"/>
          <w:sz w:val="28"/>
          <w:szCs w:val="28"/>
          <w:highlight w:val="none"/>
          <w:u w:val="single"/>
        </w:rPr>
        <w:t xml:space="preserve">      </w:t>
      </w:r>
      <w:r>
        <w:rPr>
          <w:rFonts w:hint="eastAsia" w:ascii="宋体" w:hAnsi="宋体" w:cs="宋体"/>
          <w:kern w:val="0"/>
          <w:sz w:val="24"/>
          <w:highlight w:val="none"/>
        </w:rPr>
        <w:t>（姓名）系</w:t>
      </w:r>
      <w:r>
        <w:rPr>
          <w:rFonts w:hint="eastAsia" w:ascii="宋体" w:hAnsi="宋体" w:cs="宋体"/>
          <w:sz w:val="28"/>
          <w:szCs w:val="28"/>
          <w:highlight w:val="none"/>
          <w:u w:val="single"/>
        </w:rPr>
        <w:t xml:space="preserve">                 </w:t>
      </w:r>
      <w:r>
        <w:rPr>
          <w:rFonts w:hint="eastAsia" w:ascii="宋体" w:hAnsi="宋体" w:cs="宋体"/>
          <w:kern w:val="0"/>
          <w:sz w:val="24"/>
          <w:highlight w:val="none"/>
        </w:rPr>
        <w:t xml:space="preserve">（供应商名称）的法定代表人，现委托 </w:t>
      </w:r>
      <w:r>
        <w:rPr>
          <w:rFonts w:hint="eastAsia" w:ascii="宋体" w:hAnsi="宋体" w:cs="宋体"/>
          <w:sz w:val="28"/>
          <w:szCs w:val="28"/>
          <w:highlight w:val="none"/>
          <w:u w:val="single"/>
        </w:rPr>
        <w:t xml:space="preserve">       </w:t>
      </w:r>
      <w:r>
        <w:rPr>
          <w:rFonts w:hint="eastAsia" w:ascii="宋体" w:hAnsi="宋体" w:cs="宋体"/>
          <w:kern w:val="0"/>
          <w:sz w:val="24"/>
          <w:highlight w:val="none"/>
        </w:rPr>
        <w:t>（姓名）为我方代理人。代理人根据本授权，以我方的名义参加</w:t>
      </w:r>
      <w:r>
        <w:rPr>
          <w:rFonts w:hint="eastAsia" w:ascii="宋体" w:hAnsi="宋体" w:cs="宋体"/>
          <w:sz w:val="28"/>
          <w:szCs w:val="28"/>
          <w:highlight w:val="none"/>
          <w:u w:val="single"/>
        </w:rPr>
        <w:t xml:space="preserve">                    </w:t>
      </w:r>
      <w:r>
        <w:rPr>
          <w:rFonts w:hint="eastAsia" w:ascii="宋体" w:hAnsi="宋体" w:cs="宋体"/>
          <w:kern w:val="0"/>
          <w:sz w:val="24"/>
          <w:highlight w:val="none"/>
        </w:rPr>
        <w:t>项目的投标活动，并代表我方全权办理针对上述项目的磋商、开标、评审、签约等具体事务和签署相关文件。</w:t>
      </w:r>
    </w:p>
    <w:p w14:paraId="2D525BC6">
      <w:pPr>
        <w:widowControl/>
        <w:wordWrap w:val="0"/>
        <w:snapToGrid w:val="0"/>
        <w:spacing w:line="460" w:lineRule="exact"/>
        <w:ind w:firstLine="480" w:firstLineChars="200"/>
        <w:jc w:val="left"/>
        <w:rPr>
          <w:rFonts w:ascii="宋体" w:hAnsi="宋体" w:cs="宋体"/>
          <w:kern w:val="0"/>
          <w:sz w:val="24"/>
          <w:highlight w:val="none"/>
        </w:rPr>
      </w:pPr>
      <w:r>
        <w:rPr>
          <w:rFonts w:hint="eastAsia" w:ascii="宋体" w:hAnsi="宋体" w:cs="宋体"/>
          <w:kern w:val="0"/>
          <w:sz w:val="24"/>
          <w:highlight w:val="none"/>
        </w:rPr>
        <w:t>我方对代理人的签名负全部责任。在撤销授权的书面通知以前，本授权书一直有效。代理人在授权书有效期内签署的所有文件不因授权的撤销而失效。</w:t>
      </w:r>
    </w:p>
    <w:p w14:paraId="7DADEA35">
      <w:pPr>
        <w:widowControl/>
        <w:wordWrap w:val="0"/>
        <w:snapToGrid w:val="0"/>
        <w:spacing w:line="460" w:lineRule="exact"/>
        <w:ind w:firstLine="480" w:firstLineChars="200"/>
        <w:jc w:val="left"/>
        <w:rPr>
          <w:rFonts w:ascii="宋体" w:hAnsi="宋体" w:cs="宋体"/>
          <w:kern w:val="0"/>
          <w:sz w:val="24"/>
          <w:highlight w:val="none"/>
        </w:rPr>
      </w:pPr>
      <w:r>
        <w:rPr>
          <w:rFonts w:hint="eastAsia" w:ascii="宋体" w:hAnsi="宋体" w:cs="宋体"/>
          <w:kern w:val="0"/>
          <w:sz w:val="24"/>
          <w:highlight w:val="none"/>
        </w:rPr>
        <w:t>如果本次采购活动现场变更采购方式，本授权书有效。</w:t>
      </w:r>
    </w:p>
    <w:p w14:paraId="3FB9C40F">
      <w:pPr>
        <w:widowControl/>
        <w:wordWrap w:val="0"/>
        <w:snapToGrid w:val="0"/>
        <w:spacing w:line="460" w:lineRule="exact"/>
        <w:ind w:firstLine="480" w:firstLineChars="200"/>
        <w:jc w:val="left"/>
        <w:rPr>
          <w:rFonts w:ascii="宋体" w:hAnsi="宋体" w:cs="宋体"/>
          <w:kern w:val="0"/>
          <w:sz w:val="24"/>
          <w:highlight w:val="none"/>
        </w:rPr>
      </w:pPr>
      <w:r>
        <w:rPr>
          <w:rFonts w:hint="eastAsia" w:ascii="宋体" w:hAnsi="宋体" w:cs="宋体"/>
          <w:kern w:val="0"/>
          <w:sz w:val="24"/>
          <w:highlight w:val="none"/>
        </w:rPr>
        <w:t>代理人无转委托权。</w:t>
      </w:r>
    </w:p>
    <w:p w14:paraId="75ED4CDF">
      <w:pPr>
        <w:widowControl/>
        <w:wordWrap w:val="0"/>
        <w:snapToGrid w:val="0"/>
        <w:spacing w:line="460" w:lineRule="exact"/>
        <w:ind w:firstLine="480" w:firstLineChars="200"/>
        <w:jc w:val="left"/>
        <w:rPr>
          <w:rFonts w:ascii="宋体" w:hAnsi="宋体" w:cs="宋体"/>
          <w:kern w:val="0"/>
          <w:sz w:val="24"/>
          <w:highlight w:val="none"/>
        </w:rPr>
      </w:pPr>
      <w:r>
        <w:rPr>
          <w:rFonts w:hint="eastAsia" w:ascii="宋体" w:hAnsi="宋体" w:cs="宋体"/>
          <w:kern w:val="0"/>
          <w:sz w:val="24"/>
          <w:highlight w:val="none"/>
        </w:rPr>
        <w:t>委托期限：</w:t>
      </w:r>
      <w:r>
        <w:rPr>
          <w:rFonts w:hint="eastAsia" w:ascii="宋体" w:hAnsi="宋体" w:cs="宋体"/>
          <w:sz w:val="28"/>
          <w:szCs w:val="28"/>
          <w:highlight w:val="none"/>
          <w:u w:val="single"/>
        </w:rPr>
        <w:t xml:space="preserve">                 </w:t>
      </w:r>
    </w:p>
    <w:p w14:paraId="78F6699B">
      <w:pPr>
        <w:widowControl/>
        <w:wordWrap w:val="0"/>
        <w:snapToGrid w:val="0"/>
        <w:spacing w:line="460" w:lineRule="exact"/>
        <w:ind w:firstLine="480" w:firstLineChars="200"/>
        <w:jc w:val="left"/>
        <w:rPr>
          <w:rFonts w:ascii="宋体" w:hAnsi="宋体" w:cs="宋体"/>
          <w:kern w:val="0"/>
          <w:sz w:val="24"/>
          <w:highlight w:val="none"/>
        </w:rPr>
      </w:pPr>
    </w:p>
    <w:p w14:paraId="77E2B772">
      <w:pPr>
        <w:widowControl/>
        <w:wordWrap w:val="0"/>
        <w:snapToGrid w:val="0"/>
        <w:spacing w:line="460" w:lineRule="exact"/>
        <w:ind w:firstLine="480" w:firstLineChars="200"/>
        <w:jc w:val="left"/>
        <w:rPr>
          <w:rFonts w:ascii="宋体" w:hAnsi="宋体" w:cs="宋体"/>
          <w:kern w:val="0"/>
          <w:sz w:val="24"/>
          <w:highlight w:val="none"/>
          <w:u w:val="single"/>
        </w:rPr>
      </w:pPr>
      <w:r>
        <w:rPr>
          <w:rFonts w:hint="eastAsia" w:ascii="宋体" w:hAnsi="宋体" w:cs="宋体"/>
          <w:kern w:val="0"/>
          <w:sz w:val="24"/>
          <w:highlight w:val="none"/>
        </w:rPr>
        <w:t>委托代理人签名：             法定代表人签名或盖章：</w:t>
      </w:r>
    </w:p>
    <w:p w14:paraId="41F603DF">
      <w:pPr>
        <w:widowControl/>
        <w:wordWrap w:val="0"/>
        <w:snapToGrid w:val="0"/>
        <w:spacing w:line="460" w:lineRule="exact"/>
        <w:ind w:firstLine="480" w:firstLineChars="200"/>
        <w:jc w:val="left"/>
        <w:rPr>
          <w:rFonts w:ascii="宋体" w:hAnsi="宋体" w:cs="宋体"/>
          <w:kern w:val="0"/>
          <w:sz w:val="24"/>
          <w:highlight w:val="none"/>
        </w:rPr>
      </w:pPr>
      <w:r>
        <w:rPr>
          <w:rFonts w:hint="eastAsia" w:ascii="宋体" w:hAnsi="宋体" w:cs="宋体"/>
          <w:kern w:val="0"/>
          <w:sz w:val="24"/>
          <w:highlight w:val="none"/>
        </w:rPr>
        <w:t>职务：                      职务：</w:t>
      </w:r>
    </w:p>
    <w:tbl>
      <w:tblPr>
        <w:tblStyle w:val="34"/>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0"/>
      </w:tblGrid>
      <w:tr w14:paraId="291CB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2" w:hRule="atLeast"/>
        </w:trPr>
        <w:tc>
          <w:tcPr>
            <w:tcW w:w="6780" w:type="dxa"/>
            <w:tcBorders>
              <w:top w:val="single" w:color="auto" w:sz="4" w:space="0"/>
              <w:left w:val="single" w:color="auto" w:sz="4" w:space="0"/>
              <w:bottom w:val="single" w:color="auto" w:sz="4" w:space="0"/>
              <w:right w:val="single" w:color="auto" w:sz="4" w:space="0"/>
            </w:tcBorders>
          </w:tcPr>
          <w:p w14:paraId="164D41AA">
            <w:pPr>
              <w:widowControl/>
              <w:spacing w:line="480" w:lineRule="exact"/>
              <w:jc w:val="left"/>
              <w:rPr>
                <w:rFonts w:ascii="宋体" w:hAnsi="宋体" w:cs="宋体"/>
                <w:kern w:val="0"/>
                <w:sz w:val="24"/>
                <w:highlight w:val="none"/>
              </w:rPr>
            </w:pPr>
            <w:r>
              <w:rPr>
                <w:rFonts w:hint="eastAsia" w:ascii="宋体" w:hAnsi="宋体" w:cs="宋体"/>
                <w:bCs/>
                <w:kern w:val="0"/>
                <w:sz w:val="24"/>
                <w:highlight w:val="none"/>
              </w:rPr>
              <w:t>此处请粘贴</w:t>
            </w:r>
            <w:r>
              <w:rPr>
                <w:rFonts w:hint="eastAsia" w:ascii="宋体" w:hAnsi="宋体" w:cs="宋体"/>
                <w:kern w:val="0"/>
                <w:sz w:val="24"/>
                <w:highlight w:val="none"/>
              </w:rPr>
              <w:t>委托代理人</w:t>
            </w:r>
            <w:r>
              <w:rPr>
                <w:rFonts w:hint="eastAsia" w:ascii="宋体" w:hAnsi="宋体" w:cs="宋体"/>
                <w:bCs/>
                <w:kern w:val="0"/>
                <w:sz w:val="24"/>
                <w:highlight w:val="none"/>
              </w:rPr>
              <w:t>身份证明</w:t>
            </w:r>
          </w:p>
        </w:tc>
      </w:tr>
    </w:tbl>
    <w:p w14:paraId="6C4AF840">
      <w:pPr>
        <w:widowControl/>
        <w:wordWrap w:val="0"/>
        <w:snapToGrid w:val="0"/>
        <w:spacing w:line="460" w:lineRule="exact"/>
        <w:ind w:firstLine="480" w:firstLineChars="200"/>
        <w:jc w:val="left"/>
        <w:rPr>
          <w:rFonts w:ascii="宋体" w:hAnsi="宋体" w:cs="宋体"/>
          <w:kern w:val="0"/>
          <w:sz w:val="24"/>
          <w:highlight w:val="none"/>
        </w:rPr>
      </w:pPr>
      <w:r>
        <w:rPr>
          <w:rFonts w:hint="eastAsia" w:ascii="宋体" w:hAnsi="宋体" w:cs="宋体"/>
          <w:kern w:val="0"/>
          <w:sz w:val="24"/>
          <w:highlight w:val="none"/>
        </w:rPr>
        <w:t>委托代理人身份证号码：</w:t>
      </w:r>
    </w:p>
    <w:p w14:paraId="0E32A253">
      <w:pPr>
        <w:widowControl/>
        <w:wordWrap w:val="0"/>
        <w:spacing w:line="460" w:lineRule="exact"/>
        <w:ind w:firstLine="4800" w:firstLineChars="2000"/>
        <w:jc w:val="left"/>
        <w:rPr>
          <w:rFonts w:ascii="宋体" w:hAnsi="宋体" w:cs="宋体"/>
          <w:kern w:val="0"/>
          <w:sz w:val="24"/>
          <w:highlight w:val="none"/>
        </w:rPr>
      </w:pPr>
    </w:p>
    <w:p w14:paraId="6C3A6E8E">
      <w:pPr>
        <w:widowControl/>
        <w:wordWrap w:val="0"/>
        <w:spacing w:line="360" w:lineRule="auto"/>
        <w:jc w:val="center"/>
        <w:rPr>
          <w:rFonts w:ascii="宋体" w:hAnsi="宋体" w:cs="宋体"/>
          <w:kern w:val="0"/>
          <w:sz w:val="24"/>
          <w:highlight w:val="none"/>
        </w:rPr>
      </w:pPr>
    </w:p>
    <w:p w14:paraId="1B1BEB4A">
      <w:pPr>
        <w:widowControl/>
        <w:wordWrap w:val="0"/>
        <w:spacing w:line="360" w:lineRule="auto"/>
        <w:jc w:val="right"/>
        <w:rPr>
          <w:rFonts w:ascii="宋体" w:hAnsi="宋体" w:cs="宋体"/>
          <w:kern w:val="0"/>
          <w:sz w:val="24"/>
          <w:highlight w:val="none"/>
        </w:rPr>
      </w:pPr>
    </w:p>
    <w:p w14:paraId="078002EE">
      <w:pPr>
        <w:widowControl/>
        <w:wordWrap w:val="0"/>
        <w:spacing w:line="360" w:lineRule="auto"/>
        <w:jc w:val="right"/>
        <w:rPr>
          <w:rFonts w:ascii="宋体" w:hAnsi="宋体" w:cs="宋体"/>
          <w:kern w:val="0"/>
          <w:sz w:val="24"/>
          <w:highlight w:val="none"/>
        </w:rPr>
      </w:pPr>
    </w:p>
    <w:p w14:paraId="51DC4847">
      <w:pPr>
        <w:widowControl/>
        <w:wordWrap w:val="0"/>
        <w:spacing w:line="360" w:lineRule="auto"/>
        <w:jc w:val="right"/>
        <w:rPr>
          <w:rFonts w:ascii="宋体" w:hAnsi="宋体" w:cs="宋体"/>
          <w:kern w:val="0"/>
          <w:sz w:val="24"/>
          <w:highlight w:val="none"/>
        </w:rPr>
      </w:pPr>
    </w:p>
    <w:p w14:paraId="301A22FE">
      <w:pPr>
        <w:widowControl/>
        <w:wordWrap w:val="0"/>
        <w:spacing w:line="360" w:lineRule="auto"/>
        <w:jc w:val="right"/>
        <w:rPr>
          <w:rFonts w:ascii="宋体" w:hAnsi="宋体" w:cs="宋体"/>
          <w:kern w:val="0"/>
          <w:sz w:val="24"/>
          <w:highlight w:val="none"/>
        </w:rPr>
      </w:pPr>
    </w:p>
    <w:p w14:paraId="2460921C">
      <w:pPr>
        <w:widowControl/>
        <w:wordWrap w:val="0"/>
        <w:spacing w:line="360" w:lineRule="auto"/>
        <w:jc w:val="right"/>
        <w:rPr>
          <w:rFonts w:ascii="宋体" w:hAnsi="宋体" w:cs="宋体"/>
          <w:kern w:val="0"/>
          <w:sz w:val="24"/>
          <w:highlight w:val="none"/>
        </w:rPr>
      </w:pPr>
    </w:p>
    <w:p w14:paraId="6D51651B">
      <w:pPr>
        <w:widowControl/>
        <w:spacing w:line="360" w:lineRule="auto"/>
        <w:jc w:val="center"/>
        <w:rPr>
          <w:rFonts w:ascii="宋体" w:hAnsi="宋体" w:cs="宋体"/>
          <w:kern w:val="0"/>
          <w:sz w:val="24"/>
          <w:highlight w:val="none"/>
        </w:rPr>
      </w:pPr>
      <w:r>
        <w:rPr>
          <w:rFonts w:hint="eastAsia" w:ascii="宋体" w:hAnsi="宋体" w:cs="宋体"/>
          <w:kern w:val="0"/>
          <w:sz w:val="24"/>
          <w:highlight w:val="none"/>
        </w:rPr>
        <w:t xml:space="preserve">      供应商：</w:t>
      </w:r>
      <w:r>
        <w:rPr>
          <w:rFonts w:hint="eastAsia" w:ascii="宋体" w:hAnsi="宋体" w:cs="宋体"/>
          <w:sz w:val="28"/>
          <w:szCs w:val="28"/>
          <w:highlight w:val="none"/>
          <w:u w:val="single"/>
        </w:rPr>
        <w:t xml:space="preserve">                 </w:t>
      </w:r>
      <w:r>
        <w:rPr>
          <w:rFonts w:hint="eastAsia" w:ascii="宋体" w:hAnsi="宋体" w:cs="宋体"/>
          <w:kern w:val="0"/>
          <w:sz w:val="24"/>
          <w:highlight w:val="none"/>
        </w:rPr>
        <w:t>（全称并加盖公章）</w:t>
      </w:r>
    </w:p>
    <w:p w14:paraId="55505155">
      <w:pPr>
        <w:widowControl/>
        <w:kinsoku w:val="0"/>
        <w:autoSpaceDE w:val="0"/>
        <w:autoSpaceDN w:val="0"/>
        <w:adjustRightInd w:val="0"/>
        <w:snapToGrid w:val="0"/>
        <w:spacing w:line="460" w:lineRule="exact"/>
        <w:ind w:firstLine="2160" w:firstLineChars="900"/>
        <w:jc w:val="left"/>
        <w:textAlignment w:val="baseline"/>
        <w:rPr>
          <w:rFonts w:ascii="宋体" w:hAnsi="宋体" w:cs="宋体"/>
          <w:kern w:val="0"/>
          <w:sz w:val="24"/>
          <w:highlight w:val="none"/>
        </w:rPr>
      </w:pPr>
      <w:r>
        <w:rPr>
          <w:rFonts w:hint="eastAsia" w:ascii="宋体" w:hAnsi="宋体" w:cs="宋体"/>
          <w:kern w:val="0"/>
          <w:sz w:val="24"/>
          <w:highlight w:val="none"/>
        </w:rPr>
        <w:t>日期：   年    月    日</w:t>
      </w:r>
    </w:p>
    <w:p w14:paraId="112D5D0D">
      <w:pPr>
        <w:widowControl/>
        <w:spacing w:line="360" w:lineRule="auto"/>
        <w:ind w:firstLine="7228" w:firstLineChars="2250"/>
        <w:jc w:val="left"/>
        <w:rPr>
          <w:rFonts w:ascii="宋体" w:hAnsi="宋体" w:cs="宋体"/>
          <w:b/>
          <w:kern w:val="0"/>
          <w:sz w:val="32"/>
          <w:szCs w:val="32"/>
          <w:highlight w:val="none"/>
        </w:rPr>
      </w:pPr>
    </w:p>
    <w:p w14:paraId="2A1AA539">
      <w:pPr>
        <w:rPr>
          <w:rFonts w:ascii="宋体" w:hAnsi="宋体" w:cs="宋体"/>
          <w:b/>
          <w:kern w:val="0"/>
          <w:sz w:val="32"/>
          <w:szCs w:val="32"/>
          <w:highlight w:val="none"/>
        </w:rPr>
      </w:pPr>
      <w:r>
        <w:rPr>
          <w:rFonts w:hint="eastAsia" w:ascii="宋体" w:hAnsi="宋体" w:cs="宋体"/>
          <w:b/>
          <w:kern w:val="0"/>
          <w:sz w:val="32"/>
          <w:szCs w:val="32"/>
          <w:highlight w:val="none"/>
        </w:rPr>
        <w:br w:type="page"/>
      </w:r>
    </w:p>
    <w:p w14:paraId="0157B49E">
      <w:pPr>
        <w:pStyle w:val="2"/>
        <w:snapToGrid w:val="0"/>
        <w:spacing w:before="20" w:after="20" w:line="360" w:lineRule="auto"/>
        <w:jc w:val="center"/>
        <w:rPr>
          <w:rFonts w:ascii="宋体" w:hAnsi="宋体" w:eastAsia="宋体" w:cs="宋体"/>
          <w:sz w:val="21"/>
          <w:szCs w:val="21"/>
          <w:highlight w:val="none"/>
        </w:rPr>
      </w:pPr>
      <w:bookmarkStart w:id="71" w:name="_Toc24693"/>
      <w:bookmarkStart w:id="72" w:name="_Toc3342"/>
      <w:bookmarkStart w:id="73" w:name="_Toc18105"/>
      <w:r>
        <w:rPr>
          <w:rFonts w:hint="eastAsia" w:ascii="宋体" w:hAnsi="宋体" w:eastAsia="宋体" w:cs="宋体"/>
          <w:sz w:val="28"/>
          <w:szCs w:val="28"/>
          <w:highlight w:val="none"/>
        </w:rPr>
        <w:t>附件8          证明文件</w:t>
      </w:r>
      <w:bookmarkEnd w:id="71"/>
      <w:bookmarkEnd w:id="72"/>
      <w:bookmarkEnd w:id="73"/>
    </w:p>
    <w:p w14:paraId="372CC9D4">
      <w:pPr>
        <w:pStyle w:val="13"/>
        <w:spacing w:beforeAutospacing="0" w:afterAutospacing="0" w:line="480" w:lineRule="auto"/>
        <w:ind w:firstLine="540" w:firstLineChars="224"/>
        <w:jc w:val="both"/>
        <w:rPr>
          <w:b/>
          <w:highlight w:val="none"/>
        </w:rPr>
      </w:pPr>
      <w:r>
        <w:rPr>
          <w:rFonts w:hint="eastAsia"/>
          <w:b/>
          <w:highlight w:val="none"/>
        </w:rPr>
        <w:t>8.1供应商资格审查证明材料</w:t>
      </w:r>
    </w:p>
    <w:p w14:paraId="2A171671">
      <w:pPr>
        <w:pStyle w:val="13"/>
        <w:spacing w:beforeAutospacing="0" w:afterAutospacing="0" w:line="480" w:lineRule="auto"/>
        <w:ind w:firstLine="540" w:firstLineChars="224"/>
        <w:jc w:val="both"/>
        <w:rPr>
          <w:b/>
          <w:highlight w:val="none"/>
        </w:rPr>
      </w:pPr>
      <w:bookmarkStart w:id="74" w:name="_Toc17966"/>
    </w:p>
    <w:p w14:paraId="42662EFA">
      <w:pPr>
        <w:pStyle w:val="13"/>
        <w:spacing w:beforeAutospacing="0" w:afterAutospacing="0" w:line="480" w:lineRule="auto"/>
        <w:ind w:firstLine="540" w:firstLineChars="224"/>
        <w:jc w:val="both"/>
        <w:rPr>
          <w:b/>
          <w:highlight w:val="none"/>
        </w:rPr>
      </w:pPr>
    </w:p>
    <w:p w14:paraId="6A4C10EF">
      <w:pPr>
        <w:pStyle w:val="13"/>
        <w:spacing w:beforeAutospacing="0" w:afterAutospacing="0" w:line="480" w:lineRule="auto"/>
        <w:ind w:firstLine="540" w:firstLineChars="224"/>
        <w:jc w:val="both"/>
        <w:rPr>
          <w:b/>
          <w:highlight w:val="none"/>
        </w:rPr>
      </w:pPr>
      <w:r>
        <w:rPr>
          <w:rFonts w:hint="eastAsia"/>
          <w:b/>
          <w:highlight w:val="none"/>
        </w:rPr>
        <w:t>8.2评分标准需提供得证明材料</w:t>
      </w:r>
    </w:p>
    <w:p w14:paraId="17D1BD11">
      <w:pPr>
        <w:pStyle w:val="13"/>
        <w:spacing w:beforeAutospacing="0" w:afterAutospacing="0" w:line="480" w:lineRule="auto"/>
        <w:ind w:firstLine="540" w:firstLineChars="224"/>
        <w:jc w:val="both"/>
        <w:rPr>
          <w:b/>
          <w:highlight w:val="none"/>
        </w:rPr>
      </w:pPr>
    </w:p>
    <w:p w14:paraId="3666132D">
      <w:pPr>
        <w:pStyle w:val="13"/>
        <w:spacing w:beforeAutospacing="0" w:afterAutospacing="0" w:line="480" w:lineRule="auto"/>
        <w:ind w:firstLine="540" w:firstLineChars="224"/>
        <w:jc w:val="both"/>
        <w:rPr>
          <w:b/>
          <w:highlight w:val="none"/>
        </w:rPr>
      </w:pPr>
    </w:p>
    <w:p w14:paraId="2E75A073">
      <w:pPr>
        <w:pStyle w:val="13"/>
        <w:spacing w:beforeAutospacing="0" w:afterAutospacing="0" w:line="480" w:lineRule="auto"/>
        <w:jc w:val="both"/>
        <w:rPr>
          <w:b/>
          <w:bCs/>
          <w:highlight w:val="none"/>
        </w:rPr>
      </w:pPr>
    </w:p>
    <w:p w14:paraId="5A0C45CF">
      <w:pPr>
        <w:pStyle w:val="13"/>
        <w:spacing w:beforeAutospacing="0" w:afterAutospacing="0" w:line="480" w:lineRule="auto"/>
        <w:ind w:firstLine="540" w:firstLineChars="224"/>
        <w:jc w:val="both"/>
        <w:rPr>
          <w:b/>
          <w:highlight w:val="none"/>
        </w:rPr>
      </w:pPr>
      <w:r>
        <w:rPr>
          <w:rFonts w:hint="eastAsia"/>
          <w:b/>
          <w:highlight w:val="none"/>
        </w:rPr>
        <w:t>8.3 供应商认为其他应提供的证明材料</w:t>
      </w:r>
    </w:p>
    <w:p w14:paraId="59A88180">
      <w:pPr>
        <w:pStyle w:val="13"/>
        <w:spacing w:beforeAutospacing="0" w:afterAutospacing="0" w:line="480" w:lineRule="auto"/>
        <w:ind w:firstLine="540" w:firstLineChars="224"/>
        <w:jc w:val="both"/>
        <w:rPr>
          <w:b/>
          <w:bCs/>
          <w:highlight w:val="none"/>
        </w:rPr>
      </w:pPr>
    </w:p>
    <w:p w14:paraId="7C3EE191">
      <w:pPr>
        <w:pStyle w:val="13"/>
        <w:spacing w:beforeAutospacing="0" w:afterAutospacing="0" w:line="480" w:lineRule="auto"/>
        <w:ind w:firstLine="540" w:firstLineChars="224"/>
        <w:jc w:val="both"/>
        <w:rPr>
          <w:b/>
          <w:bCs/>
          <w:highlight w:val="none"/>
        </w:rPr>
      </w:pPr>
    </w:p>
    <w:p w14:paraId="1C5F41FA">
      <w:pPr>
        <w:pStyle w:val="13"/>
        <w:spacing w:beforeAutospacing="0" w:afterAutospacing="0" w:line="480" w:lineRule="auto"/>
        <w:ind w:firstLine="540" w:firstLineChars="224"/>
        <w:jc w:val="both"/>
        <w:rPr>
          <w:b/>
          <w:bCs/>
          <w:highlight w:val="none"/>
        </w:rPr>
      </w:pPr>
    </w:p>
    <w:bookmarkEnd w:id="74"/>
    <w:p w14:paraId="262E52A0">
      <w:pPr>
        <w:pStyle w:val="13"/>
        <w:spacing w:beforeAutospacing="0" w:afterAutospacing="0" w:line="460" w:lineRule="atLeast"/>
        <w:jc w:val="both"/>
        <w:rPr>
          <w:b/>
          <w:bCs/>
          <w:sz w:val="28"/>
          <w:szCs w:val="28"/>
          <w:highlight w:val="none"/>
        </w:rPr>
      </w:pPr>
    </w:p>
    <w:sectPr>
      <w:pgSz w:w="11906" w:h="16838"/>
      <w:pgMar w:top="1417" w:right="1474" w:bottom="1417" w:left="1474" w:header="851" w:footer="624" w:gutter="0"/>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swiss"/>
    <w:pitch w:val="default"/>
    <w:sig w:usb0="80000287" w:usb1="2ACF3C50" w:usb2="00000016" w:usb3="00000000" w:csb0="0004001F" w:csb1="00000000"/>
  </w:font>
  <w:font w:name="方正公文小标宋">
    <w:panose1 w:val="02000500000000000000"/>
    <w:charset w:val="86"/>
    <w:family w:val="auto"/>
    <w:pitch w:val="default"/>
    <w:sig w:usb0="A00002BF" w:usb1="38CF7CFA" w:usb2="00000016" w:usb3="00000000" w:csb0="00040001" w:csb1="00000000"/>
    <w:embedRegular r:id="rId1" w:fontKey="{B96DCF4B-0712-4543-9380-2D9DBF96CA33}"/>
  </w:font>
  <w:font w:name="仿宋">
    <w:panose1 w:val="02010609060101010101"/>
    <w:charset w:val="86"/>
    <w:family w:val="modern"/>
    <w:pitch w:val="default"/>
    <w:sig w:usb0="800002BF" w:usb1="38CF7CFA" w:usb2="00000016" w:usb3="00000000" w:csb0="00040001" w:csb1="00000000"/>
    <w:embedRegular r:id="rId2" w:fontKey="{6C80B35A-970A-49D4-9562-7302DDC1ADD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5AB4C4">
    <w:pPr>
      <w:pStyle w:val="23"/>
      <w:pBdr>
        <w:top w:val="single" w:color="auto" w:sz="4" w:space="1"/>
      </w:pBdr>
      <w:jc w:val="both"/>
    </w:pPr>
    <w:r>
      <w:pict>
        <v:shape id="文本框 1025" o:spid="_x0000_s1026" o:spt="202" type="#_x0000_t202" style="position:absolute;left:0pt;margin-top:1.15pt;height:144pt;width:144pt;mso-position-horizontal:center;mso-position-horizontal-relative:margin;mso-wrap-style:none;z-index:251661312;mso-width-relative:page;mso-height-relative:page;" filled="f" stroked="f" coordsize="21600,21600" o:gfxdata="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nDNi/TAAAABgEAAA8AAAAAAAAAAQAgAAAAIgAA&#10;AGRycy9kb3ducmV2LnhtbFBLAQIUABQAAAAIAIdO4kCHIGb51AEAAKUDAAAOAAAAAAAAAAEAIAAA&#10;ACIBAABkcnMvZTJvRG9jLnhtbFBLBQYAAAAABgAGAFkBAABoBQAAAAA=&#10;">
          <v:path/>
          <v:fill on="f" focussize="0,0"/>
          <v:stroke on="f" weight="0.5pt" joinstyle="miter"/>
          <v:imagedata o:title=""/>
          <o:lock v:ext="edit"/>
          <v:textbox inset="0mm,0mm,0mm,0mm" style="mso-fit-shape-to-text:t;">
            <w:txbxContent>
              <w:p w14:paraId="2A53048B">
                <w:pPr>
                  <w:pStyle w:val="2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BAA4C7">
    <w:pPr>
      <w:pStyle w:val="23"/>
      <w:pBdr>
        <w:top w:val="single" w:color="auto" w:sz="4" w:space="1"/>
      </w:pBdr>
      <w:jc w:val="both"/>
    </w:pPr>
    <w:r>
      <w:pict>
        <v:shape id="文本框 1026" o:spid="_x0000_s3073" o:spt="202" type="#_x0000_t202" style="position:absolute;left:0pt;margin-top:1.15pt;height:16.1pt;width:11.4pt;mso-position-horizontal:center;mso-position-horizontal-relative:margin;z-index:251660288;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9mmrNQAAAAEAQAADwAAAAAAAAABACAAAAAiAAAAZHJzL2Rvd25yZXYueG1sUEsBAhQAFAAA&#10;AAgAh07iQFFZh6C6AQAAdAMAAA4AAAAAAAAAAQAgAAAAIwEAAGRycy9lMm9Eb2MueG1sUEsFBgAA&#10;AAAGAAYAWQEAAE8FAAAAAA==&#10;">
          <v:path/>
          <v:fill on="f" focussize="0,0"/>
          <v:stroke on="f" joinstyle="miter"/>
          <v:imagedata o:title=""/>
          <o:lock v:ext="edit"/>
          <v:textbox inset="0mm,0mm,0mm,0mm">
            <w:txbxContent>
              <w:p w14:paraId="669803CB">
                <w:pPr>
                  <w:pStyle w:val="23"/>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2</w:t>
                </w:r>
                <w:r>
                  <w:rPr>
                    <w:rFonts w:hint="eastAsia" w:ascii="宋体" w:hAnsi="宋体" w:cs="宋体"/>
                  </w:rPr>
                  <w:fldChar w:fldCharType="end"/>
                </w:r>
              </w:p>
            </w:txbxContent>
          </v:textbox>
        </v:shape>
      </w:pict>
    </w:r>
  </w:p>
  <w:p w14:paraId="0A2A78BB">
    <w:pPr>
      <w:pStyle w:val="2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66FEB2">
    <w:pPr>
      <w:pStyle w:val="25"/>
      <w:jc w:val="right"/>
    </w:pPr>
    <w:r>
      <w:rPr>
        <w:rFonts w:hint="eastAsia"/>
      </w:rPr>
      <w:t>驻马店市中心医院康复分院病房楼改造项目屋面防水工程</w:t>
    </w:r>
    <w:r>
      <w:rPr>
        <w:rFonts w:hint="eastAsia" w:ascii="宋体" w:hAnsi="宋体" w:cs="宋体"/>
        <w:szCs w:val="21"/>
        <w:shd w:val="clear" w:color="auto" w:fill="FFFFFF"/>
      </w:rPr>
      <w:t>采购</w:t>
    </w:r>
    <w:r>
      <w:rPr>
        <w:rFonts w:hint="eastAsia"/>
      </w:rPr>
      <w:t>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NotTrackMoves/>
  <w:documentProtection w:enforcement="0"/>
  <w:defaultTabStop w:val="420"/>
  <w:drawingGridHorizontalSpacing w:val="105"/>
  <w:drawingGridVerticalSpacing w:val="319"/>
  <w:noPunctuationKerning w:val="1"/>
  <w:characterSpacingControl w:val="compressPunctuation"/>
  <w:doNotValidateAgainstSchema/>
  <w:doNotDemarcateInvalidXml/>
  <w:hdrShapeDefaults>
    <o:shapelayout v:ext="edit">
      <o:idmap v:ext="edit" data="1,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mUxZTMwNmMyMDcwMThhNDM2NzZhZjYxYzY5Y2VkNzQifQ=="/>
  </w:docVars>
  <w:rsids>
    <w:rsidRoot w:val="00172A27"/>
    <w:rsid w:val="00000E51"/>
    <w:rsid w:val="00003688"/>
    <w:rsid w:val="000036EC"/>
    <w:rsid w:val="00012F90"/>
    <w:rsid w:val="000165C3"/>
    <w:rsid w:val="00017230"/>
    <w:rsid w:val="00020C53"/>
    <w:rsid w:val="00021C37"/>
    <w:rsid w:val="00022E51"/>
    <w:rsid w:val="00024627"/>
    <w:rsid w:val="000262D7"/>
    <w:rsid w:val="0002667F"/>
    <w:rsid w:val="000272B2"/>
    <w:rsid w:val="00031431"/>
    <w:rsid w:val="00033B50"/>
    <w:rsid w:val="00034F10"/>
    <w:rsid w:val="00035692"/>
    <w:rsid w:val="00036275"/>
    <w:rsid w:val="00037EC8"/>
    <w:rsid w:val="00040F14"/>
    <w:rsid w:val="0004437B"/>
    <w:rsid w:val="000460D7"/>
    <w:rsid w:val="000521E5"/>
    <w:rsid w:val="00053C5C"/>
    <w:rsid w:val="00054740"/>
    <w:rsid w:val="00055707"/>
    <w:rsid w:val="00055BD4"/>
    <w:rsid w:val="0005650A"/>
    <w:rsid w:val="00057843"/>
    <w:rsid w:val="00061862"/>
    <w:rsid w:val="00062791"/>
    <w:rsid w:val="00064977"/>
    <w:rsid w:val="00065EFE"/>
    <w:rsid w:val="000678CF"/>
    <w:rsid w:val="00067EA4"/>
    <w:rsid w:val="00072F8C"/>
    <w:rsid w:val="000757DD"/>
    <w:rsid w:val="000771AB"/>
    <w:rsid w:val="000828BF"/>
    <w:rsid w:val="0008472B"/>
    <w:rsid w:val="00085F92"/>
    <w:rsid w:val="00086FD8"/>
    <w:rsid w:val="000910D5"/>
    <w:rsid w:val="0009148A"/>
    <w:rsid w:val="00092B31"/>
    <w:rsid w:val="00097532"/>
    <w:rsid w:val="00097E42"/>
    <w:rsid w:val="000A0B1B"/>
    <w:rsid w:val="000A126A"/>
    <w:rsid w:val="000A16B7"/>
    <w:rsid w:val="000A7088"/>
    <w:rsid w:val="000A78F6"/>
    <w:rsid w:val="000A7ACD"/>
    <w:rsid w:val="000B0240"/>
    <w:rsid w:val="000B6531"/>
    <w:rsid w:val="000B772E"/>
    <w:rsid w:val="000C43E1"/>
    <w:rsid w:val="000C6342"/>
    <w:rsid w:val="000C6986"/>
    <w:rsid w:val="000C6F01"/>
    <w:rsid w:val="000C73C9"/>
    <w:rsid w:val="000D0D98"/>
    <w:rsid w:val="000D44AD"/>
    <w:rsid w:val="000D72E6"/>
    <w:rsid w:val="000E252C"/>
    <w:rsid w:val="000E6B87"/>
    <w:rsid w:val="000E6D3C"/>
    <w:rsid w:val="000F035B"/>
    <w:rsid w:val="000F2100"/>
    <w:rsid w:val="000F3779"/>
    <w:rsid w:val="000F685E"/>
    <w:rsid w:val="00104521"/>
    <w:rsid w:val="00110444"/>
    <w:rsid w:val="0011253B"/>
    <w:rsid w:val="001139C0"/>
    <w:rsid w:val="0011452C"/>
    <w:rsid w:val="00121774"/>
    <w:rsid w:val="00122AE5"/>
    <w:rsid w:val="00127E77"/>
    <w:rsid w:val="0013574E"/>
    <w:rsid w:val="00141C52"/>
    <w:rsid w:val="00145792"/>
    <w:rsid w:val="00147FC2"/>
    <w:rsid w:val="00151D92"/>
    <w:rsid w:val="00153449"/>
    <w:rsid w:val="00155B84"/>
    <w:rsid w:val="00162EA5"/>
    <w:rsid w:val="001630D8"/>
    <w:rsid w:val="001641C5"/>
    <w:rsid w:val="001656CE"/>
    <w:rsid w:val="00166B7C"/>
    <w:rsid w:val="00170488"/>
    <w:rsid w:val="00171081"/>
    <w:rsid w:val="00171DC4"/>
    <w:rsid w:val="00172A27"/>
    <w:rsid w:val="00173A07"/>
    <w:rsid w:val="001743D2"/>
    <w:rsid w:val="001756D5"/>
    <w:rsid w:val="00176116"/>
    <w:rsid w:val="00176541"/>
    <w:rsid w:val="001809B6"/>
    <w:rsid w:val="00180A78"/>
    <w:rsid w:val="00181303"/>
    <w:rsid w:val="00183B61"/>
    <w:rsid w:val="001866AC"/>
    <w:rsid w:val="00187D09"/>
    <w:rsid w:val="00190212"/>
    <w:rsid w:val="00192E94"/>
    <w:rsid w:val="00193782"/>
    <w:rsid w:val="001A1F77"/>
    <w:rsid w:val="001A6057"/>
    <w:rsid w:val="001A63D5"/>
    <w:rsid w:val="001B4D8E"/>
    <w:rsid w:val="001B6482"/>
    <w:rsid w:val="001C08A9"/>
    <w:rsid w:val="001D0E22"/>
    <w:rsid w:val="001D414F"/>
    <w:rsid w:val="001D4D3C"/>
    <w:rsid w:val="001D567E"/>
    <w:rsid w:val="001D784A"/>
    <w:rsid w:val="001D7D80"/>
    <w:rsid w:val="001E074B"/>
    <w:rsid w:val="001E3D17"/>
    <w:rsid w:val="001E50E4"/>
    <w:rsid w:val="001F4DBD"/>
    <w:rsid w:val="001F4F1E"/>
    <w:rsid w:val="001F52D5"/>
    <w:rsid w:val="001F60F4"/>
    <w:rsid w:val="001F79C5"/>
    <w:rsid w:val="00207653"/>
    <w:rsid w:val="0021089D"/>
    <w:rsid w:val="00214403"/>
    <w:rsid w:val="0021505B"/>
    <w:rsid w:val="0022103B"/>
    <w:rsid w:val="002219DC"/>
    <w:rsid w:val="00221F7D"/>
    <w:rsid w:val="00231F56"/>
    <w:rsid w:val="00234020"/>
    <w:rsid w:val="00235D34"/>
    <w:rsid w:val="0024066E"/>
    <w:rsid w:val="00243C82"/>
    <w:rsid w:val="0024618D"/>
    <w:rsid w:val="002476D8"/>
    <w:rsid w:val="002727E2"/>
    <w:rsid w:val="00275597"/>
    <w:rsid w:val="002818DD"/>
    <w:rsid w:val="00281F28"/>
    <w:rsid w:val="00286921"/>
    <w:rsid w:val="0028704B"/>
    <w:rsid w:val="002912E9"/>
    <w:rsid w:val="00297DDD"/>
    <w:rsid w:val="002A6EF5"/>
    <w:rsid w:val="002B0A49"/>
    <w:rsid w:val="002B151E"/>
    <w:rsid w:val="002B1F8A"/>
    <w:rsid w:val="002B21DB"/>
    <w:rsid w:val="002B2A18"/>
    <w:rsid w:val="002B2FF2"/>
    <w:rsid w:val="002B39C1"/>
    <w:rsid w:val="002B4688"/>
    <w:rsid w:val="002B59AF"/>
    <w:rsid w:val="002B6028"/>
    <w:rsid w:val="002B6EEC"/>
    <w:rsid w:val="002C318F"/>
    <w:rsid w:val="002C59F0"/>
    <w:rsid w:val="002D1344"/>
    <w:rsid w:val="002D28E7"/>
    <w:rsid w:val="002D38D8"/>
    <w:rsid w:val="002D5AB8"/>
    <w:rsid w:val="002D694B"/>
    <w:rsid w:val="002D700F"/>
    <w:rsid w:val="002D7301"/>
    <w:rsid w:val="002D7928"/>
    <w:rsid w:val="002E132A"/>
    <w:rsid w:val="002E1ED0"/>
    <w:rsid w:val="002E62DB"/>
    <w:rsid w:val="002E6DA6"/>
    <w:rsid w:val="002F0B3C"/>
    <w:rsid w:val="002F0CC5"/>
    <w:rsid w:val="002F4F94"/>
    <w:rsid w:val="002F52A8"/>
    <w:rsid w:val="0030109F"/>
    <w:rsid w:val="00302A40"/>
    <w:rsid w:val="00321BAA"/>
    <w:rsid w:val="003251B4"/>
    <w:rsid w:val="00333A21"/>
    <w:rsid w:val="00333A29"/>
    <w:rsid w:val="0034106D"/>
    <w:rsid w:val="00346DD4"/>
    <w:rsid w:val="003506C4"/>
    <w:rsid w:val="003534C9"/>
    <w:rsid w:val="00353F83"/>
    <w:rsid w:val="003559F8"/>
    <w:rsid w:val="00356B57"/>
    <w:rsid w:val="00360373"/>
    <w:rsid w:val="003634AB"/>
    <w:rsid w:val="00365DBF"/>
    <w:rsid w:val="00373382"/>
    <w:rsid w:val="0037426D"/>
    <w:rsid w:val="00374559"/>
    <w:rsid w:val="0037549E"/>
    <w:rsid w:val="0037721E"/>
    <w:rsid w:val="00380986"/>
    <w:rsid w:val="00382A6A"/>
    <w:rsid w:val="0038356F"/>
    <w:rsid w:val="00383C51"/>
    <w:rsid w:val="003849B3"/>
    <w:rsid w:val="0038547B"/>
    <w:rsid w:val="00386F28"/>
    <w:rsid w:val="00387C65"/>
    <w:rsid w:val="00390347"/>
    <w:rsid w:val="00391146"/>
    <w:rsid w:val="003915F8"/>
    <w:rsid w:val="00392964"/>
    <w:rsid w:val="0039368B"/>
    <w:rsid w:val="0039495F"/>
    <w:rsid w:val="00394D38"/>
    <w:rsid w:val="003962AF"/>
    <w:rsid w:val="00396D48"/>
    <w:rsid w:val="003A03F9"/>
    <w:rsid w:val="003A56C5"/>
    <w:rsid w:val="003B0180"/>
    <w:rsid w:val="003B06C0"/>
    <w:rsid w:val="003B06EB"/>
    <w:rsid w:val="003B21E0"/>
    <w:rsid w:val="003B34C5"/>
    <w:rsid w:val="003B419B"/>
    <w:rsid w:val="003B61DA"/>
    <w:rsid w:val="003C3687"/>
    <w:rsid w:val="003D1F44"/>
    <w:rsid w:val="003D2173"/>
    <w:rsid w:val="003D3EAB"/>
    <w:rsid w:val="003D48A8"/>
    <w:rsid w:val="003D5DB0"/>
    <w:rsid w:val="003E1FE2"/>
    <w:rsid w:val="003E35BE"/>
    <w:rsid w:val="003F35EF"/>
    <w:rsid w:val="003F3AED"/>
    <w:rsid w:val="003F4368"/>
    <w:rsid w:val="003F5E68"/>
    <w:rsid w:val="003F63CA"/>
    <w:rsid w:val="003F7E08"/>
    <w:rsid w:val="00405888"/>
    <w:rsid w:val="0040755F"/>
    <w:rsid w:val="00407F61"/>
    <w:rsid w:val="00410C32"/>
    <w:rsid w:val="00416BEF"/>
    <w:rsid w:val="00420790"/>
    <w:rsid w:val="004212E9"/>
    <w:rsid w:val="00421D27"/>
    <w:rsid w:val="00425B8B"/>
    <w:rsid w:val="004261E2"/>
    <w:rsid w:val="004266B1"/>
    <w:rsid w:val="00435566"/>
    <w:rsid w:val="0043672E"/>
    <w:rsid w:val="00444A2F"/>
    <w:rsid w:val="00446D88"/>
    <w:rsid w:val="0044728E"/>
    <w:rsid w:val="00450723"/>
    <w:rsid w:val="0045184C"/>
    <w:rsid w:val="00454DD9"/>
    <w:rsid w:val="004564BA"/>
    <w:rsid w:val="00460C29"/>
    <w:rsid w:val="00460C96"/>
    <w:rsid w:val="00462411"/>
    <w:rsid w:val="004637BF"/>
    <w:rsid w:val="004638C7"/>
    <w:rsid w:val="00467CD8"/>
    <w:rsid w:val="00467DBB"/>
    <w:rsid w:val="00474C5C"/>
    <w:rsid w:val="00475A40"/>
    <w:rsid w:val="00476D4F"/>
    <w:rsid w:val="00477033"/>
    <w:rsid w:val="00481BE4"/>
    <w:rsid w:val="00482A00"/>
    <w:rsid w:val="00483DEE"/>
    <w:rsid w:val="00483F46"/>
    <w:rsid w:val="004840F2"/>
    <w:rsid w:val="004860CE"/>
    <w:rsid w:val="00487965"/>
    <w:rsid w:val="0049159F"/>
    <w:rsid w:val="00491CFF"/>
    <w:rsid w:val="00494AE3"/>
    <w:rsid w:val="004A2DC2"/>
    <w:rsid w:val="004A3ED1"/>
    <w:rsid w:val="004A56AA"/>
    <w:rsid w:val="004B0865"/>
    <w:rsid w:val="004B0DC2"/>
    <w:rsid w:val="004B1068"/>
    <w:rsid w:val="004B3872"/>
    <w:rsid w:val="004B479D"/>
    <w:rsid w:val="004B6CE6"/>
    <w:rsid w:val="004C23E5"/>
    <w:rsid w:val="004C6D19"/>
    <w:rsid w:val="004D5FCF"/>
    <w:rsid w:val="004D751C"/>
    <w:rsid w:val="004D7820"/>
    <w:rsid w:val="004D7B42"/>
    <w:rsid w:val="004F0462"/>
    <w:rsid w:val="00503E97"/>
    <w:rsid w:val="005068C0"/>
    <w:rsid w:val="00512A1F"/>
    <w:rsid w:val="005226EE"/>
    <w:rsid w:val="00524147"/>
    <w:rsid w:val="00525D5A"/>
    <w:rsid w:val="0052705E"/>
    <w:rsid w:val="00527303"/>
    <w:rsid w:val="00531A15"/>
    <w:rsid w:val="00536761"/>
    <w:rsid w:val="00543694"/>
    <w:rsid w:val="00545EBC"/>
    <w:rsid w:val="00552CFD"/>
    <w:rsid w:val="005537EC"/>
    <w:rsid w:val="00561DC8"/>
    <w:rsid w:val="00563FCD"/>
    <w:rsid w:val="00567B6D"/>
    <w:rsid w:val="0057221A"/>
    <w:rsid w:val="00574F1C"/>
    <w:rsid w:val="00575874"/>
    <w:rsid w:val="00583F9C"/>
    <w:rsid w:val="005867C0"/>
    <w:rsid w:val="00586B69"/>
    <w:rsid w:val="00586EB4"/>
    <w:rsid w:val="00587007"/>
    <w:rsid w:val="005916D7"/>
    <w:rsid w:val="00592A6D"/>
    <w:rsid w:val="005946C4"/>
    <w:rsid w:val="00595847"/>
    <w:rsid w:val="005964D7"/>
    <w:rsid w:val="00596587"/>
    <w:rsid w:val="005A466D"/>
    <w:rsid w:val="005A71C6"/>
    <w:rsid w:val="005B080D"/>
    <w:rsid w:val="005B1953"/>
    <w:rsid w:val="005B1D93"/>
    <w:rsid w:val="005B3737"/>
    <w:rsid w:val="005B38FA"/>
    <w:rsid w:val="005B7746"/>
    <w:rsid w:val="005B79B6"/>
    <w:rsid w:val="005C11E9"/>
    <w:rsid w:val="005C21D2"/>
    <w:rsid w:val="005C332C"/>
    <w:rsid w:val="005C511F"/>
    <w:rsid w:val="005C6B44"/>
    <w:rsid w:val="005C7F75"/>
    <w:rsid w:val="005D1C21"/>
    <w:rsid w:val="005D3447"/>
    <w:rsid w:val="005D3B26"/>
    <w:rsid w:val="005D5624"/>
    <w:rsid w:val="005D5C32"/>
    <w:rsid w:val="005D788B"/>
    <w:rsid w:val="005D7A7D"/>
    <w:rsid w:val="005D7CD8"/>
    <w:rsid w:val="005E1A51"/>
    <w:rsid w:val="00600486"/>
    <w:rsid w:val="006026D1"/>
    <w:rsid w:val="006026DE"/>
    <w:rsid w:val="00605665"/>
    <w:rsid w:val="00606A63"/>
    <w:rsid w:val="00607D6E"/>
    <w:rsid w:val="006134B6"/>
    <w:rsid w:val="00622261"/>
    <w:rsid w:val="006223D5"/>
    <w:rsid w:val="00627850"/>
    <w:rsid w:val="00627DAB"/>
    <w:rsid w:val="00627DC7"/>
    <w:rsid w:val="00632751"/>
    <w:rsid w:val="00633657"/>
    <w:rsid w:val="00635EE7"/>
    <w:rsid w:val="00640403"/>
    <w:rsid w:val="00643CF6"/>
    <w:rsid w:val="0064622C"/>
    <w:rsid w:val="0064748F"/>
    <w:rsid w:val="0064772A"/>
    <w:rsid w:val="006506F3"/>
    <w:rsid w:val="006527BA"/>
    <w:rsid w:val="00654D3A"/>
    <w:rsid w:val="00657186"/>
    <w:rsid w:val="00657B85"/>
    <w:rsid w:val="00662038"/>
    <w:rsid w:val="00662F1B"/>
    <w:rsid w:val="00663912"/>
    <w:rsid w:val="00665B74"/>
    <w:rsid w:val="00666E46"/>
    <w:rsid w:val="006733F1"/>
    <w:rsid w:val="00674B7B"/>
    <w:rsid w:val="006774B7"/>
    <w:rsid w:val="00681340"/>
    <w:rsid w:val="00681E00"/>
    <w:rsid w:val="00681EFA"/>
    <w:rsid w:val="00683BD4"/>
    <w:rsid w:val="006901E3"/>
    <w:rsid w:val="00694E40"/>
    <w:rsid w:val="00695469"/>
    <w:rsid w:val="006973BE"/>
    <w:rsid w:val="006A3FAF"/>
    <w:rsid w:val="006A4472"/>
    <w:rsid w:val="006A53C0"/>
    <w:rsid w:val="006A5EC9"/>
    <w:rsid w:val="006A6BE3"/>
    <w:rsid w:val="006A6C58"/>
    <w:rsid w:val="006A6CA0"/>
    <w:rsid w:val="006B0BA3"/>
    <w:rsid w:val="006B4389"/>
    <w:rsid w:val="006C1AC3"/>
    <w:rsid w:val="006C3381"/>
    <w:rsid w:val="006C3F8D"/>
    <w:rsid w:val="006C5741"/>
    <w:rsid w:val="006C5895"/>
    <w:rsid w:val="006C7A22"/>
    <w:rsid w:val="006D23F4"/>
    <w:rsid w:val="006D2422"/>
    <w:rsid w:val="006D2754"/>
    <w:rsid w:val="006E0E89"/>
    <w:rsid w:val="006E211C"/>
    <w:rsid w:val="006E3D12"/>
    <w:rsid w:val="006E3F7B"/>
    <w:rsid w:val="006E7834"/>
    <w:rsid w:val="006F1887"/>
    <w:rsid w:val="006F2533"/>
    <w:rsid w:val="006F36C9"/>
    <w:rsid w:val="006F3FF8"/>
    <w:rsid w:val="006F5EBB"/>
    <w:rsid w:val="006F6D76"/>
    <w:rsid w:val="00700968"/>
    <w:rsid w:val="00704FC8"/>
    <w:rsid w:val="00715942"/>
    <w:rsid w:val="00717D28"/>
    <w:rsid w:val="00720430"/>
    <w:rsid w:val="007213BD"/>
    <w:rsid w:val="0072294E"/>
    <w:rsid w:val="0073362A"/>
    <w:rsid w:val="00734E23"/>
    <w:rsid w:val="007361D9"/>
    <w:rsid w:val="00742A39"/>
    <w:rsid w:val="007442BF"/>
    <w:rsid w:val="007451B7"/>
    <w:rsid w:val="007454DB"/>
    <w:rsid w:val="007477B9"/>
    <w:rsid w:val="00752D80"/>
    <w:rsid w:val="007539E6"/>
    <w:rsid w:val="00753B1A"/>
    <w:rsid w:val="0075506B"/>
    <w:rsid w:val="00756A8B"/>
    <w:rsid w:val="007635C6"/>
    <w:rsid w:val="00766B59"/>
    <w:rsid w:val="0076783A"/>
    <w:rsid w:val="00770296"/>
    <w:rsid w:val="0077380E"/>
    <w:rsid w:val="007758B0"/>
    <w:rsid w:val="00776A44"/>
    <w:rsid w:val="007819D5"/>
    <w:rsid w:val="007849DF"/>
    <w:rsid w:val="00784D17"/>
    <w:rsid w:val="007855DC"/>
    <w:rsid w:val="00791C0A"/>
    <w:rsid w:val="007A1ABC"/>
    <w:rsid w:val="007A1BDB"/>
    <w:rsid w:val="007A393C"/>
    <w:rsid w:val="007A7CCF"/>
    <w:rsid w:val="007B2EDA"/>
    <w:rsid w:val="007B5BF3"/>
    <w:rsid w:val="007B6B89"/>
    <w:rsid w:val="007C13DE"/>
    <w:rsid w:val="007C1D12"/>
    <w:rsid w:val="007D1504"/>
    <w:rsid w:val="007D7FE5"/>
    <w:rsid w:val="007E07D0"/>
    <w:rsid w:val="007E0DAC"/>
    <w:rsid w:val="007E2E98"/>
    <w:rsid w:val="007E52EB"/>
    <w:rsid w:val="007E5F56"/>
    <w:rsid w:val="007E6644"/>
    <w:rsid w:val="007E69C5"/>
    <w:rsid w:val="007F0E44"/>
    <w:rsid w:val="007F12B5"/>
    <w:rsid w:val="007F1A27"/>
    <w:rsid w:val="007F50E5"/>
    <w:rsid w:val="008018E2"/>
    <w:rsid w:val="00806F13"/>
    <w:rsid w:val="0081025F"/>
    <w:rsid w:val="008104D7"/>
    <w:rsid w:val="0081331D"/>
    <w:rsid w:val="00815884"/>
    <w:rsid w:val="0082101E"/>
    <w:rsid w:val="00821BBB"/>
    <w:rsid w:val="00822315"/>
    <w:rsid w:val="00823BC7"/>
    <w:rsid w:val="00826C87"/>
    <w:rsid w:val="008307A1"/>
    <w:rsid w:val="00831534"/>
    <w:rsid w:val="00831ACF"/>
    <w:rsid w:val="00834B99"/>
    <w:rsid w:val="00835896"/>
    <w:rsid w:val="00844E75"/>
    <w:rsid w:val="00844FCA"/>
    <w:rsid w:val="00847DE1"/>
    <w:rsid w:val="008500F7"/>
    <w:rsid w:val="008509F0"/>
    <w:rsid w:val="00853408"/>
    <w:rsid w:val="008553A0"/>
    <w:rsid w:val="00862B84"/>
    <w:rsid w:val="008639A5"/>
    <w:rsid w:val="00864F88"/>
    <w:rsid w:val="008717DC"/>
    <w:rsid w:val="008757D7"/>
    <w:rsid w:val="00875EEC"/>
    <w:rsid w:val="00880AFB"/>
    <w:rsid w:val="0088168B"/>
    <w:rsid w:val="00881F4C"/>
    <w:rsid w:val="008848AC"/>
    <w:rsid w:val="00890267"/>
    <w:rsid w:val="00893E5D"/>
    <w:rsid w:val="008A10E8"/>
    <w:rsid w:val="008A115E"/>
    <w:rsid w:val="008A380B"/>
    <w:rsid w:val="008A4B1D"/>
    <w:rsid w:val="008A69F8"/>
    <w:rsid w:val="008A7033"/>
    <w:rsid w:val="008B0660"/>
    <w:rsid w:val="008B51F5"/>
    <w:rsid w:val="008B5432"/>
    <w:rsid w:val="008B5D0F"/>
    <w:rsid w:val="008B7FB1"/>
    <w:rsid w:val="008C2BC7"/>
    <w:rsid w:val="008C31FD"/>
    <w:rsid w:val="008C47EB"/>
    <w:rsid w:val="008C4BE6"/>
    <w:rsid w:val="008C53A8"/>
    <w:rsid w:val="008C698C"/>
    <w:rsid w:val="008C7324"/>
    <w:rsid w:val="008D2BEE"/>
    <w:rsid w:val="008D3384"/>
    <w:rsid w:val="008D64BC"/>
    <w:rsid w:val="008D70CD"/>
    <w:rsid w:val="008E4585"/>
    <w:rsid w:val="008E5901"/>
    <w:rsid w:val="008F07E3"/>
    <w:rsid w:val="008F15BA"/>
    <w:rsid w:val="008F606B"/>
    <w:rsid w:val="00900739"/>
    <w:rsid w:val="00904FE1"/>
    <w:rsid w:val="009072BE"/>
    <w:rsid w:val="00912FF6"/>
    <w:rsid w:val="00914EED"/>
    <w:rsid w:val="009175CA"/>
    <w:rsid w:val="00923C18"/>
    <w:rsid w:val="00924816"/>
    <w:rsid w:val="00927240"/>
    <w:rsid w:val="00930E42"/>
    <w:rsid w:val="009317EA"/>
    <w:rsid w:val="00931BD1"/>
    <w:rsid w:val="009404CE"/>
    <w:rsid w:val="0094252B"/>
    <w:rsid w:val="0094548A"/>
    <w:rsid w:val="00947054"/>
    <w:rsid w:val="00947CF0"/>
    <w:rsid w:val="00950240"/>
    <w:rsid w:val="0095275E"/>
    <w:rsid w:val="00952958"/>
    <w:rsid w:val="0095606D"/>
    <w:rsid w:val="0096169A"/>
    <w:rsid w:val="009616B6"/>
    <w:rsid w:val="00961C05"/>
    <w:rsid w:val="009659CB"/>
    <w:rsid w:val="00965B4D"/>
    <w:rsid w:val="00966ECA"/>
    <w:rsid w:val="00967B87"/>
    <w:rsid w:val="009717CE"/>
    <w:rsid w:val="00975858"/>
    <w:rsid w:val="009808B9"/>
    <w:rsid w:val="00980E18"/>
    <w:rsid w:val="009814D9"/>
    <w:rsid w:val="00990484"/>
    <w:rsid w:val="00991ADF"/>
    <w:rsid w:val="009923FC"/>
    <w:rsid w:val="00997337"/>
    <w:rsid w:val="009A0964"/>
    <w:rsid w:val="009A0F72"/>
    <w:rsid w:val="009A25B4"/>
    <w:rsid w:val="009A541B"/>
    <w:rsid w:val="009B2766"/>
    <w:rsid w:val="009B41D3"/>
    <w:rsid w:val="009B46DB"/>
    <w:rsid w:val="009C113C"/>
    <w:rsid w:val="009C2AC3"/>
    <w:rsid w:val="009C491F"/>
    <w:rsid w:val="009C4A96"/>
    <w:rsid w:val="009C78C9"/>
    <w:rsid w:val="009C7E8F"/>
    <w:rsid w:val="009D01D7"/>
    <w:rsid w:val="009D0F10"/>
    <w:rsid w:val="009D2408"/>
    <w:rsid w:val="009D63E5"/>
    <w:rsid w:val="009D7201"/>
    <w:rsid w:val="009D7F59"/>
    <w:rsid w:val="009D7FA9"/>
    <w:rsid w:val="009E0962"/>
    <w:rsid w:val="009E0C76"/>
    <w:rsid w:val="009E0FBD"/>
    <w:rsid w:val="009E79A7"/>
    <w:rsid w:val="009F07C2"/>
    <w:rsid w:val="009F4C0F"/>
    <w:rsid w:val="00A02455"/>
    <w:rsid w:val="00A024E5"/>
    <w:rsid w:val="00A050BB"/>
    <w:rsid w:val="00A10EBC"/>
    <w:rsid w:val="00A14E61"/>
    <w:rsid w:val="00A1620E"/>
    <w:rsid w:val="00A16ECE"/>
    <w:rsid w:val="00A17C7A"/>
    <w:rsid w:val="00A21E49"/>
    <w:rsid w:val="00A2511D"/>
    <w:rsid w:val="00A2615F"/>
    <w:rsid w:val="00A31250"/>
    <w:rsid w:val="00A32F86"/>
    <w:rsid w:val="00A34848"/>
    <w:rsid w:val="00A34CF7"/>
    <w:rsid w:val="00A36713"/>
    <w:rsid w:val="00A37A89"/>
    <w:rsid w:val="00A37F82"/>
    <w:rsid w:val="00A40B5F"/>
    <w:rsid w:val="00A40D02"/>
    <w:rsid w:val="00A41ECD"/>
    <w:rsid w:val="00A4599A"/>
    <w:rsid w:val="00A514B4"/>
    <w:rsid w:val="00A52955"/>
    <w:rsid w:val="00A54D5F"/>
    <w:rsid w:val="00A55D2D"/>
    <w:rsid w:val="00A62166"/>
    <w:rsid w:val="00A6244D"/>
    <w:rsid w:val="00A65A67"/>
    <w:rsid w:val="00A6650A"/>
    <w:rsid w:val="00A7048A"/>
    <w:rsid w:val="00A70F9F"/>
    <w:rsid w:val="00A751B6"/>
    <w:rsid w:val="00A7567E"/>
    <w:rsid w:val="00A771FC"/>
    <w:rsid w:val="00A77356"/>
    <w:rsid w:val="00A77547"/>
    <w:rsid w:val="00A776A7"/>
    <w:rsid w:val="00A840B0"/>
    <w:rsid w:val="00A87569"/>
    <w:rsid w:val="00A9022C"/>
    <w:rsid w:val="00A906A4"/>
    <w:rsid w:val="00A90A32"/>
    <w:rsid w:val="00A92654"/>
    <w:rsid w:val="00A9622A"/>
    <w:rsid w:val="00A965DA"/>
    <w:rsid w:val="00AA2C6F"/>
    <w:rsid w:val="00AA53A8"/>
    <w:rsid w:val="00AA6A35"/>
    <w:rsid w:val="00AA6C76"/>
    <w:rsid w:val="00AA721E"/>
    <w:rsid w:val="00AB0080"/>
    <w:rsid w:val="00AB0CF3"/>
    <w:rsid w:val="00AB1F09"/>
    <w:rsid w:val="00AB4031"/>
    <w:rsid w:val="00AB4C61"/>
    <w:rsid w:val="00AB55EA"/>
    <w:rsid w:val="00AC0269"/>
    <w:rsid w:val="00AC0B8C"/>
    <w:rsid w:val="00AC201A"/>
    <w:rsid w:val="00AC3299"/>
    <w:rsid w:val="00AC33E8"/>
    <w:rsid w:val="00AC6684"/>
    <w:rsid w:val="00AC6DB7"/>
    <w:rsid w:val="00AC7267"/>
    <w:rsid w:val="00AD1762"/>
    <w:rsid w:val="00AD3F62"/>
    <w:rsid w:val="00AD46D9"/>
    <w:rsid w:val="00AE1276"/>
    <w:rsid w:val="00AE2BC8"/>
    <w:rsid w:val="00AE3879"/>
    <w:rsid w:val="00AE5FE2"/>
    <w:rsid w:val="00AF08ED"/>
    <w:rsid w:val="00AF1F03"/>
    <w:rsid w:val="00AF2487"/>
    <w:rsid w:val="00AF3539"/>
    <w:rsid w:val="00AF6523"/>
    <w:rsid w:val="00B0113C"/>
    <w:rsid w:val="00B02F21"/>
    <w:rsid w:val="00B070F9"/>
    <w:rsid w:val="00B1080F"/>
    <w:rsid w:val="00B112C5"/>
    <w:rsid w:val="00B13637"/>
    <w:rsid w:val="00B139FD"/>
    <w:rsid w:val="00B211B8"/>
    <w:rsid w:val="00B2500C"/>
    <w:rsid w:val="00B2561A"/>
    <w:rsid w:val="00B32876"/>
    <w:rsid w:val="00B349BF"/>
    <w:rsid w:val="00B3724C"/>
    <w:rsid w:val="00B408FD"/>
    <w:rsid w:val="00B40A62"/>
    <w:rsid w:val="00B42996"/>
    <w:rsid w:val="00B524CE"/>
    <w:rsid w:val="00B60FFC"/>
    <w:rsid w:val="00B611E8"/>
    <w:rsid w:val="00B619A1"/>
    <w:rsid w:val="00B63860"/>
    <w:rsid w:val="00B651AE"/>
    <w:rsid w:val="00B71613"/>
    <w:rsid w:val="00B72167"/>
    <w:rsid w:val="00B73C1F"/>
    <w:rsid w:val="00B761C4"/>
    <w:rsid w:val="00B765B2"/>
    <w:rsid w:val="00B8080C"/>
    <w:rsid w:val="00B822BE"/>
    <w:rsid w:val="00B84F51"/>
    <w:rsid w:val="00B92A8B"/>
    <w:rsid w:val="00B93759"/>
    <w:rsid w:val="00BA0FF4"/>
    <w:rsid w:val="00BA1348"/>
    <w:rsid w:val="00BA2782"/>
    <w:rsid w:val="00BA4A4B"/>
    <w:rsid w:val="00BA5CF4"/>
    <w:rsid w:val="00BA6B20"/>
    <w:rsid w:val="00BA758E"/>
    <w:rsid w:val="00BB1934"/>
    <w:rsid w:val="00BB1FD1"/>
    <w:rsid w:val="00BC04F4"/>
    <w:rsid w:val="00BC0CD9"/>
    <w:rsid w:val="00BC3DA7"/>
    <w:rsid w:val="00BC5EB6"/>
    <w:rsid w:val="00BC74CE"/>
    <w:rsid w:val="00BC7EEF"/>
    <w:rsid w:val="00BD4BE3"/>
    <w:rsid w:val="00BD6D27"/>
    <w:rsid w:val="00BD7E55"/>
    <w:rsid w:val="00BE208F"/>
    <w:rsid w:val="00BE313E"/>
    <w:rsid w:val="00BE31D1"/>
    <w:rsid w:val="00BE45C7"/>
    <w:rsid w:val="00BE615C"/>
    <w:rsid w:val="00BE76F7"/>
    <w:rsid w:val="00BE7760"/>
    <w:rsid w:val="00BE793B"/>
    <w:rsid w:val="00BE7C3C"/>
    <w:rsid w:val="00BF7286"/>
    <w:rsid w:val="00C0335C"/>
    <w:rsid w:val="00C0350B"/>
    <w:rsid w:val="00C03D6A"/>
    <w:rsid w:val="00C0779D"/>
    <w:rsid w:val="00C11486"/>
    <w:rsid w:val="00C12173"/>
    <w:rsid w:val="00C1599C"/>
    <w:rsid w:val="00C15F84"/>
    <w:rsid w:val="00C176C5"/>
    <w:rsid w:val="00C2043C"/>
    <w:rsid w:val="00C20584"/>
    <w:rsid w:val="00C212BA"/>
    <w:rsid w:val="00C21829"/>
    <w:rsid w:val="00C2194D"/>
    <w:rsid w:val="00C2417F"/>
    <w:rsid w:val="00C25322"/>
    <w:rsid w:val="00C32EF1"/>
    <w:rsid w:val="00C34CD9"/>
    <w:rsid w:val="00C34F32"/>
    <w:rsid w:val="00C35645"/>
    <w:rsid w:val="00C35F68"/>
    <w:rsid w:val="00C369DC"/>
    <w:rsid w:val="00C36E4C"/>
    <w:rsid w:val="00C40F57"/>
    <w:rsid w:val="00C41A5B"/>
    <w:rsid w:val="00C41FC9"/>
    <w:rsid w:val="00C42341"/>
    <w:rsid w:val="00C4729B"/>
    <w:rsid w:val="00C50AEF"/>
    <w:rsid w:val="00C50B42"/>
    <w:rsid w:val="00C5140C"/>
    <w:rsid w:val="00C52F9F"/>
    <w:rsid w:val="00C53A2B"/>
    <w:rsid w:val="00C623F0"/>
    <w:rsid w:val="00C62C96"/>
    <w:rsid w:val="00C64491"/>
    <w:rsid w:val="00C66135"/>
    <w:rsid w:val="00C66264"/>
    <w:rsid w:val="00C71532"/>
    <w:rsid w:val="00C75CFC"/>
    <w:rsid w:val="00C75E3A"/>
    <w:rsid w:val="00C760FD"/>
    <w:rsid w:val="00C77F08"/>
    <w:rsid w:val="00C86101"/>
    <w:rsid w:val="00C87916"/>
    <w:rsid w:val="00C90C23"/>
    <w:rsid w:val="00C91556"/>
    <w:rsid w:val="00C915EB"/>
    <w:rsid w:val="00C943E0"/>
    <w:rsid w:val="00CA2EDD"/>
    <w:rsid w:val="00CA4EFF"/>
    <w:rsid w:val="00CA61E0"/>
    <w:rsid w:val="00CC673F"/>
    <w:rsid w:val="00CD000D"/>
    <w:rsid w:val="00CD0D03"/>
    <w:rsid w:val="00CD0D99"/>
    <w:rsid w:val="00CD25AE"/>
    <w:rsid w:val="00CD2661"/>
    <w:rsid w:val="00CD2AD8"/>
    <w:rsid w:val="00CD341A"/>
    <w:rsid w:val="00CD3D11"/>
    <w:rsid w:val="00CD4F14"/>
    <w:rsid w:val="00CD5D67"/>
    <w:rsid w:val="00CD684B"/>
    <w:rsid w:val="00CD7ADD"/>
    <w:rsid w:val="00CE0622"/>
    <w:rsid w:val="00CE154B"/>
    <w:rsid w:val="00CE6129"/>
    <w:rsid w:val="00CE661A"/>
    <w:rsid w:val="00CE685F"/>
    <w:rsid w:val="00CF3C45"/>
    <w:rsid w:val="00CF5500"/>
    <w:rsid w:val="00CF7778"/>
    <w:rsid w:val="00CF79EC"/>
    <w:rsid w:val="00D01020"/>
    <w:rsid w:val="00D01BCA"/>
    <w:rsid w:val="00D021C1"/>
    <w:rsid w:val="00D05AE8"/>
    <w:rsid w:val="00D07915"/>
    <w:rsid w:val="00D1048E"/>
    <w:rsid w:val="00D10DB0"/>
    <w:rsid w:val="00D11776"/>
    <w:rsid w:val="00D120AF"/>
    <w:rsid w:val="00D123B7"/>
    <w:rsid w:val="00D13697"/>
    <w:rsid w:val="00D159CE"/>
    <w:rsid w:val="00D161BD"/>
    <w:rsid w:val="00D1688D"/>
    <w:rsid w:val="00D201E2"/>
    <w:rsid w:val="00D20926"/>
    <w:rsid w:val="00D26944"/>
    <w:rsid w:val="00D32CA4"/>
    <w:rsid w:val="00D32D1C"/>
    <w:rsid w:val="00D353D1"/>
    <w:rsid w:val="00D40F53"/>
    <w:rsid w:val="00D4134E"/>
    <w:rsid w:val="00D446F3"/>
    <w:rsid w:val="00D465A6"/>
    <w:rsid w:val="00D515FF"/>
    <w:rsid w:val="00D52499"/>
    <w:rsid w:val="00D543BA"/>
    <w:rsid w:val="00D56262"/>
    <w:rsid w:val="00D57EC9"/>
    <w:rsid w:val="00D6263E"/>
    <w:rsid w:val="00D644FD"/>
    <w:rsid w:val="00D73DB3"/>
    <w:rsid w:val="00D7434F"/>
    <w:rsid w:val="00D74FBF"/>
    <w:rsid w:val="00D75153"/>
    <w:rsid w:val="00D77888"/>
    <w:rsid w:val="00D836FD"/>
    <w:rsid w:val="00D908DF"/>
    <w:rsid w:val="00D91BFF"/>
    <w:rsid w:val="00D92E03"/>
    <w:rsid w:val="00D955C8"/>
    <w:rsid w:val="00D95A7C"/>
    <w:rsid w:val="00D97115"/>
    <w:rsid w:val="00DA47D9"/>
    <w:rsid w:val="00DA61DA"/>
    <w:rsid w:val="00DB3E61"/>
    <w:rsid w:val="00DB49B6"/>
    <w:rsid w:val="00DB7A53"/>
    <w:rsid w:val="00DC3769"/>
    <w:rsid w:val="00DC5822"/>
    <w:rsid w:val="00DD5E95"/>
    <w:rsid w:val="00DE0848"/>
    <w:rsid w:val="00DE393A"/>
    <w:rsid w:val="00DE59DD"/>
    <w:rsid w:val="00DE70B4"/>
    <w:rsid w:val="00DF7185"/>
    <w:rsid w:val="00E022A9"/>
    <w:rsid w:val="00E05955"/>
    <w:rsid w:val="00E06419"/>
    <w:rsid w:val="00E13130"/>
    <w:rsid w:val="00E13275"/>
    <w:rsid w:val="00E148A6"/>
    <w:rsid w:val="00E2001C"/>
    <w:rsid w:val="00E20AD6"/>
    <w:rsid w:val="00E2192B"/>
    <w:rsid w:val="00E2229C"/>
    <w:rsid w:val="00E25BC0"/>
    <w:rsid w:val="00E26E41"/>
    <w:rsid w:val="00E31C6F"/>
    <w:rsid w:val="00E330FE"/>
    <w:rsid w:val="00E3353A"/>
    <w:rsid w:val="00E3421C"/>
    <w:rsid w:val="00E351C1"/>
    <w:rsid w:val="00E37734"/>
    <w:rsid w:val="00E433AC"/>
    <w:rsid w:val="00E52F76"/>
    <w:rsid w:val="00E537C1"/>
    <w:rsid w:val="00E53F4F"/>
    <w:rsid w:val="00E552BC"/>
    <w:rsid w:val="00E60EF2"/>
    <w:rsid w:val="00E61CC7"/>
    <w:rsid w:val="00E653A3"/>
    <w:rsid w:val="00E661C5"/>
    <w:rsid w:val="00E66369"/>
    <w:rsid w:val="00E6759D"/>
    <w:rsid w:val="00E76DD0"/>
    <w:rsid w:val="00E82A03"/>
    <w:rsid w:val="00E847C5"/>
    <w:rsid w:val="00E91DA8"/>
    <w:rsid w:val="00E92683"/>
    <w:rsid w:val="00E94B0A"/>
    <w:rsid w:val="00E95A32"/>
    <w:rsid w:val="00EA0507"/>
    <w:rsid w:val="00EA0EC3"/>
    <w:rsid w:val="00EA2AAA"/>
    <w:rsid w:val="00EA4E35"/>
    <w:rsid w:val="00EA5103"/>
    <w:rsid w:val="00EA64C9"/>
    <w:rsid w:val="00EA6FE2"/>
    <w:rsid w:val="00EB0467"/>
    <w:rsid w:val="00EB0EEF"/>
    <w:rsid w:val="00EB1535"/>
    <w:rsid w:val="00EB20BE"/>
    <w:rsid w:val="00EB2F22"/>
    <w:rsid w:val="00EB3330"/>
    <w:rsid w:val="00EB3D68"/>
    <w:rsid w:val="00EC2669"/>
    <w:rsid w:val="00EC425E"/>
    <w:rsid w:val="00EC517A"/>
    <w:rsid w:val="00EC7303"/>
    <w:rsid w:val="00EC7A5B"/>
    <w:rsid w:val="00ED4C1C"/>
    <w:rsid w:val="00ED53C6"/>
    <w:rsid w:val="00ED6DDC"/>
    <w:rsid w:val="00EE587A"/>
    <w:rsid w:val="00EE76CE"/>
    <w:rsid w:val="00EE7F59"/>
    <w:rsid w:val="00EF1189"/>
    <w:rsid w:val="00EF217F"/>
    <w:rsid w:val="00F10A0C"/>
    <w:rsid w:val="00F12C86"/>
    <w:rsid w:val="00F13026"/>
    <w:rsid w:val="00F202C7"/>
    <w:rsid w:val="00F21CDF"/>
    <w:rsid w:val="00F25755"/>
    <w:rsid w:val="00F25A83"/>
    <w:rsid w:val="00F278E5"/>
    <w:rsid w:val="00F303A6"/>
    <w:rsid w:val="00F307E9"/>
    <w:rsid w:val="00F31895"/>
    <w:rsid w:val="00F3285E"/>
    <w:rsid w:val="00F32E5B"/>
    <w:rsid w:val="00F34CF8"/>
    <w:rsid w:val="00F3568E"/>
    <w:rsid w:val="00F407A8"/>
    <w:rsid w:val="00F41E77"/>
    <w:rsid w:val="00F44D67"/>
    <w:rsid w:val="00F45EB1"/>
    <w:rsid w:val="00F51957"/>
    <w:rsid w:val="00F52F8B"/>
    <w:rsid w:val="00F63312"/>
    <w:rsid w:val="00F65557"/>
    <w:rsid w:val="00F67593"/>
    <w:rsid w:val="00F74381"/>
    <w:rsid w:val="00F77C03"/>
    <w:rsid w:val="00F82064"/>
    <w:rsid w:val="00F87D1D"/>
    <w:rsid w:val="00F905EC"/>
    <w:rsid w:val="00F91DCB"/>
    <w:rsid w:val="00F924D8"/>
    <w:rsid w:val="00F94816"/>
    <w:rsid w:val="00F96980"/>
    <w:rsid w:val="00FA2055"/>
    <w:rsid w:val="00FA208E"/>
    <w:rsid w:val="00FA382B"/>
    <w:rsid w:val="00FA4C7E"/>
    <w:rsid w:val="00FA4D80"/>
    <w:rsid w:val="00FA4F03"/>
    <w:rsid w:val="00FA50E8"/>
    <w:rsid w:val="00FA6A9D"/>
    <w:rsid w:val="00FA77C8"/>
    <w:rsid w:val="00FB03A1"/>
    <w:rsid w:val="00FB7C15"/>
    <w:rsid w:val="00FC3F1B"/>
    <w:rsid w:val="00FC530A"/>
    <w:rsid w:val="00FC6C54"/>
    <w:rsid w:val="00FD0800"/>
    <w:rsid w:val="00FD364A"/>
    <w:rsid w:val="00FD5205"/>
    <w:rsid w:val="00FD5661"/>
    <w:rsid w:val="00FD58CB"/>
    <w:rsid w:val="00FE2A9D"/>
    <w:rsid w:val="00FE673C"/>
    <w:rsid w:val="00FF1AC1"/>
    <w:rsid w:val="00FF2866"/>
    <w:rsid w:val="00FF328E"/>
    <w:rsid w:val="00FF3BCD"/>
    <w:rsid w:val="00FF5B28"/>
    <w:rsid w:val="00FF7C18"/>
    <w:rsid w:val="01076050"/>
    <w:rsid w:val="010C3DC8"/>
    <w:rsid w:val="01172A03"/>
    <w:rsid w:val="011E110B"/>
    <w:rsid w:val="01525212"/>
    <w:rsid w:val="01564054"/>
    <w:rsid w:val="015C0A67"/>
    <w:rsid w:val="01626374"/>
    <w:rsid w:val="01745FBF"/>
    <w:rsid w:val="017E6D95"/>
    <w:rsid w:val="018D0058"/>
    <w:rsid w:val="01976717"/>
    <w:rsid w:val="019F1377"/>
    <w:rsid w:val="01D715BE"/>
    <w:rsid w:val="01EB45BC"/>
    <w:rsid w:val="01F04981"/>
    <w:rsid w:val="01F9035B"/>
    <w:rsid w:val="01FA63A5"/>
    <w:rsid w:val="02011C7D"/>
    <w:rsid w:val="02035523"/>
    <w:rsid w:val="021653B1"/>
    <w:rsid w:val="02184C85"/>
    <w:rsid w:val="021C6E40"/>
    <w:rsid w:val="02222FF2"/>
    <w:rsid w:val="023615AF"/>
    <w:rsid w:val="02384FF4"/>
    <w:rsid w:val="023D0B8F"/>
    <w:rsid w:val="023F67A9"/>
    <w:rsid w:val="0247575A"/>
    <w:rsid w:val="02511F45"/>
    <w:rsid w:val="025235B1"/>
    <w:rsid w:val="0261030A"/>
    <w:rsid w:val="0262674D"/>
    <w:rsid w:val="02747B01"/>
    <w:rsid w:val="027619AC"/>
    <w:rsid w:val="02890D36"/>
    <w:rsid w:val="02B97DFD"/>
    <w:rsid w:val="02C866AB"/>
    <w:rsid w:val="02CB7F49"/>
    <w:rsid w:val="02D92EF7"/>
    <w:rsid w:val="02DA4665"/>
    <w:rsid w:val="02ED6112"/>
    <w:rsid w:val="02F40325"/>
    <w:rsid w:val="02FA082F"/>
    <w:rsid w:val="031126C4"/>
    <w:rsid w:val="031C0676"/>
    <w:rsid w:val="0323019C"/>
    <w:rsid w:val="034733B8"/>
    <w:rsid w:val="03475E56"/>
    <w:rsid w:val="0353518A"/>
    <w:rsid w:val="035E4919"/>
    <w:rsid w:val="036056EE"/>
    <w:rsid w:val="03675F31"/>
    <w:rsid w:val="036A009A"/>
    <w:rsid w:val="037A734D"/>
    <w:rsid w:val="03844805"/>
    <w:rsid w:val="03845791"/>
    <w:rsid w:val="03A011E9"/>
    <w:rsid w:val="03AE7F27"/>
    <w:rsid w:val="03BC3316"/>
    <w:rsid w:val="03BD2BCD"/>
    <w:rsid w:val="03CC058D"/>
    <w:rsid w:val="03E017D2"/>
    <w:rsid w:val="03F447E2"/>
    <w:rsid w:val="03F77068"/>
    <w:rsid w:val="03FB660C"/>
    <w:rsid w:val="042E37DB"/>
    <w:rsid w:val="04416C20"/>
    <w:rsid w:val="04473600"/>
    <w:rsid w:val="04732647"/>
    <w:rsid w:val="047968B1"/>
    <w:rsid w:val="04870542"/>
    <w:rsid w:val="04B30F7A"/>
    <w:rsid w:val="050E236F"/>
    <w:rsid w:val="05121E5F"/>
    <w:rsid w:val="05341E77"/>
    <w:rsid w:val="054C0111"/>
    <w:rsid w:val="05545DD3"/>
    <w:rsid w:val="056E2AD6"/>
    <w:rsid w:val="05720B50"/>
    <w:rsid w:val="05806815"/>
    <w:rsid w:val="058251D3"/>
    <w:rsid w:val="058C28F1"/>
    <w:rsid w:val="05945CCE"/>
    <w:rsid w:val="059652F0"/>
    <w:rsid w:val="059D05A4"/>
    <w:rsid w:val="059D5E17"/>
    <w:rsid w:val="059E1E1A"/>
    <w:rsid w:val="05AB0A28"/>
    <w:rsid w:val="05AB0F81"/>
    <w:rsid w:val="05B93D6B"/>
    <w:rsid w:val="05C23EEE"/>
    <w:rsid w:val="05C313AC"/>
    <w:rsid w:val="05CA4074"/>
    <w:rsid w:val="05D53002"/>
    <w:rsid w:val="05D75738"/>
    <w:rsid w:val="05EB110D"/>
    <w:rsid w:val="05EB4481"/>
    <w:rsid w:val="05EB48F5"/>
    <w:rsid w:val="05F17CC7"/>
    <w:rsid w:val="05FC520E"/>
    <w:rsid w:val="060A2B37"/>
    <w:rsid w:val="061E7D14"/>
    <w:rsid w:val="0627193B"/>
    <w:rsid w:val="06446B44"/>
    <w:rsid w:val="06560AED"/>
    <w:rsid w:val="066469C9"/>
    <w:rsid w:val="066646A1"/>
    <w:rsid w:val="066E164D"/>
    <w:rsid w:val="068E7B23"/>
    <w:rsid w:val="06983B20"/>
    <w:rsid w:val="069A3B66"/>
    <w:rsid w:val="06A869D6"/>
    <w:rsid w:val="06A9264E"/>
    <w:rsid w:val="06B31420"/>
    <w:rsid w:val="06B91765"/>
    <w:rsid w:val="06CA2AD2"/>
    <w:rsid w:val="06CB0D68"/>
    <w:rsid w:val="06CE3071"/>
    <w:rsid w:val="06D33DBA"/>
    <w:rsid w:val="06D73361"/>
    <w:rsid w:val="06E13F9F"/>
    <w:rsid w:val="06E710CA"/>
    <w:rsid w:val="06FB0AC5"/>
    <w:rsid w:val="06FE7278"/>
    <w:rsid w:val="070D2D5D"/>
    <w:rsid w:val="07104A12"/>
    <w:rsid w:val="07111B8D"/>
    <w:rsid w:val="07260519"/>
    <w:rsid w:val="072916E2"/>
    <w:rsid w:val="072C5514"/>
    <w:rsid w:val="0737768A"/>
    <w:rsid w:val="074A5B92"/>
    <w:rsid w:val="075D0147"/>
    <w:rsid w:val="075E3193"/>
    <w:rsid w:val="078E18EB"/>
    <w:rsid w:val="07AA2823"/>
    <w:rsid w:val="07B02D9F"/>
    <w:rsid w:val="07B10EA5"/>
    <w:rsid w:val="07C510CB"/>
    <w:rsid w:val="07CD6512"/>
    <w:rsid w:val="07CE3FA1"/>
    <w:rsid w:val="07EC2ECB"/>
    <w:rsid w:val="07FE66CB"/>
    <w:rsid w:val="080B4D47"/>
    <w:rsid w:val="08144141"/>
    <w:rsid w:val="081B727D"/>
    <w:rsid w:val="081D2FF5"/>
    <w:rsid w:val="08321601"/>
    <w:rsid w:val="08326375"/>
    <w:rsid w:val="08357E18"/>
    <w:rsid w:val="083D5C91"/>
    <w:rsid w:val="0847191F"/>
    <w:rsid w:val="08591DC3"/>
    <w:rsid w:val="085B58CB"/>
    <w:rsid w:val="08672793"/>
    <w:rsid w:val="08695E80"/>
    <w:rsid w:val="087C4541"/>
    <w:rsid w:val="087E5595"/>
    <w:rsid w:val="08955281"/>
    <w:rsid w:val="08A454C4"/>
    <w:rsid w:val="08BC0A60"/>
    <w:rsid w:val="08C52D6F"/>
    <w:rsid w:val="08E42BE4"/>
    <w:rsid w:val="08EB30F3"/>
    <w:rsid w:val="08EF0201"/>
    <w:rsid w:val="08F41DE8"/>
    <w:rsid w:val="093D1475"/>
    <w:rsid w:val="094840A2"/>
    <w:rsid w:val="09491BC8"/>
    <w:rsid w:val="09644C54"/>
    <w:rsid w:val="09737462"/>
    <w:rsid w:val="098B21E0"/>
    <w:rsid w:val="099156C3"/>
    <w:rsid w:val="099A0675"/>
    <w:rsid w:val="099E3CC2"/>
    <w:rsid w:val="09A33F5B"/>
    <w:rsid w:val="09A53F39"/>
    <w:rsid w:val="09A60E13"/>
    <w:rsid w:val="09A82D92"/>
    <w:rsid w:val="09AB2883"/>
    <w:rsid w:val="09C35E1E"/>
    <w:rsid w:val="09CD0A4B"/>
    <w:rsid w:val="09D206F0"/>
    <w:rsid w:val="09D27E0F"/>
    <w:rsid w:val="09DE177A"/>
    <w:rsid w:val="0A287A2F"/>
    <w:rsid w:val="0A321AC2"/>
    <w:rsid w:val="0A343D4E"/>
    <w:rsid w:val="0A344626"/>
    <w:rsid w:val="0A3E6D2E"/>
    <w:rsid w:val="0A4232E4"/>
    <w:rsid w:val="0A4F145F"/>
    <w:rsid w:val="0A8455AD"/>
    <w:rsid w:val="0A8729A8"/>
    <w:rsid w:val="0ABA2D7D"/>
    <w:rsid w:val="0AD13A85"/>
    <w:rsid w:val="0AE0655C"/>
    <w:rsid w:val="0B091954"/>
    <w:rsid w:val="0B0C7351"/>
    <w:rsid w:val="0B195776"/>
    <w:rsid w:val="0B1A7CC0"/>
    <w:rsid w:val="0B224DC6"/>
    <w:rsid w:val="0B34773E"/>
    <w:rsid w:val="0B3B7D65"/>
    <w:rsid w:val="0B434C20"/>
    <w:rsid w:val="0B5F0822"/>
    <w:rsid w:val="0B637D77"/>
    <w:rsid w:val="0B6B6A4F"/>
    <w:rsid w:val="0B7006C4"/>
    <w:rsid w:val="0B726646"/>
    <w:rsid w:val="0B7606E8"/>
    <w:rsid w:val="0B7A075E"/>
    <w:rsid w:val="0B8B471A"/>
    <w:rsid w:val="0B924545"/>
    <w:rsid w:val="0B9F3D21"/>
    <w:rsid w:val="0BAC324F"/>
    <w:rsid w:val="0BB40DF1"/>
    <w:rsid w:val="0BC11EE9"/>
    <w:rsid w:val="0BCC62FA"/>
    <w:rsid w:val="0BF16C73"/>
    <w:rsid w:val="0BF72F1E"/>
    <w:rsid w:val="0BF92F1E"/>
    <w:rsid w:val="0C0A7D34"/>
    <w:rsid w:val="0C230DF6"/>
    <w:rsid w:val="0C3152C1"/>
    <w:rsid w:val="0C3957A5"/>
    <w:rsid w:val="0C4E6409"/>
    <w:rsid w:val="0C507E2F"/>
    <w:rsid w:val="0C600D66"/>
    <w:rsid w:val="0C626DA7"/>
    <w:rsid w:val="0C6876AE"/>
    <w:rsid w:val="0C71390F"/>
    <w:rsid w:val="0C720EC8"/>
    <w:rsid w:val="0C820A5E"/>
    <w:rsid w:val="0C880C59"/>
    <w:rsid w:val="0C942042"/>
    <w:rsid w:val="0C9D50DC"/>
    <w:rsid w:val="0CA5271D"/>
    <w:rsid w:val="0CAC4D10"/>
    <w:rsid w:val="0CC53C5B"/>
    <w:rsid w:val="0CC72121"/>
    <w:rsid w:val="0CEE5A21"/>
    <w:rsid w:val="0D05268E"/>
    <w:rsid w:val="0D0646E7"/>
    <w:rsid w:val="0D0C38CA"/>
    <w:rsid w:val="0D206810"/>
    <w:rsid w:val="0D4861FD"/>
    <w:rsid w:val="0D735465"/>
    <w:rsid w:val="0D9D0734"/>
    <w:rsid w:val="0DC577E0"/>
    <w:rsid w:val="0DDC6319"/>
    <w:rsid w:val="0DE1181F"/>
    <w:rsid w:val="0DFA5B87"/>
    <w:rsid w:val="0DFE4F67"/>
    <w:rsid w:val="0E0C0D4C"/>
    <w:rsid w:val="0E115DA1"/>
    <w:rsid w:val="0E1409F6"/>
    <w:rsid w:val="0E162D6D"/>
    <w:rsid w:val="0E460DCC"/>
    <w:rsid w:val="0E541CA2"/>
    <w:rsid w:val="0E576B35"/>
    <w:rsid w:val="0E594756"/>
    <w:rsid w:val="0E95596D"/>
    <w:rsid w:val="0EAE6205"/>
    <w:rsid w:val="0EAE6579"/>
    <w:rsid w:val="0EAF71BF"/>
    <w:rsid w:val="0ECE6257"/>
    <w:rsid w:val="0EE24651"/>
    <w:rsid w:val="0EE4129D"/>
    <w:rsid w:val="0F171032"/>
    <w:rsid w:val="0F335E69"/>
    <w:rsid w:val="0F372614"/>
    <w:rsid w:val="0F3D59C9"/>
    <w:rsid w:val="0F515A6B"/>
    <w:rsid w:val="0F516D5A"/>
    <w:rsid w:val="0F565B36"/>
    <w:rsid w:val="0F684933"/>
    <w:rsid w:val="0F6E2388"/>
    <w:rsid w:val="0F751969"/>
    <w:rsid w:val="0F821E7D"/>
    <w:rsid w:val="0FB3423F"/>
    <w:rsid w:val="0FC91CB4"/>
    <w:rsid w:val="0FCA42ED"/>
    <w:rsid w:val="0FDB5F4F"/>
    <w:rsid w:val="0FE7592C"/>
    <w:rsid w:val="0FFC17A5"/>
    <w:rsid w:val="0FFD20F0"/>
    <w:rsid w:val="10142F30"/>
    <w:rsid w:val="10352857"/>
    <w:rsid w:val="103E6E57"/>
    <w:rsid w:val="1041497B"/>
    <w:rsid w:val="10425FF6"/>
    <w:rsid w:val="105C6685"/>
    <w:rsid w:val="106612B1"/>
    <w:rsid w:val="109010E6"/>
    <w:rsid w:val="10B271F4"/>
    <w:rsid w:val="10B537CC"/>
    <w:rsid w:val="10C61D50"/>
    <w:rsid w:val="10C8275C"/>
    <w:rsid w:val="10C86D3B"/>
    <w:rsid w:val="10E03539"/>
    <w:rsid w:val="10E82D1F"/>
    <w:rsid w:val="10EE5C94"/>
    <w:rsid w:val="10F5757C"/>
    <w:rsid w:val="10F93ED3"/>
    <w:rsid w:val="11131439"/>
    <w:rsid w:val="111D7BC2"/>
    <w:rsid w:val="11250F40"/>
    <w:rsid w:val="113329E7"/>
    <w:rsid w:val="113F294C"/>
    <w:rsid w:val="11437C85"/>
    <w:rsid w:val="11575085"/>
    <w:rsid w:val="116021A5"/>
    <w:rsid w:val="1166372C"/>
    <w:rsid w:val="116E6670"/>
    <w:rsid w:val="11700D10"/>
    <w:rsid w:val="1178125A"/>
    <w:rsid w:val="118441E0"/>
    <w:rsid w:val="1196056D"/>
    <w:rsid w:val="11B85B3D"/>
    <w:rsid w:val="11CD20A0"/>
    <w:rsid w:val="11D34654"/>
    <w:rsid w:val="11E61731"/>
    <w:rsid w:val="12010480"/>
    <w:rsid w:val="12062D4C"/>
    <w:rsid w:val="120E707F"/>
    <w:rsid w:val="121D0051"/>
    <w:rsid w:val="12413D84"/>
    <w:rsid w:val="124F58FC"/>
    <w:rsid w:val="127A7D1C"/>
    <w:rsid w:val="12836D8B"/>
    <w:rsid w:val="12993BC0"/>
    <w:rsid w:val="12AB0349"/>
    <w:rsid w:val="12B66520"/>
    <w:rsid w:val="12CD57F1"/>
    <w:rsid w:val="12CE5941"/>
    <w:rsid w:val="12CE7AFA"/>
    <w:rsid w:val="12D67466"/>
    <w:rsid w:val="13036052"/>
    <w:rsid w:val="130C4392"/>
    <w:rsid w:val="13272A5D"/>
    <w:rsid w:val="132A2A6A"/>
    <w:rsid w:val="133B6A25"/>
    <w:rsid w:val="133C40E3"/>
    <w:rsid w:val="133F4BFF"/>
    <w:rsid w:val="13410069"/>
    <w:rsid w:val="13477178"/>
    <w:rsid w:val="13493108"/>
    <w:rsid w:val="134A4EBA"/>
    <w:rsid w:val="13713CFE"/>
    <w:rsid w:val="13733928"/>
    <w:rsid w:val="13741F37"/>
    <w:rsid w:val="13857CA0"/>
    <w:rsid w:val="138F10FE"/>
    <w:rsid w:val="13920D68"/>
    <w:rsid w:val="139C16C9"/>
    <w:rsid w:val="13A5238E"/>
    <w:rsid w:val="13B63CE1"/>
    <w:rsid w:val="13BC6684"/>
    <w:rsid w:val="13C72B3A"/>
    <w:rsid w:val="13D12EE6"/>
    <w:rsid w:val="13DF575E"/>
    <w:rsid w:val="13E470BD"/>
    <w:rsid w:val="13EE3A98"/>
    <w:rsid w:val="13F3280A"/>
    <w:rsid w:val="140D6614"/>
    <w:rsid w:val="142123F7"/>
    <w:rsid w:val="142A11D8"/>
    <w:rsid w:val="143C4803"/>
    <w:rsid w:val="144B544C"/>
    <w:rsid w:val="145B7B45"/>
    <w:rsid w:val="14627FE2"/>
    <w:rsid w:val="14717443"/>
    <w:rsid w:val="14825F8A"/>
    <w:rsid w:val="148C70AD"/>
    <w:rsid w:val="148D52E3"/>
    <w:rsid w:val="14992B90"/>
    <w:rsid w:val="149F10C7"/>
    <w:rsid w:val="14A10B0A"/>
    <w:rsid w:val="14AF1856"/>
    <w:rsid w:val="14AF19A3"/>
    <w:rsid w:val="14B22D17"/>
    <w:rsid w:val="14B53957"/>
    <w:rsid w:val="14C53ECE"/>
    <w:rsid w:val="14CF6CB0"/>
    <w:rsid w:val="14D10E8D"/>
    <w:rsid w:val="14DB04C0"/>
    <w:rsid w:val="14DC5FE6"/>
    <w:rsid w:val="14E002E6"/>
    <w:rsid w:val="14FC36BD"/>
    <w:rsid w:val="14FF5EA7"/>
    <w:rsid w:val="15127C5A"/>
    <w:rsid w:val="15192D96"/>
    <w:rsid w:val="151C63E2"/>
    <w:rsid w:val="151E3A0F"/>
    <w:rsid w:val="152534E9"/>
    <w:rsid w:val="152A4FA3"/>
    <w:rsid w:val="153A36AA"/>
    <w:rsid w:val="15477903"/>
    <w:rsid w:val="1557566D"/>
    <w:rsid w:val="1565422D"/>
    <w:rsid w:val="156E0971"/>
    <w:rsid w:val="15785B3E"/>
    <w:rsid w:val="15811F1B"/>
    <w:rsid w:val="15A30135"/>
    <w:rsid w:val="15A34015"/>
    <w:rsid w:val="15A703A2"/>
    <w:rsid w:val="15BB487B"/>
    <w:rsid w:val="15CE086D"/>
    <w:rsid w:val="15E2236F"/>
    <w:rsid w:val="15E56E12"/>
    <w:rsid w:val="16005D04"/>
    <w:rsid w:val="161517B0"/>
    <w:rsid w:val="161D09ED"/>
    <w:rsid w:val="162323A3"/>
    <w:rsid w:val="162F30B1"/>
    <w:rsid w:val="1650762F"/>
    <w:rsid w:val="16510F12"/>
    <w:rsid w:val="166448F9"/>
    <w:rsid w:val="1677211D"/>
    <w:rsid w:val="16774218"/>
    <w:rsid w:val="167954F9"/>
    <w:rsid w:val="169311EC"/>
    <w:rsid w:val="169C5A2D"/>
    <w:rsid w:val="169F7296"/>
    <w:rsid w:val="16A060BA"/>
    <w:rsid w:val="16A57EAF"/>
    <w:rsid w:val="16A918E4"/>
    <w:rsid w:val="16AC6E3F"/>
    <w:rsid w:val="16AE652A"/>
    <w:rsid w:val="16B56AEF"/>
    <w:rsid w:val="16B74615"/>
    <w:rsid w:val="16BE143E"/>
    <w:rsid w:val="16C872D5"/>
    <w:rsid w:val="16D54FA3"/>
    <w:rsid w:val="16D84D9F"/>
    <w:rsid w:val="16E94D3E"/>
    <w:rsid w:val="170D06E0"/>
    <w:rsid w:val="17233E03"/>
    <w:rsid w:val="17332185"/>
    <w:rsid w:val="17475951"/>
    <w:rsid w:val="175B7696"/>
    <w:rsid w:val="175C542D"/>
    <w:rsid w:val="175D0ED4"/>
    <w:rsid w:val="1767428D"/>
    <w:rsid w:val="17793FC0"/>
    <w:rsid w:val="17885FB1"/>
    <w:rsid w:val="179D33A9"/>
    <w:rsid w:val="179F2E61"/>
    <w:rsid w:val="17A06264"/>
    <w:rsid w:val="17BE19D3"/>
    <w:rsid w:val="17C227C0"/>
    <w:rsid w:val="17D66D7C"/>
    <w:rsid w:val="17DE0EDF"/>
    <w:rsid w:val="17EE5BFF"/>
    <w:rsid w:val="17F11DA8"/>
    <w:rsid w:val="17FA6EAF"/>
    <w:rsid w:val="18097740"/>
    <w:rsid w:val="18136133"/>
    <w:rsid w:val="184055B9"/>
    <w:rsid w:val="184A2082"/>
    <w:rsid w:val="185A16FC"/>
    <w:rsid w:val="185D3C42"/>
    <w:rsid w:val="185F38AF"/>
    <w:rsid w:val="18864631"/>
    <w:rsid w:val="188F0211"/>
    <w:rsid w:val="18AD1BEB"/>
    <w:rsid w:val="18B3004A"/>
    <w:rsid w:val="18B31B6D"/>
    <w:rsid w:val="18B83CF9"/>
    <w:rsid w:val="18B96080"/>
    <w:rsid w:val="18CB43A7"/>
    <w:rsid w:val="18CE20EA"/>
    <w:rsid w:val="18DB2CD8"/>
    <w:rsid w:val="18F67868"/>
    <w:rsid w:val="190B2D88"/>
    <w:rsid w:val="190E6B63"/>
    <w:rsid w:val="19123928"/>
    <w:rsid w:val="19153926"/>
    <w:rsid w:val="19194264"/>
    <w:rsid w:val="19283048"/>
    <w:rsid w:val="192B3098"/>
    <w:rsid w:val="19420786"/>
    <w:rsid w:val="19427EC0"/>
    <w:rsid w:val="195711D7"/>
    <w:rsid w:val="195D2A3F"/>
    <w:rsid w:val="198310E9"/>
    <w:rsid w:val="198D747A"/>
    <w:rsid w:val="19A15638"/>
    <w:rsid w:val="19A74DFE"/>
    <w:rsid w:val="19A753EF"/>
    <w:rsid w:val="19B117EF"/>
    <w:rsid w:val="19CC03D7"/>
    <w:rsid w:val="1A125525"/>
    <w:rsid w:val="1A4A57A0"/>
    <w:rsid w:val="1A516B2E"/>
    <w:rsid w:val="1A5F4342"/>
    <w:rsid w:val="1A616E2C"/>
    <w:rsid w:val="1A715D02"/>
    <w:rsid w:val="1A7F369B"/>
    <w:rsid w:val="1A8C5D82"/>
    <w:rsid w:val="1A994988"/>
    <w:rsid w:val="1A9B546C"/>
    <w:rsid w:val="1A9E141F"/>
    <w:rsid w:val="1AA3511F"/>
    <w:rsid w:val="1AAE3B54"/>
    <w:rsid w:val="1AC10987"/>
    <w:rsid w:val="1AEB6F83"/>
    <w:rsid w:val="1AF423FA"/>
    <w:rsid w:val="1B0C5B32"/>
    <w:rsid w:val="1B0D3E82"/>
    <w:rsid w:val="1B1464DA"/>
    <w:rsid w:val="1B1652AB"/>
    <w:rsid w:val="1B181CD5"/>
    <w:rsid w:val="1B265306"/>
    <w:rsid w:val="1B4346C9"/>
    <w:rsid w:val="1B486183"/>
    <w:rsid w:val="1B4F2450"/>
    <w:rsid w:val="1B50619C"/>
    <w:rsid w:val="1B530868"/>
    <w:rsid w:val="1B6573E8"/>
    <w:rsid w:val="1B6922A5"/>
    <w:rsid w:val="1B721452"/>
    <w:rsid w:val="1B8C18B7"/>
    <w:rsid w:val="1BB73AE1"/>
    <w:rsid w:val="1BDA6D68"/>
    <w:rsid w:val="1BF14125"/>
    <w:rsid w:val="1C002CEE"/>
    <w:rsid w:val="1C180F75"/>
    <w:rsid w:val="1C27223D"/>
    <w:rsid w:val="1C3861F8"/>
    <w:rsid w:val="1C4032FE"/>
    <w:rsid w:val="1C424981"/>
    <w:rsid w:val="1C4E77C9"/>
    <w:rsid w:val="1C555978"/>
    <w:rsid w:val="1C6554A1"/>
    <w:rsid w:val="1C6B037B"/>
    <w:rsid w:val="1C705992"/>
    <w:rsid w:val="1C7971B7"/>
    <w:rsid w:val="1C8036FB"/>
    <w:rsid w:val="1C917D91"/>
    <w:rsid w:val="1CA70C88"/>
    <w:rsid w:val="1CAB1D11"/>
    <w:rsid w:val="1CAB2820"/>
    <w:rsid w:val="1CD402EC"/>
    <w:rsid w:val="1CDF6F49"/>
    <w:rsid w:val="1CED16EF"/>
    <w:rsid w:val="1CF02333"/>
    <w:rsid w:val="1D036806"/>
    <w:rsid w:val="1D047E88"/>
    <w:rsid w:val="1D0C33A2"/>
    <w:rsid w:val="1D0C4F8F"/>
    <w:rsid w:val="1D113E6E"/>
    <w:rsid w:val="1D114E5E"/>
    <w:rsid w:val="1D1F0050"/>
    <w:rsid w:val="1D214EDE"/>
    <w:rsid w:val="1D2222DC"/>
    <w:rsid w:val="1D3F4C0C"/>
    <w:rsid w:val="1D5144F7"/>
    <w:rsid w:val="1D5B3CDE"/>
    <w:rsid w:val="1D5D0701"/>
    <w:rsid w:val="1D6E2950"/>
    <w:rsid w:val="1D79298C"/>
    <w:rsid w:val="1D98209B"/>
    <w:rsid w:val="1DA23746"/>
    <w:rsid w:val="1DAA14B9"/>
    <w:rsid w:val="1DD04513"/>
    <w:rsid w:val="1DD8524D"/>
    <w:rsid w:val="1DDB508D"/>
    <w:rsid w:val="1DDD2BCB"/>
    <w:rsid w:val="1DE71C83"/>
    <w:rsid w:val="1E0345E3"/>
    <w:rsid w:val="1E1B7B7F"/>
    <w:rsid w:val="1E214A6A"/>
    <w:rsid w:val="1E443370"/>
    <w:rsid w:val="1E656063"/>
    <w:rsid w:val="1E6B06A5"/>
    <w:rsid w:val="1E7554E1"/>
    <w:rsid w:val="1E7F7D9E"/>
    <w:rsid w:val="1E840DA4"/>
    <w:rsid w:val="1EA00084"/>
    <w:rsid w:val="1EA5444C"/>
    <w:rsid w:val="1EA5569B"/>
    <w:rsid w:val="1EB350EF"/>
    <w:rsid w:val="1EC21749"/>
    <w:rsid w:val="1ECC70CB"/>
    <w:rsid w:val="1EEB7C4E"/>
    <w:rsid w:val="1EFE0DA3"/>
    <w:rsid w:val="1F072441"/>
    <w:rsid w:val="1F171B83"/>
    <w:rsid w:val="1F293DB9"/>
    <w:rsid w:val="1F2D4691"/>
    <w:rsid w:val="1F2D491A"/>
    <w:rsid w:val="1F3F789D"/>
    <w:rsid w:val="1F4E5D32"/>
    <w:rsid w:val="1F503858"/>
    <w:rsid w:val="1F66355F"/>
    <w:rsid w:val="1F7369C7"/>
    <w:rsid w:val="1F7F5EEC"/>
    <w:rsid w:val="1F9113A9"/>
    <w:rsid w:val="1F94547B"/>
    <w:rsid w:val="1FA47700"/>
    <w:rsid w:val="1FAF308C"/>
    <w:rsid w:val="1FB64FF9"/>
    <w:rsid w:val="1FC11109"/>
    <w:rsid w:val="1FDA3223"/>
    <w:rsid w:val="1FDE2C12"/>
    <w:rsid w:val="1FEF08C8"/>
    <w:rsid w:val="1FF72E6A"/>
    <w:rsid w:val="1FFB6F12"/>
    <w:rsid w:val="200A3A07"/>
    <w:rsid w:val="201B3ED4"/>
    <w:rsid w:val="20230F6D"/>
    <w:rsid w:val="20310B02"/>
    <w:rsid w:val="20344F28"/>
    <w:rsid w:val="206F0406"/>
    <w:rsid w:val="207417C9"/>
    <w:rsid w:val="20784063"/>
    <w:rsid w:val="207E346A"/>
    <w:rsid w:val="208E12C3"/>
    <w:rsid w:val="209502A3"/>
    <w:rsid w:val="20EA3839"/>
    <w:rsid w:val="2100305C"/>
    <w:rsid w:val="210F579E"/>
    <w:rsid w:val="21163FF0"/>
    <w:rsid w:val="211B39F2"/>
    <w:rsid w:val="21224762"/>
    <w:rsid w:val="212550B5"/>
    <w:rsid w:val="214C004F"/>
    <w:rsid w:val="21592B62"/>
    <w:rsid w:val="2172049B"/>
    <w:rsid w:val="21747CD2"/>
    <w:rsid w:val="219263AA"/>
    <w:rsid w:val="219E5782"/>
    <w:rsid w:val="21D10545"/>
    <w:rsid w:val="21E72B0B"/>
    <w:rsid w:val="21E76A4A"/>
    <w:rsid w:val="21EE607E"/>
    <w:rsid w:val="21F229A5"/>
    <w:rsid w:val="21F66F4C"/>
    <w:rsid w:val="221F2D96"/>
    <w:rsid w:val="22246DB1"/>
    <w:rsid w:val="22440067"/>
    <w:rsid w:val="225A6017"/>
    <w:rsid w:val="22631AF5"/>
    <w:rsid w:val="22655D1C"/>
    <w:rsid w:val="22745AB0"/>
    <w:rsid w:val="227A5532"/>
    <w:rsid w:val="22837AA1"/>
    <w:rsid w:val="22843A03"/>
    <w:rsid w:val="228E5C2C"/>
    <w:rsid w:val="229C0B63"/>
    <w:rsid w:val="22A338AB"/>
    <w:rsid w:val="22AD37A2"/>
    <w:rsid w:val="22AE0FC2"/>
    <w:rsid w:val="22B31E8A"/>
    <w:rsid w:val="22C05285"/>
    <w:rsid w:val="22C5630B"/>
    <w:rsid w:val="22C72083"/>
    <w:rsid w:val="22C735BD"/>
    <w:rsid w:val="22CF0F38"/>
    <w:rsid w:val="22D36C7A"/>
    <w:rsid w:val="22D729A8"/>
    <w:rsid w:val="22D97444"/>
    <w:rsid w:val="22F06957"/>
    <w:rsid w:val="22F95FB5"/>
    <w:rsid w:val="23057681"/>
    <w:rsid w:val="23122833"/>
    <w:rsid w:val="23137077"/>
    <w:rsid w:val="231D4917"/>
    <w:rsid w:val="23223458"/>
    <w:rsid w:val="23225D32"/>
    <w:rsid w:val="23357BE6"/>
    <w:rsid w:val="2342574E"/>
    <w:rsid w:val="2355143D"/>
    <w:rsid w:val="236D1BFA"/>
    <w:rsid w:val="236D331D"/>
    <w:rsid w:val="2377331D"/>
    <w:rsid w:val="237D43DE"/>
    <w:rsid w:val="23940114"/>
    <w:rsid w:val="239A1546"/>
    <w:rsid w:val="23AE4FF1"/>
    <w:rsid w:val="23B57016"/>
    <w:rsid w:val="23C16AD3"/>
    <w:rsid w:val="23C4797E"/>
    <w:rsid w:val="23CD5478"/>
    <w:rsid w:val="23D4764B"/>
    <w:rsid w:val="23EC3718"/>
    <w:rsid w:val="23EE304F"/>
    <w:rsid w:val="23FD7010"/>
    <w:rsid w:val="240243FC"/>
    <w:rsid w:val="24044EF2"/>
    <w:rsid w:val="2407139D"/>
    <w:rsid w:val="240B04F4"/>
    <w:rsid w:val="240E369A"/>
    <w:rsid w:val="241C1F5B"/>
    <w:rsid w:val="241E2177"/>
    <w:rsid w:val="242A0646"/>
    <w:rsid w:val="242B2542"/>
    <w:rsid w:val="2435301D"/>
    <w:rsid w:val="243A0633"/>
    <w:rsid w:val="243D6E1A"/>
    <w:rsid w:val="24453D05"/>
    <w:rsid w:val="244A2F6C"/>
    <w:rsid w:val="24607F91"/>
    <w:rsid w:val="246C581B"/>
    <w:rsid w:val="247C52A2"/>
    <w:rsid w:val="248A3369"/>
    <w:rsid w:val="24942917"/>
    <w:rsid w:val="24AE34FB"/>
    <w:rsid w:val="24CC106B"/>
    <w:rsid w:val="24D00598"/>
    <w:rsid w:val="24D377A4"/>
    <w:rsid w:val="24D725E9"/>
    <w:rsid w:val="24EC31CF"/>
    <w:rsid w:val="25045F70"/>
    <w:rsid w:val="250474F1"/>
    <w:rsid w:val="25056E93"/>
    <w:rsid w:val="25092EBA"/>
    <w:rsid w:val="250E5D48"/>
    <w:rsid w:val="25241020"/>
    <w:rsid w:val="252E3B0A"/>
    <w:rsid w:val="25302410"/>
    <w:rsid w:val="253D03DB"/>
    <w:rsid w:val="255120D8"/>
    <w:rsid w:val="255B6AB3"/>
    <w:rsid w:val="25647C5C"/>
    <w:rsid w:val="257572C3"/>
    <w:rsid w:val="25790E85"/>
    <w:rsid w:val="25823C3E"/>
    <w:rsid w:val="25856F37"/>
    <w:rsid w:val="25965D3D"/>
    <w:rsid w:val="25972C60"/>
    <w:rsid w:val="25974C6F"/>
    <w:rsid w:val="259A75DB"/>
    <w:rsid w:val="259D1676"/>
    <w:rsid w:val="25A353EB"/>
    <w:rsid w:val="25A93CC2"/>
    <w:rsid w:val="25B111B0"/>
    <w:rsid w:val="25B87B65"/>
    <w:rsid w:val="25CB78C3"/>
    <w:rsid w:val="25D54390"/>
    <w:rsid w:val="25D6438C"/>
    <w:rsid w:val="25E60A73"/>
    <w:rsid w:val="261879A7"/>
    <w:rsid w:val="261A071C"/>
    <w:rsid w:val="26395046"/>
    <w:rsid w:val="264B0BA4"/>
    <w:rsid w:val="264F4111"/>
    <w:rsid w:val="265E0AEC"/>
    <w:rsid w:val="2661459D"/>
    <w:rsid w:val="26865DB2"/>
    <w:rsid w:val="268C5256"/>
    <w:rsid w:val="268E455B"/>
    <w:rsid w:val="26912B30"/>
    <w:rsid w:val="269772F0"/>
    <w:rsid w:val="26997893"/>
    <w:rsid w:val="26A30712"/>
    <w:rsid w:val="26AC0C27"/>
    <w:rsid w:val="26C807A6"/>
    <w:rsid w:val="26D1527F"/>
    <w:rsid w:val="26D23F28"/>
    <w:rsid w:val="26DB67BA"/>
    <w:rsid w:val="26DE3298"/>
    <w:rsid w:val="26E311CD"/>
    <w:rsid w:val="26EF24ED"/>
    <w:rsid w:val="26F1408A"/>
    <w:rsid w:val="26F86CAF"/>
    <w:rsid w:val="26F96584"/>
    <w:rsid w:val="26FC4FA5"/>
    <w:rsid w:val="27015370"/>
    <w:rsid w:val="270B421F"/>
    <w:rsid w:val="271F6B87"/>
    <w:rsid w:val="27232743"/>
    <w:rsid w:val="274E2228"/>
    <w:rsid w:val="27517A93"/>
    <w:rsid w:val="27565784"/>
    <w:rsid w:val="275E53AF"/>
    <w:rsid w:val="27606603"/>
    <w:rsid w:val="276658E8"/>
    <w:rsid w:val="276F6846"/>
    <w:rsid w:val="277950FE"/>
    <w:rsid w:val="277E30D2"/>
    <w:rsid w:val="27803F2A"/>
    <w:rsid w:val="278A18D2"/>
    <w:rsid w:val="27983FEE"/>
    <w:rsid w:val="27A34941"/>
    <w:rsid w:val="27A97FAA"/>
    <w:rsid w:val="27B64432"/>
    <w:rsid w:val="27EE3A7B"/>
    <w:rsid w:val="27FA25B3"/>
    <w:rsid w:val="28033B5E"/>
    <w:rsid w:val="28100029"/>
    <w:rsid w:val="282B09BF"/>
    <w:rsid w:val="282E4F00"/>
    <w:rsid w:val="283C23DF"/>
    <w:rsid w:val="283D69F1"/>
    <w:rsid w:val="283F090E"/>
    <w:rsid w:val="284C16F5"/>
    <w:rsid w:val="28570AB5"/>
    <w:rsid w:val="285F2CDC"/>
    <w:rsid w:val="28622C36"/>
    <w:rsid w:val="2869172C"/>
    <w:rsid w:val="288C2D07"/>
    <w:rsid w:val="289E7E22"/>
    <w:rsid w:val="28C2534B"/>
    <w:rsid w:val="28C5525A"/>
    <w:rsid w:val="28D14B96"/>
    <w:rsid w:val="28E60D8A"/>
    <w:rsid w:val="29020C46"/>
    <w:rsid w:val="290240C7"/>
    <w:rsid w:val="291713AF"/>
    <w:rsid w:val="291A2B97"/>
    <w:rsid w:val="29274EE0"/>
    <w:rsid w:val="294F692F"/>
    <w:rsid w:val="295029E3"/>
    <w:rsid w:val="29543A59"/>
    <w:rsid w:val="29670ED3"/>
    <w:rsid w:val="2969197F"/>
    <w:rsid w:val="29746E87"/>
    <w:rsid w:val="297939AC"/>
    <w:rsid w:val="297C03C2"/>
    <w:rsid w:val="299573AB"/>
    <w:rsid w:val="29B05804"/>
    <w:rsid w:val="29BD1AEA"/>
    <w:rsid w:val="29BE5BD0"/>
    <w:rsid w:val="29C01572"/>
    <w:rsid w:val="29C25353"/>
    <w:rsid w:val="29CA4207"/>
    <w:rsid w:val="29CD4916"/>
    <w:rsid w:val="29D82DC8"/>
    <w:rsid w:val="29DA08EE"/>
    <w:rsid w:val="29DB6414"/>
    <w:rsid w:val="29E74CE2"/>
    <w:rsid w:val="2A133E00"/>
    <w:rsid w:val="2A241B69"/>
    <w:rsid w:val="2A306A36"/>
    <w:rsid w:val="2A457300"/>
    <w:rsid w:val="2A5372C6"/>
    <w:rsid w:val="2A5A558B"/>
    <w:rsid w:val="2A5B03D8"/>
    <w:rsid w:val="2A6F6D07"/>
    <w:rsid w:val="2A852253"/>
    <w:rsid w:val="2A882500"/>
    <w:rsid w:val="2AA35184"/>
    <w:rsid w:val="2AAB228B"/>
    <w:rsid w:val="2AAB4E76"/>
    <w:rsid w:val="2AB63ABC"/>
    <w:rsid w:val="2AB63D0A"/>
    <w:rsid w:val="2AC31382"/>
    <w:rsid w:val="2AD0584D"/>
    <w:rsid w:val="2AD549F8"/>
    <w:rsid w:val="2AEA74E5"/>
    <w:rsid w:val="2AF91248"/>
    <w:rsid w:val="2AFB4FC0"/>
    <w:rsid w:val="2B003D00"/>
    <w:rsid w:val="2B074D5E"/>
    <w:rsid w:val="2B0A6991"/>
    <w:rsid w:val="2B100BA9"/>
    <w:rsid w:val="2B1B5825"/>
    <w:rsid w:val="2B1E3AFC"/>
    <w:rsid w:val="2B303E8B"/>
    <w:rsid w:val="2B400742"/>
    <w:rsid w:val="2B4A5600"/>
    <w:rsid w:val="2B574FD9"/>
    <w:rsid w:val="2B642979"/>
    <w:rsid w:val="2B681F2A"/>
    <w:rsid w:val="2B7408CF"/>
    <w:rsid w:val="2B88534B"/>
    <w:rsid w:val="2B8D373E"/>
    <w:rsid w:val="2B9E4F56"/>
    <w:rsid w:val="2BD15D21"/>
    <w:rsid w:val="2BD96984"/>
    <w:rsid w:val="2BDB5A88"/>
    <w:rsid w:val="2BDB6BA0"/>
    <w:rsid w:val="2BE91C37"/>
    <w:rsid w:val="2BEC3F72"/>
    <w:rsid w:val="2C083572"/>
    <w:rsid w:val="2C185F94"/>
    <w:rsid w:val="2C1F1AC4"/>
    <w:rsid w:val="2C2945BA"/>
    <w:rsid w:val="2C2E71FC"/>
    <w:rsid w:val="2C3167C0"/>
    <w:rsid w:val="2C3F3A41"/>
    <w:rsid w:val="2C4431C4"/>
    <w:rsid w:val="2C46226B"/>
    <w:rsid w:val="2C55747C"/>
    <w:rsid w:val="2C62059F"/>
    <w:rsid w:val="2C6634FA"/>
    <w:rsid w:val="2C7566AC"/>
    <w:rsid w:val="2C7843EE"/>
    <w:rsid w:val="2C9C00DD"/>
    <w:rsid w:val="2CA25191"/>
    <w:rsid w:val="2CAC022C"/>
    <w:rsid w:val="2CB745C8"/>
    <w:rsid w:val="2CB82A3D"/>
    <w:rsid w:val="2CC11807"/>
    <w:rsid w:val="2CC66CD6"/>
    <w:rsid w:val="2CCA2E9C"/>
    <w:rsid w:val="2CDC497D"/>
    <w:rsid w:val="2CE327BC"/>
    <w:rsid w:val="2CF16074"/>
    <w:rsid w:val="2CF81D1B"/>
    <w:rsid w:val="2D3F2453"/>
    <w:rsid w:val="2D4743E0"/>
    <w:rsid w:val="2D536CB5"/>
    <w:rsid w:val="2D5B1D46"/>
    <w:rsid w:val="2D6F134E"/>
    <w:rsid w:val="2D835174"/>
    <w:rsid w:val="2D9331F9"/>
    <w:rsid w:val="2D99461C"/>
    <w:rsid w:val="2DA541FC"/>
    <w:rsid w:val="2DD90B7B"/>
    <w:rsid w:val="2DD92C6B"/>
    <w:rsid w:val="2DDD3FC1"/>
    <w:rsid w:val="2DE41E6C"/>
    <w:rsid w:val="2DE531B8"/>
    <w:rsid w:val="2DEA131C"/>
    <w:rsid w:val="2DF701D8"/>
    <w:rsid w:val="2DF970A1"/>
    <w:rsid w:val="2E0665A9"/>
    <w:rsid w:val="2E085834"/>
    <w:rsid w:val="2E1034F8"/>
    <w:rsid w:val="2E112405"/>
    <w:rsid w:val="2E120D8E"/>
    <w:rsid w:val="2E310CF9"/>
    <w:rsid w:val="2E443652"/>
    <w:rsid w:val="2E505773"/>
    <w:rsid w:val="2E586286"/>
    <w:rsid w:val="2E5C0A3D"/>
    <w:rsid w:val="2E742F70"/>
    <w:rsid w:val="2E9077CD"/>
    <w:rsid w:val="2E9574DA"/>
    <w:rsid w:val="2E9A689E"/>
    <w:rsid w:val="2ED61D9E"/>
    <w:rsid w:val="2EDC2A13"/>
    <w:rsid w:val="2EFD7DB9"/>
    <w:rsid w:val="2F1A081D"/>
    <w:rsid w:val="2F1C72B3"/>
    <w:rsid w:val="2F1E1306"/>
    <w:rsid w:val="2F1E3DC0"/>
    <w:rsid w:val="2F2D326E"/>
    <w:rsid w:val="2F3112DE"/>
    <w:rsid w:val="2F337C88"/>
    <w:rsid w:val="2F3B6922"/>
    <w:rsid w:val="2F3D7B25"/>
    <w:rsid w:val="2F480119"/>
    <w:rsid w:val="2F506C6D"/>
    <w:rsid w:val="2F512253"/>
    <w:rsid w:val="2F51291F"/>
    <w:rsid w:val="2F55758A"/>
    <w:rsid w:val="2F68074A"/>
    <w:rsid w:val="2F7F15AE"/>
    <w:rsid w:val="2F912594"/>
    <w:rsid w:val="2FA54796"/>
    <w:rsid w:val="2FA674E2"/>
    <w:rsid w:val="2FA774C5"/>
    <w:rsid w:val="2FD271D9"/>
    <w:rsid w:val="2FEE6EA1"/>
    <w:rsid w:val="2FFE7D49"/>
    <w:rsid w:val="3002294D"/>
    <w:rsid w:val="3011153D"/>
    <w:rsid w:val="30142680"/>
    <w:rsid w:val="30183F1E"/>
    <w:rsid w:val="302567CF"/>
    <w:rsid w:val="302A11B1"/>
    <w:rsid w:val="302A5C42"/>
    <w:rsid w:val="30340091"/>
    <w:rsid w:val="30534F57"/>
    <w:rsid w:val="305D4027"/>
    <w:rsid w:val="30662043"/>
    <w:rsid w:val="30670A02"/>
    <w:rsid w:val="306D3B35"/>
    <w:rsid w:val="307153DD"/>
    <w:rsid w:val="307D1FD3"/>
    <w:rsid w:val="3083092C"/>
    <w:rsid w:val="30930D2E"/>
    <w:rsid w:val="30B8125D"/>
    <w:rsid w:val="30B87D63"/>
    <w:rsid w:val="30BF439A"/>
    <w:rsid w:val="30CF6A37"/>
    <w:rsid w:val="30D250CF"/>
    <w:rsid w:val="30D3355A"/>
    <w:rsid w:val="30E7260A"/>
    <w:rsid w:val="30ED7159"/>
    <w:rsid w:val="31002970"/>
    <w:rsid w:val="311016AD"/>
    <w:rsid w:val="31220DA0"/>
    <w:rsid w:val="31253A1B"/>
    <w:rsid w:val="312D39F9"/>
    <w:rsid w:val="3136622A"/>
    <w:rsid w:val="31393501"/>
    <w:rsid w:val="3139422E"/>
    <w:rsid w:val="31496359"/>
    <w:rsid w:val="314D19A6"/>
    <w:rsid w:val="31580A38"/>
    <w:rsid w:val="316177A4"/>
    <w:rsid w:val="31700E4B"/>
    <w:rsid w:val="3172683C"/>
    <w:rsid w:val="318F773E"/>
    <w:rsid w:val="31A359FC"/>
    <w:rsid w:val="31A67308"/>
    <w:rsid w:val="31AD0D61"/>
    <w:rsid w:val="31AF440F"/>
    <w:rsid w:val="31C42968"/>
    <w:rsid w:val="31CD297B"/>
    <w:rsid w:val="31CD73BD"/>
    <w:rsid w:val="31D245A1"/>
    <w:rsid w:val="31D66571"/>
    <w:rsid w:val="31DB4220"/>
    <w:rsid w:val="31DC56CD"/>
    <w:rsid w:val="31E63B94"/>
    <w:rsid w:val="31F27AF7"/>
    <w:rsid w:val="31FA74CA"/>
    <w:rsid w:val="32176602"/>
    <w:rsid w:val="322A7699"/>
    <w:rsid w:val="322B25C6"/>
    <w:rsid w:val="32326DEE"/>
    <w:rsid w:val="32422E70"/>
    <w:rsid w:val="325E56C6"/>
    <w:rsid w:val="3275698A"/>
    <w:rsid w:val="327C0679"/>
    <w:rsid w:val="32870EE7"/>
    <w:rsid w:val="32943B86"/>
    <w:rsid w:val="32A93829"/>
    <w:rsid w:val="32B943EC"/>
    <w:rsid w:val="32B9519B"/>
    <w:rsid w:val="32D22AAA"/>
    <w:rsid w:val="32DC63A0"/>
    <w:rsid w:val="32E429C1"/>
    <w:rsid w:val="330503EE"/>
    <w:rsid w:val="33274478"/>
    <w:rsid w:val="333E1EEE"/>
    <w:rsid w:val="334045BE"/>
    <w:rsid w:val="334A3B2A"/>
    <w:rsid w:val="334E5EA9"/>
    <w:rsid w:val="335133F7"/>
    <w:rsid w:val="3365592E"/>
    <w:rsid w:val="336A31F3"/>
    <w:rsid w:val="336F5D12"/>
    <w:rsid w:val="336F6533"/>
    <w:rsid w:val="337E5E2F"/>
    <w:rsid w:val="3384610D"/>
    <w:rsid w:val="33886F33"/>
    <w:rsid w:val="33A9069D"/>
    <w:rsid w:val="33AA5979"/>
    <w:rsid w:val="33AB32FB"/>
    <w:rsid w:val="33C03E90"/>
    <w:rsid w:val="33C96649"/>
    <w:rsid w:val="33CC3D88"/>
    <w:rsid w:val="33D939C5"/>
    <w:rsid w:val="33DD0306"/>
    <w:rsid w:val="33FD3B57"/>
    <w:rsid w:val="33FD722F"/>
    <w:rsid w:val="3400362D"/>
    <w:rsid w:val="340B09C5"/>
    <w:rsid w:val="341E4CAB"/>
    <w:rsid w:val="34205B4A"/>
    <w:rsid w:val="34584EE2"/>
    <w:rsid w:val="347A1C51"/>
    <w:rsid w:val="347D373F"/>
    <w:rsid w:val="34922A93"/>
    <w:rsid w:val="34956481"/>
    <w:rsid w:val="34A35871"/>
    <w:rsid w:val="34C06C9D"/>
    <w:rsid w:val="34C71A6F"/>
    <w:rsid w:val="34C93A39"/>
    <w:rsid w:val="34DF24AE"/>
    <w:rsid w:val="34E97C37"/>
    <w:rsid w:val="351C4931"/>
    <w:rsid w:val="351C4EAC"/>
    <w:rsid w:val="351D4C26"/>
    <w:rsid w:val="351F3659"/>
    <w:rsid w:val="352B46F4"/>
    <w:rsid w:val="352E7D40"/>
    <w:rsid w:val="35361A77"/>
    <w:rsid w:val="35461A22"/>
    <w:rsid w:val="35483CC9"/>
    <w:rsid w:val="354B08F2"/>
    <w:rsid w:val="35571045"/>
    <w:rsid w:val="356E46AA"/>
    <w:rsid w:val="357235B0"/>
    <w:rsid w:val="3578502D"/>
    <w:rsid w:val="3586192A"/>
    <w:rsid w:val="358625C7"/>
    <w:rsid w:val="35A815CB"/>
    <w:rsid w:val="35A85BD0"/>
    <w:rsid w:val="35AA1B9C"/>
    <w:rsid w:val="35D501BC"/>
    <w:rsid w:val="35D94150"/>
    <w:rsid w:val="35DB09A6"/>
    <w:rsid w:val="35DE52C2"/>
    <w:rsid w:val="36080591"/>
    <w:rsid w:val="3609472F"/>
    <w:rsid w:val="3619454C"/>
    <w:rsid w:val="36203B2D"/>
    <w:rsid w:val="363E0457"/>
    <w:rsid w:val="365B4B65"/>
    <w:rsid w:val="36687282"/>
    <w:rsid w:val="369B4CF0"/>
    <w:rsid w:val="36A93B22"/>
    <w:rsid w:val="36D62629"/>
    <w:rsid w:val="36D76172"/>
    <w:rsid w:val="36D84407"/>
    <w:rsid w:val="36E833BB"/>
    <w:rsid w:val="36EB1E1B"/>
    <w:rsid w:val="36F17F0D"/>
    <w:rsid w:val="36FB00F6"/>
    <w:rsid w:val="37103BA1"/>
    <w:rsid w:val="37224581"/>
    <w:rsid w:val="3735197D"/>
    <w:rsid w:val="373756A2"/>
    <w:rsid w:val="374A416C"/>
    <w:rsid w:val="375E0DA6"/>
    <w:rsid w:val="377639AE"/>
    <w:rsid w:val="377E111B"/>
    <w:rsid w:val="378142CB"/>
    <w:rsid w:val="378B61A6"/>
    <w:rsid w:val="37920A5A"/>
    <w:rsid w:val="37B90F0B"/>
    <w:rsid w:val="37BA1D5F"/>
    <w:rsid w:val="37CD3F98"/>
    <w:rsid w:val="37DF75BA"/>
    <w:rsid w:val="37E148E2"/>
    <w:rsid w:val="37F848EE"/>
    <w:rsid w:val="37F912FC"/>
    <w:rsid w:val="37FB65FF"/>
    <w:rsid w:val="380D59EE"/>
    <w:rsid w:val="38304889"/>
    <w:rsid w:val="3836588A"/>
    <w:rsid w:val="38382675"/>
    <w:rsid w:val="383B7B0D"/>
    <w:rsid w:val="3848553B"/>
    <w:rsid w:val="3851700B"/>
    <w:rsid w:val="385246B6"/>
    <w:rsid w:val="385E6B8E"/>
    <w:rsid w:val="3876113B"/>
    <w:rsid w:val="388C380B"/>
    <w:rsid w:val="38A53DB7"/>
    <w:rsid w:val="38BF3388"/>
    <w:rsid w:val="38CC268D"/>
    <w:rsid w:val="38DF1FDA"/>
    <w:rsid w:val="38EC2960"/>
    <w:rsid w:val="38EE7F12"/>
    <w:rsid w:val="390069DD"/>
    <w:rsid w:val="3902603A"/>
    <w:rsid w:val="39030CF9"/>
    <w:rsid w:val="39091F35"/>
    <w:rsid w:val="392536E2"/>
    <w:rsid w:val="39465F15"/>
    <w:rsid w:val="39505209"/>
    <w:rsid w:val="396453C5"/>
    <w:rsid w:val="39922CCF"/>
    <w:rsid w:val="39A24859"/>
    <w:rsid w:val="39A65327"/>
    <w:rsid w:val="39A65C9B"/>
    <w:rsid w:val="39BC5ED6"/>
    <w:rsid w:val="39BD78E5"/>
    <w:rsid w:val="39D0586A"/>
    <w:rsid w:val="39D27231"/>
    <w:rsid w:val="39E82BB3"/>
    <w:rsid w:val="39EB39E0"/>
    <w:rsid w:val="39EE7A9E"/>
    <w:rsid w:val="39EF02D4"/>
    <w:rsid w:val="3A08699C"/>
    <w:rsid w:val="3A11342A"/>
    <w:rsid w:val="3A153110"/>
    <w:rsid w:val="3A2149EA"/>
    <w:rsid w:val="3A2507C0"/>
    <w:rsid w:val="3A285AD8"/>
    <w:rsid w:val="3A393FA7"/>
    <w:rsid w:val="3A3A5A22"/>
    <w:rsid w:val="3A524858"/>
    <w:rsid w:val="3A64203E"/>
    <w:rsid w:val="3A663D00"/>
    <w:rsid w:val="3A7428D0"/>
    <w:rsid w:val="3A747EDD"/>
    <w:rsid w:val="3A8F302F"/>
    <w:rsid w:val="3A923AE4"/>
    <w:rsid w:val="3AA50E25"/>
    <w:rsid w:val="3ABC7B9C"/>
    <w:rsid w:val="3AC566E3"/>
    <w:rsid w:val="3AD6747A"/>
    <w:rsid w:val="3AD95C48"/>
    <w:rsid w:val="3ADF5D0A"/>
    <w:rsid w:val="3B0F23C2"/>
    <w:rsid w:val="3B312338"/>
    <w:rsid w:val="3B3C5B77"/>
    <w:rsid w:val="3B3D0FF2"/>
    <w:rsid w:val="3B44206B"/>
    <w:rsid w:val="3B501351"/>
    <w:rsid w:val="3B521A18"/>
    <w:rsid w:val="3B741699"/>
    <w:rsid w:val="3B8D2B96"/>
    <w:rsid w:val="3B90705F"/>
    <w:rsid w:val="3B923660"/>
    <w:rsid w:val="3B9C3C56"/>
    <w:rsid w:val="3BB16FD5"/>
    <w:rsid w:val="3BCA44BE"/>
    <w:rsid w:val="3C017F5D"/>
    <w:rsid w:val="3C061F3A"/>
    <w:rsid w:val="3C0A04F9"/>
    <w:rsid w:val="3C1C6B44"/>
    <w:rsid w:val="3C491519"/>
    <w:rsid w:val="3C495480"/>
    <w:rsid w:val="3C4C3A42"/>
    <w:rsid w:val="3C557EA4"/>
    <w:rsid w:val="3C6F0167"/>
    <w:rsid w:val="3C71667B"/>
    <w:rsid w:val="3C7C75E3"/>
    <w:rsid w:val="3C914F3B"/>
    <w:rsid w:val="3CC17F13"/>
    <w:rsid w:val="3CD15B81"/>
    <w:rsid w:val="3CD50B40"/>
    <w:rsid w:val="3CE320A3"/>
    <w:rsid w:val="3CE9196C"/>
    <w:rsid w:val="3CF15105"/>
    <w:rsid w:val="3D0C04B9"/>
    <w:rsid w:val="3D1414C5"/>
    <w:rsid w:val="3D1C763E"/>
    <w:rsid w:val="3D201AA5"/>
    <w:rsid w:val="3D2B37EA"/>
    <w:rsid w:val="3D2F7FF3"/>
    <w:rsid w:val="3D3B56F0"/>
    <w:rsid w:val="3D3D1507"/>
    <w:rsid w:val="3D62085B"/>
    <w:rsid w:val="3D6B12FD"/>
    <w:rsid w:val="3D7B4622"/>
    <w:rsid w:val="3D8E5820"/>
    <w:rsid w:val="3D931088"/>
    <w:rsid w:val="3D942E29"/>
    <w:rsid w:val="3DA53531"/>
    <w:rsid w:val="3DA70690"/>
    <w:rsid w:val="3DB039E8"/>
    <w:rsid w:val="3DB54E0C"/>
    <w:rsid w:val="3DB900C1"/>
    <w:rsid w:val="3DE03BA2"/>
    <w:rsid w:val="3DE51866"/>
    <w:rsid w:val="3DE91725"/>
    <w:rsid w:val="3DF159B1"/>
    <w:rsid w:val="3E135D25"/>
    <w:rsid w:val="3E1A106E"/>
    <w:rsid w:val="3E36303B"/>
    <w:rsid w:val="3E526044"/>
    <w:rsid w:val="3E5C591E"/>
    <w:rsid w:val="3E6C2B3A"/>
    <w:rsid w:val="3E832EAB"/>
    <w:rsid w:val="3E8C5311"/>
    <w:rsid w:val="3E8E7E55"/>
    <w:rsid w:val="3EB61473"/>
    <w:rsid w:val="3EC66011"/>
    <w:rsid w:val="3ED25BE0"/>
    <w:rsid w:val="3ED75B7F"/>
    <w:rsid w:val="3EF9316D"/>
    <w:rsid w:val="3F222DB1"/>
    <w:rsid w:val="3F315E6B"/>
    <w:rsid w:val="3F5175E2"/>
    <w:rsid w:val="3F56276A"/>
    <w:rsid w:val="3F6C10E0"/>
    <w:rsid w:val="3F6F78D3"/>
    <w:rsid w:val="3F963015"/>
    <w:rsid w:val="3F964D35"/>
    <w:rsid w:val="3FA327ED"/>
    <w:rsid w:val="3FB11738"/>
    <w:rsid w:val="3FB5581B"/>
    <w:rsid w:val="3FC33D05"/>
    <w:rsid w:val="3FF46B18"/>
    <w:rsid w:val="3FF74A2E"/>
    <w:rsid w:val="3FFC36E2"/>
    <w:rsid w:val="4005572D"/>
    <w:rsid w:val="402833BA"/>
    <w:rsid w:val="40283C2B"/>
    <w:rsid w:val="40394FD1"/>
    <w:rsid w:val="403A3A3D"/>
    <w:rsid w:val="40425879"/>
    <w:rsid w:val="405C1C05"/>
    <w:rsid w:val="405E3BCF"/>
    <w:rsid w:val="406B3DDC"/>
    <w:rsid w:val="40765D15"/>
    <w:rsid w:val="407B4FC1"/>
    <w:rsid w:val="407F2DE9"/>
    <w:rsid w:val="40866C82"/>
    <w:rsid w:val="40920B61"/>
    <w:rsid w:val="40953369"/>
    <w:rsid w:val="40991379"/>
    <w:rsid w:val="409B3C3D"/>
    <w:rsid w:val="409F1D81"/>
    <w:rsid w:val="40A35A86"/>
    <w:rsid w:val="40E66965"/>
    <w:rsid w:val="40F701DF"/>
    <w:rsid w:val="40FC6F44"/>
    <w:rsid w:val="40FD480A"/>
    <w:rsid w:val="41176A48"/>
    <w:rsid w:val="411B59C4"/>
    <w:rsid w:val="412A32F8"/>
    <w:rsid w:val="417F433E"/>
    <w:rsid w:val="418A1D66"/>
    <w:rsid w:val="418A4550"/>
    <w:rsid w:val="419C4043"/>
    <w:rsid w:val="41B7239D"/>
    <w:rsid w:val="41C95079"/>
    <w:rsid w:val="41D852BC"/>
    <w:rsid w:val="41DD22AA"/>
    <w:rsid w:val="41DF2AEE"/>
    <w:rsid w:val="41FF3845"/>
    <w:rsid w:val="420A743F"/>
    <w:rsid w:val="420E33D3"/>
    <w:rsid w:val="42101488"/>
    <w:rsid w:val="421104A9"/>
    <w:rsid w:val="42143B88"/>
    <w:rsid w:val="42164586"/>
    <w:rsid w:val="422936B2"/>
    <w:rsid w:val="422E75D1"/>
    <w:rsid w:val="424566C9"/>
    <w:rsid w:val="42475850"/>
    <w:rsid w:val="424C7A58"/>
    <w:rsid w:val="424E1A22"/>
    <w:rsid w:val="425B5DD1"/>
    <w:rsid w:val="4260300C"/>
    <w:rsid w:val="42621029"/>
    <w:rsid w:val="42755200"/>
    <w:rsid w:val="42772802"/>
    <w:rsid w:val="427C799E"/>
    <w:rsid w:val="427F607F"/>
    <w:rsid w:val="42800B9B"/>
    <w:rsid w:val="4281223D"/>
    <w:rsid w:val="428E1E1E"/>
    <w:rsid w:val="428E62C2"/>
    <w:rsid w:val="42A06B6C"/>
    <w:rsid w:val="42A27996"/>
    <w:rsid w:val="42A45E72"/>
    <w:rsid w:val="42AA04E2"/>
    <w:rsid w:val="42C972FA"/>
    <w:rsid w:val="42D737C5"/>
    <w:rsid w:val="42EA5650"/>
    <w:rsid w:val="431408DA"/>
    <w:rsid w:val="431B7C78"/>
    <w:rsid w:val="4331401E"/>
    <w:rsid w:val="433805EC"/>
    <w:rsid w:val="43486FC5"/>
    <w:rsid w:val="43591DDA"/>
    <w:rsid w:val="435A0DF2"/>
    <w:rsid w:val="436C42E1"/>
    <w:rsid w:val="437102E7"/>
    <w:rsid w:val="437C210F"/>
    <w:rsid w:val="43847F02"/>
    <w:rsid w:val="438F113C"/>
    <w:rsid w:val="439E7EFB"/>
    <w:rsid w:val="43B1568A"/>
    <w:rsid w:val="43B64E08"/>
    <w:rsid w:val="43BD7F58"/>
    <w:rsid w:val="43D43ECA"/>
    <w:rsid w:val="43D60064"/>
    <w:rsid w:val="43DD452F"/>
    <w:rsid w:val="43DE6CD4"/>
    <w:rsid w:val="43E1775F"/>
    <w:rsid w:val="43E51150"/>
    <w:rsid w:val="43EF28BB"/>
    <w:rsid w:val="43EF56D3"/>
    <w:rsid w:val="43F47D80"/>
    <w:rsid w:val="43F565F9"/>
    <w:rsid w:val="43F839F3"/>
    <w:rsid w:val="44095C00"/>
    <w:rsid w:val="440A6FD2"/>
    <w:rsid w:val="440E1469"/>
    <w:rsid w:val="442A1797"/>
    <w:rsid w:val="44366C11"/>
    <w:rsid w:val="444946CA"/>
    <w:rsid w:val="444B3F54"/>
    <w:rsid w:val="445B0426"/>
    <w:rsid w:val="44611430"/>
    <w:rsid w:val="4476661F"/>
    <w:rsid w:val="447E3AC5"/>
    <w:rsid w:val="44805ED4"/>
    <w:rsid w:val="448E5DEE"/>
    <w:rsid w:val="449C4CC6"/>
    <w:rsid w:val="449E4142"/>
    <w:rsid w:val="44A90BAA"/>
    <w:rsid w:val="44B24A20"/>
    <w:rsid w:val="44BC0BEE"/>
    <w:rsid w:val="44BF6C07"/>
    <w:rsid w:val="44C24001"/>
    <w:rsid w:val="44C55A88"/>
    <w:rsid w:val="44FB1C9C"/>
    <w:rsid w:val="450C05A0"/>
    <w:rsid w:val="45392A13"/>
    <w:rsid w:val="453E3FCF"/>
    <w:rsid w:val="454F1836"/>
    <w:rsid w:val="45617CBE"/>
    <w:rsid w:val="45637592"/>
    <w:rsid w:val="45887B45"/>
    <w:rsid w:val="458B66DF"/>
    <w:rsid w:val="45940F0E"/>
    <w:rsid w:val="45AC5DBA"/>
    <w:rsid w:val="45C647AF"/>
    <w:rsid w:val="45CF3374"/>
    <w:rsid w:val="45DD529D"/>
    <w:rsid w:val="45E57886"/>
    <w:rsid w:val="45E945CC"/>
    <w:rsid w:val="46003076"/>
    <w:rsid w:val="46026F63"/>
    <w:rsid w:val="46113492"/>
    <w:rsid w:val="46164604"/>
    <w:rsid w:val="46177E29"/>
    <w:rsid w:val="46205B7F"/>
    <w:rsid w:val="462A00B0"/>
    <w:rsid w:val="462A4554"/>
    <w:rsid w:val="462A6010"/>
    <w:rsid w:val="462F1B6A"/>
    <w:rsid w:val="46380A1F"/>
    <w:rsid w:val="465D501C"/>
    <w:rsid w:val="466367DB"/>
    <w:rsid w:val="46686D18"/>
    <w:rsid w:val="466D15DA"/>
    <w:rsid w:val="46767799"/>
    <w:rsid w:val="4691012F"/>
    <w:rsid w:val="46BF7E28"/>
    <w:rsid w:val="46C3037C"/>
    <w:rsid w:val="46CB1893"/>
    <w:rsid w:val="46EF26BD"/>
    <w:rsid w:val="46FF15E0"/>
    <w:rsid w:val="4700581C"/>
    <w:rsid w:val="4702516A"/>
    <w:rsid w:val="4724600B"/>
    <w:rsid w:val="472E597E"/>
    <w:rsid w:val="474A4B33"/>
    <w:rsid w:val="47543636"/>
    <w:rsid w:val="47665A15"/>
    <w:rsid w:val="47677941"/>
    <w:rsid w:val="477F1660"/>
    <w:rsid w:val="4788232A"/>
    <w:rsid w:val="478B0398"/>
    <w:rsid w:val="478F5D0B"/>
    <w:rsid w:val="479D5A47"/>
    <w:rsid w:val="47A11E6C"/>
    <w:rsid w:val="47A31F5F"/>
    <w:rsid w:val="47A345BE"/>
    <w:rsid w:val="47A84BA6"/>
    <w:rsid w:val="47B52444"/>
    <w:rsid w:val="47B8724E"/>
    <w:rsid w:val="47ED7BCA"/>
    <w:rsid w:val="47F46BC7"/>
    <w:rsid w:val="48016F34"/>
    <w:rsid w:val="480556DB"/>
    <w:rsid w:val="48185C56"/>
    <w:rsid w:val="48254C34"/>
    <w:rsid w:val="48450F81"/>
    <w:rsid w:val="48455675"/>
    <w:rsid w:val="484E729D"/>
    <w:rsid w:val="48566773"/>
    <w:rsid w:val="485A23C2"/>
    <w:rsid w:val="48623B31"/>
    <w:rsid w:val="48691107"/>
    <w:rsid w:val="48895289"/>
    <w:rsid w:val="48A16B62"/>
    <w:rsid w:val="48AE0D54"/>
    <w:rsid w:val="48BC6222"/>
    <w:rsid w:val="48C245E9"/>
    <w:rsid w:val="48DB312A"/>
    <w:rsid w:val="48DF49D9"/>
    <w:rsid w:val="490E3CB9"/>
    <w:rsid w:val="492108CC"/>
    <w:rsid w:val="492928A1"/>
    <w:rsid w:val="49413F52"/>
    <w:rsid w:val="494F6304"/>
    <w:rsid w:val="49792B95"/>
    <w:rsid w:val="49F11610"/>
    <w:rsid w:val="4A01681E"/>
    <w:rsid w:val="4A05334F"/>
    <w:rsid w:val="4A060864"/>
    <w:rsid w:val="4A244932"/>
    <w:rsid w:val="4A2922C8"/>
    <w:rsid w:val="4A344C24"/>
    <w:rsid w:val="4A4117B2"/>
    <w:rsid w:val="4A4A6F73"/>
    <w:rsid w:val="4A712751"/>
    <w:rsid w:val="4A7A4350"/>
    <w:rsid w:val="4A7B1703"/>
    <w:rsid w:val="4A7E2497"/>
    <w:rsid w:val="4A896826"/>
    <w:rsid w:val="4A8E50B1"/>
    <w:rsid w:val="4A993A56"/>
    <w:rsid w:val="4ABF5E17"/>
    <w:rsid w:val="4ACB00B3"/>
    <w:rsid w:val="4ACF7478"/>
    <w:rsid w:val="4AD52CE0"/>
    <w:rsid w:val="4AD5594C"/>
    <w:rsid w:val="4AE01A66"/>
    <w:rsid w:val="4AE104D6"/>
    <w:rsid w:val="4AE724D1"/>
    <w:rsid w:val="4AE77140"/>
    <w:rsid w:val="4AEA4061"/>
    <w:rsid w:val="4AEB3612"/>
    <w:rsid w:val="4AED707B"/>
    <w:rsid w:val="4AFA2F07"/>
    <w:rsid w:val="4B015D61"/>
    <w:rsid w:val="4B0B7979"/>
    <w:rsid w:val="4B1530DD"/>
    <w:rsid w:val="4B1D6435"/>
    <w:rsid w:val="4B3E3B79"/>
    <w:rsid w:val="4B4E65EF"/>
    <w:rsid w:val="4B520DF4"/>
    <w:rsid w:val="4B603107"/>
    <w:rsid w:val="4B773D97"/>
    <w:rsid w:val="4B7A5635"/>
    <w:rsid w:val="4B8E10E1"/>
    <w:rsid w:val="4B9802B0"/>
    <w:rsid w:val="4B9E65BE"/>
    <w:rsid w:val="4B9F33A8"/>
    <w:rsid w:val="4BA80AFD"/>
    <w:rsid w:val="4BB033BA"/>
    <w:rsid w:val="4BB469AD"/>
    <w:rsid w:val="4BC06040"/>
    <w:rsid w:val="4BC66ACD"/>
    <w:rsid w:val="4BCF5981"/>
    <w:rsid w:val="4BD846DB"/>
    <w:rsid w:val="4BF441D2"/>
    <w:rsid w:val="4C1C2A09"/>
    <w:rsid w:val="4C284AD9"/>
    <w:rsid w:val="4C423098"/>
    <w:rsid w:val="4C694192"/>
    <w:rsid w:val="4C7964D9"/>
    <w:rsid w:val="4C8229F4"/>
    <w:rsid w:val="4C891FD4"/>
    <w:rsid w:val="4C8C5620"/>
    <w:rsid w:val="4C9269F6"/>
    <w:rsid w:val="4CB75F07"/>
    <w:rsid w:val="4CC4733F"/>
    <w:rsid w:val="4CC84335"/>
    <w:rsid w:val="4CD22B0F"/>
    <w:rsid w:val="4CDA3E72"/>
    <w:rsid w:val="4CE4545C"/>
    <w:rsid w:val="4CE9350A"/>
    <w:rsid w:val="4D014937"/>
    <w:rsid w:val="4D1E2466"/>
    <w:rsid w:val="4D2256CD"/>
    <w:rsid w:val="4D225F85"/>
    <w:rsid w:val="4D297BF3"/>
    <w:rsid w:val="4D2D0EAF"/>
    <w:rsid w:val="4D333CEE"/>
    <w:rsid w:val="4D795A49"/>
    <w:rsid w:val="4D7F0082"/>
    <w:rsid w:val="4D910B7E"/>
    <w:rsid w:val="4D952FD9"/>
    <w:rsid w:val="4D970662"/>
    <w:rsid w:val="4D9A1FBF"/>
    <w:rsid w:val="4D9F40B3"/>
    <w:rsid w:val="4DB33393"/>
    <w:rsid w:val="4DB90B8C"/>
    <w:rsid w:val="4DBC3CE3"/>
    <w:rsid w:val="4DCB51C5"/>
    <w:rsid w:val="4DCF1E0D"/>
    <w:rsid w:val="4DD632D9"/>
    <w:rsid w:val="4DD94895"/>
    <w:rsid w:val="4DE05D9E"/>
    <w:rsid w:val="4DE05DF9"/>
    <w:rsid w:val="4DE44800"/>
    <w:rsid w:val="4DE90850"/>
    <w:rsid w:val="4DEE0709"/>
    <w:rsid w:val="4DF26A56"/>
    <w:rsid w:val="4DF47921"/>
    <w:rsid w:val="4DFC14EA"/>
    <w:rsid w:val="4DFF6815"/>
    <w:rsid w:val="4E0A3427"/>
    <w:rsid w:val="4E133F60"/>
    <w:rsid w:val="4E2423AC"/>
    <w:rsid w:val="4E261AA5"/>
    <w:rsid w:val="4E287F63"/>
    <w:rsid w:val="4E304B5D"/>
    <w:rsid w:val="4E3F66C2"/>
    <w:rsid w:val="4E611B8B"/>
    <w:rsid w:val="4E6279D7"/>
    <w:rsid w:val="4E682F8C"/>
    <w:rsid w:val="4E6A7BB7"/>
    <w:rsid w:val="4E6C5D89"/>
    <w:rsid w:val="4E9133C2"/>
    <w:rsid w:val="4EB23220"/>
    <w:rsid w:val="4EC2357B"/>
    <w:rsid w:val="4EC866B8"/>
    <w:rsid w:val="4ED46303"/>
    <w:rsid w:val="4EE661F8"/>
    <w:rsid w:val="4EF27A04"/>
    <w:rsid w:val="4F0773B4"/>
    <w:rsid w:val="4F0973FC"/>
    <w:rsid w:val="4F0C69BB"/>
    <w:rsid w:val="4F241019"/>
    <w:rsid w:val="4F307BB1"/>
    <w:rsid w:val="4F336227"/>
    <w:rsid w:val="4F3C3EF2"/>
    <w:rsid w:val="4F3D562D"/>
    <w:rsid w:val="4F4E6C44"/>
    <w:rsid w:val="4F552641"/>
    <w:rsid w:val="4F5C4EE0"/>
    <w:rsid w:val="4F681AF1"/>
    <w:rsid w:val="4F6E1972"/>
    <w:rsid w:val="4F943166"/>
    <w:rsid w:val="4F9C19A5"/>
    <w:rsid w:val="4FBA02A1"/>
    <w:rsid w:val="4FBA6948"/>
    <w:rsid w:val="4FC275AB"/>
    <w:rsid w:val="4FD86DCF"/>
    <w:rsid w:val="4FE7106E"/>
    <w:rsid w:val="4FF82FCD"/>
    <w:rsid w:val="4FFC288D"/>
    <w:rsid w:val="50053943"/>
    <w:rsid w:val="50260569"/>
    <w:rsid w:val="50374A3C"/>
    <w:rsid w:val="50487AB0"/>
    <w:rsid w:val="50550E55"/>
    <w:rsid w:val="50901457"/>
    <w:rsid w:val="509F43E4"/>
    <w:rsid w:val="50A54D3E"/>
    <w:rsid w:val="50B82E88"/>
    <w:rsid w:val="50BB32A7"/>
    <w:rsid w:val="50C43920"/>
    <w:rsid w:val="50CC5CB2"/>
    <w:rsid w:val="50ED1473"/>
    <w:rsid w:val="50F1402B"/>
    <w:rsid w:val="50FD2AD9"/>
    <w:rsid w:val="51081E85"/>
    <w:rsid w:val="51097D9A"/>
    <w:rsid w:val="511A650F"/>
    <w:rsid w:val="51237D2E"/>
    <w:rsid w:val="51295DBA"/>
    <w:rsid w:val="514229EF"/>
    <w:rsid w:val="515B06D0"/>
    <w:rsid w:val="51764AF1"/>
    <w:rsid w:val="51996737"/>
    <w:rsid w:val="51B408B8"/>
    <w:rsid w:val="51B80848"/>
    <w:rsid w:val="51CC0868"/>
    <w:rsid w:val="51D5340F"/>
    <w:rsid w:val="521E31BF"/>
    <w:rsid w:val="52287B99"/>
    <w:rsid w:val="52382F2A"/>
    <w:rsid w:val="52386E3D"/>
    <w:rsid w:val="523A7DD1"/>
    <w:rsid w:val="523B7711"/>
    <w:rsid w:val="5271774C"/>
    <w:rsid w:val="527A416D"/>
    <w:rsid w:val="528D5323"/>
    <w:rsid w:val="528D7B65"/>
    <w:rsid w:val="5299416C"/>
    <w:rsid w:val="52AA11D3"/>
    <w:rsid w:val="52DE008D"/>
    <w:rsid w:val="52EE341E"/>
    <w:rsid w:val="52F37FE6"/>
    <w:rsid w:val="52FC1CAF"/>
    <w:rsid w:val="52FE08FA"/>
    <w:rsid w:val="52FF22FE"/>
    <w:rsid w:val="53004672"/>
    <w:rsid w:val="530B071F"/>
    <w:rsid w:val="531A330F"/>
    <w:rsid w:val="532B6CAF"/>
    <w:rsid w:val="53350D91"/>
    <w:rsid w:val="53412644"/>
    <w:rsid w:val="53433903"/>
    <w:rsid w:val="534E7AD3"/>
    <w:rsid w:val="53517A72"/>
    <w:rsid w:val="5361549D"/>
    <w:rsid w:val="536220DA"/>
    <w:rsid w:val="53650637"/>
    <w:rsid w:val="536A5F90"/>
    <w:rsid w:val="537155BE"/>
    <w:rsid w:val="53757C6B"/>
    <w:rsid w:val="537E1075"/>
    <w:rsid w:val="53806410"/>
    <w:rsid w:val="538452A3"/>
    <w:rsid w:val="539A4AC7"/>
    <w:rsid w:val="53A44D07"/>
    <w:rsid w:val="53A46AC8"/>
    <w:rsid w:val="53AB7F1F"/>
    <w:rsid w:val="53AC6F7B"/>
    <w:rsid w:val="53C01F4F"/>
    <w:rsid w:val="53C421A6"/>
    <w:rsid w:val="53EB297B"/>
    <w:rsid w:val="53EC4BF7"/>
    <w:rsid w:val="53F671DE"/>
    <w:rsid w:val="53F758A1"/>
    <w:rsid w:val="540D5A7F"/>
    <w:rsid w:val="542E2BC2"/>
    <w:rsid w:val="54352A96"/>
    <w:rsid w:val="54447390"/>
    <w:rsid w:val="544B514D"/>
    <w:rsid w:val="545E1D01"/>
    <w:rsid w:val="54674051"/>
    <w:rsid w:val="5472334E"/>
    <w:rsid w:val="54935B8F"/>
    <w:rsid w:val="54996B2C"/>
    <w:rsid w:val="549D3677"/>
    <w:rsid w:val="54B03E76"/>
    <w:rsid w:val="54BB2F47"/>
    <w:rsid w:val="54BF230B"/>
    <w:rsid w:val="54CC6227"/>
    <w:rsid w:val="54D10F9B"/>
    <w:rsid w:val="54D77655"/>
    <w:rsid w:val="54D97871"/>
    <w:rsid w:val="54DC4C6B"/>
    <w:rsid w:val="550B5550"/>
    <w:rsid w:val="551D586C"/>
    <w:rsid w:val="55200298"/>
    <w:rsid w:val="55335E1B"/>
    <w:rsid w:val="5536079B"/>
    <w:rsid w:val="554B7EF0"/>
    <w:rsid w:val="556F3D99"/>
    <w:rsid w:val="556F788D"/>
    <w:rsid w:val="55720837"/>
    <w:rsid w:val="55860894"/>
    <w:rsid w:val="558F6181"/>
    <w:rsid w:val="55B02DF1"/>
    <w:rsid w:val="55C4407D"/>
    <w:rsid w:val="55D47A00"/>
    <w:rsid w:val="55D5456D"/>
    <w:rsid w:val="55DC290C"/>
    <w:rsid w:val="55E71B19"/>
    <w:rsid w:val="55EA5D64"/>
    <w:rsid w:val="55F01FA1"/>
    <w:rsid w:val="55FC19B9"/>
    <w:rsid w:val="56130B60"/>
    <w:rsid w:val="56234F28"/>
    <w:rsid w:val="562C1C22"/>
    <w:rsid w:val="56586573"/>
    <w:rsid w:val="56666B5B"/>
    <w:rsid w:val="56717635"/>
    <w:rsid w:val="56764C4B"/>
    <w:rsid w:val="56837A94"/>
    <w:rsid w:val="56990B7C"/>
    <w:rsid w:val="569E1126"/>
    <w:rsid w:val="56A8690E"/>
    <w:rsid w:val="56B51C18"/>
    <w:rsid w:val="56B679AB"/>
    <w:rsid w:val="56B80DEB"/>
    <w:rsid w:val="56D976B4"/>
    <w:rsid w:val="56E0560F"/>
    <w:rsid w:val="56E06E61"/>
    <w:rsid w:val="56E9366F"/>
    <w:rsid w:val="56EF3C74"/>
    <w:rsid w:val="56F653FE"/>
    <w:rsid w:val="57007337"/>
    <w:rsid w:val="57272B15"/>
    <w:rsid w:val="574448FC"/>
    <w:rsid w:val="57561D39"/>
    <w:rsid w:val="575B7AFD"/>
    <w:rsid w:val="575C2093"/>
    <w:rsid w:val="576176AA"/>
    <w:rsid w:val="57660D3F"/>
    <w:rsid w:val="5774562F"/>
    <w:rsid w:val="5785783C"/>
    <w:rsid w:val="578F06BB"/>
    <w:rsid w:val="57A469A0"/>
    <w:rsid w:val="57CC4BC2"/>
    <w:rsid w:val="57D10760"/>
    <w:rsid w:val="57D1153D"/>
    <w:rsid w:val="57D77297"/>
    <w:rsid w:val="57FA3774"/>
    <w:rsid w:val="58084A3C"/>
    <w:rsid w:val="582772A7"/>
    <w:rsid w:val="5847689F"/>
    <w:rsid w:val="58531B77"/>
    <w:rsid w:val="58564D34"/>
    <w:rsid w:val="585D2975"/>
    <w:rsid w:val="585D4315"/>
    <w:rsid w:val="585E3492"/>
    <w:rsid w:val="585F64F9"/>
    <w:rsid w:val="587E3341"/>
    <w:rsid w:val="587F428B"/>
    <w:rsid w:val="58843A9C"/>
    <w:rsid w:val="5895585D"/>
    <w:rsid w:val="58B31855"/>
    <w:rsid w:val="58C6004A"/>
    <w:rsid w:val="58CF56D8"/>
    <w:rsid w:val="58D31010"/>
    <w:rsid w:val="58D6741E"/>
    <w:rsid w:val="58DB0535"/>
    <w:rsid w:val="58E467E4"/>
    <w:rsid w:val="58E62E0E"/>
    <w:rsid w:val="58EA3D0E"/>
    <w:rsid w:val="58F24A5D"/>
    <w:rsid w:val="58F71269"/>
    <w:rsid w:val="58FE045E"/>
    <w:rsid w:val="58FE78A6"/>
    <w:rsid w:val="59014CEF"/>
    <w:rsid w:val="59017396"/>
    <w:rsid w:val="59442D7E"/>
    <w:rsid w:val="59561946"/>
    <w:rsid w:val="59670F51"/>
    <w:rsid w:val="596A44F9"/>
    <w:rsid w:val="596C19BB"/>
    <w:rsid w:val="59723DF0"/>
    <w:rsid w:val="59790BDB"/>
    <w:rsid w:val="597E3F42"/>
    <w:rsid w:val="598653AC"/>
    <w:rsid w:val="59AC10B0"/>
    <w:rsid w:val="59AC3C86"/>
    <w:rsid w:val="59B461B6"/>
    <w:rsid w:val="59B817D3"/>
    <w:rsid w:val="59C11856"/>
    <w:rsid w:val="59C153AB"/>
    <w:rsid w:val="59D10B16"/>
    <w:rsid w:val="59D42FDA"/>
    <w:rsid w:val="59D70DF6"/>
    <w:rsid w:val="59DA4E01"/>
    <w:rsid w:val="59F64E82"/>
    <w:rsid w:val="5A0A5DD6"/>
    <w:rsid w:val="5A10435C"/>
    <w:rsid w:val="5A111C53"/>
    <w:rsid w:val="5A2654CC"/>
    <w:rsid w:val="5A323A44"/>
    <w:rsid w:val="5A395E66"/>
    <w:rsid w:val="5A476FBE"/>
    <w:rsid w:val="5A484352"/>
    <w:rsid w:val="5A5321A5"/>
    <w:rsid w:val="5A783688"/>
    <w:rsid w:val="5A845B89"/>
    <w:rsid w:val="5A8734AF"/>
    <w:rsid w:val="5A955FE8"/>
    <w:rsid w:val="5A9D3E45"/>
    <w:rsid w:val="5AA4101D"/>
    <w:rsid w:val="5AB17576"/>
    <w:rsid w:val="5ABA59C8"/>
    <w:rsid w:val="5ABD68E6"/>
    <w:rsid w:val="5ABF73D2"/>
    <w:rsid w:val="5ACB3D8A"/>
    <w:rsid w:val="5ACE32A8"/>
    <w:rsid w:val="5AE12FDB"/>
    <w:rsid w:val="5AE1508F"/>
    <w:rsid w:val="5AF80256"/>
    <w:rsid w:val="5B110CC9"/>
    <w:rsid w:val="5B136165"/>
    <w:rsid w:val="5B1851F5"/>
    <w:rsid w:val="5B1F7B5D"/>
    <w:rsid w:val="5B24736C"/>
    <w:rsid w:val="5B585171"/>
    <w:rsid w:val="5B585B78"/>
    <w:rsid w:val="5B6D62B9"/>
    <w:rsid w:val="5B746CFA"/>
    <w:rsid w:val="5B9A2B59"/>
    <w:rsid w:val="5BA652E6"/>
    <w:rsid w:val="5BC0085A"/>
    <w:rsid w:val="5BC326E1"/>
    <w:rsid w:val="5BE03293"/>
    <w:rsid w:val="5BF03D58"/>
    <w:rsid w:val="5BF20AFB"/>
    <w:rsid w:val="5C1A6BB2"/>
    <w:rsid w:val="5C284A34"/>
    <w:rsid w:val="5C306D31"/>
    <w:rsid w:val="5C37233A"/>
    <w:rsid w:val="5C4557EC"/>
    <w:rsid w:val="5C5355FE"/>
    <w:rsid w:val="5C5A49A5"/>
    <w:rsid w:val="5C6519EA"/>
    <w:rsid w:val="5C6715FE"/>
    <w:rsid w:val="5C6F4105"/>
    <w:rsid w:val="5CBB7F6F"/>
    <w:rsid w:val="5CC248CE"/>
    <w:rsid w:val="5CC826A5"/>
    <w:rsid w:val="5CF1327E"/>
    <w:rsid w:val="5D042FB1"/>
    <w:rsid w:val="5D3A2E77"/>
    <w:rsid w:val="5D442CB4"/>
    <w:rsid w:val="5D4C6846"/>
    <w:rsid w:val="5D7C3F11"/>
    <w:rsid w:val="5D971C5A"/>
    <w:rsid w:val="5D9D49E0"/>
    <w:rsid w:val="5DA01E9E"/>
    <w:rsid w:val="5DAD3649"/>
    <w:rsid w:val="5DC310BE"/>
    <w:rsid w:val="5DC32E6C"/>
    <w:rsid w:val="5DDF1821"/>
    <w:rsid w:val="5DE2656A"/>
    <w:rsid w:val="5DEA2F91"/>
    <w:rsid w:val="5DF94AE0"/>
    <w:rsid w:val="5DFA5883"/>
    <w:rsid w:val="5E224037"/>
    <w:rsid w:val="5E3146A3"/>
    <w:rsid w:val="5E442F62"/>
    <w:rsid w:val="5E6C2C5B"/>
    <w:rsid w:val="5E6E2DD8"/>
    <w:rsid w:val="5E7251A2"/>
    <w:rsid w:val="5E7C3591"/>
    <w:rsid w:val="5E9842F9"/>
    <w:rsid w:val="5E9D0E18"/>
    <w:rsid w:val="5EA26F25"/>
    <w:rsid w:val="5EA341D7"/>
    <w:rsid w:val="5EA755DE"/>
    <w:rsid w:val="5EAE7678"/>
    <w:rsid w:val="5ED35F0E"/>
    <w:rsid w:val="5EDF7832"/>
    <w:rsid w:val="5EFC1390"/>
    <w:rsid w:val="5EFC3EB6"/>
    <w:rsid w:val="5F00622C"/>
    <w:rsid w:val="5F03335D"/>
    <w:rsid w:val="5F0368C7"/>
    <w:rsid w:val="5F1544E7"/>
    <w:rsid w:val="5F197EE8"/>
    <w:rsid w:val="5F312D8D"/>
    <w:rsid w:val="5F3C4923"/>
    <w:rsid w:val="5F4160B0"/>
    <w:rsid w:val="5F426012"/>
    <w:rsid w:val="5F5A7800"/>
    <w:rsid w:val="5F6368E9"/>
    <w:rsid w:val="5F7811D3"/>
    <w:rsid w:val="5F9A65E6"/>
    <w:rsid w:val="5F9B2627"/>
    <w:rsid w:val="5FA66B60"/>
    <w:rsid w:val="5FAC7B1F"/>
    <w:rsid w:val="5FB5266F"/>
    <w:rsid w:val="5FB80E3D"/>
    <w:rsid w:val="5FB831B4"/>
    <w:rsid w:val="5FD40999"/>
    <w:rsid w:val="5FE5522B"/>
    <w:rsid w:val="5FF03F08"/>
    <w:rsid w:val="5FF2548E"/>
    <w:rsid w:val="5FF313D3"/>
    <w:rsid w:val="602610FD"/>
    <w:rsid w:val="602808B2"/>
    <w:rsid w:val="602C2F4B"/>
    <w:rsid w:val="602D0A71"/>
    <w:rsid w:val="60307A2A"/>
    <w:rsid w:val="6031230F"/>
    <w:rsid w:val="603814FF"/>
    <w:rsid w:val="604109A8"/>
    <w:rsid w:val="60522285"/>
    <w:rsid w:val="605D2617"/>
    <w:rsid w:val="60616CDC"/>
    <w:rsid w:val="60624E53"/>
    <w:rsid w:val="606319E5"/>
    <w:rsid w:val="607A77D8"/>
    <w:rsid w:val="607B3C50"/>
    <w:rsid w:val="608B6567"/>
    <w:rsid w:val="60902A4E"/>
    <w:rsid w:val="60AA3E6F"/>
    <w:rsid w:val="60BB607C"/>
    <w:rsid w:val="60FF21D9"/>
    <w:rsid w:val="610C0686"/>
    <w:rsid w:val="611063C8"/>
    <w:rsid w:val="611E37D0"/>
    <w:rsid w:val="613021B3"/>
    <w:rsid w:val="61306A6A"/>
    <w:rsid w:val="613253FD"/>
    <w:rsid w:val="61421F29"/>
    <w:rsid w:val="61521F2D"/>
    <w:rsid w:val="615838CB"/>
    <w:rsid w:val="615F221E"/>
    <w:rsid w:val="61637D56"/>
    <w:rsid w:val="61712185"/>
    <w:rsid w:val="617A5F38"/>
    <w:rsid w:val="618B7207"/>
    <w:rsid w:val="61907E69"/>
    <w:rsid w:val="61A90D68"/>
    <w:rsid w:val="61B43A15"/>
    <w:rsid w:val="61DA0425"/>
    <w:rsid w:val="62065A1D"/>
    <w:rsid w:val="6213792C"/>
    <w:rsid w:val="621775E2"/>
    <w:rsid w:val="621C0D9D"/>
    <w:rsid w:val="622F7552"/>
    <w:rsid w:val="6250406E"/>
    <w:rsid w:val="626369CC"/>
    <w:rsid w:val="6267666C"/>
    <w:rsid w:val="627D6831"/>
    <w:rsid w:val="62811B1C"/>
    <w:rsid w:val="62A20409"/>
    <w:rsid w:val="62AC0373"/>
    <w:rsid w:val="62B54B44"/>
    <w:rsid w:val="62CE02E9"/>
    <w:rsid w:val="62E045DA"/>
    <w:rsid w:val="62E23D94"/>
    <w:rsid w:val="62E454A1"/>
    <w:rsid w:val="62E95123"/>
    <w:rsid w:val="62EF025F"/>
    <w:rsid w:val="62F36E4C"/>
    <w:rsid w:val="62F47F8F"/>
    <w:rsid w:val="62F7233F"/>
    <w:rsid w:val="631B2E02"/>
    <w:rsid w:val="631F3FB4"/>
    <w:rsid w:val="63273E9D"/>
    <w:rsid w:val="63364F75"/>
    <w:rsid w:val="6340438B"/>
    <w:rsid w:val="6353238E"/>
    <w:rsid w:val="63556314"/>
    <w:rsid w:val="63612AB8"/>
    <w:rsid w:val="6379289B"/>
    <w:rsid w:val="637B1AF3"/>
    <w:rsid w:val="637D0978"/>
    <w:rsid w:val="638906B4"/>
    <w:rsid w:val="638968B0"/>
    <w:rsid w:val="638A282C"/>
    <w:rsid w:val="6393508F"/>
    <w:rsid w:val="639A3568"/>
    <w:rsid w:val="63A75341"/>
    <w:rsid w:val="63A85E90"/>
    <w:rsid w:val="63A962DB"/>
    <w:rsid w:val="63AB1A91"/>
    <w:rsid w:val="63B75221"/>
    <w:rsid w:val="63B82D47"/>
    <w:rsid w:val="63C74D38"/>
    <w:rsid w:val="63EA73A4"/>
    <w:rsid w:val="63EE4692"/>
    <w:rsid w:val="63FD622D"/>
    <w:rsid w:val="64177A6E"/>
    <w:rsid w:val="641F42FB"/>
    <w:rsid w:val="643F32F9"/>
    <w:rsid w:val="64582686"/>
    <w:rsid w:val="64673C87"/>
    <w:rsid w:val="64877733"/>
    <w:rsid w:val="64925346"/>
    <w:rsid w:val="64A170D2"/>
    <w:rsid w:val="64A251DD"/>
    <w:rsid w:val="64BC182A"/>
    <w:rsid w:val="64F46001"/>
    <w:rsid w:val="650242F0"/>
    <w:rsid w:val="65365B2B"/>
    <w:rsid w:val="653F447E"/>
    <w:rsid w:val="65542778"/>
    <w:rsid w:val="655829AF"/>
    <w:rsid w:val="656B70C3"/>
    <w:rsid w:val="657038D9"/>
    <w:rsid w:val="65711400"/>
    <w:rsid w:val="658F4798"/>
    <w:rsid w:val="659B1EBA"/>
    <w:rsid w:val="659C3AAC"/>
    <w:rsid w:val="65A11CE5"/>
    <w:rsid w:val="65A83379"/>
    <w:rsid w:val="65B461E9"/>
    <w:rsid w:val="65BE39A8"/>
    <w:rsid w:val="65C23A09"/>
    <w:rsid w:val="65FB3FBE"/>
    <w:rsid w:val="660109D5"/>
    <w:rsid w:val="66101A71"/>
    <w:rsid w:val="66171FA7"/>
    <w:rsid w:val="66247D11"/>
    <w:rsid w:val="66326DE1"/>
    <w:rsid w:val="663A5C95"/>
    <w:rsid w:val="663B3EC9"/>
    <w:rsid w:val="663F505A"/>
    <w:rsid w:val="665A1E94"/>
    <w:rsid w:val="66736112"/>
    <w:rsid w:val="667F5B5B"/>
    <w:rsid w:val="6694262A"/>
    <w:rsid w:val="66990381"/>
    <w:rsid w:val="66996E60"/>
    <w:rsid w:val="66A870A3"/>
    <w:rsid w:val="66B31B01"/>
    <w:rsid w:val="66CE1E80"/>
    <w:rsid w:val="66E362F9"/>
    <w:rsid w:val="66E47FD9"/>
    <w:rsid w:val="66E520A5"/>
    <w:rsid w:val="66F04175"/>
    <w:rsid w:val="66F127F8"/>
    <w:rsid w:val="67071922"/>
    <w:rsid w:val="673B73C0"/>
    <w:rsid w:val="674743C8"/>
    <w:rsid w:val="674E19F8"/>
    <w:rsid w:val="675608B6"/>
    <w:rsid w:val="6760172C"/>
    <w:rsid w:val="67754402"/>
    <w:rsid w:val="677D54ED"/>
    <w:rsid w:val="678B726C"/>
    <w:rsid w:val="67A23AF2"/>
    <w:rsid w:val="67B25E27"/>
    <w:rsid w:val="67B4646D"/>
    <w:rsid w:val="67B464CA"/>
    <w:rsid w:val="67C4383B"/>
    <w:rsid w:val="67D35E1A"/>
    <w:rsid w:val="67D839B8"/>
    <w:rsid w:val="67DB0DB2"/>
    <w:rsid w:val="67F35317"/>
    <w:rsid w:val="67F73E3E"/>
    <w:rsid w:val="67FF7197"/>
    <w:rsid w:val="68016A6B"/>
    <w:rsid w:val="680201B7"/>
    <w:rsid w:val="68040309"/>
    <w:rsid w:val="68060525"/>
    <w:rsid w:val="68362BFB"/>
    <w:rsid w:val="683D085A"/>
    <w:rsid w:val="683F1130"/>
    <w:rsid w:val="684456A1"/>
    <w:rsid w:val="684C2838"/>
    <w:rsid w:val="685E1363"/>
    <w:rsid w:val="687731D1"/>
    <w:rsid w:val="6878475E"/>
    <w:rsid w:val="688B4E68"/>
    <w:rsid w:val="688E1089"/>
    <w:rsid w:val="68993219"/>
    <w:rsid w:val="689E42BA"/>
    <w:rsid w:val="68A026F3"/>
    <w:rsid w:val="68AF6C13"/>
    <w:rsid w:val="68BA74C6"/>
    <w:rsid w:val="68F25680"/>
    <w:rsid w:val="69074555"/>
    <w:rsid w:val="690E07C7"/>
    <w:rsid w:val="69140A20"/>
    <w:rsid w:val="69236A65"/>
    <w:rsid w:val="692E469B"/>
    <w:rsid w:val="69315C48"/>
    <w:rsid w:val="694019EC"/>
    <w:rsid w:val="694841AF"/>
    <w:rsid w:val="69584DB4"/>
    <w:rsid w:val="695B5B89"/>
    <w:rsid w:val="696C3D80"/>
    <w:rsid w:val="696D7E94"/>
    <w:rsid w:val="697D0373"/>
    <w:rsid w:val="69821E2D"/>
    <w:rsid w:val="69863787"/>
    <w:rsid w:val="698A5EE4"/>
    <w:rsid w:val="69A27DD9"/>
    <w:rsid w:val="69B30239"/>
    <w:rsid w:val="69C811ED"/>
    <w:rsid w:val="69D33070"/>
    <w:rsid w:val="69E97E75"/>
    <w:rsid w:val="69EF33C0"/>
    <w:rsid w:val="69FB5D9E"/>
    <w:rsid w:val="69FF6FDA"/>
    <w:rsid w:val="6A09542B"/>
    <w:rsid w:val="6A143C4B"/>
    <w:rsid w:val="6A1A3007"/>
    <w:rsid w:val="6A1E645E"/>
    <w:rsid w:val="6A3C6480"/>
    <w:rsid w:val="6A417049"/>
    <w:rsid w:val="6A576E16"/>
    <w:rsid w:val="6A7903E5"/>
    <w:rsid w:val="6A8219B9"/>
    <w:rsid w:val="6A822A1B"/>
    <w:rsid w:val="6A8641F2"/>
    <w:rsid w:val="6A9701A5"/>
    <w:rsid w:val="6A9811DC"/>
    <w:rsid w:val="6AA03032"/>
    <w:rsid w:val="6AA86FEC"/>
    <w:rsid w:val="6AB06526"/>
    <w:rsid w:val="6ACB20F7"/>
    <w:rsid w:val="6AD54E94"/>
    <w:rsid w:val="6ADA6AC4"/>
    <w:rsid w:val="6ADB11D6"/>
    <w:rsid w:val="6B0E5024"/>
    <w:rsid w:val="6B1A2C3C"/>
    <w:rsid w:val="6B221F4E"/>
    <w:rsid w:val="6B31644D"/>
    <w:rsid w:val="6B486C86"/>
    <w:rsid w:val="6B546244"/>
    <w:rsid w:val="6B554C72"/>
    <w:rsid w:val="6B560C49"/>
    <w:rsid w:val="6B680BAF"/>
    <w:rsid w:val="6B774DF2"/>
    <w:rsid w:val="6B7834E8"/>
    <w:rsid w:val="6B847AD7"/>
    <w:rsid w:val="6B961F07"/>
    <w:rsid w:val="6B9A2DF9"/>
    <w:rsid w:val="6BA56BC7"/>
    <w:rsid w:val="6BAA11C7"/>
    <w:rsid w:val="6BAA566B"/>
    <w:rsid w:val="6BAC4619"/>
    <w:rsid w:val="6BB118FD"/>
    <w:rsid w:val="6BC60150"/>
    <w:rsid w:val="6BCD2823"/>
    <w:rsid w:val="6BDD15DD"/>
    <w:rsid w:val="6BDF2966"/>
    <w:rsid w:val="6BE86A5F"/>
    <w:rsid w:val="6C053C7D"/>
    <w:rsid w:val="6C0D357A"/>
    <w:rsid w:val="6C186A79"/>
    <w:rsid w:val="6C2076DB"/>
    <w:rsid w:val="6C234DED"/>
    <w:rsid w:val="6C29198B"/>
    <w:rsid w:val="6C3078F9"/>
    <w:rsid w:val="6C3A67D1"/>
    <w:rsid w:val="6C3D2157"/>
    <w:rsid w:val="6C3D2D5C"/>
    <w:rsid w:val="6C4800AA"/>
    <w:rsid w:val="6C4D28F8"/>
    <w:rsid w:val="6C573E9C"/>
    <w:rsid w:val="6C5C23DC"/>
    <w:rsid w:val="6C6D1126"/>
    <w:rsid w:val="6C7672FB"/>
    <w:rsid w:val="6C986334"/>
    <w:rsid w:val="6C9C4FB4"/>
    <w:rsid w:val="6CA35B3A"/>
    <w:rsid w:val="6CA41A5D"/>
    <w:rsid w:val="6CA479DF"/>
    <w:rsid w:val="6CAF588C"/>
    <w:rsid w:val="6CB4638E"/>
    <w:rsid w:val="6CBF3C6A"/>
    <w:rsid w:val="6CBF5306"/>
    <w:rsid w:val="6CD7423E"/>
    <w:rsid w:val="6CD930DF"/>
    <w:rsid w:val="6CDC1854"/>
    <w:rsid w:val="6CE70FA1"/>
    <w:rsid w:val="6CF05300"/>
    <w:rsid w:val="6CFA6351"/>
    <w:rsid w:val="6CFC3C40"/>
    <w:rsid w:val="6D231231"/>
    <w:rsid w:val="6D266F73"/>
    <w:rsid w:val="6D2F6F7D"/>
    <w:rsid w:val="6D480984"/>
    <w:rsid w:val="6D8079F9"/>
    <w:rsid w:val="6D8C5028"/>
    <w:rsid w:val="6D9A311E"/>
    <w:rsid w:val="6D9B526C"/>
    <w:rsid w:val="6DB13E57"/>
    <w:rsid w:val="6DC245A2"/>
    <w:rsid w:val="6DC71662"/>
    <w:rsid w:val="6DCD5126"/>
    <w:rsid w:val="6DDB6CB0"/>
    <w:rsid w:val="6DE21877"/>
    <w:rsid w:val="6DE52ACD"/>
    <w:rsid w:val="6DF36E56"/>
    <w:rsid w:val="6DFC0B44"/>
    <w:rsid w:val="6E0458E7"/>
    <w:rsid w:val="6E212037"/>
    <w:rsid w:val="6E25722B"/>
    <w:rsid w:val="6E263D90"/>
    <w:rsid w:val="6E3B221B"/>
    <w:rsid w:val="6E475779"/>
    <w:rsid w:val="6E51424D"/>
    <w:rsid w:val="6E663C68"/>
    <w:rsid w:val="6E7764EF"/>
    <w:rsid w:val="6E8403F6"/>
    <w:rsid w:val="6E952B9A"/>
    <w:rsid w:val="6EA75E92"/>
    <w:rsid w:val="6EAD447C"/>
    <w:rsid w:val="6EAE5472"/>
    <w:rsid w:val="6EBC069A"/>
    <w:rsid w:val="6ECD7F59"/>
    <w:rsid w:val="6ECF449B"/>
    <w:rsid w:val="6ED975CA"/>
    <w:rsid w:val="6EED7C80"/>
    <w:rsid w:val="6EF03395"/>
    <w:rsid w:val="6EF773A4"/>
    <w:rsid w:val="6F08190C"/>
    <w:rsid w:val="6F174DC6"/>
    <w:rsid w:val="6F1A6664"/>
    <w:rsid w:val="6F1E2E65"/>
    <w:rsid w:val="6F26325B"/>
    <w:rsid w:val="6F286FD3"/>
    <w:rsid w:val="6F2F2D9E"/>
    <w:rsid w:val="6F3A05FC"/>
    <w:rsid w:val="6F4147D9"/>
    <w:rsid w:val="6F581F47"/>
    <w:rsid w:val="6F5B0D5A"/>
    <w:rsid w:val="6F5C35EA"/>
    <w:rsid w:val="6F63625D"/>
    <w:rsid w:val="6F6B6A15"/>
    <w:rsid w:val="6F947E4B"/>
    <w:rsid w:val="6F9957DB"/>
    <w:rsid w:val="6FA30BDA"/>
    <w:rsid w:val="6FB21D4C"/>
    <w:rsid w:val="6FB80698"/>
    <w:rsid w:val="6FDE7692"/>
    <w:rsid w:val="6FFD5E0F"/>
    <w:rsid w:val="70076BE8"/>
    <w:rsid w:val="701021F4"/>
    <w:rsid w:val="701C29A6"/>
    <w:rsid w:val="7024611F"/>
    <w:rsid w:val="702F7EED"/>
    <w:rsid w:val="70370356"/>
    <w:rsid w:val="7038498C"/>
    <w:rsid w:val="703F45D4"/>
    <w:rsid w:val="70637B96"/>
    <w:rsid w:val="70797317"/>
    <w:rsid w:val="707E201F"/>
    <w:rsid w:val="7099044B"/>
    <w:rsid w:val="709A06E1"/>
    <w:rsid w:val="709D518F"/>
    <w:rsid w:val="709E387E"/>
    <w:rsid w:val="70B76860"/>
    <w:rsid w:val="70C759D3"/>
    <w:rsid w:val="70CD7E32"/>
    <w:rsid w:val="70CF2B23"/>
    <w:rsid w:val="70CF74E9"/>
    <w:rsid w:val="70D70CB1"/>
    <w:rsid w:val="70D80585"/>
    <w:rsid w:val="70FA674D"/>
    <w:rsid w:val="710952C1"/>
    <w:rsid w:val="713420C5"/>
    <w:rsid w:val="71347EB1"/>
    <w:rsid w:val="713954C7"/>
    <w:rsid w:val="713F70AB"/>
    <w:rsid w:val="71452CD8"/>
    <w:rsid w:val="71583F2D"/>
    <w:rsid w:val="7158683A"/>
    <w:rsid w:val="715B2F52"/>
    <w:rsid w:val="715C7408"/>
    <w:rsid w:val="7167680B"/>
    <w:rsid w:val="71764F23"/>
    <w:rsid w:val="71881188"/>
    <w:rsid w:val="71902C0D"/>
    <w:rsid w:val="71946576"/>
    <w:rsid w:val="71967E84"/>
    <w:rsid w:val="7197629F"/>
    <w:rsid w:val="71A61873"/>
    <w:rsid w:val="71AF4936"/>
    <w:rsid w:val="71B12351"/>
    <w:rsid w:val="71BB4E1E"/>
    <w:rsid w:val="71CD79BE"/>
    <w:rsid w:val="71D07496"/>
    <w:rsid w:val="71D75D0F"/>
    <w:rsid w:val="71F437A4"/>
    <w:rsid w:val="721919B3"/>
    <w:rsid w:val="721A6098"/>
    <w:rsid w:val="721D18D3"/>
    <w:rsid w:val="72310D1A"/>
    <w:rsid w:val="7252306F"/>
    <w:rsid w:val="725D6B54"/>
    <w:rsid w:val="7294672D"/>
    <w:rsid w:val="7295497F"/>
    <w:rsid w:val="72986FA0"/>
    <w:rsid w:val="72A17C99"/>
    <w:rsid w:val="72A2709C"/>
    <w:rsid w:val="72A5093A"/>
    <w:rsid w:val="72AD7197"/>
    <w:rsid w:val="72AF6F7E"/>
    <w:rsid w:val="72BD2C86"/>
    <w:rsid w:val="72CD226C"/>
    <w:rsid w:val="72D27981"/>
    <w:rsid w:val="73047407"/>
    <w:rsid w:val="73047904"/>
    <w:rsid w:val="73132E9B"/>
    <w:rsid w:val="731A4E85"/>
    <w:rsid w:val="73253EFA"/>
    <w:rsid w:val="73353A6C"/>
    <w:rsid w:val="734C1A6A"/>
    <w:rsid w:val="73555EBD"/>
    <w:rsid w:val="735663B7"/>
    <w:rsid w:val="735C5949"/>
    <w:rsid w:val="73671287"/>
    <w:rsid w:val="73737DA5"/>
    <w:rsid w:val="73740A39"/>
    <w:rsid w:val="73783823"/>
    <w:rsid w:val="73887B3E"/>
    <w:rsid w:val="73892412"/>
    <w:rsid w:val="73AF2114"/>
    <w:rsid w:val="73AF381F"/>
    <w:rsid w:val="73D47729"/>
    <w:rsid w:val="73E96BCA"/>
    <w:rsid w:val="73EE4A6E"/>
    <w:rsid w:val="741048BC"/>
    <w:rsid w:val="7419513C"/>
    <w:rsid w:val="742E78D4"/>
    <w:rsid w:val="74317498"/>
    <w:rsid w:val="74335A84"/>
    <w:rsid w:val="74367A9C"/>
    <w:rsid w:val="743A6A13"/>
    <w:rsid w:val="74676A28"/>
    <w:rsid w:val="747131CA"/>
    <w:rsid w:val="74714F78"/>
    <w:rsid w:val="747E40B6"/>
    <w:rsid w:val="749951FC"/>
    <w:rsid w:val="749A44CF"/>
    <w:rsid w:val="74AA2238"/>
    <w:rsid w:val="74AC3224"/>
    <w:rsid w:val="74B21065"/>
    <w:rsid w:val="74BB2C83"/>
    <w:rsid w:val="74C01A5C"/>
    <w:rsid w:val="74C0380A"/>
    <w:rsid w:val="74C33758"/>
    <w:rsid w:val="74D476FB"/>
    <w:rsid w:val="74D72451"/>
    <w:rsid w:val="74DE4E5F"/>
    <w:rsid w:val="74EB54AB"/>
    <w:rsid w:val="74F0689A"/>
    <w:rsid w:val="74FF6D43"/>
    <w:rsid w:val="750201A2"/>
    <w:rsid w:val="750E70AC"/>
    <w:rsid w:val="75137DDD"/>
    <w:rsid w:val="751A76AF"/>
    <w:rsid w:val="75241FEA"/>
    <w:rsid w:val="75250574"/>
    <w:rsid w:val="75306BE1"/>
    <w:rsid w:val="753649D0"/>
    <w:rsid w:val="754459E0"/>
    <w:rsid w:val="7550443E"/>
    <w:rsid w:val="755F0BCC"/>
    <w:rsid w:val="75611D9B"/>
    <w:rsid w:val="7561323F"/>
    <w:rsid w:val="756F17F9"/>
    <w:rsid w:val="757E5B9F"/>
    <w:rsid w:val="75825461"/>
    <w:rsid w:val="75907680"/>
    <w:rsid w:val="75916599"/>
    <w:rsid w:val="759926FC"/>
    <w:rsid w:val="75A24276"/>
    <w:rsid w:val="75AA231D"/>
    <w:rsid w:val="75AD6340"/>
    <w:rsid w:val="75B90985"/>
    <w:rsid w:val="75DF5F11"/>
    <w:rsid w:val="75E8633A"/>
    <w:rsid w:val="75ED062E"/>
    <w:rsid w:val="76360227"/>
    <w:rsid w:val="76366479"/>
    <w:rsid w:val="76393874"/>
    <w:rsid w:val="763F09AA"/>
    <w:rsid w:val="764F12E9"/>
    <w:rsid w:val="764F3FCC"/>
    <w:rsid w:val="7650339F"/>
    <w:rsid w:val="76595CC4"/>
    <w:rsid w:val="76603C9A"/>
    <w:rsid w:val="766B00E5"/>
    <w:rsid w:val="7680773A"/>
    <w:rsid w:val="76832D41"/>
    <w:rsid w:val="768B2C28"/>
    <w:rsid w:val="76BB1CAB"/>
    <w:rsid w:val="76C04050"/>
    <w:rsid w:val="76D67314"/>
    <w:rsid w:val="76E00193"/>
    <w:rsid w:val="76E65049"/>
    <w:rsid w:val="76FA74A7"/>
    <w:rsid w:val="77076007"/>
    <w:rsid w:val="770F77AA"/>
    <w:rsid w:val="77183DD1"/>
    <w:rsid w:val="771A36A5"/>
    <w:rsid w:val="771F6F0D"/>
    <w:rsid w:val="77413F7E"/>
    <w:rsid w:val="77464076"/>
    <w:rsid w:val="7758241F"/>
    <w:rsid w:val="777059BB"/>
    <w:rsid w:val="777A7D22"/>
    <w:rsid w:val="777E28EC"/>
    <w:rsid w:val="77835654"/>
    <w:rsid w:val="7797109C"/>
    <w:rsid w:val="779A2A38"/>
    <w:rsid w:val="77B4450A"/>
    <w:rsid w:val="77B46E73"/>
    <w:rsid w:val="77E37A12"/>
    <w:rsid w:val="77F04406"/>
    <w:rsid w:val="77F42148"/>
    <w:rsid w:val="77FE3468"/>
    <w:rsid w:val="780B1240"/>
    <w:rsid w:val="782347DB"/>
    <w:rsid w:val="78250553"/>
    <w:rsid w:val="783B17B1"/>
    <w:rsid w:val="784E2046"/>
    <w:rsid w:val="78546F0C"/>
    <w:rsid w:val="786778FE"/>
    <w:rsid w:val="789D588A"/>
    <w:rsid w:val="78B65E3A"/>
    <w:rsid w:val="78C95383"/>
    <w:rsid w:val="78D87374"/>
    <w:rsid w:val="78E0091E"/>
    <w:rsid w:val="78EB11BD"/>
    <w:rsid w:val="78EE1C79"/>
    <w:rsid w:val="78F85605"/>
    <w:rsid w:val="78FA66FA"/>
    <w:rsid w:val="792F0F5E"/>
    <w:rsid w:val="79345B6A"/>
    <w:rsid w:val="79424F6E"/>
    <w:rsid w:val="794F33AE"/>
    <w:rsid w:val="795310F0"/>
    <w:rsid w:val="795F3706"/>
    <w:rsid w:val="797239CC"/>
    <w:rsid w:val="797F54AB"/>
    <w:rsid w:val="79831473"/>
    <w:rsid w:val="79983E9C"/>
    <w:rsid w:val="7999527A"/>
    <w:rsid w:val="79AF76C5"/>
    <w:rsid w:val="79C25EE1"/>
    <w:rsid w:val="79CE2967"/>
    <w:rsid w:val="79E30EE8"/>
    <w:rsid w:val="79E34934"/>
    <w:rsid w:val="79EA664C"/>
    <w:rsid w:val="79F9627A"/>
    <w:rsid w:val="79FC3536"/>
    <w:rsid w:val="79FF6948"/>
    <w:rsid w:val="7A044199"/>
    <w:rsid w:val="7A0657CF"/>
    <w:rsid w:val="7A2F3BBF"/>
    <w:rsid w:val="7A2F459A"/>
    <w:rsid w:val="7A322A39"/>
    <w:rsid w:val="7A517022"/>
    <w:rsid w:val="7A6F5001"/>
    <w:rsid w:val="7A7720A0"/>
    <w:rsid w:val="7A846E66"/>
    <w:rsid w:val="7A8F7F06"/>
    <w:rsid w:val="7A9635B3"/>
    <w:rsid w:val="7AA2343E"/>
    <w:rsid w:val="7ACC115A"/>
    <w:rsid w:val="7AD60EB8"/>
    <w:rsid w:val="7ADA73A4"/>
    <w:rsid w:val="7AE55396"/>
    <w:rsid w:val="7AE66B99"/>
    <w:rsid w:val="7AF34646"/>
    <w:rsid w:val="7AFE508C"/>
    <w:rsid w:val="7B0A3BCA"/>
    <w:rsid w:val="7B1C0EF4"/>
    <w:rsid w:val="7B1E510C"/>
    <w:rsid w:val="7B212805"/>
    <w:rsid w:val="7B234AF2"/>
    <w:rsid w:val="7B2E5971"/>
    <w:rsid w:val="7B31720F"/>
    <w:rsid w:val="7B345AA9"/>
    <w:rsid w:val="7B4048C1"/>
    <w:rsid w:val="7B4C4049"/>
    <w:rsid w:val="7B4C5DF7"/>
    <w:rsid w:val="7B73082F"/>
    <w:rsid w:val="7B7B492E"/>
    <w:rsid w:val="7B98728E"/>
    <w:rsid w:val="7B9A3D1D"/>
    <w:rsid w:val="7BB46FBD"/>
    <w:rsid w:val="7BC62E00"/>
    <w:rsid w:val="7BC73B55"/>
    <w:rsid w:val="7BD04C7A"/>
    <w:rsid w:val="7BE35E2A"/>
    <w:rsid w:val="7BF538C2"/>
    <w:rsid w:val="7BF66C24"/>
    <w:rsid w:val="7BFA1CC7"/>
    <w:rsid w:val="7BFB70B3"/>
    <w:rsid w:val="7C0251DA"/>
    <w:rsid w:val="7C0C0E4A"/>
    <w:rsid w:val="7C0E41D1"/>
    <w:rsid w:val="7C1052F2"/>
    <w:rsid w:val="7C21292C"/>
    <w:rsid w:val="7C2154D6"/>
    <w:rsid w:val="7C2668D9"/>
    <w:rsid w:val="7C32497F"/>
    <w:rsid w:val="7C3C69AE"/>
    <w:rsid w:val="7C631577"/>
    <w:rsid w:val="7C691974"/>
    <w:rsid w:val="7C872E8E"/>
    <w:rsid w:val="7C8A6570"/>
    <w:rsid w:val="7C8B7390"/>
    <w:rsid w:val="7C9B0D0E"/>
    <w:rsid w:val="7CA42B03"/>
    <w:rsid w:val="7CC55E61"/>
    <w:rsid w:val="7CCB71F0"/>
    <w:rsid w:val="7CCC5441"/>
    <w:rsid w:val="7CD2318A"/>
    <w:rsid w:val="7CD2702A"/>
    <w:rsid w:val="7CD34C42"/>
    <w:rsid w:val="7CD46B29"/>
    <w:rsid w:val="7CDE3FF9"/>
    <w:rsid w:val="7CE26EBF"/>
    <w:rsid w:val="7CEE3130"/>
    <w:rsid w:val="7CFC08E8"/>
    <w:rsid w:val="7D0E5A5A"/>
    <w:rsid w:val="7D1E1A15"/>
    <w:rsid w:val="7D1F6674"/>
    <w:rsid w:val="7D475E29"/>
    <w:rsid w:val="7D480B34"/>
    <w:rsid w:val="7D741635"/>
    <w:rsid w:val="7D777A3E"/>
    <w:rsid w:val="7D883F06"/>
    <w:rsid w:val="7D8E6457"/>
    <w:rsid w:val="7D9005BC"/>
    <w:rsid w:val="7D983576"/>
    <w:rsid w:val="7D9F0AD0"/>
    <w:rsid w:val="7DB22BDF"/>
    <w:rsid w:val="7DBA173E"/>
    <w:rsid w:val="7DD12BB7"/>
    <w:rsid w:val="7DF223A2"/>
    <w:rsid w:val="7DFF0955"/>
    <w:rsid w:val="7E0B750E"/>
    <w:rsid w:val="7E1939E8"/>
    <w:rsid w:val="7E1D3A7B"/>
    <w:rsid w:val="7E2400E7"/>
    <w:rsid w:val="7E2822EA"/>
    <w:rsid w:val="7E2A20CE"/>
    <w:rsid w:val="7E355A7B"/>
    <w:rsid w:val="7E455322"/>
    <w:rsid w:val="7E682F48"/>
    <w:rsid w:val="7E6E3E85"/>
    <w:rsid w:val="7E7C7B82"/>
    <w:rsid w:val="7E8A5804"/>
    <w:rsid w:val="7E8F4979"/>
    <w:rsid w:val="7E991353"/>
    <w:rsid w:val="7E9C184B"/>
    <w:rsid w:val="7EA72948"/>
    <w:rsid w:val="7EB31EDB"/>
    <w:rsid w:val="7ED61132"/>
    <w:rsid w:val="7EE70CC0"/>
    <w:rsid w:val="7EEB48DB"/>
    <w:rsid w:val="7EF27444"/>
    <w:rsid w:val="7F185A04"/>
    <w:rsid w:val="7F265C58"/>
    <w:rsid w:val="7F3B240A"/>
    <w:rsid w:val="7F4C4618"/>
    <w:rsid w:val="7F4D13A6"/>
    <w:rsid w:val="7F582CF2"/>
    <w:rsid w:val="7F951B40"/>
    <w:rsid w:val="7FA501CC"/>
    <w:rsid w:val="7FA820A8"/>
    <w:rsid w:val="7FAF2DF8"/>
    <w:rsid w:val="7FB90D50"/>
    <w:rsid w:val="7FBE053E"/>
    <w:rsid w:val="7FBF10B0"/>
    <w:rsid w:val="7FE9455C"/>
    <w:rsid w:val="7FF30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4"/>
    <w:autoRedefine/>
    <w:qFormat/>
    <w:uiPriority w:val="0"/>
    <w:pPr>
      <w:keepNext/>
      <w:keepLines/>
      <w:spacing w:before="340" w:after="330" w:line="576" w:lineRule="auto"/>
      <w:outlineLvl w:val="0"/>
    </w:pPr>
    <w:rPr>
      <w:b/>
      <w:bCs/>
      <w:kern w:val="44"/>
      <w:sz w:val="44"/>
      <w:szCs w:val="44"/>
    </w:rPr>
  </w:style>
  <w:style w:type="paragraph" w:styleId="2">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9">
    <w:name w:val="heading 3"/>
    <w:basedOn w:val="1"/>
    <w:next w:val="1"/>
    <w:autoRedefine/>
    <w:qFormat/>
    <w:uiPriority w:val="0"/>
    <w:pPr>
      <w:keepNext/>
      <w:keepLines/>
      <w:spacing w:before="260" w:after="260" w:line="416" w:lineRule="auto"/>
      <w:outlineLvl w:val="2"/>
    </w:pPr>
    <w:rPr>
      <w:b/>
      <w:bCs/>
      <w:sz w:val="32"/>
      <w:szCs w:val="32"/>
    </w:rPr>
  </w:style>
  <w:style w:type="paragraph" w:styleId="10">
    <w:name w:val="heading 4"/>
    <w:basedOn w:val="1"/>
    <w:next w:val="1"/>
    <w:autoRedefine/>
    <w:qFormat/>
    <w:uiPriority w:val="0"/>
    <w:pPr>
      <w:keepNext/>
      <w:keepLines/>
      <w:spacing w:line="360" w:lineRule="auto"/>
      <w:outlineLvl w:val="3"/>
    </w:pPr>
    <w:rPr>
      <w:rFonts w:ascii="Arial" w:hAnsi="Arial"/>
      <w:b/>
      <w:bCs/>
      <w:szCs w:val="28"/>
    </w:rPr>
  </w:style>
  <w:style w:type="paragraph" w:styleId="11">
    <w:name w:val="heading 5"/>
    <w:basedOn w:val="1"/>
    <w:next w:val="1"/>
    <w:autoRedefine/>
    <w:unhideWhenUsed/>
    <w:qFormat/>
    <w:uiPriority w:val="0"/>
    <w:pPr>
      <w:keepNext/>
      <w:keepLines/>
      <w:spacing w:line="372" w:lineRule="auto"/>
      <w:outlineLvl w:val="4"/>
    </w:pPr>
    <w:rPr>
      <w:b/>
      <w:sz w:val="28"/>
    </w:rPr>
  </w:style>
  <w:style w:type="character" w:default="1" w:styleId="36">
    <w:name w:val="Default Paragraph Font"/>
    <w:semiHidden/>
    <w:unhideWhenUsed/>
    <w:qFormat/>
    <w:uiPriority w:val="1"/>
  </w:style>
  <w:style w:type="table" w:default="1" w:styleId="34">
    <w:name w:val="Normal Table"/>
    <w:semiHidden/>
    <w:unhideWhenUsed/>
    <w:qFormat/>
    <w:uiPriority w:val="99"/>
    <w:tblPr>
      <w:tblCellMar>
        <w:top w:w="0" w:type="dxa"/>
        <w:left w:w="108" w:type="dxa"/>
        <w:bottom w:w="0" w:type="dxa"/>
        <w:right w:w="108" w:type="dxa"/>
      </w:tblCellMar>
    </w:tblPr>
  </w:style>
  <w:style w:type="paragraph" w:styleId="4">
    <w:name w:val="Body Text"/>
    <w:basedOn w:val="1"/>
    <w:next w:val="5"/>
    <w:link w:val="75"/>
    <w:autoRedefine/>
    <w:qFormat/>
    <w:uiPriority w:val="0"/>
  </w:style>
  <w:style w:type="paragraph" w:customStyle="1" w:styleId="5">
    <w:name w:val="Default"/>
    <w:next w:val="6"/>
    <w:autoRedefine/>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6">
    <w:name w:val="大标题"/>
    <w:basedOn w:val="1"/>
    <w:next w:val="7"/>
    <w:autoRedefine/>
    <w:qFormat/>
    <w:uiPriority w:val="0"/>
    <w:pPr>
      <w:jc w:val="center"/>
    </w:pPr>
    <w:rPr>
      <w:rFonts w:ascii="Arial" w:hAnsi="Arial"/>
      <w:b/>
      <w:sz w:val="28"/>
    </w:rPr>
  </w:style>
  <w:style w:type="paragraph" w:styleId="7">
    <w:name w:val="Body Text First Indent 2"/>
    <w:basedOn w:val="8"/>
    <w:autoRedefine/>
    <w:qFormat/>
    <w:uiPriority w:val="0"/>
    <w:pPr>
      <w:ind w:firstLine="420" w:firstLineChars="200"/>
    </w:pPr>
  </w:style>
  <w:style w:type="paragraph" w:styleId="8">
    <w:name w:val="Body Text Indent"/>
    <w:basedOn w:val="1"/>
    <w:next w:val="7"/>
    <w:autoRedefine/>
    <w:qFormat/>
    <w:uiPriority w:val="0"/>
    <w:pPr>
      <w:widowControl/>
      <w:spacing w:beforeAutospacing="1" w:afterAutospacing="1"/>
      <w:jc w:val="left"/>
    </w:pPr>
    <w:rPr>
      <w:rFonts w:ascii="宋体" w:hAnsi="宋体" w:cs="宋体"/>
      <w:kern w:val="0"/>
      <w:sz w:val="24"/>
    </w:rPr>
  </w:style>
  <w:style w:type="paragraph" w:styleId="12">
    <w:name w:val="List Number"/>
    <w:basedOn w:val="1"/>
    <w:autoRedefine/>
    <w:qFormat/>
    <w:uiPriority w:val="0"/>
    <w:pPr>
      <w:widowControl/>
      <w:spacing w:beforeAutospacing="1" w:afterAutospacing="1"/>
      <w:jc w:val="left"/>
    </w:pPr>
    <w:rPr>
      <w:rFonts w:ascii="宋体" w:hAnsi="宋体" w:cs="宋体"/>
      <w:kern w:val="0"/>
      <w:sz w:val="24"/>
    </w:rPr>
  </w:style>
  <w:style w:type="paragraph" w:styleId="13">
    <w:name w:val="Normal Indent"/>
    <w:basedOn w:val="1"/>
    <w:autoRedefine/>
    <w:qFormat/>
    <w:uiPriority w:val="0"/>
    <w:pPr>
      <w:widowControl/>
      <w:spacing w:beforeAutospacing="1" w:afterAutospacing="1"/>
      <w:jc w:val="left"/>
    </w:pPr>
    <w:rPr>
      <w:rFonts w:ascii="宋体" w:hAnsi="宋体" w:cs="宋体"/>
      <w:kern w:val="0"/>
      <w:sz w:val="24"/>
    </w:rPr>
  </w:style>
  <w:style w:type="paragraph" w:styleId="14">
    <w:name w:val="Document Map"/>
    <w:basedOn w:val="1"/>
    <w:link w:val="77"/>
    <w:autoRedefine/>
    <w:qFormat/>
    <w:uiPriority w:val="0"/>
    <w:rPr>
      <w:rFonts w:ascii="宋体" w:hAnsi="Calibri"/>
      <w:sz w:val="18"/>
      <w:szCs w:val="18"/>
    </w:rPr>
  </w:style>
  <w:style w:type="paragraph" w:styleId="15">
    <w:name w:val="annotation text"/>
    <w:basedOn w:val="1"/>
    <w:autoRedefine/>
    <w:qFormat/>
    <w:uiPriority w:val="0"/>
    <w:pPr>
      <w:jc w:val="left"/>
    </w:pPr>
  </w:style>
  <w:style w:type="paragraph" w:styleId="16">
    <w:name w:val="Body Text 3"/>
    <w:basedOn w:val="1"/>
    <w:autoRedefine/>
    <w:qFormat/>
    <w:uiPriority w:val="0"/>
    <w:rPr>
      <w:sz w:val="16"/>
      <w:szCs w:val="16"/>
    </w:rPr>
  </w:style>
  <w:style w:type="paragraph" w:styleId="17">
    <w:name w:val="List 2"/>
    <w:basedOn w:val="1"/>
    <w:autoRedefine/>
    <w:qFormat/>
    <w:uiPriority w:val="0"/>
    <w:pPr>
      <w:ind w:left="100" w:leftChars="200" w:hanging="200" w:hangingChars="200"/>
    </w:pPr>
  </w:style>
  <w:style w:type="paragraph" w:styleId="18">
    <w:name w:val="Block Text"/>
    <w:basedOn w:val="1"/>
    <w:autoRedefine/>
    <w:unhideWhenUsed/>
    <w:qFormat/>
    <w:uiPriority w:val="99"/>
    <w:pPr>
      <w:snapToGrid w:val="0"/>
      <w:spacing w:before="100" w:after="100"/>
      <w:ind w:left="-22" w:leftChars="-8" w:right="-40" w:firstLine="548" w:firstLineChars="196"/>
    </w:pPr>
    <w:rPr>
      <w:rFonts w:ascii="宋体" w:hAnsi="宋体"/>
      <w:sz w:val="28"/>
    </w:rPr>
  </w:style>
  <w:style w:type="paragraph" w:styleId="19">
    <w:name w:val="toc 3"/>
    <w:basedOn w:val="1"/>
    <w:next w:val="1"/>
    <w:autoRedefine/>
    <w:qFormat/>
    <w:uiPriority w:val="0"/>
    <w:pPr>
      <w:tabs>
        <w:tab w:val="left" w:pos="709"/>
        <w:tab w:val="right" w:leader="dot" w:pos="8789"/>
      </w:tabs>
      <w:spacing w:line="400" w:lineRule="atLeast"/>
    </w:pPr>
    <w:rPr>
      <w:rFonts w:ascii="宋体"/>
      <w:kern w:val="0"/>
      <w:szCs w:val="20"/>
    </w:rPr>
  </w:style>
  <w:style w:type="paragraph" w:styleId="20">
    <w:name w:val="Plain Text"/>
    <w:basedOn w:val="1"/>
    <w:autoRedefine/>
    <w:qFormat/>
    <w:uiPriority w:val="0"/>
    <w:pPr>
      <w:widowControl/>
      <w:spacing w:beforeAutospacing="1" w:afterAutospacing="1"/>
      <w:jc w:val="left"/>
    </w:pPr>
    <w:rPr>
      <w:rFonts w:ascii="宋体" w:hAnsi="宋体" w:cs="宋体"/>
      <w:kern w:val="0"/>
      <w:sz w:val="24"/>
    </w:rPr>
  </w:style>
  <w:style w:type="paragraph" w:styleId="21">
    <w:name w:val="Date"/>
    <w:basedOn w:val="1"/>
    <w:next w:val="1"/>
    <w:autoRedefine/>
    <w:qFormat/>
    <w:uiPriority w:val="0"/>
    <w:pPr>
      <w:ind w:left="100" w:leftChars="2500"/>
    </w:pPr>
    <w:rPr>
      <w:rFonts w:ascii="宋体" w:hAnsi="宋体"/>
      <w:sz w:val="28"/>
    </w:rPr>
  </w:style>
  <w:style w:type="paragraph" w:styleId="22">
    <w:name w:val="Body Text Indent 2"/>
    <w:basedOn w:val="1"/>
    <w:autoRedefine/>
    <w:qFormat/>
    <w:uiPriority w:val="0"/>
    <w:pPr>
      <w:spacing w:line="480" w:lineRule="auto"/>
      <w:ind w:left="420" w:leftChars="200"/>
    </w:pPr>
  </w:style>
  <w:style w:type="paragraph" w:styleId="23">
    <w:name w:val="footer"/>
    <w:basedOn w:val="1"/>
    <w:autoRedefine/>
    <w:qFormat/>
    <w:uiPriority w:val="0"/>
    <w:pPr>
      <w:tabs>
        <w:tab w:val="center" w:pos="4153"/>
        <w:tab w:val="right" w:pos="8306"/>
      </w:tabs>
      <w:snapToGrid w:val="0"/>
      <w:jc w:val="left"/>
    </w:pPr>
    <w:rPr>
      <w:sz w:val="18"/>
      <w:szCs w:val="18"/>
    </w:rPr>
  </w:style>
  <w:style w:type="paragraph" w:styleId="24">
    <w:name w:val="envelope return"/>
    <w:basedOn w:val="1"/>
    <w:autoRedefine/>
    <w:unhideWhenUsed/>
    <w:qFormat/>
    <w:uiPriority w:val="99"/>
    <w:pPr>
      <w:snapToGrid w:val="0"/>
    </w:pPr>
    <w:rPr>
      <w:rFonts w:ascii="Arial" w:hAnsi="Arial"/>
    </w:rPr>
  </w:style>
  <w:style w:type="paragraph" w:styleId="25">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autoRedefine/>
    <w:qFormat/>
    <w:uiPriority w:val="0"/>
  </w:style>
  <w:style w:type="paragraph" w:styleId="27">
    <w:name w:val="List"/>
    <w:basedOn w:val="1"/>
    <w:autoRedefine/>
    <w:qFormat/>
    <w:uiPriority w:val="0"/>
    <w:pPr>
      <w:ind w:left="200" w:hanging="200" w:hangingChars="200"/>
    </w:pPr>
  </w:style>
  <w:style w:type="paragraph" w:styleId="28">
    <w:name w:val="Body Text 2"/>
    <w:basedOn w:val="1"/>
    <w:next w:val="4"/>
    <w:autoRedefine/>
    <w:qFormat/>
    <w:uiPriority w:val="0"/>
    <w:pPr>
      <w:spacing w:line="480" w:lineRule="auto"/>
    </w:pPr>
  </w:style>
  <w:style w:type="paragraph" w:styleId="29">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rPr>
  </w:style>
  <w:style w:type="paragraph" w:styleId="30">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31">
    <w:name w:val="Normal (Web)"/>
    <w:basedOn w:val="1"/>
    <w:autoRedefine/>
    <w:qFormat/>
    <w:uiPriority w:val="99"/>
    <w:pPr>
      <w:spacing w:before="100" w:beforeAutospacing="1" w:after="100" w:afterAutospacing="1"/>
      <w:jc w:val="left"/>
    </w:pPr>
    <w:rPr>
      <w:kern w:val="0"/>
      <w:sz w:val="24"/>
    </w:rPr>
  </w:style>
  <w:style w:type="paragraph" w:styleId="32">
    <w:name w:val="Title"/>
    <w:basedOn w:val="1"/>
    <w:autoRedefine/>
    <w:qFormat/>
    <w:uiPriority w:val="0"/>
    <w:pPr>
      <w:jc w:val="center"/>
      <w:outlineLvl w:val="0"/>
    </w:pPr>
    <w:rPr>
      <w:rFonts w:ascii="Arial" w:hAnsi="Arial" w:cs="Arial"/>
      <w:b/>
      <w:bCs/>
      <w:sz w:val="32"/>
      <w:szCs w:val="32"/>
    </w:rPr>
  </w:style>
  <w:style w:type="paragraph" w:styleId="33">
    <w:name w:val="Body Text First Indent"/>
    <w:basedOn w:val="4"/>
    <w:next w:val="7"/>
    <w:autoRedefine/>
    <w:qFormat/>
    <w:uiPriority w:val="0"/>
    <w:pPr>
      <w:spacing w:line="360" w:lineRule="auto"/>
      <w:ind w:firstLine="420" w:firstLineChars="100"/>
    </w:pPr>
    <w:rPr>
      <w:szCs w:val="21"/>
    </w:rPr>
  </w:style>
  <w:style w:type="table" w:styleId="35">
    <w:name w:val="Table Grid"/>
    <w:basedOn w:val="34"/>
    <w:autoRedefine/>
    <w:unhideWhenUsed/>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7">
    <w:name w:val="Strong"/>
    <w:autoRedefine/>
    <w:qFormat/>
    <w:uiPriority w:val="0"/>
    <w:rPr>
      <w:b/>
      <w:bCs/>
      <w:szCs w:val="24"/>
    </w:rPr>
  </w:style>
  <w:style w:type="character" w:styleId="38">
    <w:name w:val="page number"/>
    <w:basedOn w:val="36"/>
    <w:autoRedefine/>
    <w:qFormat/>
    <w:uiPriority w:val="0"/>
  </w:style>
  <w:style w:type="character" w:styleId="39">
    <w:name w:val="FollowedHyperlink"/>
    <w:autoRedefine/>
    <w:qFormat/>
    <w:uiPriority w:val="0"/>
    <w:rPr>
      <w:color w:val="333333"/>
      <w:szCs w:val="24"/>
      <w:u w:val="none"/>
    </w:rPr>
  </w:style>
  <w:style w:type="character" w:styleId="40">
    <w:name w:val="Emphasis"/>
    <w:basedOn w:val="36"/>
    <w:autoRedefine/>
    <w:qFormat/>
    <w:uiPriority w:val="0"/>
  </w:style>
  <w:style w:type="character" w:styleId="41">
    <w:name w:val="HTML Definition"/>
    <w:basedOn w:val="36"/>
    <w:autoRedefine/>
    <w:qFormat/>
    <w:uiPriority w:val="0"/>
  </w:style>
  <w:style w:type="character" w:styleId="42">
    <w:name w:val="HTML Typewriter"/>
    <w:basedOn w:val="36"/>
    <w:autoRedefine/>
    <w:qFormat/>
    <w:uiPriority w:val="0"/>
    <w:rPr>
      <w:rFonts w:hint="default" w:ascii="monospace" w:hAnsi="monospace" w:eastAsia="monospace" w:cs="monospace"/>
      <w:sz w:val="20"/>
    </w:rPr>
  </w:style>
  <w:style w:type="character" w:styleId="43">
    <w:name w:val="HTML Acronym"/>
    <w:basedOn w:val="36"/>
    <w:autoRedefine/>
    <w:qFormat/>
    <w:uiPriority w:val="0"/>
  </w:style>
  <w:style w:type="character" w:styleId="44">
    <w:name w:val="HTML Variable"/>
    <w:basedOn w:val="36"/>
    <w:autoRedefine/>
    <w:qFormat/>
    <w:uiPriority w:val="0"/>
  </w:style>
  <w:style w:type="character" w:styleId="45">
    <w:name w:val="Hyperlink"/>
    <w:basedOn w:val="36"/>
    <w:autoRedefine/>
    <w:qFormat/>
    <w:uiPriority w:val="0"/>
    <w:rPr>
      <w:color w:val="333333"/>
      <w:szCs w:val="24"/>
      <w:u w:val="none"/>
    </w:rPr>
  </w:style>
  <w:style w:type="character" w:styleId="46">
    <w:name w:val="HTML Code"/>
    <w:basedOn w:val="36"/>
    <w:autoRedefine/>
    <w:qFormat/>
    <w:uiPriority w:val="0"/>
    <w:rPr>
      <w:rFonts w:ascii="monospace" w:hAnsi="monospace" w:eastAsia="monospace" w:cs="monospace"/>
      <w:sz w:val="20"/>
    </w:rPr>
  </w:style>
  <w:style w:type="character" w:styleId="47">
    <w:name w:val="HTML Cite"/>
    <w:basedOn w:val="36"/>
    <w:autoRedefine/>
    <w:qFormat/>
    <w:uiPriority w:val="0"/>
  </w:style>
  <w:style w:type="character" w:styleId="48">
    <w:name w:val="HTML Keyboard"/>
    <w:basedOn w:val="36"/>
    <w:autoRedefine/>
    <w:qFormat/>
    <w:uiPriority w:val="0"/>
    <w:rPr>
      <w:rFonts w:hint="default" w:ascii="monospace" w:hAnsi="monospace" w:eastAsia="monospace" w:cs="monospace"/>
      <w:sz w:val="20"/>
    </w:rPr>
  </w:style>
  <w:style w:type="character" w:styleId="49">
    <w:name w:val="HTML Sample"/>
    <w:basedOn w:val="36"/>
    <w:autoRedefine/>
    <w:qFormat/>
    <w:uiPriority w:val="0"/>
    <w:rPr>
      <w:rFonts w:hint="default" w:ascii="monospace" w:hAnsi="monospace" w:eastAsia="monospace" w:cs="monospace"/>
    </w:rPr>
  </w:style>
  <w:style w:type="paragraph" w:customStyle="1" w:styleId="50">
    <w:name w:val="正文文本缩进 21"/>
    <w:basedOn w:val="1"/>
    <w:autoRedefine/>
    <w:qFormat/>
    <w:uiPriority w:val="0"/>
    <w:pPr>
      <w:ind w:firstLine="570"/>
    </w:pPr>
    <w:rPr>
      <w:sz w:val="32"/>
    </w:rPr>
  </w:style>
  <w:style w:type="paragraph" w:customStyle="1" w:styleId="51">
    <w:name w:val="目录 51"/>
    <w:next w:val="1"/>
    <w:autoRedefine/>
    <w:qFormat/>
    <w:uiPriority w:val="0"/>
    <w:pPr>
      <w:wordWrap w:val="0"/>
      <w:ind w:left="1700"/>
      <w:jc w:val="both"/>
    </w:pPr>
    <w:rPr>
      <w:rFonts w:ascii="Calibri" w:hAnsi="Calibri" w:eastAsia="Calibri" w:cs="Times New Roman"/>
      <w:sz w:val="21"/>
      <w:lang w:val="en-US" w:eastAsia="zh-CN" w:bidi="ar-SA"/>
    </w:rPr>
  </w:style>
  <w:style w:type="paragraph" w:customStyle="1" w:styleId="52">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paragraph" w:customStyle="1" w:styleId="53">
    <w:name w:val="No Spacing1"/>
    <w:basedOn w:val="1"/>
    <w:autoRedefine/>
    <w:qFormat/>
    <w:uiPriority w:val="0"/>
    <w:pPr>
      <w:spacing w:line="400" w:lineRule="exact"/>
    </w:pPr>
    <w:rPr>
      <w:sz w:val="24"/>
    </w:rPr>
  </w:style>
  <w:style w:type="paragraph" w:customStyle="1" w:styleId="54">
    <w:name w:val="样式 首行缩进:  2 字符"/>
    <w:basedOn w:val="1"/>
    <w:autoRedefine/>
    <w:qFormat/>
    <w:uiPriority w:val="0"/>
    <w:pPr>
      <w:spacing w:line="360" w:lineRule="auto"/>
      <w:ind w:firstLine="480" w:firstLineChars="200"/>
      <w:jc w:val="left"/>
    </w:pPr>
    <w:rPr>
      <w:rFonts w:ascii="宋体" w:hAnsi="宋体" w:cs="宋体"/>
      <w:color w:val="000000"/>
      <w:sz w:val="24"/>
      <w:szCs w:val="20"/>
    </w:rPr>
  </w:style>
  <w:style w:type="paragraph" w:customStyle="1" w:styleId="55">
    <w:name w:val="Char"/>
    <w:basedOn w:val="1"/>
    <w:autoRedefine/>
    <w:qFormat/>
    <w:uiPriority w:val="0"/>
  </w:style>
  <w:style w:type="paragraph" w:customStyle="1" w:styleId="56">
    <w:name w:val="正文缩进1"/>
    <w:basedOn w:val="1"/>
    <w:autoRedefine/>
    <w:qFormat/>
    <w:uiPriority w:val="0"/>
    <w:pPr>
      <w:widowControl/>
      <w:ind w:firstLine="420"/>
      <w:jc w:val="left"/>
    </w:pPr>
    <w:rPr>
      <w:kern w:val="0"/>
      <w:szCs w:val="20"/>
    </w:rPr>
  </w:style>
  <w:style w:type="paragraph" w:customStyle="1" w:styleId="57">
    <w:name w:val="列出段落2"/>
    <w:basedOn w:val="1"/>
    <w:autoRedefine/>
    <w:qFormat/>
    <w:uiPriority w:val="34"/>
    <w:pPr>
      <w:ind w:firstLine="420" w:firstLineChars="200"/>
    </w:pPr>
  </w:style>
  <w:style w:type="paragraph" w:customStyle="1" w:styleId="58">
    <w:name w:val="plaintext"/>
    <w:basedOn w:val="1"/>
    <w:autoRedefine/>
    <w:qFormat/>
    <w:uiPriority w:val="0"/>
    <w:pPr>
      <w:widowControl/>
      <w:spacing w:beforeAutospacing="1" w:afterAutospacing="1"/>
      <w:jc w:val="left"/>
    </w:pPr>
    <w:rPr>
      <w:rFonts w:ascii="宋体" w:hAnsi="宋体" w:cs="宋体"/>
      <w:kern w:val="0"/>
      <w:sz w:val="24"/>
    </w:rPr>
  </w:style>
  <w:style w:type="paragraph" w:customStyle="1" w:styleId="59">
    <w:name w:val="1"/>
    <w:basedOn w:val="1"/>
    <w:autoRedefine/>
    <w:qFormat/>
    <w:uiPriority w:val="0"/>
    <w:pPr>
      <w:widowControl/>
      <w:spacing w:beforeAutospacing="1" w:afterAutospacing="1"/>
      <w:jc w:val="left"/>
    </w:pPr>
    <w:rPr>
      <w:rFonts w:ascii="宋体" w:hAnsi="宋体" w:cs="宋体"/>
      <w:kern w:val="0"/>
      <w:sz w:val="24"/>
    </w:rPr>
  </w:style>
  <w:style w:type="paragraph" w:styleId="60">
    <w:name w:val="No Spacing"/>
    <w:autoRedefine/>
    <w:qFormat/>
    <w:uiPriority w:val="1"/>
    <w:rPr>
      <w:rFonts w:ascii="Calibri" w:hAnsi="Calibri" w:eastAsia="宋体" w:cs="Times New Roman"/>
      <w:sz w:val="22"/>
      <w:szCs w:val="22"/>
      <w:lang w:val="en-US" w:eastAsia="zh-CN" w:bidi="ar-SA"/>
    </w:rPr>
  </w:style>
  <w:style w:type="paragraph" w:customStyle="1" w:styleId="61">
    <w:name w:val="_Style 2"/>
    <w:basedOn w:val="1"/>
    <w:autoRedefine/>
    <w:qFormat/>
    <w:uiPriority w:val="34"/>
    <w:pPr>
      <w:ind w:firstLine="420" w:firstLineChars="200"/>
    </w:pPr>
    <w:rPr>
      <w:rFonts w:ascii="Calibri" w:hAnsi="Calibri"/>
    </w:rPr>
  </w:style>
  <w:style w:type="paragraph" w:customStyle="1" w:styleId="62">
    <w:name w:val="paracharcharcharcharcharcharcharcharchar1charcharcharchar"/>
    <w:basedOn w:val="1"/>
    <w:autoRedefine/>
    <w:qFormat/>
    <w:uiPriority w:val="0"/>
    <w:pPr>
      <w:widowControl/>
      <w:spacing w:beforeAutospacing="1" w:afterAutospacing="1"/>
      <w:jc w:val="left"/>
    </w:pPr>
    <w:rPr>
      <w:rFonts w:ascii="宋体" w:hAnsi="宋体" w:cs="宋体"/>
      <w:kern w:val="0"/>
      <w:sz w:val="24"/>
    </w:rPr>
  </w:style>
  <w:style w:type="paragraph" w:customStyle="1" w:styleId="63">
    <w:name w:val="样式2"/>
    <w:basedOn w:val="1"/>
    <w:next w:val="1"/>
    <w:autoRedefine/>
    <w:qFormat/>
    <w:uiPriority w:val="0"/>
    <w:pPr>
      <w:spacing w:line="360" w:lineRule="exact"/>
      <w:ind w:left="-107" w:leftChars="-51" w:right="-108" w:firstLine="98" w:firstLineChars="41"/>
      <w:jc w:val="left"/>
    </w:pPr>
    <w:rPr>
      <w:rFonts w:ascii="宋体" w:hAnsi="宋体"/>
    </w:rPr>
  </w:style>
  <w:style w:type="paragraph" w:customStyle="1" w:styleId="64">
    <w:name w:val="Char1"/>
    <w:basedOn w:val="1"/>
    <w:autoRedefine/>
    <w:qFormat/>
    <w:uiPriority w:val="0"/>
  </w:style>
  <w:style w:type="paragraph" w:customStyle="1" w:styleId="65">
    <w:name w:val="p16"/>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6">
    <w:name w:val="Table Paragraph"/>
    <w:basedOn w:val="1"/>
    <w:autoRedefine/>
    <w:qFormat/>
    <w:uiPriority w:val="1"/>
    <w:pPr>
      <w:jc w:val="left"/>
    </w:pPr>
    <w:rPr>
      <w:rFonts w:ascii="宋体" w:hAnsi="宋体" w:cs="宋体"/>
      <w:kern w:val="0"/>
      <w:sz w:val="22"/>
      <w:szCs w:val="22"/>
      <w:lang w:eastAsia="en-US"/>
    </w:rPr>
  </w:style>
  <w:style w:type="paragraph" w:customStyle="1" w:styleId="67">
    <w:name w:val="无间隔1"/>
    <w:basedOn w:val="1"/>
    <w:autoRedefine/>
    <w:qFormat/>
    <w:uiPriority w:val="1"/>
    <w:pPr>
      <w:spacing w:line="400" w:lineRule="exact"/>
    </w:pPr>
    <w:rPr>
      <w:sz w:val="24"/>
    </w:rPr>
  </w:style>
  <w:style w:type="paragraph" w:customStyle="1" w:styleId="68">
    <w:name w:val="正文格式"/>
    <w:autoRedefine/>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69">
    <w:name w:val="3"/>
    <w:basedOn w:val="1"/>
    <w:autoRedefine/>
    <w:qFormat/>
    <w:uiPriority w:val="0"/>
    <w:pPr>
      <w:widowControl/>
      <w:spacing w:beforeAutospacing="1" w:afterAutospacing="1"/>
      <w:jc w:val="left"/>
    </w:pPr>
    <w:rPr>
      <w:rFonts w:ascii="宋体" w:hAnsi="宋体" w:cs="宋体"/>
      <w:kern w:val="0"/>
      <w:sz w:val="24"/>
    </w:rPr>
  </w:style>
  <w:style w:type="paragraph" w:customStyle="1" w:styleId="70">
    <w:name w:val="列出段落1"/>
    <w:basedOn w:val="1"/>
    <w:autoRedefine/>
    <w:qFormat/>
    <w:uiPriority w:val="34"/>
    <w:pPr>
      <w:ind w:firstLine="420" w:firstLineChars="200"/>
    </w:pPr>
  </w:style>
  <w:style w:type="paragraph" w:customStyle="1" w:styleId="71">
    <w:name w:val="列出段落111"/>
    <w:autoRedefine/>
    <w:qFormat/>
    <w:uiPriority w:val="34"/>
    <w:pPr>
      <w:ind w:firstLine="420" w:firstLineChars="200"/>
    </w:pPr>
    <w:rPr>
      <w:rFonts w:ascii="Times New Roman" w:hAnsi="Times New Roman" w:eastAsia="宋体" w:cs="Times New Roman"/>
      <w:lang w:val="en-US" w:eastAsia="zh-CN" w:bidi="ar-SA"/>
    </w:rPr>
  </w:style>
  <w:style w:type="paragraph" w:customStyle="1" w:styleId="72">
    <w:name w:val="a0"/>
    <w:basedOn w:val="1"/>
    <w:autoRedefine/>
    <w:qFormat/>
    <w:uiPriority w:val="0"/>
    <w:pPr>
      <w:widowControl/>
      <w:spacing w:beforeAutospacing="1" w:afterAutospacing="1"/>
      <w:jc w:val="left"/>
    </w:pPr>
    <w:rPr>
      <w:rFonts w:ascii="宋体" w:hAnsi="宋体" w:cs="宋体"/>
      <w:kern w:val="0"/>
      <w:sz w:val="24"/>
    </w:rPr>
  </w:style>
  <w:style w:type="paragraph" w:customStyle="1" w:styleId="73">
    <w:name w:val="default"/>
    <w:basedOn w:val="1"/>
    <w:autoRedefine/>
    <w:qFormat/>
    <w:uiPriority w:val="0"/>
    <w:pPr>
      <w:widowControl/>
      <w:spacing w:beforeAutospacing="1" w:afterAutospacing="1"/>
      <w:jc w:val="left"/>
    </w:pPr>
    <w:rPr>
      <w:rFonts w:ascii="宋体" w:hAnsi="宋体" w:cs="宋体"/>
      <w:kern w:val="0"/>
      <w:sz w:val="24"/>
    </w:rPr>
  </w:style>
  <w:style w:type="paragraph" w:customStyle="1" w:styleId="74">
    <w:name w:val="列出段落11"/>
    <w:basedOn w:val="1"/>
    <w:autoRedefine/>
    <w:qFormat/>
    <w:uiPriority w:val="0"/>
    <w:pPr>
      <w:ind w:firstLine="420" w:firstLineChars="200"/>
    </w:pPr>
    <w:rPr>
      <w:rFonts w:ascii="Calibri" w:hAnsi="Calibri"/>
      <w:szCs w:val="22"/>
    </w:rPr>
  </w:style>
  <w:style w:type="character" w:customStyle="1" w:styleId="75">
    <w:name w:val="正文文本 Char"/>
    <w:basedOn w:val="36"/>
    <w:link w:val="4"/>
    <w:autoRedefine/>
    <w:qFormat/>
    <w:uiPriority w:val="0"/>
  </w:style>
  <w:style w:type="character" w:customStyle="1" w:styleId="76">
    <w:name w:val="apple-converted-space"/>
    <w:basedOn w:val="36"/>
    <w:autoRedefine/>
    <w:qFormat/>
    <w:uiPriority w:val="0"/>
  </w:style>
  <w:style w:type="character" w:customStyle="1" w:styleId="77">
    <w:name w:val="文档结构图 Char"/>
    <w:link w:val="14"/>
    <w:autoRedefine/>
    <w:qFormat/>
    <w:uiPriority w:val="0"/>
    <w:rPr>
      <w:rFonts w:ascii="宋体"/>
      <w:kern w:val="2"/>
      <w:sz w:val="18"/>
      <w:szCs w:val="18"/>
    </w:rPr>
  </w:style>
  <w:style w:type="character" w:customStyle="1" w:styleId="78">
    <w:name w:val="不明显强调1"/>
    <w:autoRedefine/>
    <w:qFormat/>
    <w:uiPriority w:val="19"/>
    <w:rPr>
      <w:i/>
      <w:iCs/>
      <w:color w:val="7F7F7F"/>
      <w:szCs w:val="24"/>
    </w:rPr>
  </w:style>
  <w:style w:type="character" w:customStyle="1" w:styleId="79">
    <w:name w:val="font71"/>
    <w:basedOn w:val="36"/>
    <w:autoRedefine/>
    <w:qFormat/>
    <w:uiPriority w:val="0"/>
    <w:rPr>
      <w:rFonts w:hint="eastAsia" w:ascii="宋体" w:hAnsi="宋体" w:eastAsia="宋体" w:cs="宋体"/>
      <w:color w:val="000000"/>
      <w:sz w:val="28"/>
      <w:szCs w:val="28"/>
      <w:u w:val="none"/>
    </w:rPr>
  </w:style>
  <w:style w:type="character" w:customStyle="1" w:styleId="80">
    <w:name w:val="font21"/>
    <w:autoRedefine/>
    <w:qFormat/>
    <w:uiPriority w:val="0"/>
    <w:rPr>
      <w:rFonts w:hint="default" w:ascii="Calibri" w:hAnsi="Calibri" w:cs="Calibri"/>
      <w:color w:val="000000"/>
      <w:sz w:val="28"/>
      <w:szCs w:val="28"/>
      <w:u w:val="none"/>
    </w:rPr>
  </w:style>
  <w:style w:type="character" w:customStyle="1" w:styleId="81">
    <w:name w:val="17"/>
    <w:autoRedefine/>
    <w:qFormat/>
    <w:uiPriority w:val="0"/>
    <w:rPr>
      <w:rFonts w:hint="eastAsia" w:ascii="宋体" w:hAnsi="宋体" w:eastAsia="宋体"/>
      <w:color w:val="000000"/>
    </w:rPr>
  </w:style>
  <w:style w:type="character" w:customStyle="1" w:styleId="82">
    <w:name w:val="font91"/>
    <w:autoRedefine/>
    <w:qFormat/>
    <w:uiPriority w:val="0"/>
    <w:rPr>
      <w:rFonts w:hint="eastAsia" w:ascii="宋体" w:hAnsi="宋体" w:eastAsia="宋体" w:cs="宋体"/>
      <w:color w:val="FF0000"/>
      <w:sz w:val="28"/>
      <w:szCs w:val="28"/>
      <w:u w:val="none"/>
    </w:rPr>
  </w:style>
  <w:style w:type="paragraph" w:customStyle="1" w:styleId="83">
    <w:name w:val="p"/>
    <w:basedOn w:val="1"/>
    <w:autoRedefine/>
    <w:qFormat/>
    <w:uiPriority w:val="0"/>
    <w:pPr>
      <w:widowControl/>
      <w:spacing w:line="432" w:lineRule="auto"/>
      <w:jc w:val="left"/>
    </w:pPr>
    <w:rPr>
      <w:rFonts w:ascii="宋体" w:hAnsi="宋体" w:cs="宋体"/>
      <w:kern w:val="0"/>
      <w:sz w:val="24"/>
    </w:rPr>
  </w:style>
  <w:style w:type="paragraph" w:customStyle="1" w:styleId="84">
    <w:name w:val="WPSOffice手动目录 1"/>
    <w:autoRedefine/>
    <w:qFormat/>
    <w:uiPriority w:val="0"/>
    <w:rPr>
      <w:rFonts w:ascii="Times New Roman" w:hAnsi="Times New Roman" w:eastAsia="宋体" w:cs="Times New Roman"/>
      <w:lang w:val="en-US" w:eastAsia="zh-CN" w:bidi="ar-SA"/>
    </w:rPr>
  </w:style>
  <w:style w:type="paragraph" w:customStyle="1" w:styleId="85">
    <w:name w:val="*正文_1"/>
    <w:basedOn w:val="1"/>
    <w:next w:val="1"/>
    <w:autoRedefine/>
    <w:qFormat/>
    <w:uiPriority w:val="0"/>
    <w:pPr>
      <w:widowControl/>
      <w:ind w:firstLine="482"/>
    </w:pPr>
    <w:rPr>
      <w:rFonts w:ascii="微软雅黑" w:hAnsi="微软雅黑" w:eastAsia="微软雅黑"/>
      <w:kern w:val="0"/>
      <w:szCs w:val="20"/>
    </w:rPr>
  </w:style>
  <w:style w:type="paragraph" w:customStyle="1" w:styleId="86">
    <w:name w:val="表格文字"/>
    <w:basedOn w:val="1"/>
    <w:next w:val="4"/>
    <w:autoRedefine/>
    <w:qFormat/>
    <w:uiPriority w:val="0"/>
    <w:pPr>
      <w:adjustRightInd w:val="0"/>
      <w:spacing w:line="420" w:lineRule="atLeast"/>
      <w:jc w:val="left"/>
      <w:textAlignment w:val="baseline"/>
    </w:pPr>
    <w:rPr>
      <w:kern w:val="0"/>
      <w:szCs w:val="20"/>
    </w:rPr>
  </w:style>
  <w:style w:type="character" w:customStyle="1" w:styleId="87">
    <w:name w:val="NormalCharacter"/>
    <w:autoRedefine/>
    <w:semiHidden/>
    <w:qFormat/>
    <w:uiPriority w:val="0"/>
    <w:rPr>
      <w:rFonts w:ascii="Times New Roman" w:hAnsi="Times New Roman" w:eastAsia="宋体" w:cs="Times New Roman"/>
      <w:kern w:val="2"/>
      <w:sz w:val="21"/>
      <w:szCs w:val="24"/>
      <w:lang w:val="en-US" w:eastAsia="zh-CN" w:bidi="ar-SA"/>
    </w:rPr>
  </w:style>
  <w:style w:type="paragraph" w:customStyle="1" w:styleId="88">
    <w:name w:val="列表段落1"/>
    <w:basedOn w:val="1"/>
    <w:autoRedefine/>
    <w:qFormat/>
    <w:uiPriority w:val="34"/>
    <w:pPr>
      <w:widowControl/>
      <w:ind w:firstLine="420"/>
      <w:jc w:val="left"/>
    </w:pPr>
    <w:rPr>
      <w:kern w:val="0"/>
    </w:rPr>
  </w:style>
  <w:style w:type="paragraph" w:styleId="89">
    <w:name w:val="List Paragraph"/>
    <w:basedOn w:val="1"/>
    <w:autoRedefine/>
    <w:qFormat/>
    <w:uiPriority w:val="34"/>
    <w:pPr>
      <w:ind w:firstLine="420" w:firstLineChars="200"/>
    </w:pPr>
  </w:style>
  <w:style w:type="character" w:customStyle="1" w:styleId="90">
    <w:name w:val="hover18"/>
    <w:basedOn w:val="36"/>
    <w:autoRedefine/>
    <w:qFormat/>
    <w:uiPriority w:val="0"/>
  </w:style>
  <w:style w:type="table" w:customStyle="1" w:styleId="91">
    <w:name w:val="Table Normal"/>
    <w:autoRedefine/>
    <w:qFormat/>
    <w:uiPriority w:val="0"/>
    <w:tblPr>
      <w:tblCellMar>
        <w:top w:w="0" w:type="dxa"/>
        <w:left w:w="0" w:type="dxa"/>
        <w:bottom w:w="0" w:type="dxa"/>
        <w:right w:w="0" w:type="dxa"/>
      </w:tblCellMar>
    </w:tblPr>
  </w:style>
  <w:style w:type="paragraph" w:customStyle="1" w:styleId="92">
    <w:name w:val="Table Text"/>
    <w:basedOn w:val="1"/>
    <w:autoRedefine/>
    <w:semiHidden/>
    <w:qFormat/>
    <w:uiPriority w:val="0"/>
    <w:rPr>
      <w:rFonts w:ascii="宋体" w:hAnsi="宋体" w:cs="宋体"/>
      <w:sz w:val="45"/>
      <w:szCs w:val="45"/>
      <w:lang w:eastAsia="en-US"/>
    </w:rPr>
  </w:style>
  <w:style w:type="character" w:customStyle="1" w:styleId="93">
    <w:name w:val="font11"/>
    <w:basedOn w:val="36"/>
    <w:autoRedefine/>
    <w:qFormat/>
    <w:uiPriority w:val="0"/>
    <w:rPr>
      <w:rFonts w:ascii="Calibri" w:hAnsi="Calibri" w:cs="Calibri"/>
      <w:color w:val="000000"/>
      <w:sz w:val="24"/>
      <w:szCs w:val="24"/>
      <w:u w:val="none"/>
    </w:rPr>
  </w:style>
  <w:style w:type="paragraph" w:customStyle="1" w:styleId="94">
    <w:name w:val="正文1"/>
    <w:next w:val="1"/>
    <w:autoRedefine/>
    <w:qFormat/>
    <w:uiPriority w:val="0"/>
    <w:pPr>
      <w:widowControl w:val="0"/>
      <w:spacing w:line="360" w:lineRule="auto"/>
      <w:jc w:val="both"/>
    </w:pPr>
    <w:rPr>
      <w:rFonts w:ascii="Calibri" w:hAnsi="Calibri" w:eastAsia="宋体" w:cs="Times New Roman"/>
      <w:sz w:val="24"/>
      <w:szCs w:val="22"/>
      <w:lang w:val="en-US" w:eastAsia="zh-CN" w:bidi="ar-SA"/>
    </w:rPr>
  </w:style>
  <w:style w:type="character" w:customStyle="1" w:styleId="95">
    <w:name w:val="font61"/>
    <w:basedOn w:val="36"/>
    <w:qFormat/>
    <w:uiPriority w:val="0"/>
    <w:rPr>
      <w:rFonts w:ascii="宋体" w:hAnsi="宋体" w:eastAsia="宋体" w:cs="宋体"/>
      <w:color w:val="000000"/>
      <w:sz w:val="24"/>
      <w:szCs w:val="24"/>
      <w:u w:val="none"/>
    </w:rPr>
  </w:style>
  <w:style w:type="character" w:customStyle="1" w:styleId="96">
    <w:name w:val="font81"/>
    <w:basedOn w:val="36"/>
    <w:qFormat/>
    <w:uiPriority w:val="0"/>
    <w:rPr>
      <w:rFonts w:hint="default" w:ascii="Times New Roman" w:hAnsi="Times New Roman" w:cs="Times New Roman"/>
      <w:color w:val="000000"/>
      <w:sz w:val="18"/>
      <w:szCs w:val="18"/>
      <w:u w:val="none"/>
    </w:rPr>
  </w:style>
  <w:style w:type="paragraph" w:customStyle="1" w:styleId="97">
    <w:name w:val="正文-标准"/>
    <w:basedOn w:val="1"/>
    <w:qFormat/>
    <w:uiPriority w:val="0"/>
    <w:pPr>
      <w:autoSpaceDE w:val="0"/>
      <w:autoSpaceDN w:val="0"/>
      <w:adjustRightInd w:val="0"/>
      <w:spacing w:line="360" w:lineRule="exact"/>
      <w:jc w:val="left"/>
    </w:pPr>
    <w:rPr>
      <w:kern w:val="21"/>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Info spid="_x0000_s3073"/>
    <customShpInfo spid="_x0000_s2051"/>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27</Pages>
  <Words>10971</Words>
  <Characters>11484</Characters>
  <Lines>97</Lines>
  <Paragraphs>27</Paragraphs>
  <TotalTime>3</TotalTime>
  <ScaleCrop>false</ScaleCrop>
  <LinksUpToDate>false</LinksUpToDate>
  <CharactersWithSpaces>11954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2012-11-07T02:07:00Z</dcterms:created>
  <dc:creator>微软用户</dc:creator>
  <cp:lastModifiedBy>潘艳红</cp:lastModifiedBy>
  <cp:lastPrinted>2021-09-30T00:46:00Z</cp:lastPrinted>
  <dcterms:modified xsi:type="dcterms:W3CDTF">2026-02-28T01:17:22Z</dcterms:modified>
  <dc:title>驻马店市政府采购货物项目</dc:title>
  <cp:revision>1149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6B4FDCA957CB4E82998C2E32247B97ED_13</vt:lpwstr>
  </property>
  <property fmtid="{D5CDD505-2E9C-101B-9397-08002B2CF9AE}" pid="4" name="KSOTemplateDocerSaveRecord">
    <vt:lpwstr>eyJoZGlkIjoiMzU0MTZjMjFkMjFjOGMwYTIzNWEzZDljNjYxZWI0MmYiLCJ1c2VySWQiOiIxNjg0NTc5MjM2In0=</vt:lpwstr>
  </property>
</Properties>
</file>