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ascii="宋体" w:hAnsi="宋体" w:eastAsia="宋体" w:cs="宋体"/>
          <w:b/>
          <w:bCs/>
          <w:sz w:val="48"/>
          <w:szCs w:val="48"/>
        </w:rPr>
      </w:pPr>
      <w:bookmarkStart w:id="0" w:name="_Toc22804073"/>
      <w:bookmarkEnd w:id="0"/>
      <w:bookmarkStart w:id="1" w:name="_Toc22953395"/>
      <w:bookmarkEnd w:id="1"/>
    </w:p>
    <w:p w14:paraId="573D6CC1">
      <w:pPr>
        <w:pStyle w:val="2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驻马店市中心医院病房改造提升项目施工图设计</w:t>
      </w:r>
    </w:p>
    <w:p w14:paraId="5E42937E">
      <w:pPr>
        <w:pStyle w:val="20"/>
        <w:jc w:val="center"/>
        <w:rPr>
          <w:rStyle w:val="44"/>
          <w:rFonts w:hint="default" w:ascii="宋体" w:hAnsi="宋体" w:eastAsia="宋体" w:cs="宋体"/>
          <w:b/>
          <w:bCs/>
          <w:color w:val="auto"/>
          <w:sz w:val="48"/>
          <w:szCs w:val="48"/>
          <w:lang w:val="en-US" w:eastAsia="zh-CN"/>
        </w:rPr>
      </w:pPr>
      <w:r>
        <w:rPr>
          <w:rFonts w:hint="eastAsia" w:cs="宋体"/>
          <w:b/>
          <w:bCs/>
          <w:sz w:val="44"/>
          <w:szCs w:val="44"/>
          <w:lang w:val="en-US" w:eastAsia="zh-CN"/>
        </w:rPr>
        <w:t>项目</w:t>
      </w:r>
    </w:p>
    <w:p w14:paraId="3B211FC4">
      <w:pPr>
        <w:pStyle w:val="20"/>
        <w:jc w:val="center"/>
        <w:rPr>
          <w:rStyle w:val="44"/>
          <w:rFonts w:hint="eastAsia" w:ascii="宋体" w:hAnsi="宋体" w:eastAsia="宋体" w:cs="宋体"/>
          <w:b/>
          <w:bCs/>
          <w:color w:val="auto"/>
          <w:sz w:val="48"/>
          <w:szCs w:val="48"/>
        </w:rPr>
      </w:pPr>
    </w:p>
    <w:p w14:paraId="00CC77A0">
      <w:pPr>
        <w:pStyle w:val="20"/>
        <w:jc w:val="center"/>
        <w:rPr>
          <w:rStyle w:val="44"/>
          <w:rFonts w:hint="eastAsia" w:ascii="宋体" w:hAnsi="宋体" w:eastAsia="宋体" w:cs="宋体"/>
          <w:b/>
          <w:bCs/>
          <w:color w:val="auto"/>
          <w:sz w:val="44"/>
          <w:szCs w:val="44"/>
        </w:rPr>
      </w:pPr>
      <w:r>
        <w:rPr>
          <w:rStyle w:val="44"/>
          <w:rFonts w:hint="eastAsia" w:ascii="宋体" w:hAnsi="宋体" w:eastAsia="宋体" w:cs="宋体"/>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eastAsia="宋体" w:cs="宋体"/>
          <w:b/>
          <w:bCs/>
          <w:spacing w:val="-10"/>
          <w:sz w:val="34"/>
          <w:szCs w:val="34"/>
        </w:rPr>
      </w:pPr>
    </w:p>
    <w:p w14:paraId="46F0A8F6">
      <w:pPr>
        <w:pStyle w:val="6"/>
        <w:rPr>
          <w:rFonts w:hint="eastAsia" w:ascii="宋体" w:hAnsi="宋体" w:eastAsia="宋体" w:cs="宋体"/>
          <w:spacing w:val="-10"/>
          <w:sz w:val="34"/>
          <w:szCs w:val="34"/>
        </w:rPr>
      </w:pPr>
    </w:p>
    <w:p w14:paraId="198ECF52">
      <w:pPr>
        <w:rPr>
          <w:rFonts w:hint="eastAsia" w:ascii="宋体" w:hAnsi="宋体" w:eastAsia="宋体" w:cs="宋体"/>
          <w:b/>
          <w:bCs/>
          <w:spacing w:val="-10"/>
          <w:sz w:val="34"/>
          <w:szCs w:val="34"/>
        </w:rPr>
      </w:pPr>
    </w:p>
    <w:p w14:paraId="16B42A20">
      <w:pPr>
        <w:rPr>
          <w:rFonts w:hint="eastAsia" w:ascii="宋体" w:hAnsi="宋体" w:eastAsia="宋体" w:cs="宋体"/>
          <w:b/>
          <w:bCs/>
          <w:spacing w:val="-10"/>
          <w:sz w:val="34"/>
          <w:szCs w:val="34"/>
        </w:rPr>
      </w:pPr>
    </w:p>
    <w:p w14:paraId="18C0BCFB">
      <w:pPr>
        <w:rPr>
          <w:rFonts w:hint="eastAsia" w:ascii="宋体" w:hAnsi="宋体" w:eastAsia="宋体" w:cs="宋体"/>
          <w:b/>
          <w:bCs/>
          <w:spacing w:val="-10"/>
          <w:sz w:val="34"/>
          <w:szCs w:val="34"/>
        </w:rPr>
      </w:pPr>
    </w:p>
    <w:p w14:paraId="351EBB3B">
      <w:pPr>
        <w:rPr>
          <w:rFonts w:hint="eastAsia" w:ascii="宋体" w:hAnsi="宋体" w:eastAsia="宋体" w:cs="宋体"/>
          <w:b/>
          <w:bCs/>
          <w:spacing w:val="-10"/>
          <w:sz w:val="34"/>
          <w:szCs w:val="34"/>
        </w:rPr>
      </w:pPr>
    </w:p>
    <w:p w14:paraId="77019C4C">
      <w:pPr>
        <w:rPr>
          <w:rFonts w:hint="eastAsia" w:ascii="宋体" w:hAnsi="宋体" w:eastAsia="宋体" w:cs="宋体"/>
        </w:rPr>
      </w:pPr>
    </w:p>
    <w:p w14:paraId="13D615F5">
      <w:pPr>
        <w:snapToGrid w:val="0"/>
        <w:spacing w:line="380" w:lineRule="exact"/>
        <w:jc w:val="center"/>
        <w:rPr>
          <w:rFonts w:hint="eastAsia" w:ascii="宋体" w:hAnsi="宋体" w:eastAsia="宋体" w:cs="宋体"/>
          <w:b/>
          <w:sz w:val="32"/>
          <w:szCs w:val="32"/>
        </w:rPr>
      </w:pPr>
    </w:p>
    <w:p w14:paraId="171525B5">
      <w:pPr>
        <w:pStyle w:val="31"/>
        <w:ind w:firstLine="210"/>
        <w:rPr>
          <w:rFonts w:hint="eastAsia" w:ascii="宋体" w:hAnsi="宋体" w:eastAsia="宋体" w:cs="宋体"/>
        </w:rPr>
      </w:pPr>
    </w:p>
    <w:p w14:paraId="21545218">
      <w:pPr>
        <w:pStyle w:val="62"/>
        <w:rPr>
          <w:rFonts w:hint="eastAsia" w:ascii="宋体" w:hAnsi="宋体" w:eastAsia="宋体" w:cs="宋体"/>
          <w:bCs/>
          <w:sz w:val="2"/>
          <w:szCs w:val="2"/>
        </w:rPr>
      </w:pPr>
    </w:p>
    <w:p w14:paraId="3ADE252E">
      <w:pPr>
        <w:rPr>
          <w:rFonts w:hint="eastAsia" w:ascii="宋体" w:hAnsi="宋体" w:eastAsia="宋体" w:cs="宋体"/>
          <w:bCs/>
          <w:sz w:val="2"/>
          <w:szCs w:val="2"/>
        </w:rPr>
      </w:pPr>
    </w:p>
    <w:p w14:paraId="774533F8">
      <w:pPr>
        <w:spacing w:line="20" w:lineRule="exact"/>
        <w:rPr>
          <w:rFonts w:hint="eastAsia" w:ascii="宋体" w:hAnsi="宋体" w:eastAsia="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rPr>
      </w:pPr>
      <w:r>
        <w:rPr>
          <w:rFonts w:hint="eastAsia" w:ascii="宋体" w:hAnsi="宋体" w:eastAsia="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lang w:eastAsia="zh-CN"/>
        </w:rPr>
      </w:pPr>
      <w:r>
        <w:rPr>
          <w:rFonts w:hint="eastAsia" w:ascii="宋体" w:hAnsi="宋体" w:eastAsia="宋体" w:cs="宋体"/>
          <w:b/>
          <w:bCs/>
          <w:spacing w:val="-10"/>
          <w:sz w:val="34"/>
          <w:szCs w:val="34"/>
        </w:rPr>
        <w:t>采购代理机构：</w:t>
      </w:r>
      <w:r>
        <w:rPr>
          <w:rFonts w:hint="eastAsia" w:ascii="宋体" w:hAnsi="宋体" w:eastAsia="宋体" w:cs="宋体"/>
          <w:b/>
          <w:bCs/>
          <w:spacing w:val="-10"/>
          <w:sz w:val="34"/>
          <w:szCs w:val="34"/>
          <w:lang w:eastAsia="zh-CN"/>
        </w:rPr>
        <w:t>大成工程咨询有限公司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eastAsia="宋体" w:cs="宋体"/>
          <w:b/>
          <w:bCs/>
          <w:spacing w:val="-10"/>
          <w:sz w:val="34"/>
          <w:szCs w:val="34"/>
        </w:rPr>
      </w:pPr>
      <w:r>
        <w:rPr>
          <w:rFonts w:hint="eastAsia" w:ascii="宋体" w:hAnsi="宋体" w:eastAsia="宋体" w:cs="宋体"/>
          <w:b/>
          <w:bCs/>
          <w:spacing w:val="-10"/>
          <w:sz w:val="34"/>
          <w:szCs w:val="34"/>
        </w:rPr>
        <w:t>日        期：202</w:t>
      </w:r>
      <w:r>
        <w:rPr>
          <w:rFonts w:hint="eastAsia" w:ascii="宋体" w:hAnsi="宋体" w:eastAsia="宋体" w:cs="宋体"/>
          <w:b/>
          <w:bCs/>
          <w:spacing w:val="-10"/>
          <w:sz w:val="34"/>
          <w:szCs w:val="34"/>
          <w:lang w:val="en-US" w:eastAsia="zh-CN"/>
        </w:rPr>
        <w:t>6</w:t>
      </w:r>
      <w:r>
        <w:rPr>
          <w:rFonts w:hint="eastAsia" w:ascii="宋体" w:hAnsi="宋体" w:eastAsia="宋体" w:cs="宋体"/>
          <w:b/>
          <w:bCs/>
          <w:spacing w:val="-10"/>
          <w:sz w:val="34"/>
          <w:szCs w:val="34"/>
        </w:rPr>
        <w:t>年</w:t>
      </w:r>
      <w:r>
        <w:rPr>
          <w:rFonts w:hint="eastAsia" w:ascii="宋体" w:hAnsi="宋体" w:eastAsia="宋体" w:cs="宋体"/>
          <w:b/>
          <w:bCs/>
          <w:spacing w:val="-10"/>
          <w:sz w:val="34"/>
          <w:szCs w:val="34"/>
          <w:lang w:val="en-US" w:eastAsia="zh-CN"/>
        </w:rPr>
        <w:t>01</w:t>
      </w:r>
      <w:r>
        <w:rPr>
          <w:rFonts w:hint="eastAsia" w:ascii="宋体" w:hAnsi="宋体" w:eastAsia="宋体" w:cs="宋体"/>
          <w:b/>
          <w:bCs/>
          <w:spacing w:val="-10"/>
          <w:sz w:val="34"/>
          <w:szCs w:val="34"/>
        </w:rPr>
        <w:t>月</w:t>
      </w:r>
    </w:p>
    <w:p w14:paraId="3B69E879">
      <w:pPr>
        <w:pStyle w:val="6"/>
        <w:spacing w:before="0" w:after="0" w:line="240" w:lineRule="auto"/>
        <w:ind w:firstLine="2891" w:firstLineChars="800"/>
        <w:rPr>
          <w:rFonts w:hint="eastAsia" w:ascii="宋体" w:hAnsi="宋体" w:eastAsia="宋体" w:cs="宋体"/>
          <w:sz w:val="36"/>
          <w:szCs w:val="36"/>
        </w:rPr>
      </w:pPr>
    </w:p>
    <w:p w14:paraId="69084238">
      <w:pPr>
        <w:rPr>
          <w:rFonts w:hint="eastAsia" w:ascii="宋体" w:hAnsi="宋体" w:eastAsia="宋体" w:cs="宋体"/>
        </w:rPr>
        <w:sectPr>
          <w:pgSz w:w="11923" w:h="16838"/>
          <w:pgMar w:top="1440" w:right="1080" w:bottom="1440" w:left="1080" w:header="720" w:footer="720" w:gutter="0"/>
          <w:pgBorders>
            <w:top w:val="none" w:sz="0" w:space="0"/>
            <w:left w:val="none" w:sz="0" w:space="0"/>
            <w:bottom w:val="none" w:sz="0" w:space="0"/>
            <w:right w:val="none" w:sz="0" w:space="0"/>
          </w:pgBorders>
          <w:pgNumType w:start="1"/>
          <w:cols w:space="720" w:num="1"/>
          <w:docGrid w:type="lines" w:linePitch="312" w:charSpace="0"/>
        </w:sectPr>
      </w:pPr>
    </w:p>
    <w:p w14:paraId="7CE15D7E">
      <w:pPr>
        <w:rPr>
          <w:rFonts w:hint="eastAsia" w:ascii="宋体" w:hAnsi="宋体" w:eastAsia="宋体" w:cs="宋体"/>
          <w:bCs/>
          <w:sz w:val="24"/>
        </w:rPr>
      </w:pPr>
    </w:p>
    <w:p w14:paraId="6CCCB457">
      <w:pPr>
        <w:jc w:val="center"/>
        <w:rPr>
          <w:rFonts w:hint="eastAsia" w:ascii="宋体" w:hAnsi="宋体" w:eastAsia="宋体" w:cs="宋体"/>
          <w:b/>
          <w:bCs/>
          <w:sz w:val="36"/>
          <w:szCs w:val="36"/>
        </w:rPr>
      </w:pPr>
      <w:r>
        <w:rPr>
          <w:rFonts w:hint="eastAsia" w:ascii="宋体" w:hAnsi="宋体" w:eastAsia="宋体" w:cs="宋体"/>
          <w:b/>
          <w:bCs/>
          <w:sz w:val="36"/>
          <w:szCs w:val="36"/>
        </w:rPr>
        <w:t>目录</w:t>
      </w:r>
    </w:p>
    <w:p w14:paraId="042F5A55">
      <w:pPr>
        <w:pStyle w:val="56"/>
        <w:rPr>
          <w:rFonts w:hint="eastAsia" w:ascii="宋体" w:hAnsi="宋体" w:eastAsia="宋体" w:cs="宋体"/>
          <w:color w:val="auto"/>
        </w:rPr>
      </w:pPr>
    </w:p>
    <w:p w14:paraId="42CF4050">
      <w:pPr>
        <w:pStyle w:val="24"/>
        <w:tabs>
          <w:tab w:val="right" w:leader="dot" w:pos="8958"/>
        </w:tabs>
        <w:spacing w:line="360" w:lineRule="auto"/>
        <w:rPr>
          <w:rFonts w:hint="eastAsia" w:ascii="宋体" w:hAnsi="宋体" w:eastAsia="宋体" w:cs="宋体"/>
        </w:rPr>
      </w:pPr>
      <w:r>
        <w:rPr>
          <w:rFonts w:hint="eastAsia" w:ascii="宋体" w:hAnsi="宋体" w:eastAsia="宋体" w:cs="宋体"/>
          <w:b/>
          <w:bCs/>
          <w:sz w:val="32"/>
          <w:szCs w:val="32"/>
        </w:rPr>
        <w:fldChar w:fldCharType="begin"/>
      </w:r>
      <w:r>
        <w:rPr>
          <w:rFonts w:hint="eastAsia" w:ascii="宋体" w:hAnsi="宋体" w:eastAsia="宋体" w:cs="宋体"/>
          <w:b/>
          <w:bCs/>
          <w:sz w:val="32"/>
          <w:szCs w:val="32"/>
        </w:rPr>
        <w:instrText xml:space="preserve">TOC \o "1-1" \h \u </w:instrText>
      </w:r>
      <w:r>
        <w:rPr>
          <w:rFonts w:hint="eastAsia" w:ascii="宋体" w:hAnsi="宋体" w:eastAsia="宋体" w:cs="宋体"/>
          <w:b/>
          <w:bCs/>
          <w:sz w:val="32"/>
          <w:szCs w:val="32"/>
        </w:rPr>
        <w:fldChar w:fldCharType="separate"/>
      </w: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_Toc17372 </w:instrText>
      </w:r>
      <w:r>
        <w:rPr>
          <w:rFonts w:hint="eastAsia" w:ascii="宋体" w:hAnsi="宋体" w:eastAsia="宋体" w:cs="宋体"/>
          <w:bCs/>
          <w:szCs w:val="32"/>
        </w:rPr>
        <w:fldChar w:fldCharType="separate"/>
      </w:r>
      <w:r>
        <w:rPr>
          <w:rFonts w:hint="eastAsia" w:ascii="宋体" w:hAnsi="宋体" w:eastAsia="宋体" w:cs="宋体"/>
          <w:szCs w:val="32"/>
        </w:rPr>
        <w:t>第一章  竞争性磋商公告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_Toc17372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szCs w:val="32"/>
        </w:rPr>
        <w:fldChar w:fldCharType="end"/>
      </w:r>
    </w:p>
    <w:p w14:paraId="3FD4B014">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_Toc5663 </w:instrText>
      </w:r>
      <w:r>
        <w:rPr>
          <w:rFonts w:hint="eastAsia" w:ascii="宋体" w:hAnsi="宋体" w:eastAsia="宋体" w:cs="宋体"/>
          <w:bCs/>
          <w:szCs w:val="32"/>
        </w:rPr>
        <w:fldChar w:fldCharType="separate"/>
      </w:r>
      <w:r>
        <w:rPr>
          <w:rFonts w:hint="eastAsia" w:ascii="宋体" w:hAnsi="宋体" w:eastAsia="宋体" w:cs="宋体"/>
          <w:szCs w:val="32"/>
        </w:rPr>
        <w:t>第二章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_Toc5663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szCs w:val="32"/>
        </w:rPr>
        <w:fldChar w:fldCharType="end"/>
      </w:r>
    </w:p>
    <w:p w14:paraId="72830F44">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_Toc9856 </w:instrText>
      </w:r>
      <w:r>
        <w:rPr>
          <w:rFonts w:hint="eastAsia" w:ascii="宋体" w:hAnsi="宋体" w:eastAsia="宋体" w:cs="宋体"/>
          <w:bCs/>
          <w:szCs w:val="32"/>
        </w:rPr>
        <w:fldChar w:fldCharType="separate"/>
      </w:r>
      <w:r>
        <w:rPr>
          <w:rFonts w:hint="eastAsia" w:ascii="宋体" w:hAnsi="宋体" w:eastAsia="宋体" w:cs="宋体"/>
          <w:bCs/>
          <w:szCs w:val="32"/>
        </w:rPr>
        <w:t>第三章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_Toc9856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szCs w:val="32"/>
        </w:rPr>
        <w:fldChar w:fldCharType="end"/>
      </w:r>
    </w:p>
    <w:p w14:paraId="46BA6B63">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_Toc21099 </w:instrText>
      </w:r>
      <w:r>
        <w:rPr>
          <w:rFonts w:hint="eastAsia" w:ascii="宋体" w:hAnsi="宋体" w:eastAsia="宋体" w:cs="宋体"/>
          <w:bCs/>
          <w:szCs w:val="32"/>
        </w:rPr>
        <w:fldChar w:fldCharType="separate"/>
      </w:r>
      <w:r>
        <w:rPr>
          <w:rFonts w:hint="eastAsia" w:ascii="宋体" w:hAnsi="宋体" w:eastAsia="宋体" w:cs="宋体"/>
          <w:bCs/>
          <w:kern w:val="0"/>
          <w:szCs w:val="32"/>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szCs w:val="32"/>
        </w:rPr>
        <w:fldChar w:fldCharType="end"/>
      </w:r>
    </w:p>
    <w:p w14:paraId="549939FE">
      <w:pPr>
        <w:pStyle w:val="24"/>
        <w:tabs>
          <w:tab w:val="right" w:leader="dot" w:pos="8958"/>
        </w:tabs>
        <w:spacing w:line="360" w:lineRule="auto"/>
        <w:rPr>
          <w:rFonts w:hint="eastAsia" w:ascii="宋体" w:hAnsi="宋体" w:eastAsia="宋体" w:cs="宋体"/>
        </w:rPr>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_Toc28918 </w:instrText>
      </w:r>
      <w:r>
        <w:rPr>
          <w:rFonts w:hint="eastAsia" w:ascii="宋体" w:hAnsi="宋体" w:eastAsia="宋体" w:cs="宋体"/>
          <w:bCs/>
          <w:szCs w:val="32"/>
        </w:rPr>
        <w:fldChar w:fldCharType="separate"/>
      </w:r>
      <w:r>
        <w:rPr>
          <w:rFonts w:hint="eastAsia" w:ascii="宋体" w:hAnsi="宋体" w:eastAsia="宋体" w:cs="宋体"/>
          <w:szCs w:val="28"/>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_Toc28918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szCs w:val="32"/>
        </w:rPr>
        <w:fldChar w:fldCharType="end"/>
      </w:r>
    </w:p>
    <w:p w14:paraId="4C5CAEFE">
      <w:pPr>
        <w:pStyle w:val="24"/>
        <w:tabs>
          <w:tab w:val="right" w:leader="dot" w:pos="8958"/>
        </w:tabs>
        <w:spacing w:line="360" w:lineRule="auto"/>
      </w:pPr>
      <w:r>
        <w:rPr>
          <w:rFonts w:hint="eastAsia" w:ascii="宋体" w:hAnsi="宋体" w:eastAsia="宋体" w:cs="宋体"/>
          <w:bCs/>
          <w:szCs w:val="32"/>
        </w:rPr>
        <w:fldChar w:fldCharType="begin"/>
      </w:r>
      <w:r>
        <w:rPr>
          <w:rFonts w:hint="eastAsia" w:ascii="宋体" w:hAnsi="宋体" w:eastAsia="宋体" w:cs="宋体"/>
          <w:bCs/>
          <w:szCs w:val="32"/>
        </w:rPr>
        <w:instrText xml:space="preserve"> HYPERLINK \l _Toc16080 </w:instrText>
      </w:r>
      <w:r>
        <w:rPr>
          <w:rFonts w:hint="eastAsia" w:ascii="宋体" w:hAnsi="宋体" w:eastAsia="宋体" w:cs="宋体"/>
          <w:bCs/>
          <w:szCs w:val="32"/>
        </w:rPr>
        <w:fldChar w:fldCharType="separate"/>
      </w:r>
      <w:r>
        <w:rPr>
          <w:rFonts w:hint="eastAsia" w:ascii="宋体" w:hAnsi="宋体" w:eastAsia="宋体" w:cs="宋体"/>
          <w:szCs w:val="32"/>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_Toc16080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szCs w:val="32"/>
        </w:rPr>
        <w:fldChar w:fldCharType="end"/>
      </w:r>
    </w:p>
    <w:p w14:paraId="22631068">
      <w:pPr>
        <w:pStyle w:val="86"/>
        <w:tabs>
          <w:tab w:val="right" w:leader="dot" w:pos="8300"/>
        </w:tabs>
        <w:snapToGrid w:val="0"/>
        <w:spacing w:line="360" w:lineRule="auto"/>
        <w:rPr>
          <w:rFonts w:hint="eastAsia" w:ascii="宋体" w:hAnsi="宋体" w:eastAsia="宋体" w:cs="宋体"/>
          <w:sz w:val="32"/>
          <w:szCs w:val="32"/>
        </w:rPr>
      </w:pPr>
      <w:r>
        <w:rPr>
          <w:rFonts w:hint="eastAsia" w:ascii="宋体" w:hAnsi="宋体" w:eastAsia="宋体" w:cs="宋体"/>
          <w:bCs/>
          <w:szCs w:val="32"/>
        </w:rPr>
        <w:fldChar w:fldCharType="end"/>
      </w:r>
    </w:p>
    <w:p w14:paraId="4D792EFC">
      <w:pPr>
        <w:spacing w:line="440" w:lineRule="exact"/>
        <w:rPr>
          <w:rFonts w:hint="eastAsia" w:ascii="宋体" w:hAnsi="宋体" w:eastAsia="宋体" w:cs="宋体"/>
          <w:b/>
          <w:sz w:val="32"/>
          <w:szCs w:val="32"/>
        </w:rPr>
      </w:pPr>
    </w:p>
    <w:p w14:paraId="3D0C6525">
      <w:pPr>
        <w:spacing w:line="360" w:lineRule="auto"/>
        <w:ind w:firstLine="2409" w:firstLineChars="600"/>
        <w:rPr>
          <w:rFonts w:hint="eastAsia" w:ascii="宋体" w:hAnsi="宋体" w:eastAsia="宋体" w:cs="宋体"/>
          <w:b/>
          <w:sz w:val="40"/>
          <w:szCs w:val="40"/>
        </w:rPr>
        <w:sectPr>
          <w:headerReference r:id="rId3" w:type="default"/>
          <w:footerReference r:id="rId4" w:type="default"/>
          <w:pgSz w:w="11906" w:h="16838"/>
          <w:pgMar w:top="1417" w:right="1474" w:bottom="1417" w:left="1474" w:header="851" w:footer="624" w:gutter="0"/>
          <w:pgBorders>
            <w:top w:val="none" w:sz="0" w:space="0"/>
            <w:left w:val="none" w:sz="0" w:space="0"/>
            <w:bottom w:val="none" w:sz="0" w:space="0"/>
            <w:right w:val="none" w:sz="0" w:space="0"/>
          </w:pgBorders>
          <w:pgNumType w:start="1"/>
          <w:cols w:space="720" w:num="1"/>
          <w:docGrid w:type="lines" w:linePitch="319" w:charSpace="0"/>
        </w:sectPr>
      </w:pPr>
    </w:p>
    <w:p w14:paraId="1F910FFD">
      <w:pPr>
        <w:spacing w:line="360" w:lineRule="auto"/>
        <w:jc w:val="center"/>
        <w:outlineLvl w:val="0"/>
        <w:rPr>
          <w:rFonts w:hint="eastAsia" w:ascii="宋体" w:hAnsi="宋体" w:eastAsia="宋体" w:cs="宋体"/>
          <w:b/>
          <w:sz w:val="32"/>
          <w:szCs w:val="32"/>
        </w:rPr>
      </w:pPr>
      <w:bookmarkStart w:id="2" w:name="_Toc17372"/>
      <w:r>
        <w:rPr>
          <w:rFonts w:hint="eastAsia" w:ascii="宋体" w:hAnsi="宋体" w:eastAsia="宋体" w:cs="宋体"/>
          <w:b/>
          <w:sz w:val="32"/>
          <w:szCs w:val="32"/>
        </w:rPr>
        <w:t>第一章  竞争性磋商公告</w:t>
      </w:r>
      <w:bookmarkEnd w:id="2"/>
    </w:p>
    <w:p w14:paraId="34CC83B2">
      <w:pPr>
        <w:widowControl/>
        <w:adjustRightInd w:val="0"/>
        <w:snapToGrid w:val="0"/>
        <w:spacing w:line="324" w:lineRule="auto"/>
        <w:jc w:val="center"/>
        <w:rPr>
          <w:rFonts w:hint="default" w:ascii="宋体" w:hAnsi="宋体" w:eastAsia="宋体" w:cs="宋体"/>
          <w:b/>
          <w:kern w:val="0"/>
          <w:sz w:val="28"/>
          <w:szCs w:val="28"/>
          <w:lang w:val="en-US" w:eastAsia="zh-CN"/>
        </w:rPr>
      </w:pPr>
      <w:r>
        <w:rPr>
          <w:rFonts w:hint="eastAsia" w:ascii="宋体" w:hAnsi="宋体" w:eastAsia="宋体" w:cs="宋体"/>
          <w:b/>
          <w:kern w:val="0"/>
          <w:sz w:val="28"/>
          <w:szCs w:val="28"/>
          <w:lang w:eastAsia="zh-CN"/>
        </w:rPr>
        <w:t>驻马店市中心医院病房改造提升项目施工图设计</w:t>
      </w:r>
      <w:r>
        <w:rPr>
          <w:rFonts w:hint="eastAsia" w:ascii="宋体" w:hAnsi="宋体" w:cs="宋体"/>
          <w:b/>
          <w:kern w:val="0"/>
          <w:sz w:val="28"/>
          <w:szCs w:val="28"/>
          <w:lang w:val="en-US" w:eastAsia="zh-CN"/>
        </w:rPr>
        <w:t>项目</w:t>
      </w:r>
    </w:p>
    <w:p w14:paraId="1B1F24B2">
      <w:pPr>
        <w:widowControl/>
        <w:adjustRightInd w:val="0"/>
        <w:snapToGrid w:val="0"/>
        <w:spacing w:line="324" w:lineRule="auto"/>
        <w:jc w:val="center"/>
        <w:rPr>
          <w:rFonts w:hint="eastAsia" w:ascii="宋体" w:hAnsi="宋体" w:eastAsia="宋体" w:cs="宋体"/>
          <w:b/>
          <w:kern w:val="0"/>
          <w:sz w:val="28"/>
          <w:szCs w:val="28"/>
        </w:rPr>
      </w:pPr>
      <w:r>
        <w:rPr>
          <w:rFonts w:hint="eastAsia" w:ascii="宋体" w:hAnsi="宋体" w:eastAsia="宋体" w:cs="宋体"/>
          <w:b/>
          <w:kern w:val="0"/>
          <w:sz w:val="28"/>
          <w:szCs w:val="28"/>
        </w:rPr>
        <w:t>竞争性磋商公告</w:t>
      </w:r>
    </w:p>
    <w:p w14:paraId="14CF7498">
      <w:pPr>
        <w:snapToGrid w:val="0"/>
        <w:spacing w:line="324" w:lineRule="auto"/>
        <w:ind w:firstLine="420" w:firstLineChars="200"/>
        <w:rPr>
          <w:rFonts w:hint="eastAsia" w:ascii="宋体" w:hAnsi="宋体" w:eastAsia="宋体" w:cs="宋体"/>
          <w:szCs w:val="21"/>
        </w:rPr>
      </w:pPr>
      <w:r>
        <w:rPr>
          <w:rFonts w:hint="eastAsia" w:ascii="宋体" w:hAnsi="宋体" w:eastAsia="宋体" w:cs="宋体"/>
        </w:rPr>
        <w:t>驻马店市中心医院现对</w:t>
      </w:r>
      <w:r>
        <w:rPr>
          <w:rFonts w:hint="eastAsia" w:ascii="宋体" w:hAnsi="宋体" w:eastAsia="宋体" w:cs="宋体"/>
          <w:u w:val="single"/>
          <w:lang w:eastAsia="zh-CN"/>
        </w:rPr>
        <w:t>驻马店市中心医院病房改造提升项目施工图设计</w:t>
      </w:r>
      <w:r>
        <w:rPr>
          <w:rFonts w:hint="eastAsia" w:ascii="宋体" w:hAnsi="宋体" w:cs="宋体"/>
          <w:u w:val="single"/>
          <w:lang w:val="en-US" w:eastAsia="zh-CN"/>
        </w:rPr>
        <w:t>项目</w:t>
      </w:r>
      <w:r>
        <w:rPr>
          <w:rFonts w:hint="eastAsia" w:ascii="宋体" w:hAnsi="宋体" w:eastAsia="宋体" w:cs="宋体"/>
        </w:rPr>
        <w:t>进行院内竞争性磋商，欢迎符合资格条件的供应商前来报名并</w:t>
      </w:r>
      <w:r>
        <w:rPr>
          <w:rFonts w:hint="eastAsia" w:ascii="宋体" w:hAnsi="宋体" w:eastAsia="宋体" w:cs="宋体"/>
          <w:szCs w:val="21"/>
        </w:rPr>
        <w:t>获取竞争性磋商文件。</w:t>
      </w:r>
    </w:p>
    <w:p w14:paraId="75B899F9">
      <w:pPr>
        <w:widowControl/>
        <w:snapToGrid w:val="0"/>
        <w:spacing w:line="324" w:lineRule="auto"/>
        <w:jc w:val="left"/>
        <w:outlineLvl w:val="1"/>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1、项目名称：</w:t>
      </w:r>
      <w:r>
        <w:rPr>
          <w:rFonts w:hint="eastAsia" w:ascii="宋体" w:hAnsi="宋体" w:eastAsia="宋体" w:cs="宋体"/>
          <w:szCs w:val="21"/>
          <w:shd w:val="clear" w:color="auto" w:fill="FFFFFF"/>
          <w:lang w:eastAsia="zh-CN"/>
        </w:rPr>
        <w:t>驻马店市中心医院病房改造提升项目施工图设计</w:t>
      </w:r>
      <w:r>
        <w:rPr>
          <w:rFonts w:hint="eastAsia" w:ascii="宋体" w:hAnsi="宋体" w:eastAsia="宋体" w:cs="宋体"/>
          <w:szCs w:val="21"/>
          <w:shd w:val="clear" w:color="auto" w:fill="FFFFFF"/>
        </w:rPr>
        <w:t>；</w:t>
      </w:r>
    </w:p>
    <w:p w14:paraId="4E6C8198">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w:t>
      </w:r>
      <w:bookmarkStart w:id="3" w:name="_Toc26725"/>
      <w:r>
        <w:rPr>
          <w:rFonts w:hint="eastAsia" w:ascii="宋体" w:hAnsi="宋体" w:eastAsia="宋体" w:cs="宋体"/>
          <w:szCs w:val="21"/>
          <w:shd w:val="clear" w:color="auto" w:fill="FFFFFF"/>
        </w:rPr>
        <w:t>、预算金额：</w:t>
      </w:r>
      <w:r>
        <w:rPr>
          <w:rFonts w:hint="eastAsia" w:ascii="宋体" w:hAnsi="宋体" w:eastAsia="宋体" w:cs="宋体"/>
          <w:szCs w:val="21"/>
          <w:shd w:val="clear" w:color="auto" w:fill="FFFFFF"/>
          <w:lang w:val="en-US" w:eastAsia="zh-CN"/>
        </w:rPr>
        <w:t>49.5</w:t>
      </w:r>
      <w:r>
        <w:rPr>
          <w:rFonts w:hint="eastAsia" w:ascii="宋体" w:hAnsi="宋体" w:eastAsia="宋体" w:cs="宋体"/>
          <w:szCs w:val="21"/>
          <w:shd w:val="clear" w:color="auto" w:fill="FFFFFF"/>
        </w:rPr>
        <w:t>万元；</w:t>
      </w:r>
    </w:p>
    <w:p w14:paraId="2FD8E5A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4、服务期限：</w:t>
      </w:r>
      <w:r>
        <w:rPr>
          <w:rFonts w:hint="eastAsia" w:ascii="宋体" w:hAnsi="宋体" w:eastAsia="宋体" w:cs="宋体"/>
          <w:szCs w:val="21"/>
          <w:shd w:val="clear" w:color="auto" w:fill="FFFFFF"/>
          <w:lang w:val="en-US" w:eastAsia="zh-CN"/>
        </w:rPr>
        <w:t>30</w:t>
      </w:r>
      <w:r>
        <w:rPr>
          <w:rFonts w:hint="eastAsia" w:ascii="宋体" w:hAnsi="宋体" w:eastAsia="宋体" w:cs="宋体"/>
          <w:szCs w:val="21"/>
          <w:shd w:val="clear" w:color="auto" w:fill="FFFFFF"/>
        </w:rPr>
        <w:t>天</w:t>
      </w:r>
    </w:p>
    <w:p w14:paraId="2EEF70E4">
      <w:pPr>
        <w:widowControl/>
        <w:tabs>
          <w:tab w:val="left" w:pos="840"/>
        </w:tabs>
        <w:snapToGrid w:val="0"/>
        <w:spacing w:line="324" w:lineRule="auto"/>
        <w:ind w:firstLine="420" w:firstLineChars="200"/>
        <w:jc w:val="left"/>
        <w:rPr>
          <w:rFonts w:hint="eastAsia" w:ascii="宋体" w:hAnsi="宋体"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rPr>
        <w:t>5、服务</w:t>
      </w:r>
      <w:r>
        <w:rPr>
          <w:rFonts w:hint="eastAsia" w:ascii="宋体" w:hAnsi="宋体" w:eastAsia="宋体" w:cs="宋体"/>
          <w:szCs w:val="21"/>
          <w:highlight w:val="none"/>
          <w:shd w:val="clear" w:color="auto" w:fill="FFFFFF"/>
          <w:lang w:eastAsia="zh-CN"/>
        </w:rPr>
        <w:t>质量：</w:t>
      </w:r>
      <w:r>
        <w:rPr>
          <w:rFonts w:hint="eastAsia" w:ascii="宋体" w:hAnsi="宋体" w:eastAsia="宋体" w:cs="宋体"/>
          <w:szCs w:val="21"/>
          <w:highlight w:val="none"/>
          <w:shd w:val="clear" w:color="auto" w:fill="FFFFFF"/>
          <w:lang w:val="en-US" w:eastAsia="zh-CN"/>
        </w:rPr>
        <w:t>按照国家、行业和地方现行法律、法规、规章制度、规范及标准要求进行设计，设计成果应当满足采购人要求。</w:t>
      </w:r>
    </w:p>
    <w:p w14:paraId="32CAB545">
      <w:pPr>
        <w:widowControl/>
        <w:snapToGrid w:val="0"/>
        <w:spacing w:line="324" w:lineRule="auto"/>
        <w:jc w:val="left"/>
        <w:outlineLvl w:val="1"/>
        <w:rPr>
          <w:rFonts w:hint="eastAsia" w:ascii="宋体" w:hAnsi="宋体" w:eastAsia="宋体" w:cs="宋体"/>
          <w:b/>
          <w:bCs/>
          <w:szCs w:val="21"/>
          <w:shd w:val="clear" w:color="auto" w:fill="FFFFFF"/>
        </w:rPr>
      </w:pPr>
      <w:bookmarkStart w:id="4" w:name="_Toc23626"/>
      <w:bookmarkStart w:id="5" w:name="_Toc18607"/>
      <w:bookmarkStart w:id="6" w:name="_Toc16639"/>
      <w:bookmarkStart w:id="7" w:name="_Toc27704"/>
      <w:r>
        <w:rPr>
          <w:rFonts w:hint="eastAsia" w:ascii="宋体" w:hAnsi="宋体" w:eastAsia="宋体" w:cs="宋体"/>
          <w:b/>
          <w:bCs/>
          <w:szCs w:val="21"/>
          <w:shd w:val="clear" w:color="auto" w:fill="FFFFFF"/>
        </w:rPr>
        <w:t>二、</w:t>
      </w:r>
      <w:bookmarkEnd w:id="3"/>
      <w:bookmarkEnd w:id="4"/>
      <w:bookmarkEnd w:id="5"/>
      <w:bookmarkEnd w:id="6"/>
      <w:bookmarkEnd w:id="7"/>
      <w:r>
        <w:rPr>
          <w:rFonts w:hint="eastAsia" w:ascii="宋体" w:hAnsi="宋体" w:eastAsia="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bookmarkStart w:id="8" w:name="_Toc23395"/>
      <w:bookmarkStart w:id="9" w:name="_Toc9562"/>
      <w:bookmarkStart w:id="10" w:name="_Toc7823"/>
      <w:bookmarkStart w:id="11" w:name="_Toc30643"/>
      <w:bookmarkStart w:id="12" w:name="_Toc30971"/>
      <w:r>
        <w:rPr>
          <w:rFonts w:hint="eastAsia" w:ascii="宋体" w:hAnsi="宋体" w:eastAsia="宋体" w:cs="宋体"/>
          <w:szCs w:val="21"/>
          <w:shd w:val="clear" w:color="auto" w:fill="FFFFFF"/>
        </w:rPr>
        <w:t>1、具有独立承担民事责任的能力（提供营业执照或其他证明材</w:t>
      </w:r>
      <w:bookmarkStart w:id="102" w:name="_GoBack"/>
      <w:bookmarkEnd w:id="102"/>
      <w:r>
        <w:rPr>
          <w:rFonts w:hint="eastAsia" w:ascii="宋体" w:hAnsi="宋体" w:eastAsia="宋体" w:cs="宋体"/>
          <w:szCs w:val="21"/>
          <w:shd w:val="clear" w:color="auto" w:fill="FFFFFF"/>
        </w:rPr>
        <w:t>料）；</w:t>
      </w:r>
    </w:p>
    <w:p w14:paraId="7326F542">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szCs w:val="21"/>
          <w:shd w:val="clear" w:color="auto" w:fill="FFFFFF"/>
        </w:rPr>
        <w:t>7、单位负责人为同一人或</w:t>
      </w:r>
      <w:r>
        <w:rPr>
          <w:rFonts w:hint="eastAsia" w:ascii="宋体" w:hAnsi="宋体" w:eastAsia="宋体" w:cs="宋体"/>
          <w:color w:val="auto"/>
          <w:szCs w:val="21"/>
          <w:shd w:val="clear" w:color="auto" w:fill="FFFFFF"/>
        </w:rPr>
        <w:t>者存在直接控股、管理关系的不同供应商，不得参加同一合同项下的磋商（</w:t>
      </w:r>
      <w:r>
        <w:rPr>
          <w:rFonts w:hint="eastAsia" w:ascii="宋体" w:hAnsi="宋体" w:eastAsia="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eastAsia="宋体" w:cs="宋体"/>
          <w:color w:val="auto"/>
          <w:szCs w:val="21"/>
          <w:shd w:val="clear" w:color="auto" w:fill="FFFFFF"/>
        </w:rPr>
        <w:t>）。一经发现，将导致</w:t>
      </w:r>
      <w:r>
        <w:rPr>
          <w:rFonts w:hint="eastAsia" w:ascii="宋体" w:hAnsi="宋体" w:eastAsia="宋体" w:cs="宋体"/>
          <w:color w:val="auto"/>
          <w:szCs w:val="21"/>
          <w:shd w:val="clear" w:color="auto" w:fill="FFFFFF"/>
          <w:lang w:val="en-US" w:eastAsia="zh-CN"/>
        </w:rPr>
        <w:t>磋商</w:t>
      </w:r>
      <w:r>
        <w:rPr>
          <w:rFonts w:hint="eastAsia" w:ascii="宋体" w:hAnsi="宋体" w:eastAsia="宋体" w:cs="宋体"/>
          <w:color w:val="auto"/>
          <w:szCs w:val="21"/>
          <w:shd w:val="clear" w:color="auto" w:fill="FFFFFF"/>
        </w:rPr>
        <w:t>同时被拒绝。</w:t>
      </w:r>
    </w:p>
    <w:p w14:paraId="2F50DA5A">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8、本项目特定资格要求：</w:t>
      </w:r>
    </w:p>
    <w:p w14:paraId="4BD577FA">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lang w:eastAsia="zh-CN"/>
        </w:rPr>
      </w:pPr>
      <w:bookmarkStart w:id="13" w:name="OLE_LINK7"/>
      <w:r>
        <w:rPr>
          <w:rFonts w:hint="eastAsia" w:ascii="宋体" w:hAnsi="宋体" w:eastAsia="宋体" w:cs="宋体"/>
          <w:color w:val="auto"/>
          <w:szCs w:val="21"/>
          <w:shd w:val="clear" w:color="auto" w:fill="FFFFFF"/>
          <w:lang w:val="en-US" w:eastAsia="zh-CN"/>
        </w:rPr>
        <w:t>供应商须具有建设行政主管部门颁发的工程设计综合资质甲级或建筑行业(建筑工程)设计甲级资质</w:t>
      </w:r>
      <w:r>
        <w:rPr>
          <w:rFonts w:hint="eastAsia" w:ascii="宋体" w:hAnsi="宋体" w:eastAsia="宋体" w:cs="宋体"/>
          <w:color w:val="auto"/>
          <w:szCs w:val="21"/>
          <w:shd w:val="clear" w:color="auto" w:fill="FFFFFF"/>
        </w:rPr>
        <w:t>；拟派项目经理须具有</w:t>
      </w:r>
      <w:r>
        <w:rPr>
          <w:rFonts w:hint="eastAsia" w:ascii="宋体" w:hAnsi="宋体" w:eastAsia="宋体" w:cs="宋体"/>
          <w:color w:val="auto"/>
          <w:szCs w:val="21"/>
          <w:shd w:val="clear" w:color="auto" w:fill="FFFFFF"/>
          <w:lang w:val="en-US" w:eastAsia="zh-CN"/>
        </w:rPr>
        <w:t>一级注册建筑师执业资格</w:t>
      </w:r>
      <w:r>
        <w:rPr>
          <w:rFonts w:hint="eastAsia" w:ascii="宋体" w:hAnsi="宋体" w:cs="宋体"/>
          <w:szCs w:val="21"/>
          <w:shd w:val="clear" w:color="auto" w:fill="FFFFFF"/>
          <w:lang w:val="en-US" w:eastAsia="zh-CN"/>
        </w:rPr>
        <w:t>（提供相关证书）</w:t>
      </w:r>
      <w:r>
        <w:rPr>
          <w:rFonts w:hint="eastAsia" w:ascii="宋体" w:hAnsi="宋体" w:eastAsia="宋体" w:cs="宋体"/>
          <w:color w:val="auto"/>
          <w:szCs w:val="21"/>
          <w:shd w:val="clear" w:color="auto" w:fill="FFFFFF"/>
        </w:rPr>
        <w:t>。</w:t>
      </w:r>
    </w:p>
    <w:bookmarkEnd w:id="13"/>
    <w:p w14:paraId="57687E05">
      <w:pPr>
        <w:widowControl/>
        <w:tabs>
          <w:tab w:val="left" w:pos="840"/>
        </w:tabs>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9、不接受联合体磋商。</w:t>
      </w:r>
    </w:p>
    <w:p w14:paraId="5EB77B9A">
      <w:pPr>
        <w:widowControl/>
        <w:snapToGrid w:val="0"/>
        <w:spacing w:line="324" w:lineRule="auto"/>
        <w:jc w:val="left"/>
        <w:outlineLvl w:val="1"/>
        <w:rPr>
          <w:rFonts w:hint="eastAsia" w:ascii="宋体" w:hAnsi="宋体" w:eastAsia="宋体" w:cs="宋体"/>
          <w:b/>
          <w:bCs/>
          <w:color w:val="auto"/>
        </w:rPr>
      </w:pPr>
      <w:r>
        <w:rPr>
          <w:rFonts w:hint="eastAsia" w:ascii="宋体" w:hAnsi="宋体" w:eastAsia="宋体" w:cs="宋体"/>
          <w:b/>
          <w:bCs/>
          <w:color w:val="auto"/>
        </w:rPr>
        <w:t>三、获取</w:t>
      </w:r>
      <w:bookmarkEnd w:id="8"/>
      <w:bookmarkEnd w:id="9"/>
      <w:bookmarkEnd w:id="10"/>
      <w:bookmarkEnd w:id="11"/>
      <w:bookmarkEnd w:id="12"/>
      <w:r>
        <w:rPr>
          <w:rFonts w:hint="eastAsia" w:ascii="宋体" w:hAnsi="宋体" w:eastAsia="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 报名时间：</w:t>
      </w:r>
      <w:r>
        <w:rPr>
          <w:rFonts w:hint="eastAsia" w:ascii="宋体" w:hAnsi="宋体" w:eastAsia="宋体" w:cs="宋体"/>
          <w:color w:val="auto"/>
          <w:szCs w:val="21"/>
          <w:shd w:val="clear" w:color="auto" w:fill="FFFFFF"/>
          <w:lang w:eastAsia="zh-CN"/>
        </w:rPr>
        <w:t>2026年</w:t>
      </w:r>
      <w:r>
        <w:rPr>
          <w:rFonts w:hint="eastAsia" w:ascii="宋体" w:hAnsi="宋体" w:eastAsia="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highlight w:val="none"/>
          <w:shd w:val="clear" w:color="auto" w:fill="FFFFFF"/>
          <w:lang w:eastAsia="zh-CN"/>
        </w:rPr>
        <w:t>2026年</w:t>
      </w:r>
      <w:r>
        <w:rPr>
          <w:rFonts w:hint="eastAsia" w:ascii="宋体" w:hAnsi="宋体" w:eastAsia="宋体" w:cs="宋体"/>
          <w:color w:val="auto"/>
          <w:szCs w:val="21"/>
          <w:highlight w:val="none"/>
          <w:shd w:val="clear" w:color="auto" w:fill="FFFFFF"/>
          <w:lang w:val="en-US" w:eastAsia="zh-CN"/>
        </w:rPr>
        <w:t>01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29</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shd w:val="clear" w:color="auto" w:fill="FFFFFF"/>
        </w:rPr>
        <w:t>08：00-下午17:30（北京时间，法定节假日除外）。</w:t>
      </w:r>
    </w:p>
    <w:p w14:paraId="685DF8FF">
      <w:pPr>
        <w:widowControl/>
        <w:snapToGrid w:val="0"/>
        <w:spacing w:line="324"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shd w:val="clear" w:color="auto" w:fill="FFFFFF"/>
        </w:rPr>
        <w:t>2.凡报名成功的供应商无故不来参与</w:t>
      </w:r>
      <w:r>
        <w:rPr>
          <w:rFonts w:hint="eastAsia" w:ascii="宋体" w:hAnsi="宋体" w:eastAsia="宋体" w:cs="宋体"/>
          <w:color w:val="auto"/>
          <w:kern w:val="0"/>
          <w:szCs w:val="21"/>
          <w:shd w:val="clear" w:color="auto" w:fill="FFFFFF"/>
          <w:lang w:val="en-US" w:eastAsia="zh-CN"/>
        </w:rPr>
        <w:t>磋商</w:t>
      </w:r>
      <w:r>
        <w:rPr>
          <w:rFonts w:hint="eastAsia" w:ascii="宋体" w:hAnsi="宋体" w:eastAsia="宋体" w:cs="宋体"/>
          <w:color w:val="auto"/>
          <w:kern w:val="0"/>
          <w:szCs w:val="21"/>
          <w:shd w:val="clear" w:color="auto" w:fill="FFFFFF"/>
        </w:rPr>
        <w:t>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eastAsia="宋体" w:cs="宋体"/>
          <w:color w:val="auto"/>
          <w:kern w:val="0"/>
          <w:szCs w:val="21"/>
          <w:u w:val="single"/>
          <w:shd w:val="clear" w:color="auto" w:fill="FFFFFF"/>
        </w:rPr>
      </w:pPr>
      <w:r>
        <w:rPr>
          <w:rFonts w:hint="eastAsia" w:ascii="宋体" w:hAnsi="宋体" w:eastAsia="宋体" w:cs="宋体"/>
          <w:color w:val="auto"/>
          <w:kern w:val="0"/>
          <w:szCs w:val="21"/>
          <w:shd w:val="clear" w:color="auto" w:fill="FFFFFF"/>
        </w:rPr>
        <w:t>3.竞争性磋商文件获取方式：供应商须把填写完整的报名登记表及本磋商公告第二项供应商资格要求中需提供加盖单位公章的相关资料扫描件按序排版为PDF格式文件，发送至以下邮箱：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Cs w:val="21"/>
          <w:shd w:val="clear" w:color="auto" w:fill="FFFFFF"/>
          <w:lang w:val="en-US" w:eastAsia="zh-CN"/>
        </w:rPr>
        <w:fldChar w:fldCharType="begin"/>
      </w:r>
      <w:r>
        <w:rPr>
          <w:rFonts w:hint="eastAsia" w:ascii="宋体" w:hAnsi="宋体" w:eastAsia="宋体" w:cs="宋体"/>
          <w:color w:val="auto"/>
          <w:kern w:val="0"/>
          <w:szCs w:val="21"/>
          <w:shd w:val="clear" w:color="auto" w:fill="FFFFFF"/>
          <w:lang w:val="en-US" w:eastAsia="zh-CN"/>
        </w:rPr>
        <w:instrText xml:space="preserve"> HYPERLINK "mailto:hnwxzb2@163.com并标明XX" </w:instrText>
      </w:r>
      <w:r>
        <w:rPr>
          <w:rFonts w:hint="eastAsia" w:ascii="宋体" w:hAnsi="宋体" w:eastAsia="宋体" w:cs="宋体"/>
          <w:color w:val="auto"/>
          <w:kern w:val="0"/>
          <w:szCs w:val="21"/>
          <w:shd w:val="clear" w:color="auto" w:fill="FFFFFF"/>
          <w:lang w:val="en-US" w:eastAsia="zh-CN"/>
        </w:rPr>
        <w:fldChar w:fldCharType="separate"/>
      </w:r>
      <w:r>
        <w:rPr>
          <w:rFonts w:hint="eastAsia" w:ascii="宋体" w:hAnsi="宋体" w:eastAsia="宋体" w:cs="宋体"/>
          <w:color w:val="auto"/>
          <w:kern w:val="0"/>
          <w:szCs w:val="21"/>
          <w:shd w:val="clear" w:color="auto" w:fill="FFFFFF"/>
          <w:lang w:val="en-US" w:eastAsia="zh-CN"/>
        </w:rPr>
        <w:t>3269714460@qq.com,并标明XX公司XX</w:t>
      </w:r>
      <w:r>
        <w:rPr>
          <w:rFonts w:hint="eastAsia" w:ascii="宋体" w:hAnsi="宋体" w:eastAsia="宋体" w:cs="宋体"/>
          <w:color w:val="auto"/>
          <w:kern w:val="0"/>
          <w:szCs w:val="21"/>
          <w:shd w:val="clear" w:color="auto" w:fill="FFFFFF"/>
          <w:lang w:val="en-US" w:eastAsia="zh-CN"/>
        </w:rPr>
        <w:fldChar w:fldCharType="end"/>
      </w:r>
      <w:r>
        <w:rPr>
          <w:rFonts w:hint="eastAsia" w:ascii="宋体" w:hAnsi="宋体" w:eastAsia="宋体" w:cs="宋体"/>
          <w:color w:val="auto"/>
          <w:kern w:val="0"/>
          <w:szCs w:val="21"/>
          <w:shd w:val="clear" w:color="auto" w:fill="FFFFFF"/>
          <w:lang w:val="en-US" w:eastAsia="zh-CN"/>
        </w:rPr>
        <w:t>项目报名资料。</w:t>
      </w:r>
    </w:p>
    <w:p w14:paraId="6CDFCB7D">
      <w:pPr>
        <w:widowControl/>
        <w:wordWrap w:val="0"/>
        <w:snapToGrid w:val="0"/>
        <w:spacing w:line="324" w:lineRule="auto"/>
        <w:ind w:left="420" w:leftChars="200"/>
        <w:jc w:val="left"/>
        <w:rPr>
          <w:rFonts w:hint="eastAsia" w:ascii="宋体" w:hAnsi="宋体" w:eastAsia="宋体" w:cs="宋体"/>
          <w:color w:val="auto"/>
          <w:kern w:val="0"/>
          <w:szCs w:val="21"/>
        </w:rPr>
      </w:pPr>
      <w:r>
        <w:rPr>
          <w:rFonts w:hint="eastAsia" w:ascii="宋体" w:hAnsi="宋体" w:eastAsia="宋体" w:cs="宋体"/>
          <w:color w:val="auto"/>
          <w:kern w:val="0"/>
          <w:szCs w:val="21"/>
          <w:shd w:val="clear" w:color="auto" w:fill="FFFFFF"/>
        </w:rPr>
        <w:t>4.报名登记表：请从附件中下载。</w:t>
      </w:r>
    </w:p>
    <w:p w14:paraId="608E5FA3">
      <w:pPr>
        <w:widowControl/>
        <w:snapToGrid w:val="0"/>
        <w:spacing w:line="324" w:lineRule="auto"/>
        <w:jc w:val="left"/>
        <w:outlineLvl w:val="1"/>
        <w:rPr>
          <w:rFonts w:hint="eastAsia" w:ascii="宋体" w:hAnsi="宋体" w:eastAsia="宋体" w:cs="宋体"/>
          <w:b/>
          <w:bCs/>
          <w:color w:val="auto"/>
          <w:szCs w:val="21"/>
        </w:rPr>
      </w:pPr>
      <w:bookmarkStart w:id="14" w:name="_Toc15135"/>
      <w:bookmarkStart w:id="15" w:name="_Toc25869"/>
      <w:bookmarkStart w:id="16" w:name="_Toc15111"/>
      <w:bookmarkStart w:id="17" w:name="_Toc27480"/>
      <w:bookmarkStart w:id="18" w:name="_Toc10738"/>
      <w:r>
        <w:rPr>
          <w:rFonts w:hint="eastAsia" w:ascii="宋体" w:hAnsi="宋体" w:eastAsia="宋体" w:cs="宋体"/>
          <w:b/>
          <w:bCs/>
          <w:color w:val="auto"/>
          <w:szCs w:val="21"/>
          <w:shd w:val="clear" w:color="auto" w:fill="FFFFFF"/>
        </w:rPr>
        <w:t>四、磋商截止时间及地点</w:t>
      </w:r>
      <w:bookmarkEnd w:id="14"/>
      <w:bookmarkEnd w:id="15"/>
      <w:bookmarkEnd w:id="16"/>
      <w:bookmarkEnd w:id="17"/>
      <w:bookmarkEnd w:id="18"/>
    </w:p>
    <w:p w14:paraId="50F7D957">
      <w:pPr>
        <w:widowControl/>
        <w:snapToGrid w:val="0"/>
        <w:spacing w:line="324"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shd w:val="clear" w:color="auto" w:fill="FFFFFF"/>
        </w:rPr>
        <w:t>1.时间：</w:t>
      </w:r>
      <w:r>
        <w:rPr>
          <w:rFonts w:hint="eastAsia" w:ascii="宋体" w:hAnsi="宋体" w:eastAsia="宋体" w:cs="宋体"/>
          <w:color w:val="auto"/>
          <w:szCs w:val="21"/>
        </w:rPr>
        <w:t>另行通知</w:t>
      </w:r>
      <w:r>
        <w:rPr>
          <w:rFonts w:hint="eastAsia" w:ascii="宋体" w:hAnsi="宋体" w:eastAsia="宋体" w:cs="宋体"/>
          <w:color w:val="auto"/>
          <w:kern w:val="0"/>
          <w:szCs w:val="21"/>
          <w:shd w:val="clear" w:color="auto" w:fill="FFFFFF"/>
        </w:rPr>
        <w:t>。</w:t>
      </w:r>
    </w:p>
    <w:p w14:paraId="4F59B260">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2.地点：</w:t>
      </w:r>
      <w:r>
        <w:rPr>
          <w:rFonts w:hint="eastAsia" w:ascii="宋体" w:hAnsi="宋体" w:eastAsia="宋体" w:cs="宋体"/>
          <w:color w:val="auto"/>
          <w:szCs w:val="21"/>
        </w:rPr>
        <w:t>另行通知</w:t>
      </w:r>
      <w:r>
        <w:rPr>
          <w:rFonts w:hint="eastAsia" w:ascii="宋体" w:hAnsi="宋体" w:eastAsia="宋体" w:cs="宋体"/>
          <w:color w:val="auto"/>
          <w:kern w:val="0"/>
          <w:szCs w:val="21"/>
          <w:shd w:val="clear" w:color="auto" w:fill="FFFFFF"/>
        </w:rPr>
        <w:t>。</w:t>
      </w:r>
    </w:p>
    <w:p w14:paraId="3F1CE990">
      <w:pPr>
        <w:widowControl/>
        <w:snapToGrid w:val="0"/>
        <w:spacing w:line="324" w:lineRule="auto"/>
        <w:jc w:val="left"/>
        <w:outlineLvl w:val="1"/>
        <w:rPr>
          <w:rFonts w:hint="eastAsia" w:ascii="宋体" w:hAnsi="宋体" w:eastAsia="宋体" w:cs="宋体"/>
          <w:b/>
          <w:bCs/>
          <w:color w:val="auto"/>
          <w:szCs w:val="21"/>
        </w:rPr>
      </w:pPr>
      <w:r>
        <w:rPr>
          <w:rFonts w:hint="eastAsia" w:ascii="宋体" w:hAnsi="宋体" w:eastAsia="宋体" w:cs="宋体"/>
          <w:b/>
          <w:bCs/>
          <w:color w:val="auto"/>
          <w:szCs w:val="21"/>
          <w:shd w:val="clear" w:color="auto" w:fill="FFFFFF"/>
        </w:rPr>
        <w:t>五、磋商时间及地点</w:t>
      </w:r>
    </w:p>
    <w:p w14:paraId="5339073D">
      <w:pPr>
        <w:widowControl/>
        <w:snapToGrid w:val="0"/>
        <w:spacing w:line="324" w:lineRule="auto"/>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shd w:val="clear" w:color="auto" w:fill="FFFFFF"/>
        </w:rPr>
        <w:t>1.时间：</w:t>
      </w:r>
      <w:r>
        <w:rPr>
          <w:rFonts w:hint="eastAsia" w:ascii="宋体" w:hAnsi="宋体" w:eastAsia="宋体" w:cs="宋体"/>
          <w:color w:val="auto"/>
          <w:szCs w:val="21"/>
        </w:rPr>
        <w:t>另行通知</w:t>
      </w:r>
      <w:r>
        <w:rPr>
          <w:rFonts w:hint="eastAsia" w:ascii="宋体" w:hAnsi="宋体" w:eastAsia="宋体" w:cs="宋体"/>
          <w:color w:val="auto"/>
          <w:kern w:val="0"/>
          <w:szCs w:val="21"/>
          <w:shd w:val="clear" w:color="auto" w:fill="FFFFFF"/>
        </w:rPr>
        <w:t>。</w:t>
      </w:r>
    </w:p>
    <w:p w14:paraId="4DD78567">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2.地点：</w:t>
      </w:r>
      <w:r>
        <w:rPr>
          <w:rFonts w:hint="eastAsia" w:ascii="宋体" w:hAnsi="宋体" w:eastAsia="宋体" w:cs="宋体"/>
          <w:color w:val="auto"/>
          <w:szCs w:val="21"/>
        </w:rPr>
        <w:t>另行通知</w:t>
      </w:r>
      <w:r>
        <w:rPr>
          <w:rFonts w:hint="eastAsia" w:ascii="宋体" w:hAnsi="宋体" w:eastAsia="宋体" w:cs="宋体"/>
          <w:color w:val="auto"/>
          <w:kern w:val="0"/>
          <w:szCs w:val="21"/>
          <w:shd w:val="clear" w:color="auto" w:fill="FFFFFF"/>
        </w:rPr>
        <w:t>。</w:t>
      </w:r>
    </w:p>
    <w:p w14:paraId="60259CE1">
      <w:pPr>
        <w:widowControl/>
        <w:snapToGrid w:val="0"/>
        <w:spacing w:line="324" w:lineRule="auto"/>
        <w:jc w:val="left"/>
        <w:outlineLvl w:val="1"/>
        <w:rPr>
          <w:rFonts w:hint="eastAsia" w:ascii="宋体" w:hAnsi="宋体" w:eastAsia="宋体" w:cs="宋体"/>
          <w:b/>
          <w:bCs/>
          <w:color w:val="auto"/>
          <w:szCs w:val="21"/>
        </w:rPr>
      </w:pPr>
      <w:bookmarkStart w:id="19" w:name="_Toc30918"/>
      <w:bookmarkStart w:id="20" w:name="_Toc29784"/>
      <w:bookmarkStart w:id="21" w:name="_Toc20287"/>
      <w:bookmarkStart w:id="22" w:name="_Toc6523"/>
      <w:r>
        <w:rPr>
          <w:rFonts w:hint="eastAsia" w:ascii="宋体" w:hAnsi="宋体" w:eastAsia="宋体" w:cs="宋体"/>
          <w:b/>
          <w:bCs/>
          <w:color w:val="auto"/>
          <w:szCs w:val="21"/>
          <w:shd w:val="clear" w:color="auto" w:fill="FFFFFF"/>
        </w:rPr>
        <w:t>六、发布公告的媒介及</w:t>
      </w:r>
      <w:r>
        <w:rPr>
          <w:rFonts w:hint="eastAsia" w:ascii="宋体" w:hAnsi="宋体" w:eastAsia="宋体" w:cs="宋体"/>
          <w:b/>
          <w:bCs/>
          <w:color w:val="auto"/>
          <w:szCs w:val="21"/>
        </w:rPr>
        <w:t>采购</w:t>
      </w:r>
      <w:r>
        <w:rPr>
          <w:rFonts w:hint="eastAsia" w:ascii="宋体" w:hAnsi="宋体" w:eastAsia="宋体" w:cs="宋体"/>
          <w:b/>
          <w:bCs/>
          <w:color w:val="auto"/>
          <w:szCs w:val="21"/>
          <w:shd w:val="clear" w:color="auto" w:fill="FFFFFF"/>
        </w:rPr>
        <w:t>公告期限</w:t>
      </w:r>
      <w:bookmarkEnd w:id="19"/>
      <w:bookmarkEnd w:id="20"/>
      <w:bookmarkEnd w:id="21"/>
      <w:bookmarkEnd w:id="22"/>
    </w:p>
    <w:p w14:paraId="1E004320">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本次</w:t>
      </w:r>
      <w:r>
        <w:rPr>
          <w:rFonts w:hint="eastAsia" w:ascii="宋体" w:hAnsi="宋体" w:eastAsia="宋体" w:cs="宋体"/>
          <w:color w:val="auto"/>
          <w:szCs w:val="21"/>
        </w:rPr>
        <w:t>采购</w:t>
      </w:r>
      <w:r>
        <w:rPr>
          <w:rFonts w:hint="eastAsia" w:ascii="宋体" w:hAnsi="宋体" w:eastAsia="宋体" w:cs="宋体"/>
          <w:color w:val="auto"/>
          <w:kern w:val="0"/>
          <w:szCs w:val="21"/>
          <w:shd w:val="clear" w:color="auto" w:fill="FFFFFF"/>
        </w:rPr>
        <w:t>公告在《驻马店市中心医院》院内网</w:t>
      </w:r>
      <w:r>
        <w:rPr>
          <w:rFonts w:hint="eastAsia" w:ascii="宋体" w:hAnsi="宋体" w:eastAsia="宋体" w:cs="宋体"/>
          <w:color w:val="auto"/>
          <w:szCs w:val="21"/>
        </w:rPr>
        <w:t>上发布，采购公告期限为三个工作日</w:t>
      </w:r>
      <w:r>
        <w:rPr>
          <w:rFonts w:hint="eastAsia" w:ascii="宋体" w:hAnsi="宋体" w:eastAsia="宋体" w:cs="宋体"/>
          <w:color w:val="auto"/>
          <w:kern w:val="0"/>
          <w:szCs w:val="21"/>
          <w:shd w:val="clear" w:color="auto" w:fill="FFFFFF"/>
        </w:rPr>
        <w:t>。</w:t>
      </w:r>
      <w:bookmarkStart w:id="23" w:name="_Toc35393795"/>
      <w:bookmarkStart w:id="24" w:name="_Toc35393626"/>
    </w:p>
    <w:bookmarkEnd w:id="23"/>
    <w:bookmarkEnd w:id="24"/>
    <w:p w14:paraId="0B1BDEDF">
      <w:pPr>
        <w:widowControl/>
        <w:snapToGrid w:val="0"/>
        <w:spacing w:line="324" w:lineRule="auto"/>
        <w:jc w:val="left"/>
        <w:outlineLvl w:val="1"/>
        <w:rPr>
          <w:rFonts w:hint="eastAsia" w:ascii="宋体" w:hAnsi="宋体" w:eastAsia="宋体" w:cs="宋体"/>
          <w:b/>
          <w:bCs/>
          <w:color w:val="auto"/>
          <w:szCs w:val="21"/>
        </w:rPr>
      </w:pPr>
      <w:bookmarkStart w:id="25" w:name="_Toc3604"/>
      <w:bookmarkStart w:id="26" w:name="_Toc16291"/>
      <w:bookmarkStart w:id="27" w:name="_Toc27370"/>
      <w:bookmarkStart w:id="28" w:name="_Toc31928"/>
      <w:bookmarkStart w:id="29" w:name="_Toc24274"/>
      <w:r>
        <w:rPr>
          <w:rFonts w:hint="eastAsia" w:ascii="宋体" w:hAnsi="宋体" w:eastAsia="宋体" w:cs="宋体"/>
          <w:b/>
          <w:bCs/>
          <w:color w:val="auto"/>
          <w:szCs w:val="21"/>
          <w:shd w:val="clear" w:color="auto" w:fill="FFFFFF"/>
        </w:rPr>
        <w:t>七、</w:t>
      </w:r>
      <w:bookmarkEnd w:id="25"/>
      <w:bookmarkEnd w:id="26"/>
      <w:bookmarkEnd w:id="27"/>
      <w:bookmarkEnd w:id="28"/>
      <w:bookmarkEnd w:id="29"/>
      <w:r>
        <w:rPr>
          <w:rFonts w:hint="eastAsia" w:ascii="宋体" w:hAnsi="宋体" w:eastAsia="宋体" w:cs="宋体"/>
          <w:b/>
          <w:bCs/>
          <w:color w:val="auto"/>
          <w:szCs w:val="21"/>
          <w:shd w:val="clear" w:color="auto" w:fill="FFFFFF"/>
        </w:rPr>
        <w:t>凡对本次招标提出询问，请按照以下方式联系</w:t>
      </w:r>
    </w:p>
    <w:p w14:paraId="4741C5FC">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1.采购人：驻马店市中心医院</w:t>
      </w:r>
    </w:p>
    <w:p w14:paraId="41553E7F">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地址：驻马店市中华大道747号</w:t>
      </w:r>
    </w:p>
    <w:p w14:paraId="7E4B61D4">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联系人：陈先生</w:t>
      </w:r>
    </w:p>
    <w:p w14:paraId="2CF4FE19">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15E7C2FF">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3.监督部门：驻马店市中心医院纪检监察室</w:t>
      </w:r>
    </w:p>
    <w:p w14:paraId="77307737">
      <w:pPr>
        <w:widowControl/>
        <w:snapToGrid w:val="0"/>
        <w:spacing w:line="324" w:lineRule="auto"/>
        <w:ind w:firstLine="420" w:firstLineChars="200"/>
        <w:jc w:val="left"/>
        <w:rPr>
          <w:rFonts w:hint="eastAsia" w:ascii="宋体" w:hAnsi="宋体" w:eastAsia="宋体" w:cs="宋体"/>
          <w:color w:val="auto"/>
          <w:kern w:val="0"/>
          <w:szCs w:val="21"/>
          <w:shd w:val="clear" w:color="auto" w:fill="FFFFFF"/>
        </w:rPr>
      </w:pPr>
      <w:r>
        <w:rPr>
          <w:rFonts w:hint="eastAsia" w:ascii="宋体" w:hAnsi="宋体" w:eastAsia="宋体" w:cs="宋体"/>
          <w:color w:val="auto"/>
          <w:kern w:val="0"/>
          <w:szCs w:val="21"/>
          <w:shd w:val="clear" w:color="auto" w:fill="FFFFFF"/>
        </w:rPr>
        <w:t>监督电话：0396-2726678</w:t>
      </w:r>
    </w:p>
    <w:p w14:paraId="195A7D3B">
      <w:pPr>
        <w:widowControl/>
        <w:snapToGrid w:val="0"/>
        <w:spacing w:line="324" w:lineRule="auto"/>
        <w:ind w:firstLine="420" w:firstLineChars="200"/>
        <w:jc w:val="righ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shd w:val="clear" w:color="auto" w:fill="FFFFFF"/>
        </w:rPr>
        <w:t>驻马店市中</w:t>
      </w:r>
      <w:r>
        <w:rPr>
          <w:rFonts w:hint="eastAsia" w:ascii="宋体" w:hAnsi="宋体" w:eastAsia="宋体" w:cs="宋体"/>
          <w:color w:val="auto"/>
          <w:kern w:val="0"/>
          <w:szCs w:val="21"/>
          <w:highlight w:val="none"/>
          <w:shd w:val="clear" w:color="auto" w:fill="FFFFFF"/>
        </w:rPr>
        <w:t>心医院采购科</w:t>
      </w:r>
    </w:p>
    <w:p w14:paraId="3F830AD6">
      <w:pPr>
        <w:pStyle w:val="29"/>
        <w:widowControl/>
        <w:snapToGrid w:val="0"/>
        <w:spacing w:before="0" w:beforeAutospacing="0" w:after="0" w:afterAutospacing="0" w:line="324"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r>
        <w:rPr>
          <w:rFonts w:hint="eastAsia" w:ascii="宋体" w:hAnsi="宋体" w:eastAsia="宋体" w:cs="宋体"/>
          <w:color w:val="auto"/>
          <w:sz w:val="21"/>
          <w:szCs w:val="21"/>
          <w:highlight w:val="none"/>
          <w:shd w:val="clear" w:color="auto" w:fill="FFFFFF"/>
          <w:lang w:eastAsia="zh-CN"/>
        </w:rPr>
        <w:t>2026年</w:t>
      </w:r>
      <w:r>
        <w:rPr>
          <w:rFonts w:hint="eastAsia" w:ascii="宋体" w:hAnsi="宋体" w:eastAsia="宋体" w:cs="宋体"/>
          <w:color w:val="auto"/>
          <w:sz w:val="21"/>
          <w:szCs w:val="21"/>
          <w:highlight w:val="none"/>
          <w:shd w:val="clear" w:color="auto" w:fill="FFFFFF"/>
          <w:lang w:val="en-US" w:eastAsia="zh-CN"/>
        </w:rPr>
        <w:t>01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26</w:t>
      </w:r>
      <w:r>
        <w:rPr>
          <w:rFonts w:hint="eastAsia" w:ascii="宋体" w:hAnsi="宋体" w:eastAsia="宋体" w:cs="宋体"/>
          <w:color w:val="auto"/>
          <w:sz w:val="21"/>
          <w:szCs w:val="21"/>
          <w:highlight w:val="none"/>
          <w:shd w:val="clear" w:color="auto" w:fill="FFFFFF"/>
        </w:rPr>
        <w:t>日</w:t>
      </w:r>
    </w:p>
    <w:p w14:paraId="21439BBF">
      <w:pPr>
        <w:rPr>
          <w:rFonts w:hint="eastAsia" w:ascii="宋体" w:hAnsi="宋体" w:eastAsia="宋体" w:cs="宋体"/>
          <w:b/>
          <w:color w:val="auto"/>
          <w:sz w:val="32"/>
          <w:szCs w:val="32"/>
        </w:rPr>
      </w:pPr>
      <w:bookmarkStart w:id="30" w:name="_Toc29890"/>
      <w:bookmarkStart w:id="31" w:name="_Toc23793"/>
      <w:r>
        <w:rPr>
          <w:rFonts w:hint="eastAsia" w:ascii="宋体" w:hAnsi="宋体" w:eastAsia="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eastAsia="宋体" w:cs="宋体"/>
          <w:b/>
          <w:sz w:val="32"/>
          <w:szCs w:val="32"/>
        </w:rPr>
      </w:pPr>
      <w:bookmarkStart w:id="32" w:name="_Toc5663"/>
      <w:r>
        <w:rPr>
          <w:rFonts w:hint="eastAsia" w:ascii="宋体" w:hAnsi="宋体" w:eastAsia="宋体" w:cs="宋体"/>
          <w:b/>
          <w:sz w:val="32"/>
          <w:szCs w:val="32"/>
        </w:rPr>
        <w:t>第二章  采购需求</w:t>
      </w:r>
      <w:bookmarkEnd w:id="32"/>
      <w:bookmarkStart w:id="33" w:name="_Toc9989"/>
      <w:bookmarkStart w:id="34" w:name="_Toc31536"/>
      <w:bookmarkStart w:id="35" w:name="_Toc23610"/>
    </w:p>
    <w:bookmarkEnd w:id="30"/>
    <w:bookmarkEnd w:id="31"/>
    <w:bookmarkEnd w:id="33"/>
    <w:bookmarkEnd w:id="34"/>
    <w:bookmarkEnd w:id="35"/>
    <w:p w14:paraId="488CE532">
      <w:pPr>
        <w:spacing w:line="360" w:lineRule="auto"/>
        <w:rPr>
          <w:rFonts w:hint="eastAsia" w:ascii="宋体" w:hAnsi="宋体" w:eastAsia="宋体" w:cs="宋体"/>
          <w:szCs w:val="21"/>
          <w:shd w:val="clear" w:color="auto" w:fill="FFFFFF"/>
          <w:lang w:eastAsia="zh-CN"/>
        </w:rPr>
      </w:pPr>
      <w:r>
        <w:rPr>
          <w:rFonts w:hint="eastAsia" w:ascii="宋体" w:hAnsi="宋体" w:eastAsia="宋体" w:cs="宋体"/>
          <w:b/>
          <w:bCs/>
          <w:iCs/>
          <w:szCs w:val="21"/>
        </w:rPr>
        <w:t>一、项目名称：</w:t>
      </w:r>
      <w:r>
        <w:rPr>
          <w:rFonts w:hint="eastAsia" w:ascii="宋体" w:hAnsi="宋体" w:eastAsia="宋体" w:cs="宋体"/>
          <w:szCs w:val="21"/>
          <w:shd w:val="clear" w:color="auto" w:fill="FFFFFF"/>
          <w:lang w:eastAsia="zh-CN"/>
        </w:rPr>
        <w:t>驻马店市中心医院病房改造提升项目施工图设计</w:t>
      </w:r>
    </w:p>
    <w:p w14:paraId="51DDEC47">
      <w:pPr>
        <w:spacing w:line="360" w:lineRule="auto"/>
        <w:rPr>
          <w:rFonts w:hint="eastAsia" w:ascii="宋体" w:hAnsi="宋体" w:eastAsia="宋体" w:cs="宋体"/>
          <w:b/>
          <w:bCs/>
          <w:szCs w:val="21"/>
          <w:shd w:val="clear" w:color="auto" w:fill="FFFFFF"/>
        </w:rPr>
      </w:pPr>
      <w:r>
        <w:rPr>
          <w:rFonts w:hint="eastAsia" w:ascii="宋体" w:hAnsi="宋体" w:eastAsia="宋体" w:cs="宋体"/>
          <w:b/>
          <w:bCs/>
          <w:szCs w:val="21"/>
          <w:shd w:val="clear" w:color="auto" w:fill="FFFFFF"/>
        </w:rPr>
        <w:t>二、项目概况：</w:t>
      </w:r>
    </w:p>
    <w:p w14:paraId="6346B1CC">
      <w:pPr>
        <w:spacing w:line="360" w:lineRule="auto"/>
        <w:ind w:firstLine="420" w:firstLineChars="200"/>
        <w:rPr>
          <w:rFonts w:hint="eastAsia" w:ascii="宋体" w:hAnsi="宋体" w:eastAsia="宋体" w:cs="宋体"/>
          <w:b w:val="0"/>
          <w:bCs w:val="0"/>
          <w:szCs w:val="21"/>
          <w:shd w:val="clear" w:color="auto" w:fill="FFFFFF"/>
          <w:lang w:val="en-US" w:eastAsia="zh-CN"/>
        </w:rPr>
      </w:pPr>
      <w:r>
        <w:rPr>
          <w:rFonts w:hint="eastAsia" w:ascii="宋体" w:hAnsi="宋体" w:cs="宋体"/>
          <w:b w:val="0"/>
          <w:bCs w:val="0"/>
          <w:szCs w:val="21"/>
          <w:shd w:val="clear" w:color="auto" w:fill="FFFFFF"/>
          <w:lang w:val="en-US" w:eastAsia="zh-CN"/>
        </w:rPr>
        <w:t>1.</w:t>
      </w:r>
      <w:r>
        <w:rPr>
          <w:rFonts w:hint="eastAsia" w:ascii="宋体" w:hAnsi="宋体" w:eastAsia="宋体" w:cs="宋体"/>
          <w:b w:val="0"/>
          <w:bCs w:val="0"/>
          <w:szCs w:val="21"/>
          <w:shd w:val="clear" w:color="auto" w:fill="FFFFFF"/>
          <w:lang w:val="en-US" w:eastAsia="zh-CN"/>
        </w:rPr>
        <w:t>项目建设地点：</w:t>
      </w:r>
    </w:p>
    <w:p w14:paraId="08274024">
      <w:pPr>
        <w:spacing w:line="360" w:lineRule="auto"/>
        <w:ind w:firstLine="420" w:firstLineChars="200"/>
        <w:rPr>
          <w:rFonts w:hint="eastAsia" w:ascii="宋体" w:hAnsi="宋体" w:eastAsia="宋体" w:cs="宋体"/>
          <w:b w:val="0"/>
          <w:bCs w:val="0"/>
          <w:szCs w:val="21"/>
          <w:shd w:val="clear" w:color="auto" w:fill="FFFFFF"/>
          <w:lang w:val="en-US" w:eastAsia="zh-CN"/>
        </w:rPr>
      </w:pPr>
      <w:r>
        <w:rPr>
          <w:rFonts w:hint="eastAsia" w:ascii="宋体" w:hAnsi="宋体" w:eastAsia="宋体" w:cs="宋体"/>
          <w:b w:val="0"/>
          <w:bCs w:val="0"/>
          <w:szCs w:val="21"/>
          <w:shd w:val="clear" w:color="auto" w:fill="FFFFFF"/>
          <w:lang w:val="en-US" w:eastAsia="zh-CN"/>
        </w:rPr>
        <w:t>本项目位于驻马店市中心医院院内(中华路与骏马路交叉口东西两侧，解放路和西园街交叉口，盘龙山大道、驿城大道、智慧路、吴房路合围处)。</w:t>
      </w:r>
    </w:p>
    <w:p w14:paraId="5C318350">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cs="宋体"/>
          <w:szCs w:val="21"/>
          <w:shd w:val="clear" w:color="auto" w:fill="FFFFFF"/>
          <w:lang w:val="en-US" w:eastAsia="zh-CN"/>
        </w:rPr>
        <w:t>2.</w:t>
      </w:r>
      <w:r>
        <w:rPr>
          <w:rFonts w:hint="eastAsia" w:ascii="宋体" w:hAnsi="宋体" w:eastAsia="宋体" w:cs="宋体"/>
          <w:szCs w:val="21"/>
          <w:shd w:val="clear" w:color="auto" w:fill="FFFFFF"/>
          <w:lang w:val="en-US" w:eastAsia="zh-CN"/>
        </w:rPr>
        <w:t>建设规模及内容：</w:t>
      </w:r>
    </w:p>
    <w:p w14:paraId="07C660F7">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本项目规划建筑面积约12.28万平方米，建设内容为将部分三人间及四人间病房改造为一人间或二人间病房、卫生间改造、空间改造、适老（儿）化改造和安全保障。主要包括二号病房楼的消防设施改造和整体环境改造，门诊楼、急诊楼的电梯改造和中央空调主机改造，四号病房楼的污水处理站改造和电梯改造，五号病房楼的消防设施改造和整体环境改造，康复分院病房楼改造和采暖系统改造等。改造完成后床位2100张。</w:t>
      </w:r>
    </w:p>
    <w:p w14:paraId="6D3406B8">
      <w:pPr>
        <w:spacing w:line="360" w:lineRule="auto"/>
        <w:ind w:firstLine="420" w:firstLineChars="200"/>
        <w:rPr>
          <w:rFonts w:hint="eastAsia" w:ascii="宋体" w:hAnsi="宋体" w:eastAsia="宋体" w:cs="宋体"/>
          <w:szCs w:val="21"/>
          <w:shd w:val="clear" w:color="auto" w:fill="FFFFFF"/>
          <w:lang w:val="en-US" w:eastAsia="zh-CN"/>
        </w:rPr>
      </w:pPr>
      <w:r>
        <w:rPr>
          <w:rFonts w:hint="eastAsia" w:ascii="宋体" w:hAnsi="宋体" w:eastAsia="宋体" w:cs="宋体"/>
          <w:szCs w:val="21"/>
          <w:shd w:val="clear" w:color="auto" w:fill="FFFFFF"/>
          <w:lang w:val="en-US" w:eastAsia="zh-CN"/>
        </w:rPr>
        <w:t>配套建设适老化、无障碍设施，改造供电、消防、供暖、给排水等设施。项目旨在改善病房环境与设施条件，调整病房空间，优化病区内部流线布局，提高空间使用效率。</w:t>
      </w:r>
    </w:p>
    <w:p w14:paraId="00A8B74A">
      <w:pPr>
        <w:spacing w:line="360" w:lineRule="auto"/>
        <w:ind w:firstLine="420" w:firstLineChars="200"/>
        <w:rPr>
          <w:rFonts w:hint="default" w:ascii="宋体" w:hAnsi="宋体" w:cs="宋体"/>
          <w:szCs w:val="21"/>
          <w:highlight w:val="none"/>
          <w:shd w:val="clear" w:color="auto" w:fill="FFFFFF"/>
          <w:lang w:val="en-US" w:eastAsia="zh-CN"/>
        </w:rPr>
      </w:pPr>
      <w:r>
        <w:rPr>
          <w:rFonts w:hint="eastAsia" w:ascii="宋体" w:hAnsi="宋体" w:cs="宋体"/>
          <w:szCs w:val="21"/>
          <w:highlight w:val="none"/>
          <w:shd w:val="clear" w:color="auto" w:fill="FFFFFF"/>
          <w:lang w:val="en-US" w:eastAsia="zh-CN"/>
        </w:rPr>
        <w:t>3.设计内容：</w:t>
      </w:r>
    </w:p>
    <w:p w14:paraId="123656F9">
      <w:pPr>
        <w:spacing w:line="360" w:lineRule="auto"/>
        <w:ind w:firstLine="420" w:firstLineChars="200"/>
        <w:rPr>
          <w:rFonts w:hint="default" w:ascii="宋体" w:hAnsi="宋体" w:cs="宋体"/>
          <w:szCs w:val="21"/>
          <w:highlight w:val="none"/>
          <w:shd w:val="clear" w:color="auto" w:fill="FFFFFF"/>
          <w:lang w:val="en-US" w:eastAsia="zh-CN"/>
        </w:rPr>
      </w:pPr>
      <w:r>
        <w:rPr>
          <w:rFonts w:hint="default" w:ascii="宋体" w:hAnsi="宋体" w:cs="宋体"/>
          <w:szCs w:val="21"/>
          <w:highlight w:val="none"/>
          <w:shd w:val="clear" w:color="auto" w:fill="FFFFFF"/>
          <w:lang w:val="en-US" w:eastAsia="zh-CN"/>
        </w:rPr>
        <w:t>驻马店市中心医院病房改造提升项目初步设计已完成，现需进行项目施工图设计。</w:t>
      </w:r>
    </w:p>
    <w:p w14:paraId="20A5028E">
      <w:pPr>
        <w:spacing w:line="360" w:lineRule="auto"/>
        <w:rPr>
          <w:rFonts w:hint="eastAsia" w:ascii="宋体" w:hAnsi="宋体" w:eastAsia="宋体" w:cs="宋体"/>
          <w:b/>
          <w:bCs/>
        </w:rPr>
      </w:pPr>
      <w:r>
        <w:rPr>
          <w:rFonts w:hint="eastAsia" w:ascii="宋体" w:hAnsi="宋体" w:cs="宋体"/>
          <w:b/>
          <w:bCs/>
          <w:lang w:val="en-US" w:eastAsia="zh-CN"/>
        </w:rPr>
        <w:t>三</w:t>
      </w:r>
      <w:r>
        <w:rPr>
          <w:rFonts w:hint="eastAsia" w:ascii="宋体" w:hAnsi="宋体" w:eastAsia="宋体" w:cs="宋体"/>
          <w:b/>
          <w:bCs/>
        </w:rPr>
        <w:t xml:space="preserve">、技术要求 </w:t>
      </w:r>
    </w:p>
    <w:p w14:paraId="755FC6AB">
      <w:pPr>
        <w:widowControl/>
        <w:snapToGrid w:val="0"/>
        <w:spacing w:line="360" w:lineRule="auto"/>
        <w:ind w:firstLine="440" w:firstLineChars="200"/>
        <w:rPr>
          <w:rFonts w:hint="eastAsia" w:ascii="宋体" w:hAnsi="宋体" w:eastAsia="宋体" w:cs="宋体"/>
          <w:sz w:val="22"/>
          <w:szCs w:val="28"/>
        </w:rPr>
      </w:pPr>
      <w:r>
        <w:rPr>
          <w:rFonts w:hint="eastAsia" w:ascii="宋体" w:hAnsi="宋体" w:eastAsia="宋体" w:cs="宋体"/>
          <w:sz w:val="22"/>
          <w:szCs w:val="28"/>
        </w:rPr>
        <w:t>1.</w:t>
      </w:r>
      <w:r>
        <w:rPr>
          <w:rFonts w:hint="eastAsia" w:ascii="宋体" w:hAnsi="宋体" w:eastAsia="宋体" w:cs="宋体"/>
          <w:sz w:val="22"/>
          <w:szCs w:val="28"/>
          <w:lang w:val="en-US" w:eastAsia="zh-CN"/>
        </w:rPr>
        <w:t>服务过程中应当满足采购人提出的各项合理要求。</w:t>
      </w:r>
    </w:p>
    <w:p w14:paraId="76557A17">
      <w:pPr>
        <w:widowControl/>
        <w:snapToGrid w:val="0"/>
        <w:spacing w:line="360" w:lineRule="auto"/>
        <w:ind w:firstLine="440" w:firstLineChars="200"/>
        <w:rPr>
          <w:rFonts w:hint="eastAsia" w:ascii="宋体" w:hAnsi="宋体" w:eastAsia="宋体" w:cs="宋体"/>
          <w:sz w:val="22"/>
          <w:szCs w:val="28"/>
        </w:rPr>
      </w:pPr>
      <w:r>
        <w:rPr>
          <w:rFonts w:hint="eastAsia" w:ascii="宋体" w:hAnsi="宋体" w:eastAsia="宋体" w:cs="宋体"/>
          <w:sz w:val="22"/>
          <w:szCs w:val="28"/>
          <w:lang w:val="en-US" w:eastAsia="zh-CN"/>
        </w:rPr>
        <w:t>2</w:t>
      </w:r>
      <w:r>
        <w:rPr>
          <w:rFonts w:hint="eastAsia" w:ascii="宋体" w:hAnsi="宋体" w:eastAsia="宋体" w:cs="宋体"/>
          <w:sz w:val="22"/>
          <w:szCs w:val="28"/>
        </w:rPr>
        <w:t>.</w:t>
      </w:r>
      <w:r>
        <w:rPr>
          <w:rFonts w:hint="eastAsia" w:ascii="宋体" w:hAnsi="宋体" w:eastAsia="宋体" w:cs="宋体"/>
          <w:sz w:val="22"/>
          <w:szCs w:val="28"/>
          <w:lang w:val="en-US" w:eastAsia="zh-CN"/>
        </w:rPr>
        <w:t>成果要求：最终提交施工图纸质文件6套(加盖供应商出图章)、CAD电子版图纸、电子文件光盘2套。</w:t>
      </w:r>
    </w:p>
    <w:p w14:paraId="233F8E3D">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3</w:t>
      </w:r>
      <w:r>
        <w:rPr>
          <w:rFonts w:hint="eastAsia" w:ascii="宋体" w:hAnsi="宋体" w:eastAsia="宋体" w:cs="宋体"/>
          <w:sz w:val="22"/>
          <w:szCs w:val="28"/>
        </w:rPr>
        <w:t>.</w:t>
      </w:r>
      <w:r>
        <w:rPr>
          <w:rFonts w:hint="eastAsia" w:ascii="宋体" w:hAnsi="宋体" w:eastAsia="宋体" w:cs="宋体"/>
          <w:sz w:val="22"/>
          <w:szCs w:val="28"/>
          <w:lang w:val="en-US" w:eastAsia="zh-CN"/>
        </w:rPr>
        <w:t>保密要求：本项目设计过程中所涉及的所有信息资料及所产生的成果的所有权归采购人所有，未经采购人书面允许不得将信息资料透露给第三方，否则采购人有权追究其法律责任。</w:t>
      </w:r>
    </w:p>
    <w:p w14:paraId="5A58EB02">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4.服务过程中保证安全生产，如有安全事故，其造成的伤害事故及一切经济损失，由成交供应商承担全责。</w:t>
      </w:r>
    </w:p>
    <w:p w14:paraId="140BE4AB">
      <w:pPr>
        <w:spacing w:line="360" w:lineRule="auto"/>
        <w:rPr>
          <w:rFonts w:hint="eastAsia" w:ascii="宋体" w:hAnsi="宋体" w:eastAsia="宋体" w:cs="宋体"/>
          <w:b/>
          <w:bCs/>
          <w:lang w:val="en-US" w:eastAsia="zh-CN"/>
        </w:rPr>
      </w:pPr>
      <w:r>
        <w:rPr>
          <w:rFonts w:hint="eastAsia" w:ascii="宋体" w:hAnsi="宋体" w:cs="宋体"/>
          <w:b/>
          <w:bCs/>
          <w:lang w:val="en-US" w:eastAsia="zh-CN"/>
        </w:rPr>
        <w:t>四</w:t>
      </w:r>
      <w:r>
        <w:rPr>
          <w:rFonts w:hint="eastAsia" w:ascii="宋体" w:hAnsi="宋体" w:eastAsia="宋体" w:cs="宋体"/>
          <w:b/>
          <w:bCs/>
          <w:lang w:val="en-US" w:eastAsia="zh-CN"/>
        </w:rPr>
        <w:t>、设计应遵循的规范依据</w:t>
      </w:r>
    </w:p>
    <w:p w14:paraId="31740F9A">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《驻马店城市规划技术规范（2020）》</w:t>
      </w:r>
    </w:p>
    <w:p w14:paraId="24B0ABAA">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《建筑工程设计文件编制深度规定》》建质函[2016]247号(2016版)</w:t>
      </w:r>
    </w:p>
    <w:p w14:paraId="5133FB6F">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《中华人民共和国工程建设标准强制性条文》(2013年）</w:t>
      </w:r>
    </w:p>
    <w:p w14:paraId="2929B1F4">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《既有建筑维护与改造通用规范》GB50022-2021</w:t>
      </w:r>
    </w:p>
    <w:p w14:paraId="03B73EB7">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《民用建筑设计统一标准》GB 50352-2019</w:t>
      </w:r>
    </w:p>
    <w:p w14:paraId="716158E6">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《民用建筑通用规范》GB 55031-2022</w:t>
      </w:r>
    </w:p>
    <w:p w14:paraId="0667CB35">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《建筑设计防火规范》GB 50016-2014（2018版）</w:t>
      </w:r>
    </w:p>
    <w:p w14:paraId="15E1784F">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《建筑防火通用规范》GB 55037-2022</w:t>
      </w:r>
    </w:p>
    <w:p w14:paraId="77C0E564">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《建筑内部装修设计防火规范》GB50222-2017</w:t>
      </w:r>
    </w:p>
    <w:p w14:paraId="36E6B49B">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《建筑钢结构防火技术规范》 GB51249-2017</w:t>
      </w:r>
    </w:p>
    <w:p w14:paraId="4E590D8D">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《建筑环境通用规范》GB 55016-2021</w:t>
      </w:r>
    </w:p>
    <w:p w14:paraId="1C50C57A">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《建筑与市政工程无障碍通用规范》GB 55019-2021</w:t>
      </w:r>
    </w:p>
    <w:p w14:paraId="530ABB15">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《建筑节能与可再生能源利用通用规范》GB 55015-2021</w:t>
      </w:r>
    </w:p>
    <w:p w14:paraId="2978EDB8">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《建筑与市政工程防水通用规范》GB 55030-2022</w:t>
      </w:r>
    </w:p>
    <w:p w14:paraId="5691C6F5">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《消防设施通用规范》GB55036-2022</w:t>
      </w:r>
    </w:p>
    <w:p w14:paraId="0EE02394">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《综合医院建筑设计规范》GB 51039-2014；</w:t>
      </w:r>
    </w:p>
    <w:p w14:paraId="3986CA4B">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《办公建筑设计标准》JGJ/T67-2019；</w:t>
      </w:r>
    </w:p>
    <w:p w14:paraId="5F7D141C">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《建筑地面设计规范》GB 50037-2013；</w:t>
      </w:r>
    </w:p>
    <w:p w14:paraId="683A9E37">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《建筑玻璃应用技术规程》JGJ 113-2015</w:t>
      </w:r>
    </w:p>
    <w:p w14:paraId="646A587C">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《无障碍设计规范》GB 50763-2012；</w:t>
      </w:r>
    </w:p>
    <w:p w14:paraId="76211AB6">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《民用建筑热工设计规范》GB 50176-2016；</w:t>
      </w:r>
    </w:p>
    <w:p w14:paraId="216E27AD">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《河南省公共建筑节能设计标准》DBJ41/T 075-2016；</w:t>
      </w:r>
    </w:p>
    <w:p w14:paraId="15A932D1">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《河南省绿色建筑评价标准》DBJ41/T 109-2025；</w:t>
      </w:r>
    </w:p>
    <w:p w14:paraId="11D34CD0">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《建筑外门窗气密、水密、抗风压性能检测方法》GB/T7106-2019；</w:t>
      </w:r>
    </w:p>
    <w:p w14:paraId="2A23389C">
      <w:pPr>
        <w:widowControl/>
        <w:snapToGrid w:val="0"/>
        <w:spacing w:line="360" w:lineRule="auto"/>
        <w:ind w:firstLine="440" w:firstLineChars="200"/>
        <w:rPr>
          <w:rFonts w:hint="eastAsia" w:ascii="宋体" w:hAnsi="宋体" w:eastAsia="宋体" w:cs="宋体"/>
          <w:sz w:val="22"/>
          <w:szCs w:val="28"/>
          <w:lang w:val="en-US" w:eastAsia="zh-CN"/>
        </w:rPr>
      </w:pPr>
      <w:r>
        <w:rPr>
          <w:rFonts w:hint="eastAsia" w:ascii="宋体" w:hAnsi="宋体" w:eastAsia="宋体" w:cs="宋体"/>
          <w:sz w:val="22"/>
          <w:szCs w:val="28"/>
          <w:lang w:val="en-US" w:eastAsia="zh-CN"/>
        </w:rPr>
        <w:t>以及其它国家现行的标准、规范等。</w:t>
      </w:r>
    </w:p>
    <w:p w14:paraId="69060DF0">
      <w:pPr>
        <w:rPr>
          <w:rFonts w:hint="eastAsia" w:ascii="宋体" w:hAnsi="宋体" w:eastAsia="宋体" w:cs="宋体"/>
          <w:b/>
          <w:bCs/>
          <w:lang w:val="en-US" w:eastAsia="zh-CN"/>
        </w:rPr>
      </w:pPr>
    </w:p>
    <w:p w14:paraId="5AA6AF84">
      <w:pPr>
        <w:rPr>
          <w:rFonts w:hint="eastAsia" w:ascii="宋体" w:hAnsi="宋体" w:eastAsia="宋体" w:cs="宋体"/>
          <w:b/>
          <w:bCs/>
          <w:lang w:val="en-US" w:eastAsia="zh-CN"/>
        </w:rPr>
        <w:sectPr>
          <w:footerReference r:id="rId5" w:type="default"/>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3C9242AE">
      <w:pPr>
        <w:snapToGrid w:val="0"/>
        <w:spacing w:before="159" w:beforeLines="50"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7871"/>
      </w:tblGrid>
      <w:tr w14:paraId="25F4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214CEEC">
            <w:pPr>
              <w:widowControl/>
              <w:spacing w:line="36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服务质量</w:t>
            </w:r>
          </w:p>
        </w:tc>
        <w:tc>
          <w:tcPr>
            <w:tcW w:w="7871" w:type="dxa"/>
            <w:tcBorders>
              <w:top w:val="single" w:color="auto" w:sz="4" w:space="0"/>
              <w:left w:val="single" w:color="auto" w:sz="4" w:space="0"/>
              <w:bottom w:val="single" w:color="auto" w:sz="4" w:space="0"/>
              <w:right w:val="single" w:color="auto" w:sz="4" w:space="0"/>
            </w:tcBorders>
            <w:noWrap/>
            <w:vAlign w:val="center"/>
          </w:tcPr>
          <w:p w14:paraId="5955C17C">
            <w:pPr>
              <w:widowControl/>
              <w:tabs>
                <w:tab w:val="left" w:pos="840"/>
              </w:tabs>
              <w:snapToGrid w:val="0"/>
              <w:spacing w:line="324" w:lineRule="auto"/>
              <w:jc w:val="left"/>
              <w:rPr>
                <w:rFonts w:hint="eastAsia" w:ascii="宋体" w:hAnsi="宋体" w:eastAsia="宋体" w:cs="宋体"/>
                <w:kern w:val="0"/>
                <w:szCs w:val="21"/>
                <w:highlight w:val="none"/>
                <w:lang w:eastAsia="zh-CN"/>
              </w:rPr>
            </w:pPr>
            <w:r>
              <w:rPr>
                <w:rFonts w:hint="eastAsia" w:ascii="宋体" w:hAnsi="宋体" w:eastAsia="宋体" w:cs="宋体"/>
                <w:szCs w:val="21"/>
                <w:highlight w:val="none"/>
                <w:shd w:val="clear" w:color="auto" w:fill="FFFFFF"/>
                <w:lang w:val="en-US" w:eastAsia="zh-CN"/>
              </w:rPr>
              <w:t>按照国家、行业和地方现行法律、法规、规章制度、规范及标准要求进行设计，设计成果应当满足采购人要求。</w:t>
            </w:r>
          </w:p>
        </w:tc>
      </w:tr>
      <w:tr w14:paraId="7F0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AD20591">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rPr>
              <w:t>服务期限</w:t>
            </w:r>
          </w:p>
        </w:tc>
        <w:tc>
          <w:tcPr>
            <w:tcW w:w="7871" w:type="dxa"/>
            <w:tcBorders>
              <w:top w:val="single" w:color="auto" w:sz="4" w:space="0"/>
              <w:left w:val="single" w:color="auto" w:sz="4" w:space="0"/>
              <w:bottom w:val="single" w:color="auto" w:sz="4" w:space="0"/>
              <w:right w:val="single" w:color="auto" w:sz="4" w:space="0"/>
            </w:tcBorders>
            <w:noWrap/>
            <w:vAlign w:val="center"/>
          </w:tcPr>
          <w:p w14:paraId="562C5D7F">
            <w:pPr>
              <w:widowControl/>
              <w:spacing w:line="3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服务期限要求</w:t>
            </w:r>
            <w:r>
              <w:rPr>
                <w:rFonts w:hint="eastAsia" w:ascii="宋体" w:hAnsi="宋体" w:eastAsia="宋体" w:cs="宋体"/>
                <w:kern w:val="0"/>
                <w:szCs w:val="21"/>
                <w:lang w:val="en-US" w:eastAsia="zh-CN"/>
              </w:rPr>
              <w:t>30</w:t>
            </w:r>
            <w:r>
              <w:rPr>
                <w:rFonts w:hint="eastAsia" w:ascii="宋体" w:hAnsi="宋体" w:eastAsia="宋体" w:cs="宋体"/>
                <w:kern w:val="0"/>
                <w:szCs w:val="21"/>
                <w:lang w:eastAsia="zh-CN"/>
              </w:rPr>
              <w:t>天，响应院方</w:t>
            </w:r>
            <w:r>
              <w:rPr>
                <w:rFonts w:hint="eastAsia" w:ascii="宋体" w:hAnsi="宋体" w:eastAsia="宋体" w:cs="宋体"/>
                <w:kern w:val="0"/>
                <w:szCs w:val="21"/>
                <w:lang w:val="en-US" w:eastAsia="zh-CN"/>
              </w:rPr>
              <w:t>服务期限</w:t>
            </w:r>
            <w:r>
              <w:rPr>
                <w:rFonts w:hint="eastAsia" w:ascii="宋体" w:hAnsi="宋体" w:eastAsia="宋体" w:cs="宋体"/>
                <w:kern w:val="0"/>
                <w:szCs w:val="21"/>
                <w:lang w:eastAsia="zh-CN"/>
              </w:rPr>
              <w:t>要求，若承诺的</w:t>
            </w:r>
            <w:r>
              <w:rPr>
                <w:rFonts w:hint="eastAsia" w:ascii="宋体" w:hAnsi="宋体" w:eastAsia="宋体" w:cs="宋体"/>
                <w:kern w:val="0"/>
                <w:szCs w:val="21"/>
                <w:lang w:val="en-US" w:eastAsia="zh-CN"/>
              </w:rPr>
              <w:t>期限内</w:t>
            </w:r>
            <w:r>
              <w:rPr>
                <w:rFonts w:hint="eastAsia" w:ascii="宋体" w:hAnsi="宋体" w:eastAsia="宋体" w:cs="宋体"/>
                <w:kern w:val="0"/>
                <w:szCs w:val="21"/>
                <w:lang w:eastAsia="zh-CN"/>
              </w:rPr>
              <w:t>不能按时完成，按合同约定进行处罚。</w:t>
            </w:r>
          </w:p>
        </w:tc>
      </w:tr>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7FB07336">
            <w:pPr>
              <w:pStyle w:val="15"/>
              <w:jc w:val="center"/>
              <w:rPr>
                <w:rFonts w:hint="eastAsia" w:ascii="宋体" w:hAnsi="宋体" w:eastAsia="宋体" w:cs="宋体"/>
                <w:sz w:val="21"/>
                <w:szCs w:val="21"/>
              </w:rPr>
            </w:pPr>
            <w:r>
              <w:rPr>
                <w:rFonts w:hint="eastAsia" w:ascii="宋体" w:hAnsi="宋体" w:eastAsia="宋体" w:cs="宋体"/>
                <w:sz w:val="21"/>
                <w:szCs w:val="21"/>
              </w:rPr>
              <w:t>支付方式</w:t>
            </w:r>
          </w:p>
        </w:tc>
        <w:tc>
          <w:tcPr>
            <w:tcW w:w="7871" w:type="dxa"/>
            <w:tcBorders>
              <w:top w:val="single" w:color="auto" w:sz="4" w:space="0"/>
              <w:left w:val="single" w:color="auto" w:sz="4" w:space="0"/>
              <w:bottom w:val="single" w:color="auto" w:sz="4" w:space="0"/>
              <w:right w:val="single" w:color="auto" w:sz="4" w:space="0"/>
            </w:tcBorders>
            <w:noWrap/>
            <w:vAlign w:val="center"/>
          </w:tcPr>
          <w:p w14:paraId="2F40D1A2">
            <w:pPr>
              <w:pStyle w:val="15"/>
              <w:rPr>
                <w:rFonts w:hint="eastAsia" w:ascii="宋体" w:hAnsi="宋体" w:eastAsia="宋体" w:cs="宋体"/>
                <w:szCs w:val="21"/>
                <w:shd w:val="clear" w:color="auto" w:fill="FFFFFF"/>
              </w:rPr>
            </w:pPr>
            <w:r>
              <w:rPr>
                <w:rFonts w:hint="eastAsia" w:ascii="宋体" w:hAnsi="宋体" w:eastAsia="宋体" w:cs="宋体"/>
                <w:sz w:val="21"/>
                <w:szCs w:val="21"/>
              </w:rPr>
              <w:t>以合同约定为准。</w:t>
            </w:r>
          </w:p>
        </w:tc>
      </w:tr>
    </w:tbl>
    <w:p w14:paraId="0EE5DA11">
      <w:pPr>
        <w:snapToGrid w:val="0"/>
        <w:spacing w:before="159" w:beforeLines="50" w:line="360" w:lineRule="auto"/>
        <w:jc w:val="center"/>
        <w:rPr>
          <w:rFonts w:hint="eastAsia" w:ascii="宋体" w:hAnsi="宋体" w:eastAsia="宋体" w:cs="宋体"/>
          <w:b/>
          <w:bCs/>
          <w:sz w:val="30"/>
          <w:szCs w:val="30"/>
        </w:rPr>
      </w:pPr>
    </w:p>
    <w:p w14:paraId="3D8003AE">
      <w:pPr>
        <w:rPr>
          <w:rFonts w:hint="eastAsia" w:ascii="宋体" w:hAnsi="宋体" w:eastAsia="宋体" w:cs="宋体"/>
        </w:rPr>
      </w:pPr>
    </w:p>
    <w:p w14:paraId="731A083E">
      <w:pPr>
        <w:jc w:val="center"/>
        <w:outlineLvl w:val="0"/>
        <w:rPr>
          <w:rFonts w:hint="eastAsia" w:ascii="宋体" w:hAnsi="宋体" w:eastAsia="宋体" w:cs="宋体"/>
          <w:b/>
          <w:bCs/>
          <w:sz w:val="32"/>
          <w:szCs w:val="32"/>
        </w:rPr>
      </w:pPr>
    </w:p>
    <w:p w14:paraId="48BB3127">
      <w:pPr>
        <w:jc w:val="center"/>
        <w:outlineLvl w:val="0"/>
        <w:rPr>
          <w:rFonts w:hint="eastAsia" w:ascii="宋体" w:hAnsi="宋体" w:eastAsia="宋体" w:cs="宋体"/>
          <w:b/>
          <w:bCs/>
          <w:sz w:val="32"/>
          <w:szCs w:val="32"/>
        </w:rPr>
      </w:pPr>
    </w:p>
    <w:p w14:paraId="50597E1B">
      <w:pPr>
        <w:jc w:val="center"/>
        <w:outlineLvl w:val="0"/>
        <w:rPr>
          <w:rFonts w:hint="eastAsia" w:ascii="宋体" w:hAnsi="宋体" w:eastAsia="宋体" w:cs="宋体"/>
          <w:b/>
          <w:bCs/>
          <w:sz w:val="32"/>
          <w:szCs w:val="32"/>
        </w:rPr>
      </w:pPr>
    </w:p>
    <w:p w14:paraId="1447C2F4">
      <w:pPr>
        <w:jc w:val="center"/>
        <w:outlineLvl w:val="0"/>
        <w:rPr>
          <w:rFonts w:hint="eastAsia" w:ascii="宋体" w:hAnsi="宋体" w:eastAsia="宋体" w:cs="宋体"/>
          <w:b/>
          <w:bCs/>
          <w:sz w:val="32"/>
          <w:szCs w:val="32"/>
        </w:rPr>
      </w:pPr>
    </w:p>
    <w:p w14:paraId="200EC8C2">
      <w:pPr>
        <w:jc w:val="center"/>
        <w:outlineLvl w:val="0"/>
        <w:rPr>
          <w:rFonts w:hint="eastAsia" w:ascii="宋体" w:hAnsi="宋体" w:eastAsia="宋体" w:cs="宋体"/>
          <w:b/>
          <w:bCs/>
          <w:sz w:val="32"/>
          <w:szCs w:val="32"/>
        </w:rPr>
      </w:pPr>
    </w:p>
    <w:p w14:paraId="72388434">
      <w:pPr>
        <w:jc w:val="center"/>
        <w:outlineLvl w:val="0"/>
        <w:rPr>
          <w:rFonts w:hint="eastAsia" w:ascii="宋体" w:hAnsi="宋体" w:eastAsia="宋体" w:cs="宋体"/>
          <w:b/>
          <w:bCs/>
          <w:sz w:val="32"/>
          <w:szCs w:val="32"/>
        </w:rPr>
      </w:pPr>
    </w:p>
    <w:p w14:paraId="7D34B4E6">
      <w:pPr>
        <w:jc w:val="center"/>
        <w:outlineLvl w:val="0"/>
        <w:rPr>
          <w:rFonts w:hint="eastAsia" w:ascii="宋体" w:hAnsi="宋体" w:eastAsia="宋体" w:cs="宋体"/>
          <w:b/>
          <w:bCs/>
          <w:sz w:val="32"/>
          <w:szCs w:val="32"/>
        </w:rPr>
      </w:pPr>
    </w:p>
    <w:p w14:paraId="2FCFB5E4">
      <w:pPr>
        <w:jc w:val="center"/>
        <w:outlineLvl w:val="0"/>
        <w:rPr>
          <w:rFonts w:hint="eastAsia" w:ascii="宋体" w:hAnsi="宋体" w:eastAsia="宋体" w:cs="宋体"/>
          <w:b/>
          <w:bCs/>
          <w:sz w:val="32"/>
          <w:szCs w:val="32"/>
        </w:rPr>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pPr>
    </w:p>
    <w:p w14:paraId="6A0CDF0D">
      <w:pPr>
        <w:jc w:val="center"/>
        <w:outlineLvl w:val="0"/>
        <w:rPr>
          <w:rFonts w:hint="eastAsia" w:ascii="宋体" w:hAnsi="宋体" w:eastAsia="宋体" w:cs="宋体"/>
          <w:b/>
          <w:bCs/>
          <w:sz w:val="32"/>
          <w:szCs w:val="32"/>
        </w:rPr>
      </w:pPr>
      <w:bookmarkStart w:id="36" w:name="_Toc9856"/>
      <w:r>
        <w:rPr>
          <w:rFonts w:hint="eastAsia" w:ascii="宋体" w:hAnsi="宋体" w:eastAsia="宋体" w:cs="宋体"/>
          <w:b/>
          <w:bCs/>
          <w:sz w:val="32"/>
          <w:szCs w:val="32"/>
        </w:rPr>
        <w:t>第三章  供应商须知</w:t>
      </w:r>
      <w:bookmarkEnd w:id="36"/>
    </w:p>
    <w:p w14:paraId="0AD5ED89">
      <w:pPr>
        <w:snapToGrid w:val="0"/>
        <w:spacing w:before="159" w:beforeLines="50" w:line="360" w:lineRule="auto"/>
        <w:jc w:val="center"/>
        <w:outlineLvl w:val="1"/>
        <w:rPr>
          <w:rFonts w:hint="eastAsia" w:ascii="宋体" w:hAnsi="宋体" w:eastAsia="宋体" w:cs="宋体"/>
          <w:sz w:val="28"/>
          <w:szCs w:val="28"/>
        </w:rPr>
      </w:pPr>
      <w:r>
        <w:rPr>
          <w:rFonts w:hint="eastAsia" w:ascii="宋体" w:hAnsi="宋体" w:eastAsia="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1701A8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066541">
            <w:pPr>
              <w:widowControl/>
              <w:jc w:val="center"/>
              <w:rPr>
                <w:rFonts w:hint="eastAsia" w:ascii="宋体" w:hAnsi="宋体" w:eastAsia="宋体" w:cs="宋体"/>
                <w:kern w:val="0"/>
                <w:szCs w:val="21"/>
              </w:rPr>
            </w:pPr>
            <w:r>
              <w:rPr>
                <w:rFonts w:hint="eastAsia" w:ascii="宋体" w:hAnsi="宋体" w:eastAsia="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74934">
            <w:pPr>
              <w:widowControl/>
              <w:jc w:val="center"/>
              <w:rPr>
                <w:rFonts w:hint="eastAsia" w:ascii="宋体" w:hAnsi="宋体" w:eastAsia="宋体" w:cs="宋体"/>
                <w:kern w:val="0"/>
                <w:szCs w:val="21"/>
              </w:rPr>
            </w:pPr>
            <w:r>
              <w:rPr>
                <w:rFonts w:hint="eastAsia" w:ascii="宋体" w:hAnsi="宋体" w:eastAsia="宋体" w:cs="宋体"/>
                <w:kern w:val="0"/>
                <w:szCs w:val="21"/>
              </w:rPr>
              <w:t>内容、要求</w:t>
            </w:r>
          </w:p>
        </w:tc>
      </w:tr>
      <w:tr w14:paraId="4FDADD1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B636DD">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eastAsia="宋体" w:cs="宋体"/>
                <w:szCs w:val="21"/>
                <w:shd w:val="clear" w:color="auto" w:fill="FFFFFF"/>
                <w:lang w:eastAsia="zh-CN"/>
              </w:rPr>
            </w:pPr>
            <w:bookmarkStart w:id="37" w:name="_Toc27817"/>
            <w:bookmarkStart w:id="38" w:name="_Toc9566"/>
            <w:bookmarkStart w:id="39" w:name="_Toc30169"/>
            <w:bookmarkStart w:id="40" w:name="_Toc20050"/>
            <w:r>
              <w:rPr>
                <w:rFonts w:hint="eastAsia" w:ascii="宋体" w:hAnsi="宋体" w:eastAsia="宋体" w:cs="宋体"/>
              </w:rPr>
              <w:t>1.1项目名称：</w:t>
            </w:r>
            <w:bookmarkEnd w:id="37"/>
            <w:bookmarkEnd w:id="38"/>
            <w:bookmarkEnd w:id="39"/>
            <w:bookmarkStart w:id="41" w:name="_Toc23424"/>
            <w:bookmarkStart w:id="42" w:name="_Toc29400"/>
            <w:bookmarkStart w:id="43" w:name="_Toc28320"/>
            <w:r>
              <w:rPr>
                <w:rFonts w:hint="eastAsia" w:ascii="宋体" w:hAnsi="宋体" w:eastAsia="宋体" w:cs="宋体"/>
                <w:szCs w:val="21"/>
                <w:shd w:val="clear" w:color="auto" w:fill="FFFFFF"/>
                <w:lang w:eastAsia="zh-CN"/>
              </w:rPr>
              <w:t>驻马店市中心医院病房改造提升项目施工图设计</w:t>
            </w:r>
            <w:bookmarkEnd w:id="40"/>
          </w:p>
          <w:p w14:paraId="59958B17">
            <w:pPr>
              <w:widowControl/>
              <w:snapToGrid w:val="0"/>
              <w:spacing w:line="440" w:lineRule="exact"/>
              <w:jc w:val="left"/>
              <w:outlineLvl w:val="0"/>
              <w:rPr>
                <w:rFonts w:hint="eastAsia" w:ascii="宋体" w:hAnsi="宋体" w:eastAsia="宋体" w:cs="宋体"/>
              </w:rPr>
            </w:pPr>
            <w:bookmarkStart w:id="44" w:name="_Toc16555"/>
            <w:r>
              <w:rPr>
                <w:rFonts w:hint="eastAsia" w:ascii="宋体" w:hAnsi="宋体" w:eastAsia="宋体" w:cs="宋体"/>
              </w:rPr>
              <w:t>1.2采购人名称：</w:t>
            </w:r>
            <w:bookmarkEnd w:id="41"/>
            <w:bookmarkEnd w:id="42"/>
            <w:bookmarkEnd w:id="43"/>
            <w:r>
              <w:rPr>
                <w:rFonts w:hint="eastAsia" w:ascii="宋体" w:hAnsi="宋体" w:eastAsia="宋体" w:cs="宋体"/>
              </w:rPr>
              <w:t>驻马店市中心医院</w:t>
            </w:r>
            <w:bookmarkEnd w:id="44"/>
          </w:p>
          <w:p w14:paraId="5905D575">
            <w:pPr>
              <w:widowControl/>
              <w:snapToGrid w:val="0"/>
              <w:spacing w:line="440" w:lineRule="exact"/>
              <w:jc w:val="left"/>
              <w:outlineLvl w:val="0"/>
              <w:rPr>
                <w:rFonts w:hint="eastAsia" w:ascii="宋体" w:hAnsi="宋体" w:eastAsia="宋体" w:cs="宋体"/>
              </w:rPr>
            </w:pPr>
            <w:bookmarkStart w:id="45" w:name="_Toc3148"/>
            <w:bookmarkStart w:id="46" w:name="_Toc3618"/>
            <w:bookmarkStart w:id="47" w:name="_Toc26199"/>
            <w:bookmarkStart w:id="48" w:name="_Toc24541"/>
            <w:r>
              <w:rPr>
                <w:rFonts w:hint="eastAsia" w:ascii="宋体" w:hAnsi="宋体" w:eastAsia="宋体" w:cs="宋体"/>
              </w:rPr>
              <w:t>1.3采购范围：详见第二章采购需求</w:t>
            </w:r>
            <w:bookmarkEnd w:id="45"/>
            <w:bookmarkEnd w:id="46"/>
            <w:bookmarkEnd w:id="47"/>
            <w:bookmarkEnd w:id="48"/>
          </w:p>
        </w:tc>
      </w:tr>
      <w:tr w14:paraId="5E2392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61AC28">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162F5B">
            <w:pPr>
              <w:widowControl/>
              <w:spacing w:line="440" w:lineRule="exact"/>
              <w:rPr>
                <w:rFonts w:hint="eastAsia" w:ascii="宋体" w:hAnsi="宋体" w:eastAsia="宋体" w:cs="宋体"/>
                <w:kern w:val="0"/>
                <w:szCs w:val="21"/>
              </w:rPr>
            </w:pPr>
            <w:r>
              <w:rPr>
                <w:rFonts w:hint="eastAsia" w:ascii="宋体" w:hAnsi="宋体" w:eastAsia="宋体" w:cs="宋体"/>
                <w:kern w:val="0"/>
                <w:szCs w:val="21"/>
              </w:rPr>
              <w:t>合格供应商：具备采购公告第二项规定的条件。</w:t>
            </w:r>
          </w:p>
        </w:tc>
      </w:tr>
      <w:tr w14:paraId="25317FCB">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7987B">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采购预算：</w:t>
            </w:r>
            <w:r>
              <w:rPr>
                <w:rFonts w:hint="eastAsia" w:ascii="宋体" w:hAnsi="宋体" w:eastAsia="宋体" w:cs="宋体"/>
                <w:szCs w:val="21"/>
                <w:shd w:val="clear" w:color="auto" w:fill="FFFFFF"/>
                <w:lang w:val="en-US" w:eastAsia="zh-CN"/>
              </w:rPr>
              <w:t>49.5</w:t>
            </w:r>
            <w:r>
              <w:rPr>
                <w:rFonts w:hint="eastAsia" w:ascii="宋体" w:hAnsi="宋体" w:eastAsia="宋体" w:cs="宋体"/>
                <w:szCs w:val="21"/>
                <w:shd w:val="clear" w:color="auto" w:fill="FFFFFF"/>
              </w:rPr>
              <w:t>万元；</w:t>
            </w:r>
          </w:p>
          <w:p w14:paraId="3781D0F9">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3.1 本项目以人民币报价。</w:t>
            </w:r>
          </w:p>
          <w:p w14:paraId="0A3AB92D">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3.3 本项目由成交供应商缴纳代理服务费。代理服务费不得高于《招代理机构服务管理暂行办法》（计价格[2002]1980号）相应标准：</w:t>
            </w:r>
          </w:p>
          <w:tbl>
            <w:tblPr>
              <w:tblStyle w:val="34"/>
              <w:tblW w:w="887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6"/>
              <w:gridCol w:w="1738"/>
              <w:gridCol w:w="1690"/>
              <w:gridCol w:w="1495"/>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3956" w:type="dxa"/>
                  <w:tcBorders>
                    <w:tl2br w:val="single" w:color="auto" w:sz="4" w:space="0"/>
                  </w:tcBorders>
                </w:tcPr>
                <w:p w14:paraId="3E0EBA30">
                  <w:pPr>
                    <w:widowControl/>
                    <w:snapToGrid w:val="0"/>
                    <w:rPr>
                      <w:rFonts w:hint="eastAsia" w:ascii="宋体" w:hAnsi="宋体" w:eastAsia="宋体" w:cs="宋体"/>
                      <w:b/>
                      <w:bCs/>
                      <w:kern w:val="0"/>
                      <w:szCs w:val="21"/>
                    </w:rPr>
                  </w:pPr>
                  <w:r>
                    <w:rPr>
                      <w:rFonts w:hint="eastAsia" w:ascii="宋体" w:hAnsi="宋体" w:eastAsia="宋体" w:cs="宋体"/>
                      <w:b/>
                      <w:bCs/>
                    </w:rPr>
                    <mc:AlternateContent>
                      <mc:Choice Requires="wps">
                        <w:drawing>
                          <wp:anchor distT="0" distB="0" distL="114300" distR="114300" simplePos="0" relativeHeight="251659264" behindDoc="0" locked="0" layoutInCell="1" allowOverlap="1">
                            <wp:simplePos x="0" y="0"/>
                            <wp:positionH relativeFrom="column">
                              <wp:posOffset>1200785</wp:posOffset>
                            </wp:positionH>
                            <wp:positionV relativeFrom="paragraph">
                              <wp:posOffset>99060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55pt;margin-top:7.8pt;height:24.05pt;width:76.4pt;z-index:251659264;mso-width-relative:page;mso-height-relative:page;" fillcolor="#FFFFFF [3201]" filled="t" stroked="f" coordsize="21600,21600" o:gfxdata="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9pYa7V&#10;AAAACQEAAA8AAAAAAAAAAQAgAAAAIgAAAGRycy9kb3ducmV2LnhtbFBLAQIUABQAAAAIAIdO4kDc&#10;TRLkXAIAAJoEAAAOAAAAAAAAAAEAIAAAACQBAABkcnMvZTJvRG9jLnhtbFBLBQYAAAAABgAGAFkB&#10;AADyBQ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lang w:val="en-US" w:eastAsia="zh-CN"/>
                                          </w:rPr>
                                          <w:t>成交</w:t>
                                        </w:r>
                                        <w:r>
                                          <w:rPr>
                                            <w:rFonts w:hint="eastAsia"/>
                                            <w:b/>
                                            <w:bCs/>
                                          </w:rPr>
                                          <w:t>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lang w:val="en-US" w:eastAsia="zh-CN"/>
                                    </w:rPr>
                                    <w:t>成交</w:t>
                                  </w:r>
                                  <w:r>
                                    <w:rPr>
                                      <w:rFonts w:hint="eastAsia"/>
                                      <w:b/>
                                      <w:bCs/>
                                    </w:rPr>
                                    <w:t>金额</w:t>
                                  </w:r>
                                </w:p>
                              </w:txbxContent>
                            </v:textbox>
                          </v:shape>
                        </w:pict>
                      </mc:Fallback>
                    </mc:AlternateContent>
                  </w:r>
                </w:p>
              </w:tc>
              <w:tc>
                <w:tcPr>
                  <w:tcW w:w="1738" w:type="dxa"/>
                  <w:vAlign w:val="center"/>
                </w:tcPr>
                <w:p w14:paraId="474E5C36">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货物招标</w:t>
                  </w:r>
                </w:p>
              </w:tc>
              <w:tc>
                <w:tcPr>
                  <w:tcW w:w="1690" w:type="dxa"/>
                  <w:vAlign w:val="center"/>
                </w:tcPr>
                <w:p w14:paraId="243451C5">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服务招标</w:t>
                  </w:r>
                </w:p>
              </w:tc>
              <w:tc>
                <w:tcPr>
                  <w:tcW w:w="1495" w:type="dxa"/>
                  <w:vAlign w:val="center"/>
                </w:tcPr>
                <w:p w14:paraId="0631B75B">
                  <w:pPr>
                    <w:widowControl/>
                    <w:snapToGrid w:val="0"/>
                    <w:spacing w:line="440" w:lineRule="exact"/>
                    <w:jc w:val="center"/>
                    <w:rPr>
                      <w:rFonts w:hint="eastAsia" w:ascii="宋体" w:hAnsi="宋体" w:eastAsia="宋体" w:cs="宋体"/>
                      <w:b/>
                      <w:bCs/>
                      <w:kern w:val="0"/>
                      <w:szCs w:val="21"/>
                    </w:rPr>
                  </w:pPr>
                  <w:r>
                    <w:rPr>
                      <w:rFonts w:hint="eastAsia" w:ascii="宋体" w:hAnsi="宋体" w:eastAsia="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3956" w:type="dxa"/>
                  <w:vAlign w:val="center"/>
                </w:tcPr>
                <w:p w14:paraId="75249740">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100万元以下</w:t>
                  </w:r>
                </w:p>
              </w:tc>
              <w:tc>
                <w:tcPr>
                  <w:tcW w:w="1738" w:type="dxa"/>
                  <w:vAlign w:val="center"/>
                </w:tcPr>
                <w:p w14:paraId="17CB70A8">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690" w:type="dxa"/>
                  <w:vAlign w:val="center"/>
                </w:tcPr>
                <w:p w14:paraId="72ADA0FD">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1.5%</w:t>
                  </w:r>
                </w:p>
              </w:tc>
              <w:tc>
                <w:tcPr>
                  <w:tcW w:w="1495" w:type="dxa"/>
                  <w:vAlign w:val="center"/>
                </w:tcPr>
                <w:p w14:paraId="0A060073">
                  <w:pPr>
                    <w:widowControl/>
                    <w:snapToGrid w:val="0"/>
                    <w:spacing w:line="440" w:lineRule="exact"/>
                    <w:jc w:val="center"/>
                    <w:rPr>
                      <w:rFonts w:hint="eastAsia" w:ascii="宋体" w:hAnsi="宋体" w:eastAsia="宋体" w:cs="宋体"/>
                      <w:kern w:val="0"/>
                      <w:szCs w:val="21"/>
                    </w:rPr>
                  </w:pPr>
                  <w:r>
                    <w:rPr>
                      <w:rFonts w:hint="eastAsia" w:ascii="宋体" w:hAnsi="宋体" w:eastAsia="宋体" w:cs="宋体"/>
                      <w:kern w:val="0"/>
                      <w:szCs w:val="21"/>
                    </w:rPr>
                    <w:t>1.0%</w:t>
                  </w:r>
                </w:p>
              </w:tc>
            </w:tr>
          </w:tbl>
          <w:p w14:paraId="35374A7D">
            <w:pPr>
              <w:widowControl/>
              <w:snapToGrid w:val="0"/>
              <w:spacing w:line="440" w:lineRule="exact"/>
              <w:jc w:val="left"/>
              <w:rPr>
                <w:rFonts w:hint="eastAsia" w:ascii="宋体" w:hAnsi="宋体" w:eastAsia="宋体" w:cs="宋体"/>
                <w:kern w:val="0"/>
                <w:szCs w:val="21"/>
              </w:rPr>
            </w:pPr>
          </w:p>
        </w:tc>
      </w:tr>
      <w:tr w14:paraId="770A470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0552D">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D095A8">
            <w:pPr>
              <w:widowControl/>
              <w:spacing w:line="440" w:lineRule="exact"/>
              <w:jc w:val="left"/>
              <w:rPr>
                <w:rFonts w:hint="eastAsia" w:ascii="宋体" w:hAnsi="宋体" w:eastAsia="宋体" w:cs="宋体"/>
                <w:kern w:val="0"/>
                <w:szCs w:val="21"/>
              </w:rPr>
            </w:pPr>
            <w:r>
              <w:rPr>
                <w:rFonts w:hint="eastAsia" w:ascii="宋体" w:hAnsi="宋体" w:eastAsia="宋体" w:cs="宋体"/>
                <w:kern w:val="0"/>
                <w:szCs w:val="21"/>
              </w:rPr>
              <w:t>现场踏勘或标前答疑：本项目不组织现场踏勘或标前答疑会。</w:t>
            </w:r>
          </w:p>
        </w:tc>
      </w:tr>
      <w:tr w14:paraId="455B4F0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5431E2">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A90A2">
            <w:pPr>
              <w:widowControl/>
              <w:snapToGrid w:val="0"/>
              <w:spacing w:line="440" w:lineRule="exact"/>
              <w:jc w:val="left"/>
              <w:rPr>
                <w:rFonts w:hint="eastAsia" w:ascii="宋体" w:hAnsi="宋体" w:eastAsia="宋体" w:cs="宋体"/>
              </w:rPr>
            </w:pPr>
            <w:r>
              <w:rPr>
                <w:rFonts w:hint="eastAsia" w:ascii="宋体" w:hAnsi="宋体" w:eastAsia="宋体" w:cs="宋体"/>
              </w:rPr>
              <w:t>响应文件组成：纸质响应文件正本1份、副本2份。</w:t>
            </w:r>
          </w:p>
        </w:tc>
      </w:tr>
      <w:tr w14:paraId="70D8C9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620A">
            <w:pPr>
              <w:widowControl/>
              <w:snapToGrid w:val="0"/>
              <w:jc w:val="center"/>
              <w:rPr>
                <w:rFonts w:hint="eastAsia" w:ascii="宋体" w:hAnsi="宋体" w:eastAsia="宋体" w:cs="宋体"/>
                <w:kern w:val="0"/>
                <w:szCs w:val="21"/>
              </w:rPr>
            </w:pPr>
            <w:r>
              <w:rPr>
                <w:rFonts w:hint="eastAsia" w:ascii="宋体" w:hAnsi="宋体" w:eastAsia="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磋商截止时间及开标时间：</w:t>
            </w:r>
            <w:r>
              <w:rPr>
                <w:rFonts w:hint="eastAsia" w:ascii="宋体" w:hAnsi="宋体" w:eastAsia="宋体" w:cs="宋体"/>
                <w:szCs w:val="21"/>
              </w:rPr>
              <w:t>另行通知</w:t>
            </w:r>
          </w:p>
          <w:p w14:paraId="060B0C05">
            <w:pPr>
              <w:widowControl/>
              <w:snapToGrid w:val="0"/>
              <w:spacing w:line="440" w:lineRule="exact"/>
              <w:jc w:val="left"/>
              <w:rPr>
                <w:rFonts w:hint="eastAsia" w:ascii="宋体" w:hAnsi="宋体" w:eastAsia="宋体" w:cs="宋体"/>
                <w:kern w:val="0"/>
                <w:szCs w:val="21"/>
              </w:rPr>
            </w:pPr>
            <w:r>
              <w:rPr>
                <w:rFonts w:hint="eastAsia" w:ascii="宋体" w:hAnsi="宋体" w:eastAsia="宋体" w:cs="宋体"/>
                <w:kern w:val="0"/>
                <w:szCs w:val="21"/>
              </w:rPr>
              <w:t>响应文件递交地点及开标地点：</w:t>
            </w:r>
            <w:r>
              <w:rPr>
                <w:rFonts w:hint="eastAsia" w:ascii="宋体" w:hAnsi="宋体" w:eastAsia="宋体" w:cs="宋体"/>
                <w:szCs w:val="21"/>
              </w:rPr>
              <w:t>另行通知</w:t>
            </w:r>
            <w:r>
              <w:rPr>
                <w:rFonts w:hint="eastAsia" w:ascii="宋体" w:hAnsi="宋体" w:eastAsia="宋体" w:cs="宋体"/>
                <w:kern w:val="0"/>
                <w:szCs w:val="21"/>
              </w:rPr>
              <w:t>。</w:t>
            </w:r>
          </w:p>
        </w:tc>
      </w:tr>
      <w:tr w14:paraId="78699B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ACBBF">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eastAsia="宋体" w:cs="宋体"/>
                <w:szCs w:val="21"/>
              </w:rPr>
            </w:pPr>
            <w:r>
              <w:rPr>
                <w:rFonts w:hint="eastAsia" w:ascii="宋体" w:hAnsi="宋体" w:eastAsia="宋体" w:cs="宋体"/>
                <w:szCs w:val="21"/>
              </w:rPr>
              <w:t>磋商小组成</w:t>
            </w:r>
            <w:r>
              <w:rPr>
                <w:rFonts w:hint="eastAsia" w:ascii="宋体" w:hAnsi="宋体" w:eastAsia="宋体" w:cs="宋体"/>
                <w:kern w:val="0"/>
                <w:szCs w:val="21"/>
              </w:rPr>
              <w:t>员：</w:t>
            </w:r>
            <w:r>
              <w:rPr>
                <w:rFonts w:hint="eastAsia" w:ascii="宋体" w:hAnsi="宋体" w:eastAsia="宋体" w:cs="宋体"/>
                <w:szCs w:val="21"/>
              </w:rPr>
              <w:t>3</w:t>
            </w:r>
            <w:r>
              <w:rPr>
                <w:rFonts w:hint="eastAsia" w:ascii="宋体" w:hAnsi="宋体" w:eastAsia="宋体" w:cs="宋体"/>
              </w:rPr>
              <w:t>人及以上单数</w:t>
            </w:r>
            <w:r>
              <w:rPr>
                <w:rFonts w:hint="eastAsia" w:ascii="宋体" w:hAnsi="宋体" w:eastAsia="宋体" w:cs="宋体"/>
                <w:kern w:val="0"/>
                <w:szCs w:val="21"/>
              </w:rPr>
              <w:t>。</w:t>
            </w:r>
          </w:p>
          <w:p w14:paraId="508AD065">
            <w:pPr>
              <w:widowControl/>
              <w:spacing w:line="460" w:lineRule="atLeast"/>
              <w:rPr>
                <w:rFonts w:hint="eastAsia" w:ascii="宋体" w:hAnsi="宋体" w:eastAsia="宋体" w:cs="宋体"/>
                <w:kern w:val="0"/>
                <w:szCs w:val="21"/>
              </w:rPr>
            </w:pPr>
            <w:r>
              <w:rPr>
                <w:rFonts w:hint="eastAsia" w:ascii="宋体" w:hAnsi="宋体" w:eastAsia="宋体" w:cs="宋体"/>
                <w:szCs w:val="21"/>
              </w:rPr>
              <w:t>专家确定</w:t>
            </w:r>
            <w:r>
              <w:rPr>
                <w:rFonts w:hint="eastAsia" w:ascii="宋体" w:hAnsi="宋体" w:eastAsia="宋体" w:cs="宋体"/>
                <w:kern w:val="0"/>
                <w:szCs w:val="21"/>
              </w:rPr>
              <w:t>方式：由评审专家、采购人代表组成</w:t>
            </w:r>
          </w:p>
        </w:tc>
      </w:tr>
      <w:tr w14:paraId="745683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85B4F5">
            <w:pPr>
              <w:widowControl/>
              <w:jc w:val="center"/>
              <w:rPr>
                <w:rFonts w:hint="eastAsia" w:ascii="宋体" w:hAnsi="宋体" w:eastAsia="宋体" w:cs="宋体"/>
                <w:kern w:val="0"/>
                <w:szCs w:val="21"/>
              </w:rPr>
            </w:pPr>
            <w:r>
              <w:rPr>
                <w:rFonts w:hint="eastAsia" w:ascii="宋体" w:hAnsi="宋体" w:eastAsia="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7BD991">
            <w:pPr>
              <w:rPr>
                <w:rFonts w:hint="eastAsia" w:ascii="宋体" w:hAnsi="宋体" w:eastAsia="宋体" w:cs="宋体"/>
                <w:kern w:val="0"/>
                <w:szCs w:val="21"/>
              </w:rPr>
            </w:pPr>
            <w:r>
              <w:rPr>
                <w:rFonts w:hint="eastAsia" w:ascii="宋体" w:hAnsi="宋体" w:eastAsia="宋体" w:cs="宋体"/>
                <w:szCs w:val="21"/>
              </w:rPr>
              <w:t>评标办法：</w:t>
            </w:r>
            <w:r>
              <w:rPr>
                <w:rFonts w:hint="eastAsia" w:ascii="宋体" w:hAnsi="宋体" w:eastAsia="宋体" w:cs="宋体"/>
                <w:kern w:val="0"/>
                <w:szCs w:val="21"/>
              </w:rPr>
              <w:t>本项目采用</w:t>
            </w:r>
            <w:r>
              <w:rPr>
                <w:rFonts w:hint="eastAsia" w:ascii="宋体" w:hAnsi="宋体" w:eastAsia="宋体" w:cs="宋体"/>
                <w:szCs w:val="21"/>
              </w:rPr>
              <w:t>综合评分法</w:t>
            </w:r>
            <w:r>
              <w:rPr>
                <w:rFonts w:hint="eastAsia" w:ascii="宋体" w:hAnsi="宋体" w:eastAsia="宋体" w:cs="宋体"/>
                <w:kern w:val="0"/>
                <w:szCs w:val="21"/>
              </w:rPr>
              <w:t>。</w:t>
            </w:r>
          </w:p>
        </w:tc>
      </w:tr>
      <w:tr w14:paraId="315AC0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F4B244">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67BA17">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2F00E2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88EC">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E08952">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签订合同：自成交通知书发出之日起30日内。</w:t>
            </w:r>
          </w:p>
        </w:tc>
      </w:tr>
      <w:tr w14:paraId="194627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FD903A">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92F176">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采购资金来源：自筹资金。</w:t>
            </w:r>
          </w:p>
        </w:tc>
      </w:tr>
      <w:tr w14:paraId="0009FFFE">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61F3E8">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D6D72F">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付款方式：详见第二章采购需求。</w:t>
            </w:r>
          </w:p>
        </w:tc>
      </w:tr>
      <w:tr w14:paraId="0F786908">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AE658E">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7AA77E">
            <w:pPr>
              <w:widowControl/>
              <w:spacing w:line="440" w:lineRule="exact"/>
              <w:jc w:val="left"/>
              <w:textAlignment w:val="bottom"/>
              <w:rPr>
                <w:rFonts w:hint="eastAsia" w:ascii="宋体" w:hAnsi="宋体" w:eastAsia="宋体" w:cs="宋体"/>
                <w:kern w:val="0"/>
                <w:szCs w:val="21"/>
              </w:rPr>
            </w:pPr>
            <w:r>
              <w:rPr>
                <w:rFonts w:hint="eastAsia" w:ascii="宋体" w:hAnsi="宋体" w:eastAsia="宋体" w:cs="宋体"/>
                <w:kern w:val="0"/>
                <w:szCs w:val="21"/>
              </w:rPr>
              <w:t>响应文件有效期：响应文件递交截止期结束后60日。成交供应商的响应文件是合同的组成部分,有效期至合同完全履行止。 </w:t>
            </w:r>
          </w:p>
        </w:tc>
      </w:tr>
      <w:tr w14:paraId="11E464B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621A85">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A02626">
            <w:pPr>
              <w:widowControl/>
              <w:spacing w:line="440" w:lineRule="exact"/>
              <w:jc w:val="left"/>
              <w:textAlignment w:val="bottom"/>
              <w:rPr>
                <w:rFonts w:hint="eastAsia" w:ascii="宋体" w:hAnsi="宋体" w:eastAsia="宋体" w:cs="宋体"/>
                <w:szCs w:val="21"/>
              </w:rPr>
            </w:pPr>
            <w:r>
              <w:rPr>
                <w:rFonts w:hint="eastAsia" w:ascii="宋体" w:hAnsi="宋体" w:eastAsia="宋体" w:cs="宋体"/>
                <w:kern w:val="0"/>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CC941D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94D7A">
            <w:pPr>
              <w:widowControl/>
              <w:snapToGrid w:val="0"/>
              <w:spacing w:line="360" w:lineRule="auto"/>
              <w:jc w:val="center"/>
              <w:rPr>
                <w:rFonts w:hint="eastAsia" w:ascii="宋体" w:hAnsi="宋体" w:eastAsia="宋体" w:cs="宋体"/>
                <w:kern w:val="0"/>
                <w:szCs w:val="21"/>
              </w:rPr>
            </w:pPr>
            <w:r>
              <w:rPr>
                <w:rFonts w:hint="eastAsia" w:ascii="宋体" w:hAnsi="宋体" w:eastAsia="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1DF83E">
            <w:pPr>
              <w:spacing w:line="360" w:lineRule="auto"/>
              <w:rPr>
                <w:rFonts w:hint="eastAsia" w:ascii="宋体" w:hAnsi="宋体" w:eastAsia="宋体" w:cs="宋体"/>
                <w:kern w:val="0"/>
                <w:szCs w:val="21"/>
              </w:rPr>
            </w:pPr>
            <w:r>
              <w:rPr>
                <w:rFonts w:hint="eastAsia" w:ascii="宋体" w:hAnsi="宋体" w:eastAsia="宋体" w:cs="宋体"/>
                <w:bCs/>
                <w:kern w:val="0"/>
                <w:szCs w:val="21"/>
              </w:rPr>
              <w:t>质疑和投诉：供应商认为竞争性磋商文件使自己的合法权益受到损害的，</w:t>
            </w:r>
            <w:r>
              <w:rPr>
                <w:rFonts w:hint="eastAsia" w:ascii="宋体" w:hAnsi="宋体" w:eastAsia="宋体" w:cs="宋体"/>
                <w:kern w:val="0"/>
                <w:szCs w:val="21"/>
              </w:rPr>
              <w:t>应当在采购公告期限届满之日(或收到竞争性磋商文件之日)起3个工作日之内向</w:t>
            </w:r>
            <w:r>
              <w:rPr>
                <w:rFonts w:hint="eastAsia" w:ascii="宋体" w:hAnsi="宋体" w:eastAsia="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tc>
      </w:tr>
      <w:tr w14:paraId="626C79A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F7B04">
            <w:pPr>
              <w:widowControl/>
              <w:spacing w:line="460" w:lineRule="atLeast"/>
              <w:jc w:val="center"/>
              <w:rPr>
                <w:rFonts w:hint="eastAsia" w:ascii="宋体" w:hAnsi="宋体" w:eastAsia="宋体" w:cs="宋体"/>
                <w:kern w:val="0"/>
                <w:szCs w:val="21"/>
              </w:rPr>
            </w:pPr>
            <w:r>
              <w:rPr>
                <w:rFonts w:hint="eastAsia" w:ascii="宋体" w:hAnsi="宋体" w:eastAsia="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eastAsia="宋体" w:cs="宋体"/>
              </w:rPr>
            </w:pPr>
            <w:r>
              <w:rPr>
                <w:rFonts w:hint="eastAsia" w:ascii="宋体" w:hAnsi="宋体" w:eastAsia="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691EECBA">
            <w:pPr>
              <w:widowControl/>
              <w:spacing w:line="360" w:lineRule="auto"/>
              <w:jc w:val="left"/>
              <w:textAlignment w:val="bottom"/>
              <w:rPr>
                <w:rFonts w:hint="eastAsia" w:ascii="宋体" w:hAnsi="宋体" w:eastAsia="宋体" w:cs="宋体"/>
                <w:kern w:val="0"/>
                <w:szCs w:val="21"/>
              </w:rPr>
            </w:pPr>
            <w:r>
              <w:rPr>
                <w:rFonts w:hint="eastAsia" w:ascii="宋体" w:hAnsi="宋体" w:eastAsia="宋体" w:cs="宋体"/>
              </w:rPr>
              <w:t>2、本竞争性磋商文件解释权归采购人。</w:t>
            </w:r>
          </w:p>
        </w:tc>
      </w:tr>
    </w:tbl>
    <w:p w14:paraId="7684E771">
      <w:pPr>
        <w:rPr>
          <w:rFonts w:hint="eastAsia" w:ascii="宋体" w:hAnsi="宋体" w:eastAsia="宋体" w:cs="宋体"/>
        </w:rPr>
      </w:pPr>
    </w:p>
    <w:p w14:paraId="63AFD515">
      <w:pPr>
        <w:snapToGrid w:val="0"/>
        <w:spacing w:line="360" w:lineRule="auto"/>
        <w:jc w:val="center"/>
        <w:outlineLvl w:val="1"/>
        <w:rPr>
          <w:rFonts w:hint="eastAsia" w:ascii="宋体" w:hAnsi="宋体" w:eastAsia="宋体" w:cs="宋体"/>
          <w:kern w:val="0"/>
          <w:sz w:val="24"/>
        </w:rPr>
      </w:pPr>
      <w:bookmarkStart w:id="49" w:name="_Toc4700"/>
      <w:bookmarkStart w:id="50" w:name="_Toc16669"/>
      <w:r>
        <w:rPr>
          <w:rFonts w:hint="eastAsia" w:ascii="宋体" w:hAnsi="宋体" w:eastAsia="宋体" w:cs="宋体"/>
          <w:b/>
          <w:bCs/>
          <w:kern w:val="0"/>
          <w:sz w:val="28"/>
          <w:szCs w:val="28"/>
        </w:rPr>
        <w:t>一 、说 明</w:t>
      </w:r>
    </w:p>
    <w:p w14:paraId="6B8E6A5B">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1.适用范围</w:t>
      </w:r>
    </w:p>
    <w:p w14:paraId="51931C3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本竞争性磋商文件仅适用于采购公告中所叙述项目的服务采购。</w:t>
      </w:r>
    </w:p>
    <w:p w14:paraId="13AD7CD0">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2.定义</w:t>
      </w:r>
    </w:p>
    <w:p w14:paraId="0199F874">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2.1“采购人”系指驻马店市中心医院。</w:t>
      </w:r>
    </w:p>
    <w:p w14:paraId="0ADD392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2.2“供应商”系指领取了本竞争性磋商文件，且已经提交本次响应文件的供应商。</w:t>
      </w:r>
    </w:p>
    <w:p w14:paraId="63E6842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 “供应商代表”系指代表供应商参加本次采购活动的供应商的法定代表人或其委托代理人。</w:t>
      </w:r>
    </w:p>
    <w:p w14:paraId="1D68C298">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2.4“服务”系指供应商按竞争性磋商文件规定向采购人提供的一切工作内容。</w:t>
      </w:r>
    </w:p>
    <w:p w14:paraId="56FE0B19">
      <w:pPr>
        <w:snapToGrid w:val="0"/>
        <w:spacing w:line="360" w:lineRule="auto"/>
        <w:ind w:firstLine="420"/>
        <w:jc w:val="left"/>
        <w:rPr>
          <w:rFonts w:hint="eastAsia" w:ascii="宋体" w:hAnsi="宋体" w:eastAsia="宋体" w:cs="宋体"/>
          <w:b/>
          <w:bCs/>
          <w:kern w:val="0"/>
          <w:szCs w:val="21"/>
        </w:rPr>
      </w:pPr>
      <w:r>
        <w:rPr>
          <w:rFonts w:hint="eastAsia" w:ascii="宋体" w:hAnsi="宋体" w:eastAsia="宋体" w:cs="宋体"/>
          <w:b/>
          <w:bCs/>
          <w:kern w:val="0"/>
          <w:szCs w:val="21"/>
        </w:rPr>
        <w:t>3.采购预算</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最高限价</w:t>
      </w:r>
      <w:r>
        <w:rPr>
          <w:rFonts w:hint="eastAsia" w:ascii="宋体" w:hAnsi="宋体" w:eastAsia="宋体" w:cs="宋体"/>
          <w:b/>
          <w:bCs/>
          <w:kern w:val="0"/>
          <w:szCs w:val="21"/>
          <w:lang w:eastAsia="zh-CN"/>
        </w:rPr>
        <w:t>）</w:t>
      </w:r>
      <w:r>
        <w:rPr>
          <w:rFonts w:hint="eastAsia" w:ascii="宋体" w:hAnsi="宋体" w:eastAsia="宋体" w:cs="宋体"/>
          <w:b/>
          <w:bCs/>
          <w:kern w:val="0"/>
          <w:szCs w:val="21"/>
        </w:rPr>
        <w:t>：</w:t>
      </w:r>
      <w:r>
        <w:rPr>
          <w:rFonts w:hint="eastAsia" w:ascii="宋体" w:hAnsi="宋体" w:eastAsia="宋体" w:cs="宋体"/>
          <w:b/>
          <w:bCs/>
          <w:kern w:val="0"/>
          <w:szCs w:val="21"/>
          <w:lang w:val="en-US" w:eastAsia="zh-CN"/>
        </w:rPr>
        <w:t>49.5</w:t>
      </w:r>
      <w:r>
        <w:rPr>
          <w:rFonts w:hint="eastAsia" w:ascii="宋体" w:hAnsi="宋体" w:eastAsia="宋体" w:cs="宋体"/>
          <w:b/>
          <w:bCs/>
          <w:kern w:val="0"/>
          <w:szCs w:val="21"/>
        </w:rPr>
        <w:t>万元。</w:t>
      </w:r>
    </w:p>
    <w:p w14:paraId="6AFC9BAA">
      <w:pPr>
        <w:snapToGrid w:val="0"/>
        <w:spacing w:line="360" w:lineRule="auto"/>
        <w:ind w:firstLine="420"/>
        <w:jc w:val="left"/>
        <w:rPr>
          <w:rFonts w:hint="eastAsia" w:ascii="宋体" w:hAnsi="宋体" w:eastAsia="宋体" w:cs="宋体"/>
          <w:szCs w:val="21"/>
        </w:rPr>
      </w:pPr>
      <w:r>
        <w:rPr>
          <w:rFonts w:hint="eastAsia" w:ascii="宋体" w:hAnsi="宋体" w:eastAsia="宋体" w:cs="宋体"/>
          <w:b/>
          <w:bCs/>
          <w:kern w:val="0"/>
          <w:szCs w:val="21"/>
        </w:rPr>
        <w:t>4.供应商应提交的证明文件</w:t>
      </w:r>
    </w:p>
    <w:p w14:paraId="77ECC3F0">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4.1、具有独立承担民事责任的能力（提供营业执照或其他证明材料）；</w:t>
      </w:r>
    </w:p>
    <w:p w14:paraId="5125BFB4">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4.2、具有良好的商业信誉和健全的财务会计制度（提供经审计的2024年度财务报告或者其基本开户银行出具的资信证明）；</w:t>
      </w:r>
    </w:p>
    <w:p w14:paraId="30383D6D">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993AB0">
      <w:pPr>
        <w:widowControl/>
        <w:tabs>
          <w:tab w:val="left" w:pos="840"/>
        </w:tabs>
        <w:snapToGrid w:val="0"/>
        <w:spacing w:line="360"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4.4、具有履行合同所必需的设备和专业技术能力（提供书面承诺函）；</w:t>
      </w:r>
    </w:p>
    <w:p w14:paraId="296D65B4">
      <w:pPr>
        <w:widowControl/>
        <w:tabs>
          <w:tab w:val="left" w:pos="840"/>
        </w:tabs>
        <w:snapToGrid w:val="0"/>
        <w:spacing w:line="360" w:lineRule="auto"/>
        <w:ind w:firstLine="420" w:firstLineChars="200"/>
        <w:jc w:val="left"/>
        <w:rPr>
          <w:rFonts w:hint="eastAsia" w:ascii="宋体" w:hAnsi="宋体" w:eastAsia="宋体" w:cs="宋体"/>
        </w:rPr>
      </w:pPr>
      <w:r>
        <w:rPr>
          <w:rFonts w:hint="eastAsia" w:ascii="宋体" w:hAnsi="宋体" w:eastAsia="宋体" w:cs="宋体"/>
          <w:szCs w:val="21"/>
          <w:shd w:val="clear" w:color="auto" w:fill="FFFFFF"/>
        </w:rPr>
        <w:t>4.5、参加本采购活动前三年内，在经营活动中没有重大违法记录（提供书面承诺函）；</w:t>
      </w:r>
    </w:p>
    <w:p w14:paraId="64E3764B">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53DF52A">
      <w:pPr>
        <w:widowControl/>
        <w:tabs>
          <w:tab w:val="left" w:pos="840"/>
        </w:tabs>
        <w:snapToGrid w:val="0"/>
        <w:spacing w:line="324" w:lineRule="auto"/>
        <w:ind w:firstLine="420" w:firstLineChars="200"/>
        <w:jc w:val="left"/>
        <w:rPr>
          <w:rFonts w:hint="eastAsia" w:ascii="宋体" w:hAnsi="宋体" w:eastAsia="宋体" w:cs="宋体"/>
          <w:szCs w:val="21"/>
          <w:shd w:val="clear" w:color="auto" w:fill="FFFFFF"/>
        </w:rPr>
      </w:pPr>
      <w:r>
        <w:rPr>
          <w:rFonts w:hint="eastAsia" w:ascii="宋体" w:hAnsi="宋体" w:eastAsia="宋体" w:cs="宋体"/>
          <w:szCs w:val="21"/>
          <w:shd w:val="clear" w:color="auto" w:fill="FFFFFF"/>
        </w:rPr>
        <w:t>4.7、单位负责人为同一人或者存在直接控股、管理关系的不同供应商，不得参加同一合同项下的磋商（</w:t>
      </w:r>
      <w:r>
        <w:rPr>
          <w:rFonts w:hint="eastAsia" w:ascii="宋体" w:hAnsi="宋体" w:eastAsia="宋体" w:cs="宋体"/>
          <w:kern w:val="0"/>
          <w:szCs w:val="21"/>
        </w:rPr>
        <w:t>提供在“国家企业信用信息公示系统”中查询的相关材料并加盖公章（需包含公司基本信息、股东信息及股权变更信息）或提供承诺函</w:t>
      </w:r>
      <w:r>
        <w:rPr>
          <w:rFonts w:hint="eastAsia" w:ascii="宋体" w:hAnsi="宋体" w:eastAsia="宋体" w:cs="宋体"/>
          <w:szCs w:val="21"/>
          <w:shd w:val="clear" w:color="auto" w:fill="FFFFFF"/>
        </w:rPr>
        <w:t>）。一经发现，将导致</w:t>
      </w:r>
      <w:r>
        <w:rPr>
          <w:rFonts w:hint="eastAsia" w:ascii="宋体" w:hAnsi="宋体" w:eastAsia="宋体" w:cs="宋体"/>
          <w:szCs w:val="21"/>
          <w:shd w:val="clear" w:color="auto" w:fill="FFFFFF"/>
          <w:lang w:val="en-US" w:eastAsia="zh-CN"/>
        </w:rPr>
        <w:t>磋商</w:t>
      </w:r>
      <w:r>
        <w:rPr>
          <w:rFonts w:hint="eastAsia" w:ascii="宋体" w:hAnsi="宋体" w:eastAsia="宋体" w:cs="宋体"/>
          <w:szCs w:val="21"/>
          <w:shd w:val="clear" w:color="auto" w:fill="FFFFFF"/>
        </w:rPr>
        <w:t>同时被拒绝。</w:t>
      </w:r>
    </w:p>
    <w:p w14:paraId="302F2FD8">
      <w:pPr>
        <w:snapToGrid w:val="0"/>
        <w:spacing w:line="360" w:lineRule="auto"/>
        <w:ind w:firstLine="420"/>
        <w:jc w:val="left"/>
        <w:rPr>
          <w:rFonts w:hint="eastAsia" w:ascii="宋体" w:hAnsi="宋体" w:eastAsia="宋体" w:cs="宋体"/>
          <w:szCs w:val="21"/>
          <w:shd w:val="clear" w:color="auto" w:fill="FFFFFF"/>
          <w:lang w:eastAsia="zh-CN"/>
        </w:rPr>
      </w:pPr>
      <w:r>
        <w:rPr>
          <w:rFonts w:hint="eastAsia" w:ascii="宋体" w:hAnsi="宋体" w:eastAsia="宋体" w:cs="宋体"/>
          <w:szCs w:val="21"/>
          <w:shd w:val="clear" w:color="auto" w:fill="FFFFFF"/>
        </w:rPr>
        <w:t>4.8、</w:t>
      </w:r>
      <w:r>
        <w:rPr>
          <w:rFonts w:hint="eastAsia" w:ascii="宋体" w:hAnsi="宋体" w:eastAsia="宋体" w:cs="宋体"/>
          <w:szCs w:val="21"/>
          <w:shd w:val="clear" w:color="auto" w:fill="FFFFFF"/>
          <w:lang w:val="en-US" w:eastAsia="zh-CN"/>
        </w:rPr>
        <w:t>供应商须具有建设行政主管部门颁发的工程设计综合资质甲级或建筑行业(建筑工程)设计甲级资质</w:t>
      </w:r>
      <w:r>
        <w:rPr>
          <w:rFonts w:hint="eastAsia" w:ascii="宋体" w:hAnsi="宋体" w:eastAsia="宋体" w:cs="宋体"/>
          <w:szCs w:val="21"/>
          <w:shd w:val="clear" w:color="auto" w:fill="FFFFFF"/>
        </w:rPr>
        <w:t>；拟派项目经理须具有</w:t>
      </w:r>
      <w:r>
        <w:rPr>
          <w:rFonts w:hint="eastAsia" w:ascii="宋体" w:hAnsi="宋体" w:eastAsia="宋体" w:cs="宋体"/>
          <w:szCs w:val="21"/>
          <w:shd w:val="clear" w:color="auto" w:fill="FFFFFF"/>
          <w:lang w:val="en-US" w:eastAsia="zh-CN"/>
        </w:rPr>
        <w:t>一级注册建筑师执业资格</w:t>
      </w:r>
      <w:r>
        <w:rPr>
          <w:rFonts w:hint="eastAsia" w:ascii="宋体" w:hAnsi="宋体" w:cs="宋体"/>
          <w:szCs w:val="21"/>
          <w:shd w:val="clear" w:color="auto" w:fill="FFFFFF"/>
          <w:lang w:val="en-US" w:eastAsia="zh-CN"/>
        </w:rPr>
        <w:t>（提供相关证书）</w:t>
      </w:r>
      <w:r>
        <w:rPr>
          <w:rFonts w:hint="eastAsia" w:ascii="宋体" w:hAnsi="宋体" w:eastAsia="宋体" w:cs="宋体"/>
          <w:szCs w:val="21"/>
          <w:shd w:val="clear" w:color="auto" w:fill="FFFFFF"/>
        </w:rPr>
        <w:t>。</w:t>
      </w:r>
    </w:p>
    <w:p w14:paraId="691BA309">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5.</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费用</w:t>
      </w:r>
    </w:p>
    <w:p w14:paraId="644A853B">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不论</w:t>
      </w:r>
      <w:r>
        <w:rPr>
          <w:rFonts w:hint="eastAsia" w:ascii="宋体" w:hAnsi="宋体" w:eastAsia="宋体" w:cs="宋体"/>
          <w:kern w:val="0"/>
          <w:szCs w:val="21"/>
          <w:lang w:val="en-US" w:eastAsia="zh-CN"/>
        </w:rPr>
        <w:t>磋商</w:t>
      </w:r>
      <w:r>
        <w:rPr>
          <w:rFonts w:hint="eastAsia" w:ascii="宋体" w:hAnsi="宋体" w:eastAsia="宋体" w:cs="宋体"/>
          <w:kern w:val="0"/>
          <w:szCs w:val="21"/>
        </w:rPr>
        <w:t>结果如何，供应商均应自行承担所有与</w:t>
      </w:r>
      <w:r>
        <w:rPr>
          <w:rFonts w:hint="eastAsia" w:ascii="宋体" w:hAnsi="宋体" w:eastAsia="宋体" w:cs="宋体"/>
          <w:kern w:val="0"/>
          <w:szCs w:val="21"/>
          <w:lang w:val="en-US" w:eastAsia="zh-CN"/>
        </w:rPr>
        <w:t>磋商</w:t>
      </w:r>
      <w:r>
        <w:rPr>
          <w:rFonts w:hint="eastAsia" w:ascii="宋体" w:hAnsi="宋体" w:eastAsia="宋体" w:cs="宋体"/>
          <w:kern w:val="0"/>
          <w:szCs w:val="21"/>
        </w:rPr>
        <w:t>有关的全部费用。</w:t>
      </w:r>
    </w:p>
    <w:p w14:paraId="19E61708">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6.联合体投标：本项目不接受联合体</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w:t>
      </w:r>
    </w:p>
    <w:p w14:paraId="2B0E4548">
      <w:pPr>
        <w:snapToGrid w:val="0"/>
        <w:spacing w:line="360" w:lineRule="auto"/>
        <w:ind w:firstLine="420"/>
        <w:jc w:val="left"/>
        <w:rPr>
          <w:rFonts w:hint="eastAsia" w:ascii="宋体" w:hAnsi="宋体" w:eastAsia="宋体" w:cs="宋体"/>
          <w:kern w:val="0"/>
          <w:szCs w:val="21"/>
          <w:lang w:eastAsia="zh-CN"/>
        </w:rPr>
      </w:pPr>
      <w:r>
        <w:rPr>
          <w:rFonts w:hint="eastAsia" w:ascii="宋体" w:hAnsi="宋体" w:eastAsia="宋体" w:cs="宋体"/>
          <w:b/>
          <w:bCs/>
          <w:kern w:val="0"/>
          <w:szCs w:val="21"/>
        </w:rPr>
        <w:t>7.关联企业</w:t>
      </w:r>
      <w:r>
        <w:rPr>
          <w:rFonts w:hint="eastAsia" w:ascii="宋体" w:hAnsi="宋体" w:eastAsia="宋体" w:cs="宋体"/>
          <w:b/>
          <w:bCs/>
          <w:kern w:val="0"/>
          <w:szCs w:val="21"/>
          <w:lang w:val="en-US" w:eastAsia="zh-CN"/>
        </w:rPr>
        <w:t>磋商</w:t>
      </w:r>
    </w:p>
    <w:p w14:paraId="5D84978C">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42B6BF22">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7.2 关联企业中, 同一个法定代表人的两个及两个以上法人，母公司、全资子公司及其控股公司，都不得同时</w:t>
      </w:r>
      <w:r>
        <w:rPr>
          <w:rFonts w:hint="eastAsia" w:ascii="宋体" w:hAnsi="宋体" w:eastAsia="宋体" w:cs="宋体"/>
          <w:kern w:val="0"/>
          <w:szCs w:val="21"/>
          <w:lang w:val="en-US" w:eastAsia="zh-CN"/>
        </w:rPr>
        <w:t>磋商</w:t>
      </w:r>
      <w:r>
        <w:rPr>
          <w:rFonts w:hint="eastAsia" w:ascii="宋体" w:hAnsi="宋体" w:eastAsia="宋体" w:cs="宋体"/>
          <w:kern w:val="0"/>
          <w:szCs w:val="21"/>
        </w:rPr>
        <w:t>。单位负责人为同一人或者存在直接控股、管理关系的不同供应商，不得参加同一合同项下的</w:t>
      </w:r>
      <w:r>
        <w:rPr>
          <w:rFonts w:hint="eastAsia" w:ascii="宋体" w:hAnsi="宋体" w:eastAsia="宋体" w:cs="宋体"/>
          <w:kern w:val="0"/>
          <w:szCs w:val="21"/>
          <w:lang w:val="en-US" w:eastAsia="zh-CN"/>
        </w:rPr>
        <w:t>磋商</w:t>
      </w:r>
      <w:r>
        <w:rPr>
          <w:rFonts w:hint="eastAsia" w:ascii="宋体" w:hAnsi="宋体" w:eastAsia="宋体" w:cs="宋体"/>
          <w:kern w:val="0"/>
          <w:szCs w:val="21"/>
        </w:rPr>
        <w:t>。一经发现，将导致</w:t>
      </w:r>
      <w:r>
        <w:rPr>
          <w:rFonts w:hint="eastAsia" w:ascii="宋体" w:hAnsi="宋体" w:eastAsia="宋体" w:cs="宋体"/>
          <w:kern w:val="0"/>
          <w:szCs w:val="21"/>
          <w:lang w:val="en-US" w:eastAsia="zh-CN"/>
        </w:rPr>
        <w:t>磋商</w:t>
      </w:r>
      <w:r>
        <w:rPr>
          <w:rFonts w:hint="eastAsia" w:ascii="宋体" w:hAnsi="宋体" w:eastAsia="宋体" w:cs="宋体"/>
          <w:kern w:val="0"/>
          <w:szCs w:val="21"/>
        </w:rPr>
        <w:t>同时被拒绝。</w:t>
      </w:r>
    </w:p>
    <w:p w14:paraId="77CF5D0E">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7.3 为采购项目提供整体设计、规范编制或者项目管理、监理、检测等服务的供应商，不得再参加该采购项目的</w:t>
      </w:r>
      <w:r>
        <w:rPr>
          <w:rFonts w:hint="eastAsia" w:ascii="宋体" w:hAnsi="宋体" w:eastAsia="宋体" w:cs="宋体"/>
          <w:kern w:val="0"/>
          <w:szCs w:val="21"/>
          <w:lang w:val="en-US" w:eastAsia="zh-CN"/>
        </w:rPr>
        <w:t>磋商</w:t>
      </w:r>
      <w:r>
        <w:rPr>
          <w:rFonts w:hint="eastAsia" w:ascii="宋体" w:hAnsi="宋体" w:eastAsia="宋体" w:cs="宋体"/>
          <w:kern w:val="0"/>
          <w:szCs w:val="21"/>
        </w:rPr>
        <w:t>活动。</w:t>
      </w:r>
    </w:p>
    <w:p w14:paraId="6931DCE4">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8.转包与分包</w:t>
      </w:r>
    </w:p>
    <w:p w14:paraId="38F40BF1">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8.1本项目不允许采取转包方式履行合同。</w:t>
      </w:r>
    </w:p>
    <w:p w14:paraId="057AF2B9">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8.2本项目不允许采取分包方式履行合同。</w:t>
      </w:r>
    </w:p>
    <w:p w14:paraId="58BE5256">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9.特别说明：</w:t>
      </w:r>
    </w:p>
    <w:p w14:paraId="186990C0">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9.1 供应商</w:t>
      </w:r>
      <w:r>
        <w:rPr>
          <w:rFonts w:hint="eastAsia" w:ascii="宋体" w:hAnsi="宋体" w:eastAsia="宋体" w:cs="宋体"/>
          <w:kern w:val="0"/>
          <w:szCs w:val="21"/>
          <w:lang w:val="en-US" w:eastAsia="zh-CN"/>
        </w:rPr>
        <w:t>磋商</w:t>
      </w:r>
      <w:r>
        <w:rPr>
          <w:rFonts w:hint="eastAsia" w:ascii="宋体" w:hAnsi="宋体" w:eastAsia="宋体" w:cs="宋体"/>
          <w:kern w:val="0"/>
          <w:szCs w:val="21"/>
        </w:rPr>
        <w:t>所使用的资格、信誉、荣誉、业绩与企业认证必须为本法人所拥有。  </w:t>
      </w:r>
    </w:p>
    <w:p w14:paraId="24E2D19F">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9.2 供应商代表只能接受一个供应商的委托参加</w:t>
      </w:r>
      <w:r>
        <w:rPr>
          <w:rFonts w:hint="eastAsia" w:ascii="宋体" w:hAnsi="宋体" w:eastAsia="宋体" w:cs="宋体"/>
          <w:kern w:val="0"/>
          <w:szCs w:val="21"/>
          <w:lang w:val="en-US" w:eastAsia="zh-CN"/>
        </w:rPr>
        <w:t>磋商</w:t>
      </w:r>
      <w:r>
        <w:rPr>
          <w:rFonts w:hint="eastAsia" w:ascii="宋体" w:hAnsi="宋体" w:eastAsia="宋体" w:cs="宋体"/>
          <w:kern w:val="0"/>
          <w:szCs w:val="21"/>
        </w:rPr>
        <w:t>。</w:t>
      </w:r>
    </w:p>
    <w:p w14:paraId="2C907942">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88B12B">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9.4供应商在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活动中提供虚假材料或从事其他违法活动的,其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无效，由相关部门查处。</w:t>
      </w:r>
    </w:p>
    <w:p w14:paraId="40019071">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10.质疑和投诉</w:t>
      </w:r>
    </w:p>
    <w:p w14:paraId="170F2661">
      <w:pPr>
        <w:snapToGrid w:val="0"/>
        <w:spacing w:line="360" w:lineRule="auto"/>
        <w:ind w:firstLine="411" w:firstLineChars="196"/>
        <w:jc w:val="left"/>
        <w:rPr>
          <w:rFonts w:hint="eastAsia" w:ascii="宋体" w:hAnsi="宋体" w:eastAsia="宋体" w:cs="宋体"/>
          <w:kern w:val="0"/>
          <w:szCs w:val="21"/>
        </w:rPr>
      </w:pPr>
      <w:r>
        <w:rPr>
          <w:rFonts w:hint="eastAsia" w:ascii="宋体" w:hAnsi="宋体" w:eastAsia="宋体" w:cs="宋体"/>
          <w:kern w:val="0"/>
          <w:szCs w:val="21"/>
        </w:rPr>
        <w:t xml:space="preserve">10.1 </w:t>
      </w:r>
      <w:r>
        <w:rPr>
          <w:rFonts w:hint="eastAsia" w:ascii="宋体" w:hAnsi="宋体" w:eastAsia="宋体" w:cs="宋体"/>
          <w:bCs/>
          <w:kern w:val="0"/>
          <w:szCs w:val="21"/>
        </w:rPr>
        <w:t>供应商认为竞争性磋商文件使自己的合法权益受到损害的，</w:t>
      </w:r>
      <w:r>
        <w:rPr>
          <w:rFonts w:hint="eastAsia" w:ascii="宋体" w:hAnsi="宋体" w:eastAsia="宋体" w:cs="宋体"/>
          <w:kern w:val="0"/>
          <w:szCs w:val="21"/>
        </w:rPr>
        <w:t>应当在采购公告期限届满之日(或收到竞争性磋商文件之日)起3个工作日之内向</w:t>
      </w:r>
      <w:r>
        <w:rPr>
          <w:rFonts w:hint="eastAsia" w:ascii="宋体" w:hAnsi="宋体" w:eastAsia="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eastAsia="宋体" w:cs="宋体"/>
          <w:kern w:val="0"/>
          <w:szCs w:val="21"/>
        </w:rPr>
        <w:t>逾期不再受理,</w:t>
      </w:r>
      <w:r>
        <w:rPr>
          <w:rFonts w:hint="eastAsia" w:ascii="宋体" w:hAnsi="宋体" w:eastAsia="宋体" w:cs="宋体"/>
          <w:bCs/>
          <w:kern w:val="0"/>
          <w:szCs w:val="21"/>
        </w:rPr>
        <w:t>供应商在法定质疑期内应一次性提出针对同一采购环节的质疑。</w:t>
      </w:r>
      <w:r>
        <w:rPr>
          <w:rFonts w:hint="eastAsia" w:ascii="宋体" w:hAnsi="宋体" w:eastAsia="宋体" w:cs="宋体"/>
          <w:kern w:val="0"/>
          <w:szCs w:val="21"/>
        </w:rPr>
        <w:t>供应商对</w:t>
      </w:r>
      <w:r>
        <w:rPr>
          <w:rFonts w:hint="eastAsia" w:ascii="宋体" w:hAnsi="宋体" w:eastAsia="宋体" w:cs="宋体"/>
          <w:bCs/>
          <w:kern w:val="0"/>
          <w:szCs w:val="21"/>
        </w:rPr>
        <w:t>采购人</w:t>
      </w:r>
      <w:r>
        <w:rPr>
          <w:rFonts w:hint="eastAsia" w:ascii="宋体" w:hAnsi="宋体" w:eastAsia="宋体" w:cs="宋体"/>
          <w:kern w:val="0"/>
          <w:szCs w:val="21"/>
        </w:rPr>
        <w:t>的质疑答复不满意,或</w:t>
      </w:r>
      <w:r>
        <w:rPr>
          <w:rFonts w:hint="eastAsia" w:ascii="宋体" w:hAnsi="宋体" w:eastAsia="宋体" w:cs="宋体"/>
          <w:bCs/>
          <w:kern w:val="0"/>
          <w:szCs w:val="21"/>
        </w:rPr>
        <w:t>采购人</w:t>
      </w:r>
      <w:r>
        <w:rPr>
          <w:rFonts w:hint="eastAsia" w:ascii="宋体" w:hAnsi="宋体" w:eastAsia="宋体" w:cs="宋体"/>
          <w:kern w:val="0"/>
          <w:szCs w:val="21"/>
        </w:rPr>
        <w:t>未在规定时间内作出答复的，可以在答复期满后15个工作日内向医院纪检部门投诉。</w:t>
      </w:r>
    </w:p>
    <w:p w14:paraId="3B401D39">
      <w:pPr>
        <w:shd w:val="clear" w:color="auto" w:fill="FFFFFF"/>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 xml:space="preserve">10.2 </w:t>
      </w:r>
      <w:r>
        <w:rPr>
          <w:rFonts w:hint="eastAsia" w:ascii="宋体" w:hAnsi="宋体" w:eastAsia="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5ADE036">
      <w:pPr>
        <w:snapToGrid w:val="0"/>
        <w:spacing w:line="360" w:lineRule="auto"/>
        <w:ind w:firstLine="420"/>
        <w:jc w:val="left"/>
        <w:rPr>
          <w:rFonts w:hint="eastAsia" w:ascii="宋体" w:hAnsi="宋体" w:eastAsia="宋体" w:cs="宋体"/>
          <w:kern w:val="0"/>
          <w:szCs w:val="21"/>
        </w:rPr>
      </w:pPr>
      <w:r>
        <w:rPr>
          <w:rFonts w:hint="eastAsia" w:ascii="宋体" w:hAnsi="宋体" w:eastAsia="宋体" w:cs="宋体"/>
          <w:b/>
          <w:bCs/>
          <w:kern w:val="0"/>
          <w:szCs w:val="21"/>
        </w:rPr>
        <w:t>11.供应商的风险</w:t>
      </w:r>
    </w:p>
    <w:p w14:paraId="1A7F3C8E">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供应商没有按照竞争性磋商文件要求提供全部资料，或者供应商没有对竞争性磋商文件在各方面都作出实质性响应是供应商的风险，并可能导致其</w:t>
      </w:r>
      <w:r>
        <w:rPr>
          <w:rFonts w:hint="eastAsia" w:ascii="宋体" w:hAnsi="宋体" w:eastAsia="宋体" w:cs="宋体"/>
          <w:kern w:val="0"/>
          <w:szCs w:val="21"/>
          <w:lang w:val="en-US" w:eastAsia="zh-CN"/>
        </w:rPr>
        <w:t>磋商</w:t>
      </w:r>
      <w:r>
        <w:rPr>
          <w:rFonts w:hint="eastAsia" w:ascii="宋体" w:hAnsi="宋体" w:eastAsia="宋体" w:cs="宋体"/>
          <w:kern w:val="0"/>
          <w:szCs w:val="21"/>
        </w:rPr>
        <w:t>被拒绝。</w:t>
      </w:r>
    </w:p>
    <w:p w14:paraId="1E42CB43">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二、竞争性磋商文件</w:t>
      </w:r>
    </w:p>
    <w:p w14:paraId="037C7B3F">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12.竞争性磋商文件的构成。本竞争性磋商文件由以下部分组成：</w:t>
      </w:r>
    </w:p>
    <w:p w14:paraId="5990D25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12.1 竞争性磋商公告</w:t>
      </w:r>
    </w:p>
    <w:p w14:paraId="23E12A45">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12.2 采购需求</w:t>
      </w:r>
    </w:p>
    <w:p w14:paraId="101F5F6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12.3 供应商须知</w:t>
      </w:r>
    </w:p>
    <w:p w14:paraId="1E9CA195">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12.4 评标办法</w:t>
      </w:r>
    </w:p>
    <w:p w14:paraId="79EF8174">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12.5 合同主要条款</w:t>
      </w:r>
    </w:p>
    <w:p w14:paraId="7446456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12.6 响应文件格式</w:t>
      </w:r>
    </w:p>
    <w:p w14:paraId="46E1BA2A">
      <w:pPr>
        <w:snapToGrid w:val="0"/>
        <w:spacing w:line="360" w:lineRule="auto"/>
        <w:ind w:firstLine="417" w:firstLineChars="198"/>
        <w:rPr>
          <w:rFonts w:hint="eastAsia" w:ascii="宋体" w:hAnsi="宋体" w:eastAsia="宋体" w:cs="宋体"/>
          <w:b/>
          <w:bCs/>
          <w:kern w:val="0"/>
          <w:szCs w:val="21"/>
        </w:rPr>
      </w:pPr>
      <w:r>
        <w:rPr>
          <w:rFonts w:hint="eastAsia" w:ascii="宋体" w:hAnsi="宋体" w:eastAsia="宋体" w:cs="宋体"/>
          <w:b/>
          <w:bCs/>
          <w:kern w:val="0"/>
          <w:szCs w:val="21"/>
        </w:rPr>
        <w:t>13.竞争性磋商文件的澄清与修改</w:t>
      </w:r>
    </w:p>
    <w:p w14:paraId="5CAFC22F">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13.1 采购人对已发出的竞争性磋商文件进行必要澄清、修改或补充的，应当在竞争性磋商文件要求提交响应文件截止时间3</w:t>
      </w:r>
      <w:r>
        <w:rPr>
          <w:rFonts w:hint="eastAsia" w:ascii="宋体" w:hAnsi="宋体" w:eastAsia="宋体" w:cs="宋体"/>
          <w:bCs/>
          <w:kern w:val="0"/>
          <w:szCs w:val="21"/>
        </w:rPr>
        <w:t>日</w:t>
      </w:r>
      <w:r>
        <w:rPr>
          <w:rFonts w:hint="eastAsia" w:ascii="宋体" w:hAnsi="宋体" w:eastAsia="宋体" w:cs="宋体"/>
          <w:kern w:val="0"/>
          <w:szCs w:val="21"/>
        </w:rPr>
        <w:t>前，在原采购公告发布相关媒体上发布更正公告或变更公告。竞争性磋商文件公示期间对竞争性磋商文件进行的澄清、修改或补充不受上述限制。</w:t>
      </w:r>
    </w:p>
    <w:p w14:paraId="5DB9789D">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13.2 竞争性磋商文件澄清、修改或补充的内容为竞争性磋商文件的组成部分。</w:t>
      </w:r>
    </w:p>
    <w:p w14:paraId="2F54FC52">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13.3 竞争性磋商文件的澄清、修改或补充都应以法定形式发布。采购人未对竞争性磋商文件进行的澄清、修改或补充无效，评标时不予认可。</w:t>
      </w:r>
    </w:p>
    <w:p w14:paraId="6A60B518">
      <w:pPr>
        <w:snapToGrid w:val="0"/>
        <w:spacing w:line="360" w:lineRule="auto"/>
        <w:ind w:firstLine="480"/>
        <w:jc w:val="left"/>
        <w:rPr>
          <w:rFonts w:hint="eastAsia" w:ascii="宋体" w:hAnsi="宋体" w:eastAsia="宋体" w:cs="宋体"/>
          <w:kern w:val="0"/>
          <w:sz w:val="24"/>
        </w:rPr>
      </w:pPr>
      <w:r>
        <w:rPr>
          <w:rFonts w:hint="eastAsia" w:ascii="宋体" w:hAnsi="宋体" w:eastAsia="宋体" w:cs="宋体"/>
          <w:kern w:val="0"/>
          <w:szCs w:val="21"/>
        </w:rPr>
        <w:t>13.4 </w:t>
      </w:r>
      <w:r>
        <w:rPr>
          <w:rFonts w:hint="eastAsia" w:ascii="宋体" w:hAnsi="宋体" w:eastAsia="宋体" w:cs="宋体"/>
          <w:bCs/>
          <w:kern w:val="0"/>
          <w:szCs w:val="21"/>
        </w:rPr>
        <w:t>采购人</w:t>
      </w:r>
      <w:r>
        <w:rPr>
          <w:rFonts w:hint="eastAsia" w:ascii="宋体" w:hAnsi="宋体" w:eastAsia="宋体" w:cs="宋体"/>
          <w:kern w:val="0"/>
          <w:szCs w:val="21"/>
        </w:rPr>
        <w:t>可以视采购具体情况延长磋商截止时间和磋商时间，但至少应当在竞争性磋商文件要求提交响应文件的截止时间3</w:t>
      </w:r>
      <w:r>
        <w:rPr>
          <w:rFonts w:hint="eastAsia" w:ascii="宋体" w:hAnsi="宋体" w:eastAsia="宋体" w:cs="宋体"/>
          <w:bCs/>
          <w:kern w:val="0"/>
          <w:szCs w:val="21"/>
        </w:rPr>
        <w:t>日</w:t>
      </w:r>
      <w:r>
        <w:rPr>
          <w:rFonts w:hint="eastAsia" w:ascii="宋体" w:hAnsi="宋体" w:eastAsia="宋体" w:cs="宋体"/>
          <w:kern w:val="0"/>
          <w:szCs w:val="21"/>
        </w:rPr>
        <w:t>前，将变更时间通知所有潜在供应商。</w:t>
      </w:r>
    </w:p>
    <w:p w14:paraId="1B105BB9">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三、响应文件的编制</w:t>
      </w:r>
    </w:p>
    <w:p w14:paraId="5D9B814D">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14.要求</w:t>
      </w:r>
    </w:p>
    <w:p w14:paraId="31BC508C">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206AE214">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14.2 供应商应完整签署响应文件格式附件中《竞争性磋商响应书》和《抵制商业贿赂承诺》，不得增减或修改内容。否则视为对竞争性磋商文件未作出实质性响应。</w:t>
      </w:r>
    </w:p>
    <w:p w14:paraId="3F6FDD3A">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15.响应文件的语言和计量单位</w:t>
      </w:r>
    </w:p>
    <w:p w14:paraId="4186CA3E">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15.1 响应文件以及供应商与采购人就有关磋商事宜的所有来往函电均应使用简体中文书写。</w:t>
      </w:r>
    </w:p>
    <w:p w14:paraId="6B0993FF">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697F97EB">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F3FCFE">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16.响应文件的组成</w:t>
      </w:r>
      <w:r>
        <w:rPr>
          <w:rFonts w:hint="eastAsia" w:ascii="宋体" w:hAnsi="宋体" w:eastAsia="宋体" w:cs="宋体"/>
          <w:kern w:val="0"/>
          <w:szCs w:val="21"/>
        </w:rPr>
        <w:t>。</w:t>
      </w:r>
      <w:r>
        <w:rPr>
          <w:rFonts w:hint="eastAsia" w:ascii="宋体" w:hAnsi="宋体" w:eastAsia="宋体" w:cs="宋体"/>
          <w:b/>
          <w:bCs/>
          <w:kern w:val="0"/>
          <w:szCs w:val="21"/>
        </w:rPr>
        <w:t>响应文件应包括下列部分：</w:t>
      </w:r>
    </w:p>
    <w:p w14:paraId="513D885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16.1、竞争性磋商响应书</w:t>
      </w:r>
    </w:p>
    <w:p w14:paraId="40A388C8">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16.2、初次报价一览表</w:t>
      </w:r>
    </w:p>
    <w:p w14:paraId="5CC3361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16.3  技术响应表</w:t>
      </w:r>
    </w:p>
    <w:p w14:paraId="47FE537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16.4、技术要求证明材料</w:t>
      </w:r>
    </w:p>
    <w:p w14:paraId="02D3D60B">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16.5、商务响应表</w:t>
      </w:r>
    </w:p>
    <w:p w14:paraId="13C71C1F">
      <w:pPr>
        <w:snapToGrid w:val="0"/>
        <w:spacing w:line="360" w:lineRule="auto"/>
        <w:ind w:left="208" w:leftChars="99" w:firstLine="210" w:firstLineChars="100"/>
        <w:jc w:val="left"/>
        <w:rPr>
          <w:rFonts w:hint="eastAsia" w:ascii="宋体" w:hAnsi="宋体" w:eastAsia="宋体" w:cs="宋体"/>
          <w:kern w:val="0"/>
          <w:szCs w:val="21"/>
        </w:rPr>
      </w:pPr>
      <w:r>
        <w:rPr>
          <w:rFonts w:hint="eastAsia" w:ascii="宋体" w:hAnsi="宋体" w:eastAsia="宋体" w:cs="宋体"/>
          <w:kern w:val="0"/>
          <w:szCs w:val="21"/>
        </w:rPr>
        <w:t>16.6、法定代表人身份证明</w:t>
      </w:r>
    </w:p>
    <w:p w14:paraId="588E869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16.7、法定代表人授权书</w:t>
      </w:r>
    </w:p>
    <w:p w14:paraId="6ECF0C1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16.8、证明文件</w:t>
      </w:r>
    </w:p>
    <w:p w14:paraId="3D554CDF">
      <w:pPr>
        <w:pStyle w:val="32"/>
        <w:widowControl w:val="0"/>
        <w:snapToGrid w:val="0"/>
        <w:spacing w:beforeAutospacing="0" w:afterAutospacing="0" w:line="360" w:lineRule="auto"/>
        <w:rPr>
          <w:rFonts w:hint="eastAsia" w:ascii="宋体" w:hAnsi="宋体" w:eastAsia="宋体" w:cs="宋体"/>
          <w:sz w:val="21"/>
          <w:szCs w:val="21"/>
        </w:rPr>
      </w:pPr>
      <w:r>
        <w:rPr>
          <w:rFonts w:hint="eastAsia" w:ascii="宋体" w:hAnsi="宋体" w:eastAsia="宋体" w:cs="宋体"/>
          <w:kern w:val="0"/>
          <w:sz w:val="21"/>
          <w:szCs w:val="21"/>
          <w:lang w:val="en-US" w:eastAsia="zh-CN" w:bidi="ar-SA"/>
        </w:rPr>
        <w:t>16.9、</w:t>
      </w:r>
      <w:r>
        <w:rPr>
          <w:rFonts w:hint="eastAsia" w:ascii="宋体" w:hAnsi="宋体" w:eastAsia="宋体" w:cs="宋体"/>
          <w:sz w:val="21"/>
          <w:szCs w:val="21"/>
        </w:rPr>
        <w:t>供应商信用承诺函</w:t>
      </w:r>
    </w:p>
    <w:p w14:paraId="0C72CE59">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17.响应文件有效期</w:t>
      </w:r>
    </w:p>
    <w:p w14:paraId="2B62DCD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17.1 响应文件从采购公告所规定的</w:t>
      </w:r>
      <w:r>
        <w:rPr>
          <w:rFonts w:hint="eastAsia" w:ascii="宋体" w:hAnsi="宋体" w:eastAsia="宋体" w:cs="宋体"/>
          <w:kern w:val="0"/>
          <w:szCs w:val="21"/>
          <w:lang w:val="en-US" w:eastAsia="zh-CN"/>
        </w:rPr>
        <w:t>磋商</w:t>
      </w:r>
      <w:r>
        <w:rPr>
          <w:rFonts w:hint="eastAsia" w:ascii="宋体" w:hAnsi="宋体" w:eastAsia="宋体" w:cs="宋体"/>
          <w:kern w:val="0"/>
          <w:szCs w:val="21"/>
        </w:rPr>
        <w:t>截止期之后开始生效，在</w:t>
      </w:r>
      <w:r>
        <w:rPr>
          <w:rFonts w:hint="eastAsia" w:ascii="宋体" w:hAnsi="宋体" w:eastAsia="宋体" w:cs="宋体"/>
          <w:bCs/>
          <w:kern w:val="0"/>
          <w:szCs w:val="21"/>
        </w:rPr>
        <w:t>供应商须知前附表</w:t>
      </w:r>
      <w:r>
        <w:rPr>
          <w:rFonts w:hint="eastAsia" w:ascii="宋体" w:hAnsi="宋体" w:eastAsia="宋体" w:cs="宋体"/>
          <w:kern w:val="0"/>
          <w:szCs w:val="21"/>
        </w:rPr>
        <w:t>第13项所规定的期限内保持有效。有效期不足将导致其响应文件被拒绝。成交供应商的响应文件有效期至合同完全履行止。</w:t>
      </w:r>
    </w:p>
    <w:p w14:paraId="0ABDDF0C">
      <w:pPr>
        <w:snapToGrid w:val="0"/>
        <w:spacing w:line="360" w:lineRule="auto"/>
        <w:ind w:firstLine="480"/>
        <w:jc w:val="left"/>
        <w:rPr>
          <w:rFonts w:hint="eastAsia" w:ascii="宋体" w:hAnsi="宋体" w:eastAsia="宋体" w:cs="宋体"/>
          <w:kern w:val="0"/>
          <w:szCs w:val="21"/>
        </w:rPr>
      </w:pPr>
      <w:r>
        <w:rPr>
          <w:rFonts w:hint="eastAsia" w:ascii="宋体" w:hAnsi="宋体" w:eastAsia="宋体" w:cs="宋体"/>
          <w:kern w:val="0"/>
          <w:szCs w:val="21"/>
        </w:rPr>
        <w:t>17.2特殊情况下采购人可于</w:t>
      </w:r>
      <w:r>
        <w:rPr>
          <w:rFonts w:hint="eastAsia" w:ascii="宋体" w:hAnsi="宋体" w:eastAsia="宋体" w:cs="宋体"/>
          <w:kern w:val="0"/>
          <w:szCs w:val="21"/>
          <w:lang w:val="en-US" w:eastAsia="zh-CN"/>
        </w:rPr>
        <w:t>磋商</w:t>
      </w:r>
      <w:r>
        <w:rPr>
          <w:rFonts w:hint="eastAsia" w:ascii="宋体" w:hAnsi="宋体" w:eastAsia="宋体" w:cs="宋体"/>
          <w:kern w:val="0"/>
          <w:szCs w:val="21"/>
        </w:rPr>
        <w:t>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1228DC7">
      <w:pPr>
        <w:snapToGrid w:val="0"/>
        <w:spacing w:line="360" w:lineRule="auto"/>
        <w:ind w:firstLine="417" w:firstLineChars="198"/>
        <w:rPr>
          <w:rFonts w:hint="eastAsia" w:ascii="宋体" w:hAnsi="宋体" w:eastAsia="宋体" w:cs="宋体"/>
          <w:kern w:val="0"/>
          <w:szCs w:val="21"/>
        </w:rPr>
      </w:pPr>
      <w:r>
        <w:rPr>
          <w:rFonts w:hint="eastAsia" w:ascii="宋体" w:hAnsi="宋体" w:eastAsia="宋体" w:cs="宋体"/>
          <w:b/>
          <w:bCs/>
          <w:kern w:val="0"/>
          <w:szCs w:val="21"/>
        </w:rPr>
        <w:t>18.</w:t>
      </w:r>
      <w:r>
        <w:rPr>
          <w:rFonts w:hint="eastAsia" w:ascii="宋体" w:hAnsi="宋体" w:eastAsia="宋体" w:cs="宋体"/>
          <w:b/>
          <w:bCs/>
          <w:kern w:val="0"/>
          <w:szCs w:val="21"/>
          <w:lang w:val="en-US" w:eastAsia="zh-CN"/>
        </w:rPr>
        <w:t>磋商</w:t>
      </w:r>
      <w:r>
        <w:rPr>
          <w:rFonts w:hint="eastAsia" w:ascii="宋体" w:hAnsi="宋体" w:eastAsia="宋体" w:cs="宋体"/>
          <w:b/>
          <w:bCs/>
          <w:kern w:val="0"/>
          <w:szCs w:val="21"/>
        </w:rPr>
        <w:t>报价</w:t>
      </w:r>
    </w:p>
    <w:p w14:paraId="15A5CA8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18.1 磋商报价均以人民币元为计算单位。</w:t>
      </w:r>
    </w:p>
    <w:p w14:paraId="1457A8F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18.2 供应商要按初次报价一览表的内容填写。</w:t>
      </w:r>
    </w:p>
    <w:p w14:paraId="01F8B76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 xml:space="preserve">18.3 </w:t>
      </w:r>
      <w:r>
        <w:rPr>
          <w:rFonts w:hint="eastAsia" w:ascii="宋体" w:hAnsi="宋体" w:eastAsia="宋体" w:cs="宋体"/>
          <w:spacing w:val="10"/>
          <w:kern w:val="0"/>
          <w:szCs w:val="21"/>
        </w:rPr>
        <w:t>供应商投报多标包的，应对每标包分别报价并分别填报</w:t>
      </w:r>
      <w:r>
        <w:rPr>
          <w:rFonts w:hint="eastAsia" w:ascii="宋体" w:hAnsi="宋体" w:eastAsia="宋体" w:cs="宋体"/>
          <w:kern w:val="0"/>
          <w:szCs w:val="21"/>
        </w:rPr>
        <w:t>初次报价一览表</w:t>
      </w:r>
      <w:r>
        <w:rPr>
          <w:rFonts w:hint="eastAsia" w:ascii="宋体" w:hAnsi="宋体" w:eastAsia="宋体" w:cs="宋体"/>
          <w:spacing w:val="10"/>
          <w:kern w:val="0"/>
          <w:szCs w:val="21"/>
        </w:rPr>
        <w:t>。</w:t>
      </w:r>
    </w:p>
    <w:p w14:paraId="3DA00D48">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18.4 初次报价一览表中标明的价格在政采购合同执行过程中是固定不变的，供应商不得以任何理由予以变更。以可调整的价格提交的</w:t>
      </w:r>
      <w:r>
        <w:rPr>
          <w:rFonts w:hint="eastAsia" w:ascii="宋体" w:hAnsi="宋体" w:eastAsia="宋体" w:cs="宋体"/>
          <w:kern w:val="0"/>
          <w:szCs w:val="21"/>
          <w:lang w:val="en-US" w:eastAsia="zh-CN"/>
        </w:rPr>
        <w:t>磋商</w:t>
      </w:r>
      <w:r>
        <w:rPr>
          <w:rFonts w:hint="eastAsia" w:ascii="宋体" w:hAnsi="宋体" w:eastAsia="宋体" w:cs="宋体"/>
          <w:kern w:val="0"/>
          <w:szCs w:val="21"/>
        </w:rPr>
        <w:t>将被作为无效</w:t>
      </w:r>
      <w:r>
        <w:rPr>
          <w:rFonts w:hint="eastAsia" w:ascii="宋体" w:hAnsi="宋体" w:eastAsia="宋体" w:cs="宋体"/>
          <w:kern w:val="0"/>
          <w:szCs w:val="21"/>
          <w:lang w:val="en-US" w:eastAsia="zh-CN"/>
        </w:rPr>
        <w:t>磋商</w:t>
      </w:r>
      <w:r>
        <w:rPr>
          <w:rFonts w:hint="eastAsia" w:ascii="宋体" w:hAnsi="宋体" w:eastAsia="宋体" w:cs="宋体"/>
          <w:kern w:val="0"/>
          <w:szCs w:val="21"/>
        </w:rPr>
        <w:t>处理。</w:t>
      </w:r>
    </w:p>
    <w:p w14:paraId="402A657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18.5 采购人不接受可选择的</w:t>
      </w:r>
      <w:r>
        <w:rPr>
          <w:rFonts w:hint="eastAsia" w:ascii="宋体" w:hAnsi="宋体" w:eastAsia="宋体" w:cs="宋体"/>
          <w:kern w:val="0"/>
          <w:szCs w:val="21"/>
          <w:lang w:val="en-US" w:eastAsia="zh-CN"/>
        </w:rPr>
        <w:t>磋商</w:t>
      </w:r>
      <w:r>
        <w:rPr>
          <w:rFonts w:hint="eastAsia" w:ascii="宋体" w:hAnsi="宋体" w:eastAsia="宋体" w:cs="宋体"/>
          <w:kern w:val="0"/>
          <w:szCs w:val="21"/>
        </w:rPr>
        <w:t>报价。</w:t>
      </w:r>
    </w:p>
    <w:p w14:paraId="35835CB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18.6 对于供应商在初次报价一览表和响应文件中列出的赠送条款，在评审时不得作为价格评分因素或者调整评标价格的依据。</w:t>
      </w:r>
    </w:p>
    <w:p w14:paraId="0B880A09">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19.磋商保证金（无）</w:t>
      </w:r>
    </w:p>
    <w:p w14:paraId="7CF5A7EC">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20.</w:t>
      </w:r>
      <w:r>
        <w:rPr>
          <w:rFonts w:hint="eastAsia" w:ascii="宋体" w:hAnsi="宋体" w:eastAsia="宋体" w:cs="宋体"/>
          <w:b/>
          <w:bCs/>
          <w:kern w:val="0"/>
          <w:szCs w:val="21"/>
        </w:rPr>
        <w:t>响应</w:t>
      </w:r>
      <w:r>
        <w:rPr>
          <w:rFonts w:hint="eastAsia" w:ascii="宋体" w:hAnsi="宋体" w:eastAsia="宋体" w:cs="宋体"/>
          <w:b/>
          <w:kern w:val="0"/>
          <w:szCs w:val="21"/>
        </w:rPr>
        <w:t>文件的签署及其他规定</w:t>
      </w:r>
    </w:p>
    <w:p w14:paraId="773812D3">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3D371FDD">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20.2 响应文件应当对竞争性磋商文件有关服务期限、响应文件有效期、服务质量等实质性内容作出响应。</w:t>
      </w:r>
    </w:p>
    <w:p w14:paraId="06CE3AD4">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38CD1">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20.4响应文件份数见供应商须知前附表。响应文件正本和副本的封面上应清楚地标记“正本”或“副本”的字样。</w:t>
      </w:r>
    </w:p>
    <w:p w14:paraId="732DF16F">
      <w:pPr>
        <w:snapToGrid w:val="0"/>
        <w:spacing w:line="360" w:lineRule="auto"/>
        <w:ind w:firstLine="415" w:firstLineChars="198"/>
        <w:rPr>
          <w:rFonts w:hint="eastAsia" w:ascii="宋体" w:hAnsi="宋体" w:eastAsia="宋体" w:cs="宋体"/>
          <w:kern w:val="0"/>
          <w:szCs w:val="21"/>
        </w:rPr>
      </w:pPr>
      <w:r>
        <w:rPr>
          <w:rFonts w:hint="eastAsia" w:ascii="宋体" w:hAnsi="宋体" w:eastAsia="宋体" w:cs="宋体"/>
          <w:kern w:val="0"/>
          <w:szCs w:val="21"/>
        </w:rPr>
        <w:t>20.5响应文件的具体装订要求见供应商须知前附表规定。</w:t>
      </w:r>
    </w:p>
    <w:p w14:paraId="4494226A">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四、响应文件的递交</w:t>
      </w:r>
    </w:p>
    <w:p w14:paraId="01F9165A">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21. 响应文件的密封、标记</w:t>
      </w:r>
    </w:p>
    <w:p w14:paraId="4BDB2601">
      <w:pPr>
        <w:spacing w:line="360" w:lineRule="auto"/>
        <w:ind w:firstLine="424" w:firstLineChars="202"/>
        <w:rPr>
          <w:rFonts w:hint="eastAsia" w:ascii="宋体" w:hAnsi="宋体" w:eastAsia="宋体" w:cs="宋体"/>
          <w:kern w:val="0"/>
          <w:szCs w:val="21"/>
        </w:rPr>
      </w:pPr>
      <w:r>
        <w:rPr>
          <w:rFonts w:hint="eastAsia" w:ascii="宋体" w:hAnsi="宋体" w:eastAsia="宋体" w:cs="宋体"/>
          <w:kern w:val="0"/>
          <w:szCs w:val="21"/>
        </w:rPr>
        <w:t>21.1</w:t>
      </w:r>
      <w:r>
        <w:rPr>
          <w:rFonts w:hint="eastAsia" w:ascii="宋体" w:hAnsi="宋体" w:eastAsia="宋体" w:cs="宋体"/>
        </w:rPr>
        <w:t>响应文件应密封包装，并在封套的封口处加盖供应商单位章或由供应商的法定代表人（单位负责人）或其授权的代理人签字。</w:t>
      </w:r>
    </w:p>
    <w:p w14:paraId="314DCDC2">
      <w:pPr>
        <w:snapToGrid w:val="0"/>
        <w:spacing w:line="360" w:lineRule="auto"/>
        <w:ind w:firstLine="420" w:firstLineChars="200"/>
        <w:jc w:val="left"/>
        <w:rPr>
          <w:rFonts w:hint="eastAsia" w:ascii="宋体" w:hAnsi="宋体" w:eastAsia="宋体" w:cs="宋体"/>
        </w:rPr>
      </w:pPr>
      <w:r>
        <w:rPr>
          <w:rFonts w:hint="eastAsia" w:ascii="宋体" w:hAnsi="宋体" w:eastAsia="宋体" w:cs="宋体"/>
        </w:rPr>
        <w:t>21.2 未按本章第21.1项要求密封的</w:t>
      </w:r>
      <w:r>
        <w:rPr>
          <w:rFonts w:hint="eastAsia" w:ascii="宋体" w:hAnsi="宋体" w:eastAsia="宋体" w:cs="宋体"/>
          <w:kern w:val="0"/>
          <w:szCs w:val="21"/>
        </w:rPr>
        <w:t>响应</w:t>
      </w:r>
      <w:r>
        <w:rPr>
          <w:rFonts w:hint="eastAsia" w:ascii="宋体" w:hAnsi="宋体" w:eastAsia="宋体" w:cs="宋体"/>
        </w:rPr>
        <w:t>文件，采购人不予受理。</w:t>
      </w:r>
    </w:p>
    <w:p w14:paraId="10DB4A58">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22. 响应文件的递交</w:t>
      </w:r>
    </w:p>
    <w:p w14:paraId="47BFD4A8">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22.1 供应商应在规定的磋商截止时间前递交响应文件。</w:t>
      </w:r>
    </w:p>
    <w:p w14:paraId="254DFDD6">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22.2 供应商递交响应文件的地点：见供应商须知前附表。</w:t>
      </w:r>
    </w:p>
    <w:p w14:paraId="3C0FB530">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22.3 除供应商须知前附表另有规定外，供应商所递交的响应文件不予退还。</w:t>
      </w:r>
    </w:p>
    <w:p w14:paraId="41A6BFFD">
      <w:pPr>
        <w:autoSpaceDE w:val="0"/>
        <w:autoSpaceDN w:val="0"/>
        <w:adjustRightInd w:val="0"/>
        <w:snapToGrid w:val="0"/>
        <w:spacing w:line="360" w:lineRule="auto"/>
        <w:ind w:right="-34" w:rightChars="-16" w:firstLine="420" w:firstLineChars="200"/>
        <w:jc w:val="left"/>
        <w:rPr>
          <w:rFonts w:hint="eastAsia" w:ascii="宋体" w:hAnsi="宋体" w:eastAsia="宋体" w:cs="宋体"/>
          <w:kern w:val="0"/>
          <w:szCs w:val="21"/>
        </w:rPr>
      </w:pPr>
      <w:r>
        <w:rPr>
          <w:rFonts w:hint="eastAsia" w:ascii="宋体" w:hAnsi="宋体" w:eastAsia="宋体" w:cs="宋体"/>
          <w:kern w:val="0"/>
          <w:szCs w:val="21"/>
        </w:rPr>
        <w:t>22.4 逾期送达的或者未送达指定地点的响应文件，采购人不予受理。</w:t>
      </w:r>
    </w:p>
    <w:p w14:paraId="352026AD">
      <w:pPr>
        <w:snapToGrid w:val="0"/>
        <w:spacing w:line="360" w:lineRule="auto"/>
        <w:ind w:firstLine="417" w:firstLineChars="198"/>
        <w:rPr>
          <w:rFonts w:hint="eastAsia" w:ascii="宋体" w:hAnsi="宋体" w:eastAsia="宋体" w:cs="宋体"/>
          <w:b/>
          <w:kern w:val="0"/>
          <w:szCs w:val="21"/>
        </w:rPr>
      </w:pPr>
      <w:r>
        <w:rPr>
          <w:rFonts w:hint="eastAsia" w:ascii="宋体" w:hAnsi="宋体" w:eastAsia="宋体" w:cs="宋体"/>
          <w:b/>
          <w:kern w:val="0"/>
          <w:szCs w:val="21"/>
        </w:rPr>
        <w:t>23. 响应文件的修改和撤回</w:t>
      </w:r>
    </w:p>
    <w:p w14:paraId="2D78858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23.1 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截止时间前，可以对所提交的响应文件进行补充、修改或者撤回，并书面通知采购人。补充、修改的内容和撤回通知应当按本须知要求签署、盖章、密封，并作为响应文件的组成部分。</w:t>
      </w:r>
    </w:p>
    <w:p w14:paraId="03A84FBD">
      <w:pPr>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kern w:val="0"/>
          <w:szCs w:val="21"/>
        </w:rPr>
        <w:t>23.2 供应商在磋商截止期后不得修改、撤回响应文件。供应商在</w:t>
      </w:r>
      <w:r>
        <w:rPr>
          <w:rFonts w:hint="eastAsia" w:ascii="宋体" w:hAnsi="宋体" w:eastAsia="宋体" w:cs="宋体"/>
          <w:kern w:val="0"/>
          <w:szCs w:val="21"/>
          <w:lang w:val="en-US" w:eastAsia="zh-CN"/>
        </w:rPr>
        <w:t>磋商</w:t>
      </w:r>
      <w:r>
        <w:rPr>
          <w:rFonts w:hint="eastAsia" w:ascii="宋体" w:hAnsi="宋体" w:eastAsia="宋体" w:cs="宋体"/>
          <w:kern w:val="0"/>
          <w:szCs w:val="21"/>
        </w:rPr>
        <w:t>截止期后修改响应文件的，其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将被拒绝。</w:t>
      </w:r>
    </w:p>
    <w:p w14:paraId="6B07AD25">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五、评标</w:t>
      </w:r>
    </w:p>
    <w:p w14:paraId="208A5A15">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24. 组建磋商小组</w:t>
      </w:r>
    </w:p>
    <w:p w14:paraId="76AE91FF">
      <w:pPr>
        <w:snapToGrid w:val="0"/>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24.1 磋商小组由采购人代表和评审专家组成。成员由3人以上单数组成。</w:t>
      </w:r>
      <w:r>
        <w:rPr>
          <w:rFonts w:hint="eastAsia" w:ascii="宋体" w:hAnsi="宋体" w:eastAsia="宋体" w:cs="宋体"/>
          <w:szCs w:val="21"/>
        </w:rPr>
        <w:t>在开标后由磋商小组对</w:t>
      </w:r>
      <w:r>
        <w:rPr>
          <w:rFonts w:hint="eastAsia" w:ascii="宋体" w:hAnsi="宋体" w:eastAsia="宋体" w:cs="宋体"/>
          <w:kern w:val="0"/>
          <w:szCs w:val="21"/>
        </w:rPr>
        <w:t>响应文件</w:t>
      </w:r>
      <w:r>
        <w:rPr>
          <w:rFonts w:hint="eastAsia" w:ascii="宋体" w:hAnsi="宋体" w:eastAsia="宋体" w:cs="宋体"/>
          <w:szCs w:val="21"/>
        </w:rPr>
        <w:t>进行审查、质疑、评估和比较，并做合理的建议。</w:t>
      </w:r>
    </w:p>
    <w:p w14:paraId="2223D096">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24.2磋商小组成员要依法独立评审，并对评审意见承担个人责任。</w:t>
      </w:r>
      <w:r>
        <w:rPr>
          <w:rFonts w:hint="eastAsia" w:ascii="宋体" w:hAnsi="宋体" w:eastAsia="宋体" w:cs="宋体"/>
          <w:szCs w:val="21"/>
        </w:rPr>
        <w:t>磋商小组成员对需要共同认定的事项存在争议的，按照少数服从多数的原则</w:t>
      </w:r>
      <w:r>
        <w:rPr>
          <w:rFonts w:hint="eastAsia" w:ascii="宋体" w:hAnsi="宋体" w:eastAsia="宋体" w:cs="宋体"/>
          <w:kern w:val="0"/>
          <w:szCs w:val="21"/>
        </w:rPr>
        <w:t>做</w:t>
      </w:r>
      <w:r>
        <w:rPr>
          <w:rFonts w:hint="eastAsia" w:ascii="宋体" w:hAnsi="宋体" w:eastAsia="宋体" w:cs="宋体"/>
          <w:szCs w:val="21"/>
        </w:rPr>
        <w:t>出结论。持不同意见的磋商小组成员应当在评审报告上签署不同意见</w:t>
      </w:r>
      <w:r>
        <w:rPr>
          <w:rFonts w:hint="eastAsia" w:ascii="宋体" w:hAnsi="宋体" w:eastAsia="宋体" w:cs="宋体"/>
          <w:kern w:val="0"/>
          <w:szCs w:val="21"/>
        </w:rPr>
        <w:t>并说明</w:t>
      </w:r>
      <w:r>
        <w:rPr>
          <w:rFonts w:hint="eastAsia" w:ascii="宋体" w:hAnsi="宋体" w:eastAsia="宋体" w:cs="宋体"/>
          <w:szCs w:val="21"/>
        </w:rPr>
        <w:t>理由，否则视为同意。</w:t>
      </w:r>
    </w:p>
    <w:p w14:paraId="5305C22A">
      <w:pPr>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 xml:space="preserve">25. </w:t>
      </w:r>
      <w:r>
        <w:rPr>
          <w:rFonts w:hint="eastAsia" w:ascii="宋体" w:hAnsi="宋体" w:eastAsia="宋体" w:cs="宋体"/>
          <w:b/>
          <w:bCs/>
          <w:kern w:val="0"/>
          <w:szCs w:val="21"/>
        </w:rPr>
        <w:t>响应</w:t>
      </w:r>
      <w:r>
        <w:rPr>
          <w:rFonts w:hint="eastAsia" w:ascii="宋体" w:hAnsi="宋体" w:eastAsia="宋体" w:cs="宋体"/>
          <w:b/>
          <w:bCs/>
          <w:szCs w:val="21"/>
        </w:rPr>
        <w:t>文件的初审</w:t>
      </w:r>
    </w:p>
    <w:p w14:paraId="1EF69D87">
      <w:pPr>
        <w:pStyle w:val="29"/>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25.1对所有供应商的评估，都采用相同的程序和标准。评标过程将严格按照竞争性磋商文件的要求和条件进行。</w:t>
      </w:r>
    </w:p>
    <w:p w14:paraId="7605F67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25.2 磋商小组将对响应文件进行检查，以确定响应文件是否完整、有无计算上的错误、文件是否已正确签署等。</w:t>
      </w:r>
    </w:p>
    <w:p w14:paraId="5DCD3CCC">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 响应文件报价出现前后不一致的，除竞争性磋商文件另有规定外，修正错误的原则如下：</w:t>
      </w:r>
    </w:p>
    <w:p w14:paraId="25A24AD5">
      <w:pPr>
        <w:pStyle w:val="29"/>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25.3.1响应文件</w:t>
      </w:r>
      <w:r>
        <w:rPr>
          <w:rFonts w:hint="eastAsia" w:ascii="宋体" w:hAnsi="宋体" w:eastAsia="宋体" w:cs="宋体"/>
          <w:sz w:val="21"/>
          <w:szCs w:val="21"/>
          <w:shd w:val="clear" w:color="auto" w:fill="FFFFFF"/>
        </w:rPr>
        <w:t>初次报价一览表（报价表）内容与响应文件中相应内容不一致的，以初次报价一览表（报价表）为准；</w:t>
      </w:r>
    </w:p>
    <w:p w14:paraId="5E1D965C">
      <w:pPr>
        <w:pStyle w:val="29"/>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25.3.2</w:t>
      </w:r>
      <w:r>
        <w:rPr>
          <w:rFonts w:hint="eastAsia" w:ascii="宋体" w:hAnsi="宋体" w:eastAsia="宋体" w:cs="宋体"/>
          <w:sz w:val="21"/>
          <w:szCs w:val="21"/>
          <w:shd w:val="clear" w:color="auto" w:fill="FFFFFF"/>
        </w:rPr>
        <w:t>大写金额</w:t>
      </w:r>
      <w:r>
        <w:rPr>
          <w:rFonts w:hint="eastAsia" w:ascii="宋体" w:hAnsi="宋体" w:eastAsia="宋体" w:cs="宋体"/>
          <w:sz w:val="21"/>
          <w:szCs w:val="21"/>
        </w:rPr>
        <w:t>与</w:t>
      </w:r>
      <w:r>
        <w:rPr>
          <w:rFonts w:hint="eastAsia" w:ascii="宋体" w:hAnsi="宋体" w:eastAsia="宋体" w:cs="宋体"/>
          <w:sz w:val="21"/>
          <w:szCs w:val="21"/>
          <w:shd w:val="clear" w:color="auto" w:fill="FFFFFF"/>
        </w:rPr>
        <w:t>小写金额不一致的，以大写金额为准；</w:t>
      </w:r>
    </w:p>
    <w:p w14:paraId="301E1E1D">
      <w:pPr>
        <w:pStyle w:val="29"/>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25.3.3</w:t>
      </w:r>
      <w:r>
        <w:rPr>
          <w:rFonts w:hint="eastAsia" w:ascii="宋体" w:hAnsi="宋体" w:eastAsia="宋体" w:cs="宋体"/>
          <w:sz w:val="21"/>
          <w:szCs w:val="21"/>
          <w:shd w:val="clear" w:color="auto" w:fill="FFFFFF"/>
        </w:rPr>
        <w:t>单价金额小数点或者百分比有明显错位的，以初次报价一览表的总价为准，并修改单价；</w:t>
      </w:r>
    </w:p>
    <w:p w14:paraId="0E761E72">
      <w:pPr>
        <w:pStyle w:val="29"/>
        <w:shd w:val="clear" w:color="auto" w:fill="FFFFFF"/>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25.3.4</w:t>
      </w:r>
      <w:r>
        <w:rPr>
          <w:rFonts w:hint="eastAsia" w:ascii="宋体" w:hAnsi="宋体" w:eastAsia="宋体" w:cs="宋体"/>
          <w:sz w:val="21"/>
          <w:szCs w:val="21"/>
          <w:shd w:val="clear" w:color="auto" w:fill="FFFFFF"/>
        </w:rPr>
        <w:t>总价金额与按单价汇总金额不一致的，以单价金额计算结果为准。</w:t>
      </w:r>
    </w:p>
    <w:p w14:paraId="647AC212">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25.3.5对不同文字文本响应文件的解释发生异议的，以中文文本为准。</w:t>
      </w:r>
    </w:p>
    <w:p w14:paraId="54741164">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25.3.6同时出现两种以上不一致的，按照前款规定的顺序修正。修正后的报价按照财政部87号令第五十一条第二款的规定经供应商确认后产生约束力，供应商不确认的，其</w:t>
      </w:r>
      <w:r>
        <w:rPr>
          <w:rFonts w:hint="eastAsia" w:ascii="宋体" w:hAnsi="宋体" w:eastAsia="宋体" w:cs="宋体"/>
          <w:kern w:val="0"/>
          <w:szCs w:val="21"/>
          <w:lang w:val="en-US" w:eastAsia="zh-CN"/>
        </w:rPr>
        <w:t>磋商</w:t>
      </w:r>
      <w:r>
        <w:rPr>
          <w:rFonts w:hint="eastAsia" w:ascii="宋体" w:hAnsi="宋体" w:eastAsia="宋体" w:cs="宋体"/>
          <w:kern w:val="0"/>
          <w:szCs w:val="21"/>
        </w:rPr>
        <w:t>无效。</w:t>
      </w:r>
    </w:p>
    <w:p w14:paraId="03CC15E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 资格性检查和符合性检查。</w:t>
      </w:r>
    </w:p>
    <w:p w14:paraId="4770F9F6">
      <w:pPr>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kern w:val="0"/>
          <w:szCs w:val="21"/>
        </w:rPr>
        <w:t>25.4.1</w:t>
      </w:r>
      <w:r>
        <w:rPr>
          <w:rFonts w:hint="eastAsia" w:ascii="宋体" w:hAnsi="宋体" w:eastAsia="宋体" w:cs="宋体"/>
          <w:szCs w:val="21"/>
        </w:rPr>
        <w:t>资格性检查。依据法规政策和竞争性磋商文件的规定，在对</w:t>
      </w:r>
      <w:r>
        <w:rPr>
          <w:rFonts w:hint="eastAsia" w:ascii="宋体" w:hAnsi="宋体" w:eastAsia="宋体" w:cs="宋体"/>
          <w:szCs w:val="21"/>
          <w:shd w:val="clear" w:color="auto" w:fill="FFFFFF"/>
        </w:rPr>
        <w:t>响应文件</w:t>
      </w:r>
      <w:r>
        <w:rPr>
          <w:rFonts w:hint="eastAsia" w:ascii="宋体" w:hAnsi="宋体" w:eastAsia="宋体" w:cs="宋体"/>
          <w:szCs w:val="21"/>
        </w:rPr>
        <w:t>详细评估之前，采购人将依据供应商提交的</w:t>
      </w:r>
      <w:r>
        <w:rPr>
          <w:rFonts w:hint="eastAsia" w:ascii="宋体" w:hAnsi="宋体" w:eastAsia="宋体" w:cs="宋体"/>
          <w:szCs w:val="21"/>
          <w:shd w:val="clear" w:color="auto" w:fill="FFFFFF"/>
        </w:rPr>
        <w:t>响应文件</w:t>
      </w:r>
      <w:r>
        <w:rPr>
          <w:rFonts w:hint="eastAsia" w:ascii="宋体" w:hAnsi="宋体" w:eastAsia="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w:t>
      </w:r>
      <w:r>
        <w:rPr>
          <w:rFonts w:hint="eastAsia" w:ascii="宋体" w:hAnsi="宋体" w:eastAsia="宋体" w:cs="宋体"/>
          <w:szCs w:val="21"/>
          <w:lang w:val="en-US" w:eastAsia="zh-CN"/>
        </w:rPr>
        <w:t>磋商</w:t>
      </w:r>
      <w:r>
        <w:rPr>
          <w:rFonts w:hint="eastAsia" w:ascii="宋体" w:hAnsi="宋体" w:eastAsia="宋体" w:cs="宋体"/>
          <w:szCs w:val="21"/>
        </w:rPr>
        <w:t>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5432314D">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25.4.2 资格审查后合格的供应商不足3家的，不得评标。</w:t>
      </w:r>
    </w:p>
    <w:p w14:paraId="249A3622">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25.4.3 符合性检查。依据竞争性磋商文件的规定，磋商小组将从</w:t>
      </w:r>
      <w:r>
        <w:rPr>
          <w:rFonts w:hint="eastAsia" w:ascii="宋体" w:hAnsi="宋体" w:eastAsia="宋体" w:cs="宋体"/>
          <w:szCs w:val="21"/>
          <w:shd w:val="clear" w:color="auto" w:fill="FFFFFF"/>
        </w:rPr>
        <w:t>响应文件</w:t>
      </w:r>
      <w:r>
        <w:rPr>
          <w:rFonts w:hint="eastAsia" w:ascii="宋体" w:hAnsi="宋体" w:eastAsia="宋体" w:cs="宋体"/>
          <w:kern w:val="0"/>
          <w:szCs w:val="21"/>
        </w:rPr>
        <w:t>的有效性、完整性和对竞争性磋商文件的响应程度进行审查，以确定是否符合对竞争性磋商文件的实质性要求作出响应。对没有实质性响应的响应文件将不进行评估，其</w:t>
      </w:r>
      <w:r>
        <w:rPr>
          <w:rFonts w:hint="eastAsia" w:ascii="宋体" w:hAnsi="宋体" w:eastAsia="宋体" w:cs="宋体"/>
          <w:kern w:val="0"/>
          <w:szCs w:val="21"/>
          <w:lang w:val="en-US" w:eastAsia="zh-CN"/>
        </w:rPr>
        <w:t>磋商</w:t>
      </w:r>
      <w:r>
        <w:rPr>
          <w:rFonts w:hint="eastAsia" w:ascii="宋体" w:hAnsi="宋体" w:eastAsia="宋体" w:cs="宋体"/>
          <w:kern w:val="0"/>
          <w:szCs w:val="21"/>
        </w:rPr>
        <w:t>被作为无效磋商。凡有下列情况之一者，响应文件也将被视为未实质性响应竞争性磋商文件要求：</w:t>
      </w:r>
    </w:p>
    <w:p w14:paraId="4B1B840D">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bookmarkStart w:id="51" w:name="_Hlk212647502"/>
      <w:r>
        <w:rPr>
          <w:rFonts w:hint="eastAsia" w:ascii="宋体" w:hAnsi="宋体" w:eastAsia="宋体" w:cs="宋体"/>
          <w:szCs w:val="21"/>
          <w:highlight w:val="none"/>
        </w:rPr>
        <w:t>（1）</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未按规定签字、盖章的。</w:t>
      </w:r>
    </w:p>
    <w:p w14:paraId="0DB353CC">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2</w:t>
      </w:r>
      <w:r>
        <w:rPr>
          <w:rFonts w:hint="eastAsia" w:ascii="宋体" w:hAnsi="宋体" w:eastAsia="宋体" w:cs="宋体"/>
          <w:szCs w:val="21"/>
          <w:highlight w:val="none"/>
        </w:rPr>
        <w:t>）未响应或不满足竞争性磋商文件中技术要求与商务要求的。</w:t>
      </w:r>
    </w:p>
    <w:p w14:paraId="33A2816B">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3</w:t>
      </w:r>
      <w:r>
        <w:rPr>
          <w:rFonts w:hint="eastAsia" w:ascii="宋体" w:hAnsi="宋体" w:eastAsia="宋体" w:cs="宋体"/>
          <w:szCs w:val="21"/>
          <w:highlight w:val="none"/>
        </w:rPr>
        <w:t>）未按竞争性磋商文件提供的格式填列、项目不齐全或内容虚假的。</w:t>
      </w:r>
    </w:p>
    <w:p w14:paraId="7C4BA435">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的实质性内容未使用中文表述，或意思表述不明确，或前后矛盾，或使用计量单位不符合竞争性磋商文件要求的。</w:t>
      </w:r>
    </w:p>
    <w:p w14:paraId="7CE78A40">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cs="宋体"/>
          <w:szCs w:val="21"/>
          <w:highlight w:val="none"/>
          <w:lang w:val="en-US" w:eastAsia="zh-CN"/>
        </w:rPr>
        <w:t>5</w:t>
      </w:r>
      <w:r>
        <w:rPr>
          <w:rFonts w:hint="eastAsia" w:ascii="宋体" w:hAnsi="宋体" w:eastAsia="宋体" w:cs="宋体"/>
          <w:szCs w:val="21"/>
          <w:highlight w:val="none"/>
        </w:rPr>
        <w:t>）</w:t>
      </w:r>
      <w:r>
        <w:rPr>
          <w:rFonts w:hint="eastAsia" w:ascii="宋体" w:hAnsi="宋体" w:eastAsia="宋体" w:cs="宋体"/>
          <w:szCs w:val="21"/>
          <w:highlight w:val="none"/>
          <w:shd w:val="clear" w:color="auto" w:fill="FFFFFF"/>
        </w:rPr>
        <w:t>响应文件</w:t>
      </w:r>
      <w:r>
        <w:rPr>
          <w:rFonts w:hint="eastAsia" w:ascii="宋体" w:hAnsi="宋体" w:eastAsia="宋体" w:cs="宋体"/>
          <w:szCs w:val="21"/>
          <w:highlight w:val="none"/>
        </w:rPr>
        <w:t>的关键内容字迹模糊、无法辨认,或</w:t>
      </w:r>
      <w:r>
        <w:rPr>
          <w:rFonts w:hint="eastAsia" w:ascii="宋体" w:hAnsi="宋体" w:eastAsia="宋体" w:cs="宋体"/>
          <w:kern w:val="0"/>
          <w:szCs w:val="21"/>
          <w:highlight w:val="none"/>
        </w:rPr>
        <w:t>响应</w:t>
      </w:r>
      <w:r>
        <w:rPr>
          <w:rFonts w:hint="eastAsia" w:ascii="宋体" w:hAnsi="宋体" w:eastAsia="宋体" w:cs="宋体"/>
          <w:szCs w:val="21"/>
          <w:highlight w:val="none"/>
        </w:rPr>
        <w:t>文件中经修正的内容字迹模糊无法辩认，或修改处未按规定签名盖章的。</w:t>
      </w:r>
    </w:p>
    <w:p w14:paraId="420C0FAF">
      <w:pPr>
        <w:tabs>
          <w:tab w:val="left" w:pos="0"/>
        </w:tabs>
        <w:snapToGrid w:val="0"/>
        <w:spacing w:line="360" w:lineRule="auto"/>
        <w:ind w:firstLine="420" w:firstLineChars="200"/>
        <w:contextualSpacing/>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）不符合竞争性磋商文件中规定的其它实质性条款。</w:t>
      </w:r>
    </w:p>
    <w:bookmarkEnd w:id="51"/>
    <w:p w14:paraId="63C2959F">
      <w:pPr>
        <w:tabs>
          <w:tab w:val="left" w:pos="0"/>
        </w:tabs>
        <w:snapToGrid w:val="0"/>
        <w:spacing w:line="360" w:lineRule="auto"/>
        <w:ind w:firstLine="420" w:firstLineChars="200"/>
        <w:contextualSpacing/>
        <w:jc w:val="left"/>
        <w:rPr>
          <w:rFonts w:hint="eastAsia" w:ascii="宋体" w:hAnsi="宋体" w:eastAsia="宋体" w:cs="宋体"/>
          <w:kern w:val="0"/>
          <w:szCs w:val="21"/>
        </w:rPr>
      </w:pPr>
      <w:r>
        <w:rPr>
          <w:rFonts w:hint="eastAsia" w:ascii="宋体" w:hAnsi="宋体" w:eastAsia="宋体" w:cs="宋体"/>
          <w:kern w:val="0"/>
          <w:szCs w:val="21"/>
        </w:rPr>
        <w:t>磋商小组决定</w:t>
      </w:r>
      <w:r>
        <w:rPr>
          <w:rFonts w:hint="eastAsia" w:ascii="宋体" w:hAnsi="宋体" w:eastAsia="宋体" w:cs="宋体"/>
          <w:kern w:val="0"/>
          <w:szCs w:val="21"/>
          <w:lang w:val="en-US" w:eastAsia="zh-CN"/>
        </w:rPr>
        <w:t>磋商</w:t>
      </w:r>
      <w:r>
        <w:rPr>
          <w:rFonts w:hint="eastAsia" w:ascii="宋体" w:hAnsi="宋体" w:eastAsia="宋体" w:cs="宋体"/>
          <w:kern w:val="0"/>
          <w:szCs w:val="21"/>
        </w:rPr>
        <w:t>的响应性只根据响应文件本身的内容，而不寻求其他的外部证据。</w:t>
      </w:r>
    </w:p>
    <w:p w14:paraId="3AF2E7ED">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25.4.4 对资格性检查和符合性检查不合格的供应商，将通过评标系统告知其理由。</w:t>
      </w:r>
    </w:p>
    <w:p w14:paraId="13B84FE8">
      <w:pPr>
        <w:pStyle w:val="29"/>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25.5 在评审过程中，磋商小组发现供应商有下列情形之一的，视为供应商串通投标，其磋商无效：</w:t>
      </w:r>
    </w:p>
    <w:p w14:paraId="20DE44D6">
      <w:pPr>
        <w:tabs>
          <w:tab w:val="left" w:pos="0"/>
        </w:tabs>
        <w:snapToGrid w:val="0"/>
        <w:spacing w:line="360" w:lineRule="auto"/>
        <w:ind w:left="105" w:leftChars="50" w:firstLine="315" w:firstLineChars="150"/>
        <w:contextualSpacing/>
        <w:jc w:val="left"/>
        <w:rPr>
          <w:rFonts w:hint="eastAsia" w:ascii="宋体" w:hAnsi="宋体" w:eastAsia="宋体" w:cs="宋体"/>
          <w:kern w:val="0"/>
          <w:szCs w:val="21"/>
        </w:rPr>
      </w:pPr>
      <w:r>
        <w:rPr>
          <w:rFonts w:hint="eastAsia" w:ascii="宋体" w:hAnsi="宋体" w:eastAsia="宋体" w:cs="宋体"/>
          <w:kern w:val="0"/>
          <w:szCs w:val="21"/>
        </w:rPr>
        <w:t>25.5.1不同供应商的</w:t>
      </w:r>
      <w:r>
        <w:rPr>
          <w:rFonts w:hint="eastAsia" w:ascii="宋体" w:hAnsi="宋体" w:eastAsia="宋体" w:cs="宋体"/>
          <w:szCs w:val="21"/>
          <w:shd w:val="clear" w:color="auto" w:fill="FFFFFF"/>
        </w:rPr>
        <w:t>响应文件</w:t>
      </w:r>
      <w:r>
        <w:rPr>
          <w:rFonts w:hint="eastAsia" w:ascii="宋体" w:hAnsi="宋体" w:eastAsia="宋体" w:cs="宋体"/>
          <w:kern w:val="0"/>
          <w:szCs w:val="21"/>
        </w:rPr>
        <w:t>异常一致。</w:t>
      </w:r>
    </w:p>
    <w:p w14:paraId="0A037926">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25.5.2不同供应商的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由同一单位或者个人编制；</w:t>
      </w:r>
    </w:p>
    <w:p w14:paraId="424B4B25">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25.5.3不同供应商委托同一单位或者个人办理投标事宜；</w:t>
      </w:r>
    </w:p>
    <w:p w14:paraId="5D8EA7F3">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25.5.4不同供应商的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载明的项目管理成员或者联系人员为同一人；</w:t>
      </w:r>
    </w:p>
    <w:p w14:paraId="44CE097E">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25.5.5不同供应商的</w:t>
      </w:r>
      <w:r>
        <w:rPr>
          <w:rFonts w:hint="eastAsia" w:ascii="宋体" w:hAnsi="宋体" w:eastAsia="宋体" w:cs="宋体"/>
          <w:szCs w:val="21"/>
          <w:shd w:val="clear" w:color="auto" w:fill="FFFFFF"/>
        </w:rPr>
        <w:t>响应文件</w:t>
      </w:r>
      <w:r>
        <w:rPr>
          <w:rFonts w:hint="eastAsia" w:ascii="宋体" w:hAnsi="宋体" w:eastAsia="宋体" w:cs="宋体"/>
          <w:szCs w:val="21"/>
        </w:rPr>
        <w:t>相互混装；</w:t>
      </w:r>
    </w:p>
    <w:p w14:paraId="2F4EF60D">
      <w:pPr>
        <w:tabs>
          <w:tab w:val="left" w:pos="0"/>
        </w:tabs>
        <w:snapToGrid w:val="0"/>
        <w:spacing w:line="360" w:lineRule="auto"/>
        <w:ind w:left="105" w:leftChars="50" w:firstLine="315" w:firstLineChars="150"/>
        <w:contextualSpacing/>
        <w:jc w:val="left"/>
        <w:rPr>
          <w:rFonts w:hint="eastAsia" w:ascii="宋体" w:hAnsi="宋体" w:eastAsia="宋体" w:cs="宋体"/>
          <w:szCs w:val="21"/>
        </w:rPr>
      </w:pPr>
      <w:r>
        <w:rPr>
          <w:rFonts w:hint="eastAsia" w:ascii="宋体" w:hAnsi="宋体" w:eastAsia="宋体" w:cs="宋体"/>
          <w:szCs w:val="21"/>
        </w:rPr>
        <w:t>25.5.6不同供应商的磋商保证金从同一单位或者个人的账户转出（若收取）。</w:t>
      </w:r>
    </w:p>
    <w:p w14:paraId="03420AF2">
      <w:pPr>
        <w:adjustRightInd w:val="0"/>
        <w:snapToGrid w:val="0"/>
        <w:spacing w:line="360" w:lineRule="auto"/>
        <w:ind w:left="19" w:leftChars="9" w:firstLine="399" w:firstLineChars="190"/>
        <w:jc w:val="left"/>
        <w:textAlignment w:val="baseline"/>
        <w:rPr>
          <w:rFonts w:hint="eastAsia" w:ascii="宋体" w:hAnsi="宋体" w:eastAsia="宋体" w:cs="宋体"/>
          <w:szCs w:val="21"/>
        </w:rPr>
      </w:pPr>
      <w:r>
        <w:rPr>
          <w:rFonts w:hint="eastAsia" w:ascii="宋体" w:hAnsi="宋体" w:eastAsia="宋体" w:cs="宋体"/>
          <w:kern w:val="0"/>
          <w:szCs w:val="21"/>
        </w:rPr>
        <w:t>25.5.7 有证据证明供应商串通投标的其他情形的；</w:t>
      </w:r>
    </w:p>
    <w:p w14:paraId="17AA9E9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25.5.8 磋商小组认定的其他串通投标情形。</w:t>
      </w:r>
    </w:p>
    <w:p w14:paraId="0791BA15">
      <w:pPr>
        <w:tabs>
          <w:tab w:val="left" w:pos="0"/>
        </w:tabs>
        <w:wordWrap w:val="0"/>
        <w:snapToGrid w:val="0"/>
        <w:spacing w:line="360" w:lineRule="auto"/>
        <w:ind w:left="105" w:leftChars="50" w:firstLine="316" w:firstLineChars="150"/>
        <w:contextualSpacing/>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 磋商</w:t>
      </w:r>
    </w:p>
    <w:p w14:paraId="7C9C71D8">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对资格性检查和符合性检查合格的供应商，进入本次磋商程序。</w:t>
      </w:r>
    </w:p>
    <w:p w14:paraId="18C870D8">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C9DCE3B">
      <w:pPr>
        <w:snapToGrid w:val="0"/>
        <w:spacing w:line="360" w:lineRule="auto"/>
        <w:ind w:firstLine="422" w:firstLineChars="200"/>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25.6.2 本次竞争性磋商进行</w:t>
      </w:r>
      <w:r>
        <w:rPr>
          <w:rFonts w:hint="eastAsia" w:ascii="宋体" w:hAnsi="宋体" w:eastAsia="宋体" w:cs="宋体"/>
          <w:b/>
          <w:bCs/>
          <w:color w:val="000000" w:themeColor="text1"/>
          <w:szCs w:val="21"/>
          <w:u w:val="single"/>
          <w14:textFill>
            <w14:solidFill>
              <w14:schemeClr w14:val="tx1"/>
            </w14:solidFill>
          </w14:textFill>
        </w:rPr>
        <w:t xml:space="preserve"> 多 </w:t>
      </w:r>
      <w:r>
        <w:rPr>
          <w:rFonts w:hint="eastAsia" w:ascii="宋体" w:hAnsi="宋体" w:eastAsia="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2CFD9D61">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26. 响应文件的澄清</w:t>
      </w:r>
    </w:p>
    <w:p w14:paraId="188B53F4">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4207695">
      <w:pPr>
        <w:snapToGrid w:val="0"/>
        <w:spacing w:line="360" w:lineRule="auto"/>
        <w:ind w:firstLine="422" w:firstLineChars="200"/>
        <w:jc w:val="left"/>
        <w:rPr>
          <w:rFonts w:hint="eastAsia" w:ascii="宋体" w:hAnsi="宋体" w:eastAsia="宋体" w:cs="宋体"/>
          <w:b/>
          <w:bCs/>
          <w:kern w:val="0"/>
          <w:szCs w:val="21"/>
        </w:rPr>
      </w:pPr>
      <w:r>
        <w:rPr>
          <w:rFonts w:hint="eastAsia" w:ascii="宋体" w:hAnsi="宋体" w:eastAsia="宋体" w:cs="宋体"/>
          <w:b/>
          <w:bCs/>
          <w:kern w:val="0"/>
          <w:szCs w:val="21"/>
        </w:rPr>
        <w:t>27. 比较与评价</w:t>
      </w:r>
    </w:p>
    <w:p w14:paraId="5C71FBC8">
      <w:pPr>
        <w:pStyle w:val="29"/>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27.1 磋商小组将按本竞争性磋商文件规定的评标方法与标准，对资格性检查和符合性检查合格的</w:t>
      </w:r>
      <w:r>
        <w:rPr>
          <w:rFonts w:hint="eastAsia" w:ascii="宋体" w:hAnsi="宋体" w:eastAsia="宋体" w:cs="宋体"/>
          <w:sz w:val="21"/>
          <w:szCs w:val="21"/>
          <w:shd w:val="clear" w:color="auto" w:fill="FFFFFF"/>
        </w:rPr>
        <w:t>响应文件</w:t>
      </w:r>
      <w:r>
        <w:rPr>
          <w:rFonts w:hint="eastAsia" w:ascii="宋体" w:hAnsi="宋体" w:eastAsia="宋体" w:cs="宋体"/>
          <w:sz w:val="21"/>
          <w:szCs w:val="21"/>
        </w:rPr>
        <w:t>进行商务和技术评估，综合比较与评价。</w:t>
      </w:r>
    </w:p>
    <w:p w14:paraId="1BD516B4">
      <w:pPr>
        <w:pStyle w:val="29"/>
        <w:snapToGrid w:val="0"/>
        <w:spacing w:before="0" w:beforeAutospacing="0" w:after="0" w:afterAutospacing="0" w:line="360" w:lineRule="auto"/>
        <w:ind w:firstLine="420" w:firstLineChars="200"/>
        <w:jc w:val="both"/>
        <w:rPr>
          <w:rFonts w:hint="eastAsia" w:ascii="宋体" w:hAnsi="宋体" w:eastAsia="宋体" w:cs="宋体"/>
          <w:sz w:val="21"/>
          <w:szCs w:val="21"/>
        </w:rPr>
      </w:pPr>
      <w:r>
        <w:rPr>
          <w:rFonts w:hint="eastAsia" w:ascii="宋体" w:hAnsi="宋体" w:eastAsia="宋体" w:cs="宋体"/>
          <w:sz w:val="21"/>
          <w:szCs w:val="21"/>
        </w:rPr>
        <w:t>27.2对漏（缺）报项的处理：竞争性磋商文件中要求列入报价的费用，漏（缺）报的视同已含在</w:t>
      </w:r>
      <w:r>
        <w:rPr>
          <w:rFonts w:hint="eastAsia" w:ascii="宋体" w:hAnsi="宋体" w:eastAsia="宋体" w:cs="宋体"/>
          <w:sz w:val="21"/>
          <w:szCs w:val="21"/>
          <w:lang w:val="en-US" w:eastAsia="zh-CN"/>
        </w:rPr>
        <w:t>磋商</w:t>
      </w:r>
      <w:r>
        <w:rPr>
          <w:rFonts w:hint="eastAsia" w:ascii="宋体" w:hAnsi="宋体" w:eastAsia="宋体" w:cs="宋体"/>
          <w:sz w:val="21"/>
          <w:szCs w:val="21"/>
        </w:rPr>
        <w:t>总价中。</w:t>
      </w:r>
    </w:p>
    <w:p w14:paraId="58D4B235">
      <w:pPr>
        <w:pStyle w:val="29"/>
        <w:snapToGrid w:val="0"/>
        <w:spacing w:before="0" w:beforeAutospacing="0" w:after="0" w:afterAutospacing="0" w:line="360" w:lineRule="auto"/>
        <w:ind w:firstLine="420" w:firstLineChars="200"/>
        <w:jc w:val="both"/>
        <w:rPr>
          <w:rFonts w:hint="eastAsia" w:ascii="宋体" w:hAnsi="宋体" w:eastAsia="宋体" w:cs="宋体"/>
          <w:b/>
          <w:bCs/>
          <w:sz w:val="21"/>
          <w:szCs w:val="21"/>
        </w:rPr>
      </w:pPr>
      <w:r>
        <w:rPr>
          <w:rFonts w:hint="eastAsia" w:ascii="宋体" w:hAnsi="宋体" w:eastAsia="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w:t>
      </w:r>
      <w:r>
        <w:rPr>
          <w:rFonts w:hint="eastAsia" w:ascii="宋体" w:hAnsi="宋体" w:eastAsia="宋体" w:cs="宋体"/>
          <w:sz w:val="21"/>
          <w:szCs w:val="21"/>
          <w:lang w:val="en-US" w:eastAsia="zh-CN"/>
        </w:rPr>
        <w:t>磋商</w:t>
      </w:r>
      <w:r>
        <w:rPr>
          <w:rFonts w:hint="eastAsia" w:ascii="宋体" w:hAnsi="宋体" w:eastAsia="宋体" w:cs="宋体"/>
          <w:sz w:val="21"/>
          <w:szCs w:val="21"/>
        </w:rPr>
        <w:t>处理。</w:t>
      </w:r>
    </w:p>
    <w:p w14:paraId="72C58BA5">
      <w:pPr>
        <w:snapToGrid w:val="0"/>
        <w:spacing w:line="360" w:lineRule="auto"/>
        <w:ind w:firstLine="422" w:firstLineChars="200"/>
        <w:jc w:val="left"/>
        <w:rPr>
          <w:rFonts w:hint="eastAsia" w:ascii="宋体" w:hAnsi="宋体" w:eastAsia="宋体" w:cs="宋体"/>
          <w:kern w:val="0"/>
          <w:szCs w:val="21"/>
        </w:rPr>
      </w:pPr>
      <w:r>
        <w:rPr>
          <w:rFonts w:hint="eastAsia" w:ascii="宋体" w:hAnsi="宋体" w:eastAsia="宋体" w:cs="宋体"/>
          <w:b/>
          <w:bCs/>
          <w:kern w:val="0"/>
          <w:szCs w:val="21"/>
        </w:rPr>
        <w:t>28. 评标过程及保密原则</w:t>
      </w:r>
    </w:p>
    <w:p w14:paraId="1F8B247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28.1 凡与本次采购有关人员对属于审查、澄清、评价和比较磋商的有关资料以及定标意向等，均不得向供应商或其他人员透露。否则,将按有关规定追究相关人员的责任。</w:t>
      </w:r>
    </w:p>
    <w:p w14:paraId="3802B5E2">
      <w:pPr>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kern w:val="0"/>
          <w:szCs w:val="21"/>
        </w:rPr>
        <w:t>28.2 在评标期间，供应商试图影响或干预评审的任何行为，将导致其磋商被作为无效磋商，并承担相应的法律责任。</w:t>
      </w:r>
    </w:p>
    <w:p w14:paraId="5B0871F9">
      <w:pPr>
        <w:snapToGrid w:val="0"/>
        <w:spacing w:line="360" w:lineRule="auto"/>
        <w:ind w:firstLine="422" w:firstLineChars="200"/>
        <w:jc w:val="left"/>
        <w:rPr>
          <w:rFonts w:hint="eastAsia" w:ascii="宋体" w:hAnsi="宋体" w:eastAsia="宋体" w:cs="宋体"/>
          <w:b/>
          <w:kern w:val="0"/>
          <w:szCs w:val="21"/>
        </w:rPr>
      </w:pPr>
      <w:r>
        <w:rPr>
          <w:rFonts w:hint="eastAsia" w:ascii="宋体" w:hAnsi="宋体" w:eastAsia="宋体" w:cs="宋体"/>
          <w:b/>
          <w:kern w:val="0"/>
          <w:szCs w:val="21"/>
        </w:rPr>
        <w:t>29.评标异议登记</w:t>
      </w:r>
    </w:p>
    <w:p w14:paraId="6E09333F">
      <w:pPr>
        <w:snapToGrid w:val="0"/>
        <w:spacing w:line="360" w:lineRule="auto"/>
        <w:ind w:firstLine="420" w:firstLineChars="200"/>
        <w:jc w:val="left"/>
        <w:rPr>
          <w:rFonts w:hint="eastAsia" w:ascii="宋体" w:hAnsi="宋体" w:eastAsia="宋体" w:cs="宋体"/>
          <w:kern w:val="0"/>
          <w:sz w:val="24"/>
        </w:rPr>
      </w:pPr>
      <w:r>
        <w:rPr>
          <w:rFonts w:hint="eastAsia" w:ascii="宋体" w:hAnsi="宋体" w:eastAsia="宋体" w:cs="宋体"/>
          <w:bCs/>
          <w:kern w:val="0"/>
          <w:szCs w:val="21"/>
        </w:rPr>
        <w:t>采购人</w:t>
      </w:r>
      <w:r>
        <w:rPr>
          <w:rFonts w:hint="eastAsia" w:ascii="宋体" w:hAnsi="宋体" w:eastAsia="宋体" w:cs="宋体"/>
          <w:kern w:val="0"/>
          <w:szCs w:val="21"/>
        </w:rPr>
        <w:t>工作人员对评审专家等相关人员在评审过程中发现、提出的异议进行逐项登记。</w:t>
      </w:r>
    </w:p>
    <w:p w14:paraId="71FFF743">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六、定标</w:t>
      </w:r>
    </w:p>
    <w:p w14:paraId="03BDBD74">
      <w:pPr>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30. 定标原则</w:t>
      </w:r>
    </w:p>
    <w:p w14:paraId="2119C536">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30.1 最低价不作为成交的保证。</w:t>
      </w:r>
    </w:p>
    <w:p w14:paraId="74AF79B0">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30.2 确定实质上响应竞争性磋商文件且满足下列条件的为成交候选供应商（或成交供应商）</w:t>
      </w:r>
    </w:p>
    <w:p w14:paraId="0ADC434F">
      <w:pPr>
        <w:snapToGrid w:val="0"/>
        <w:spacing w:line="360" w:lineRule="auto"/>
        <w:ind w:firstLine="420" w:firstLineChars="200"/>
        <w:rPr>
          <w:rFonts w:hint="eastAsia" w:ascii="宋体" w:hAnsi="宋体" w:eastAsia="宋体" w:cs="宋体"/>
          <w:szCs w:val="21"/>
        </w:rPr>
      </w:pPr>
      <w:bookmarkStart w:id="52" w:name="_Toc32200"/>
      <w:r>
        <w:rPr>
          <w:rFonts w:hint="eastAsia" w:ascii="宋体" w:hAnsi="宋体" w:eastAsia="宋体" w:cs="宋体"/>
          <w:bCs/>
          <w:kern w:val="0"/>
          <w:szCs w:val="21"/>
        </w:rPr>
        <w:t>30.2.1</w:t>
      </w:r>
      <w:bookmarkEnd w:id="52"/>
      <w:r>
        <w:rPr>
          <w:rFonts w:hint="eastAsia" w:ascii="宋体" w:hAnsi="宋体" w:eastAsia="宋体" w:cs="宋体"/>
          <w:bCs/>
          <w:kern w:val="0"/>
          <w:szCs w:val="21"/>
        </w:rPr>
        <w:t>本次评标采用</w:t>
      </w:r>
      <w:r>
        <w:rPr>
          <w:rFonts w:hint="eastAsia" w:ascii="宋体" w:hAnsi="宋体" w:eastAsia="宋体" w:cs="宋体"/>
          <w:szCs w:val="21"/>
        </w:rPr>
        <w:t>综合评分法，是指响应文件满足竞争性磋商文件全部实质性要求，且按照评审因素的量化指标评审得分最高的供应商为成交供应商的评标方法。</w:t>
      </w:r>
    </w:p>
    <w:p w14:paraId="3F0EF69B">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采用综合评分法的，评标结果按评审后得分由高到低顺序排列。</w:t>
      </w:r>
      <w:r>
        <w:rPr>
          <w:rFonts w:hint="eastAsia" w:ascii="宋体" w:hAnsi="宋体" w:eastAsia="宋体" w:cs="宋体"/>
          <w:szCs w:val="21"/>
          <w:shd w:val="clear" w:color="auto" w:fill="FFFFFF"/>
        </w:rPr>
        <w:t>响应文件</w:t>
      </w:r>
      <w:r>
        <w:rPr>
          <w:rFonts w:hint="eastAsia" w:ascii="宋体" w:hAnsi="宋体" w:eastAsia="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C176808">
      <w:pPr>
        <w:snapToGrid w:val="0"/>
        <w:spacing w:line="360" w:lineRule="auto"/>
        <w:ind w:firstLine="422" w:firstLineChars="200"/>
        <w:rPr>
          <w:rFonts w:hint="eastAsia" w:ascii="宋体" w:hAnsi="宋体" w:eastAsia="宋体" w:cs="宋体"/>
          <w:kern w:val="0"/>
          <w:szCs w:val="21"/>
        </w:rPr>
      </w:pPr>
      <w:r>
        <w:rPr>
          <w:rFonts w:hint="eastAsia" w:ascii="宋体" w:hAnsi="宋体" w:eastAsia="宋体" w:cs="宋体"/>
          <w:b/>
          <w:bCs/>
          <w:kern w:val="0"/>
          <w:szCs w:val="21"/>
        </w:rPr>
        <w:t>31. 确定成交供应商和成交候选供应商</w:t>
      </w:r>
    </w:p>
    <w:p w14:paraId="68FEDEEF">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bCs/>
          <w:kern w:val="0"/>
          <w:szCs w:val="21"/>
        </w:rPr>
        <w:t>本项目由采购人授权磋商小组确定一名成交供应商并推荐一名成交候选供应商</w:t>
      </w:r>
      <w:r>
        <w:rPr>
          <w:rFonts w:hint="eastAsia" w:ascii="宋体" w:hAnsi="宋体" w:eastAsia="宋体" w:cs="宋体"/>
          <w:kern w:val="0"/>
          <w:szCs w:val="21"/>
        </w:rPr>
        <w:t>。</w:t>
      </w:r>
    </w:p>
    <w:p w14:paraId="14BB6379">
      <w:pPr>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32. 成交通知书及成交结果公告</w:t>
      </w:r>
    </w:p>
    <w:p w14:paraId="73E3DAF7">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32.1评审结束后，采购人将成交供应商的情况在本采购项目采购公告发布的同一媒介予以公示，公示期限1个工作日，公示期结束后向成交供应商发出成交通知书。</w:t>
      </w:r>
    </w:p>
    <w:p w14:paraId="075436E9">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4CB41D1">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4A8B91B">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kern w:val="0"/>
          <w:szCs w:val="21"/>
        </w:rPr>
        <w:t>32</w:t>
      </w:r>
      <w:r>
        <w:rPr>
          <w:rFonts w:hint="eastAsia" w:ascii="宋体" w:hAnsi="宋体" w:eastAsia="宋体" w:cs="宋体"/>
          <w:bCs/>
          <w:kern w:val="0"/>
          <w:szCs w:val="21"/>
        </w:rPr>
        <w:t>.4成交通知书将作为签订合同的依据。合同签订后，成交通知书成为合同的一部分。</w:t>
      </w:r>
    </w:p>
    <w:p w14:paraId="17D213E8">
      <w:pPr>
        <w:snapToGrid w:val="0"/>
        <w:spacing w:line="360" w:lineRule="auto"/>
        <w:ind w:firstLine="422" w:firstLineChars="200"/>
        <w:rPr>
          <w:rFonts w:hint="eastAsia" w:ascii="宋体" w:hAnsi="宋体" w:eastAsia="宋体" w:cs="宋体"/>
          <w:b/>
          <w:bCs/>
          <w:kern w:val="0"/>
          <w:szCs w:val="21"/>
        </w:rPr>
      </w:pPr>
      <w:r>
        <w:rPr>
          <w:rFonts w:hint="eastAsia" w:ascii="宋体" w:hAnsi="宋体" w:eastAsia="宋体" w:cs="宋体"/>
          <w:b/>
          <w:bCs/>
          <w:kern w:val="0"/>
          <w:szCs w:val="21"/>
        </w:rPr>
        <w:t>33. 采购人宣布废标的权利</w:t>
      </w:r>
    </w:p>
    <w:p w14:paraId="71526F9D">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33.1出现下列情况之一时，采购人有权宣布废标，并将理由通知所有供应商：</w:t>
      </w:r>
    </w:p>
    <w:p w14:paraId="0290CD0E">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33.1.1出现影响采购公正的违法、违规行为的。</w:t>
      </w:r>
    </w:p>
    <w:p w14:paraId="08173EAC">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33.1.2供应商的报价均超过了采购预算金额，采购人不能支付的。</w:t>
      </w:r>
    </w:p>
    <w:p w14:paraId="7ECC02E2">
      <w:pPr>
        <w:snapToGrid w:val="0"/>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Cs w:val="21"/>
        </w:rPr>
        <w:t>33.1.3因重大变故，采购任务取消的。</w:t>
      </w:r>
    </w:p>
    <w:p w14:paraId="739783FC">
      <w:pPr>
        <w:snapToGrid w:val="0"/>
        <w:spacing w:line="360" w:lineRule="auto"/>
        <w:ind w:firstLine="420" w:firstLineChars="200"/>
        <w:rPr>
          <w:rFonts w:hint="eastAsia" w:ascii="宋体" w:hAnsi="宋体" w:eastAsia="宋体" w:cs="宋体"/>
          <w:szCs w:val="21"/>
        </w:rPr>
      </w:pPr>
      <w:r>
        <w:rPr>
          <w:rFonts w:hint="eastAsia" w:ascii="宋体" w:hAnsi="宋体" w:eastAsia="宋体" w:cs="宋体"/>
          <w:bCs/>
          <w:kern w:val="0"/>
          <w:szCs w:val="21"/>
        </w:rPr>
        <w:t>33</w:t>
      </w:r>
      <w:r>
        <w:rPr>
          <w:rFonts w:hint="eastAsia" w:ascii="宋体" w:hAnsi="宋体" w:eastAsia="宋体" w:cs="宋体"/>
          <w:kern w:val="0"/>
          <w:szCs w:val="21"/>
        </w:rPr>
        <w:t xml:space="preserve">.2 </w:t>
      </w:r>
      <w:r>
        <w:rPr>
          <w:rFonts w:hint="eastAsia" w:ascii="宋体" w:hAnsi="宋体" w:eastAsia="宋体" w:cs="宋体"/>
          <w:szCs w:val="21"/>
          <w:lang w:val="en-US" w:eastAsia="zh-CN"/>
        </w:rPr>
        <w:t>磋商</w:t>
      </w:r>
      <w:r>
        <w:rPr>
          <w:rFonts w:hint="eastAsia" w:ascii="宋体" w:hAnsi="宋体" w:eastAsia="宋体" w:cs="宋体"/>
          <w:szCs w:val="21"/>
        </w:rPr>
        <w:t>截止后供应商不足3家或通过资格性检查或符合性检查的供应商不足3家的，除采购任务取消情形外，按照以下方式处理：</w:t>
      </w:r>
    </w:p>
    <w:p w14:paraId="16AF6132">
      <w:pPr>
        <w:numPr>
          <w:ilvl w:val="0"/>
          <w:numId w:val="1"/>
        </w:num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竞争性磋商文件存在不合理条款或者招标程序不符合规定的，采购人正后依法重新招标；　</w:t>
      </w:r>
    </w:p>
    <w:p w14:paraId="61307E5F">
      <w:pPr>
        <w:snapToGrid w:val="0"/>
        <w:spacing w:line="360" w:lineRule="auto"/>
        <w:ind w:firstLine="420" w:firstLineChars="200"/>
        <w:rPr>
          <w:rFonts w:hint="eastAsia" w:ascii="宋体" w:hAnsi="宋体" w:eastAsia="宋体" w:cs="宋体"/>
          <w:b/>
          <w:kern w:val="0"/>
          <w:sz w:val="52"/>
          <w:szCs w:val="52"/>
        </w:rPr>
      </w:pPr>
      <w:r>
        <w:rPr>
          <w:rFonts w:hint="eastAsia" w:ascii="宋体" w:hAnsi="宋体" w:eastAsia="宋体" w:cs="宋体"/>
          <w:szCs w:val="21"/>
        </w:rPr>
        <w:t>（2）竞争性磋商文件没有不合理条款、招标程序符合规定，需要采用其他采购方式采购的，采购人应当依法报财政部门批准。</w:t>
      </w:r>
    </w:p>
    <w:p w14:paraId="1C6D0018">
      <w:pPr>
        <w:snapToGrid w:val="0"/>
        <w:spacing w:line="360" w:lineRule="auto"/>
        <w:jc w:val="center"/>
        <w:outlineLvl w:val="1"/>
        <w:rPr>
          <w:rFonts w:hint="eastAsia" w:ascii="宋体" w:hAnsi="宋体" w:eastAsia="宋体" w:cs="宋体"/>
          <w:b/>
          <w:bCs/>
          <w:kern w:val="0"/>
          <w:sz w:val="28"/>
          <w:szCs w:val="28"/>
        </w:rPr>
      </w:pPr>
      <w:r>
        <w:rPr>
          <w:rFonts w:hint="eastAsia" w:ascii="宋体" w:hAnsi="宋体" w:eastAsia="宋体" w:cs="宋体"/>
          <w:b/>
          <w:bCs/>
          <w:kern w:val="0"/>
          <w:sz w:val="28"/>
          <w:szCs w:val="28"/>
        </w:rPr>
        <w:t>七、合同授予</w:t>
      </w:r>
    </w:p>
    <w:p w14:paraId="1CA95CAE">
      <w:pPr>
        <w:snapToGrid w:val="0"/>
        <w:spacing w:line="360" w:lineRule="auto"/>
        <w:ind w:firstLine="472" w:firstLineChars="224"/>
        <w:rPr>
          <w:rFonts w:hint="eastAsia" w:ascii="宋体" w:hAnsi="宋体" w:eastAsia="宋体" w:cs="宋体"/>
          <w:kern w:val="0"/>
          <w:szCs w:val="21"/>
        </w:rPr>
      </w:pPr>
      <w:r>
        <w:rPr>
          <w:rFonts w:hint="eastAsia" w:ascii="宋体" w:hAnsi="宋体" w:eastAsia="宋体" w:cs="宋体"/>
          <w:b/>
          <w:bCs/>
          <w:kern w:val="0"/>
          <w:szCs w:val="21"/>
        </w:rPr>
        <w:t>34.合同签订</w:t>
      </w:r>
    </w:p>
    <w:p w14:paraId="28554F63">
      <w:pPr>
        <w:snapToGrid w:val="0"/>
        <w:spacing w:line="360" w:lineRule="auto"/>
        <w:ind w:firstLine="420" w:firstLineChars="200"/>
        <w:jc w:val="left"/>
        <w:rPr>
          <w:rFonts w:hint="eastAsia" w:ascii="宋体" w:hAnsi="宋体" w:eastAsia="宋体" w:cs="宋体"/>
          <w:kern w:val="0"/>
          <w:szCs w:val="21"/>
          <w:u w:val="single"/>
        </w:rPr>
      </w:pPr>
      <w:bookmarkStart w:id="53" w:name="_Toc8594"/>
      <w:r>
        <w:rPr>
          <w:rFonts w:hint="eastAsia" w:ascii="宋体" w:hAnsi="宋体" w:eastAsia="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eastAsia="宋体" w:cs="宋体"/>
          <w:szCs w:val="21"/>
          <w:shd w:val="clear" w:color="auto" w:fill="FFFFFF"/>
        </w:rPr>
        <w:t>响应文件</w:t>
      </w:r>
      <w:r>
        <w:rPr>
          <w:rFonts w:hint="eastAsia" w:ascii="宋体" w:hAnsi="宋体" w:eastAsia="宋体" w:cs="宋体"/>
          <w:kern w:val="0"/>
          <w:szCs w:val="21"/>
        </w:rPr>
        <w:t>签订合同。双方所签订的合同不得对竞争性磋商文件和成交供应商</w:t>
      </w:r>
      <w:r>
        <w:rPr>
          <w:rFonts w:hint="eastAsia" w:ascii="宋体" w:hAnsi="宋体" w:eastAsia="宋体" w:cs="宋体"/>
          <w:szCs w:val="21"/>
          <w:shd w:val="clear" w:color="auto" w:fill="FFFFFF"/>
        </w:rPr>
        <w:t>响应文件</w:t>
      </w:r>
      <w:r>
        <w:rPr>
          <w:rFonts w:hint="eastAsia" w:ascii="宋体" w:hAnsi="宋体" w:eastAsia="宋体" w:cs="宋体"/>
          <w:kern w:val="0"/>
          <w:szCs w:val="21"/>
        </w:rPr>
        <w:t>作实质性修改。</w:t>
      </w:r>
    </w:p>
    <w:p w14:paraId="6BD34A13">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34.2 竞争性磋商文件、竞争性磋商文件的修改文件、成交供应商的</w:t>
      </w:r>
      <w:r>
        <w:rPr>
          <w:rFonts w:hint="eastAsia" w:ascii="宋体" w:hAnsi="宋体" w:eastAsia="宋体" w:cs="宋体"/>
          <w:szCs w:val="21"/>
          <w:shd w:val="clear" w:color="auto" w:fill="FFFFFF"/>
        </w:rPr>
        <w:t>响应文件</w:t>
      </w:r>
      <w:r>
        <w:rPr>
          <w:rFonts w:hint="eastAsia" w:ascii="宋体" w:hAnsi="宋体" w:eastAsia="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23CDB530">
      <w:pPr>
        <w:snapToGri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3"/>
    <w:p w14:paraId="25ACB6B3">
      <w:pPr>
        <w:rPr>
          <w:rFonts w:hint="eastAsia" w:ascii="宋体" w:hAnsi="宋体" w:eastAsia="宋体" w:cs="宋体"/>
        </w:rPr>
      </w:pPr>
      <w:r>
        <w:rPr>
          <w:rFonts w:hint="eastAsia" w:ascii="宋体" w:hAnsi="宋体" w:eastAsia="宋体" w:cs="宋体"/>
        </w:rPr>
        <w:br w:type="page"/>
      </w:r>
    </w:p>
    <w:p w14:paraId="6DE9B6B5">
      <w:pPr>
        <w:widowControl/>
        <w:snapToGrid w:val="0"/>
        <w:jc w:val="center"/>
        <w:outlineLvl w:val="0"/>
        <w:rPr>
          <w:rFonts w:hint="eastAsia" w:ascii="宋体" w:hAnsi="宋体" w:eastAsia="宋体" w:cs="宋体"/>
          <w:kern w:val="0"/>
          <w:sz w:val="24"/>
        </w:rPr>
      </w:pPr>
      <w:bookmarkStart w:id="54" w:name="_Toc21099"/>
      <w:r>
        <w:rPr>
          <w:rFonts w:hint="eastAsia" w:ascii="宋体" w:hAnsi="宋体" w:eastAsia="宋体" w:cs="宋体"/>
          <w:b/>
          <w:bCs/>
          <w:kern w:val="0"/>
          <w:sz w:val="32"/>
          <w:szCs w:val="32"/>
        </w:rPr>
        <w:t>第四章  评标办法及评分标准</w:t>
      </w:r>
      <w:bookmarkEnd w:id="49"/>
      <w:bookmarkEnd w:id="54"/>
    </w:p>
    <w:p w14:paraId="3A133B1C">
      <w:pPr>
        <w:rPr>
          <w:rFonts w:hint="eastAsia" w:ascii="宋体" w:hAnsi="宋体" w:eastAsia="宋体" w:cs="宋体"/>
        </w:rPr>
      </w:pPr>
    </w:p>
    <w:p w14:paraId="0ECF76AB">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（一）评标原则</w:t>
      </w:r>
    </w:p>
    <w:p w14:paraId="48083B43">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按照“公平、公正”的原则对待所有供应商，按照竞争性磋商文件的相关规定进行评标、定标。</w:t>
      </w:r>
    </w:p>
    <w:p w14:paraId="7ED65B91">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（二）评标办法</w:t>
      </w:r>
    </w:p>
    <w:p w14:paraId="0083CEE7">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1．本项目采用综合评分法，总分为100分。</w:t>
      </w:r>
    </w:p>
    <w:p w14:paraId="5BA525E5">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2．磋商小组按照竞争性磋商文件中规定的评标方法和标准，对</w:t>
      </w:r>
      <w:r>
        <w:rPr>
          <w:rFonts w:hint="eastAsia" w:ascii="宋体" w:hAnsi="宋体" w:eastAsia="宋体" w:cs="宋体"/>
          <w:kern w:val="0"/>
          <w:szCs w:val="21"/>
        </w:rPr>
        <w:t>响应</w:t>
      </w:r>
      <w:r>
        <w:rPr>
          <w:rFonts w:hint="eastAsia" w:ascii="宋体" w:hAnsi="宋体" w:eastAsia="宋体" w:cs="宋体"/>
          <w:szCs w:val="21"/>
        </w:rPr>
        <w:t>文件进行综合比较与评价。</w:t>
      </w:r>
    </w:p>
    <w:p w14:paraId="69ABA1F3">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3. 评标结果按评审后得分由高到低顺序排列，得分相同的，按</w:t>
      </w:r>
      <w:r>
        <w:rPr>
          <w:rFonts w:hint="eastAsia" w:ascii="宋体" w:hAnsi="宋体" w:eastAsia="宋体" w:cs="宋体"/>
          <w:szCs w:val="21"/>
          <w:lang w:val="en-US" w:eastAsia="zh-CN"/>
        </w:rPr>
        <w:t>磋商</w:t>
      </w:r>
      <w:r>
        <w:rPr>
          <w:rFonts w:hint="eastAsia" w:ascii="宋体" w:hAnsi="宋体" w:eastAsia="宋体" w:cs="宋体"/>
          <w:szCs w:val="21"/>
        </w:rPr>
        <w:t>报价由低到高顺序排列。得分且</w:t>
      </w:r>
      <w:r>
        <w:rPr>
          <w:rFonts w:hint="eastAsia" w:ascii="宋体" w:hAnsi="宋体" w:eastAsia="宋体" w:cs="宋体"/>
          <w:szCs w:val="21"/>
          <w:lang w:val="en-US" w:eastAsia="zh-CN"/>
        </w:rPr>
        <w:t>磋商</w:t>
      </w:r>
      <w:r>
        <w:rPr>
          <w:rFonts w:hint="eastAsia" w:ascii="宋体" w:hAnsi="宋体" w:eastAsia="宋体" w:cs="宋体"/>
          <w:szCs w:val="21"/>
        </w:rPr>
        <w:t>报价相同的，按技术部分得分顺序排列。</w:t>
      </w:r>
    </w:p>
    <w:p w14:paraId="7870D1D2">
      <w:pPr>
        <w:tabs>
          <w:tab w:val="left" w:pos="1620"/>
        </w:tabs>
        <w:snapToGrid w:val="0"/>
        <w:spacing w:line="360" w:lineRule="auto"/>
        <w:ind w:firstLine="462" w:firstLineChars="22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kern w:val="0"/>
          <w:szCs w:val="21"/>
        </w:rPr>
        <w:t>响应</w:t>
      </w:r>
      <w:r>
        <w:rPr>
          <w:rFonts w:hint="eastAsia" w:ascii="宋体" w:hAnsi="宋体" w:eastAsia="宋体" w:cs="宋体"/>
          <w:szCs w:val="21"/>
        </w:rPr>
        <w:t>文件满足竞争性磋商文件全部实质性要求，且评审得分最高的供应商为成交供应商。</w:t>
      </w:r>
    </w:p>
    <w:p w14:paraId="1B2E70BC">
      <w:pPr>
        <w:tabs>
          <w:tab w:val="left" w:pos="1620"/>
        </w:tabs>
        <w:snapToGrid w:val="0"/>
        <w:spacing w:line="360" w:lineRule="auto"/>
        <w:rPr>
          <w:rFonts w:hint="eastAsia" w:ascii="宋体" w:hAnsi="宋体" w:eastAsia="宋体" w:cs="宋体"/>
          <w:szCs w:val="21"/>
        </w:rPr>
      </w:pPr>
      <w:r>
        <w:rPr>
          <w:rFonts w:hint="eastAsia" w:ascii="宋体" w:hAnsi="宋体" w:eastAsia="宋体" w:cs="宋体"/>
          <w:szCs w:val="21"/>
        </w:rPr>
        <w:t>（三）评标程序</w:t>
      </w:r>
    </w:p>
    <w:p w14:paraId="5FA7911F">
      <w:pPr>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4F69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2515A07B">
            <w:pPr>
              <w:tabs>
                <w:tab w:val="left" w:pos="3000"/>
              </w:tabs>
              <w:snapToGrid w:val="0"/>
              <w:spacing w:line="340" w:lineRule="exact"/>
              <w:jc w:val="center"/>
              <w:rPr>
                <w:rFonts w:hint="eastAsia" w:ascii="宋体" w:hAnsi="宋体" w:eastAsia="宋体" w:cs="宋体"/>
                <w:szCs w:val="21"/>
              </w:rPr>
            </w:pPr>
            <w:r>
              <w:rPr>
                <w:rFonts w:hint="eastAsia" w:ascii="宋体" w:hAnsi="宋体" w:eastAsia="宋体" w:cs="宋体"/>
                <w:szCs w:val="21"/>
              </w:rPr>
              <w:t>评审内容</w:t>
            </w:r>
          </w:p>
        </w:tc>
      </w:tr>
      <w:tr w14:paraId="59B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3870F067">
            <w:pPr>
              <w:snapToGrid w:val="0"/>
              <w:spacing w:line="340" w:lineRule="exact"/>
              <w:jc w:val="left"/>
              <w:rPr>
                <w:rFonts w:hint="eastAsia" w:ascii="宋体" w:hAnsi="宋体" w:eastAsia="宋体" w:cs="宋体"/>
                <w:szCs w:val="21"/>
              </w:rPr>
            </w:pPr>
            <w:r>
              <w:rPr>
                <w:rFonts w:hint="eastAsia" w:ascii="宋体" w:hAnsi="宋体" w:eastAsia="宋体" w:cs="宋体"/>
                <w:szCs w:val="21"/>
              </w:rPr>
              <w:t>价格标部分(20分)</w:t>
            </w:r>
          </w:p>
        </w:tc>
        <w:tc>
          <w:tcPr>
            <w:tcW w:w="8284" w:type="dxa"/>
            <w:gridSpan w:val="2"/>
            <w:vAlign w:val="center"/>
          </w:tcPr>
          <w:p w14:paraId="6A5C8873">
            <w:pPr>
              <w:pStyle w:val="4"/>
              <w:snapToGrid w:val="0"/>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说明：当磋商小组发现供应商的</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报价明显低于其他</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报价，使其</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报价可能低于其个别成本的，磋商小组可对其质询，并要求该供应商做出书面说明和提供相关的证明材料；该供应商不能合理说明或提供证明材料的，磋商小组应按无效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处理。</w:t>
            </w:r>
          </w:p>
          <w:p w14:paraId="6D0BF027">
            <w:pPr>
              <w:pStyle w:val="4"/>
              <w:snapToGrid w:val="0"/>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有效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报价不高于采购预算价的为有效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w:t>
            </w:r>
          </w:p>
          <w:p w14:paraId="7B676D13">
            <w:pPr>
              <w:pStyle w:val="4"/>
              <w:snapToGrid w:val="0"/>
              <w:spacing w:line="32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评标基准值的确定：满足采购文件要求且</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价格最低的有效</w:t>
            </w:r>
            <w:r>
              <w:rPr>
                <w:rFonts w:hint="eastAsia" w:ascii="宋体" w:hAnsi="宋体" w:eastAsia="宋体" w:cs="宋体"/>
                <w:color w:val="auto"/>
                <w:sz w:val="21"/>
                <w:szCs w:val="21"/>
                <w:lang w:val="en-US" w:eastAsia="zh-CN"/>
              </w:rPr>
              <w:t>磋商</w:t>
            </w:r>
            <w:r>
              <w:rPr>
                <w:rFonts w:hint="eastAsia" w:ascii="宋体" w:hAnsi="宋体" w:eastAsia="宋体" w:cs="宋体"/>
                <w:color w:val="auto"/>
                <w:sz w:val="21"/>
                <w:szCs w:val="21"/>
              </w:rPr>
              <w:t>报价为评标基准价。</w:t>
            </w:r>
          </w:p>
          <w:p w14:paraId="085A621A">
            <w:pPr>
              <w:rPr>
                <w:rFonts w:hint="eastAsia" w:ascii="宋体" w:hAnsi="宋体" w:eastAsia="宋体" w:cs="宋体"/>
                <w:szCs w:val="21"/>
              </w:rPr>
            </w:pPr>
            <w:r>
              <w:rPr>
                <w:rFonts w:hint="eastAsia" w:ascii="宋体" w:hAnsi="宋体" w:eastAsia="宋体" w:cs="宋体"/>
                <w:color w:val="000000" w:themeColor="text1"/>
                <w:lang w:val="en-US" w:eastAsia="zh-CN"/>
                <w14:textFill>
                  <w14:solidFill>
                    <w14:schemeClr w14:val="tx1"/>
                  </w14:solidFill>
                </w14:textFill>
              </w:rPr>
              <w:t>磋商</w:t>
            </w:r>
            <w:r>
              <w:rPr>
                <w:rFonts w:hint="eastAsia" w:ascii="宋体" w:hAnsi="宋体" w:eastAsia="宋体" w:cs="宋体"/>
                <w:color w:val="000000" w:themeColor="text1"/>
                <w14:textFill>
                  <w14:solidFill>
                    <w14:schemeClr w14:val="tx1"/>
                  </w14:solidFill>
                </w14:textFill>
              </w:rPr>
              <w:t>报价得分=（评标基准价/有效</w:t>
            </w:r>
            <w:r>
              <w:rPr>
                <w:rFonts w:hint="eastAsia" w:ascii="宋体" w:hAnsi="宋体" w:eastAsia="宋体" w:cs="宋体"/>
                <w:color w:val="000000" w:themeColor="text1"/>
                <w:lang w:val="en-US" w:eastAsia="zh-CN"/>
                <w14:textFill>
                  <w14:solidFill>
                    <w14:schemeClr w14:val="tx1"/>
                  </w14:solidFill>
                </w14:textFill>
              </w:rPr>
              <w:t>磋商</w:t>
            </w:r>
            <w:r>
              <w:rPr>
                <w:rFonts w:hint="eastAsia" w:ascii="宋体" w:hAnsi="宋体" w:eastAsia="宋体" w:cs="宋体"/>
                <w:color w:val="000000" w:themeColor="text1"/>
                <w14:textFill>
                  <w14:solidFill>
                    <w14:schemeClr w14:val="tx1"/>
                  </w14:solidFill>
                </w14:textFill>
              </w:rPr>
              <w:t>报价）×20分</w:t>
            </w:r>
          </w:p>
        </w:tc>
      </w:tr>
      <w:tr w14:paraId="37FC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98" w:type="dxa"/>
            <w:vMerge w:val="restart"/>
            <w:vAlign w:val="center"/>
          </w:tcPr>
          <w:p w14:paraId="6AF43FEA">
            <w:pPr>
              <w:snapToGrid w:val="0"/>
              <w:spacing w:line="320" w:lineRule="exact"/>
              <w:jc w:val="center"/>
              <w:rPr>
                <w:rFonts w:hint="eastAsia" w:ascii="宋体" w:hAnsi="宋体" w:eastAsia="宋体" w:cs="宋体"/>
                <w:szCs w:val="21"/>
              </w:rPr>
            </w:pPr>
            <w:r>
              <w:rPr>
                <w:rFonts w:hint="eastAsia" w:ascii="宋体" w:hAnsi="宋体" w:eastAsia="宋体" w:cs="宋体"/>
                <w:szCs w:val="21"/>
              </w:rPr>
              <w:t>技术部分</w:t>
            </w:r>
          </w:p>
          <w:p w14:paraId="68464181">
            <w:pPr>
              <w:snapToGrid w:val="0"/>
              <w:spacing w:line="320" w:lineRule="exact"/>
              <w:jc w:val="center"/>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5</w:t>
            </w:r>
            <w:r>
              <w:rPr>
                <w:rFonts w:hint="eastAsia" w:ascii="宋体" w:hAnsi="宋体" w:eastAsia="宋体" w:cs="宋体"/>
                <w:szCs w:val="21"/>
              </w:rPr>
              <w:t>分）</w:t>
            </w:r>
          </w:p>
        </w:tc>
        <w:tc>
          <w:tcPr>
            <w:tcW w:w="1362" w:type="dxa"/>
            <w:vAlign w:val="center"/>
          </w:tcPr>
          <w:p w14:paraId="5C7E3BC5">
            <w:pPr>
              <w:snapToGrid w:val="0"/>
              <w:spacing w:line="320" w:lineRule="exact"/>
              <w:jc w:val="center"/>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设计方案（1</w:t>
            </w:r>
            <w:r>
              <w:rPr>
                <w:rFonts w:hint="eastAsia" w:ascii="宋体" w:hAnsi="宋体" w:cs="宋体"/>
                <w:szCs w:val="21"/>
                <w:lang w:val="en-US" w:eastAsia="zh-CN"/>
              </w:rPr>
              <w:t>0</w:t>
            </w:r>
            <w:r>
              <w:rPr>
                <w:rFonts w:hint="eastAsia" w:ascii="宋体" w:hAnsi="宋体" w:eastAsia="宋体" w:cs="宋体"/>
                <w:szCs w:val="21"/>
              </w:rPr>
              <w:t>分）</w:t>
            </w:r>
          </w:p>
        </w:tc>
        <w:tc>
          <w:tcPr>
            <w:tcW w:w="6922" w:type="dxa"/>
            <w:vAlign w:val="center"/>
          </w:tcPr>
          <w:p w14:paraId="3E00665E">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设计</w:t>
            </w:r>
            <w:r>
              <w:rPr>
                <w:rFonts w:hint="eastAsia" w:ascii="宋体" w:hAnsi="宋体" w:eastAsia="宋体" w:cs="宋体"/>
                <w:szCs w:val="21"/>
              </w:rPr>
              <w:t>内容、深度及其重点在遵循国家政策导向和医院实际为前提，充分考虑医院设计特点、准确把握项目定位，对设计内容和实施有全面周到的考虑和安排，符合相关规范标准；设计内容设置合理，专业设计依据充分，引用规范合法、有效。</w:t>
            </w:r>
          </w:p>
          <w:p w14:paraId="66541D42">
            <w:pPr>
              <w:widowControl/>
              <w:snapToGrid w:val="0"/>
              <w:spacing w:line="320" w:lineRule="exact"/>
              <w:rPr>
                <w:rFonts w:hint="eastAsia" w:ascii="宋体" w:hAnsi="宋体" w:eastAsia="宋体" w:cs="宋体"/>
                <w:szCs w:val="21"/>
              </w:rPr>
            </w:pPr>
            <w:r>
              <w:rPr>
                <w:rFonts w:hint="eastAsia" w:ascii="宋体" w:hAnsi="宋体" w:eastAsia="宋体" w:cs="宋体"/>
                <w:szCs w:val="21"/>
              </w:rPr>
              <w:t>设计方案全面可行、设计内容设置合理的得</w:t>
            </w:r>
            <w:r>
              <w:rPr>
                <w:rFonts w:hint="eastAsia" w:ascii="宋体" w:hAnsi="宋体" w:cs="宋体"/>
                <w:szCs w:val="21"/>
                <w:lang w:val="en-US" w:eastAsia="zh-CN"/>
              </w:rPr>
              <w:t>10</w:t>
            </w:r>
            <w:r>
              <w:rPr>
                <w:rFonts w:hint="eastAsia" w:ascii="宋体" w:hAnsi="宋体" w:eastAsia="宋体" w:cs="宋体"/>
                <w:szCs w:val="21"/>
              </w:rPr>
              <w:t>分；</w:t>
            </w:r>
          </w:p>
          <w:p w14:paraId="2D0F59B8">
            <w:pPr>
              <w:widowControl/>
              <w:snapToGrid w:val="0"/>
              <w:spacing w:line="320" w:lineRule="exact"/>
              <w:rPr>
                <w:rFonts w:hint="eastAsia" w:ascii="宋体" w:hAnsi="宋体" w:eastAsia="宋体" w:cs="宋体"/>
                <w:szCs w:val="21"/>
              </w:rPr>
            </w:pPr>
            <w:r>
              <w:rPr>
                <w:rFonts w:hint="eastAsia" w:ascii="宋体" w:hAnsi="宋体" w:eastAsia="宋体" w:cs="宋体"/>
                <w:szCs w:val="21"/>
              </w:rPr>
              <w:t>设计方案较全面，满足项目需求的得</w:t>
            </w:r>
            <w:r>
              <w:rPr>
                <w:rFonts w:hint="eastAsia" w:ascii="宋体" w:hAnsi="宋体" w:cs="宋体"/>
                <w:szCs w:val="21"/>
                <w:lang w:val="en-US" w:eastAsia="zh-CN"/>
              </w:rPr>
              <w:t>7</w:t>
            </w:r>
            <w:r>
              <w:rPr>
                <w:rFonts w:hint="eastAsia" w:ascii="宋体" w:hAnsi="宋体" w:eastAsia="宋体" w:cs="宋体"/>
                <w:szCs w:val="21"/>
              </w:rPr>
              <w:t>分；</w:t>
            </w:r>
          </w:p>
          <w:p w14:paraId="295A65CB">
            <w:pPr>
              <w:widowControl/>
              <w:snapToGrid w:val="0"/>
              <w:spacing w:line="320" w:lineRule="exact"/>
              <w:rPr>
                <w:rFonts w:hint="default" w:ascii="宋体" w:hAnsi="宋体" w:eastAsia="宋体" w:cs="宋体"/>
                <w:szCs w:val="21"/>
                <w:lang w:val="en-US" w:eastAsia="zh-CN"/>
              </w:rPr>
            </w:pPr>
            <w:r>
              <w:rPr>
                <w:rFonts w:hint="eastAsia" w:ascii="宋体" w:hAnsi="宋体" w:eastAsia="宋体" w:cs="宋体"/>
                <w:szCs w:val="21"/>
              </w:rPr>
              <w:t>设计方案</w:t>
            </w:r>
            <w:r>
              <w:rPr>
                <w:rFonts w:hint="eastAsia" w:ascii="宋体" w:hAnsi="宋体" w:cs="宋体"/>
                <w:szCs w:val="21"/>
                <w:lang w:eastAsia="zh-CN"/>
              </w:rPr>
              <w:t>一般，基本满足项目需求的得</w:t>
            </w:r>
            <w:r>
              <w:rPr>
                <w:rFonts w:hint="eastAsia" w:ascii="宋体" w:hAnsi="宋体" w:cs="宋体"/>
                <w:szCs w:val="21"/>
                <w:lang w:val="en-US" w:eastAsia="zh-CN"/>
              </w:rPr>
              <w:t>4分</w:t>
            </w:r>
          </w:p>
          <w:p w14:paraId="0278460A">
            <w:pPr>
              <w:widowControl/>
              <w:snapToGrid w:val="0"/>
              <w:spacing w:line="320" w:lineRule="exact"/>
              <w:rPr>
                <w:rFonts w:hint="eastAsia" w:ascii="宋体" w:hAnsi="宋体" w:eastAsia="宋体" w:cs="宋体"/>
                <w:szCs w:val="21"/>
              </w:rPr>
            </w:pPr>
            <w:r>
              <w:rPr>
                <w:rFonts w:hint="eastAsia" w:ascii="宋体" w:hAnsi="宋体" w:eastAsia="宋体" w:cs="宋体"/>
                <w:szCs w:val="21"/>
              </w:rPr>
              <w:t>设计方案不够全面，有明显缺陷或缺乏可行性的得</w:t>
            </w:r>
            <w:r>
              <w:rPr>
                <w:rFonts w:hint="eastAsia" w:ascii="宋体" w:hAnsi="宋体" w:cs="宋体"/>
                <w:szCs w:val="21"/>
                <w:lang w:val="en-US" w:eastAsia="zh-CN"/>
              </w:rPr>
              <w:t>1</w:t>
            </w:r>
            <w:r>
              <w:rPr>
                <w:rFonts w:hint="eastAsia" w:ascii="宋体" w:hAnsi="宋体" w:eastAsia="宋体" w:cs="宋体"/>
                <w:szCs w:val="21"/>
              </w:rPr>
              <w:t>分；</w:t>
            </w:r>
          </w:p>
          <w:p w14:paraId="63AD7297">
            <w:pPr>
              <w:widowControl/>
              <w:snapToGrid w:val="0"/>
              <w:spacing w:line="320" w:lineRule="exact"/>
              <w:rPr>
                <w:rFonts w:hint="eastAsia" w:ascii="宋体" w:hAnsi="宋体" w:eastAsia="宋体" w:cs="宋体"/>
                <w:color w:val="auto"/>
                <w:sz w:val="21"/>
                <w:szCs w:val="21"/>
              </w:rPr>
            </w:pPr>
            <w:r>
              <w:rPr>
                <w:rFonts w:hint="eastAsia" w:ascii="宋体" w:hAnsi="宋体" w:eastAsia="宋体" w:cs="宋体"/>
                <w:szCs w:val="21"/>
              </w:rPr>
              <w:t>缺项不得分。</w:t>
            </w:r>
          </w:p>
        </w:tc>
      </w:tr>
      <w:tr w14:paraId="5137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04C49C68">
            <w:pPr>
              <w:snapToGrid w:val="0"/>
              <w:spacing w:line="320" w:lineRule="exact"/>
              <w:jc w:val="center"/>
              <w:rPr>
                <w:rFonts w:hint="eastAsia" w:ascii="宋体" w:hAnsi="宋体" w:eastAsia="宋体" w:cs="宋体"/>
                <w:szCs w:val="21"/>
              </w:rPr>
            </w:pPr>
          </w:p>
        </w:tc>
        <w:tc>
          <w:tcPr>
            <w:tcW w:w="1362" w:type="dxa"/>
            <w:vAlign w:val="center"/>
          </w:tcPr>
          <w:p w14:paraId="2EE0E69E">
            <w:pPr>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2.设计功能的适配性（8分）</w:t>
            </w:r>
          </w:p>
        </w:tc>
        <w:tc>
          <w:tcPr>
            <w:tcW w:w="6922" w:type="dxa"/>
            <w:vAlign w:val="center"/>
          </w:tcPr>
          <w:p w14:paraId="63EBD7A5">
            <w:pPr>
              <w:widowControl/>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设计内容包括但不限于病房布局合理（如单/双人间配比、床位间距、储物空间等）、核心配套区域设计、诊疗辅助设计。</w:t>
            </w:r>
          </w:p>
          <w:p w14:paraId="7265B96B">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设计内容</w:t>
            </w:r>
            <w:r>
              <w:rPr>
                <w:rFonts w:hint="eastAsia" w:ascii="宋体" w:hAnsi="宋体" w:eastAsia="宋体" w:cs="宋体"/>
                <w:szCs w:val="21"/>
              </w:rPr>
              <w:t>全面合理、内容完整</w:t>
            </w:r>
            <w:r>
              <w:rPr>
                <w:rFonts w:hint="eastAsia" w:ascii="宋体" w:hAnsi="宋体" w:cs="宋体"/>
                <w:szCs w:val="21"/>
                <w:lang w:eastAsia="zh-CN"/>
              </w:rPr>
              <w:t>且功能设计适配性高</w:t>
            </w:r>
            <w:r>
              <w:rPr>
                <w:rFonts w:hint="eastAsia" w:ascii="宋体" w:hAnsi="宋体" w:eastAsia="宋体" w:cs="宋体"/>
                <w:szCs w:val="21"/>
              </w:rPr>
              <w:t>的得</w:t>
            </w:r>
            <w:r>
              <w:rPr>
                <w:rFonts w:hint="eastAsia" w:ascii="宋体" w:hAnsi="宋体" w:cs="宋体"/>
                <w:szCs w:val="21"/>
                <w:lang w:val="en-US" w:eastAsia="zh-CN"/>
              </w:rPr>
              <w:t>8</w:t>
            </w:r>
            <w:r>
              <w:rPr>
                <w:rFonts w:hint="eastAsia" w:ascii="宋体" w:hAnsi="宋体" w:eastAsia="宋体" w:cs="宋体"/>
                <w:szCs w:val="21"/>
              </w:rPr>
              <w:t>分；</w:t>
            </w:r>
          </w:p>
          <w:p w14:paraId="3F83774D">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设计内容</w:t>
            </w:r>
            <w:r>
              <w:rPr>
                <w:rFonts w:hint="eastAsia" w:ascii="宋体" w:hAnsi="宋体" w:cs="宋体"/>
                <w:szCs w:val="21"/>
                <w:lang w:eastAsia="zh-CN"/>
              </w:rPr>
              <w:t>较</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内容较为</w:t>
            </w:r>
            <w:r>
              <w:rPr>
                <w:rFonts w:hint="eastAsia" w:ascii="宋体" w:hAnsi="宋体" w:cs="宋体"/>
                <w:szCs w:val="21"/>
                <w:lang w:eastAsia="zh-CN"/>
              </w:rPr>
              <w:t>完整，功能设计适配性较高</w:t>
            </w:r>
            <w:r>
              <w:rPr>
                <w:rFonts w:hint="eastAsia" w:ascii="宋体" w:hAnsi="宋体" w:eastAsia="宋体" w:cs="宋体"/>
                <w:szCs w:val="21"/>
              </w:rPr>
              <w:t>的得</w:t>
            </w:r>
            <w:r>
              <w:rPr>
                <w:rFonts w:hint="eastAsia" w:ascii="宋体" w:hAnsi="宋体" w:cs="宋体"/>
                <w:szCs w:val="21"/>
                <w:lang w:val="en-US" w:eastAsia="zh-CN"/>
              </w:rPr>
              <w:t>5</w:t>
            </w:r>
            <w:r>
              <w:rPr>
                <w:rFonts w:hint="eastAsia" w:ascii="宋体" w:hAnsi="宋体" w:eastAsia="宋体" w:cs="宋体"/>
                <w:szCs w:val="21"/>
              </w:rPr>
              <w:t>分；</w:t>
            </w:r>
          </w:p>
          <w:p w14:paraId="1AB158DC">
            <w:pPr>
              <w:widowControl/>
              <w:snapToGrid w:val="0"/>
              <w:spacing w:line="320" w:lineRule="exact"/>
              <w:rPr>
                <w:rFonts w:hint="default" w:ascii="宋体" w:hAnsi="宋体" w:eastAsia="宋体" w:cs="宋体"/>
                <w:szCs w:val="21"/>
                <w:lang w:val="en-US" w:eastAsia="zh-CN"/>
              </w:rPr>
            </w:pPr>
            <w:r>
              <w:rPr>
                <w:rFonts w:hint="eastAsia" w:ascii="宋体" w:hAnsi="宋体" w:cs="宋体"/>
                <w:szCs w:val="21"/>
                <w:lang w:val="en-US" w:eastAsia="zh-CN"/>
              </w:rPr>
              <w:t>设计内容</w:t>
            </w:r>
            <w:r>
              <w:rPr>
                <w:rFonts w:hint="eastAsia" w:ascii="宋体" w:hAnsi="宋体" w:cs="宋体"/>
                <w:szCs w:val="21"/>
                <w:lang w:eastAsia="zh-CN"/>
              </w:rPr>
              <w:t>一般，功能设计适配性一般的得</w:t>
            </w:r>
            <w:r>
              <w:rPr>
                <w:rFonts w:hint="eastAsia" w:ascii="宋体" w:hAnsi="宋体" w:cs="宋体"/>
                <w:szCs w:val="21"/>
                <w:lang w:val="en-US" w:eastAsia="zh-CN"/>
              </w:rPr>
              <w:t>3分；</w:t>
            </w:r>
          </w:p>
          <w:p w14:paraId="6D993D7C">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设计</w:t>
            </w:r>
            <w:r>
              <w:rPr>
                <w:rFonts w:hint="eastAsia" w:ascii="宋体" w:hAnsi="宋体" w:eastAsia="宋体" w:cs="宋体"/>
                <w:szCs w:val="21"/>
              </w:rPr>
              <w:t>内容</w:t>
            </w:r>
            <w:r>
              <w:rPr>
                <w:rFonts w:hint="eastAsia" w:ascii="宋体" w:hAnsi="宋体" w:cs="宋体"/>
                <w:szCs w:val="21"/>
                <w:lang w:eastAsia="zh-CN"/>
              </w:rPr>
              <w:t>差，功能设计适配性差</w:t>
            </w:r>
            <w:r>
              <w:rPr>
                <w:rFonts w:hint="eastAsia" w:ascii="宋体" w:hAnsi="宋体" w:eastAsia="宋体" w:cs="宋体"/>
                <w:szCs w:val="21"/>
              </w:rPr>
              <w:t>的得1分；</w:t>
            </w:r>
          </w:p>
          <w:p w14:paraId="3DC62EC1">
            <w:pPr>
              <w:widowControl/>
              <w:snapToGrid w:val="0"/>
              <w:spacing w:line="320" w:lineRule="exact"/>
              <w:rPr>
                <w:rFonts w:hint="default" w:ascii="宋体" w:hAnsi="宋体" w:cs="宋体"/>
                <w:szCs w:val="21"/>
                <w:lang w:val="en-US" w:eastAsia="zh-CN"/>
              </w:rPr>
            </w:pPr>
            <w:r>
              <w:rPr>
                <w:rFonts w:hint="eastAsia" w:ascii="宋体" w:hAnsi="宋体" w:eastAsia="宋体" w:cs="宋体"/>
                <w:szCs w:val="21"/>
              </w:rPr>
              <w:t>缺项不得分。</w:t>
            </w:r>
          </w:p>
        </w:tc>
      </w:tr>
      <w:tr w14:paraId="1EF3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2147D2CF">
            <w:pPr>
              <w:snapToGrid w:val="0"/>
              <w:spacing w:line="320" w:lineRule="exact"/>
              <w:jc w:val="center"/>
              <w:rPr>
                <w:rFonts w:hint="eastAsia" w:ascii="宋体" w:hAnsi="宋体" w:eastAsia="宋体" w:cs="宋体"/>
                <w:szCs w:val="21"/>
              </w:rPr>
            </w:pPr>
          </w:p>
        </w:tc>
        <w:tc>
          <w:tcPr>
            <w:tcW w:w="1362" w:type="dxa"/>
            <w:vAlign w:val="center"/>
          </w:tcPr>
          <w:p w14:paraId="57F53C24">
            <w:pPr>
              <w:snapToGrid w:val="0"/>
              <w:spacing w:line="320" w:lineRule="exact"/>
              <w:jc w:val="center"/>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rPr>
              <w:t>设计的经济性</w:t>
            </w:r>
          </w:p>
          <w:p w14:paraId="428B53CD">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分）</w:t>
            </w:r>
          </w:p>
        </w:tc>
        <w:tc>
          <w:tcPr>
            <w:tcW w:w="6922" w:type="dxa"/>
            <w:vAlign w:val="center"/>
          </w:tcPr>
          <w:p w14:paraId="2888C3F4">
            <w:pPr>
              <w:widowControl/>
              <w:snapToGrid w:val="0"/>
              <w:spacing w:line="320" w:lineRule="exact"/>
              <w:rPr>
                <w:rFonts w:hint="eastAsia" w:ascii="宋体" w:hAnsi="宋体" w:eastAsia="宋体" w:cs="宋体"/>
                <w:szCs w:val="21"/>
              </w:rPr>
            </w:pPr>
            <w:r>
              <w:rPr>
                <w:rFonts w:hint="eastAsia" w:ascii="宋体" w:hAnsi="宋体" w:eastAsia="宋体" w:cs="宋体"/>
                <w:szCs w:val="21"/>
              </w:rPr>
              <w:t>设计内容经济，具有全面、完善、合理的工程造价的投资分析及降低造价的措施。</w:t>
            </w:r>
          </w:p>
          <w:p w14:paraId="757F5F2E">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内容</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完整</w:t>
            </w:r>
            <w:r>
              <w:rPr>
                <w:rFonts w:hint="eastAsia" w:ascii="宋体" w:hAnsi="宋体" w:cs="宋体"/>
                <w:szCs w:val="21"/>
                <w:lang w:eastAsia="zh-CN"/>
              </w:rPr>
              <w:t>、</w:t>
            </w:r>
            <w:r>
              <w:rPr>
                <w:rFonts w:hint="eastAsia" w:ascii="宋体" w:hAnsi="宋体" w:cs="宋体"/>
                <w:szCs w:val="21"/>
                <w:lang w:val="en-US" w:eastAsia="zh-CN"/>
              </w:rPr>
              <w:t>可行性强，完全契合医院实际需求</w:t>
            </w:r>
            <w:r>
              <w:rPr>
                <w:rFonts w:hint="eastAsia" w:ascii="宋体" w:hAnsi="宋体" w:eastAsia="宋体" w:cs="宋体"/>
                <w:szCs w:val="21"/>
              </w:rPr>
              <w:t>的得</w:t>
            </w:r>
            <w:r>
              <w:rPr>
                <w:rFonts w:hint="eastAsia" w:ascii="宋体" w:hAnsi="宋体" w:cs="宋体"/>
                <w:szCs w:val="21"/>
                <w:lang w:val="en-US" w:eastAsia="zh-CN"/>
              </w:rPr>
              <w:t>8</w:t>
            </w:r>
            <w:r>
              <w:rPr>
                <w:rFonts w:hint="eastAsia" w:ascii="宋体" w:hAnsi="宋体" w:eastAsia="宋体" w:cs="宋体"/>
                <w:szCs w:val="21"/>
              </w:rPr>
              <w:t>分；</w:t>
            </w:r>
          </w:p>
          <w:p w14:paraId="57139083">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内容较</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完整</w:t>
            </w:r>
            <w:r>
              <w:rPr>
                <w:rFonts w:hint="eastAsia" w:ascii="宋体" w:hAnsi="宋体" w:cs="宋体"/>
                <w:szCs w:val="21"/>
                <w:lang w:eastAsia="zh-CN"/>
              </w:rPr>
              <w:t>，</w:t>
            </w:r>
            <w:r>
              <w:rPr>
                <w:rFonts w:hint="eastAsia" w:ascii="宋体" w:hAnsi="宋体" w:cs="宋体"/>
                <w:szCs w:val="21"/>
                <w:lang w:val="en-US" w:eastAsia="zh-CN"/>
              </w:rPr>
              <w:t>基本契合医院实际需求</w:t>
            </w:r>
            <w:r>
              <w:rPr>
                <w:rFonts w:hint="eastAsia" w:ascii="宋体" w:hAnsi="宋体" w:cs="宋体"/>
                <w:szCs w:val="21"/>
                <w:lang w:eastAsia="zh-CN"/>
              </w:rPr>
              <w:t>措施较</w:t>
            </w:r>
            <w:r>
              <w:rPr>
                <w:rFonts w:hint="eastAsia" w:ascii="宋体" w:hAnsi="宋体" w:eastAsia="宋体" w:cs="宋体"/>
                <w:szCs w:val="21"/>
              </w:rPr>
              <w:t>合理的得</w:t>
            </w:r>
            <w:r>
              <w:rPr>
                <w:rFonts w:hint="eastAsia" w:ascii="宋体" w:hAnsi="宋体" w:cs="宋体"/>
                <w:szCs w:val="21"/>
                <w:lang w:val="en-US" w:eastAsia="zh-CN"/>
              </w:rPr>
              <w:t>5</w:t>
            </w:r>
            <w:r>
              <w:rPr>
                <w:rFonts w:hint="eastAsia" w:ascii="宋体" w:hAnsi="宋体" w:eastAsia="宋体" w:cs="宋体"/>
                <w:szCs w:val="21"/>
              </w:rPr>
              <w:t>分；</w:t>
            </w:r>
          </w:p>
          <w:p w14:paraId="605C92E7">
            <w:pPr>
              <w:widowControl/>
              <w:snapToGrid w:val="0"/>
              <w:spacing w:line="320" w:lineRule="exact"/>
              <w:rPr>
                <w:rFonts w:hint="default" w:ascii="宋体" w:hAnsi="宋体" w:eastAsia="宋体" w:cs="宋体"/>
                <w:szCs w:val="21"/>
                <w:lang w:val="en-US" w:eastAsia="zh-CN"/>
              </w:rPr>
            </w:pPr>
            <w:r>
              <w:rPr>
                <w:rFonts w:hint="eastAsia" w:ascii="宋体" w:hAnsi="宋体" w:eastAsia="宋体" w:cs="宋体"/>
                <w:szCs w:val="21"/>
              </w:rPr>
              <w:t>内容</w:t>
            </w:r>
            <w:r>
              <w:rPr>
                <w:rFonts w:hint="eastAsia" w:ascii="宋体" w:hAnsi="宋体" w:cs="宋体"/>
                <w:szCs w:val="21"/>
                <w:lang w:eastAsia="zh-CN"/>
              </w:rPr>
              <w:t>一般，基本具有可行性的得</w:t>
            </w:r>
            <w:r>
              <w:rPr>
                <w:rFonts w:hint="eastAsia" w:ascii="宋体" w:hAnsi="宋体" w:cs="宋体"/>
                <w:szCs w:val="21"/>
                <w:lang w:val="en-US" w:eastAsia="zh-CN"/>
              </w:rPr>
              <w:t>3分；</w:t>
            </w:r>
          </w:p>
          <w:p w14:paraId="300D5E8A">
            <w:pPr>
              <w:widowControl/>
              <w:snapToGrid w:val="0"/>
              <w:spacing w:line="320" w:lineRule="exact"/>
              <w:rPr>
                <w:rFonts w:hint="eastAsia" w:ascii="宋体" w:hAnsi="宋体" w:eastAsia="宋体" w:cs="宋体"/>
                <w:szCs w:val="21"/>
              </w:rPr>
            </w:pPr>
            <w:r>
              <w:rPr>
                <w:rFonts w:hint="eastAsia" w:ascii="宋体" w:hAnsi="宋体" w:eastAsia="宋体" w:cs="宋体"/>
                <w:szCs w:val="21"/>
              </w:rPr>
              <w:t>内容不够全面</w:t>
            </w:r>
            <w:r>
              <w:rPr>
                <w:rFonts w:hint="eastAsia" w:ascii="宋体" w:hAnsi="宋体" w:cs="宋体"/>
                <w:szCs w:val="21"/>
                <w:lang w:eastAsia="zh-CN"/>
              </w:rPr>
              <w:t>，不具备可行性</w:t>
            </w:r>
            <w:r>
              <w:rPr>
                <w:rFonts w:hint="eastAsia" w:ascii="宋体" w:hAnsi="宋体" w:eastAsia="宋体" w:cs="宋体"/>
                <w:szCs w:val="21"/>
              </w:rPr>
              <w:t>的得1分；</w:t>
            </w:r>
          </w:p>
          <w:p w14:paraId="7CF94F51">
            <w:pPr>
              <w:widowControl/>
              <w:snapToGrid w:val="0"/>
              <w:spacing w:line="320" w:lineRule="exact"/>
              <w:rPr>
                <w:rFonts w:hint="eastAsia" w:ascii="宋体" w:hAnsi="宋体" w:eastAsia="宋体" w:cs="宋体"/>
                <w:szCs w:val="21"/>
              </w:rPr>
            </w:pPr>
            <w:r>
              <w:rPr>
                <w:rFonts w:hint="eastAsia" w:ascii="宋体" w:hAnsi="宋体" w:eastAsia="宋体" w:cs="宋体"/>
                <w:szCs w:val="21"/>
              </w:rPr>
              <w:t>缺项不得分。</w:t>
            </w:r>
          </w:p>
        </w:tc>
      </w:tr>
      <w:tr w14:paraId="0231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79E8046C">
            <w:pPr>
              <w:snapToGrid w:val="0"/>
              <w:spacing w:line="320" w:lineRule="exact"/>
              <w:jc w:val="center"/>
              <w:rPr>
                <w:rFonts w:hint="eastAsia" w:ascii="宋体" w:hAnsi="宋体" w:eastAsia="宋体" w:cs="宋体"/>
                <w:szCs w:val="21"/>
              </w:rPr>
            </w:pPr>
          </w:p>
        </w:tc>
        <w:tc>
          <w:tcPr>
            <w:tcW w:w="1362" w:type="dxa"/>
            <w:vAlign w:val="center"/>
          </w:tcPr>
          <w:p w14:paraId="631E053E">
            <w:pPr>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4.</w:t>
            </w:r>
            <w:r>
              <w:rPr>
                <w:rFonts w:hint="eastAsia" w:ascii="宋体" w:hAnsi="宋体" w:eastAsia="宋体" w:cs="宋体"/>
                <w:szCs w:val="21"/>
              </w:rPr>
              <w:t>设计的环保性</w:t>
            </w:r>
            <w:r>
              <w:rPr>
                <w:rFonts w:hint="eastAsia" w:ascii="宋体" w:hAnsi="宋体" w:cs="宋体"/>
                <w:szCs w:val="21"/>
                <w:lang w:val="en-US" w:eastAsia="zh-CN"/>
              </w:rPr>
              <w:t>与智能化</w:t>
            </w:r>
          </w:p>
          <w:p w14:paraId="56B1460E">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8</w:t>
            </w:r>
            <w:r>
              <w:rPr>
                <w:rFonts w:hint="eastAsia" w:ascii="宋体" w:hAnsi="宋体" w:eastAsia="宋体" w:cs="宋体"/>
                <w:szCs w:val="21"/>
              </w:rPr>
              <w:t>分）</w:t>
            </w:r>
          </w:p>
        </w:tc>
        <w:tc>
          <w:tcPr>
            <w:tcW w:w="6922" w:type="dxa"/>
            <w:vAlign w:val="center"/>
          </w:tcPr>
          <w:p w14:paraId="0AF3F3FF">
            <w:pPr>
              <w:widowControl/>
              <w:snapToGrid w:val="0"/>
              <w:spacing w:line="320" w:lineRule="exact"/>
              <w:rPr>
                <w:rFonts w:hint="eastAsia" w:ascii="宋体" w:hAnsi="宋体" w:cs="宋体"/>
                <w:szCs w:val="21"/>
                <w:lang w:val="en-US" w:eastAsia="zh-CN"/>
              </w:rPr>
            </w:pPr>
            <w:r>
              <w:rPr>
                <w:rFonts w:hint="eastAsia" w:ascii="宋体" w:hAnsi="宋体" w:eastAsia="宋体" w:cs="宋体"/>
                <w:szCs w:val="21"/>
              </w:rPr>
              <w:t>设计方案将环保融入设计，涵盖节能、绿色建材与室内空气质量、</w:t>
            </w:r>
            <w:r>
              <w:rPr>
                <w:rFonts w:hint="eastAsia" w:ascii="宋体" w:hAnsi="宋体" w:cs="宋体"/>
                <w:szCs w:val="21"/>
                <w:lang w:val="en-US" w:eastAsia="zh-CN"/>
              </w:rPr>
              <w:t>污水/垃圾处理</w:t>
            </w:r>
            <w:r>
              <w:rPr>
                <w:rFonts w:hint="eastAsia" w:ascii="宋体" w:hAnsi="宋体" w:eastAsia="宋体" w:cs="宋体"/>
                <w:szCs w:val="21"/>
              </w:rPr>
              <w:t>等内容</w:t>
            </w:r>
            <w:r>
              <w:rPr>
                <w:rFonts w:hint="eastAsia" w:ascii="宋体" w:hAnsi="宋体" w:cs="宋体"/>
                <w:szCs w:val="21"/>
                <w:lang w:eastAsia="zh-CN"/>
              </w:rPr>
              <w:t>；</w:t>
            </w:r>
            <w:r>
              <w:rPr>
                <w:rFonts w:hint="eastAsia" w:ascii="宋体" w:hAnsi="宋体" w:cs="宋体"/>
                <w:szCs w:val="21"/>
                <w:lang w:val="en-US" w:eastAsia="zh-CN"/>
              </w:rPr>
              <w:t>将智能化融入设计，涵盖智能安防、床位管理等内容。</w:t>
            </w:r>
          </w:p>
          <w:p w14:paraId="5CF14EBC">
            <w:pPr>
              <w:widowControl/>
              <w:snapToGrid w:val="0"/>
              <w:spacing w:line="320" w:lineRule="exact"/>
              <w:rPr>
                <w:rFonts w:hint="eastAsia" w:ascii="宋体" w:hAnsi="宋体" w:eastAsia="宋体" w:cs="宋体"/>
                <w:szCs w:val="21"/>
              </w:rPr>
            </w:pPr>
            <w:r>
              <w:rPr>
                <w:rFonts w:hint="eastAsia" w:ascii="宋体" w:hAnsi="宋体" w:eastAsia="宋体" w:cs="宋体"/>
                <w:szCs w:val="21"/>
              </w:rPr>
              <w:t>规划</w:t>
            </w:r>
            <w:r>
              <w:rPr>
                <w:rFonts w:hint="eastAsia" w:ascii="宋体" w:hAnsi="宋体" w:cs="宋体"/>
                <w:szCs w:val="21"/>
                <w:lang w:eastAsia="zh-CN"/>
              </w:rPr>
              <w:t>、</w:t>
            </w:r>
            <w:r>
              <w:rPr>
                <w:rFonts w:hint="eastAsia" w:ascii="宋体" w:hAnsi="宋体" w:eastAsia="宋体" w:cs="宋体"/>
                <w:szCs w:val="21"/>
              </w:rPr>
              <w:t>措施全面合理、内容完整具备可行性的得</w:t>
            </w:r>
            <w:r>
              <w:rPr>
                <w:rFonts w:hint="eastAsia" w:ascii="宋体" w:hAnsi="宋体" w:cs="宋体"/>
                <w:szCs w:val="21"/>
                <w:lang w:val="en-US" w:eastAsia="zh-CN"/>
              </w:rPr>
              <w:t>8</w:t>
            </w:r>
            <w:r>
              <w:rPr>
                <w:rFonts w:hint="eastAsia" w:ascii="宋体" w:hAnsi="宋体" w:eastAsia="宋体" w:cs="宋体"/>
                <w:szCs w:val="21"/>
              </w:rPr>
              <w:t>分；</w:t>
            </w:r>
          </w:p>
          <w:p w14:paraId="6C3596CD">
            <w:pPr>
              <w:widowControl/>
              <w:snapToGrid w:val="0"/>
              <w:spacing w:line="320" w:lineRule="exact"/>
              <w:rPr>
                <w:rFonts w:hint="eastAsia" w:ascii="宋体" w:hAnsi="宋体" w:eastAsia="宋体" w:cs="宋体"/>
                <w:szCs w:val="21"/>
              </w:rPr>
            </w:pPr>
            <w:r>
              <w:rPr>
                <w:rFonts w:hint="eastAsia" w:ascii="宋体" w:hAnsi="宋体" w:eastAsia="宋体" w:cs="宋体"/>
                <w:szCs w:val="21"/>
              </w:rPr>
              <w:t>规划</w:t>
            </w:r>
            <w:r>
              <w:rPr>
                <w:rFonts w:hint="eastAsia" w:ascii="宋体" w:hAnsi="宋体" w:cs="宋体"/>
                <w:szCs w:val="21"/>
                <w:lang w:eastAsia="zh-CN"/>
              </w:rPr>
              <w:t>、措施较</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内容较</w:t>
            </w:r>
            <w:r>
              <w:rPr>
                <w:rFonts w:hint="eastAsia" w:ascii="宋体" w:hAnsi="宋体" w:cs="宋体"/>
                <w:szCs w:val="21"/>
                <w:lang w:eastAsia="zh-CN"/>
              </w:rPr>
              <w:t>完整具备可行性</w:t>
            </w:r>
            <w:r>
              <w:rPr>
                <w:rFonts w:hint="eastAsia" w:ascii="宋体" w:hAnsi="宋体" w:eastAsia="宋体" w:cs="宋体"/>
                <w:szCs w:val="21"/>
              </w:rPr>
              <w:t>的得</w:t>
            </w:r>
            <w:r>
              <w:rPr>
                <w:rFonts w:hint="eastAsia" w:ascii="宋体" w:hAnsi="宋体" w:cs="宋体"/>
                <w:szCs w:val="21"/>
                <w:lang w:val="en-US" w:eastAsia="zh-CN"/>
              </w:rPr>
              <w:t>5</w:t>
            </w:r>
            <w:r>
              <w:rPr>
                <w:rFonts w:hint="eastAsia" w:ascii="宋体" w:hAnsi="宋体" w:eastAsia="宋体" w:cs="宋体"/>
                <w:szCs w:val="21"/>
              </w:rPr>
              <w:t>分；</w:t>
            </w:r>
          </w:p>
          <w:p w14:paraId="168E0CA0">
            <w:pPr>
              <w:widowControl/>
              <w:snapToGrid w:val="0"/>
              <w:spacing w:line="320" w:lineRule="exact"/>
              <w:rPr>
                <w:rFonts w:hint="default" w:ascii="宋体" w:hAnsi="宋体" w:eastAsia="宋体" w:cs="宋体"/>
                <w:szCs w:val="21"/>
                <w:lang w:val="en-US" w:eastAsia="zh-CN"/>
              </w:rPr>
            </w:pPr>
            <w:r>
              <w:rPr>
                <w:rFonts w:hint="eastAsia" w:ascii="宋体" w:hAnsi="宋体" w:eastAsia="宋体" w:cs="宋体"/>
                <w:szCs w:val="21"/>
              </w:rPr>
              <w:t>规划</w:t>
            </w:r>
            <w:r>
              <w:rPr>
                <w:rFonts w:hint="eastAsia" w:ascii="宋体" w:hAnsi="宋体" w:cs="宋体"/>
                <w:szCs w:val="21"/>
                <w:lang w:eastAsia="zh-CN"/>
              </w:rPr>
              <w:t>、措施和</w:t>
            </w:r>
            <w:r>
              <w:rPr>
                <w:rFonts w:hint="eastAsia" w:ascii="宋体" w:hAnsi="宋体" w:eastAsia="宋体" w:cs="宋体"/>
                <w:szCs w:val="21"/>
              </w:rPr>
              <w:t>内容</w:t>
            </w:r>
            <w:r>
              <w:rPr>
                <w:rFonts w:hint="eastAsia" w:ascii="宋体" w:hAnsi="宋体" w:cs="宋体"/>
                <w:szCs w:val="21"/>
                <w:lang w:eastAsia="zh-CN"/>
              </w:rPr>
              <w:t>一般，基本具有可行性的得</w:t>
            </w:r>
            <w:r>
              <w:rPr>
                <w:rFonts w:hint="eastAsia" w:ascii="宋体" w:hAnsi="宋体" w:cs="宋体"/>
                <w:szCs w:val="21"/>
                <w:lang w:val="en-US" w:eastAsia="zh-CN"/>
              </w:rPr>
              <w:t>3分；</w:t>
            </w:r>
          </w:p>
          <w:p w14:paraId="7197A111">
            <w:pPr>
              <w:widowControl/>
              <w:snapToGrid w:val="0"/>
              <w:spacing w:line="320" w:lineRule="exact"/>
              <w:rPr>
                <w:rFonts w:hint="eastAsia" w:ascii="宋体" w:hAnsi="宋体" w:eastAsia="宋体" w:cs="宋体"/>
                <w:szCs w:val="21"/>
              </w:rPr>
            </w:pPr>
            <w:r>
              <w:rPr>
                <w:rFonts w:hint="eastAsia" w:ascii="宋体" w:hAnsi="宋体" w:eastAsia="宋体" w:cs="宋体"/>
                <w:szCs w:val="21"/>
              </w:rPr>
              <w:t>规划</w:t>
            </w:r>
            <w:r>
              <w:rPr>
                <w:rFonts w:hint="eastAsia" w:ascii="宋体" w:hAnsi="宋体" w:cs="宋体"/>
                <w:szCs w:val="21"/>
                <w:lang w:eastAsia="zh-CN"/>
              </w:rPr>
              <w:t>、措施和</w:t>
            </w:r>
            <w:r>
              <w:rPr>
                <w:rFonts w:hint="eastAsia" w:ascii="宋体" w:hAnsi="宋体" w:eastAsia="宋体" w:cs="宋体"/>
                <w:szCs w:val="21"/>
              </w:rPr>
              <w:t>内容不够全面</w:t>
            </w:r>
            <w:r>
              <w:rPr>
                <w:rFonts w:hint="eastAsia" w:ascii="宋体" w:hAnsi="宋体" w:cs="宋体"/>
                <w:szCs w:val="21"/>
                <w:lang w:eastAsia="zh-CN"/>
              </w:rPr>
              <w:t>，不具备可行性</w:t>
            </w:r>
            <w:r>
              <w:rPr>
                <w:rFonts w:hint="eastAsia" w:ascii="宋体" w:hAnsi="宋体" w:eastAsia="宋体" w:cs="宋体"/>
                <w:szCs w:val="21"/>
              </w:rPr>
              <w:t>的得1分；</w:t>
            </w:r>
          </w:p>
          <w:p w14:paraId="338F1117">
            <w:pPr>
              <w:widowControl/>
              <w:snapToGrid w:val="0"/>
              <w:spacing w:line="320" w:lineRule="exact"/>
              <w:rPr>
                <w:rFonts w:hint="eastAsia" w:ascii="宋体" w:hAnsi="宋体" w:cs="宋体"/>
                <w:szCs w:val="21"/>
                <w:lang w:val="en-US" w:eastAsia="zh-CN"/>
              </w:rPr>
            </w:pPr>
            <w:r>
              <w:rPr>
                <w:rFonts w:hint="eastAsia" w:ascii="宋体" w:hAnsi="宋体" w:eastAsia="宋体" w:cs="宋体"/>
                <w:szCs w:val="21"/>
              </w:rPr>
              <w:t>缺项不得分。</w:t>
            </w:r>
          </w:p>
        </w:tc>
      </w:tr>
      <w:tr w14:paraId="3757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3ECE06CA">
            <w:pPr>
              <w:snapToGrid w:val="0"/>
              <w:spacing w:line="320" w:lineRule="exact"/>
              <w:jc w:val="center"/>
              <w:rPr>
                <w:rFonts w:hint="eastAsia" w:ascii="宋体" w:hAnsi="宋体" w:eastAsia="宋体" w:cs="宋体"/>
                <w:szCs w:val="21"/>
              </w:rPr>
            </w:pPr>
          </w:p>
        </w:tc>
        <w:tc>
          <w:tcPr>
            <w:tcW w:w="1362" w:type="dxa"/>
            <w:vAlign w:val="center"/>
          </w:tcPr>
          <w:p w14:paraId="394F4DC6">
            <w:pPr>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5.设计人性化（8分）</w:t>
            </w:r>
          </w:p>
        </w:tc>
        <w:tc>
          <w:tcPr>
            <w:tcW w:w="6922" w:type="dxa"/>
            <w:vAlign w:val="center"/>
          </w:tcPr>
          <w:p w14:paraId="101034AE">
            <w:pPr>
              <w:widowControl/>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设计方案充分考虑患者舒适度（如隔音、采光、陪护、卫生间防滑等）、医护便捷性（如物质转运通道、操作空间等）、兼顾老年/少儿特殊患者需求。</w:t>
            </w:r>
          </w:p>
          <w:p w14:paraId="1157973B">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方案考虑充分，</w:t>
            </w:r>
            <w:r>
              <w:rPr>
                <w:rFonts w:hint="eastAsia" w:ascii="宋体" w:hAnsi="宋体" w:eastAsia="宋体" w:cs="宋体"/>
                <w:szCs w:val="21"/>
              </w:rPr>
              <w:t>措施全面合理、内容完整具备可行性的得</w:t>
            </w:r>
            <w:r>
              <w:rPr>
                <w:rFonts w:hint="eastAsia" w:ascii="宋体" w:hAnsi="宋体" w:cs="宋体"/>
                <w:szCs w:val="21"/>
                <w:lang w:val="en-US" w:eastAsia="zh-CN"/>
              </w:rPr>
              <w:t>8</w:t>
            </w:r>
            <w:r>
              <w:rPr>
                <w:rFonts w:hint="eastAsia" w:ascii="宋体" w:hAnsi="宋体" w:eastAsia="宋体" w:cs="宋体"/>
                <w:szCs w:val="21"/>
              </w:rPr>
              <w:t>分；</w:t>
            </w:r>
          </w:p>
          <w:p w14:paraId="37E0585D">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方案考虑较充分，</w:t>
            </w:r>
            <w:r>
              <w:rPr>
                <w:rFonts w:hint="eastAsia" w:ascii="宋体" w:hAnsi="宋体" w:cs="宋体"/>
                <w:szCs w:val="21"/>
                <w:lang w:eastAsia="zh-CN"/>
              </w:rPr>
              <w:t>措施较为</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内容较完整具备可行性的得</w:t>
            </w:r>
            <w:r>
              <w:rPr>
                <w:rFonts w:hint="eastAsia" w:ascii="宋体" w:hAnsi="宋体" w:cs="宋体"/>
                <w:szCs w:val="21"/>
                <w:lang w:val="en-US" w:eastAsia="zh-CN"/>
              </w:rPr>
              <w:t>5</w:t>
            </w:r>
            <w:r>
              <w:rPr>
                <w:rFonts w:hint="eastAsia" w:ascii="宋体" w:hAnsi="宋体" w:eastAsia="宋体" w:cs="宋体"/>
                <w:szCs w:val="21"/>
              </w:rPr>
              <w:t>分；</w:t>
            </w:r>
          </w:p>
          <w:p w14:paraId="2CF7EBC3">
            <w:pPr>
              <w:widowControl/>
              <w:snapToGrid w:val="0"/>
              <w:spacing w:line="320" w:lineRule="exact"/>
              <w:rPr>
                <w:rFonts w:hint="default" w:ascii="宋体" w:hAnsi="宋体" w:eastAsia="宋体" w:cs="宋体"/>
                <w:szCs w:val="21"/>
                <w:lang w:val="en-US" w:eastAsia="zh-CN"/>
              </w:rPr>
            </w:pPr>
            <w:r>
              <w:rPr>
                <w:rFonts w:hint="eastAsia" w:ascii="宋体" w:hAnsi="宋体" w:cs="宋体"/>
                <w:szCs w:val="21"/>
                <w:lang w:val="en-US" w:eastAsia="zh-CN"/>
              </w:rPr>
              <w:t>方案考虑一般，</w:t>
            </w:r>
            <w:r>
              <w:rPr>
                <w:rFonts w:hint="eastAsia" w:ascii="宋体" w:hAnsi="宋体" w:cs="宋体"/>
                <w:szCs w:val="21"/>
                <w:lang w:eastAsia="zh-CN"/>
              </w:rPr>
              <w:t>措施和</w:t>
            </w:r>
            <w:r>
              <w:rPr>
                <w:rFonts w:hint="eastAsia" w:ascii="宋体" w:hAnsi="宋体" w:eastAsia="宋体" w:cs="宋体"/>
                <w:szCs w:val="21"/>
              </w:rPr>
              <w:t>内容</w:t>
            </w:r>
            <w:r>
              <w:rPr>
                <w:rFonts w:hint="eastAsia" w:ascii="宋体" w:hAnsi="宋体" w:cs="宋体"/>
                <w:szCs w:val="21"/>
                <w:lang w:eastAsia="zh-CN"/>
              </w:rPr>
              <w:t>一般，基本具有可行性的得</w:t>
            </w:r>
            <w:r>
              <w:rPr>
                <w:rFonts w:hint="eastAsia" w:ascii="宋体" w:hAnsi="宋体" w:cs="宋体"/>
                <w:szCs w:val="21"/>
                <w:lang w:val="en-US" w:eastAsia="zh-CN"/>
              </w:rPr>
              <w:t>3分；</w:t>
            </w:r>
          </w:p>
          <w:p w14:paraId="29B09E1E">
            <w:pPr>
              <w:widowControl/>
              <w:snapToGrid w:val="0"/>
              <w:spacing w:line="320" w:lineRule="exact"/>
              <w:rPr>
                <w:rFonts w:hint="eastAsia" w:ascii="宋体" w:hAnsi="宋体" w:eastAsia="宋体" w:cs="宋体"/>
                <w:szCs w:val="21"/>
              </w:rPr>
            </w:pPr>
            <w:r>
              <w:rPr>
                <w:rFonts w:hint="eastAsia" w:ascii="宋体" w:hAnsi="宋体" w:cs="宋体"/>
                <w:szCs w:val="21"/>
                <w:lang w:val="en-US" w:eastAsia="zh-CN"/>
              </w:rPr>
              <w:t>方案考虑不全，</w:t>
            </w:r>
            <w:r>
              <w:rPr>
                <w:rFonts w:hint="eastAsia" w:ascii="宋体" w:hAnsi="宋体" w:eastAsia="宋体" w:cs="宋体"/>
                <w:szCs w:val="21"/>
              </w:rPr>
              <w:t>内容不够全面</w:t>
            </w:r>
            <w:r>
              <w:rPr>
                <w:rFonts w:hint="eastAsia" w:ascii="宋体" w:hAnsi="宋体" w:cs="宋体"/>
                <w:szCs w:val="21"/>
                <w:lang w:eastAsia="zh-CN"/>
              </w:rPr>
              <w:t>，不具备可行性</w:t>
            </w:r>
            <w:r>
              <w:rPr>
                <w:rFonts w:hint="eastAsia" w:ascii="宋体" w:hAnsi="宋体" w:eastAsia="宋体" w:cs="宋体"/>
                <w:szCs w:val="21"/>
              </w:rPr>
              <w:t>的得1分；</w:t>
            </w:r>
          </w:p>
          <w:p w14:paraId="37F64A2E">
            <w:pPr>
              <w:widowControl/>
              <w:snapToGrid w:val="0"/>
              <w:spacing w:line="320" w:lineRule="exact"/>
              <w:rPr>
                <w:rFonts w:hint="default" w:ascii="宋体" w:hAnsi="宋体" w:cs="宋体"/>
                <w:szCs w:val="21"/>
                <w:lang w:val="en-US" w:eastAsia="zh-CN"/>
              </w:rPr>
            </w:pPr>
            <w:r>
              <w:rPr>
                <w:rFonts w:hint="eastAsia" w:ascii="宋体" w:hAnsi="宋体" w:eastAsia="宋体" w:cs="宋体"/>
                <w:szCs w:val="21"/>
              </w:rPr>
              <w:t>缺项不得分。</w:t>
            </w:r>
          </w:p>
        </w:tc>
      </w:tr>
      <w:tr w14:paraId="0C51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A3E72C7">
            <w:pPr>
              <w:snapToGrid w:val="0"/>
              <w:spacing w:line="320" w:lineRule="exact"/>
              <w:jc w:val="center"/>
              <w:rPr>
                <w:rFonts w:hint="eastAsia" w:ascii="宋体" w:hAnsi="宋体" w:eastAsia="宋体" w:cs="宋体"/>
                <w:szCs w:val="21"/>
              </w:rPr>
            </w:pPr>
          </w:p>
        </w:tc>
        <w:tc>
          <w:tcPr>
            <w:tcW w:w="1362" w:type="dxa"/>
            <w:vAlign w:val="center"/>
          </w:tcPr>
          <w:p w14:paraId="49202644">
            <w:pPr>
              <w:snapToGrid w:val="0"/>
              <w:spacing w:line="320" w:lineRule="exact"/>
              <w:jc w:val="center"/>
              <w:rPr>
                <w:rFonts w:hint="eastAsia" w:ascii="宋体" w:hAnsi="宋体" w:eastAsia="宋体" w:cs="宋体"/>
                <w:szCs w:val="21"/>
              </w:rPr>
            </w:pPr>
            <w:r>
              <w:rPr>
                <w:rFonts w:hint="eastAsia" w:ascii="宋体" w:hAnsi="宋体" w:cs="宋体"/>
                <w:szCs w:val="21"/>
                <w:lang w:val="en-US" w:eastAsia="zh-CN"/>
              </w:rPr>
              <w:t>6.</w:t>
            </w:r>
            <w:r>
              <w:rPr>
                <w:rFonts w:hint="eastAsia" w:ascii="宋体" w:hAnsi="宋体" w:eastAsia="宋体" w:cs="宋体"/>
                <w:szCs w:val="21"/>
              </w:rPr>
              <w:t>质量的技术组织措施</w:t>
            </w:r>
          </w:p>
          <w:p w14:paraId="0D50A3AD">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5</w:t>
            </w:r>
            <w:r>
              <w:rPr>
                <w:rFonts w:hint="eastAsia" w:ascii="宋体" w:hAnsi="宋体" w:eastAsia="宋体" w:cs="宋体"/>
                <w:szCs w:val="21"/>
              </w:rPr>
              <w:t>分）</w:t>
            </w:r>
          </w:p>
        </w:tc>
        <w:tc>
          <w:tcPr>
            <w:tcW w:w="6922" w:type="dxa"/>
            <w:vAlign w:val="center"/>
          </w:tcPr>
          <w:p w14:paraId="58B980C5">
            <w:pPr>
              <w:widowControl/>
              <w:snapToGrid w:val="0"/>
              <w:spacing w:line="320" w:lineRule="exact"/>
              <w:rPr>
                <w:rFonts w:hint="eastAsia" w:ascii="宋体" w:hAnsi="宋体" w:eastAsia="宋体" w:cs="宋体"/>
                <w:szCs w:val="21"/>
              </w:rPr>
            </w:pPr>
            <w:r>
              <w:rPr>
                <w:rFonts w:hint="eastAsia" w:ascii="宋体" w:hAnsi="宋体" w:eastAsia="宋体" w:cs="宋体"/>
                <w:szCs w:val="21"/>
              </w:rPr>
              <w:t>确保设计质量的技术组织措施内容全面、减少设计变更等措施方法可行。措施全面合理、内容完整具备可行性的得</w:t>
            </w:r>
            <w:r>
              <w:rPr>
                <w:rFonts w:hint="eastAsia" w:ascii="宋体" w:hAnsi="宋体" w:cs="宋体"/>
                <w:szCs w:val="21"/>
                <w:lang w:val="en-US" w:eastAsia="zh-CN"/>
              </w:rPr>
              <w:t>5</w:t>
            </w:r>
            <w:r>
              <w:rPr>
                <w:rFonts w:hint="eastAsia" w:ascii="宋体" w:hAnsi="宋体" w:eastAsia="宋体" w:cs="宋体"/>
                <w:szCs w:val="21"/>
              </w:rPr>
              <w:t>分；</w:t>
            </w:r>
          </w:p>
          <w:p w14:paraId="03CC543B">
            <w:pPr>
              <w:widowControl/>
              <w:snapToGrid w:val="0"/>
              <w:spacing w:line="320" w:lineRule="exact"/>
              <w:rPr>
                <w:rFonts w:hint="eastAsia" w:ascii="宋体" w:hAnsi="宋体" w:eastAsia="宋体" w:cs="宋体"/>
                <w:szCs w:val="21"/>
              </w:rPr>
            </w:pPr>
            <w:r>
              <w:rPr>
                <w:rFonts w:hint="eastAsia" w:ascii="宋体" w:hAnsi="宋体" w:eastAsia="宋体" w:cs="宋体"/>
                <w:szCs w:val="21"/>
              </w:rPr>
              <w:t>内容较为全面基本合理的得</w:t>
            </w:r>
            <w:r>
              <w:rPr>
                <w:rFonts w:hint="eastAsia" w:ascii="宋体" w:hAnsi="宋体" w:cs="宋体"/>
                <w:szCs w:val="21"/>
                <w:lang w:val="en-US" w:eastAsia="zh-CN"/>
              </w:rPr>
              <w:t>3</w:t>
            </w:r>
            <w:r>
              <w:rPr>
                <w:rFonts w:hint="eastAsia" w:ascii="宋体" w:hAnsi="宋体" w:eastAsia="宋体" w:cs="宋体"/>
                <w:szCs w:val="21"/>
              </w:rPr>
              <w:t>分；</w:t>
            </w:r>
          </w:p>
          <w:p w14:paraId="7E82A67B">
            <w:pPr>
              <w:widowControl/>
              <w:snapToGrid w:val="0"/>
              <w:spacing w:line="320" w:lineRule="exact"/>
              <w:rPr>
                <w:rFonts w:hint="eastAsia" w:ascii="宋体" w:hAnsi="宋体" w:eastAsia="宋体" w:cs="宋体"/>
                <w:szCs w:val="21"/>
              </w:rPr>
            </w:pPr>
            <w:r>
              <w:rPr>
                <w:rFonts w:hint="eastAsia" w:ascii="宋体" w:hAnsi="宋体" w:eastAsia="宋体" w:cs="宋体"/>
                <w:szCs w:val="21"/>
              </w:rPr>
              <w:t>内容不够全面的得</w:t>
            </w:r>
            <w:r>
              <w:rPr>
                <w:rFonts w:hint="eastAsia" w:ascii="宋体" w:hAnsi="宋体" w:cs="宋体"/>
                <w:szCs w:val="21"/>
                <w:lang w:val="en-US" w:eastAsia="zh-CN"/>
              </w:rPr>
              <w:t>1</w:t>
            </w:r>
            <w:r>
              <w:rPr>
                <w:rFonts w:hint="eastAsia" w:ascii="宋体" w:hAnsi="宋体" w:eastAsia="宋体" w:cs="宋体"/>
                <w:szCs w:val="21"/>
              </w:rPr>
              <w:t>分；</w:t>
            </w:r>
          </w:p>
          <w:p w14:paraId="64A5A207">
            <w:pPr>
              <w:widowControl/>
              <w:snapToGrid w:val="0"/>
              <w:spacing w:line="320" w:lineRule="exact"/>
              <w:rPr>
                <w:rFonts w:hint="eastAsia" w:ascii="宋体" w:hAnsi="宋体" w:eastAsia="宋体" w:cs="宋体"/>
                <w:szCs w:val="21"/>
              </w:rPr>
            </w:pPr>
            <w:r>
              <w:rPr>
                <w:rFonts w:hint="eastAsia" w:ascii="宋体" w:hAnsi="宋体" w:eastAsia="宋体" w:cs="宋体"/>
                <w:szCs w:val="21"/>
              </w:rPr>
              <w:t>缺项不得分。</w:t>
            </w:r>
          </w:p>
        </w:tc>
      </w:tr>
      <w:tr w14:paraId="19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8" w:type="dxa"/>
            <w:vMerge w:val="continue"/>
            <w:vAlign w:val="center"/>
          </w:tcPr>
          <w:p w14:paraId="52C933C7">
            <w:pPr>
              <w:snapToGrid w:val="0"/>
              <w:spacing w:line="320" w:lineRule="exact"/>
              <w:jc w:val="center"/>
              <w:rPr>
                <w:rFonts w:hint="eastAsia" w:ascii="宋体" w:hAnsi="宋体" w:eastAsia="宋体" w:cs="宋体"/>
                <w:szCs w:val="21"/>
              </w:rPr>
            </w:pPr>
          </w:p>
        </w:tc>
        <w:tc>
          <w:tcPr>
            <w:tcW w:w="1362" w:type="dxa"/>
            <w:vAlign w:val="center"/>
          </w:tcPr>
          <w:p w14:paraId="6A1BAA18">
            <w:pPr>
              <w:snapToGrid w:val="0"/>
              <w:spacing w:line="320" w:lineRule="exact"/>
              <w:jc w:val="center"/>
              <w:rPr>
                <w:rFonts w:hint="default" w:ascii="宋体" w:hAnsi="宋体" w:eastAsia="宋体" w:cs="宋体"/>
                <w:szCs w:val="21"/>
                <w:lang w:val="en-US" w:eastAsia="zh-CN"/>
              </w:rPr>
            </w:pPr>
            <w:r>
              <w:rPr>
                <w:rFonts w:hint="eastAsia" w:ascii="宋体" w:hAnsi="宋体" w:cs="宋体"/>
                <w:szCs w:val="21"/>
                <w:lang w:val="en-US" w:eastAsia="zh-CN"/>
              </w:rPr>
              <w:t>7.安全与应急保障（8分）</w:t>
            </w:r>
          </w:p>
        </w:tc>
        <w:tc>
          <w:tcPr>
            <w:tcW w:w="6922" w:type="dxa"/>
            <w:vAlign w:val="center"/>
          </w:tcPr>
          <w:p w14:paraId="63A32EC3">
            <w:pPr>
              <w:widowControl/>
              <w:snapToGrid w:val="0"/>
              <w:spacing w:line="320" w:lineRule="exact"/>
              <w:rPr>
                <w:rFonts w:hint="eastAsia" w:ascii="宋体" w:hAnsi="宋体" w:cs="宋体"/>
                <w:szCs w:val="21"/>
                <w:lang w:val="en-US" w:eastAsia="zh-CN"/>
              </w:rPr>
            </w:pPr>
            <w:r>
              <w:rPr>
                <w:rFonts w:hint="eastAsia" w:ascii="宋体" w:hAnsi="宋体" w:cs="宋体"/>
                <w:szCs w:val="21"/>
                <w:lang w:val="en-US" w:eastAsia="zh-CN"/>
              </w:rPr>
              <w:t>设计方案充分考虑消防与疏散设计、应急系统设计（如供电、照明等）需求。</w:t>
            </w:r>
          </w:p>
          <w:p w14:paraId="1DC94651">
            <w:pPr>
              <w:widowControl/>
              <w:snapToGrid w:val="0"/>
              <w:spacing w:line="320" w:lineRule="exact"/>
              <w:rPr>
                <w:rFonts w:hint="eastAsia" w:ascii="宋体" w:hAnsi="宋体" w:eastAsia="宋体" w:cs="宋体"/>
                <w:szCs w:val="21"/>
              </w:rPr>
            </w:pPr>
            <w:r>
              <w:rPr>
                <w:rFonts w:hint="eastAsia" w:ascii="宋体" w:hAnsi="宋体" w:cs="宋体"/>
                <w:szCs w:val="21"/>
                <w:lang w:eastAsia="zh-CN"/>
              </w:rPr>
              <w:t>方案</w:t>
            </w:r>
            <w:r>
              <w:rPr>
                <w:rFonts w:hint="eastAsia" w:ascii="宋体" w:hAnsi="宋体" w:eastAsia="宋体" w:cs="宋体"/>
                <w:szCs w:val="21"/>
              </w:rPr>
              <w:t>全面合理、内容完整具备可行性的得</w:t>
            </w:r>
            <w:r>
              <w:rPr>
                <w:rFonts w:hint="eastAsia" w:ascii="宋体" w:hAnsi="宋体" w:cs="宋体"/>
                <w:szCs w:val="21"/>
                <w:lang w:val="en-US" w:eastAsia="zh-CN"/>
              </w:rPr>
              <w:t>8</w:t>
            </w:r>
            <w:r>
              <w:rPr>
                <w:rFonts w:hint="eastAsia" w:ascii="宋体" w:hAnsi="宋体" w:eastAsia="宋体" w:cs="宋体"/>
                <w:szCs w:val="21"/>
              </w:rPr>
              <w:t>分；</w:t>
            </w:r>
          </w:p>
          <w:p w14:paraId="5D014E85">
            <w:pPr>
              <w:widowControl/>
              <w:snapToGrid w:val="0"/>
              <w:spacing w:line="320" w:lineRule="exact"/>
              <w:rPr>
                <w:rFonts w:hint="eastAsia" w:ascii="宋体" w:hAnsi="宋体" w:eastAsia="宋体" w:cs="宋体"/>
                <w:szCs w:val="21"/>
              </w:rPr>
            </w:pPr>
            <w:r>
              <w:rPr>
                <w:rFonts w:hint="eastAsia" w:ascii="宋体" w:hAnsi="宋体" w:cs="宋体"/>
                <w:szCs w:val="21"/>
                <w:lang w:eastAsia="zh-CN"/>
              </w:rPr>
              <w:t>方案较为</w:t>
            </w:r>
            <w:r>
              <w:rPr>
                <w:rFonts w:hint="eastAsia" w:ascii="宋体" w:hAnsi="宋体" w:eastAsia="宋体" w:cs="宋体"/>
                <w:szCs w:val="21"/>
              </w:rPr>
              <w:t>合理</w:t>
            </w:r>
            <w:r>
              <w:rPr>
                <w:rFonts w:hint="eastAsia" w:ascii="宋体" w:hAnsi="宋体" w:cs="宋体"/>
                <w:szCs w:val="21"/>
                <w:lang w:eastAsia="zh-CN"/>
              </w:rPr>
              <w:t>、</w:t>
            </w:r>
            <w:r>
              <w:rPr>
                <w:rFonts w:hint="eastAsia" w:ascii="宋体" w:hAnsi="宋体" w:eastAsia="宋体" w:cs="宋体"/>
                <w:szCs w:val="21"/>
              </w:rPr>
              <w:t>内容较为全面合理的得</w:t>
            </w:r>
            <w:r>
              <w:rPr>
                <w:rFonts w:hint="eastAsia" w:ascii="宋体" w:hAnsi="宋体" w:cs="宋体"/>
                <w:szCs w:val="21"/>
                <w:lang w:val="en-US" w:eastAsia="zh-CN"/>
              </w:rPr>
              <w:t>5</w:t>
            </w:r>
            <w:r>
              <w:rPr>
                <w:rFonts w:hint="eastAsia" w:ascii="宋体" w:hAnsi="宋体" w:eastAsia="宋体" w:cs="宋体"/>
                <w:szCs w:val="21"/>
              </w:rPr>
              <w:t>分；</w:t>
            </w:r>
          </w:p>
          <w:p w14:paraId="77F7E8AA">
            <w:pPr>
              <w:widowControl/>
              <w:snapToGrid w:val="0"/>
              <w:spacing w:line="320" w:lineRule="exact"/>
              <w:rPr>
                <w:rFonts w:hint="default" w:ascii="宋体" w:hAnsi="宋体" w:eastAsia="宋体" w:cs="宋体"/>
                <w:szCs w:val="21"/>
                <w:lang w:val="en-US" w:eastAsia="zh-CN"/>
              </w:rPr>
            </w:pPr>
            <w:r>
              <w:rPr>
                <w:rFonts w:hint="eastAsia" w:ascii="宋体" w:hAnsi="宋体" w:cs="宋体"/>
                <w:szCs w:val="21"/>
                <w:lang w:eastAsia="zh-CN"/>
              </w:rPr>
              <w:t>方案和</w:t>
            </w:r>
            <w:r>
              <w:rPr>
                <w:rFonts w:hint="eastAsia" w:ascii="宋体" w:hAnsi="宋体" w:eastAsia="宋体" w:cs="宋体"/>
                <w:szCs w:val="21"/>
              </w:rPr>
              <w:t>内容</w:t>
            </w:r>
            <w:r>
              <w:rPr>
                <w:rFonts w:hint="eastAsia" w:ascii="宋体" w:hAnsi="宋体" w:cs="宋体"/>
                <w:szCs w:val="21"/>
                <w:lang w:eastAsia="zh-CN"/>
              </w:rPr>
              <w:t>一般，具有基本可行性的得</w:t>
            </w:r>
            <w:r>
              <w:rPr>
                <w:rFonts w:hint="eastAsia" w:ascii="宋体" w:hAnsi="宋体" w:cs="宋体"/>
                <w:szCs w:val="21"/>
                <w:lang w:val="en-US" w:eastAsia="zh-CN"/>
              </w:rPr>
              <w:t>3分；</w:t>
            </w:r>
          </w:p>
          <w:p w14:paraId="0F10D4D4">
            <w:pPr>
              <w:widowControl/>
              <w:snapToGrid w:val="0"/>
              <w:spacing w:line="320" w:lineRule="exact"/>
              <w:rPr>
                <w:rFonts w:hint="eastAsia" w:ascii="宋体" w:hAnsi="宋体" w:eastAsia="宋体" w:cs="宋体"/>
                <w:szCs w:val="21"/>
              </w:rPr>
            </w:pPr>
            <w:r>
              <w:rPr>
                <w:rFonts w:hint="eastAsia" w:ascii="宋体" w:hAnsi="宋体" w:cs="宋体"/>
                <w:szCs w:val="21"/>
                <w:lang w:eastAsia="zh-CN"/>
              </w:rPr>
              <w:t>方案</w:t>
            </w:r>
            <w:r>
              <w:rPr>
                <w:rFonts w:hint="eastAsia" w:ascii="宋体" w:hAnsi="宋体" w:eastAsia="宋体" w:cs="宋体"/>
                <w:szCs w:val="21"/>
              </w:rPr>
              <w:t>不够全面的的得1分；</w:t>
            </w:r>
          </w:p>
          <w:p w14:paraId="39F85490">
            <w:pPr>
              <w:widowControl/>
              <w:snapToGrid w:val="0"/>
              <w:spacing w:line="320" w:lineRule="exact"/>
              <w:rPr>
                <w:rFonts w:hint="default" w:ascii="宋体" w:hAnsi="宋体" w:eastAsia="宋体" w:cs="宋体"/>
                <w:szCs w:val="21"/>
                <w:lang w:val="en-US" w:eastAsia="zh-CN"/>
              </w:rPr>
            </w:pPr>
            <w:r>
              <w:rPr>
                <w:rFonts w:hint="eastAsia" w:ascii="宋体" w:hAnsi="宋体" w:eastAsia="宋体" w:cs="宋体"/>
                <w:szCs w:val="21"/>
              </w:rPr>
              <w:t>缺项不得分。</w:t>
            </w:r>
          </w:p>
        </w:tc>
      </w:tr>
      <w:tr w14:paraId="5B41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2B2C2495">
            <w:pPr>
              <w:snapToGrid w:val="0"/>
              <w:spacing w:line="320" w:lineRule="exact"/>
              <w:jc w:val="center"/>
              <w:rPr>
                <w:rFonts w:hint="eastAsia" w:ascii="宋体" w:hAnsi="宋体" w:eastAsia="宋体" w:cs="宋体"/>
                <w:szCs w:val="21"/>
              </w:rPr>
            </w:pPr>
            <w:r>
              <w:rPr>
                <w:rFonts w:hint="eastAsia" w:ascii="宋体" w:hAnsi="宋体" w:eastAsia="宋体" w:cs="宋体"/>
                <w:szCs w:val="21"/>
              </w:rPr>
              <w:t>商务评价</w:t>
            </w:r>
          </w:p>
          <w:p w14:paraId="3BD90EB8">
            <w:pPr>
              <w:snapToGrid w:val="0"/>
              <w:spacing w:line="320" w:lineRule="exact"/>
              <w:jc w:val="center"/>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val="en-US" w:eastAsia="zh-CN"/>
              </w:rPr>
              <w:t>5</w:t>
            </w:r>
            <w:r>
              <w:rPr>
                <w:rFonts w:hint="eastAsia" w:ascii="宋体" w:hAnsi="宋体" w:eastAsia="宋体" w:cs="宋体"/>
                <w:szCs w:val="21"/>
              </w:rPr>
              <w:t>分)</w:t>
            </w:r>
          </w:p>
        </w:tc>
        <w:tc>
          <w:tcPr>
            <w:tcW w:w="1362" w:type="dxa"/>
            <w:vMerge w:val="restart"/>
            <w:tcBorders>
              <w:top w:val="single" w:color="auto" w:sz="4" w:space="0"/>
            </w:tcBorders>
            <w:vAlign w:val="center"/>
          </w:tcPr>
          <w:p w14:paraId="687D796F">
            <w:pPr>
              <w:snapToGrid w:val="0"/>
              <w:spacing w:line="320" w:lineRule="exact"/>
              <w:jc w:val="center"/>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服务团队</w:t>
            </w:r>
          </w:p>
          <w:p w14:paraId="30A89295">
            <w:pPr>
              <w:snapToGrid w:val="0"/>
              <w:spacing w:line="320" w:lineRule="exact"/>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17</w:t>
            </w:r>
            <w:r>
              <w:rPr>
                <w:rFonts w:hint="eastAsia" w:ascii="宋体" w:hAnsi="宋体" w:eastAsia="宋体" w:cs="宋体"/>
                <w:szCs w:val="21"/>
              </w:rPr>
              <w:t>分）</w:t>
            </w:r>
          </w:p>
        </w:tc>
        <w:tc>
          <w:tcPr>
            <w:tcW w:w="6922" w:type="dxa"/>
            <w:vAlign w:val="center"/>
          </w:tcPr>
          <w:p w14:paraId="147721B1">
            <w:pPr>
              <w:widowControl/>
              <w:snapToGrid w:val="0"/>
              <w:spacing w:line="320" w:lineRule="exact"/>
              <w:rPr>
                <w:rFonts w:hint="eastAsia" w:ascii="宋体" w:hAnsi="宋体" w:eastAsia="宋体" w:cs="宋体"/>
                <w:szCs w:val="21"/>
                <w:lang w:eastAsia="zh-CN"/>
              </w:rPr>
            </w:pPr>
            <w:r>
              <w:rPr>
                <w:rFonts w:hint="eastAsia" w:ascii="宋体" w:hAnsi="宋体" w:eastAsia="宋体" w:cs="宋体"/>
                <w:szCs w:val="21"/>
              </w:rPr>
              <w:t>为确保设计质量、进度、安全拟配备人员齐全</w:t>
            </w:r>
            <w:r>
              <w:rPr>
                <w:rFonts w:hint="eastAsia" w:ascii="宋体" w:hAnsi="宋体" w:cs="宋体"/>
                <w:szCs w:val="21"/>
                <w:lang w:eastAsia="zh-CN"/>
              </w:rPr>
              <w:t>，</w:t>
            </w:r>
            <w:r>
              <w:rPr>
                <w:rFonts w:hint="eastAsia" w:ascii="宋体" w:hAnsi="宋体" w:cs="宋体"/>
                <w:szCs w:val="21"/>
                <w:lang w:val="en-US" w:eastAsia="zh-CN"/>
              </w:rPr>
              <w:t>职责分工明确，专业能力强、经验丰富，</w:t>
            </w:r>
            <w:r>
              <w:rPr>
                <w:rFonts w:hint="eastAsia" w:ascii="宋体" w:hAnsi="宋体" w:eastAsia="宋体" w:cs="宋体"/>
                <w:szCs w:val="21"/>
              </w:rPr>
              <w:t>满足项目需要的得</w:t>
            </w:r>
            <w:r>
              <w:rPr>
                <w:rFonts w:hint="eastAsia" w:ascii="宋体" w:hAnsi="宋体" w:cs="宋体"/>
                <w:szCs w:val="21"/>
                <w:lang w:val="en-US" w:eastAsia="zh-CN"/>
              </w:rPr>
              <w:t>5</w:t>
            </w:r>
            <w:r>
              <w:rPr>
                <w:rFonts w:hint="eastAsia" w:ascii="宋体" w:hAnsi="宋体" w:eastAsia="宋体" w:cs="宋体"/>
                <w:szCs w:val="21"/>
              </w:rPr>
              <w:t>分</w:t>
            </w:r>
            <w:r>
              <w:rPr>
                <w:rFonts w:hint="eastAsia" w:ascii="宋体" w:hAnsi="宋体" w:eastAsia="宋体" w:cs="宋体"/>
                <w:szCs w:val="21"/>
                <w:lang w:eastAsia="zh-CN"/>
              </w:rPr>
              <w:t>；</w:t>
            </w:r>
          </w:p>
          <w:p w14:paraId="50A8DB7B">
            <w:pPr>
              <w:widowControl/>
              <w:snapToGrid w:val="0"/>
              <w:spacing w:line="320" w:lineRule="exact"/>
              <w:rPr>
                <w:rFonts w:hint="eastAsia" w:ascii="宋体" w:hAnsi="宋体" w:eastAsia="宋体" w:cs="宋体"/>
                <w:szCs w:val="21"/>
                <w:lang w:eastAsia="zh-CN"/>
              </w:rPr>
            </w:pPr>
            <w:r>
              <w:rPr>
                <w:rFonts w:hint="eastAsia" w:ascii="宋体" w:hAnsi="宋体" w:eastAsia="宋体" w:cs="宋体"/>
                <w:szCs w:val="21"/>
              </w:rPr>
              <w:t>机构设置较为完善、岗位配备较为齐全的得</w:t>
            </w:r>
            <w:r>
              <w:rPr>
                <w:rFonts w:hint="eastAsia" w:ascii="宋体" w:hAnsi="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p>
          <w:p w14:paraId="3C6E7839">
            <w:pPr>
              <w:widowControl/>
              <w:snapToGrid w:val="0"/>
              <w:spacing w:line="320" w:lineRule="exact"/>
              <w:rPr>
                <w:rFonts w:hint="eastAsia" w:ascii="宋体" w:hAnsi="宋体" w:eastAsia="宋体" w:cs="宋体"/>
                <w:szCs w:val="21"/>
                <w:lang w:eastAsia="zh-CN"/>
              </w:rPr>
            </w:pPr>
            <w:r>
              <w:rPr>
                <w:rFonts w:hint="eastAsia" w:ascii="宋体" w:hAnsi="宋体" w:eastAsia="宋体" w:cs="宋体"/>
                <w:szCs w:val="21"/>
              </w:rPr>
              <w:t>岗位配备不够齐全的得1分</w:t>
            </w:r>
            <w:r>
              <w:rPr>
                <w:rFonts w:hint="eastAsia" w:ascii="宋体" w:hAnsi="宋体" w:eastAsia="宋体" w:cs="宋体"/>
                <w:szCs w:val="21"/>
                <w:lang w:eastAsia="zh-CN"/>
              </w:rPr>
              <w:t>；</w:t>
            </w:r>
          </w:p>
          <w:p w14:paraId="44A3E416">
            <w:pPr>
              <w:widowControl/>
              <w:snapToGrid w:val="0"/>
              <w:spacing w:line="320" w:lineRule="exact"/>
              <w:rPr>
                <w:rFonts w:hint="eastAsia" w:ascii="宋体" w:hAnsi="宋体" w:eastAsia="宋体" w:cs="宋体"/>
                <w:szCs w:val="21"/>
                <w:lang w:eastAsia="zh-CN"/>
              </w:rPr>
            </w:pPr>
            <w:r>
              <w:rPr>
                <w:rFonts w:hint="eastAsia" w:ascii="宋体" w:hAnsi="宋体" w:eastAsia="宋体" w:cs="宋体"/>
                <w:szCs w:val="21"/>
              </w:rPr>
              <w:t>缺项或不合理者不得分</w:t>
            </w:r>
            <w:r>
              <w:rPr>
                <w:rFonts w:hint="eastAsia" w:ascii="宋体" w:hAnsi="宋体" w:eastAsia="宋体" w:cs="宋体"/>
                <w:szCs w:val="21"/>
                <w:lang w:eastAsia="zh-CN"/>
              </w:rPr>
              <w:t>；</w:t>
            </w:r>
          </w:p>
          <w:p w14:paraId="445D1061">
            <w:pPr>
              <w:widowControl/>
              <w:snapToGrid w:val="0"/>
              <w:spacing w:line="320" w:lineRule="exact"/>
              <w:rPr>
                <w:rFonts w:hint="eastAsia" w:ascii="宋体" w:hAnsi="宋体" w:eastAsia="宋体" w:cs="宋体"/>
              </w:rPr>
            </w:pPr>
            <w:r>
              <w:rPr>
                <w:rFonts w:hint="eastAsia" w:ascii="宋体" w:hAnsi="宋体" w:eastAsia="宋体" w:cs="宋体"/>
                <w:szCs w:val="21"/>
              </w:rPr>
              <w:t>注：提供组织结构图或配备机构说明；配备人员的清单及职责、分工。</w:t>
            </w:r>
          </w:p>
        </w:tc>
      </w:tr>
      <w:tr w14:paraId="6FE1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35A42B1D">
            <w:pPr>
              <w:snapToGrid w:val="0"/>
              <w:spacing w:line="320" w:lineRule="exact"/>
              <w:jc w:val="center"/>
              <w:rPr>
                <w:rFonts w:hint="eastAsia" w:ascii="宋体" w:hAnsi="宋体" w:eastAsia="宋体" w:cs="宋体"/>
                <w:szCs w:val="21"/>
              </w:rPr>
            </w:pPr>
          </w:p>
        </w:tc>
        <w:tc>
          <w:tcPr>
            <w:tcW w:w="1362" w:type="dxa"/>
            <w:vMerge w:val="continue"/>
            <w:tcBorders>
              <w:top w:val="single" w:color="auto" w:sz="4" w:space="0"/>
            </w:tcBorders>
            <w:vAlign w:val="center"/>
          </w:tcPr>
          <w:p w14:paraId="3132C165">
            <w:pPr>
              <w:snapToGrid w:val="0"/>
              <w:spacing w:line="320" w:lineRule="exact"/>
              <w:jc w:val="center"/>
              <w:rPr>
                <w:rFonts w:hint="eastAsia" w:ascii="宋体" w:hAnsi="宋体" w:eastAsia="宋体" w:cs="宋体"/>
                <w:szCs w:val="21"/>
              </w:rPr>
            </w:pPr>
          </w:p>
        </w:tc>
        <w:tc>
          <w:tcPr>
            <w:tcW w:w="6922" w:type="dxa"/>
            <w:vAlign w:val="center"/>
          </w:tcPr>
          <w:p w14:paraId="4E7636E7">
            <w:pPr>
              <w:widowControl/>
              <w:snapToGrid w:val="0"/>
              <w:spacing w:line="320" w:lineRule="exact"/>
              <w:rPr>
                <w:rFonts w:hint="eastAsia" w:ascii="宋体" w:hAnsi="宋体" w:eastAsia="宋体" w:cs="宋体"/>
                <w:highlight w:val="none"/>
              </w:rPr>
            </w:pPr>
            <w:r>
              <w:rPr>
                <w:rFonts w:hint="eastAsia" w:ascii="宋体" w:hAnsi="宋体" w:eastAsia="宋体" w:cs="宋体"/>
                <w:highlight w:val="none"/>
                <w:lang w:val="en-US" w:eastAsia="zh-CN"/>
              </w:rPr>
              <w:t>针对本项目的人员配备中</w:t>
            </w:r>
            <w:r>
              <w:rPr>
                <w:rFonts w:hint="eastAsia" w:ascii="宋体" w:hAnsi="宋体" w:cs="宋体"/>
                <w:highlight w:val="none"/>
                <w:lang w:val="en-US" w:eastAsia="zh-CN"/>
              </w:rPr>
              <w:t>（项目负责人除外）</w:t>
            </w:r>
            <w:r>
              <w:rPr>
                <w:rFonts w:hint="eastAsia" w:ascii="宋体" w:hAnsi="宋体" w:eastAsia="宋体" w:cs="宋体"/>
                <w:highlight w:val="none"/>
                <w:lang w:val="en-US" w:eastAsia="zh-CN"/>
              </w:rPr>
              <w:t>，每再提供</w:t>
            </w:r>
            <w:r>
              <w:rPr>
                <w:rFonts w:hint="eastAsia" w:ascii="宋体" w:hAnsi="宋体" w:eastAsia="宋体" w:cs="宋体"/>
                <w:highlight w:val="none"/>
              </w:rPr>
              <w:t>具</w:t>
            </w:r>
            <w:r>
              <w:rPr>
                <w:rFonts w:hint="eastAsia" w:ascii="宋体" w:hAnsi="宋体" w:eastAsia="宋体" w:cs="宋体"/>
                <w:highlight w:val="none"/>
                <w:lang w:val="en-US" w:eastAsia="zh-CN"/>
              </w:rPr>
              <w:t>有</w:t>
            </w:r>
            <w:r>
              <w:rPr>
                <w:rFonts w:hint="eastAsia" w:ascii="宋体" w:hAnsi="宋体" w:eastAsia="宋体" w:cs="宋体"/>
                <w:highlight w:val="none"/>
              </w:rPr>
              <w:t>建筑、</w:t>
            </w:r>
            <w:r>
              <w:rPr>
                <w:rFonts w:hint="eastAsia" w:ascii="宋体" w:hAnsi="宋体" w:eastAsia="宋体" w:cs="宋体"/>
                <w:highlight w:val="none"/>
                <w:lang w:val="en-US" w:eastAsia="zh-CN"/>
              </w:rPr>
              <w:t>结构、电力、</w:t>
            </w:r>
            <w:r>
              <w:rPr>
                <w:rFonts w:hint="eastAsia" w:ascii="宋体" w:hAnsi="宋体" w:eastAsia="宋体" w:cs="宋体"/>
                <w:highlight w:val="none"/>
              </w:rPr>
              <w:t>给排水、暖通、</w:t>
            </w:r>
            <w:r>
              <w:rPr>
                <w:rFonts w:hint="eastAsia" w:ascii="宋体" w:hAnsi="宋体" w:eastAsia="宋体" w:cs="宋体"/>
                <w:highlight w:val="none"/>
                <w:lang w:val="en-US" w:eastAsia="zh-CN"/>
              </w:rPr>
              <w:t>消防</w:t>
            </w:r>
            <w:r>
              <w:rPr>
                <w:rFonts w:hint="eastAsia" w:ascii="宋体" w:hAnsi="宋体" w:eastAsia="宋体" w:cs="宋体"/>
                <w:highlight w:val="none"/>
              </w:rPr>
              <w:t>等专业</w:t>
            </w:r>
            <w:r>
              <w:rPr>
                <w:rFonts w:hint="eastAsia" w:ascii="宋体" w:hAnsi="宋体" w:eastAsia="宋体" w:cs="宋体"/>
                <w:highlight w:val="none"/>
                <w:lang w:val="en-US" w:eastAsia="zh-CN"/>
              </w:rPr>
              <w:t>且</w:t>
            </w:r>
            <w:r>
              <w:rPr>
                <w:rFonts w:hint="eastAsia" w:ascii="宋体" w:hAnsi="宋体" w:eastAsia="宋体" w:cs="宋体"/>
                <w:highlight w:val="none"/>
              </w:rPr>
              <w:t>具有国家注册证书或</w:t>
            </w:r>
            <w:r>
              <w:rPr>
                <w:rFonts w:hint="eastAsia" w:ascii="宋体" w:hAnsi="宋体" w:eastAsia="宋体" w:cs="宋体"/>
                <w:color w:val="auto"/>
                <w:highlight w:val="none"/>
              </w:rPr>
              <w:t>高级及</w:t>
            </w:r>
            <w:r>
              <w:rPr>
                <w:rFonts w:hint="eastAsia" w:ascii="宋体" w:hAnsi="宋体" w:cs="宋体"/>
                <w:color w:val="auto"/>
                <w:highlight w:val="none"/>
                <w:lang w:eastAsia="zh-CN"/>
              </w:rPr>
              <w:t>以上</w:t>
            </w:r>
            <w:r>
              <w:rPr>
                <w:rFonts w:hint="eastAsia" w:ascii="宋体" w:hAnsi="宋体" w:eastAsia="宋体" w:cs="宋体"/>
                <w:color w:val="auto"/>
                <w:highlight w:val="none"/>
              </w:rPr>
              <w:t>职</w:t>
            </w:r>
            <w:r>
              <w:rPr>
                <w:rFonts w:hint="eastAsia" w:ascii="宋体" w:hAnsi="宋体" w:eastAsia="宋体" w:cs="宋体"/>
                <w:highlight w:val="none"/>
              </w:rPr>
              <w:t>称的，</w:t>
            </w:r>
            <w:r>
              <w:rPr>
                <w:rFonts w:hint="eastAsia" w:ascii="宋体" w:hAnsi="宋体" w:eastAsia="宋体" w:cs="宋体"/>
                <w:highlight w:val="none"/>
                <w:lang w:val="en-US" w:eastAsia="zh-CN"/>
              </w:rPr>
              <w:t>每提供一人，得2分，本项最多得12分；</w:t>
            </w:r>
          </w:p>
          <w:p w14:paraId="64FAECEB">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highlight w:val="none"/>
              </w:rPr>
              <w:t>注：</w:t>
            </w:r>
            <w:r>
              <w:rPr>
                <w:rFonts w:hint="eastAsia" w:ascii="宋体" w:hAnsi="宋体" w:eastAsia="宋体" w:cs="宋体"/>
                <w:highlight w:val="none"/>
                <w:lang w:val="en-US" w:eastAsia="zh-CN"/>
              </w:rPr>
              <w:t>以上人员不重复计分，若同一人有多个专业证书，只能计一次。</w:t>
            </w:r>
            <w:r>
              <w:rPr>
                <w:rFonts w:hint="eastAsia" w:ascii="宋体" w:hAnsi="宋体" w:eastAsia="宋体" w:cs="宋体"/>
                <w:highlight w:val="none"/>
              </w:rPr>
              <w:t>需提供</w:t>
            </w:r>
            <w:r>
              <w:rPr>
                <w:rFonts w:hint="eastAsia" w:ascii="宋体" w:hAnsi="宋体" w:eastAsia="宋体" w:cs="宋体"/>
                <w:highlight w:val="none"/>
                <w:lang w:val="en-US" w:eastAsia="zh-CN"/>
              </w:rPr>
              <w:t>对应证书</w:t>
            </w:r>
            <w:r>
              <w:rPr>
                <w:rFonts w:hint="eastAsia" w:ascii="宋体" w:hAnsi="宋体" w:cs="宋体"/>
                <w:highlight w:val="none"/>
                <w:lang w:val="en-US" w:eastAsia="zh-CN"/>
              </w:rPr>
              <w:t>。</w:t>
            </w:r>
          </w:p>
        </w:tc>
      </w:tr>
      <w:tr w14:paraId="3838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DA3C4ED">
            <w:pPr>
              <w:snapToGrid w:val="0"/>
              <w:spacing w:line="320" w:lineRule="exact"/>
              <w:jc w:val="center"/>
              <w:rPr>
                <w:rFonts w:hint="eastAsia" w:ascii="宋体" w:hAnsi="宋体" w:eastAsia="宋体" w:cs="宋体"/>
                <w:szCs w:val="21"/>
              </w:rPr>
            </w:pPr>
          </w:p>
        </w:tc>
        <w:tc>
          <w:tcPr>
            <w:tcW w:w="1362" w:type="dxa"/>
            <w:tcBorders>
              <w:top w:val="single" w:color="auto" w:sz="4" w:space="0"/>
            </w:tcBorders>
            <w:vAlign w:val="center"/>
          </w:tcPr>
          <w:p w14:paraId="6307BED2">
            <w:pPr>
              <w:snapToGrid w:val="0"/>
              <w:spacing w:line="320" w:lineRule="exact"/>
              <w:jc w:val="center"/>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类似业绩</w:t>
            </w:r>
          </w:p>
          <w:p w14:paraId="74E8750C">
            <w:pPr>
              <w:snapToGrid w:val="0"/>
              <w:spacing w:line="320" w:lineRule="exact"/>
              <w:jc w:val="center"/>
              <w:rPr>
                <w:rFonts w:hint="eastAsia" w:ascii="宋体" w:hAnsi="宋体" w:eastAsia="宋体" w:cs="宋体"/>
                <w:szCs w:val="21"/>
              </w:rPr>
            </w:pPr>
            <w:r>
              <w:rPr>
                <w:rFonts w:hint="eastAsia" w:ascii="宋体" w:hAnsi="宋体" w:eastAsia="宋体" w:cs="宋体"/>
                <w:szCs w:val="21"/>
              </w:rPr>
              <w:t>(8分)</w:t>
            </w:r>
          </w:p>
        </w:tc>
        <w:tc>
          <w:tcPr>
            <w:tcW w:w="6922" w:type="dxa"/>
            <w:vAlign w:val="center"/>
          </w:tcPr>
          <w:p w14:paraId="7A9F03B0">
            <w:pPr>
              <w:widowControl/>
              <w:snapToGrid w:val="0"/>
              <w:spacing w:line="320" w:lineRule="exact"/>
              <w:jc w:val="left"/>
              <w:rPr>
                <w:rFonts w:hint="eastAsia" w:ascii="宋体" w:hAnsi="宋体" w:eastAsia="宋体" w:cs="宋体"/>
              </w:rPr>
            </w:pPr>
            <w:r>
              <w:rPr>
                <w:rFonts w:hint="eastAsia" w:ascii="宋体" w:hAnsi="宋体" w:eastAsia="宋体" w:cs="宋体"/>
              </w:rPr>
              <w:t>供应商自202</w:t>
            </w:r>
            <w:r>
              <w:rPr>
                <w:rFonts w:hint="eastAsia" w:ascii="宋体" w:hAnsi="宋体" w:eastAsia="宋体" w:cs="宋体"/>
                <w:lang w:val="en-US" w:eastAsia="zh-CN"/>
              </w:rPr>
              <w:t>3</w:t>
            </w:r>
            <w:r>
              <w:rPr>
                <w:rFonts w:hint="eastAsia" w:ascii="宋体" w:hAnsi="宋体" w:eastAsia="宋体" w:cs="宋体"/>
              </w:rPr>
              <w:t>年1月1日以来供应商承担过的类似设计项目</w:t>
            </w:r>
            <w:r>
              <w:rPr>
                <w:rFonts w:hint="eastAsia" w:ascii="宋体" w:hAnsi="宋体" w:eastAsia="宋体" w:cs="宋体"/>
                <w:lang w:val="en-US" w:eastAsia="zh-CN"/>
              </w:rPr>
              <w:t>的</w:t>
            </w:r>
            <w:r>
              <w:rPr>
                <w:rFonts w:hint="eastAsia" w:ascii="宋体" w:hAnsi="宋体" w:eastAsia="宋体" w:cs="宋体"/>
              </w:rPr>
              <w:t>；</w:t>
            </w:r>
            <w:r>
              <w:rPr>
                <w:rFonts w:hint="eastAsia" w:ascii="宋体" w:hAnsi="宋体" w:eastAsia="宋体" w:cs="宋体"/>
                <w:szCs w:val="21"/>
              </w:rPr>
              <w:t>每提供一份得2分</w:t>
            </w:r>
            <w:r>
              <w:rPr>
                <w:rFonts w:hint="eastAsia" w:ascii="宋体" w:hAnsi="宋体" w:eastAsia="宋体" w:cs="宋体"/>
              </w:rPr>
              <w:t>，本项最多得8分。</w:t>
            </w:r>
          </w:p>
          <w:p w14:paraId="63417CE2">
            <w:pPr>
              <w:widowControl/>
              <w:snapToGrid w:val="0"/>
              <w:spacing w:line="320" w:lineRule="exact"/>
              <w:jc w:val="left"/>
              <w:rPr>
                <w:rFonts w:hint="eastAsia" w:ascii="宋体" w:hAnsi="宋体" w:eastAsia="宋体" w:cs="宋体"/>
              </w:rPr>
            </w:pPr>
            <w:r>
              <w:rPr>
                <w:rFonts w:hint="eastAsia" w:ascii="宋体" w:hAnsi="宋体" w:eastAsia="宋体" w:cs="宋体"/>
              </w:rPr>
              <w:t>注：提供合同</w:t>
            </w:r>
            <w:r>
              <w:rPr>
                <w:rFonts w:hint="eastAsia" w:ascii="宋体" w:hAnsi="宋体" w:eastAsia="宋体" w:cs="宋体"/>
                <w:lang w:val="en-US" w:eastAsia="zh-CN"/>
              </w:rPr>
              <w:t>复印件</w:t>
            </w:r>
            <w:r>
              <w:rPr>
                <w:rFonts w:hint="eastAsia" w:ascii="宋体" w:hAnsi="宋体" w:eastAsia="宋体" w:cs="宋体"/>
              </w:rPr>
              <w:t>。</w:t>
            </w:r>
          </w:p>
        </w:tc>
      </w:tr>
      <w:tr w14:paraId="0808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6D908CF7">
            <w:pPr>
              <w:snapToGrid w:val="0"/>
              <w:spacing w:line="340" w:lineRule="exact"/>
              <w:jc w:val="center"/>
              <w:rPr>
                <w:rFonts w:hint="eastAsia" w:ascii="宋体" w:hAnsi="宋体" w:eastAsia="宋体" w:cs="宋体"/>
                <w:szCs w:val="21"/>
              </w:rPr>
            </w:pPr>
            <w:r>
              <w:rPr>
                <w:rFonts w:hint="eastAsia" w:ascii="宋体" w:hAnsi="宋体" w:eastAsia="宋体" w:cs="宋体"/>
                <w:szCs w:val="21"/>
              </w:rPr>
              <w:t>得分的计算</w:t>
            </w:r>
          </w:p>
        </w:tc>
        <w:tc>
          <w:tcPr>
            <w:tcW w:w="8284" w:type="dxa"/>
            <w:gridSpan w:val="2"/>
            <w:vAlign w:val="center"/>
          </w:tcPr>
          <w:p w14:paraId="4E468721">
            <w:pPr>
              <w:snapToGrid w:val="0"/>
              <w:spacing w:line="340" w:lineRule="exact"/>
              <w:rPr>
                <w:rFonts w:hint="eastAsia" w:ascii="宋体" w:hAnsi="宋体" w:eastAsia="宋体" w:cs="宋体"/>
                <w:szCs w:val="21"/>
              </w:rPr>
            </w:pPr>
            <w:r>
              <w:rPr>
                <w:rFonts w:hint="eastAsia" w:ascii="宋体" w:hAnsi="宋体" w:eastAsia="宋体" w:cs="宋体"/>
                <w:szCs w:val="21"/>
              </w:rPr>
              <w:t>磋商小组成员评分=各项评分因素的汇总得分。</w:t>
            </w:r>
          </w:p>
          <w:p w14:paraId="74609483">
            <w:pPr>
              <w:snapToGrid w:val="0"/>
              <w:spacing w:line="340" w:lineRule="exact"/>
              <w:rPr>
                <w:rFonts w:hint="eastAsia" w:ascii="宋体" w:hAnsi="宋体" w:eastAsia="宋体" w:cs="宋体"/>
                <w:szCs w:val="21"/>
              </w:rPr>
            </w:pPr>
            <w:r>
              <w:rPr>
                <w:rFonts w:hint="eastAsia" w:ascii="宋体" w:hAnsi="宋体" w:eastAsia="宋体" w:cs="宋体"/>
                <w:szCs w:val="21"/>
              </w:rPr>
              <w:t>评标总得分=磋商小组所有成员合计评分/磋商小组组成人员数。</w:t>
            </w:r>
          </w:p>
        </w:tc>
      </w:tr>
    </w:tbl>
    <w:p w14:paraId="5DC40453">
      <w:pPr>
        <w:snapToGrid w:val="0"/>
        <w:rPr>
          <w:rFonts w:hint="eastAsia" w:ascii="宋体" w:hAnsi="宋体" w:eastAsia="宋体" w:cs="宋体"/>
          <w:kern w:val="0"/>
          <w:szCs w:val="21"/>
        </w:rPr>
      </w:pPr>
    </w:p>
    <w:p w14:paraId="68F8709E">
      <w:pPr>
        <w:rPr>
          <w:rFonts w:hint="eastAsia" w:ascii="宋体" w:hAnsi="宋体" w:eastAsia="宋体" w:cs="宋体"/>
          <w:b/>
        </w:rPr>
      </w:pPr>
      <w:r>
        <w:rPr>
          <w:rFonts w:hint="eastAsia" w:ascii="宋体" w:hAnsi="宋体" w:eastAsia="宋体" w:cs="宋体"/>
          <w:b/>
        </w:rPr>
        <w:br w:type="page"/>
      </w:r>
    </w:p>
    <w:bookmarkEnd w:id="50"/>
    <w:p w14:paraId="1E053FEE">
      <w:pPr>
        <w:rPr>
          <w:rFonts w:hint="eastAsia" w:ascii="宋体" w:hAnsi="宋体" w:eastAsia="宋体" w:cs="宋体"/>
        </w:rPr>
      </w:pPr>
      <w:bookmarkStart w:id="55" w:name="_Toc1947"/>
      <w:bookmarkStart w:id="56" w:name="_Toc1482"/>
      <w:bookmarkStart w:id="57" w:name="_Toc326786897"/>
      <w:bookmarkStart w:id="58" w:name="_Toc256519703"/>
    </w:p>
    <w:p w14:paraId="4A7261D4">
      <w:pPr>
        <w:pStyle w:val="2"/>
        <w:snapToGrid w:val="0"/>
        <w:spacing w:before="0" w:after="0" w:line="480" w:lineRule="auto"/>
        <w:jc w:val="center"/>
        <w:rPr>
          <w:rFonts w:hint="eastAsia" w:ascii="宋体" w:hAnsi="宋体" w:eastAsia="宋体" w:cs="宋体"/>
          <w:sz w:val="28"/>
          <w:szCs w:val="28"/>
        </w:rPr>
      </w:pPr>
      <w:bookmarkStart w:id="59" w:name="_Toc28918"/>
      <w:r>
        <w:rPr>
          <w:rFonts w:hint="eastAsia" w:ascii="宋体" w:hAnsi="宋体" w:eastAsia="宋体" w:cs="宋体"/>
          <w:sz w:val="28"/>
          <w:szCs w:val="28"/>
        </w:rPr>
        <w:t>第五章  采购合同</w:t>
      </w:r>
      <w:bookmarkEnd w:id="59"/>
    </w:p>
    <w:p w14:paraId="211FF016">
      <w:pPr>
        <w:snapToGrid w:val="0"/>
        <w:spacing w:line="360" w:lineRule="auto"/>
        <w:jc w:val="center"/>
        <w:rPr>
          <w:rFonts w:hint="eastAsia" w:ascii="宋体" w:hAnsi="宋体" w:eastAsia="宋体" w:cs="宋体"/>
          <w:szCs w:val="21"/>
        </w:rPr>
      </w:pPr>
      <w:r>
        <w:rPr>
          <w:rFonts w:hint="eastAsia" w:ascii="宋体" w:hAnsi="宋体" w:eastAsia="宋体" w:cs="宋体"/>
          <w:szCs w:val="21"/>
        </w:rPr>
        <w:t>（以实际合同为准）</w:t>
      </w:r>
    </w:p>
    <w:p w14:paraId="614A4F50">
      <w:pPr>
        <w:rPr>
          <w:rFonts w:hint="eastAsia" w:ascii="宋体" w:hAnsi="宋体" w:eastAsia="宋体" w:cs="宋体"/>
          <w:sz w:val="32"/>
          <w:szCs w:val="32"/>
        </w:rPr>
      </w:pPr>
    </w:p>
    <w:p w14:paraId="7AD1894D">
      <w:pPr>
        <w:rPr>
          <w:rFonts w:hint="eastAsia" w:ascii="宋体" w:hAnsi="宋体" w:eastAsia="宋体" w:cs="宋体"/>
        </w:rPr>
      </w:pPr>
      <w:r>
        <w:rPr>
          <w:rFonts w:hint="eastAsia" w:ascii="宋体" w:hAnsi="宋体" w:eastAsia="宋体" w:cs="宋体"/>
        </w:rPr>
        <w:br w:type="page"/>
      </w:r>
    </w:p>
    <w:p w14:paraId="6B4F0F44">
      <w:pPr>
        <w:pStyle w:val="2"/>
        <w:jc w:val="center"/>
        <w:rPr>
          <w:rFonts w:hint="eastAsia" w:ascii="宋体" w:hAnsi="宋体" w:eastAsia="宋体" w:cs="宋体"/>
          <w:kern w:val="0"/>
        </w:rPr>
      </w:pPr>
      <w:bookmarkStart w:id="60" w:name="_Toc16080"/>
      <w:r>
        <w:rPr>
          <w:rFonts w:hint="eastAsia" w:ascii="宋体" w:hAnsi="宋体" w:eastAsia="宋体" w:cs="宋体"/>
          <w:sz w:val="32"/>
          <w:szCs w:val="32"/>
        </w:rPr>
        <w:t>第六章  响应文件格式</w:t>
      </w:r>
      <w:bookmarkEnd w:id="55"/>
      <w:bookmarkEnd w:id="56"/>
      <w:bookmarkEnd w:id="60"/>
    </w:p>
    <w:p w14:paraId="33C7EE45">
      <w:pPr>
        <w:jc w:val="center"/>
        <w:rPr>
          <w:rFonts w:hint="eastAsia" w:ascii="宋体" w:hAnsi="宋体" w:eastAsia="宋体" w:cs="宋体"/>
          <w:b/>
          <w:bCs/>
          <w:sz w:val="32"/>
          <w:szCs w:val="32"/>
        </w:rPr>
      </w:pPr>
      <w:bookmarkStart w:id="61" w:name="_Toc13604"/>
      <w:r>
        <w:rPr>
          <w:rFonts w:hint="eastAsia" w:ascii="宋体" w:hAnsi="宋体" w:eastAsia="宋体" w:cs="宋体"/>
          <w:b/>
          <w:bCs/>
          <w:sz w:val="32"/>
          <w:szCs w:val="32"/>
        </w:rPr>
        <w:t>目    录</w:t>
      </w:r>
      <w:bookmarkEnd w:id="61"/>
    </w:p>
    <w:p w14:paraId="3480B117">
      <w:pPr>
        <w:widowControl/>
        <w:wordWrap w:val="0"/>
        <w:spacing w:line="460" w:lineRule="exact"/>
        <w:ind w:firstLine="480" w:firstLineChars="200"/>
        <w:jc w:val="left"/>
        <w:rPr>
          <w:rFonts w:hint="eastAsia" w:ascii="宋体" w:hAnsi="宋体" w:eastAsia="宋体" w:cs="宋体"/>
          <w:kern w:val="0"/>
          <w:sz w:val="24"/>
        </w:rPr>
      </w:pPr>
    </w:p>
    <w:p w14:paraId="48168530">
      <w:pPr>
        <w:snapToGrid w:val="0"/>
        <w:spacing w:line="360" w:lineRule="auto"/>
        <w:ind w:firstLine="480" w:firstLineChars="200"/>
        <w:rPr>
          <w:rFonts w:hint="eastAsia" w:ascii="宋体" w:hAnsi="宋体" w:eastAsia="宋体" w:cs="宋体"/>
          <w:sz w:val="24"/>
        </w:rPr>
      </w:pPr>
      <w:bookmarkStart w:id="62" w:name="_Toc11308"/>
      <w:r>
        <w:rPr>
          <w:rFonts w:hint="eastAsia" w:ascii="宋体" w:hAnsi="宋体" w:eastAsia="宋体" w:cs="宋体"/>
          <w:sz w:val="24"/>
        </w:rPr>
        <w:t>附件1 响应文件封面（格式）</w:t>
      </w:r>
      <w:bookmarkEnd w:id="62"/>
    </w:p>
    <w:p w14:paraId="2300675E">
      <w:pPr>
        <w:snapToGrid w:val="0"/>
        <w:spacing w:line="360" w:lineRule="auto"/>
        <w:ind w:firstLine="480" w:firstLineChars="200"/>
        <w:rPr>
          <w:rFonts w:hint="eastAsia" w:ascii="宋体" w:hAnsi="宋体" w:eastAsia="宋体" w:cs="宋体"/>
          <w:sz w:val="24"/>
        </w:rPr>
      </w:pPr>
      <w:bookmarkStart w:id="63" w:name="_Toc25345"/>
      <w:r>
        <w:rPr>
          <w:rFonts w:hint="eastAsia" w:ascii="宋体" w:hAnsi="宋体" w:eastAsia="宋体" w:cs="宋体"/>
          <w:sz w:val="24"/>
        </w:rPr>
        <w:t>附件2 竞争性磋商响应书（格式）</w:t>
      </w:r>
      <w:bookmarkEnd w:id="63"/>
    </w:p>
    <w:p w14:paraId="618A4E53">
      <w:pPr>
        <w:snapToGrid w:val="0"/>
        <w:spacing w:line="360" w:lineRule="auto"/>
        <w:ind w:firstLine="480" w:firstLineChars="200"/>
        <w:rPr>
          <w:rFonts w:hint="eastAsia" w:ascii="宋体" w:hAnsi="宋体" w:eastAsia="宋体" w:cs="宋体"/>
          <w:sz w:val="24"/>
        </w:rPr>
      </w:pPr>
      <w:bookmarkStart w:id="64" w:name="_Toc10217"/>
      <w:r>
        <w:rPr>
          <w:rFonts w:hint="eastAsia" w:ascii="宋体" w:hAnsi="宋体" w:eastAsia="宋体" w:cs="宋体"/>
          <w:sz w:val="24"/>
        </w:rPr>
        <w:t>附件3 初次报价一览表（格式）</w:t>
      </w:r>
      <w:bookmarkEnd w:id="64"/>
    </w:p>
    <w:p w14:paraId="11EBA371">
      <w:pPr>
        <w:snapToGrid w:val="0"/>
        <w:spacing w:line="360" w:lineRule="auto"/>
        <w:ind w:firstLine="480" w:firstLineChars="200"/>
        <w:rPr>
          <w:rFonts w:hint="eastAsia" w:ascii="宋体" w:hAnsi="宋体" w:eastAsia="宋体" w:cs="宋体"/>
          <w:sz w:val="24"/>
        </w:rPr>
      </w:pPr>
      <w:bookmarkStart w:id="65" w:name="_Toc9579"/>
      <w:r>
        <w:rPr>
          <w:rFonts w:hint="eastAsia" w:ascii="宋体" w:hAnsi="宋体" w:eastAsia="宋体" w:cs="宋体"/>
          <w:sz w:val="24"/>
        </w:rPr>
        <w:t xml:space="preserve">附件4 </w:t>
      </w:r>
      <w:bookmarkEnd w:id="65"/>
      <w:r>
        <w:rPr>
          <w:rFonts w:hint="eastAsia" w:ascii="宋体" w:hAnsi="宋体" w:eastAsia="宋体" w:cs="宋体"/>
          <w:sz w:val="24"/>
        </w:rPr>
        <w:t>技术响应表（格式）</w:t>
      </w:r>
    </w:p>
    <w:p w14:paraId="021CB847">
      <w:pPr>
        <w:snapToGrid w:val="0"/>
        <w:spacing w:line="360" w:lineRule="auto"/>
        <w:ind w:firstLine="480" w:firstLineChars="200"/>
        <w:rPr>
          <w:rFonts w:hint="eastAsia" w:ascii="宋体" w:hAnsi="宋体" w:eastAsia="宋体" w:cs="宋体"/>
          <w:sz w:val="24"/>
        </w:rPr>
      </w:pPr>
      <w:bookmarkStart w:id="66" w:name="_Toc6234"/>
      <w:r>
        <w:rPr>
          <w:rFonts w:hint="eastAsia" w:ascii="宋体" w:hAnsi="宋体" w:eastAsia="宋体" w:cs="宋体"/>
          <w:sz w:val="24"/>
        </w:rPr>
        <w:t>附件</w:t>
      </w:r>
      <w:r>
        <w:rPr>
          <w:rFonts w:hint="eastAsia" w:ascii="宋体" w:hAnsi="宋体" w:cs="宋体"/>
          <w:sz w:val="24"/>
          <w:lang w:val="en-US" w:eastAsia="zh-CN"/>
        </w:rPr>
        <w:t>5</w:t>
      </w:r>
      <w:r>
        <w:rPr>
          <w:rFonts w:hint="eastAsia" w:ascii="宋体" w:hAnsi="宋体" w:eastAsia="宋体" w:cs="宋体"/>
          <w:sz w:val="24"/>
        </w:rPr>
        <w:t xml:space="preserve"> 商务</w:t>
      </w:r>
      <w:bookmarkEnd w:id="66"/>
      <w:r>
        <w:rPr>
          <w:rFonts w:hint="eastAsia" w:ascii="宋体" w:hAnsi="宋体" w:eastAsia="宋体" w:cs="宋体"/>
          <w:sz w:val="24"/>
        </w:rPr>
        <w:t>响应表（格式）</w:t>
      </w:r>
    </w:p>
    <w:p w14:paraId="22D634E4">
      <w:pPr>
        <w:snapToGrid w:val="0"/>
        <w:spacing w:line="360" w:lineRule="auto"/>
        <w:ind w:firstLine="480" w:firstLineChars="200"/>
        <w:rPr>
          <w:rFonts w:hint="eastAsia" w:ascii="宋体" w:hAnsi="宋体" w:eastAsia="宋体" w:cs="宋体"/>
          <w:sz w:val="24"/>
        </w:rPr>
      </w:pPr>
      <w:bookmarkStart w:id="67" w:name="_Toc26231"/>
      <w:r>
        <w:rPr>
          <w:rFonts w:hint="eastAsia" w:ascii="宋体" w:hAnsi="宋体" w:eastAsia="宋体" w:cs="宋体"/>
          <w:sz w:val="24"/>
        </w:rPr>
        <w:t>附件</w:t>
      </w:r>
      <w:r>
        <w:rPr>
          <w:rFonts w:hint="eastAsia" w:ascii="宋体" w:hAnsi="宋体" w:cs="宋体"/>
          <w:sz w:val="24"/>
          <w:lang w:val="en-US" w:eastAsia="zh-CN"/>
        </w:rPr>
        <w:t>6</w:t>
      </w:r>
      <w:r>
        <w:rPr>
          <w:rFonts w:hint="eastAsia" w:ascii="宋体" w:hAnsi="宋体" w:eastAsia="宋体" w:cs="宋体"/>
          <w:sz w:val="24"/>
        </w:rPr>
        <w:t xml:space="preserve"> 法定代表人身份证明（格式）</w:t>
      </w:r>
      <w:bookmarkEnd w:id="67"/>
    </w:p>
    <w:p w14:paraId="0EB7D20B">
      <w:pPr>
        <w:snapToGrid w:val="0"/>
        <w:spacing w:line="360" w:lineRule="auto"/>
        <w:ind w:firstLine="480" w:firstLineChars="200"/>
        <w:rPr>
          <w:rFonts w:hint="eastAsia" w:ascii="宋体" w:hAnsi="宋体" w:eastAsia="宋体" w:cs="宋体"/>
          <w:sz w:val="24"/>
        </w:rPr>
      </w:pPr>
      <w:bookmarkStart w:id="68" w:name="_Toc18484"/>
      <w:r>
        <w:rPr>
          <w:rFonts w:hint="eastAsia" w:ascii="宋体" w:hAnsi="宋体" w:eastAsia="宋体" w:cs="宋体"/>
          <w:sz w:val="24"/>
        </w:rPr>
        <w:t>附件</w:t>
      </w:r>
      <w:r>
        <w:rPr>
          <w:rFonts w:hint="eastAsia" w:ascii="宋体" w:hAnsi="宋体" w:cs="宋体"/>
          <w:sz w:val="24"/>
          <w:lang w:val="en-US" w:eastAsia="zh-CN"/>
        </w:rPr>
        <w:t>7</w:t>
      </w:r>
      <w:r>
        <w:rPr>
          <w:rFonts w:hint="eastAsia" w:ascii="宋体" w:hAnsi="宋体" w:eastAsia="宋体" w:cs="宋体"/>
          <w:sz w:val="24"/>
        </w:rPr>
        <w:t xml:space="preserve"> 法定代表人授权书（格式）</w:t>
      </w:r>
      <w:bookmarkEnd w:id="68"/>
    </w:p>
    <w:p w14:paraId="3D01B7DA">
      <w:pPr>
        <w:snapToGrid w:val="0"/>
        <w:spacing w:line="360" w:lineRule="auto"/>
        <w:ind w:firstLine="480" w:firstLineChars="200"/>
        <w:rPr>
          <w:rFonts w:hint="eastAsia" w:ascii="宋体" w:hAnsi="宋体" w:eastAsia="宋体" w:cs="宋体"/>
          <w:sz w:val="24"/>
        </w:rPr>
      </w:pPr>
      <w:bookmarkStart w:id="69" w:name="_Toc31857"/>
      <w:r>
        <w:rPr>
          <w:rFonts w:hint="eastAsia" w:ascii="宋体" w:hAnsi="宋体" w:eastAsia="宋体" w:cs="宋体"/>
          <w:sz w:val="24"/>
        </w:rPr>
        <w:t>附件</w:t>
      </w:r>
      <w:r>
        <w:rPr>
          <w:rFonts w:hint="eastAsia" w:ascii="宋体" w:hAnsi="宋体" w:cs="宋体"/>
          <w:sz w:val="24"/>
          <w:lang w:val="en-US" w:eastAsia="zh-CN"/>
        </w:rPr>
        <w:t>8</w:t>
      </w:r>
      <w:r>
        <w:rPr>
          <w:rFonts w:hint="eastAsia" w:ascii="宋体" w:hAnsi="宋体" w:eastAsia="宋体" w:cs="宋体"/>
          <w:sz w:val="24"/>
        </w:rPr>
        <w:t xml:space="preserve"> 证明文件</w:t>
      </w:r>
      <w:bookmarkEnd w:id="69"/>
    </w:p>
    <w:p w14:paraId="70E5BE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附件</w:t>
      </w:r>
      <w:r>
        <w:rPr>
          <w:rFonts w:hint="eastAsia" w:ascii="宋体" w:hAnsi="宋体" w:cs="宋体"/>
          <w:sz w:val="24"/>
          <w:lang w:val="en-US" w:eastAsia="zh-CN"/>
        </w:rPr>
        <w:t>9</w:t>
      </w:r>
      <w:r>
        <w:rPr>
          <w:rFonts w:hint="eastAsia" w:ascii="宋体" w:hAnsi="宋体" w:eastAsia="宋体" w:cs="宋体"/>
          <w:sz w:val="24"/>
        </w:rPr>
        <w:t xml:space="preserve"> 供应商信用承诺函（格式）</w:t>
      </w:r>
    </w:p>
    <w:p w14:paraId="38BC2C1E">
      <w:pPr>
        <w:snapToGrid w:val="0"/>
        <w:spacing w:line="360" w:lineRule="auto"/>
        <w:ind w:firstLine="480" w:firstLineChars="200"/>
        <w:rPr>
          <w:rFonts w:hint="eastAsia" w:ascii="宋体" w:hAnsi="宋体" w:eastAsia="宋体" w:cs="宋体"/>
          <w:sz w:val="24"/>
        </w:rPr>
      </w:pPr>
    </w:p>
    <w:p w14:paraId="25F547DA">
      <w:pPr>
        <w:pStyle w:val="31"/>
        <w:ind w:firstLine="210"/>
        <w:rPr>
          <w:rFonts w:hint="eastAsia" w:ascii="宋体" w:hAnsi="宋体" w:eastAsia="宋体" w:cs="宋体"/>
        </w:rPr>
      </w:pPr>
    </w:p>
    <w:p w14:paraId="4DD23E93">
      <w:pPr>
        <w:widowControl/>
        <w:wordWrap w:val="0"/>
        <w:snapToGrid w:val="0"/>
        <w:spacing w:line="460" w:lineRule="exact"/>
        <w:ind w:firstLine="482" w:firstLineChars="200"/>
        <w:jc w:val="center"/>
        <w:rPr>
          <w:rFonts w:hint="eastAsia" w:ascii="宋体" w:hAnsi="宋体" w:eastAsia="宋体" w:cs="宋体"/>
          <w:b/>
          <w:bCs/>
          <w:kern w:val="0"/>
          <w:sz w:val="24"/>
        </w:rPr>
      </w:pPr>
    </w:p>
    <w:p w14:paraId="15B77914">
      <w:pPr>
        <w:widowControl/>
        <w:wordWrap w:val="0"/>
        <w:snapToGrid w:val="0"/>
        <w:spacing w:line="460" w:lineRule="exact"/>
        <w:ind w:firstLine="482" w:firstLineChars="200"/>
        <w:jc w:val="center"/>
        <w:rPr>
          <w:rFonts w:hint="eastAsia" w:ascii="宋体" w:hAnsi="宋体" w:eastAsia="宋体" w:cs="宋体"/>
          <w:b/>
          <w:bCs/>
          <w:kern w:val="0"/>
          <w:sz w:val="24"/>
        </w:rPr>
      </w:pPr>
    </w:p>
    <w:p w14:paraId="3AACA86B">
      <w:pPr>
        <w:widowControl/>
        <w:wordWrap w:val="0"/>
        <w:snapToGrid w:val="0"/>
        <w:spacing w:line="460" w:lineRule="exact"/>
        <w:ind w:firstLine="482" w:firstLineChars="200"/>
        <w:jc w:val="center"/>
        <w:rPr>
          <w:rFonts w:hint="eastAsia" w:ascii="宋体" w:hAnsi="宋体" w:eastAsia="宋体" w:cs="宋体"/>
          <w:b/>
          <w:bCs/>
          <w:kern w:val="0"/>
          <w:sz w:val="24"/>
        </w:rPr>
      </w:pPr>
    </w:p>
    <w:p w14:paraId="0CC5D489">
      <w:pPr>
        <w:pStyle w:val="3"/>
        <w:rPr>
          <w:rFonts w:hint="eastAsia" w:ascii="宋体" w:hAnsi="宋体" w:eastAsia="宋体" w:cs="宋体"/>
          <w:b/>
          <w:bCs/>
          <w:kern w:val="0"/>
          <w:sz w:val="24"/>
        </w:rPr>
      </w:pPr>
    </w:p>
    <w:p w14:paraId="1C774012">
      <w:pPr>
        <w:pStyle w:val="4"/>
        <w:rPr>
          <w:rFonts w:hint="eastAsia" w:ascii="宋体" w:hAnsi="宋体" w:eastAsia="宋体" w:cs="宋体"/>
          <w:b/>
          <w:bCs/>
          <w:color w:val="auto"/>
        </w:rPr>
      </w:pPr>
    </w:p>
    <w:p w14:paraId="25E1C423">
      <w:pPr>
        <w:pStyle w:val="4"/>
        <w:rPr>
          <w:rFonts w:hint="eastAsia" w:ascii="宋体" w:hAnsi="宋体" w:eastAsia="宋体" w:cs="宋体"/>
          <w:b/>
          <w:bCs/>
          <w:color w:val="auto"/>
        </w:rPr>
      </w:pPr>
    </w:p>
    <w:p w14:paraId="612E4522">
      <w:pPr>
        <w:rPr>
          <w:rFonts w:hint="eastAsia" w:ascii="宋体" w:hAnsi="宋体" w:eastAsia="宋体" w:cs="宋体"/>
        </w:rPr>
      </w:pPr>
      <w:r>
        <w:rPr>
          <w:rFonts w:hint="eastAsia" w:ascii="宋体" w:hAnsi="宋体" w:eastAsia="宋体" w:cs="宋体"/>
        </w:rPr>
        <w:br w:type="page"/>
      </w:r>
    </w:p>
    <w:p w14:paraId="471F2210">
      <w:pPr>
        <w:pStyle w:val="26"/>
        <w:rPr>
          <w:rFonts w:hint="eastAsia" w:ascii="宋体" w:hAnsi="宋体" w:eastAsia="宋体" w:cs="宋体"/>
        </w:rPr>
      </w:pPr>
    </w:p>
    <w:p w14:paraId="106A8B32">
      <w:pPr>
        <w:pStyle w:val="6"/>
        <w:snapToGrid w:val="0"/>
        <w:spacing w:before="20" w:after="20" w:line="360" w:lineRule="auto"/>
        <w:rPr>
          <w:rFonts w:hint="eastAsia" w:ascii="宋体" w:hAnsi="宋体" w:eastAsia="宋体" w:cs="宋体"/>
          <w:sz w:val="28"/>
          <w:szCs w:val="28"/>
        </w:rPr>
      </w:pPr>
      <w:bookmarkStart w:id="70" w:name="_Toc24743"/>
      <w:bookmarkStart w:id="71" w:name="_Toc31798"/>
      <w:r>
        <w:rPr>
          <w:rFonts w:hint="eastAsia" w:ascii="宋体" w:hAnsi="宋体" w:eastAsia="宋体" w:cs="宋体"/>
          <w:sz w:val="28"/>
          <w:szCs w:val="28"/>
        </w:rPr>
        <w:t>附件1               响应文件封面（格式）</w:t>
      </w:r>
      <w:bookmarkEnd w:id="70"/>
      <w:bookmarkEnd w:id="71"/>
    </w:p>
    <w:p w14:paraId="626AA64C">
      <w:pPr>
        <w:widowControl/>
        <w:wordWrap w:val="0"/>
        <w:spacing w:line="460" w:lineRule="exact"/>
        <w:ind w:firstLine="482" w:firstLineChars="200"/>
        <w:jc w:val="center"/>
        <w:rPr>
          <w:rFonts w:hint="eastAsia" w:ascii="宋体" w:hAnsi="宋体" w:eastAsia="宋体" w:cs="宋体"/>
          <w:b/>
          <w:kern w:val="0"/>
          <w:sz w:val="24"/>
        </w:rPr>
      </w:pPr>
    </w:p>
    <w:p w14:paraId="307AA719">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napToGrid w:val="0"/>
          <w:kern w:val="0"/>
          <w:sz w:val="44"/>
          <w:szCs w:val="44"/>
        </w:rPr>
        <w:t>驻马店市中心医院</w:t>
      </w:r>
      <w:r>
        <w:rPr>
          <w:rFonts w:hint="eastAsia" w:ascii="宋体" w:hAnsi="宋体" w:eastAsia="宋体" w:cs="宋体"/>
          <w:b/>
          <w:snapToGrid w:val="0"/>
          <w:kern w:val="0"/>
          <w:sz w:val="44"/>
          <w:szCs w:val="44"/>
          <w:u w:val="single"/>
        </w:rPr>
        <w:t xml:space="preserve">      </w:t>
      </w:r>
      <w:r>
        <w:rPr>
          <w:rFonts w:hint="eastAsia" w:ascii="宋体" w:hAnsi="宋体" w:eastAsia="宋体" w:cs="宋体"/>
          <w:b/>
          <w:snapToGrid w:val="0"/>
          <w:kern w:val="0"/>
          <w:sz w:val="44"/>
          <w:szCs w:val="44"/>
        </w:rPr>
        <w:t>项目</w:t>
      </w:r>
    </w:p>
    <w:p w14:paraId="6C693CBA">
      <w:pPr>
        <w:snapToGrid w:val="0"/>
        <w:spacing w:line="360" w:lineRule="auto"/>
        <w:jc w:val="center"/>
        <w:rPr>
          <w:rFonts w:hint="eastAsia" w:ascii="宋体" w:hAnsi="宋体" w:eastAsia="宋体" w:cs="宋体"/>
          <w:b/>
          <w:spacing w:val="90"/>
          <w:sz w:val="52"/>
          <w:szCs w:val="52"/>
        </w:rPr>
      </w:pPr>
      <w:r>
        <w:rPr>
          <w:rFonts w:hint="eastAsia" w:ascii="宋体" w:hAnsi="宋体" w:eastAsia="宋体" w:cs="宋体"/>
          <w:b/>
          <w:spacing w:val="90"/>
          <w:sz w:val="52"/>
          <w:szCs w:val="52"/>
        </w:rPr>
        <w:t>响应文件</w:t>
      </w:r>
    </w:p>
    <w:p w14:paraId="1C4B92D3">
      <w:pPr>
        <w:spacing w:line="360" w:lineRule="auto"/>
        <w:rPr>
          <w:rFonts w:hint="eastAsia" w:ascii="宋体" w:hAnsi="宋体" w:eastAsia="宋体" w:cs="宋体"/>
          <w:sz w:val="28"/>
        </w:rPr>
      </w:pPr>
    </w:p>
    <w:p w14:paraId="1A4C67D2">
      <w:pPr>
        <w:pStyle w:val="4"/>
        <w:spacing w:line="360" w:lineRule="auto"/>
        <w:rPr>
          <w:rFonts w:hint="eastAsia" w:ascii="宋体" w:hAnsi="宋体" w:eastAsia="宋体" w:cs="宋体"/>
          <w:color w:val="auto"/>
        </w:rPr>
      </w:pPr>
    </w:p>
    <w:p w14:paraId="00379B7D">
      <w:pPr>
        <w:pStyle w:val="4"/>
        <w:spacing w:line="360" w:lineRule="auto"/>
        <w:rPr>
          <w:rFonts w:hint="eastAsia" w:ascii="宋体" w:hAnsi="宋体" w:eastAsia="宋体" w:cs="宋体"/>
          <w:color w:val="auto"/>
        </w:rPr>
      </w:pPr>
    </w:p>
    <w:p w14:paraId="7054C6BA">
      <w:pPr>
        <w:spacing w:line="360" w:lineRule="auto"/>
        <w:rPr>
          <w:rFonts w:hint="eastAsia" w:ascii="宋体" w:hAnsi="宋体" w:eastAsia="宋体" w:cs="宋体"/>
          <w:sz w:val="28"/>
        </w:rPr>
      </w:pPr>
    </w:p>
    <w:p w14:paraId="7F58AFE0">
      <w:pPr>
        <w:spacing w:line="360" w:lineRule="auto"/>
        <w:rPr>
          <w:rFonts w:hint="eastAsia" w:ascii="宋体" w:hAnsi="宋体" w:eastAsia="宋体" w:cs="宋体"/>
          <w:sz w:val="28"/>
        </w:rPr>
      </w:pPr>
    </w:p>
    <w:p w14:paraId="08601898">
      <w:pPr>
        <w:spacing w:line="360" w:lineRule="auto"/>
        <w:rPr>
          <w:rFonts w:hint="eastAsia" w:ascii="宋体" w:hAnsi="宋体" w:eastAsia="宋体" w:cs="宋体"/>
          <w:sz w:val="28"/>
        </w:rPr>
      </w:pPr>
    </w:p>
    <w:p w14:paraId="699C2834">
      <w:pPr>
        <w:spacing w:line="360" w:lineRule="auto"/>
        <w:rPr>
          <w:rFonts w:hint="eastAsia" w:ascii="宋体" w:hAnsi="宋体" w:eastAsia="宋体" w:cs="宋体"/>
          <w:sz w:val="28"/>
        </w:rPr>
      </w:pPr>
    </w:p>
    <w:p w14:paraId="26BF3A72">
      <w:pPr>
        <w:spacing w:line="360" w:lineRule="auto"/>
        <w:rPr>
          <w:rFonts w:hint="eastAsia" w:ascii="宋体" w:hAnsi="宋体" w:eastAsia="宋体" w:cs="宋体"/>
          <w:sz w:val="28"/>
        </w:rPr>
      </w:pPr>
    </w:p>
    <w:p w14:paraId="1131DBF1">
      <w:pPr>
        <w:pStyle w:val="22"/>
        <w:rPr>
          <w:rFonts w:hint="eastAsia" w:ascii="宋体" w:hAnsi="宋体" w:eastAsia="宋体" w:cs="宋体"/>
          <w:sz w:val="28"/>
        </w:rPr>
      </w:pPr>
    </w:p>
    <w:p w14:paraId="40CF6CB1">
      <w:pPr>
        <w:pStyle w:val="22"/>
        <w:rPr>
          <w:rFonts w:hint="eastAsia" w:ascii="宋体" w:hAnsi="宋体" w:eastAsia="宋体" w:cs="宋体"/>
          <w:sz w:val="28"/>
        </w:rPr>
      </w:pPr>
    </w:p>
    <w:p w14:paraId="7089885B">
      <w:pPr>
        <w:pStyle w:val="22"/>
        <w:rPr>
          <w:rFonts w:hint="eastAsia" w:ascii="宋体" w:hAnsi="宋体" w:eastAsia="宋体" w:cs="宋体"/>
          <w:sz w:val="28"/>
        </w:rPr>
      </w:pPr>
    </w:p>
    <w:p w14:paraId="674104E4">
      <w:pPr>
        <w:spacing w:line="360" w:lineRule="auto"/>
        <w:rPr>
          <w:rFonts w:hint="eastAsia" w:ascii="宋体" w:hAnsi="宋体" w:eastAsia="宋体" w:cs="宋体"/>
          <w:sz w:val="28"/>
        </w:rPr>
      </w:pPr>
    </w:p>
    <w:p w14:paraId="44658627">
      <w:pPr>
        <w:spacing w:line="360" w:lineRule="auto"/>
        <w:jc w:val="center"/>
        <w:rPr>
          <w:rFonts w:hint="eastAsia" w:ascii="宋体" w:hAnsi="宋体" w:eastAsia="宋体" w:cs="宋体"/>
          <w:sz w:val="28"/>
          <w:szCs w:val="28"/>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ascii="宋体" w:hAnsi="宋体" w:eastAsia="宋体" w:cs="宋体"/>
          <w:sz w:val="28"/>
          <w:szCs w:val="28"/>
        </w:rPr>
        <w:t>（全称并加盖公章）</w:t>
      </w:r>
    </w:p>
    <w:p w14:paraId="05D87285">
      <w:pPr>
        <w:widowControl/>
        <w:wordWrap w:val="0"/>
        <w:spacing w:line="460" w:lineRule="exact"/>
        <w:jc w:val="center"/>
        <w:rPr>
          <w:rFonts w:hint="eastAsia" w:ascii="宋体" w:hAnsi="宋体" w:eastAsia="宋体" w:cs="宋体"/>
          <w:sz w:val="28"/>
          <w:szCs w:val="28"/>
          <w:u w:val="single"/>
        </w:rPr>
      </w:pPr>
      <w:r>
        <w:rPr>
          <w:rFonts w:hint="eastAsia" w:ascii="宋体" w:hAnsi="宋体" w:eastAsia="宋体" w:cs="宋体"/>
          <w:sz w:val="28"/>
          <w:szCs w:val="28"/>
        </w:rPr>
        <w:t>法定代表人或委托代理人（签字或盖章）：</w:t>
      </w:r>
      <w:r>
        <w:rPr>
          <w:rFonts w:hint="eastAsia" w:ascii="宋体" w:hAnsi="宋体" w:eastAsia="宋体" w:cs="宋体"/>
          <w:sz w:val="28"/>
          <w:szCs w:val="28"/>
          <w:u w:val="single"/>
        </w:rPr>
        <w:t xml:space="preserve">       </w:t>
      </w:r>
    </w:p>
    <w:p w14:paraId="5BADFE74">
      <w:pPr>
        <w:widowControl/>
        <w:wordWrap w:val="0"/>
        <w:spacing w:line="460" w:lineRule="exact"/>
        <w:jc w:val="center"/>
        <w:rPr>
          <w:rFonts w:hint="eastAsia" w:ascii="宋体" w:hAnsi="宋体" w:eastAsia="宋体" w:cs="宋体"/>
          <w:b/>
          <w:kern w:val="0"/>
          <w:sz w:val="24"/>
        </w:rPr>
      </w:pPr>
      <w:r>
        <w:rPr>
          <w:rFonts w:hint="eastAsia" w:ascii="宋体" w:hAnsi="宋体" w:eastAsia="宋体" w:cs="宋体"/>
          <w:sz w:val="28"/>
          <w:szCs w:val="28"/>
        </w:rPr>
        <w:t>年   月   日</w:t>
      </w:r>
    </w:p>
    <w:p w14:paraId="3D079370">
      <w:pPr>
        <w:widowControl/>
        <w:wordWrap w:val="0"/>
        <w:spacing w:line="460" w:lineRule="exact"/>
        <w:ind w:firstLine="482" w:firstLineChars="200"/>
        <w:jc w:val="left"/>
        <w:rPr>
          <w:rFonts w:hint="eastAsia" w:ascii="宋体" w:hAnsi="宋体" w:eastAsia="宋体" w:cs="宋体"/>
          <w:b/>
          <w:kern w:val="0"/>
          <w:sz w:val="24"/>
        </w:rPr>
      </w:pPr>
    </w:p>
    <w:p w14:paraId="66B00DB8">
      <w:pPr>
        <w:pStyle w:val="3"/>
        <w:rPr>
          <w:rFonts w:hint="eastAsia" w:ascii="宋体" w:hAnsi="宋体" w:eastAsia="宋体" w:cs="宋体"/>
          <w:b/>
          <w:kern w:val="0"/>
          <w:sz w:val="24"/>
        </w:rPr>
      </w:pPr>
    </w:p>
    <w:p w14:paraId="0B0B4A7A">
      <w:pPr>
        <w:rPr>
          <w:rFonts w:hint="eastAsia" w:ascii="宋体" w:hAnsi="宋体" w:eastAsia="宋体" w:cs="宋体"/>
          <w:b/>
          <w:kern w:val="0"/>
          <w:sz w:val="24"/>
        </w:rPr>
      </w:pPr>
      <w:r>
        <w:rPr>
          <w:rFonts w:hint="eastAsia" w:ascii="宋体" w:hAnsi="宋体" w:eastAsia="宋体" w:cs="宋体"/>
          <w:b/>
          <w:kern w:val="0"/>
          <w:sz w:val="24"/>
        </w:rPr>
        <w:br w:type="page"/>
      </w:r>
    </w:p>
    <w:p w14:paraId="4B34DCBF">
      <w:pPr>
        <w:pStyle w:val="6"/>
        <w:keepNext w:val="0"/>
        <w:snapToGrid w:val="0"/>
        <w:spacing w:before="20" w:after="20" w:line="360" w:lineRule="auto"/>
        <w:jc w:val="center"/>
        <w:rPr>
          <w:rFonts w:hint="eastAsia" w:ascii="宋体" w:hAnsi="宋体" w:eastAsia="宋体" w:cs="宋体"/>
          <w:sz w:val="28"/>
          <w:szCs w:val="28"/>
        </w:rPr>
      </w:pPr>
      <w:bookmarkStart w:id="72" w:name="_Toc14560"/>
      <w:bookmarkStart w:id="73" w:name="_Toc8818"/>
      <w:r>
        <w:rPr>
          <w:rFonts w:hint="eastAsia" w:ascii="宋体" w:hAnsi="宋体" w:eastAsia="宋体" w:cs="宋体"/>
          <w:sz w:val="28"/>
          <w:szCs w:val="28"/>
        </w:rPr>
        <w:t>附件2      竞争性磋商响应书（格式）</w:t>
      </w:r>
      <w:bookmarkEnd w:id="72"/>
      <w:bookmarkEnd w:id="73"/>
    </w:p>
    <w:p w14:paraId="46056E97">
      <w:pPr>
        <w:wordWrap w:val="0"/>
        <w:snapToGrid w:val="0"/>
        <w:spacing w:line="460" w:lineRule="exact"/>
        <w:jc w:val="left"/>
        <w:rPr>
          <w:rFonts w:hint="eastAsia" w:ascii="宋体" w:hAnsi="宋体" w:eastAsia="宋体" w:cs="宋体"/>
          <w:kern w:val="0"/>
          <w:szCs w:val="21"/>
        </w:rPr>
      </w:pPr>
      <w:r>
        <w:rPr>
          <w:rFonts w:hint="eastAsia" w:ascii="宋体" w:hAnsi="宋体" w:eastAsia="宋体" w:cs="宋体"/>
          <w:kern w:val="0"/>
          <w:szCs w:val="21"/>
        </w:rPr>
        <w:t>致：</w:t>
      </w:r>
      <w:r>
        <w:rPr>
          <w:rFonts w:hint="eastAsia" w:ascii="宋体" w:hAnsi="宋体" w:eastAsia="宋体" w:cs="宋体"/>
          <w:kern w:val="0"/>
          <w:szCs w:val="21"/>
          <w:u w:val="single"/>
        </w:rPr>
        <w:t xml:space="preserve"> （采购人名称）</w:t>
      </w:r>
      <w:r>
        <w:rPr>
          <w:rFonts w:hint="eastAsia" w:ascii="宋体" w:hAnsi="宋体" w:eastAsia="宋体" w:cs="宋体"/>
          <w:kern w:val="0"/>
          <w:szCs w:val="21"/>
        </w:rPr>
        <w:t>：</w:t>
      </w:r>
    </w:p>
    <w:p w14:paraId="59708393">
      <w:pPr>
        <w:wordWrap w:val="0"/>
        <w:spacing w:line="460" w:lineRule="exact"/>
        <w:ind w:firstLine="525" w:firstLineChars="250"/>
        <w:jc w:val="left"/>
        <w:rPr>
          <w:rFonts w:hint="eastAsia" w:ascii="宋体" w:hAnsi="宋体" w:eastAsia="宋体" w:cs="宋体"/>
          <w:kern w:val="0"/>
          <w:szCs w:val="21"/>
        </w:rPr>
      </w:pPr>
      <w:r>
        <w:rPr>
          <w:rFonts w:hint="eastAsia" w:ascii="宋体" w:hAnsi="宋体" w:eastAsia="宋体" w:cs="宋体"/>
          <w:kern w:val="0"/>
          <w:szCs w:val="21"/>
          <w:u w:val="single"/>
        </w:rPr>
        <w:t xml:space="preserve">        （供应商名称）</w:t>
      </w:r>
      <w:r>
        <w:rPr>
          <w:rFonts w:hint="eastAsia" w:ascii="宋体" w:hAnsi="宋体" w:eastAsia="宋体" w:cs="宋体"/>
          <w:kern w:val="0"/>
          <w:szCs w:val="21"/>
        </w:rPr>
        <w:t xml:space="preserve">现委托 </w:t>
      </w:r>
      <w:r>
        <w:rPr>
          <w:rFonts w:hint="eastAsia" w:ascii="宋体" w:hAnsi="宋体" w:eastAsia="宋体" w:cs="宋体"/>
          <w:kern w:val="0"/>
          <w:szCs w:val="21"/>
          <w:u w:val="single"/>
        </w:rPr>
        <w:t xml:space="preserve">        </w:t>
      </w:r>
      <w:r>
        <w:rPr>
          <w:rFonts w:hint="eastAsia" w:ascii="宋体" w:hAnsi="宋体" w:eastAsia="宋体" w:cs="宋体"/>
          <w:kern w:val="0"/>
          <w:szCs w:val="21"/>
        </w:rPr>
        <w:t>（姓名）为我方代理人，参加贵方组织的</w:t>
      </w:r>
      <w:r>
        <w:rPr>
          <w:rFonts w:hint="eastAsia" w:ascii="宋体" w:hAnsi="宋体" w:eastAsia="宋体" w:cs="宋体"/>
          <w:kern w:val="0"/>
          <w:szCs w:val="21"/>
          <w:u w:val="single"/>
        </w:rPr>
        <w:t xml:space="preserve">        </w:t>
      </w:r>
      <w:r>
        <w:rPr>
          <w:rFonts w:hint="eastAsia" w:ascii="宋体" w:hAnsi="宋体" w:eastAsia="宋体" w:cs="宋体"/>
          <w:kern w:val="0"/>
          <w:szCs w:val="21"/>
        </w:rPr>
        <w:t>项目的磋商。现正式提交下述文件1份：</w:t>
      </w:r>
    </w:p>
    <w:p w14:paraId="4C748DBF">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1、初次报价一览表。</w:t>
      </w:r>
    </w:p>
    <w:p w14:paraId="2E6EAF15">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2、技术响应表。</w:t>
      </w:r>
    </w:p>
    <w:p w14:paraId="673F722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3、商务响应表。</w:t>
      </w:r>
    </w:p>
    <w:p w14:paraId="080BEF0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4、证明文件。</w:t>
      </w:r>
    </w:p>
    <w:p w14:paraId="4CDCDE37">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为便于贵方公正、择优地确定成交供应商，我方就本次投标有关事项郑重声明并宣布同意如下：</w:t>
      </w:r>
    </w:p>
    <w:p w14:paraId="5045D08D">
      <w:pPr>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我方承诺已经具备竞争性磋商文件中规定的参加政府采购活动的供应商应当具备的条件。我方愿意向贵方提供任何与本采购项目投标有关的数据、情况和技术资料，并根据需要提供一切承诺的证明材料，并保证其真实、合法、有效。</w:t>
      </w:r>
    </w:p>
    <w:p w14:paraId="215E92A2">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2、我方承诺在磋商活动中提供的各种材料真实有效。</w:t>
      </w:r>
    </w:p>
    <w:p w14:paraId="442C096C">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3、我方同意在响应文件有效期内遵守本响应文件中的承诺且在此期限期满之前均具有约束力。如果我方成交，响应文件有效期与合同履行期相同。</w:t>
      </w:r>
    </w:p>
    <w:p w14:paraId="68725364">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4、我方已详细审查全部竞争性磋商文件，包括修改文件（如有的话）和有关附件，将自行承担因对全部竞争性磋商文件理解不正确或误解而产生的相应后果。</w:t>
      </w:r>
    </w:p>
    <w:p w14:paraId="04F61765">
      <w:pPr>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5、我方保证尊重磋商小组的评审结果，完全理解本采购项目最低投标价不作为成交的保证。</w:t>
      </w:r>
    </w:p>
    <w:p w14:paraId="6FEC3F07">
      <w:pPr>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6、我方理解并遵守竞争性磋商文件的全部规定，接受竞争性磋商文件中政府采购合同的全部条款且无任何异议。</w:t>
      </w:r>
    </w:p>
    <w:p w14:paraId="553AD85E">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7、如果我方代表</w:t>
      </w:r>
      <w:r>
        <w:rPr>
          <w:rFonts w:hint="eastAsia" w:ascii="宋体" w:hAnsi="宋体" w:eastAsia="宋体" w:cs="宋体"/>
          <w:bCs/>
          <w:kern w:val="0"/>
          <w:szCs w:val="21"/>
        </w:rPr>
        <w:t>未按时参加开标的，视同放弃开标监督权利，认可开标结果。</w:t>
      </w:r>
    </w:p>
    <w:p w14:paraId="4D8B6C7C">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8、如果我方存在供应商须知第9.3项所述情况，同意被认定为在经营活动中有重大违法记录。</w:t>
      </w:r>
    </w:p>
    <w:p w14:paraId="78CD9ED2">
      <w:pPr>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9、如果发生供应商须知第25.4.1、25.4.3项所述情况，同意我方投标被作为无效磋商处理。</w:t>
      </w:r>
    </w:p>
    <w:p w14:paraId="0352CCF6">
      <w:pPr>
        <w:wordWrap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10、如果发生供应商须知第25.5项所述情况，同意磋商小组认定我方的行为属于串通投标的行为，并自愿接受监管部门的处罚。</w:t>
      </w:r>
    </w:p>
    <w:p w14:paraId="1A8DB7C9">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11、如果现场变更采购方式，我方同意在不改变采购需求、资质条件等情况下，按变更后的采购方式的规定程序进行采购。</w:t>
      </w:r>
    </w:p>
    <w:p w14:paraId="49D05943">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12、如果被确定为成交供应商，我方同意按竞争性磋商文件的规定领取成交通知书并缴纳服务费。否则，视为我方成交后自动放弃成交资格，承担由此引起的一切后果。</w:t>
      </w:r>
    </w:p>
    <w:p w14:paraId="58FD3582">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13、如果被确定为成交供应商，我方同意在领取成交通知书之日起</w:t>
      </w:r>
      <w:r>
        <w:rPr>
          <w:rFonts w:hint="eastAsia" w:ascii="宋体" w:hAnsi="宋体" w:eastAsia="宋体" w:cs="宋体"/>
          <w:kern w:val="0"/>
          <w:szCs w:val="21"/>
          <w:u w:val="single"/>
        </w:rPr>
        <w:t xml:space="preserve"> 30  </w:t>
      </w:r>
      <w:r>
        <w:rPr>
          <w:rFonts w:hint="eastAsia" w:ascii="宋体" w:hAnsi="宋体" w:eastAsia="宋体" w:cs="宋体"/>
          <w:kern w:val="0"/>
          <w:szCs w:val="21"/>
        </w:rPr>
        <w:t>日内，按照竞争性磋商文件的规定与采购人签订采购合同。否则，视为我方成交后无正当理由不与采购人签订合同并承担相应法律责任。</w:t>
      </w:r>
    </w:p>
    <w:p w14:paraId="04FA91B9">
      <w:pPr>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14、我方最近3年内的被公开披露或查处的违法违规行为有：</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b/>
          <w:bCs/>
          <w:kern w:val="0"/>
          <w:szCs w:val="21"/>
        </w:rPr>
        <w:t>（若无，则填无；若有，逐一列明）</w:t>
      </w:r>
    </w:p>
    <w:p w14:paraId="1BB5235A">
      <w:pPr>
        <w:tabs>
          <w:tab w:val="left" w:pos="939"/>
        </w:tabs>
        <w:wordWrap w:val="0"/>
        <w:snapToGrid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15、以上事项如有虚假或隐瞒，我方愿意承担一切后果和责任。</w:t>
      </w:r>
    </w:p>
    <w:p w14:paraId="0F19EF91">
      <w:pPr>
        <w:wordWrap w:val="0"/>
        <w:spacing w:line="460" w:lineRule="exact"/>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16、与磋商有关的一切正式往来通讯请寄（地址电话必须为最新并可以联系到）：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地址：      邮编：</w:t>
      </w:r>
    </w:p>
    <w:p w14:paraId="6578DE2C">
      <w:pPr>
        <w:wordWrap w:val="0"/>
        <w:spacing w:line="460" w:lineRule="exact"/>
        <w:ind w:firstLine="420" w:firstLineChars="200"/>
        <w:jc w:val="left"/>
        <w:rPr>
          <w:rFonts w:hint="eastAsia" w:ascii="宋体" w:hAnsi="宋体" w:eastAsia="宋体" w:cs="宋体"/>
          <w:kern w:val="0"/>
          <w:szCs w:val="21"/>
          <w:u w:val="single"/>
        </w:rPr>
      </w:pPr>
      <w:r>
        <w:rPr>
          <w:rFonts w:hint="eastAsia" w:ascii="宋体" w:hAnsi="宋体" w:eastAsia="宋体" w:cs="宋体"/>
          <w:kern w:val="0"/>
          <w:szCs w:val="21"/>
        </w:rPr>
        <w:t xml:space="preserve">   电话：      传真：</w:t>
      </w:r>
    </w:p>
    <w:p w14:paraId="68F0363E">
      <w:pPr>
        <w:wordWrap w:val="0"/>
        <w:spacing w:line="460" w:lineRule="exact"/>
        <w:ind w:firstLine="420" w:firstLineChars="200"/>
        <w:jc w:val="left"/>
        <w:rPr>
          <w:rFonts w:hint="eastAsia" w:ascii="宋体" w:hAnsi="宋体" w:eastAsia="宋体" w:cs="宋体"/>
          <w:kern w:val="0"/>
          <w:szCs w:val="21"/>
        </w:rPr>
      </w:pPr>
    </w:p>
    <w:p w14:paraId="625DD6D1">
      <w:pPr>
        <w:wordWrap w:val="0"/>
        <w:spacing w:line="460" w:lineRule="exact"/>
        <w:ind w:firstLine="735" w:firstLineChars="350"/>
        <w:jc w:val="left"/>
        <w:rPr>
          <w:rFonts w:hint="eastAsia" w:ascii="宋体" w:hAnsi="宋体" w:eastAsia="宋体" w:cs="宋体"/>
          <w:kern w:val="0"/>
          <w:szCs w:val="21"/>
          <w:u w:val="single"/>
        </w:rPr>
      </w:pPr>
      <w:r>
        <w:rPr>
          <w:rFonts w:hint="eastAsia" w:ascii="宋体" w:hAnsi="宋体" w:eastAsia="宋体" w:cs="宋体"/>
          <w:szCs w:val="21"/>
        </w:rPr>
        <w:t>法定代表人或委托代理人（签字</w:t>
      </w:r>
      <w:r>
        <w:rPr>
          <w:rFonts w:hint="eastAsia" w:ascii="宋体" w:hAnsi="宋体" w:eastAsia="宋体" w:cs="宋体"/>
          <w:kern w:val="0"/>
          <w:szCs w:val="21"/>
        </w:rPr>
        <w:t>或盖章</w:t>
      </w:r>
      <w:r>
        <w:rPr>
          <w:rFonts w:hint="eastAsia" w:ascii="宋体" w:hAnsi="宋体" w:eastAsia="宋体" w:cs="宋体"/>
          <w:szCs w:val="21"/>
        </w:rPr>
        <w:t>）</w:t>
      </w:r>
      <w:r>
        <w:rPr>
          <w:rFonts w:hint="eastAsia" w:ascii="宋体" w:hAnsi="宋体" w:eastAsia="宋体" w:cs="宋体"/>
          <w:kern w:val="0"/>
          <w:szCs w:val="21"/>
        </w:rPr>
        <w:t>：</w:t>
      </w:r>
      <w:r>
        <w:rPr>
          <w:rFonts w:hint="eastAsia" w:ascii="宋体" w:hAnsi="宋体" w:eastAsia="宋体" w:cs="宋体"/>
          <w:szCs w:val="21"/>
          <w:u w:val="single"/>
        </w:rPr>
        <w:t xml:space="preserve">             </w:t>
      </w:r>
    </w:p>
    <w:p w14:paraId="4506F827">
      <w:pPr>
        <w:wordWrap w:val="0"/>
        <w:spacing w:line="460" w:lineRule="exact"/>
        <w:ind w:firstLine="735" w:firstLineChars="350"/>
        <w:jc w:val="left"/>
        <w:rPr>
          <w:rFonts w:hint="eastAsia" w:ascii="宋体" w:hAnsi="宋体" w:eastAsia="宋体" w:cs="宋体"/>
          <w:szCs w:val="21"/>
        </w:rPr>
      </w:pPr>
      <w:r>
        <w:rPr>
          <w:rFonts w:hint="eastAsia" w:ascii="宋体" w:hAnsi="宋体" w:eastAsia="宋体" w:cs="宋体"/>
          <w:kern w:val="0"/>
          <w:szCs w:val="21"/>
        </w:rPr>
        <w:t xml:space="preserve"> </w:t>
      </w: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376ABD0C">
      <w:pPr>
        <w:wordWrap w:val="0"/>
        <w:spacing w:line="460" w:lineRule="exact"/>
        <w:ind w:firstLine="420" w:firstLineChars="200"/>
        <w:jc w:val="left"/>
        <w:rPr>
          <w:rFonts w:hint="eastAsia" w:ascii="宋体" w:hAnsi="宋体" w:eastAsia="宋体" w:cs="宋体"/>
          <w:kern w:val="0"/>
          <w:szCs w:val="21"/>
        </w:rPr>
      </w:pPr>
    </w:p>
    <w:p w14:paraId="14E336C6">
      <w:pPr>
        <w:snapToGrid w:val="0"/>
        <w:spacing w:line="460" w:lineRule="exact"/>
        <w:ind w:firstLine="1260" w:firstLineChars="600"/>
        <w:rPr>
          <w:rFonts w:hint="eastAsia" w:ascii="宋体" w:hAnsi="宋体" w:eastAsia="宋体" w:cs="宋体"/>
          <w:kern w:val="0"/>
          <w:sz w:val="24"/>
        </w:rPr>
      </w:pPr>
      <w:r>
        <w:rPr>
          <w:rFonts w:hint="eastAsia" w:ascii="宋体" w:hAnsi="宋体" w:eastAsia="宋体" w:cs="宋体"/>
          <w:kern w:val="0"/>
          <w:szCs w:val="21"/>
        </w:rPr>
        <w:t xml:space="preserve">年    月   日 </w:t>
      </w:r>
    </w:p>
    <w:p w14:paraId="6BB9135B">
      <w:pPr>
        <w:widowControl/>
        <w:wordWrap w:val="0"/>
        <w:snapToGrid w:val="0"/>
        <w:spacing w:before="50" w:after="50" w:line="480" w:lineRule="auto"/>
        <w:jc w:val="left"/>
        <w:rPr>
          <w:rFonts w:hint="eastAsia" w:ascii="宋体" w:hAnsi="宋体" w:eastAsia="宋体" w:cs="宋体"/>
          <w:b/>
          <w:kern w:val="0"/>
          <w:sz w:val="24"/>
        </w:rPr>
      </w:pPr>
    </w:p>
    <w:p w14:paraId="36288A90">
      <w:pPr>
        <w:spacing w:line="500" w:lineRule="exact"/>
        <w:jc w:val="center"/>
        <w:rPr>
          <w:rFonts w:hint="eastAsia" w:ascii="宋体" w:hAnsi="宋体" w:eastAsia="宋体" w:cs="宋体"/>
          <w:b/>
          <w:bCs/>
          <w:sz w:val="24"/>
        </w:rPr>
      </w:pPr>
    </w:p>
    <w:p w14:paraId="4C587D92">
      <w:pPr>
        <w:rPr>
          <w:rFonts w:hint="eastAsia" w:ascii="宋体" w:hAnsi="宋体" w:eastAsia="宋体" w:cs="宋体"/>
          <w:sz w:val="28"/>
          <w:szCs w:val="28"/>
        </w:rPr>
      </w:pPr>
      <w:r>
        <w:rPr>
          <w:rFonts w:hint="eastAsia" w:ascii="宋体" w:hAnsi="宋体" w:eastAsia="宋体" w:cs="宋体"/>
          <w:sz w:val="28"/>
          <w:szCs w:val="28"/>
        </w:rPr>
        <w:br w:type="page"/>
      </w:r>
    </w:p>
    <w:p w14:paraId="79D619E9">
      <w:pPr>
        <w:rPr>
          <w:rFonts w:hint="eastAsia" w:ascii="宋体" w:hAnsi="宋体" w:eastAsia="宋体" w:cs="宋体"/>
        </w:rPr>
      </w:pPr>
    </w:p>
    <w:p w14:paraId="25ACF19D">
      <w:pPr>
        <w:pStyle w:val="6"/>
        <w:snapToGrid w:val="0"/>
        <w:spacing w:before="20" w:after="20" w:line="360" w:lineRule="auto"/>
        <w:jc w:val="center"/>
        <w:rPr>
          <w:rFonts w:hint="eastAsia" w:ascii="宋体" w:hAnsi="宋体" w:eastAsia="宋体" w:cs="宋体"/>
          <w:sz w:val="28"/>
          <w:szCs w:val="28"/>
        </w:rPr>
      </w:pPr>
      <w:bookmarkStart w:id="74" w:name="_Toc7838"/>
      <w:r>
        <w:rPr>
          <w:rFonts w:hint="eastAsia" w:ascii="宋体" w:hAnsi="宋体" w:eastAsia="宋体" w:cs="宋体"/>
          <w:sz w:val="28"/>
          <w:szCs w:val="28"/>
        </w:rPr>
        <w:t>附件3        初次报价一览表</w:t>
      </w:r>
      <w:bookmarkEnd w:id="74"/>
      <w:r>
        <w:rPr>
          <w:rFonts w:hint="eastAsia" w:ascii="宋体" w:hAnsi="宋体" w:eastAsia="宋体" w:cs="宋体"/>
          <w:sz w:val="28"/>
          <w:szCs w:val="28"/>
        </w:rPr>
        <w:t>（格式）</w:t>
      </w:r>
    </w:p>
    <w:p w14:paraId="76BDD226">
      <w:pPr>
        <w:spacing w:line="239" w:lineRule="auto"/>
        <w:jc w:val="right"/>
        <w:rPr>
          <w:rFonts w:hint="eastAsia" w:ascii="宋体" w:hAnsi="宋体" w:eastAsia="宋体" w:cs="宋体"/>
          <w:sz w:val="24"/>
        </w:rPr>
      </w:pPr>
      <w:r>
        <w:rPr>
          <w:rFonts w:hint="eastAsia" w:ascii="宋体" w:hAnsi="宋体" w:eastAsia="宋体" w:cs="宋体"/>
          <w:sz w:val="24"/>
        </w:rPr>
        <w:t>单位：人民币（元）</w:t>
      </w:r>
    </w:p>
    <w:p w14:paraId="6B33EBE5">
      <w:pPr>
        <w:rPr>
          <w:rFonts w:hint="eastAsia" w:ascii="宋体" w:hAnsi="宋体" w:eastAsia="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EDA634">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项目名称</w:t>
            </w:r>
          </w:p>
        </w:tc>
        <w:tc>
          <w:tcPr>
            <w:tcW w:w="7708" w:type="dxa"/>
            <w:noWrap/>
            <w:vAlign w:val="center"/>
          </w:tcPr>
          <w:p w14:paraId="550DF607">
            <w:pPr>
              <w:rPr>
                <w:rFonts w:hint="eastAsia" w:ascii="宋体" w:hAnsi="宋体" w:eastAsia="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E9B63E4">
            <w:pPr>
              <w:widowControl/>
              <w:snapToGrid w:val="0"/>
              <w:spacing w:before="50" w:after="50"/>
              <w:jc w:val="center"/>
              <w:rPr>
                <w:rFonts w:hint="eastAsia" w:ascii="宋体" w:hAnsi="宋体" w:eastAsia="宋体" w:cs="宋体"/>
                <w:szCs w:val="21"/>
              </w:rPr>
            </w:pPr>
            <w:r>
              <w:rPr>
                <w:rFonts w:hint="eastAsia" w:ascii="宋体" w:hAnsi="宋体" w:eastAsia="宋体" w:cs="宋体"/>
                <w:kern w:val="0"/>
                <w:szCs w:val="21"/>
              </w:rPr>
              <w:t>供应商名称</w:t>
            </w:r>
          </w:p>
        </w:tc>
        <w:tc>
          <w:tcPr>
            <w:tcW w:w="7708" w:type="dxa"/>
            <w:noWrap/>
            <w:vAlign w:val="center"/>
          </w:tcPr>
          <w:p w14:paraId="4A53DA2D">
            <w:pPr>
              <w:rPr>
                <w:rFonts w:hint="eastAsia" w:ascii="宋体" w:hAnsi="宋体" w:eastAsia="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1348002">
            <w:pPr>
              <w:jc w:val="center"/>
              <w:rPr>
                <w:rFonts w:hint="eastAsia" w:ascii="宋体" w:hAnsi="宋体" w:eastAsia="宋体" w:cs="宋体"/>
                <w:spacing w:val="-20"/>
                <w:szCs w:val="21"/>
              </w:rPr>
            </w:pPr>
            <w:r>
              <w:rPr>
                <w:rFonts w:hint="eastAsia" w:ascii="宋体" w:hAnsi="宋体" w:eastAsia="宋体" w:cs="宋体"/>
                <w:szCs w:val="21"/>
              </w:rPr>
              <w:t>磋商报价</w:t>
            </w:r>
          </w:p>
        </w:tc>
        <w:tc>
          <w:tcPr>
            <w:tcW w:w="7708" w:type="dxa"/>
            <w:noWrap/>
            <w:vAlign w:val="center"/>
          </w:tcPr>
          <w:p w14:paraId="161FB34E">
            <w:pPr>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大写：</w:t>
            </w:r>
            <w:r>
              <w:rPr>
                <w:rFonts w:hint="eastAsia" w:ascii="宋体" w:hAnsi="宋体" w:eastAsia="宋体" w:cs="宋体"/>
                <w:color w:val="000000" w:themeColor="text1"/>
                <w:u w:val="single"/>
                <w14:textFill>
                  <w14:solidFill>
                    <w14:schemeClr w14:val="tx1"/>
                  </w14:solidFill>
                </w14:textFill>
              </w:rPr>
              <w:t xml:space="preserve">         </w:t>
            </w:r>
          </w:p>
          <w:p w14:paraId="592E845C">
            <w:pPr>
              <w:rPr>
                <w:rFonts w:hint="eastAsia" w:ascii="宋体" w:hAnsi="宋体" w:eastAsia="宋体" w:cs="宋体"/>
                <w:szCs w:val="21"/>
              </w:rPr>
            </w:pPr>
            <w:r>
              <w:rPr>
                <w:rFonts w:hint="eastAsia" w:ascii="宋体" w:hAnsi="宋体" w:eastAsia="宋体" w:cs="宋体"/>
                <w:color w:val="000000" w:themeColor="text1"/>
                <w14:textFill>
                  <w14:solidFill>
                    <w14:schemeClr w14:val="tx1"/>
                  </w14:solidFill>
                </w14:textFill>
              </w:rPr>
              <w:t>小写：</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元</w:t>
            </w:r>
          </w:p>
        </w:tc>
      </w:tr>
      <w:tr w14:paraId="327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1D06E7">
            <w:pPr>
              <w:jc w:val="center"/>
              <w:rPr>
                <w:rFonts w:hint="eastAsia" w:ascii="宋体" w:hAnsi="宋体" w:eastAsia="宋体" w:cs="宋体"/>
                <w:szCs w:val="21"/>
              </w:rPr>
            </w:pPr>
            <w:r>
              <w:rPr>
                <w:rFonts w:hint="eastAsia" w:ascii="宋体" w:hAnsi="宋体" w:eastAsia="宋体" w:cs="宋体"/>
                <w:kern w:val="0"/>
                <w:szCs w:val="21"/>
              </w:rPr>
              <w:t>响应文件有效期</w:t>
            </w:r>
          </w:p>
        </w:tc>
        <w:tc>
          <w:tcPr>
            <w:tcW w:w="7708" w:type="dxa"/>
            <w:noWrap/>
            <w:vAlign w:val="center"/>
          </w:tcPr>
          <w:p w14:paraId="059EA6CF">
            <w:pPr>
              <w:pStyle w:val="21"/>
              <w:ind w:left="0" w:leftChars="0"/>
              <w:rPr>
                <w:rFonts w:hint="eastAsia" w:ascii="宋体" w:hAnsi="宋体" w:eastAsia="宋体" w:cs="宋体"/>
                <w:szCs w:val="21"/>
                <w:u w:val="single"/>
              </w:rPr>
            </w:pPr>
            <w:r>
              <w:rPr>
                <w:rFonts w:hint="eastAsia" w:ascii="宋体" w:hAnsi="宋体" w:eastAsia="宋体" w:cs="宋体"/>
                <w:kern w:val="0"/>
                <w:sz w:val="21"/>
                <w:szCs w:val="21"/>
              </w:rPr>
              <w:t>响应文件递交截止期结束后60日。</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eastAsia="宋体" w:cs="宋体"/>
                <w:szCs w:val="21"/>
              </w:rPr>
            </w:pPr>
            <w:r>
              <w:rPr>
                <w:rFonts w:hint="eastAsia" w:ascii="宋体" w:hAnsi="宋体" w:eastAsia="宋体" w:cs="宋体"/>
                <w:szCs w:val="21"/>
              </w:rPr>
              <w:t>备  注</w:t>
            </w:r>
          </w:p>
        </w:tc>
        <w:tc>
          <w:tcPr>
            <w:tcW w:w="7708" w:type="dxa"/>
            <w:noWrap/>
            <w:vAlign w:val="center"/>
          </w:tcPr>
          <w:p w14:paraId="48D86B3A">
            <w:pPr>
              <w:pStyle w:val="21"/>
              <w:ind w:left="0" w:leftChars="0"/>
              <w:rPr>
                <w:rFonts w:hint="eastAsia" w:ascii="宋体" w:hAnsi="宋体" w:eastAsia="宋体" w:cs="宋体"/>
                <w:sz w:val="21"/>
                <w:szCs w:val="21"/>
              </w:rPr>
            </w:pPr>
          </w:p>
        </w:tc>
      </w:tr>
    </w:tbl>
    <w:p w14:paraId="74698A4B">
      <w:pPr>
        <w:spacing w:line="360" w:lineRule="auto"/>
        <w:ind w:firstLine="420" w:firstLineChars="200"/>
        <w:rPr>
          <w:rFonts w:hint="eastAsia" w:ascii="宋体" w:hAnsi="宋体" w:eastAsia="宋体" w:cs="宋体"/>
          <w:szCs w:val="21"/>
        </w:rPr>
      </w:pPr>
      <w:r>
        <w:rPr>
          <w:rFonts w:hint="eastAsia" w:ascii="宋体" w:hAnsi="宋体" w:eastAsia="宋体" w:cs="宋体"/>
          <w:kern w:val="0"/>
          <w:szCs w:val="21"/>
        </w:rPr>
        <w:t>注:</w:t>
      </w:r>
      <w:bookmarkStart w:id="75" w:name="_Toc11620"/>
      <w:bookmarkStart w:id="76" w:name="_Toc20877"/>
      <w:r>
        <w:rPr>
          <w:rFonts w:hint="eastAsia" w:ascii="宋体" w:hAnsi="宋体" w:eastAsia="宋体" w:cs="宋体"/>
          <w:szCs w:val="21"/>
        </w:rPr>
        <w:t>1、报价一经涂改，应在涂改处加盖单位公章或投标人代表签字或盖章，否则其投标作无效标处理。</w:t>
      </w:r>
    </w:p>
    <w:p w14:paraId="0FEB5A5B">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szCs w:val="21"/>
        </w:rPr>
      </w:pPr>
      <w:bookmarkStart w:id="77" w:name="_Toc2747"/>
      <w:r>
        <w:rPr>
          <w:rFonts w:hint="eastAsia" w:ascii="宋体" w:hAnsi="宋体" w:eastAsia="宋体" w:cs="宋体"/>
          <w:szCs w:val="21"/>
        </w:rPr>
        <w:t>2、以上报价应与“投标报价明细表”中的报价相一致。</w:t>
      </w:r>
      <w:bookmarkEnd w:id="77"/>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3、投标人按格式填列，不得自行更改。否则引起的不利后果由投标人承担。</w:t>
      </w:r>
    </w:p>
    <w:p w14:paraId="46362479">
      <w:pPr>
        <w:spacing w:line="360" w:lineRule="auto"/>
        <w:ind w:firstLine="420" w:firstLineChars="200"/>
        <w:jc w:val="center"/>
        <w:rPr>
          <w:rFonts w:hint="eastAsia" w:ascii="宋体" w:hAnsi="宋体" w:eastAsia="宋体" w:cs="宋体"/>
          <w:szCs w:val="21"/>
        </w:rPr>
      </w:pPr>
    </w:p>
    <w:bookmarkEnd w:id="75"/>
    <w:bookmarkEnd w:id="76"/>
    <w:p w14:paraId="26220CF3">
      <w:pPr>
        <w:widowControl/>
        <w:spacing w:line="360" w:lineRule="auto"/>
        <w:ind w:firstLine="2730" w:firstLineChars="1300"/>
        <w:textAlignment w:val="baseline"/>
        <w:rPr>
          <w:rFonts w:hint="eastAsia" w:ascii="宋体" w:hAnsi="宋体" w:eastAsia="宋体" w:cs="宋体"/>
          <w:szCs w:val="21"/>
        </w:rPr>
      </w:pPr>
      <w:bookmarkStart w:id="78" w:name="_Toc12222"/>
      <w:bookmarkStart w:id="79" w:name="_Toc625"/>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03579BB3">
      <w:pPr>
        <w:spacing w:line="360" w:lineRule="auto"/>
        <w:ind w:firstLine="420" w:firstLineChars="200"/>
        <w:jc w:val="center"/>
        <w:rPr>
          <w:rFonts w:hint="eastAsia" w:ascii="宋体" w:hAnsi="宋体" w:eastAsia="宋体" w:cs="宋体"/>
          <w:szCs w:val="21"/>
          <w:u w:val="single"/>
        </w:rPr>
      </w:pPr>
      <w:r>
        <w:rPr>
          <w:rFonts w:hint="eastAsia" w:ascii="宋体" w:hAnsi="宋体" w:eastAsia="宋体" w:cs="宋体"/>
          <w:szCs w:val="21"/>
        </w:rPr>
        <w:t>法定代表人或委托代理人（签字</w:t>
      </w:r>
      <w:r>
        <w:rPr>
          <w:rFonts w:hint="eastAsia" w:ascii="宋体" w:hAnsi="宋体" w:eastAsia="宋体" w:cs="宋体"/>
          <w:kern w:val="0"/>
          <w:szCs w:val="21"/>
        </w:rPr>
        <w:t>或盖章</w:t>
      </w:r>
      <w:r>
        <w:rPr>
          <w:rFonts w:hint="eastAsia" w:ascii="宋体" w:hAnsi="宋体" w:eastAsia="宋体" w:cs="宋体"/>
          <w:szCs w:val="21"/>
        </w:rPr>
        <w:t>）：</w:t>
      </w:r>
      <w:bookmarkEnd w:id="78"/>
      <w:bookmarkEnd w:id="79"/>
      <w:r>
        <w:rPr>
          <w:rFonts w:hint="eastAsia" w:ascii="宋体" w:hAnsi="宋体" w:eastAsia="宋体" w:cs="宋体"/>
          <w:szCs w:val="21"/>
          <w:u w:val="single"/>
        </w:rPr>
        <w:t xml:space="preserve">      </w:t>
      </w:r>
    </w:p>
    <w:p w14:paraId="52FCD833">
      <w:pPr>
        <w:jc w:val="center"/>
        <w:rPr>
          <w:rFonts w:hint="eastAsia" w:ascii="宋体" w:hAnsi="宋体" w:eastAsia="宋体" w:cs="宋体"/>
          <w:szCs w:val="21"/>
        </w:rPr>
      </w:pPr>
    </w:p>
    <w:p w14:paraId="48FF02E1">
      <w:pPr>
        <w:spacing w:line="360" w:lineRule="auto"/>
        <w:ind w:firstLine="420" w:firstLineChars="200"/>
        <w:jc w:val="center"/>
        <w:rPr>
          <w:rFonts w:hint="eastAsia" w:ascii="宋体" w:hAnsi="宋体" w:eastAsia="宋体" w:cs="宋体"/>
        </w:rPr>
      </w:pPr>
      <w:bookmarkStart w:id="80" w:name="_Toc1330"/>
      <w:bookmarkStart w:id="81" w:name="_Toc9950"/>
      <w:r>
        <w:rPr>
          <w:rFonts w:hint="eastAsia" w:ascii="宋体" w:hAnsi="宋体" w:eastAsia="宋体" w:cs="宋体"/>
          <w:szCs w:val="21"/>
        </w:rPr>
        <w:t>年  月  日</w:t>
      </w:r>
      <w:bookmarkEnd w:id="80"/>
      <w:bookmarkEnd w:id="81"/>
    </w:p>
    <w:p w14:paraId="7A1E5038">
      <w:pPr>
        <w:rPr>
          <w:rFonts w:hint="eastAsia" w:ascii="宋体" w:hAnsi="宋体" w:eastAsia="宋体" w:cs="宋体"/>
        </w:rPr>
      </w:pPr>
    </w:p>
    <w:bookmarkEnd w:id="57"/>
    <w:bookmarkEnd w:id="58"/>
    <w:p w14:paraId="77F8766B">
      <w:pPr>
        <w:spacing w:before="20" w:after="20"/>
        <w:rPr>
          <w:rFonts w:hint="eastAsia" w:ascii="宋体" w:hAnsi="宋体" w:eastAsia="宋体" w:cs="宋体"/>
        </w:rPr>
      </w:pPr>
      <w:bookmarkStart w:id="82" w:name="_Toc24984"/>
      <w:bookmarkStart w:id="83" w:name="_Toc22004"/>
    </w:p>
    <w:p w14:paraId="11E3CD4D">
      <w:pPr>
        <w:rPr>
          <w:rFonts w:hint="eastAsia" w:ascii="宋体" w:hAnsi="宋体" w:eastAsia="宋体" w:cs="宋体"/>
        </w:rPr>
      </w:pPr>
    </w:p>
    <w:p w14:paraId="6B47C223">
      <w:pPr>
        <w:rPr>
          <w:rFonts w:hint="eastAsia" w:ascii="宋体" w:hAnsi="宋体" w:eastAsia="宋体" w:cs="宋体"/>
        </w:rPr>
      </w:pPr>
      <w:r>
        <w:rPr>
          <w:rFonts w:hint="eastAsia" w:ascii="宋体" w:hAnsi="宋体" w:eastAsia="宋体" w:cs="宋体"/>
        </w:rPr>
        <w:br w:type="page"/>
      </w:r>
    </w:p>
    <w:bookmarkEnd w:id="82"/>
    <w:bookmarkEnd w:id="83"/>
    <w:p w14:paraId="3AEF9746">
      <w:pPr>
        <w:pStyle w:val="6"/>
        <w:snapToGrid w:val="0"/>
        <w:spacing w:before="20" w:after="20" w:line="360" w:lineRule="auto"/>
        <w:ind w:firstLine="1124" w:firstLineChars="400"/>
        <w:rPr>
          <w:rFonts w:hint="eastAsia" w:ascii="宋体" w:hAnsi="宋体" w:eastAsia="宋体" w:cs="宋体"/>
          <w:sz w:val="28"/>
          <w:szCs w:val="28"/>
        </w:rPr>
      </w:pPr>
      <w:bookmarkStart w:id="84" w:name="_Toc15804"/>
      <w:bookmarkStart w:id="85" w:name="_Toc226"/>
      <w:r>
        <w:rPr>
          <w:rFonts w:hint="eastAsia" w:ascii="宋体" w:hAnsi="宋体" w:eastAsia="宋体" w:cs="宋体"/>
          <w:sz w:val="28"/>
          <w:szCs w:val="28"/>
        </w:rPr>
        <w:t xml:space="preserve">附件4 </w:t>
      </w:r>
      <w:bookmarkEnd w:id="84"/>
      <w:bookmarkEnd w:id="85"/>
      <w:r>
        <w:rPr>
          <w:rFonts w:hint="eastAsia" w:ascii="宋体" w:hAnsi="宋体" w:eastAsia="宋体" w:cs="宋体"/>
          <w:sz w:val="28"/>
          <w:szCs w:val="28"/>
        </w:rPr>
        <w:t xml:space="preserve">           技术响应表（格式）</w:t>
      </w:r>
    </w:p>
    <w:p w14:paraId="148B3B43">
      <w:pPr>
        <w:rPr>
          <w:rFonts w:hint="eastAsia" w:ascii="宋体" w:hAnsi="宋体" w:eastAsia="宋体" w:cs="宋体"/>
        </w:rPr>
      </w:pPr>
    </w:p>
    <w:p w14:paraId="3C6D4338">
      <w:pPr>
        <w:rPr>
          <w:rFonts w:hint="eastAsia" w:ascii="宋体" w:hAnsi="宋体" w:eastAsia="宋体" w:cs="宋体"/>
        </w:rPr>
      </w:pPr>
    </w:p>
    <w:tbl>
      <w:tblPr>
        <w:tblStyle w:val="92"/>
        <w:tblW w:w="947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758"/>
        <w:gridCol w:w="2310"/>
        <w:gridCol w:w="1905"/>
        <w:gridCol w:w="1560"/>
        <w:gridCol w:w="1170"/>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1758" w:type="dxa"/>
            <w:vAlign w:val="center"/>
          </w:tcPr>
          <w:p w14:paraId="32CFB748">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服务名称</w:t>
            </w:r>
          </w:p>
        </w:tc>
        <w:tc>
          <w:tcPr>
            <w:tcW w:w="2310" w:type="dxa"/>
            <w:vAlign w:val="center"/>
          </w:tcPr>
          <w:p w14:paraId="65B7104F">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磋商文件要求</w:t>
            </w:r>
          </w:p>
        </w:tc>
        <w:tc>
          <w:tcPr>
            <w:tcW w:w="1905" w:type="dxa"/>
            <w:vAlign w:val="center"/>
          </w:tcPr>
          <w:p w14:paraId="3AF987A8">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响应文件响应</w:t>
            </w:r>
          </w:p>
        </w:tc>
        <w:tc>
          <w:tcPr>
            <w:tcW w:w="1560" w:type="dxa"/>
            <w:vAlign w:val="center"/>
          </w:tcPr>
          <w:p w14:paraId="11D6138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偏离情况</w:t>
            </w:r>
          </w:p>
        </w:tc>
        <w:tc>
          <w:tcPr>
            <w:tcW w:w="1170" w:type="dxa"/>
            <w:vAlign w:val="center"/>
          </w:tcPr>
          <w:p w14:paraId="5CB7A6D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w:t>
            </w:r>
          </w:p>
        </w:tc>
        <w:tc>
          <w:tcPr>
            <w:tcW w:w="1758" w:type="dxa"/>
            <w:vAlign w:val="center"/>
          </w:tcPr>
          <w:p w14:paraId="767C20DF">
            <w:pPr>
              <w:widowControl/>
              <w:spacing w:line="360" w:lineRule="auto"/>
              <w:jc w:val="center"/>
              <w:textAlignment w:val="baseline"/>
              <w:rPr>
                <w:rFonts w:hint="eastAsia" w:ascii="宋体" w:hAnsi="宋体" w:eastAsia="宋体" w:cs="宋体"/>
                <w:szCs w:val="21"/>
              </w:rPr>
            </w:pPr>
          </w:p>
        </w:tc>
        <w:tc>
          <w:tcPr>
            <w:tcW w:w="2310" w:type="dxa"/>
            <w:vAlign w:val="center"/>
          </w:tcPr>
          <w:p w14:paraId="13060466">
            <w:pPr>
              <w:widowControl/>
              <w:spacing w:line="360" w:lineRule="auto"/>
              <w:jc w:val="center"/>
              <w:textAlignment w:val="baseline"/>
              <w:rPr>
                <w:rFonts w:hint="eastAsia" w:ascii="宋体" w:hAnsi="宋体" w:eastAsia="宋体" w:cs="宋体"/>
                <w:szCs w:val="21"/>
              </w:rPr>
            </w:pPr>
          </w:p>
        </w:tc>
        <w:tc>
          <w:tcPr>
            <w:tcW w:w="1905" w:type="dxa"/>
            <w:vAlign w:val="center"/>
          </w:tcPr>
          <w:p w14:paraId="68E37A6B">
            <w:pPr>
              <w:widowControl/>
              <w:spacing w:line="360" w:lineRule="auto"/>
              <w:jc w:val="center"/>
              <w:textAlignment w:val="baseline"/>
              <w:rPr>
                <w:rFonts w:hint="eastAsia" w:ascii="宋体" w:hAnsi="宋体" w:eastAsia="宋体" w:cs="宋体"/>
                <w:szCs w:val="21"/>
              </w:rPr>
            </w:pPr>
          </w:p>
        </w:tc>
        <w:tc>
          <w:tcPr>
            <w:tcW w:w="1560" w:type="dxa"/>
            <w:vAlign w:val="center"/>
          </w:tcPr>
          <w:p w14:paraId="79DC5201">
            <w:pPr>
              <w:widowControl/>
              <w:spacing w:line="360" w:lineRule="auto"/>
              <w:jc w:val="center"/>
              <w:textAlignment w:val="baseline"/>
              <w:rPr>
                <w:rFonts w:hint="eastAsia" w:ascii="宋体" w:hAnsi="宋体" w:eastAsia="宋体" w:cs="宋体"/>
                <w:szCs w:val="21"/>
              </w:rPr>
            </w:pPr>
          </w:p>
        </w:tc>
        <w:tc>
          <w:tcPr>
            <w:tcW w:w="1170" w:type="dxa"/>
            <w:vAlign w:val="center"/>
          </w:tcPr>
          <w:p w14:paraId="1442E93A">
            <w:pPr>
              <w:widowControl/>
              <w:spacing w:line="360" w:lineRule="auto"/>
              <w:jc w:val="center"/>
              <w:textAlignment w:val="baseline"/>
              <w:rPr>
                <w:rFonts w:hint="eastAsia" w:ascii="宋体" w:hAnsi="宋体" w:eastAsia="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2</w:t>
            </w:r>
          </w:p>
        </w:tc>
        <w:tc>
          <w:tcPr>
            <w:tcW w:w="1758" w:type="dxa"/>
            <w:vAlign w:val="center"/>
          </w:tcPr>
          <w:p w14:paraId="45FFEC74">
            <w:pPr>
              <w:widowControl/>
              <w:spacing w:line="360" w:lineRule="auto"/>
              <w:jc w:val="center"/>
              <w:textAlignment w:val="baseline"/>
              <w:rPr>
                <w:rFonts w:hint="eastAsia" w:ascii="宋体" w:hAnsi="宋体" w:eastAsia="宋体" w:cs="宋体"/>
                <w:szCs w:val="21"/>
              </w:rPr>
            </w:pPr>
          </w:p>
        </w:tc>
        <w:tc>
          <w:tcPr>
            <w:tcW w:w="2310" w:type="dxa"/>
            <w:vAlign w:val="center"/>
          </w:tcPr>
          <w:p w14:paraId="061EEA1F">
            <w:pPr>
              <w:widowControl/>
              <w:spacing w:line="360" w:lineRule="auto"/>
              <w:jc w:val="center"/>
              <w:textAlignment w:val="baseline"/>
              <w:rPr>
                <w:rFonts w:hint="eastAsia" w:ascii="宋体" w:hAnsi="宋体" w:eastAsia="宋体" w:cs="宋体"/>
                <w:szCs w:val="21"/>
              </w:rPr>
            </w:pPr>
          </w:p>
        </w:tc>
        <w:tc>
          <w:tcPr>
            <w:tcW w:w="1905" w:type="dxa"/>
            <w:vAlign w:val="center"/>
          </w:tcPr>
          <w:p w14:paraId="6B0861C7">
            <w:pPr>
              <w:widowControl/>
              <w:spacing w:line="360" w:lineRule="auto"/>
              <w:jc w:val="center"/>
              <w:textAlignment w:val="baseline"/>
              <w:rPr>
                <w:rFonts w:hint="eastAsia" w:ascii="宋体" w:hAnsi="宋体" w:eastAsia="宋体" w:cs="宋体"/>
                <w:szCs w:val="21"/>
              </w:rPr>
            </w:pPr>
          </w:p>
        </w:tc>
        <w:tc>
          <w:tcPr>
            <w:tcW w:w="1560" w:type="dxa"/>
            <w:vAlign w:val="center"/>
          </w:tcPr>
          <w:p w14:paraId="3B9C0A2D">
            <w:pPr>
              <w:widowControl/>
              <w:spacing w:line="360" w:lineRule="auto"/>
              <w:jc w:val="center"/>
              <w:textAlignment w:val="baseline"/>
              <w:rPr>
                <w:rFonts w:hint="eastAsia" w:ascii="宋体" w:hAnsi="宋体" w:eastAsia="宋体" w:cs="宋体"/>
                <w:szCs w:val="21"/>
              </w:rPr>
            </w:pPr>
          </w:p>
        </w:tc>
        <w:tc>
          <w:tcPr>
            <w:tcW w:w="1170" w:type="dxa"/>
            <w:vAlign w:val="center"/>
          </w:tcPr>
          <w:p w14:paraId="6C3F35FD">
            <w:pPr>
              <w:widowControl/>
              <w:spacing w:line="360" w:lineRule="auto"/>
              <w:jc w:val="center"/>
              <w:textAlignment w:val="baseline"/>
              <w:rPr>
                <w:rFonts w:hint="eastAsia" w:ascii="宋体" w:hAnsi="宋体" w:eastAsia="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w:t>
            </w:r>
          </w:p>
        </w:tc>
        <w:tc>
          <w:tcPr>
            <w:tcW w:w="1758" w:type="dxa"/>
            <w:vAlign w:val="center"/>
          </w:tcPr>
          <w:p w14:paraId="55C312EC">
            <w:pPr>
              <w:widowControl/>
              <w:spacing w:line="360" w:lineRule="auto"/>
              <w:jc w:val="center"/>
              <w:textAlignment w:val="baseline"/>
              <w:rPr>
                <w:rFonts w:hint="eastAsia" w:ascii="宋体" w:hAnsi="宋体" w:eastAsia="宋体" w:cs="宋体"/>
                <w:szCs w:val="21"/>
              </w:rPr>
            </w:pPr>
          </w:p>
        </w:tc>
        <w:tc>
          <w:tcPr>
            <w:tcW w:w="2310" w:type="dxa"/>
            <w:vAlign w:val="center"/>
          </w:tcPr>
          <w:p w14:paraId="37B9D701">
            <w:pPr>
              <w:widowControl/>
              <w:spacing w:line="360" w:lineRule="auto"/>
              <w:jc w:val="center"/>
              <w:textAlignment w:val="baseline"/>
              <w:rPr>
                <w:rFonts w:hint="eastAsia" w:ascii="宋体" w:hAnsi="宋体" w:eastAsia="宋体" w:cs="宋体"/>
                <w:szCs w:val="21"/>
              </w:rPr>
            </w:pPr>
          </w:p>
        </w:tc>
        <w:tc>
          <w:tcPr>
            <w:tcW w:w="1905" w:type="dxa"/>
            <w:vAlign w:val="center"/>
          </w:tcPr>
          <w:p w14:paraId="6F7A1116">
            <w:pPr>
              <w:widowControl/>
              <w:spacing w:line="360" w:lineRule="auto"/>
              <w:jc w:val="center"/>
              <w:textAlignment w:val="baseline"/>
              <w:rPr>
                <w:rFonts w:hint="eastAsia" w:ascii="宋体" w:hAnsi="宋体" w:eastAsia="宋体" w:cs="宋体"/>
                <w:szCs w:val="21"/>
              </w:rPr>
            </w:pPr>
          </w:p>
        </w:tc>
        <w:tc>
          <w:tcPr>
            <w:tcW w:w="1560" w:type="dxa"/>
            <w:vAlign w:val="center"/>
          </w:tcPr>
          <w:p w14:paraId="38EE5D06">
            <w:pPr>
              <w:widowControl/>
              <w:spacing w:line="360" w:lineRule="auto"/>
              <w:jc w:val="center"/>
              <w:textAlignment w:val="baseline"/>
              <w:rPr>
                <w:rFonts w:hint="eastAsia" w:ascii="宋体" w:hAnsi="宋体" w:eastAsia="宋体" w:cs="宋体"/>
                <w:szCs w:val="21"/>
              </w:rPr>
            </w:pPr>
          </w:p>
        </w:tc>
        <w:tc>
          <w:tcPr>
            <w:tcW w:w="1170" w:type="dxa"/>
            <w:vAlign w:val="center"/>
          </w:tcPr>
          <w:p w14:paraId="2B73758A">
            <w:pPr>
              <w:widowControl/>
              <w:spacing w:line="360" w:lineRule="auto"/>
              <w:jc w:val="center"/>
              <w:textAlignment w:val="baseline"/>
              <w:rPr>
                <w:rFonts w:hint="eastAsia" w:ascii="宋体" w:hAnsi="宋体" w:eastAsia="宋体" w:cs="宋体"/>
                <w:szCs w:val="21"/>
              </w:rPr>
            </w:pPr>
          </w:p>
        </w:tc>
      </w:tr>
    </w:tbl>
    <w:p w14:paraId="13EB473B">
      <w:pPr>
        <w:widowControl/>
        <w:wordWrap w:val="0"/>
        <w:spacing w:line="460" w:lineRule="exact"/>
        <w:ind w:firstLine="422" w:firstLineChars="200"/>
        <w:jc w:val="left"/>
        <w:rPr>
          <w:rFonts w:hint="eastAsia" w:ascii="宋体" w:hAnsi="宋体" w:eastAsia="宋体" w:cs="宋体"/>
          <w:b/>
          <w:kern w:val="0"/>
          <w:szCs w:val="21"/>
        </w:rPr>
      </w:pPr>
    </w:p>
    <w:p w14:paraId="44185BFB">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eastAsia="宋体" w:cs="宋体"/>
          <w:szCs w:val="21"/>
        </w:rPr>
      </w:pPr>
    </w:p>
    <w:p w14:paraId="4E7B86F5">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 xml:space="preserve">              </w:t>
      </w:r>
    </w:p>
    <w:p w14:paraId="73F551B9">
      <w:pPr>
        <w:widowControl/>
        <w:spacing w:line="360" w:lineRule="auto"/>
        <w:ind w:firstLine="2100" w:firstLineChars="1000"/>
        <w:textAlignment w:val="baseline"/>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15AC157A">
      <w:pPr>
        <w:widowControl/>
        <w:wordWrap w:val="0"/>
        <w:spacing w:line="460" w:lineRule="exact"/>
        <w:ind w:firstLine="3570" w:firstLineChars="1700"/>
        <w:jc w:val="left"/>
        <w:rPr>
          <w:rFonts w:hint="eastAsia" w:ascii="宋体" w:hAnsi="宋体" w:eastAsia="宋体" w:cs="宋体"/>
          <w:b/>
          <w:kern w:val="0"/>
          <w:sz w:val="32"/>
          <w:szCs w:val="32"/>
        </w:rPr>
      </w:pPr>
      <w:r>
        <w:rPr>
          <w:rFonts w:hint="eastAsia" w:ascii="宋体" w:hAnsi="宋体" w:eastAsia="宋体" w:cs="宋体"/>
          <w:szCs w:val="21"/>
        </w:rPr>
        <w:t>年    月    日</w:t>
      </w:r>
    </w:p>
    <w:p w14:paraId="05C09528">
      <w:pPr>
        <w:widowControl/>
        <w:wordWrap w:val="0"/>
        <w:snapToGrid w:val="0"/>
        <w:spacing w:before="50" w:after="159" w:afterLines="50"/>
        <w:jc w:val="left"/>
        <w:rPr>
          <w:rFonts w:hint="eastAsia" w:ascii="宋体" w:hAnsi="宋体" w:eastAsia="宋体" w:cs="宋体"/>
          <w:kern w:val="0"/>
          <w:sz w:val="24"/>
          <w:u w:val="single"/>
        </w:rPr>
      </w:pPr>
    </w:p>
    <w:p w14:paraId="4826DCF9">
      <w:pPr>
        <w:rPr>
          <w:rFonts w:hint="eastAsia" w:ascii="宋体" w:hAnsi="宋体" w:eastAsia="宋体" w:cs="宋体"/>
          <w:b/>
          <w:kern w:val="0"/>
          <w:sz w:val="24"/>
        </w:rPr>
      </w:pPr>
      <w:r>
        <w:rPr>
          <w:rFonts w:hint="eastAsia" w:ascii="宋体" w:hAnsi="宋体" w:eastAsia="宋体" w:cs="宋体"/>
          <w:b/>
          <w:kern w:val="0"/>
          <w:sz w:val="24"/>
        </w:rPr>
        <w:br w:type="page"/>
      </w:r>
    </w:p>
    <w:p w14:paraId="15F81433">
      <w:pPr>
        <w:pStyle w:val="6"/>
        <w:snapToGrid w:val="0"/>
        <w:spacing w:before="20" w:after="20" w:line="360" w:lineRule="auto"/>
        <w:jc w:val="center"/>
        <w:rPr>
          <w:rFonts w:hint="eastAsia" w:ascii="宋体" w:hAnsi="宋体" w:eastAsia="宋体" w:cs="宋体"/>
          <w:sz w:val="28"/>
          <w:szCs w:val="28"/>
        </w:rPr>
      </w:pPr>
      <w:bookmarkStart w:id="86" w:name="_Toc24168"/>
      <w:bookmarkStart w:id="87" w:name="_Toc20420"/>
      <w:bookmarkStart w:id="88" w:name="_Toc29960"/>
      <w:r>
        <w:rPr>
          <w:rFonts w:hint="eastAsia" w:ascii="宋体" w:hAnsi="宋体" w:eastAsia="宋体" w:cs="宋体"/>
          <w:sz w:val="28"/>
          <w:szCs w:val="28"/>
        </w:rPr>
        <w:t>附件</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商务响应</w:t>
      </w:r>
      <w:bookmarkEnd w:id="86"/>
      <w:bookmarkEnd w:id="87"/>
      <w:bookmarkEnd w:id="88"/>
      <w:r>
        <w:rPr>
          <w:rFonts w:hint="eastAsia" w:ascii="宋体" w:hAnsi="宋体" w:eastAsia="宋体" w:cs="宋体"/>
          <w:sz w:val="28"/>
          <w:szCs w:val="28"/>
        </w:rPr>
        <w:t>表（格式）</w:t>
      </w:r>
    </w:p>
    <w:p w14:paraId="4D14959B">
      <w:pPr>
        <w:widowControl/>
        <w:wordWrap w:val="0"/>
        <w:spacing w:line="460" w:lineRule="exact"/>
        <w:jc w:val="left"/>
        <w:rPr>
          <w:rFonts w:hint="eastAsia" w:ascii="宋体" w:hAnsi="宋体" w:eastAsia="宋体" w:cs="宋体"/>
          <w:b/>
          <w:kern w:val="0"/>
          <w:sz w:val="32"/>
          <w:szCs w:val="32"/>
        </w:rPr>
      </w:pPr>
      <w:r>
        <w:rPr>
          <w:rFonts w:hint="eastAsia" w:ascii="宋体" w:hAnsi="宋体" w:eastAsia="宋体" w:cs="宋体"/>
          <w:b/>
          <w:kern w:val="0"/>
          <w:sz w:val="32"/>
          <w:szCs w:val="32"/>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1FE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29BC4569">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序号</w:t>
            </w:r>
          </w:p>
        </w:tc>
        <w:tc>
          <w:tcPr>
            <w:tcW w:w="2301" w:type="dxa"/>
            <w:vAlign w:val="center"/>
          </w:tcPr>
          <w:p w14:paraId="36BF886A">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项目</w:t>
            </w:r>
          </w:p>
        </w:tc>
        <w:tc>
          <w:tcPr>
            <w:tcW w:w="2198" w:type="dxa"/>
            <w:vAlign w:val="center"/>
          </w:tcPr>
          <w:p w14:paraId="6CE117FB">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磋商文件要求</w:t>
            </w:r>
          </w:p>
        </w:tc>
        <w:tc>
          <w:tcPr>
            <w:tcW w:w="2038" w:type="dxa"/>
            <w:vAlign w:val="center"/>
          </w:tcPr>
          <w:p w14:paraId="1261F159">
            <w:pPr>
              <w:widowControl/>
              <w:snapToGrid w:val="0"/>
              <w:spacing w:before="159" w:beforeLines="50" w:line="360" w:lineRule="auto"/>
              <w:jc w:val="center"/>
              <w:rPr>
                <w:rFonts w:hint="eastAsia" w:ascii="宋体" w:hAnsi="宋体" w:eastAsia="宋体" w:cs="宋体"/>
                <w:szCs w:val="21"/>
              </w:rPr>
            </w:pPr>
            <w:r>
              <w:rPr>
                <w:rFonts w:hint="eastAsia" w:ascii="宋体" w:hAnsi="宋体" w:eastAsia="宋体" w:cs="宋体"/>
                <w:kern w:val="0"/>
                <w:sz w:val="24"/>
              </w:rPr>
              <w:t>响应文件响应</w:t>
            </w:r>
          </w:p>
        </w:tc>
        <w:tc>
          <w:tcPr>
            <w:tcW w:w="1349" w:type="dxa"/>
            <w:vAlign w:val="center"/>
          </w:tcPr>
          <w:p w14:paraId="52748BDE">
            <w:pPr>
              <w:widowControl/>
              <w:snapToGrid w:val="0"/>
              <w:spacing w:before="159" w:beforeLines="50" w:line="360" w:lineRule="auto"/>
              <w:jc w:val="center"/>
              <w:rPr>
                <w:rFonts w:hint="eastAsia" w:ascii="宋体" w:hAnsi="宋体" w:eastAsia="宋体" w:cs="宋体"/>
                <w:szCs w:val="21"/>
              </w:rPr>
            </w:pPr>
            <w:r>
              <w:rPr>
                <w:rFonts w:hint="eastAsia" w:ascii="宋体" w:hAnsi="宋体" w:eastAsia="宋体" w:cs="宋体"/>
                <w:kern w:val="0"/>
                <w:sz w:val="24"/>
              </w:rPr>
              <w:t>偏离情况</w:t>
            </w:r>
          </w:p>
        </w:tc>
        <w:tc>
          <w:tcPr>
            <w:tcW w:w="1349" w:type="dxa"/>
            <w:vAlign w:val="center"/>
          </w:tcPr>
          <w:p w14:paraId="5C26A7C0">
            <w:pPr>
              <w:widowControl/>
              <w:snapToGrid w:val="0"/>
              <w:spacing w:before="159" w:beforeLines="50" w:line="360" w:lineRule="auto"/>
              <w:jc w:val="center"/>
              <w:rPr>
                <w:rFonts w:hint="eastAsia" w:ascii="宋体" w:hAnsi="宋体" w:eastAsia="宋体" w:cs="宋体"/>
                <w:kern w:val="0"/>
                <w:sz w:val="24"/>
              </w:rPr>
            </w:pPr>
            <w:r>
              <w:rPr>
                <w:rFonts w:hint="eastAsia" w:ascii="宋体" w:hAnsi="宋体" w:eastAsia="宋体" w:cs="宋体"/>
                <w:kern w:val="0"/>
                <w:sz w:val="24"/>
              </w:rPr>
              <w:t>备注</w:t>
            </w:r>
          </w:p>
        </w:tc>
      </w:tr>
      <w:tr w14:paraId="6461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75D280B">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1</w:t>
            </w:r>
          </w:p>
        </w:tc>
        <w:tc>
          <w:tcPr>
            <w:tcW w:w="2301" w:type="dxa"/>
            <w:vAlign w:val="center"/>
          </w:tcPr>
          <w:p w14:paraId="3BD5E2D2">
            <w:pPr>
              <w:pStyle w:val="15"/>
              <w:jc w:val="center"/>
              <w:rPr>
                <w:rFonts w:hint="eastAsia" w:ascii="宋体" w:hAnsi="宋体" w:eastAsia="宋体" w:cs="宋体"/>
                <w:sz w:val="21"/>
                <w:szCs w:val="21"/>
              </w:rPr>
            </w:pPr>
            <w:r>
              <w:rPr>
                <w:rFonts w:hint="eastAsia" w:ascii="宋体" w:hAnsi="宋体" w:eastAsia="宋体" w:cs="宋体"/>
                <w:sz w:val="21"/>
                <w:szCs w:val="21"/>
              </w:rPr>
              <w:t>服务质量</w:t>
            </w:r>
          </w:p>
        </w:tc>
        <w:tc>
          <w:tcPr>
            <w:tcW w:w="2198" w:type="dxa"/>
            <w:vAlign w:val="center"/>
          </w:tcPr>
          <w:p w14:paraId="176B6E4E">
            <w:pPr>
              <w:widowControl/>
              <w:spacing w:line="360" w:lineRule="auto"/>
              <w:jc w:val="center"/>
              <w:textAlignment w:val="baseline"/>
              <w:rPr>
                <w:rFonts w:hint="eastAsia" w:ascii="宋体" w:hAnsi="宋体" w:eastAsia="宋体" w:cs="宋体"/>
                <w:szCs w:val="21"/>
              </w:rPr>
            </w:pPr>
          </w:p>
        </w:tc>
        <w:tc>
          <w:tcPr>
            <w:tcW w:w="2038" w:type="dxa"/>
            <w:vAlign w:val="center"/>
          </w:tcPr>
          <w:p w14:paraId="0F735BEA">
            <w:pPr>
              <w:widowControl/>
              <w:spacing w:line="360" w:lineRule="auto"/>
              <w:jc w:val="center"/>
              <w:textAlignment w:val="baseline"/>
              <w:rPr>
                <w:rFonts w:hint="eastAsia" w:ascii="宋体" w:hAnsi="宋体" w:eastAsia="宋体" w:cs="宋体"/>
                <w:szCs w:val="21"/>
              </w:rPr>
            </w:pPr>
          </w:p>
        </w:tc>
        <w:tc>
          <w:tcPr>
            <w:tcW w:w="1349" w:type="dxa"/>
            <w:vAlign w:val="center"/>
          </w:tcPr>
          <w:p w14:paraId="5799CE9D">
            <w:pPr>
              <w:widowControl/>
              <w:spacing w:line="360" w:lineRule="auto"/>
              <w:jc w:val="center"/>
              <w:textAlignment w:val="baseline"/>
              <w:rPr>
                <w:rFonts w:hint="eastAsia" w:ascii="宋体" w:hAnsi="宋体" w:eastAsia="宋体" w:cs="宋体"/>
                <w:szCs w:val="21"/>
              </w:rPr>
            </w:pPr>
          </w:p>
        </w:tc>
        <w:tc>
          <w:tcPr>
            <w:tcW w:w="1349" w:type="dxa"/>
            <w:vAlign w:val="center"/>
          </w:tcPr>
          <w:p w14:paraId="42983620">
            <w:pPr>
              <w:widowControl/>
              <w:spacing w:line="360" w:lineRule="auto"/>
              <w:jc w:val="center"/>
              <w:textAlignment w:val="baseline"/>
              <w:rPr>
                <w:rFonts w:hint="eastAsia" w:ascii="宋体" w:hAnsi="宋体" w:eastAsia="宋体" w:cs="宋体"/>
                <w:szCs w:val="21"/>
              </w:rPr>
            </w:pPr>
          </w:p>
        </w:tc>
      </w:tr>
      <w:tr w14:paraId="72D5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3ADFD9">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2</w:t>
            </w:r>
          </w:p>
        </w:tc>
        <w:tc>
          <w:tcPr>
            <w:tcW w:w="2301" w:type="dxa"/>
            <w:vAlign w:val="center"/>
          </w:tcPr>
          <w:p w14:paraId="27AA2BF3">
            <w:pPr>
              <w:pStyle w:val="15"/>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2198" w:type="dxa"/>
            <w:vAlign w:val="center"/>
          </w:tcPr>
          <w:p w14:paraId="4664D1E3">
            <w:pPr>
              <w:widowControl/>
              <w:spacing w:line="360" w:lineRule="auto"/>
              <w:jc w:val="center"/>
              <w:textAlignment w:val="baseline"/>
              <w:rPr>
                <w:rFonts w:hint="eastAsia" w:ascii="宋体" w:hAnsi="宋体" w:eastAsia="宋体" w:cs="宋体"/>
                <w:szCs w:val="21"/>
              </w:rPr>
            </w:pPr>
          </w:p>
        </w:tc>
        <w:tc>
          <w:tcPr>
            <w:tcW w:w="2038" w:type="dxa"/>
            <w:vAlign w:val="center"/>
          </w:tcPr>
          <w:p w14:paraId="24D4BC52">
            <w:pPr>
              <w:widowControl/>
              <w:spacing w:line="360" w:lineRule="auto"/>
              <w:jc w:val="center"/>
              <w:textAlignment w:val="baseline"/>
              <w:rPr>
                <w:rFonts w:hint="eastAsia" w:ascii="宋体" w:hAnsi="宋体" w:eastAsia="宋体" w:cs="宋体"/>
                <w:szCs w:val="21"/>
              </w:rPr>
            </w:pPr>
          </w:p>
        </w:tc>
        <w:tc>
          <w:tcPr>
            <w:tcW w:w="1349" w:type="dxa"/>
            <w:vAlign w:val="center"/>
          </w:tcPr>
          <w:p w14:paraId="10495AE0">
            <w:pPr>
              <w:widowControl/>
              <w:spacing w:line="360" w:lineRule="auto"/>
              <w:jc w:val="center"/>
              <w:textAlignment w:val="baseline"/>
              <w:rPr>
                <w:rFonts w:hint="eastAsia" w:ascii="宋体" w:hAnsi="宋体" w:eastAsia="宋体" w:cs="宋体"/>
                <w:szCs w:val="21"/>
              </w:rPr>
            </w:pPr>
          </w:p>
        </w:tc>
        <w:tc>
          <w:tcPr>
            <w:tcW w:w="1349" w:type="dxa"/>
            <w:vAlign w:val="center"/>
          </w:tcPr>
          <w:p w14:paraId="693008FB">
            <w:pPr>
              <w:widowControl/>
              <w:spacing w:line="360" w:lineRule="auto"/>
              <w:jc w:val="center"/>
              <w:textAlignment w:val="baseline"/>
              <w:rPr>
                <w:rFonts w:hint="eastAsia" w:ascii="宋体" w:hAnsi="宋体" w:eastAsia="宋体" w:cs="宋体"/>
                <w:szCs w:val="21"/>
              </w:rPr>
            </w:pPr>
          </w:p>
        </w:tc>
      </w:tr>
      <w:tr w14:paraId="0A0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F26995">
            <w:pPr>
              <w:widowControl/>
              <w:spacing w:line="360" w:lineRule="auto"/>
              <w:jc w:val="center"/>
              <w:textAlignment w:val="baseline"/>
              <w:rPr>
                <w:rFonts w:hint="eastAsia" w:ascii="宋体" w:hAnsi="宋体" w:eastAsia="宋体" w:cs="宋体"/>
                <w:szCs w:val="21"/>
              </w:rPr>
            </w:pPr>
            <w:r>
              <w:rPr>
                <w:rFonts w:hint="eastAsia" w:ascii="宋体" w:hAnsi="宋体" w:eastAsia="宋体" w:cs="宋体"/>
                <w:szCs w:val="21"/>
              </w:rPr>
              <w:t>3</w:t>
            </w:r>
          </w:p>
        </w:tc>
        <w:tc>
          <w:tcPr>
            <w:tcW w:w="2301" w:type="dxa"/>
            <w:vAlign w:val="center"/>
          </w:tcPr>
          <w:p w14:paraId="28C92F01">
            <w:pPr>
              <w:pStyle w:val="15"/>
              <w:jc w:val="center"/>
              <w:rPr>
                <w:rFonts w:hint="eastAsia" w:ascii="宋体" w:hAnsi="宋体" w:eastAsia="宋体" w:cs="宋体"/>
                <w:sz w:val="21"/>
                <w:szCs w:val="21"/>
              </w:rPr>
            </w:pPr>
            <w:r>
              <w:rPr>
                <w:rFonts w:hint="eastAsia" w:ascii="宋体" w:hAnsi="宋体" w:eastAsia="宋体" w:cs="宋体"/>
                <w:sz w:val="21"/>
                <w:szCs w:val="21"/>
              </w:rPr>
              <w:t>支付方式</w:t>
            </w:r>
          </w:p>
        </w:tc>
        <w:tc>
          <w:tcPr>
            <w:tcW w:w="2198" w:type="dxa"/>
            <w:vAlign w:val="center"/>
          </w:tcPr>
          <w:p w14:paraId="491D03D8">
            <w:pPr>
              <w:widowControl/>
              <w:spacing w:line="360" w:lineRule="auto"/>
              <w:jc w:val="center"/>
              <w:textAlignment w:val="baseline"/>
              <w:rPr>
                <w:rFonts w:hint="eastAsia" w:ascii="宋体" w:hAnsi="宋体" w:eastAsia="宋体" w:cs="宋体"/>
                <w:szCs w:val="21"/>
              </w:rPr>
            </w:pPr>
          </w:p>
        </w:tc>
        <w:tc>
          <w:tcPr>
            <w:tcW w:w="2038" w:type="dxa"/>
            <w:vAlign w:val="center"/>
          </w:tcPr>
          <w:p w14:paraId="79295513">
            <w:pPr>
              <w:widowControl/>
              <w:spacing w:line="360" w:lineRule="auto"/>
              <w:jc w:val="center"/>
              <w:textAlignment w:val="baseline"/>
              <w:rPr>
                <w:rFonts w:hint="eastAsia" w:ascii="宋体" w:hAnsi="宋体" w:eastAsia="宋体" w:cs="宋体"/>
                <w:szCs w:val="21"/>
              </w:rPr>
            </w:pPr>
          </w:p>
        </w:tc>
        <w:tc>
          <w:tcPr>
            <w:tcW w:w="1349" w:type="dxa"/>
            <w:vAlign w:val="center"/>
          </w:tcPr>
          <w:p w14:paraId="41B1B16A">
            <w:pPr>
              <w:widowControl/>
              <w:spacing w:line="360" w:lineRule="auto"/>
              <w:jc w:val="center"/>
              <w:textAlignment w:val="baseline"/>
              <w:rPr>
                <w:rFonts w:hint="eastAsia" w:ascii="宋体" w:hAnsi="宋体" w:eastAsia="宋体" w:cs="宋体"/>
                <w:szCs w:val="21"/>
              </w:rPr>
            </w:pPr>
          </w:p>
        </w:tc>
        <w:tc>
          <w:tcPr>
            <w:tcW w:w="1349" w:type="dxa"/>
            <w:vAlign w:val="center"/>
          </w:tcPr>
          <w:p w14:paraId="58EFFE8E">
            <w:pPr>
              <w:widowControl/>
              <w:spacing w:line="360" w:lineRule="auto"/>
              <w:jc w:val="center"/>
              <w:textAlignment w:val="baseline"/>
              <w:rPr>
                <w:rFonts w:hint="eastAsia" w:ascii="宋体" w:hAnsi="宋体" w:eastAsia="宋体" w:cs="宋体"/>
                <w:szCs w:val="21"/>
              </w:rPr>
            </w:pPr>
          </w:p>
        </w:tc>
      </w:tr>
    </w:tbl>
    <w:p w14:paraId="1553EEFA">
      <w:pPr>
        <w:rPr>
          <w:rFonts w:hint="eastAsia" w:ascii="宋体" w:hAnsi="宋体" w:eastAsia="宋体" w:cs="宋体"/>
          <w:b/>
          <w:kern w:val="0"/>
          <w:szCs w:val="21"/>
        </w:rPr>
      </w:pPr>
    </w:p>
    <w:p w14:paraId="5D5F93F1">
      <w:pPr>
        <w:widowControl/>
        <w:spacing w:line="360" w:lineRule="auto"/>
        <w:textAlignment w:val="baseline"/>
        <w:rPr>
          <w:rFonts w:hint="eastAsia" w:ascii="宋体" w:hAnsi="宋体" w:eastAsia="宋体" w:cs="宋体"/>
          <w:szCs w:val="21"/>
        </w:rPr>
      </w:pPr>
      <w:r>
        <w:rPr>
          <w:rFonts w:hint="eastAsia" w:ascii="宋体" w:hAnsi="宋体" w:eastAsia="宋体" w:cs="宋体"/>
          <w:szCs w:val="21"/>
        </w:rPr>
        <w:t>注：供应商必须如实完整填写表格，“偏离情况”是指“正偏离”、“负偏离”或“无偏离”。</w:t>
      </w:r>
    </w:p>
    <w:p w14:paraId="3866974A">
      <w:pPr>
        <w:pStyle w:val="31"/>
        <w:ind w:firstLine="210"/>
        <w:rPr>
          <w:rFonts w:hint="eastAsia" w:ascii="宋体" w:hAnsi="宋体" w:eastAsia="宋体" w:cs="宋体"/>
        </w:rPr>
      </w:pPr>
    </w:p>
    <w:p w14:paraId="0DAAB68A">
      <w:pPr>
        <w:widowControl/>
        <w:spacing w:line="360" w:lineRule="auto"/>
        <w:ind w:firstLine="3360" w:firstLineChars="1600"/>
        <w:textAlignment w:val="baseline"/>
        <w:rPr>
          <w:rFonts w:hint="eastAsia" w:ascii="宋体" w:hAnsi="宋体" w:eastAsia="宋体" w:cs="宋体"/>
          <w:szCs w:val="21"/>
        </w:rPr>
      </w:pPr>
    </w:p>
    <w:p w14:paraId="5FBB8CE4">
      <w:pPr>
        <w:widowControl/>
        <w:spacing w:line="360" w:lineRule="auto"/>
        <w:ind w:firstLine="3360" w:firstLineChars="1600"/>
        <w:textAlignment w:val="baseline"/>
        <w:rPr>
          <w:rFonts w:hint="eastAsia" w:ascii="宋体" w:hAnsi="宋体" w:eastAsia="宋体" w:cs="宋体"/>
          <w:szCs w:val="21"/>
        </w:rPr>
      </w:pPr>
    </w:p>
    <w:p w14:paraId="64D2AA68">
      <w:pPr>
        <w:widowControl/>
        <w:spacing w:line="360" w:lineRule="auto"/>
        <w:ind w:firstLine="3360" w:firstLineChars="1600"/>
        <w:textAlignment w:val="baseline"/>
        <w:rPr>
          <w:rFonts w:hint="eastAsia" w:ascii="宋体" w:hAnsi="宋体" w:eastAsia="宋体" w:cs="宋体"/>
          <w:szCs w:val="21"/>
        </w:rPr>
      </w:pPr>
    </w:p>
    <w:p w14:paraId="3620B5AC">
      <w:pPr>
        <w:widowControl/>
        <w:spacing w:line="360" w:lineRule="auto"/>
        <w:ind w:firstLine="3360" w:firstLineChars="1600"/>
        <w:textAlignment w:val="baseline"/>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（全称并加盖公章）</w:t>
      </w:r>
    </w:p>
    <w:p w14:paraId="1FE646E0">
      <w:pPr>
        <w:widowControl/>
        <w:spacing w:line="360" w:lineRule="auto"/>
        <w:ind w:firstLine="4410" w:firstLineChars="2100"/>
        <w:textAlignment w:val="baseline"/>
        <w:rPr>
          <w:rFonts w:hint="eastAsia" w:ascii="宋体" w:hAnsi="宋体" w:eastAsia="宋体" w:cs="宋体"/>
          <w:sz w:val="24"/>
        </w:rPr>
      </w:pPr>
      <w:r>
        <w:rPr>
          <w:rFonts w:hint="eastAsia" w:ascii="宋体" w:hAnsi="宋体" w:eastAsia="宋体" w:cs="宋体"/>
          <w:szCs w:val="21"/>
        </w:rPr>
        <w:t>年    月    日</w:t>
      </w:r>
    </w:p>
    <w:p w14:paraId="6039CC79">
      <w:pPr>
        <w:rPr>
          <w:rFonts w:hint="eastAsia" w:ascii="宋体" w:hAnsi="宋体" w:eastAsia="宋体" w:cs="宋体"/>
        </w:rPr>
      </w:pPr>
    </w:p>
    <w:p w14:paraId="24663AA4">
      <w:pPr>
        <w:rPr>
          <w:rFonts w:hint="eastAsia" w:ascii="宋体" w:hAnsi="宋体" w:eastAsia="宋体" w:cs="宋体"/>
        </w:rPr>
      </w:pPr>
    </w:p>
    <w:p w14:paraId="00E462A6">
      <w:pPr>
        <w:rPr>
          <w:rFonts w:hint="eastAsia" w:ascii="宋体" w:hAnsi="宋体" w:eastAsia="宋体" w:cs="宋体"/>
        </w:rPr>
      </w:pPr>
    </w:p>
    <w:p w14:paraId="54A92F34">
      <w:pPr>
        <w:rPr>
          <w:rFonts w:hint="eastAsia" w:ascii="宋体" w:hAnsi="宋体" w:eastAsia="宋体" w:cs="宋体"/>
        </w:rPr>
      </w:pPr>
    </w:p>
    <w:p w14:paraId="7984C0DE">
      <w:pPr>
        <w:rPr>
          <w:rFonts w:hint="eastAsia" w:ascii="宋体" w:hAnsi="宋体" w:eastAsia="宋体" w:cs="宋体"/>
        </w:rPr>
      </w:pPr>
    </w:p>
    <w:p w14:paraId="74E80E4A">
      <w:pPr>
        <w:rPr>
          <w:rFonts w:hint="eastAsia" w:ascii="宋体" w:hAnsi="宋体" w:eastAsia="宋体" w:cs="宋体"/>
        </w:rPr>
      </w:pPr>
    </w:p>
    <w:p w14:paraId="057920A7">
      <w:pPr>
        <w:rPr>
          <w:rFonts w:hint="eastAsia" w:ascii="宋体" w:hAnsi="宋体" w:eastAsia="宋体" w:cs="宋体"/>
        </w:rPr>
      </w:pPr>
    </w:p>
    <w:p w14:paraId="12E64C36">
      <w:pPr>
        <w:rPr>
          <w:rFonts w:hint="eastAsia" w:ascii="宋体" w:hAnsi="宋体" w:eastAsia="宋体" w:cs="宋体"/>
        </w:rPr>
      </w:pPr>
    </w:p>
    <w:p w14:paraId="2806672B">
      <w:pPr>
        <w:rPr>
          <w:rFonts w:hint="eastAsia" w:ascii="宋体" w:hAnsi="宋体" w:eastAsia="宋体" w:cs="宋体"/>
        </w:rPr>
      </w:pPr>
    </w:p>
    <w:p w14:paraId="18B0B544">
      <w:pPr>
        <w:rPr>
          <w:rFonts w:hint="eastAsia" w:ascii="宋体" w:hAnsi="宋体" w:eastAsia="宋体" w:cs="宋体"/>
        </w:rPr>
      </w:pPr>
    </w:p>
    <w:p w14:paraId="4E26A09C">
      <w:pPr>
        <w:rPr>
          <w:rFonts w:hint="eastAsia" w:ascii="宋体" w:hAnsi="宋体" w:eastAsia="宋体" w:cs="宋体"/>
        </w:rPr>
      </w:pPr>
    </w:p>
    <w:p w14:paraId="3AEC4F46">
      <w:pPr>
        <w:rPr>
          <w:rFonts w:hint="eastAsia" w:ascii="宋体" w:hAnsi="宋体" w:eastAsia="宋体" w:cs="宋体"/>
        </w:rPr>
      </w:pPr>
    </w:p>
    <w:p w14:paraId="16A9F8AA">
      <w:pPr>
        <w:rPr>
          <w:rFonts w:hint="eastAsia" w:ascii="宋体" w:hAnsi="宋体" w:eastAsia="宋体" w:cs="宋体"/>
        </w:rPr>
      </w:pPr>
    </w:p>
    <w:p w14:paraId="11B54922">
      <w:pPr>
        <w:rPr>
          <w:rFonts w:hint="eastAsia" w:ascii="宋体" w:hAnsi="宋体" w:eastAsia="宋体" w:cs="宋体"/>
        </w:rPr>
      </w:pPr>
    </w:p>
    <w:p w14:paraId="72C359BE">
      <w:pPr>
        <w:rPr>
          <w:rFonts w:hint="eastAsia" w:ascii="宋体" w:hAnsi="宋体" w:eastAsia="宋体" w:cs="宋体"/>
        </w:rPr>
      </w:pPr>
    </w:p>
    <w:p w14:paraId="4B56B74C">
      <w:pPr>
        <w:rPr>
          <w:rFonts w:hint="eastAsia" w:ascii="宋体" w:hAnsi="宋体" w:eastAsia="宋体" w:cs="宋体"/>
          <w:b/>
          <w:sz w:val="28"/>
        </w:rPr>
      </w:pPr>
      <w:bookmarkStart w:id="89" w:name="_Toc31526"/>
      <w:bookmarkStart w:id="90" w:name="_Toc28621"/>
      <w:r>
        <w:rPr>
          <w:rFonts w:hint="eastAsia" w:ascii="宋体" w:hAnsi="宋体" w:eastAsia="宋体" w:cs="宋体"/>
          <w:b/>
          <w:sz w:val="28"/>
        </w:rPr>
        <w:br w:type="page"/>
      </w:r>
    </w:p>
    <w:p w14:paraId="58C2C064">
      <w:pPr>
        <w:pStyle w:val="6"/>
        <w:snapToGrid w:val="0"/>
        <w:spacing w:before="20" w:after="20" w:line="360" w:lineRule="auto"/>
        <w:jc w:val="center"/>
        <w:rPr>
          <w:rFonts w:hint="eastAsia" w:ascii="宋体" w:hAnsi="宋体" w:eastAsia="宋体" w:cs="宋体"/>
          <w:sz w:val="28"/>
          <w:szCs w:val="28"/>
        </w:rPr>
      </w:pPr>
      <w:bookmarkStart w:id="91" w:name="_Toc29406"/>
      <w:r>
        <w:rPr>
          <w:rFonts w:hint="eastAsia" w:ascii="宋体" w:hAnsi="宋体" w:eastAsia="宋体" w:cs="宋体"/>
          <w:sz w:val="28"/>
          <w:szCs w:val="28"/>
        </w:rPr>
        <w:t>附件</w:t>
      </w: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法定代表人身份证明（格式）</w:t>
      </w:r>
      <w:bookmarkEnd w:id="89"/>
      <w:bookmarkEnd w:id="90"/>
      <w:bookmarkEnd w:id="91"/>
    </w:p>
    <w:p w14:paraId="425B97BE">
      <w:pPr>
        <w:widowControl/>
        <w:wordWrap w:val="0"/>
        <w:spacing w:line="460" w:lineRule="exact"/>
        <w:jc w:val="left"/>
        <w:rPr>
          <w:rFonts w:hint="eastAsia" w:ascii="宋体" w:hAnsi="宋体" w:eastAsia="宋体" w:cs="宋体"/>
          <w:kern w:val="0"/>
          <w:sz w:val="24"/>
        </w:rPr>
      </w:pPr>
    </w:p>
    <w:p w14:paraId="4ED91E94">
      <w:pPr>
        <w:widowControl/>
        <w:wordWrap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供应商名称：</w:t>
      </w:r>
      <w:r>
        <w:rPr>
          <w:rFonts w:hint="eastAsia" w:ascii="宋体" w:hAnsi="宋体" w:eastAsia="宋体" w:cs="宋体"/>
          <w:kern w:val="0"/>
          <w:szCs w:val="21"/>
          <w:u w:val="single"/>
        </w:rPr>
        <w:t xml:space="preserve">                                </w:t>
      </w:r>
    </w:p>
    <w:p w14:paraId="7A76E356">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地址：</w:t>
      </w:r>
      <w:r>
        <w:rPr>
          <w:rFonts w:hint="eastAsia" w:ascii="宋体" w:hAnsi="宋体" w:eastAsia="宋体" w:cs="宋体"/>
          <w:kern w:val="0"/>
          <w:szCs w:val="21"/>
          <w:u w:val="single"/>
        </w:rPr>
        <w:t xml:space="preserve">                                        </w:t>
      </w:r>
    </w:p>
    <w:p w14:paraId="3DFC56B3">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rPr>
        <w:t>成立时间：</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 </w:t>
      </w:r>
      <w:r>
        <w:rPr>
          <w:rFonts w:hint="eastAsia" w:ascii="宋体" w:hAnsi="宋体" w:eastAsia="宋体" w:cs="宋体"/>
          <w:kern w:val="0"/>
          <w:sz w:val="24"/>
          <w:szCs w:val="20"/>
        </w:rPr>
        <w:t xml:space="preserve">年 </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 xml:space="preserve">月 </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日</w:t>
      </w:r>
    </w:p>
    <w:p w14:paraId="1496DFA1">
      <w:pPr>
        <w:widowControl/>
        <w:wordWrap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szCs w:val="20"/>
        </w:rPr>
        <w:t>经营期限：</w:t>
      </w:r>
      <w:r>
        <w:rPr>
          <w:rFonts w:hint="eastAsia" w:ascii="宋体" w:hAnsi="宋体" w:eastAsia="宋体" w:cs="宋体"/>
          <w:kern w:val="0"/>
          <w:szCs w:val="21"/>
          <w:u w:val="single"/>
        </w:rPr>
        <w:t xml:space="preserve">                        </w:t>
      </w:r>
    </w:p>
    <w:p w14:paraId="7B0DEBB7">
      <w:pPr>
        <w:widowControl/>
        <w:wordWrap w:val="0"/>
        <w:spacing w:line="460" w:lineRule="exact"/>
        <w:ind w:firstLine="480" w:firstLineChars="200"/>
        <w:jc w:val="left"/>
        <w:rPr>
          <w:rFonts w:hint="eastAsia" w:ascii="宋体" w:hAnsi="宋体" w:eastAsia="宋体" w:cs="宋体"/>
          <w:kern w:val="0"/>
          <w:szCs w:val="21"/>
          <w:u w:val="single"/>
        </w:rPr>
      </w:pPr>
      <w:r>
        <w:rPr>
          <w:rFonts w:hint="eastAsia" w:ascii="宋体" w:hAnsi="宋体" w:eastAsia="宋体" w:cs="宋体"/>
          <w:kern w:val="0"/>
          <w:sz w:val="24"/>
        </w:rPr>
        <w:t>姓名：</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 </w:t>
      </w:r>
      <w:r>
        <w:rPr>
          <w:rFonts w:hint="eastAsia" w:ascii="宋体" w:hAnsi="宋体" w:eastAsia="宋体" w:cs="宋体"/>
          <w:kern w:val="0"/>
          <w:sz w:val="24"/>
          <w:szCs w:val="20"/>
        </w:rPr>
        <w:t>，性别：</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，年龄：</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，职务：</w:t>
      </w:r>
      <w:r>
        <w:rPr>
          <w:rFonts w:hint="eastAsia" w:ascii="宋体" w:hAnsi="宋体" w:eastAsia="宋体" w:cs="宋体"/>
          <w:kern w:val="0"/>
          <w:szCs w:val="21"/>
          <w:u w:val="single"/>
        </w:rPr>
        <w:t xml:space="preserve">        </w:t>
      </w:r>
    </w:p>
    <w:p w14:paraId="6018CF94">
      <w:pPr>
        <w:widowControl/>
        <w:wordWrap w:val="0"/>
        <w:spacing w:line="460" w:lineRule="exact"/>
        <w:jc w:val="left"/>
        <w:rPr>
          <w:rFonts w:hint="eastAsia" w:ascii="宋体" w:hAnsi="宋体" w:eastAsia="宋体" w:cs="宋体"/>
          <w:kern w:val="0"/>
          <w:sz w:val="24"/>
          <w:szCs w:val="20"/>
        </w:rPr>
      </w:pPr>
      <w:r>
        <w:rPr>
          <w:rFonts w:hint="eastAsia" w:ascii="宋体" w:hAnsi="宋体" w:eastAsia="宋体" w:cs="宋体"/>
          <w:kern w:val="0"/>
          <w:sz w:val="24"/>
          <w:szCs w:val="20"/>
        </w:rPr>
        <w:t>系</w:t>
      </w:r>
      <w:r>
        <w:rPr>
          <w:rFonts w:hint="eastAsia" w:ascii="宋体" w:hAnsi="宋体" w:eastAsia="宋体" w:cs="宋体"/>
          <w:kern w:val="0"/>
          <w:szCs w:val="21"/>
          <w:u w:val="single"/>
        </w:rPr>
        <w:t xml:space="preserve">                </w:t>
      </w:r>
      <w:r>
        <w:rPr>
          <w:rFonts w:hint="eastAsia" w:ascii="宋体" w:hAnsi="宋体" w:eastAsia="宋体" w:cs="宋体"/>
          <w:kern w:val="0"/>
          <w:sz w:val="24"/>
          <w:szCs w:val="20"/>
        </w:rPr>
        <w:t>（供应商名称）的法定代表人。</w:t>
      </w:r>
    </w:p>
    <w:p w14:paraId="32E04399">
      <w:pPr>
        <w:widowControl/>
        <w:wordWrap w:val="0"/>
        <w:spacing w:line="460" w:lineRule="exact"/>
        <w:jc w:val="left"/>
        <w:rPr>
          <w:rFonts w:hint="eastAsia" w:ascii="宋体" w:hAnsi="宋体" w:eastAsia="宋体" w:cs="宋体"/>
          <w:kern w:val="0"/>
          <w:sz w:val="24"/>
          <w:szCs w:val="20"/>
        </w:rPr>
      </w:pPr>
    </w:p>
    <w:p w14:paraId="608E0E76">
      <w:pPr>
        <w:widowControl/>
        <w:wordWrap w:val="0"/>
        <w:spacing w:line="460" w:lineRule="exact"/>
        <w:ind w:firstLine="480" w:firstLineChars="200"/>
        <w:jc w:val="left"/>
        <w:rPr>
          <w:rFonts w:hint="eastAsia" w:ascii="宋体" w:hAnsi="宋体" w:eastAsia="宋体" w:cs="宋体"/>
          <w:kern w:val="0"/>
          <w:sz w:val="24"/>
          <w:szCs w:val="20"/>
        </w:rPr>
      </w:pPr>
      <w:r>
        <w:rPr>
          <w:rFonts w:hint="eastAsia" w:ascii="宋体" w:hAnsi="宋体" w:eastAsia="宋体" w:cs="宋体"/>
          <w:kern w:val="0"/>
          <w:sz w:val="24"/>
          <w:szCs w:val="20"/>
        </w:rPr>
        <w:t>特此证明。</w:t>
      </w:r>
    </w:p>
    <w:p w14:paraId="44CDA274">
      <w:pPr>
        <w:widowControl/>
        <w:wordWrap w:val="0"/>
        <w:spacing w:line="460" w:lineRule="exact"/>
        <w:jc w:val="left"/>
        <w:rPr>
          <w:rFonts w:hint="eastAsia" w:ascii="宋体" w:hAnsi="宋体" w:eastAsia="宋体" w:cs="宋体"/>
          <w:kern w:val="0"/>
          <w:sz w:val="24"/>
          <w:szCs w:val="20"/>
        </w:rPr>
      </w:pPr>
    </w:p>
    <w:p w14:paraId="1FDE10F6">
      <w:pPr>
        <w:widowControl/>
        <w:wordWrap w:val="0"/>
        <w:spacing w:before="319" w:beforeLines="100" w:after="319" w:afterLines="100" w:line="480" w:lineRule="exact"/>
        <w:jc w:val="center"/>
        <w:rPr>
          <w:rFonts w:hint="eastAsia" w:ascii="宋体" w:hAnsi="宋体" w:eastAsia="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843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53D7886">
            <w:pPr>
              <w:widowControl/>
              <w:spacing w:line="480" w:lineRule="exact"/>
              <w:jc w:val="left"/>
              <w:rPr>
                <w:rFonts w:hint="eastAsia" w:ascii="宋体" w:hAnsi="宋体" w:eastAsia="宋体" w:cs="宋体"/>
                <w:bCs/>
                <w:kern w:val="0"/>
                <w:sz w:val="24"/>
              </w:rPr>
            </w:pPr>
            <w:r>
              <w:rPr>
                <w:rFonts w:hint="eastAsia" w:ascii="宋体" w:hAnsi="宋体" w:eastAsia="宋体" w:cs="宋体"/>
                <w:bCs/>
                <w:kern w:val="0"/>
                <w:sz w:val="24"/>
              </w:rPr>
              <w:t>此处请粘贴法定代表人身份证复印件</w:t>
            </w:r>
          </w:p>
          <w:p w14:paraId="42456746">
            <w:pPr>
              <w:widowControl/>
              <w:spacing w:line="480" w:lineRule="exact"/>
              <w:jc w:val="left"/>
              <w:rPr>
                <w:rFonts w:hint="eastAsia" w:ascii="宋体" w:hAnsi="宋体" w:eastAsia="宋体" w:cs="宋体"/>
                <w:kern w:val="0"/>
                <w:sz w:val="24"/>
              </w:rPr>
            </w:pPr>
          </w:p>
          <w:p w14:paraId="7B97C3EA">
            <w:pPr>
              <w:widowControl/>
              <w:spacing w:line="480" w:lineRule="exact"/>
              <w:jc w:val="left"/>
              <w:rPr>
                <w:rFonts w:hint="eastAsia" w:ascii="宋体" w:hAnsi="宋体" w:eastAsia="宋体" w:cs="宋体"/>
                <w:kern w:val="0"/>
                <w:sz w:val="24"/>
              </w:rPr>
            </w:pPr>
          </w:p>
        </w:tc>
      </w:tr>
    </w:tbl>
    <w:p w14:paraId="2EF11FA5">
      <w:pPr>
        <w:widowControl/>
        <w:wordWrap w:val="0"/>
        <w:spacing w:before="319" w:beforeLines="100" w:after="319" w:afterLines="100" w:line="480" w:lineRule="exact"/>
        <w:jc w:val="center"/>
        <w:rPr>
          <w:rFonts w:hint="eastAsia" w:ascii="宋体" w:hAnsi="宋体" w:eastAsia="宋体" w:cs="宋体"/>
          <w:b/>
          <w:kern w:val="0"/>
          <w:sz w:val="24"/>
        </w:rPr>
      </w:pPr>
    </w:p>
    <w:p w14:paraId="7357D368">
      <w:pPr>
        <w:widowControl/>
        <w:wordWrap w:val="0"/>
        <w:spacing w:before="319" w:beforeLines="100" w:after="319" w:afterLines="100" w:line="480" w:lineRule="exact"/>
        <w:jc w:val="center"/>
        <w:rPr>
          <w:rFonts w:hint="eastAsia" w:ascii="宋体" w:hAnsi="宋体" w:eastAsia="宋体" w:cs="宋体"/>
          <w:b/>
          <w:kern w:val="0"/>
          <w:sz w:val="36"/>
          <w:szCs w:val="36"/>
        </w:rPr>
      </w:pPr>
    </w:p>
    <w:p w14:paraId="0B562E27">
      <w:pPr>
        <w:widowControl/>
        <w:wordWrap w:val="0"/>
        <w:spacing w:before="319" w:beforeLines="100" w:after="319" w:afterLines="100" w:line="480" w:lineRule="exact"/>
        <w:jc w:val="center"/>
        <w:rPr>
          <w:rFonts w:hint="eastAsia" w:ascii="宋体" w:hAnsi="宋体" w:eastAsia="宋体" w:cs="宋体"/>
          <w:b/>
          <w:kern w:val="0"/>
          <w:sz w:val="36"/>
          <w:szCs w:val="36"/>
        </w:rPr>
      </w:pPr>
    </w:p>
    <w:p w14:paraId="04353AE7">
      <w:pPr>
        <w:widowControl/>
        <w:wordWrap w:val="0"/>
        <w:spacing w:line="480" w:lineRule="exact"/>
        <w:jc w:val="right"/>
        <w:rPr>
          <w:rFonts w:hint="eastAsia" w:ascii="宋体" w:hAnsi="宋体" w:eastAsia="宋体" w:cs="宋体"/>
          <w:kern w:val="0"/>
          <w:sz w:val="24"/>
        </w:rPr>
      </w:pPr>
    </w:p>
    <w:p w14:paraId="09217442">
      <w:pPr>
        <w:widowControl/>
        <w:wordWrap w:val="0"/>
        <w:spacing w:line="480" w:lineRule="exact"/>
        <w:jc w:val="right"/>
        <w:rPr>
          <w:rFonts w:hint="eastAsia" w:ascii="宋体" w:hAnsi="宋体" w:eastAsia="宋体" w:cs="宋体"/>
          <w:kern w:val="0"/>
          <w:sz w:val="24"/>
        </w:rPr>
      </w:pPr>
    </w:p>
    <w:p w14:paraId="6375AE43">
      <w:pPr>
        <w:widowControl/>
        <w:wordWrap w:val="0"/>
        <w:snapToGrid w:val="0"/>
        <w:spacing w:line="460" w:lineRule="exact"/>
        <w:ind w:firstLine="2760" w:firstLineChars="1150"/>
        <w:jc w:val="left"/>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Cs w:val="21"/>
          <w:u w:val="single"/>
        </w:rPr>
        <w:t xml:space="preserve">                </w:t>
      </w:r>
      <w:r>
        <w:rPr>
          <w:rFonts w:hint="eastAsia" w:ascii="宋体" w:hAnsi="宋体" w:eastAsia="宋体" w:cs="宋体"/>
          <w:kern w:val="0"/>
          <w:sz w:val="24"/>
        </w:rPr>
        <w:t>（全称并加盖公章）</w:t>
      </w:r>
    </w:p>
    <w:p w14:paraId="34AB3993">
      <w:pPr>
        <w:widowControl/>
        <w:wordWrap w:val="0"/>
        <w:spacing w:line="460" w:lineRule="exact"/>
        <w:ind w:left="3780" w:leftChars="1800" w:firstLine="480" w:firstLineChars="200"/>
        <w:jc w:val="left"/>
        <w:rPr>
          <w:rFonts w:hint="eastAsia" w:ascii="宋体" w:hAnsi="宋体" w:eastAsia="宋体" w:cs="宋体"/>
          <w:kern w:val="0"/>
          <w:sz w:val="24"/>
        </w:rPr>
      </w:pPr>
      <w:r>
        <w:rPr>
          <w:rFonts w:hint="eastAsia" w:ascii="宋体" w:hAnsi="宋体" w:eastAsia="宋体" w:cs="宋体"/>
          <w:kern w:val="0"/>
          <w:sz w:val="24"/>
        </w:rPr>
        <w:t>年    月    日</w:t>
      </w:r>
    </w:p>
    <w:p w14:paraId="27CC9232">
      <w:pPr>
        <w:rPr>
          <w:rFonts w:hint="eastAsia" w:ascii="宋体" w:hAnsi="宋体" w:eastAsia="宋体" w:cs="宋体"/>
        </w:rPr>
      </w:pPr>
    </w:p>
    <w:p w14:paraId="6E11612D">
      <w:pPr>
        <w:rPr>
          <w:rFonts w:hint="eastAsia" w:ascii="宋体" w:hAnsi="宋体" w:eastAsia="宋体" w:cs="宋体"/>
        </w:rPr>
      </w:pPr>
      <w:r>
        <w:rPr>
          <w:rFonts w:hint="eastAsia" w:ascii="宋体" w:hAnsi="宋体" w:eastAsia="宋体" w:cs="宋体"/>
        </w:rPr>
        <w:br w:type="page"/>
      </w:r>
    </w:p>
    <w:p w14:paraId="2BC9F376">
      <w:pPr>
        <w:pStyle w:val="6"/>
        <w:snapToGrid w:val="0"/>
        <w:spacing w:before="20" w:after="20" w:line="360" w:lineRule="auto"/>
        <w:jc w:val="center"/>
        <w:rPr>
          <w:rFonts w:hint="eastAsia" w:ascii="宋体" w:hAnsi="宋体" w:eastAsia="宋体" w:cs="宋体"/>
          <w:sz w:val="28"/>
          <w:szCs w:val="28"/>
        </w:rPr>
      </w:pPr>
      <w:bookmarkStart w:id="92" w:name="_Toc30519"/>
      <w:bookmarkStart w:id="93" w:name="_Toc12939"/>
      <w:bookmarkStart w:id="94" w:name="_Toc13976"/>
      <w:r>
        <w:rPr>
          <w:rFonts w:hint="eastAsia" w:ascii="宋体" w:hAnsi="宋体" w:eastAsia="宋体" w:cs="宋体"/>
          <w:sz w:val="28"/>
          <w:szCs w:val="28"/>
        </w:rPr>
        <w:t>附件</w:t>
      </w:r>
      <w:r>
        <w:rPr>
          <w:rFonts w:hint="eastAsia" w:ascii="宋体" w:hAnsi="宋体" w:eastAsia="宋体" w:cs="宋体"/>
          <w:sz w:val="28"/>
          <w:szCs w:val="28"/>
          <w:lang w:val="en-US" w:eastAsia="zh-CN"/>
        </w:rPr>
        <w:t>7</w:t>
      </w:r>
      <w:r>
        <w:rPr>
          <w:rFonts w:hint="eastAsia" w:ascii="宋体" w:hAnsi="宋体" w:eastAsia="宋体" w:cs="宋体"/>
          <w:sz w:val="28"/>
          <w:szCs w:val="28"/>
        </w:rPr>
        <w:t xml:space="preserve">         法定代表人授权书（格式）</w:t>
      </w:r>
      <w:bookmarkEnd w:id="92"/>
      <w:bookmarkEnd w:id="93"/>
      <w:bookmarkEnd w:id="94"/>
    </w:p>
    <w:p w14:paraId="7D8DAFEF">
      <w:pPr>
        <w:widowControl/>
        <w:tabs>
          <w:tab w:val="left" w:pos="420"/>
          <w:tab w:val="left" w:pos="2160"/>
        </w:tabs>
        <w:wordWrap w:val="0"/>
        <w:spacing w:line="460" w:lineRule="exact"/>
        <w:ind w:firstLine="480" w:firstLineChars="200"/>
        <w:jc w:val="left"/>
        <w:rPr>
          <w:rFonts w:hint="eastAsia" w:ascii="宋体" w:hAnsi="宋体" w:eastAsia="宋体" w:cs="宋体"/>
          <w:kern w:val="0"/>
          <w:sz w:val="24"/>
        </w:rPr>
      </w:pPr>
    </w:p>
    <w:p w14:paraId="3FA35B43">
      <w:pPr>
        <w:widowControl/>
        <w:wordWrap w:val="0"/>
        <w:snapToGrid w:val="0"/>
        <w:spacing w:line="460" w:lineRule="exact"/>
        <w:jc w:val="left"/>
        <w:rPr>
          <w:rFonts w:hint="eastAsia" w:ascii="宋体" w:hAnsi="宋体" w:eastAsia="宋体" w:cs="宋体"/>
          <w:b/>
          <w:bCs/>
          <w:kern w:val="0"/>
          <w:sz w:val="24"/>
        </w:rPr>
      </w:pPr>
      <w:r>
        <w:rPr>
          <w:rFonts w:hint="eastAsia" w:ascii="宋体" w:hAnsi="宋体" w:eastAsia="宋体" w:cs="宋体"/>
          <w:bCs/>
          <w:kern w:val="0"/>
          <w:sz w:val="24"/>
        </w:rPr>
        <w:t>致：</w:t>
      </w:r>
      <w:r>
        <w:rPr>
          <w:rFonts w:hint="eastAsia" w:ascii="宋体" w:hAnsi="宋体" w:eastAsia="宋体" w:cs="宋体"/>
          <w:kern w:val="0"/>
          <w:szCs w:val="21"/>
          <w:u w:val="single"/>
        </w:rPr>
        <w:t xml:space="preserve">                </w:t>
      </w:r>
      <w:r>
        <w:rPr>
          <w:rFonts w:hint="eastAsia" w:ascii="宋体" w:hAnsi="宋体" w:eastAsia="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w:t>
      </w:r>
      <w:r>
        <w:rPr>
          <w:rFonts w:hint="eastAsia" w:ascii="宋体" w:hAnsi="宋体" w:eastAsia="宋体" w:cs="宋体"/>
          <w:kern w:val="0"/>
          <w:szCs w:val="21"/>
          <w:u w:val="single"/>
        </w:rPr>
        <w:t xml:space="preserve">        </w:t>
      </w:r>
      <w:r>
        <w:rPr>
          <w:rFonts w:hint="eastAsia" w:ascii="宋体" w:hAnsi="宋体" w:eastAsia="宋体" w:cs="宋体"/>
          <w:kern w:val="0"/>
          <w:sz w:val="24"/>
        </w:rPr>
        <w:t>（姓名）系</w:t>
      </w:r>
      <w:r>
        <w:rPr>
          <w:rFonts w:hint="eastAsia" w:ascii="宋体" w:hAnsi="宋体" w:eastAsia="宋体" w:cs="宋体"/>
          <w:kern w:val="0"/>
          <w:szCs w:val="21"/>
          <w:u w:val="single"/>
        </w:rPr>
        <w:t xml:space="preserve">                </w:t>
      </w:r>
      <w:r>
        <w:rPr>
          <w:rFonts w:hint="eastAsia" w:ascii="宋体" w:hAnsi="宋体" w:eastAsia="宋体" w:cs="宋体"/>
          <w:kern w:val="0"/>
          <w:sz w:val="24"/>
        </w:rPr>
        <w:t xml:space="preserve">（供应商名称）的法定代表人，现委托 </w:t>
      </w:r>
      <w:r>
        <w:rPr>
          <w:rFonts w:hint="eastAsia" w:ascii="宋体" w:hAnsi="宋体" w:eastAsia="宋体" w:cs="宋体"/>
          <w:kern w:val="0"/>
          <w:szCs w:val="21"/>
          <w:u w:val="single"/>
        </w:rPr>
        <w:t xml:space="preserve">        </w:t>
      </w:r>
      <w:r>
        <w:rPr>
          <w:rFonts w:hint="eastAsia" w:ascii="宋体" w:hAnsi="宋体" w:eastAsia="宋体" w:cs="宋体"/>
          <w:kern w:val="0"/>
          <w:sz w:val="24"/>
        </w:rPr>
        <w:t>（姓名）为我方代理人。代理人根据本授权，以我方的名义参加</w:t>
      </w:r>
      <w:r>
        <w:rPr>
          <w:rFonts w:hint="eastAsia" w:ascii="宋体" w:hAnsi="宋体" w:eastAsia="宋体" w:cs="宋体"/>
          <w:kern w:val="0"/>
          <w:szCs w:val="21"/>
          <w:u w:val="single"/>
        </w:rPr>
        <w:t xml:space="preserve">             </w:t>
      </w:r>
      <w:r>
        <w:rPr>
          <w:rFonts w:hint="eastAsia" w:ascii="宋体" w:hAnsi="宋体" w:eastAsia="宋体" w:cs="宋体"/>
          <w:kern w:val="0"/>
          <w:sz w:val="24"/>
        </w:rPr>
        <w:t>项目的投标活动，并代表我方全权办理针对上述项目的磋商、开标、评审、签约等具体事务和签署相关文件。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eastAsia="宋体" w:cs="宋体"/>
          <w:kern w:val="0"/>
          <w:sz w:val="24"/>
        </w:rPr>
      </w:pPr>
    </w:p>
    <w:p w14:paraId="55F991E5">
      <w:pPr>
        <w:widowControl/>
        <w:wordWrap w:val="0"/>
        <w:snapToGrid w:val="0"/>
        <w:spacing w:line="460" w:lineRule="exact"/>
        <w:ind w:firstLine="480" w:firstLineChars="200"/>
        <w:jc w:val="left"/>
        <w:rPr>
          <w:rFonts w:hint="eastAsia" w:ascii="宋体" w:hAnsi="宋体" w:eastAsia="宋体" w:cs="宋体"/>
          <w:kern w:val="0"/>
          <w:sz w:val="24"/>
          <w:u w:val="single"/>
        </w:rPr>
      </w:pPr>
      <w:r>
        <w:rPr>
          <w:rFonts w:hint="eastAsia" w:ascii="宋体" w:hAnsi="宋体" w:eastAsia="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eastAsia="宋体" w:cs="宋体"/>
                <w:kern w:val="0"/>
                <w:sz w:val="24"/>
              </w:rPr>
            </w:pPr>
            <w:r>
              <w:rPr>
                <w:rFonts w:hint="eastAsia" w:ascii="宋体" w:hAnsi="宋体" w:eastAsia="宋体" w:cs="宋体"/>
                <w:bCs/>
                <w:kern w:val="0"/>
                <w:sz w:val="24"/>
              </w:rPr>
              <w:t>此处请粘贴</w:t>
            </w:r>
            <w:r>
              <w:rPr>
                <w:rFonts w:hint="eastAsia" w:ascii="宋体" w:hAnsi="宋体" w:eastAsia="宋体" w:cs="宋体"/>
                <w:kern w:val="0"/>
                <w:sz w:val="24"/>
              </w:rPr>
              <w:t>委托代理人</w:t>
            </w:r>
            <w:r>
              <w:rPr>
                <w:rFonts w:hint="eastAsia" w:ascii="宋体" w:hAnsi="宋体" w:eastAsia="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eastAsia="宋体" w:cs="宋体"/>
          <w:kern w:val="0"/>
          <w:sz w:val="24"/>
        </w:rPr>
      </w:pPr>
    </w:p>
    <w:p w14:paraId="61891E2C">
      <w:pPr>
        <w:widowControl/>
        <w:wordWrap w:val="0"/>
        <w:spacing w:line="360" w:lineRule="auto"/>
        <w:jc w:val="center"/>
        <w:rPr>
          <w:rFonts w:hint="eastAsia" w:ascii="宋体" w:hAnsi="宋体" w:eastAsia="宋体" w:cs="宋体"/>
          <w:kern w:val="0"/>
          <w:sz w:val="24"/>
        </w:rPr>
      </w:pPr>
    </w:p>
    <w:p w14:paraId="64575B1E">
      <w:pPr>
        <w:widowControl/>
        <w:wordWrap w:val="0"/>
        <w:spacing w:line="360" w:lineRule="auto"/>
        <w:jc w:val="right"/>
        <w:rPr>
          <w:rFonts w:hint="eastAsia" w:ascii="宋体" w:hAnsi="宋体" w:eastAsia="宋体" w:cs="宋体"/>
          <w:kern w:val="0"/>
          <w:sz w:val="24"/>
        </w:rPr>
      </w:pPr>
    </w:p>
    <w:p w14:paraId="064F85A3">
      <w:pPr>
        <w:widowControl/>
        <w:wordWrap w:val="0"/>
        <w:spacing w:line="360" w:lineRule="auto"/>
        <w:jc w:val="right"/>
        <w:rPr>
          <w:rFonts w:hint="eastAsia" w:ascii="宋体" w:hAnsi="宋体" w:eastAsia="宋体" w:cs="宋体"/>
          <w:kern w:val="0"/>
          <w:sz w:val="24"/>
        </w:rPr>
      </w:pPr>
    </w:p>
    <w:p w14:paraId="33C67BBB">
      <w:pPr>
        <w:widowControl/>
        <w:wordWrap w:val="0"/>
        <w:spacing w:line="360" w:lineRule="auto"/>
        <w:jc w:val="right"/>
        <w:rPr>
          <w:rFonts w:hint="eastAsia" w:ascii="宋体" w:hAnsi="宋体" w:eastAsia="宋体" w:cs="宋体"/>
          <w:kern w:val="0"/>
          <w:sz w:val="24"/>
        </w:rPr>
      </w:pPr>
    </w:p>
    <w:p w14:paraId="608593A4">
      <w:pPr>
        <w:widowControl/>
        <w:wordWrap w:val="0"/>
        <w:spacing w:line="360" w:lineRule="auto"/>
        <w:jc w:val="right"/>
        <w:rPr>
          <w:rFonts w:hint="eastAsia" w:ascii="宋体" w:hAnsi="宋体" w:eastAsia="宋体" w:cs="宋体"/>
          <w:kern w:val="0"/>
          <w:sz w:val="24"/>
        </w:rPr>
      </w:pPr>
    </w:p>
    <w:p w14:paraId="7F7DEB31">
      <w:pPr>
        <w:widowControl/>
        <w:wordWrap w:val="0"/>
        <w:spacing w:line="360" w:lineRule="auto"/>
        <w:jc w:val="right"/>
        <w:rPr>
          <w:rFonts w:hint="eastAsia" w:ascii="宋体" w:hAnsi="宋体" w:eastAsia="宋体" w:cs="宋体"/>
          <w:kern w:val="0"/>
          <w:sz w:val="24"/>
        </w:rPr>
      </w:pPr>
    </w:p>
    <w:p w14:paraId="1CB4B73B">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供应商：</w:t>
      </w:r>
      <w:r>
        <w:rPr>
          <w:rFonts w:hint="eastAsia" w:ascii="宋体" w:hAnsi="宋体" w:eastAsia="宋体" w:cs="宋体"/>
          <w:kern w:val="0"/>
          <w:szCs w:val="21"/>
          <w:u w:val="single"/>
        </w:rPr>
        <w:t xml:space="preserve">                </w:t>
      </w:r>
      <w:r>
        <w:rPr>
          <w:rFonts w:hint="eastAsia" w:ascii="宋体" w:hAnsi="宋体" w:eastAsia="宋体" w:cs="宋体"/>
          <w:kern w:val="0"/>
          <w:sz w:val="24"/>
        </w:rPr>
        <w:t>（全称并加盖公章）</w:t>
      </w:r>
    </w:p>
    <w:p w14:paraId="5BE612CC">
      <w:pPr>
        <w:widowControl/>
        <w:wordWrap w:val="0"/>
        <w:spacing w:line="460" w:lineRule="exact"/>
        <w:ind w:firstLine="3840" w:firstLineChars="1600"/>
        <w:jc w:val="left"/>
        <w:rPr>
          <w:rFonts w:hint="eastAsia" w:ascii="宋体" w:hAnsi="宋体" w:eastAsia="宋体" w:cs="宋体"/>
          <w:b/>
          <w:kern w:val="0"/>
          <w:sz w:val="32"/>
          <w:szCs w:val="32"/>
        </w:rPr>
      </w:pPr>
      <w:r>
        <w:rPr>
          <w:rFonts w:hint="eastAsia" w:ascii="宋体" w:hAnsi="宋体" w:eastAsia="宋体" w:cs="宋体"/>
          <w:kern w:val="0"/>
          <w:sz w:val="24"/>
        </w:rPr>
        <w:t>年    月    日</w:t>
      </w:r>
    </w:p>
    <w:p w14:paraId="246BF713">
      <w:pPr>
        <w:widowControl/>
        <w:spacing w:line="360" w:lineRule="auto"/>
        <w:ind w:firstLine="7228" w:firstLineChars="2250"/>
        <w:jc w:val="left"/>
        <w:rPr>
          <w:rFonts w:hint="eastAsia" w:ascii="宋体" w:hAnsi="宋体" w:eastAsia="宋体" w:cs="宋体"/>
          <w:b/>
          <w:kern w:val="0"/>
          <w:sz w:val="32"/>
          <w:szCs w:val="32"/>
        </w:rPr>
      </w:pPr>
    </w:p>
    <w:p w14:paraId="5CF25B02">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589A4407">
      <w:pPr>
        <w:pStyle w:val="6"/>
        <w:snapToGrid w:val="0"/>
        <w:spacing w:before="20" w:after="20" w:line="360" w:lineRule="auto"/>
        <w:jc w:val="center"/>
        <w:rPr>
          <w:rFonts w:hint="eastAsia" w:ascii="宋体" w:hAnsi="宋体" w:eastAsia="宋体" w:cs="宋体"/>
          <w:sz w:val="28"/>
          <w:szCs w:val="28"/>
        </w:rPr>
      </w:pPr>
      <w:bookmarkStart w:id="95" w:name="_Toc18105"/>
      <w:bookmarkStart w:id="96" w:name="_Toc24693"/>
      <w:bookmarkStart w:id="97" w:name="_Toc3342"/>
      <w:r>
        <w:rPr>
          <w:rFonts w:hint="eastAsia" w:ascii="宋体" w:hAnsi="宋体" w:eastAsia="宋体" w:cs="宋体"/>
          <w:sz w:val="28"/>
          <w:szCs w:val="28"/>
        </w:rPr>
        <w:t>附件</w:t>
      </w: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          证明文件</w:t>
      </w:r>
      <w:bookmarkEnd w:id="95"/>
      <w:bookmarkEnd w:id="96"/>
      <w:bookmarkEnd w:id="97"/>
    </w:p>
    <w:p w14:paraId="31309464">
      <w:pPr>
        <w:pStyle w:val="11"/>
        <w:spacing w:beforeAutospacing="0" w:afterAutospacing="0" w:line="480" w:lineRule="auto"/>
        <w:ind w:firstLine="470" w:firstLineChars="224"/>
        <w:jc w:val="both"/>
        <w:rPr>
          <w:rFonts w:hint="eastAsia" w:ascii="宋体" w:hAnsi="宋体" w:eastAsia="宋体" w:cs="宋体"/>
          <w:bCs/>
          <w:sz w:val="21"/>
          <w:szCs w:val="21"/>
        </w:rPr>
      </w:pPr>
    </w:p>
    <w:p w14:paraId="2FB97D9F">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9.1 资格审查资料</w:t>
      </w:r>
    </w:p>
    <w:p w14:paraId="7A150690">
      <w:pPr>
        <w:pStyle w:val="11"/>
        <w:spacing w:beforeAutospacing="0" w:afterAutospacing="0" w:line="480" w:lineRule="auto"/>
        <w:ind w:firstLine="470" w:firstLineChars="224"/>
        <w:jc w:val="both"/>
        <w:rPr>
          <w:rFonts w:hint="eastAsia" w:ascii="宋体" w:hAnsi="宋体" w:eastAsia="宋体" w:cs="宋体"/>
          <w:bCs/>
          <w:sz w:val="21"/>
          <w:szCs w:val="21"/>
        </w:rPr>
      </w:pPr>
    </w:p>
    <w:p w14:paraId="13A9BF4C">
      <w:pPr>
        <w:pStyle w:val="11"/>
        <w:spacing w:beforeAutospacing="0" w:afterAutospacing="0" w:line="480" w:lineRule="auto"/>
        <w:ind w:firstLine="470" w:firstLineChars="224"/>
        <w:jc w:val="both"/>
        <w:rPr>
          <w:rFonts w:hint="eastAsia" w:ascii="宋体" w:hAnsi="宋体" w:eastAsia="宋体" w:cs="宋体"/>
          <w:bCs/>
          <w:sz w:val="21"/>
          <w:szCs w:val="21"/>
        </w:rPr>
      </w:pPr>
    </w:p>
    <w:p w14:paraId="721C792F">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9.2</w:t>
      </w:r>
      <w:bookmarkStart w:id="98" w:name="_Toc17966"/>
      <w:r>
        <w:rPr>
          <w:rFonts w:hint="eastAsia" w:ascii="宋体" w:hAnsi="宋体" w:eastAsia="宋体" w:cs="宋体"/>
          <w:b/>
          <w:sz w:val="21"/>
          <w:szCs w:val="21"/>
        </w:rPr>
        <w:t>评分标准中需提供的</w:t>
      </w:r>
      <w:r>
        <w:rPr>
          <w:rFonts w:hint="eastAsia" w:cs="宋体"/>
          <w:b/>
          <w:sz w:val="21"/>
          <w:szCs w:val="21"/>
          <w:lang w:val="en-US" w:eastAsia="zh-CN"/>
        </w:rPr>
        <w:t>方案</w:t>
      </w:r>
      <w:r>
        <w:rPr>
          <w:rFonts w:hint="eastAsia" w:ascii="宋体" w:hAnsi="宋体" w:eastAsia="宋体" w:cs="宋体"/>
          <w:b/>
          <w:sz w:val="21"/>
          <w:szCs w:val="21"/>
        </w:rPr>
        <w:t>、</w:t>
      </w:r>
      <w:r>
        <w:rPr>
          <w:rFonts w:hint="eastAsia" w:cs="宋体"/>
          <w:b/>
          <w:sz w:val="21"/>
          <w:szCs w:val="21"/>
          <w:lang w:val="en-US" w:eastAsia="zh-CN"/>
        </w:rPr>
        <w:t>人员、</w:t>
      </w:r>
      <w:r>
        <w:rPr>
          <w:rFonts w:hint="eastAsia" w:ascii="宋体" w:hAnsi="宋体" w:eastAsia="宋体" w:cs="宋体"/>
          <w:b/>
          <w:sz w:val="21"/>
          <w:szCs w:val="21"/>
        </w:rPr>
        <w:t>业绩等</w:t>
      </w:r>
    </w:p>
    <w:p w14:paraId="4961F137">
      <w:pPr>
        <w:pStyle w:val="11"/>
        <w:spacing w:beforeAutospacing="0" w:afterAutospacing="0" w:line="480" w:lineRule="auto"/>
        <w:ind w:firstLine="470" w:firstLineChars="224"/>
        <w:jc w:val="both"/>
        <w:rPr>
          <w:rFonts w:hint="eastAsia" w:ascii="宋体" w:hAnsi="宋体" w:eastAsia="宋体" w:cs="宋体"/>
          <w:bCs/>
          <w:sz w:val="21"/>
          <w:szCs w:val="21"/>
        </w:rPr>
      </w:pPr>
    </w:p>
    <w:p w14:paraId="4D6FAF9C">
      <w:pPr>
        <w:pStyle w:val="11"/>
        <w:spacing w:beforeAutospacing="0" w:afterAutospacing="0" w:line="480" w:lineRule="auto"/>
        <w:ind w:firstLine="470" w:firstLineChars="224"/>
        <w:jc w:val="both"/>
        <w:rPr>
          <w:rFonts w:hint="eastAsia" w:ascii="宋体" w:hAnsi="宋体" w:eastAsia="宋体" w:cs="宋体"/>
          <w:bCs/>
          <w:sz w:val="21"/>
          <w:szCs w:val="21"/>
        </w:rPr>
      </w:pPr>
    </w:p>
    <w:p w14:paraId="50B0CB56">
      <w:pPr>
        <w:pStyle w:val="11"/>
        <w:spacing w:beforeAutospacing="0" w:afterAutospacing="0" w:line="480" w:lineRule="auto"/>
        <w:ind w:firstLine="472" w:firstLineChars="224"/>
        <w:jc w:val="both"/>
        <w:rPr>
          <w:rFonts w:hint="eastAsia" w:ascii="宋体" w:hAnsi="宋体" w:eastAsia="宋体" w:cs="宋体"/>
          <w:b/>
          <w:sz w:val="21"/>
          <w:szCs w:val="21"/>
        </w:rPr>
      </w:pPr>
      <w:r>
        <w:rPr>
          <w:rFonts w:hint="eastAsia" w:ascii="宋体" w:hAnsi="宋体" w:eastAsia="宋体" w:cs="宋体"/>
          <w:b/>
          <w:sz w:val="21"/>
          <w:szCs w:val="21"/>
        </w:rPr>
        <w:t>9.3供应商认为其他需要提供的证明材料。</w:t>
      </w:r>
    </w:p>
    <w:p w14:paraId="29759004">
      <w:pPr>
        <w:pStyle w:val="11"/>
        <w:spacing w:beforeAutospacing="0" w:afterAutospacing="0" w:line="480" w:lineRule="auto"/>
        <w:ind w:firstLine="540" w:firstLineChars="224"/>
        <w:jc w:val="both"/>
        <w:rPr>
          <w:rFonts w:hint="eastAsia" w:ascii="宋体" w:hAnsi="宋体" w:eastAsia="宋体" w:cs="宋体"/>
          <w:b/>
          <w:bCs/>
        </w:rPr>
      </w:pPr>
    </w:p>
    <w:p w14:paraId="1E22A0E7">
      <w:pPr>
        <w:pStyle w:val="11"/>
        <w:spacing w:beforeAutospacing="0" w:afterAutospacing="0" w:line="480" w:lineRule="auto"/>
        <w:ind w:firstLine="540" w:firstLineChars="224"/>
        <w:jc w:val="both"/>
        <w:rPr>
          <w:rFonts w:hint="eastAsia" w:ascii="宋体" w:hAnsi="宋体" w:eastAsia="宋体" w:cs="宋体"/>
          <w:b/>
          <w:bCs/>
        </w:rPr>
      </w:pPr>
    </w:p>
    <w:p w14:paraId="31838148">
      <w:pPr>
        <w:pStyle w:val="11"/>
        <w:spacing w:beforeAutospacing="0" w:afterAutospacing="0" w:line="480" w:lineRule="auto"/>
        <w:ind w:firstLine="540" w:firstLineChars="224"/>
        <w:jc w:val="both"/>
        <w:rPr>
          <w:rFonts w:hint="eastAsia" w:ascii="宋体" w:hAnsi="宋体" w:eastAsia="宋体" w:cs="宋体"/>
          <w:b/>
          <w:bCs/>
        </w:rPr>
      </w:pPr>
    </w:p>
    <w:p w14:paraId="1D0365F3">
      <w:pPr>
        <w:pStyle w:val="11"/>
        <w:spacing w:beforeAutospacing="0" w:afterAutospacing="0" w:line="480" w:lineRule="auto"/>
        <w:ind w:firstLine="540" w:firstLineChars="224"/>
        <w:jc w:val="both"/>
        <w:rPr>
          <w:rFonts w:hint="eastAsia" w:ascii="宋体" w:hAnsi="宋体" w:eastAsia="宋体" w:cs="宋体"/>
          <w:b/>
          <w:bCs/>
        </w:rPr>
      </w:pPr>
    </w:p>
    <w:p w14:paraId="266AD6FF">
      <w:pPr>
        <w:pStyle w:val="11"/>
        <w:spacing w:beforeAutospacing="0" w:afterAutospacing="0" w:line="480" w:lineRule="auto"/>
        <w:ind w:firstLine="540" w:firstLineChars="224"/>
        <w:jc w:val="both"/>
        <w:rPr>
          <w:rFonts w:hint="eastAsia" w:ascii="宋体" w:hAnsi="宋体" w:eastAsia="宋体" w:cs="宋体"/>
          <w:b/>
          <w:bCs/>
        </w:rPr>
      </w:pPr>
    </w:p>
    <w:p w14:paraId="6BC6C58F">
      <w:pPr>
        <w:pStyle w:val="11"/>
        <w:spacing w:beforeAutospacing="0" w:afterAutospacing="0" w:line="480" w:lineRule="auto"/>
        <w:ind w:firstLine="540" w:firstLineChars="224"/>
        <w:jc w:val="both"/>
        <w:rPr>
          <w:rFonts w:hint="eastAsia" w:ascii="宋体" w:hAnsi="宋体" w:eastAsia="宋体" w:cs="宋体"/>
          <w:b/>
          <w:bCs/>
        </w:rPr>
      </w:pPr>
    </w:p>
    <w:p w14:paraId="4395DF62">
      <w:pPr>
        <w:pStyle w:val="11"/>
        <w:spacing w:beforeAutospacing="0" w:afterAutospacing="0" w:line="480" w:lineRule="auto"/>
        <w:ind w:firstLine="540" w:firstLineChars="224"/>
        <w:jc w:val="both"/>
        <w:rPr>
          <w:rFonts w:hint="eastAsia" w:ascii="宋体" w:hAnsi="宋体" w:eastAsia="宋体" w:cs="宋体"/>
          <w:b/>
          <w:bCs/>
        </w:rPr>
      </w:pPr>
    </w:p>
    <w:p w14:paraId="67A783BF">
      <w:pPr>
        <w:pStyle w:val="11"/>
        <w:spacing w:beforeAutospacing="0" w:afterAutospacing="0" w:line="480" w:lineRule="auto"/>
        <w:ind w:firstLine="540" w:firstLineChars="224"/>
        <w:jc w:val="both"/>
        <w:rPr>
          <w:rFonts w:hint="eastAsia" w:ascii="宋体" w:hAnsi="宋体" w:eastAsia="宋体" w:cs="宋体"/>
          <w:b/>
          <w:bCs/>
        </w:rPr>
      </w:pPr>
    </w:p>
    <w:p w14:paraId="20762BBA">
      <w:pPr>
        <w:pStyle w:val="11"/>
        <w:spacing w:beforeAutospacing="0" w:afterAutospacing="0" w:line="480" w:lineRule="auto"/>
        <w:ind w:firstLine="540" w:firstLineChars="224"/>
        <w:jc w:val="both"/>
        <w:rPr>
          <w:rFonts w:hint="eastAsia" w:ascii="宋体" w:hAnsi="宋体" w:eastAsia="宋体" w:cs="宋体"/>
          <w:b/>
          <w:bCs/>
        </w:rPr>
      </w:pPr>
    </w:p>
    <w:p w14:paraId="70784347">
      <w:pPr>
        <w:pStyle w:val="11"/>
        <w:spacing w:beforeAutospacing="0" w:afterAutospacing="0" w:line="480" w:lineRule="auto"/>
        <w:ind w:firstLine="540" w:firstLineChars="224"/>
        <w:jc w:val="both"/>
        <w:rPr>
          <w:rFonts w:hint="eastAsia" w:ascii="宋体" w:hAnsi="宋体" w:eastAsia="宋体" w:cs="宋体"/>
          <w:b/>
          <w:bCs/>
        </w:rPr>
      </w:pPr>
    </w:p>
    <w:p w14:paraId="50B9EA49">
      <w:pPr>
        <w:rPr>
          <w:rFonts w:hint="eastAsia" w:ascii="宋体" w:hAnsi="宋体" w:eastAsia="宋体" w:cs="宋体"/>
          <w:sz w:val="28"/>
          <w:szCs w:val="28"/>
        </w:rPr>
      </w:pPr>
      <w:bookmarkStart w:id="99" w:name="_Toc12888"/>
      <w:bookmarkStart w:id="100" w:name="_Toc16083"/>
      <w:bookmarkStart w:id="101" w:name="_Toc13726"/>
      <w:r>
        <w:rPr>
          <w:rFonts w:hint="eastAsia" w:ascii="宋体" w:hAnsi="宋体" w:eastAsia="宋体" w:cs="宋体"/>
          <w:sz w:val="28"/>
          <w:szCs w:val="28"/>
        </w:rPr>
        <w:br w:type="page"/>
      </w:r>
    </w:p>
    <w:bookmarkEnd w:id="98"/>
    <w:bookmarkEnd w:id="99"/>
    <w:bookmarkEnd w:id="100"/>
    <w:bookmarkEnd w:id="101"/>
    <w:p w14:paraId="230C97BA">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w:t>
      </w:r>
      <w:r>
        <w:rPr>
          <w:rFonts w:hint="eastAsia" w:ascii="宋体" w:hAnsi="宋体" w:eastAsia="宋体" w:cs="宋体"/>
          <w:sz w:val="28"/>
          <w:szCs w:val="28"/>
          <w:lang w:val="en-US" w:eastAsia="zh-CN"/>
        </w:rPr>
        <w:t>9</w:t>
      </w:r>
      <w:r>
        <w:rPr>
          <w:rFonts w:hint="eastAsia" w:ascii="宋体" w:hAnsi="宋体" w:eastAsia="宋体" w:cs="宋体"/>
          <w:sz w:val="28"/>
          <w:szCs w:val="28"/>
        </w:rPr>
        <w:t xml:space="preserve">     供应商信用承诺函（格式）</w:t>
      </w:r>
    </w:p>
    <w:p w14:paraId="3525776A">
      <w:pPr>
        <w:snapToGrid w:val="0"/>
        <w:spacing w:line="360" w:lineRule="auto"/>
        <w:ind w:firstLine="641"/>
        <w:rPr>
          <w:rFonts w:hint="eastAsia" w:ascii="宋体" w:hAnsi="宋体" w:eastAsia="宋体" w:cs="宋体"/>
          <w:szCs w:val="21"/>
        </w:rPr>
      </w:pPr>
      <w:r>
        <w:rPr>
          <w:rFonts w:hint="eastAsia" w:ascii="宋体" w:hAnsi="宋体" w:eastAsia="宋体" w:cs="宋体"/>
          <w:szCs w:val="21"/>
        </w:rPr>
        <w:t>致（采购人或政府采购代理机构）：</w:t>
      </w:r>
    </w:p>
    <w:p w14:paraId="7962E3DD">
      <w:pPr>
        <w:snapToGrid w:val="0"/>
        <w:spacing w:line="360" w:lineRule="auto"/>
        <w:ind w:firstLine="641"/>
        <w:rPr>
          <w:rFonts w:hint="eastAsia" w:ascii="宋体" w:hAnsi="宋体" w:eastAsia="宋体" w:cs="宋体"/>
          <w:szCs w:val="21"/>
        </w:rPr>
      </w:pPr>
      <w:r>
        <w:rPr>
          <w:rFonts w:hint="eastAsia" w:ascii="宋体" w:hAnsi="宋体" w:eastAsia="宋体" w:cs="宋体"/>
          <w:szCs w:val="21"/>
        </w:rPr>
        <w:t>单位名称（自然人姓名）：</w:t>
      </w:r>
    </w:p>
    <w:p w14:paraId="61CC84A0">
      <w:pPr>
        <w:snapToGrid w:val="0"/>
        <w:spacing w:line="360" w:lineRule="auto"/>
        <w:ind w:firstLine="641"/>
        <w:rPr>
          <w:rFonts w:hint="eastAsia" w:ascii="宋体" w:hAnsi="宋体" w:eastAsia="宋体" w:cs="宋体"/>
          <w:szCs w:val="21"/>
        </w:rPr>
      </w:pPr>
      <w:r>
        <w:rPr>
          <w:rFonts w:hint="eastAsia" w:ascii="宋体" w:hAnsi="宋体" w:eastAsia="宋体" w:cs="宋体"/>
          <w:szCs w:val="21"/>
        </w:rPr>
        <w:t>统一社会信用代码（身份证号码）：</w:t>
      </w:r>
    </w:p>
    <w:p w14:paraId="7E08EB54">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法定代表人（负责人）：</w:t>
      </w:r>
    </w:p>
    <w:p w14:paraId="3738E35D">
      <w:pPr>
        <w:snapToGrid w:val="0"/>
        <w:spacing w:line="360" w:lineRule="auto"/>
        <w:ind w:firstLine="641"/>
        <w:rPr>
          <w:rFonts w:hint="eastAsia" w:ascii="宋体" w:hAnsi="宋体" w:eastAsia="宋体" w:cs="宋体"/>
          <w:szCs w:val="21"/>
        </w:rPr>
      </w:pPr>
      <w:r>
        <w:rPr>
          <w:rFonts w:hint="eastAsia" w:ascii="宋体" w:hAnsi="宋体" w:eastAsia="宋体" w:cs="宋体"/>
          <w:szCs w:val="21"/>
        </w:rPr>
        <w:t>联系地址和电话：</w:t>
      </w:r>
    </w:p>
    <w:p w14:paraId="1C77255A">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1E0BAE0">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（一）具有独立承担民事责任的能力；</w:t>
      </w:r>
    </w:p>
    <w:p w14:paraId="456DDA4C">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（二）具有良好的商业信誉和健全的财务会计制度；</w:t>
      </w:r>
    </w:p>
    <w:p w14:paraId="225C74EC">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（三）具有履行合同所必需的设备和专业技术能力；</w:t>
      </w:r>
    </w:p>
    <w:p w14:paraId="4FFE3702">
      <w:pPr>
        <w:snapToGrid w:val="0"/>
        <w:spacing w:line="360" w:lineRule="auto"/>
        <w:ind w:firstLine="641"/>
        <w:rPr>
          <w:rFonts w:hint="eastAsia" w:ascii="宋体" w:hAnsi="宋体" w:eastAsia="宋体" w:cs="宋体"/>
          <w:szCs w:val="21"/>
        </w:rPr>
      </w:pPr>
      <w:r>
        <w:rPr>
          <w:rFonts w:hint="eastAsia" w:ascii="宋体" w:hAnsi="宋体" w:eastAsia="宋体" w:cs="宋体"/>
          <w:szCs w:val="21"/>
        </w:rPr>
        <w:t>（四）有依法缴纳税收和社会保障资金的良好记录；</w:t>
      </w:r>
    </w:p>
    <w:p w14:paraId="6691272F">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（五）参加政府采购活动前三年内，在经营活动中没有重大违法记录；</w:t>
      </w:r>
    </w:p>
    <w:p w14:paraId="69991FA5">
      <w:pPr>
        <w:snapToGrid w:val="0"/>
        <w:spacing w:line="360" w:lineRule="auto"/>
        <w:ind w:firstLine="641"/>
        <w:rPr>
          <w:rFonts w:hint="eastAsia" w:ascii="宋体" w:hAnsi="宋体" w:eastAsia="宋体" w:cs="宋体"/>
          <w:szCs w:val="21"/>
        </w:rPr>
      </w:pPr>
      <w:r>
        <w:rPr>
          <w:rFonts w:hint="eastAsia" w:ascii="宋体" w:hAnsi="宋体" w:eastAsia="宋体" w:cs="宋体"/>
          <w:szCs w:val="21"/>
        </w:rPr>
        <w:t>（六）未被列入严重失信主体名单、失信被执行人、税收违法黑名单、政府采购严重违法失信行为记录名单，未曾作出虚假承诺；</w:t>
      </w:r>
    </w:p>
    <w:p w14:paraId="325FFA86">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（七）符合法律、行政法规规定的其他条件。</w:t>
      </w:r>
    </w:p>
    <w:p w14:paraId="271AAAA4">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我单位（本人）保证上述承诺事项的真实性，如有弄虚作假或其他违法违规行为，愿意承担一切法律责任，并承担因此所造成的一切损失。</w:t>
      </w:r>
    </w:p>
    <w:p w14:paraId="451125C0">
      <w:pPr>
        <w:snapToGrid w:val="0"/>
        <w:spacing w:line="360" w:lineRule="auto"/>
        <w:ind w:firstLine="641"/>
        <w:rPr>
          <w:rFonts w:hint="eastAsia" w:ascii="宋体" w:hAnsi="宋体" w:eastAsia="宋体" w:cs="宋体"/>
          <w:szCs w:val="21"/>
        </w:rPr>
      </w:pPr>
    </w:p>
    <w:p w14:paraId="3DE21E3A">
      <w:pPr>
        <w:snapToGrid w:val="0"/>
        <w:spacing w:line="360" w:lineRule="auto"/>
        <w:ind w:firstLine="641"/>
        <w:rPr>
          <w:rFonts w:hint="eastAsia" w:ascii="宋体" w:hAnsi="宋体" w:eastAsia="宋体" w:cs="宋体"/>
          <w:szCs w:val="21"/>
        </w:rPr>
      </w:pPr>
      <w:r>
        <w:rPr>
          <w:rFonts w:hint="eastAsia" w:ascii="宋体" w:hAnsi="宋体" w:eastAsia="宋体" w:cs="宋体"/>
          <w:szCs w:val="21"/>
        </w:rPr>
        <w:t>供应商名称（盖章）：</w:t>
      </w:r>
    </w:p>
    <w:p w14:paraId="26AE6AFE">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法定代表人、负责人、自然人或授权代表(签字或盖章)：</w:t>
      </w:r>
    </w:p>
    <w:p w14:paraId="0C4B5689">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日期：       年      月       日</w:t>
      </w:r>
    </w:p>
    <w:p w14:paraId="41438B74">
      <w:pPr>
        <w:snapToGrid w:val="0"/>
        <w:spacing w:line="360" w:lineRule="auto"/>
        <w:ind w:firstLine="641"/>
        <w:rPr>
          <w:rFonts w:hint="eastAsia" w:ascii="宋体" w:hAnsi="宋体" w:eastAsia="宋体" w:cs="宋体"/>
          <w:szCs w:val="21"/>
        </w:rPr>
      </w:pPr>
    </w:p>
    <w:p w14:paraId="5749B822">
      <w:pPr>
        <w:snapToGrid w:val="0"/>
        <w:spacing w:line="360" w:lineRule="auto"/>
        <w:ind w:firstLine="641"/>
        <w:rPr>
          <w:rFonts w:hint="eastAsia" w:ascii="宋体" w:hAnsi="宋体" w:eastAsia="宋体" w:cs="宋体"/>
          <w:szCs w:val="21"/>
        </w:rPr>
      </w:pPr>
    </w:p>
    <w:p w14:paraId="4229C5C5">
      <w:pPr>
        <w:snapToGrid w:val="0"/>
        <w:spacing w:line="360" w:lineRule="auto"/>
        <w:ind w:firstLine="641"/>
        <w:rPr>
          <w:rFonts w:hint="eastAsia" w:ascii="宋体" w:hAnsi="宋体" w:eastAsia="宋体" w:cs="宋体"/>
          <w:szCs w:val="21"/>
        </w:rPr>
      </w:pPr>
      <w:r>
        <w:rPr>
          <w:rFonts w:hint="eastAsia" w:ascii="宋体" w:hAnsi="宋体" w:eastAsia="宋体" w:cs="宋体"/>
          <w:szCs w:val="21"/>
        </w:rPr>
        <w:t>注：1.供应商须在投标（响应性）文件中按此模板提供承诺函，未提供视为未实质性响应招标文件要求，按无效投标（响应）处理。</w:t>
      </w:r>
    </w:p>
    <w:p w14:paraId="4FDC4DEB">
      <w:pPr>
        <w:snapToGrid w:val="0"/>
        <w:spacing w:line="360" w:lineRule="auto"/>
        <w:ind w:firstLine="641"/>
        <w:rPr>
          <w:rFonts w:hint="eastAsia" w:ascii="宋体" w:hAnsi="宋体" w:eastAsia="宋体" w:cs="宋体"/>
        </w:rPr>
      </w:pPr>
      <w:r>
        <w:rPr>
          <w:rFonts w:hint="eastAsia" w:ascii="宋体" w:hAnsi="宋体" w:eastAsia="宋体" w:cs="宋体"/>
          <w:szCs w:val="21"/>
        </w:rPr>
        <w:t>2.供应商的法定代表人或者授权代表的签字或盖章应真实、有效，如由授权代表签字或盖章的，应提供“法定代表人授权书”。</w:t>
      </w:r>
    </w:p>
    <w:sectPr>
      <w:pgSz w:w="11906" w:h="16838"/>
      <w:pgMar w:top="1417" w:right="1474" w:bottom="1417" w:left="1474" w:header="851" w:footer="624"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5D71"/>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802"/>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745FBF"/>
    <w:rsid w:val="017A70CE"/>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E84657"/>
    <w:rsid w:val="02F40325"/>
    <w:rsid w:val="02F70D3E"/>
    <w:rsid w:val="02FA082F"/>
    <w:rsid w:val="030D0562"/>
    <w:rsid w:val="031126C4"/>
    <w:rsid w:val="033124A2"/>
    <w:rsid w:val="034733B8"/>
    <w:rsid w:val="03475E56"/>
    <w:rsid w:val="034877EC"/>
    <w:rsid w:val="034C5AA2"/>
    <w:rsid w:val="0353518A"/>
    <w:rsid w:val="035E4919"/>
    <w:rsid w:val="03675F31"/>
    <w:rsid w:val="036A009A"/>
    <w:rsid w:val="037A734D"/>
    <w:rsid w:val="03824140"/>
    <w:rsid w:val="03844805"/>
    <w:rsid w:val="03845791"/>
    <w:rsid w:val="03A011E9"/>
    <w:rsid w:val="03AE7F27"/>
    <w:rsid w:val="03BD2BCD"/>
    <w:rsid w:val="03C30C20"/>
    <w:rsid w:val="03CC058D"/>
    <w:rsid w:val="03E017D2"/>
    <w:rsid w:val="03F447E2"/>
    <w:rsid w:val="03F77068"/>
    <w:rsid w:val="03FB660C"/>
    <w:rsid w:val="042E37DB"/>
    <w:rsid w:val="0430275A"/>
    <w:rsid w:val="04364FA5"/>
    <w:rsid w:val="04416C20"/>
    <w:rsid w:val="044F28FA"/>
    <w:rsid w:val="04732647"/>
    <w:rsid w:val="047968B1"/>
    <w:rsid w:val="04870542"/>
    <w:rsid w:val="04B30F7A"/>
    <w:rsid w:val="050B6D23"/>
    <w:rsid w:val="050E236F"/>
    <w:rsid w:val="051E7443"/>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4A72F9"/>
    <w:rsid w:val="06560AED"/>
    <w:rsid w:val="066469C9"/>
    <w:rsid w:val="066646A1"/>
    <w:rsid w:val="066E164D"/>
    <w:rsid w:val="068E1202"/>
    <w:rsid w:val="068E7B23"/>
    <w:rsid w:val="06983B20"/>
    <w:rsid w:val="069A3B66"/>
    <w:rsid w:val="06A869D6"/>
    <w:rsid w:val="06A9264E"/>
    <w:rsid w:val="06B31420"/>
    <w:rsid w:val="06B91765"/>
    <w:rsid w:val="06CA2AD2"/>
    <w:rsid w:val="06CB0D68"/>
    <w:rsid w:val="06CE3071"/>
    <w:rsid w:val="06D33DBA"/>
    <w:rsid w:val="06D73361"/>
    <w:rsid w:val="06E12B55"/>
    <w:rsid w:val="06E13F9F"/>
    <w:rsid w:val="06FB0AC5"/>
    <w:rsid w:val="06FE7278"/>
    <w:rsid w:val="070D2D5D"/>
    <w:rsid w:val="07104A12"/>
    <w:rsid w:val="07111B8D"/>
    <w:rsid w:val="072916E2"/>
    <w:rsid w:val="072C5514"/>
    <w:rsid w:val="0733430F"/>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F37C7"/>
    <w:rsid w:val="088F472F"/>
    <w:rsid w:val="08BC0A60"/>
    <w:rsid w:val="08C52D6F"/>
    <w:rsid w:val="08CA34D3"/>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9F0305B"/>
    <w:rsid w:val="09FA1D54"/>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55815"/>
    <w:rsid w:val="0C3957A5"/>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206810"/>
    <w:rsid w:val="0D444B80"/>
    <w:rsid w:val="0D4861FD"/>
    <w:rsid w:val="0D725B91"/>
    <w:rsid w:val="0D735465"/>
    <w:rsid w:val="0D86163D"/>
    <w:rsid w:val="0DAD6BC9"/>
    <w:rsid w:val="0DB066B9"/>
    <w:rsid w:val="0DC577E0"/>
    <w:rsid w:val="0DDC6319"/>
    <w:rsid w:val="0DE1181F"/>
    <w:rsid w:val="0DE95727"/>
    <w:rsid w:val="0DED5D54"/>
    <w:rsid w:val="0DFA5B87"/>
    <w:rsid w:val="0DFE4F67"/>
    <w:rsid w:val="0E0407B3"/>
    <w:rsid w:val="0E0C0D4C"/>
    <w:rsid w:val="0E0D1416"/>
    <w:rsid w:val="0E113A11"/>
    <w:rsid w:val="0E115DA1"/>
    <w:rsid w:val="0E1409F6"/>
    <w:rsid w:val="0E162D6D"/>
    <w:rsid w:val="0E19425F"/>
    <w:rsid w:val="0E3C1CFB"/>
    <w:rsid w:val="0E460DCC"/>
    <w:rsid w:val="0E541CA2"/>
    <w:rsid w:val="0E576B35"/>
    <w:rsid w:val="0E594756"/>
    <w:rsid w:val="0E856B3B"/>
    <w:rsid w:val="0E95596D"/>
    <w:rsid w:val="0EAE6205"/>
    <w:rsid w:val="0EAE6579"/>
    <w:rsid w:val="0EAF71BF"/>
    <w:rsid w:val="0EC71F0D"/>
    <w:rsid w:val="0ECE6257"/>
    <w:rsid w:val="0EE303C9"/>
    <w:rsid w:val="0EE4129D"/>
    <w:rsid w:val="0F152C78"/>
    <w:rsid w:val="0F171032"/>
    <w:rsid w:val="0F197357"/>
    <w:rsid w:val="0F335E69"/>
    <w:rsid w:val="0F372614"/>
    <w:rsid w:val="0F3D59C9"/>
    <w:rsid w:val="0F44530B"/>
    <w:rsid w:val="0F516D5A"/>
    <w:rsid w:val="0F565B36"/>
    <w:rsid w:val="0F684933"/>
    <w:rsid w:val="0F6E2388"/>
    <w:rsid w:val="0F73799F"/>
    <w:rsid w:val="0F76123D"/>
    <w:rsid w:val="0F821E7D"/>
    <w:rsid w:val="0FAA3E38"/>
    <w:rsid w:val="0FC91CB4"/>
    <w:rsid w:val="0FCA42ED"/>
    <w:rsid w:val="0FDB5F4F"/>
    <w:rsid w:val="0FE7592C"/>
    <w:rsid w:val="0FFC17A5"/>
    <w:rsid w:val="0FFD20F0"/>
    <w:rsid w:val="10142F30"/>
    <w:rsid w:val="10352857"/>
    <w:rsid w:val="103E6E57"/>
    <w:rsid w:val="1041497B"/>
    <w:rsid w:val="10425FF6"/>
    <w:rsid w:val="104A4BA3"/>
    <w:rsid w:val="10560982"/>
    <w:rsid w:val="106612B1"/>
    <w:rsid w:val="109010E6"/>
    <w:rsid w:val="10B271F4"/>
    <w:rsid w:val="10B537CC"/>
    <w:rsid w:val="10B65D95"/>
    <w:rsid w:val="10BD35C7"/>
    <w:rsid w:val="10C61D50"/>
    <w:rsid w:val="10C8275C"/>
    <w:rsid w:val="10C86D3B"/>
    <w:rsid w:val="10E03539"/>
    <w:rsid w:val="10E82D1F"/>
    <w:rsid w:val="10E943BC"/>
    <w:rsid w:val="10EE5C94"/>
    <w:rsid w:val="10F5757C"/>
    <w:rsid w:val="10F93ED3"/>
    <w:rsid w:val="11115EDA"/>
    <w:rsid w:val="111D7BC2"/>
    <w:rsid w:val="11250F40"/>
    <w:rsid w:val="112F5B47"/>
    <w:rsid w:val="113329E7"/>
    <w:rsid w:val="113F294C"/>
    <w:rsid w:val="11416AF8"/>
    <w:rsid w:val="11437C85"/>
    <w:rsid w:val="11575085"/>
    <w:rsid w:val="1166372C"/>
    <w:rsid w:val="11700D10"/>
    <w:rsid w:val="1178125A"/>
    <w:rsid w:val="117A285D"/>
    <w:rsid w:val="117F6E8A"/>
    <w:rsid w:val="118441E0"/>
    <w:rsid w:val="1196056D"/>
    <w:rsid w:val="11B322D4"/>
    <w:rsid w:val="11B85B3D"/>
    <w:rsid w:val="11CD20A0"/>
    <w:rsid w:val="11D34654"/>
    <w:rsid w:val="12010480"/>
    <w:rsid w:val="120E707F"/>
    <w:rsid w:val="121D0051"/>
    <w:rsid w:val="12413D84"/>
    <w:rsid w:val="127A7D1C"/>
    <w:rsid w:val="12836D8B"/>
    <w:rsid w:val="128679E9"/>
    <w:rsid w:val="12993BC0"/>
    <w:rsid w:val="12A8237A"/>
    <w:rsid w:val="12AB0349"/>
    <w:rsid w:val="12B66520"/>
    <w:rsid w:val="12CD57F1"/>
    <w:rsid w:val="12CE5941"/>
    <w:rsid w:val="12CE7AFA"/>
    <w:rsid w:val="12D67466"/>
    <w:rsid w:val="12E82452"/>
    <w:rsid w:val="13021765"/>
    <w:rsid w:val="13036052"/>
    <w:rsid w:val="131E7C21"/>
    <w:rsid w:val="13272A5D"/>
    <w:rsid w:val="132A2A6A"/>
    <w:rsid w:val="132C233E"/>
    <w:rsid w:val="133B78FA"/>
    <w:rsid w:val="133C40E3"/>
    <w:rsid w:val="133F4BFF"/>
    <w:rsid w:val="13410069"/>
    <w:rsid w:val="13493108"/>
    <w:rsid w:val="134A4EBA"/>
    <w:rsid w:val="13713CFE"/>
    <w:rsid w:val="13733928"/>
    <w:rsid w:val="13741F37"/>
    <w:rsid w:val="13857CA0"/>
    <w:rsid w:val="13920D68"/>
    <w:rsid w:val="139454AD"/>
    <w:rsid w:val="139C16C9"/>
    <w:rsid w:val="13A5238E"/>
    <w:rsid w:val="13B011C1"/>
    <w:rsid w:val="13B63CE1"/>
    <w:rsid w:val="13BC6684"/>
    <w:rsid w:val="13C72B3A"/>
    <w:rsid w:val="13D12EE6"/>
    <w:rsid w:val="13DF575E"/>
    <w:rsid w:val="13E470BD"/>
    <w:rsid w:val="13EE3A98"/>
    <w:rsid w:val="13F3280A"/>
    <w:rsid w:val="141B23B3"/>
    <w:rsid w:val="142123F7"/>
    <w:rsid w:val="142A11D8"/>
    <w:rsid w:val="144B544C"/>
    <w:rsid w:val="14506500"/>
    <w:rsid w:val="145B7B45"/>
    <w:rsid w:val="14627FE2"/>
    <w:rsid w:val="14717443"/>
    <w:rsid w:val="147F0B94"/>
    <w:rsid w:val="14825F8A"/>
    <w:rsid w:val="148C70AD"/>
    <w:rsid w:val="148D52E3"/>
    <w:rsid w:val="14992B90"/>
    <w:rsid w:val="149A750C"/>
    <w:rsid w:val="149E726C"/>
    <w:rsid w:val="149F10C7"/>
    <w:rsid w:val="14A40521"/>
    <w:rsid w:val="14AF1856"/>
    <w:rsid w:val="14AF19A3"/>
    <w:rsid w:val="14B22D17"/>
    <w:rsid w:val="14B44CE1"/>
    <w:rsid w:val="14B53957"/>
    <w:rsid w:val="14C53ECE"/>
    <w:rsid w:val="14CF6CB0"/>
    <w:rsid w:val="14D10E8D"/>
    <w:rsid w:val="14DB04C0"/>
    <w:rsid w:val="14DC5FE6"/>
    <w:rsid w:val="14E002E6"/>
    <w:rsid w:val="14F926F4"/>
    <w:rsid w:val="14FC36BD"/>
    <w:rsid w:val="14FF5EA7"/>
    <w:rsid w:val="15127C5A"/>
    <w:rsid w:val="15194B44"/>
    <w:rsid w:val="151E3A0F"/>
    <w:rsid w:val="152139F9"/>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C0FF5"/>
    <w:rsid w:val="17DE0EDF"/>
    <w:rsid w:val="17EE5BFF"/>
    <w:rsid w:val="18097740"/>
    <w:rsid w:val="18136133"/>
    <w:rsid w:val="184055B9"/>
    <w:rsid w:val="184620F4"/>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470B1"/>
    <w:rsid w:val="190B0C48"/>
    <w:rsid w:val="190B2D88"/>
    <w:rsid w:val="190E6B63"/>
    <w:rsid w:val="19123928"/>
    <w:rsid w:val="19194264"/>
    <w:rsid w:val="19283048"/>
    <w:rsid w:val="19410B0E"/>
    <w:rsid w:val="19420786"/>
    <w:rsid w:val="19427EC0"/>
    <w:rsid w:val="195711D7"/>
    <w:rsid w:val="195D2A3F"/>
    <w:rsid w:val="198310E9"/>
    <w:rsid w:val="198D747A"/>
    <w:rsid w:val="19A15638"/>
    <w:rsid w:val="19A74DFE"/>
    <w:rsid w:val="19A753EF"/>
    <w:rsid w:val="19DF45AE"/>
    <w:rsid w:val="1A125525"/>
    <w:rsid w:val="1A18361C"/>
    <w:rsid w:val="1A204BC7"/>
    <w:rsid w:val="1A2226ED"/>
    <w:rsid w:val="1A564145"/>
    <w:rsid w:val="1A5F4342"/>
    <w:rsid w:val="1A616E2C"/>
    <w:rsid w:val="1A715D02"/>
    <w:rsid w:val="1A7C5F3D"/>
    <w:rsid w:val="1A7F369B"/>
    <w:rsid w:val="1A864A2A"/>
    <w:rsid w:val="1A8C5D82"/>
    <w:rsid w:val="1A994988"/>
    <w:rsid w:val="1A9B546C"/>
    <w:rsid w:val="1A9E141F"/>
    <w:rsid w:val="1A9F3045"/>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772121"/>
    <w:rsid w:val="1B8C18B7"/>
    <w:rsid w:val="1BA23AE5"/>
    <w:rsid w:val="1BB73AE1"/>
    <w:rsid w:val="1BDA6D68"/>
    <w:rsid w:val="1BF14125"/>
    <w:rsid w:val="1BF22F1A"/>
    <w:rsid w:val="1C002CEE"/>
    <w:rsid w:val="1C057BD0"/>
    <w:rsid w:val="1C0A6C76"/>
    <w:rsid w:val="1C157783"/>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36806"/>
    <w:rsid w:val="1D047E88"/>
    <w:rsid w:val="1D0C33A2"/>
    <w:rsid w:val="1D0C4F8F"/>
    <w:rsid w:val="1D113E6E"/>
    <w:rsid w:val="1D114E5E"/>
    <w:rsid w:val="1D13631D"/>
    <w:rsid w:val="1D1F0050"/>
    <w:rsid w:val="1D214EDE"/>
    <w:rsid w:val="1D2222DC"/>
    <w:rsid w:val="1D4209B0"/>
    <w:rsid w:val="1D5144F7"/>
    <w:rsid w:val="1D5B3CDE"/>
    <w:rsid w:val="1D5D0701"/>
    <w:rsid w:val="1D6E2950"/>
    <w:rsid w:val="1D756FD8"/>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F308C"/>
    <w:rsid w:val="1FB64FF9"/>
    <w:rsid w:val="1FC11109"/>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DF30E6"/>
    <w:rsid w:val="20EA3839"/>
    <w:rsid w:val="20F3093F"/>
    <w:rsid w:val="2100305C"/>
    <w:rsid w:val="210B3EDB"/>
    <w:rsid w:val="210F579E"/>
    <w:rsid w:val="21163FF0"/>
    <w:rsid w:val="211B39F2"/>
    <w:rsid w:val="212550B5"/>
    <w:rsid w:val="212B632B"/>
    <w:rsid w:val="212E3725"/>
    <w:rsid w:val="214C40EB"/>
    <w:rsid w:val="21556F04"/>
    <w:rsid w:val="21592B62"/>
    <w:rsid w:val="2172049B"/>
    <w:rsid w:val="21747CD2"/>
    <w:rsid w:val="2180610B"/>
    <w:rsid w:val="219263AA"/>
    <w:rsid w:val="21934186"/>
    <w:rsid w:val="219E5782"/>
    <w:rsid w:val="21C85928"/>
    <w:rsid w:val="21D10545"/>
    <w:rsid w:val="21E72B0B"/>
    <w:rsid w:val="21E76A4A"/>
    <w:rsid w:val="21EE607E"/>
    <w:rsid w:val="21F20BF7"/>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177A3"/>
    <w:rsid w:val="23122833"/>
    <w:rsid w:val="231D4917"/>
    <w:rsid w:val="23223458"/>
    <w:rsid w:val="23225D32"/>
    <w:rsid w:val="232C638A"/>
    <w:rsid w:val="233162E7"/>
    <w:rsid w:val="23357BE6"/>
    <w:rsid w:val="2342574E"/>
    <w:rsid w:val="2355143D"/>
    <w:rsid w:val="236D1BFA"/>
    <w:rsid w:val="236D331D"/>
    <w:rsid w:val="2377331D"/>
    <w:rsid w:val="237D43DE"/>
    <w:rsid w:val="238A5E5E"/>
    <w:rsid w:val="23940114"/>
    <w:rsid w:val="23993E95"/>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2E1F46"/>
    <w:rsid w:val="25302410"/>
    <w:rsid w:val="25746AD7"/>
    <w:rsid w:val="257572C3"/>
    <w:rsid w:val="25790E85"/>
    <w:rsid w:val="25834A38"/>
    <w:rsid w:val="25965D3D"/>
    <w:rsid w:val="25972C60"/>
    <w:rsid w:val="25974C6F"/>
    <w:rsid w:val="259D1676"/>
    <w:rsid w:val="25A353EB"/>
    <w:rsid w:val="25B87B65"/>
    <w:rsid w:val="25CB78C3"/>
    <w:rsid w:val="25D074A1"/>
    <w:rsid w:val="25D54390"/>
    <w:rsid w:val="25D6438C"/>
    <w:rsid w:val="25DF1492"/>
    <w:rsid w:val="261879A7"/>
    <w:rsid w:val="261A071C"/>
    <w:rsid w:val="261C587D"/>
    <w:rsid w:val="262E5F76"/>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15679"/>
    <w:rsid w:val="26E311CD"/>
    <w:rsid w:val="26EF24ED"/>
    <w:rsid w:val="26F1408A"/>
    <w:rsid w:val="26F86CAF"/>
    <w:rsid w:val="26F96584"/>
    <w:rsid w:val="26FC4FA5"/>
    <w:rsid w:val="27015370"/>
    <w:rsid w:val="270B421F"/>
    <w:rsid w:val="2710526A"/>
    <w:rsid w:val="271F6B87"/>
    <w:rsid w:val="274C2B57"/>
    <w:rsid w:val="274E2228"/>
    <w:rsid w:val="27517A93"/>
    <w:rsid w:val="27545EB0"/>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43EC1"/>
    <w:rsid w:val="280B656E"/>
    <w:rsid w:val="28100029"/>
    <w:rsid w:val="28125B4F"/>
    <w:rsid w:val="282B09BF"/>
    <w:rsid w:val="282E4F00"/>
    <w:rsid w:val="283C23DF"/>
    <w:rsid w:val="283D69F1"/>
    <w:rsid w:val="283F090E"/>
    <w:rsid w:val="284C16F5"/>
    <w:rsid w:val="28570AB5"/>
    <w:rsid w:val="2858552C"/>
    <w:rsid w:val="285F2CDC"/>
    <w:rsid w:val="28622C36"/>
    <w:rsid w:val="2869172C"/>
    <w:rsid w:val="288C2D07"/>
    <w:rsid w:val="289E7E22"/>
    <w:rsid w:val="28A83C9B"/>
    <w:rsid w:val="28C2534B"/>
    <w:rsid w:val="28C5525A"/>
    <w:rsid w:val="28D14B96"/>
    <w:rsid w:val="28FC235B"/>
    <w:rsid w:val="29020C46"/>
    <w:rsid w:val="290240C7"/>
    <w:rsid w:val="291713AF"/>
    <w:rsid w:val="291A2B97"/>
    <w:rsid w:val="29274EE0"/>
    <w:rsid w:val="29300A00"/>
    <w:rsid w:val="294633F0"/>
    <w:rsid w:val="294F692F"/>
    <w:rsid w:val="295029E3"/>
    <w:rsid w:val="29543A59"/>
    <w:rsid w:val="29670ED3"/>
    <w:rsid w:val="296879F1"/>
    <w:rsid w:val="2969197F"/>
    <w:rsid w:val="29746E87"/>
    <w:rsid w:val="297939AC"/>
    <w:rsid w:val="297C03C2"/>
    <w:rsid w:val="299573AB"/>
    <w:rsid w:val="29B05804"/>
    <w:rsid w:val="29B82726"/>
    <w:rsid w:val="29BE5BD0"/>
    <w:rsid w:val="29C01572"/>
    <w:rsid w:val="29C25353"/>
    <w:rsid w:val="29CA4207"/>
    <w:rsid w:val="29CE5AA6"/>
    <w:rsid w:val="29D82DC8"/>
    <w:rsid w:val="29DA08EE"/>
    <w:rsid w:val="29DB6414"/>
    <w:rsid w:val="29DD60B5"/>
    <w:rsid w:val="29E74CE2"/>
    <w:rsid w:val="2A0E0AB2"/>
    <w:rsid w:val="2A133E00"/>
    <w:rsid w:val="2A1A518F"/>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C95CB5"/>
    <w:rsid w:val="2AD0584D"/>
    <w:rsid w:val="2AD549F8"/>
    <w:rsid w:val="2AEA74E5"/>
    <w:rsid w:val="2AFB4FC0"/>
    <w:rsid w:val="2B003D00"/>
    <w:rsid w:val="2B074D5E"/>
    <w:rsid w:val="2B0A6991"/>
    <w:rsid w:val="2B100BA9"/>
    <w:rsid w:val="2B1B5825"/>
    <w:rsid w:val="2B1D19B0"/>
    <w:rsid w:val="2B1E3AFC"/>
    <w:rsid w:val="2B3B360F"/>
    <w:rsid w:val="2B4520BE"/>
    <w:rsid w:val="2B4A5600"/>
    <w:rsid w:val="2B574FD9"/>
    <w:rsid w:val="2B642979"/>
    <w:rsid w:val="2B654BED"/>
    <w:rsid w:val="2B681F2A"/>
    <w:rsid w:val="2B8D373E"/>
    <w:rsid w:val="2B9E4F56"/>
    <w:rsid w:val="2BD96984"/>
    <w:rsid w:val="2BDB5A88"/>
    <w:rsid w:val="2BDB6BA0"/>
    <w:rsid w:val="2BE75544"/>
    <w:rsid w:val="2BE91C37"/>
    <w:rsid w:val="2BEC3F72"/>
    <w:rsid w:val="2BF35C97"/>
    <w:rsid w:val="2C043A01"/>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0735C"/>
    <w:rsid w:val="2D6F134E"/>
    <w:rsid w:val="2D781B60"/>
    <w:rsid w:val="2D835174"/>
    <w:rsid w:val="2D9331F9"/>
    <w:rsid w:val="2DD90B7B"/>
    <w:rsid w:val="2DD92C6B"/>
    <w:rsid w:val="2DDB4C35"/>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618B8"/>
    <w:rsid w:val="2E6F6D21"/>
    <w:rsid w:val="2E742F70"/>
    <w:rsid w:val="2E8E7EF9"/>
    <w:rsid w:val="2E9077CD"/>
    <w:rsid w:val="2E9574DA"/>
    <w:rsid w:val="2E9A689E"/>
    <w:rsid w:val="2EC13E2B"/>
    <w:rsid w:val="2ECF360C"/>
    <w:rsid w:val="2ED347F6"/>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912594"/>
    <w:rsid w:val="2FA07EE4"/>
    <w:rsid w:val="2FA54796"/>
    <w:rsid w:val="2FA674E2"/>
    <w:rsid w:val="2FE853E7"/>
    <w:rsid w:val="2FEE6EA1"/>
    <w:rsid w:val="2FFE7D49"/>
    <w:rsid w:val="3002294D"/>
    <w:rsid w:val="3011153D"/>
    <w:rsid w:val="30142680"/>
    <w:rsid w:val="301C28D9"/>
    <w:rsid w:val="302567CF"/>
    <w:rsid w:val="302A11B1"/>
    <w:rsid w:val="302A5C42"/>
    <w:rsid w:val="30340091"/>
    <w:rsid w:val="304149D3"/>
    <w:rsid w:val="30662043"/>
    <w:rsid w:val="306D3B35"/>
    <w:rsid w:val="307153DD"/>
    <w:rsid w:val="3083092C"/>
    <w:rsid w:val="30930D2E"/>
    <w:rsid w:val="30B8125D"/>
    <w:rsid w:val="30B87D63"/>
    <w:rsid w:val="30BF439A"/>
    <w:rsid w:val="30CF6A37"/>
    <w:rsid w:val="30D250CF"/>
    <w:rsid w:val="30E16A06"/>
    <w:rsid w:val="30E7260A"/>
    <w:rsid w:val="30EA0C38"/>
    <w:rsid w:val="31002970"/>
    <w:rsid w:val="3104743D"/>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AF440F"/>
    <w:rsid w:val="31BD0577"/>
    <w:rsid w:val="31C42968"/>
    <w:rsid w:val="31CD297B"/>
    <w:rsid w:val="31CD73BD"/>
    <w:rsid w:val="31D66571"/>
    <w:rsid w:val="31DB4220"/>
    <w:rsid w:val="31DC56CD"/>
    <w:rsid w:val="31E63B94"/>
    <w:rsid w:val="31EA3699"/>
    <w:rsid w:val="31ED3189"/>
    <w:rsid w:val="31F14416"/>
    <w:rsid w:val="31F27AF7"/>
    <w:rsid w:val="31F91B2E"/>
    <w:rsid w:val="31FA74CA"/>
    <w:rsid w:val="32176602"/>
    <w:rsid w:val="32186458"/>
    <w:rsid w:val="322A7699"/>
    <w:rsid w:val="322A7F3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23060"/>
    <w:rsid w:val="334A3B2A"/>
    <w:rsid w:val="334E5E3C"/>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A56F94"/>
    <w:rsid w:val="34C06C9D"/>
    <w:rsid w:val="34DF24AE"/>
    <w:rsid w:val="34F5482E"/>
    <w:rsid w:val="35020CF9"/>
    <w:rsid w:val="351A24E7"/>
    <w:rsid w:val="351C4931"/>
    <w:rsid w:val="351C4EAC"/>
    <w:rsid w:val="351C625F"/>
    <w:rsid w:val="351D4C26"/>
    <w:rsid w:val="352073D1"/>
    <w:rsid w:val="352B46F4"/>
    <w:rsid w:val="352E7D40"/>
    <w:rsid w:val="35361A77"/>
    <w:rsid w:val="353E3C50"/>
    <w:rsid w:val="35461A22"/>
    <w:rsid w:val="354657A6"/>
    <w:rsid w:val="35483CC9"/>
    <w:rsid w:val="354B08F2"/>
    <w:rsid w:val="355105F8"/>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27662"/>
    <w:rsid w:val="36140DB4"/>
    <w:rsid w:val="36162CAE"/>
    <w:rsid w:val="36183AA2"/>
    <w:rsid w:val="36203B2D"/>
    <w:rsid w:val="36257395"/>
    <w:rsid w:val="363275A8"/>
    <w:rsid w:val="36370E76"/>
    <w:rsid w:val="363E0457"/>
    <w:rsid w:val="365461BB"/>
    <w:rsid w:val="365B4B65"/>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203B8"/>
    <w:rsid w:val="377639AE"/>
    <w:rsid w:val="378142CB"/>
    <w:rsid w:val="378B61A6"/>
    <w:rsid w:val="379522F8"/>
    <w:rsid w:val="37991DE9"/>
    <w:rsid w:val="379A790F"/>
    <w:rsid w:val="37A10C9D"/>
    <w:rsid w:val="37B90F0B"/>
    <w:rsid w:val="37C60C33"/>
    <w:rsid w:val="37CD3F98"/>
    <w:rsid w:val="37DE77FC"/>
    <w:rsid w:val="37DF75BA"/>
    <w:rsid w:val="37E148E2"/>
    <w:rsid w:val="37F848EE"/>
    <w:rsid w:val="37F912FC"/>
    <w:rsid w:val="380D59EE"/>
    <w:rsid w:val="381E5E4A"/>
    <w:rsid w:val="38304889"/>
    <w:rsid w:val="3836588A"/>
    <w:rsid w:val="38382675"/>
    <w:rsid w:val="383B7B0D"/>
    <w:rsid w:val="3848553B"/>
    <w:rsid w:val="384855BD"/>
    <w:rsid w:val="3851700B"/>
    <w:rsid w:val="385246B6"/>
    <w:rsid w:val="385E6B8E"/>
    <w:rsid w:val="38740160"/>
    <w:rsid w:val="3876113B"/>
    <w:rsid w:val="38883C0B"/>
    <w:rsid w:val="38A53DB7"/>
    <w:rsid w:val="38B7004D"/>
    <w:rsid w:val="38BF3388"/>
    <w:rsid w:val="38CC268D"/>
    <w:rsid w:val="38D26C34"/>
    <w:rsid w:val="38DF1FDA"/>
    <w:rsid w:val="38EC2960"/>
    <w:rsid w:val="390069DD"/>
    <w:rsid w:val="39030CF9"/>
    <w:rsid w:val="39091F35"/>
    <w:rsid w:val="390A63CE"/>
    <w:rsid w:val="391060DB"/>
    <w:rsid w:val="392536E2"/>
    <w:rsid w:val="39465F15"/>
    <w:rsid w:val="39505209"/>
    <w:rsid w:val="3962620A"/>
    <w:rsid w:val="396453C5"/>
    <w:rsid w:val="39922CCF"/>
    <w:rsid w:val="39972358"/>
    <w:rsid w:val="39A24859"/>
    <w:rsid w:val="39A65327"/>
    <w:rsid w:val="39A65C9B"/>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312338"/>
    <w:rsid w:val="3B3C5B77"/>
    <w:rsid w:val="3B3D0FF2"/>
    <w:rsid w:val="3B445340"/>
    <w:rsid w:val="3B501351"/>
    <w:rsid w:val="3B521A18"/>
    <w:rsid w:val="3B8D2B96"/>
    <w:rsid w:val="3B923660"/>
    <w:rsid w:val="3BA448B8"/>
    <w:rsid w:val="3BB865B6"/>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23079"/>
    <w:rsid w:val="3DA53531"/>
    <w:rsid w:val="3DB54E0C"/>
    <w:rsid w:val="3DB900C1"/>
    <w:rsid w:val="3DE51866"/>
    <w:rsid w:val="3DE91725"/>
    <w:rsid w:val="3DF159B1"/>
    <w:rsid w:val="3E077380"/>
    <w:rsid w:val="3E135D25"/>
    <w:rsid w:val="3E196FEC"/>
    <w:rsid w:val="3E1A106E"/>
    <w:rsid w:val="3E36303B"/>
    <w:rsid w:val="3E526044"/>
    <w:rsid w:val="3E5C591E"/>
    <w:rsid w:val="3E6C2B3A"/>
    <w:rsid w:val="3E846C23"/>
    <w:rsid w:val="3E8C5311"/>
    <w:rsid w:val="3E8E7E55"/>
    <w:rsid w:val="3EB61473"/>
    <w:rsid w:val="3EB70DA6"/>
    <w:rsid w:val="3EC66011"/>
    <w:rsid w:val="3ED25BE0"/>
    <w:rsid w:val="3ED75B7F"/>
    <w:rsid w:val="3EE87773"/>
    <w:rsid w:val="3EF9316D"/>
    <w:rsid w:val="3F1E4982"/>
    <w:rsid w:val="3F315E6B"/>
    <w:rsid w:val="3F4A39C9"/>
    <w:rsid w:val="3F5175E2"/>
    <w:rsid w:val="3F56276A"/>
    <w:rsid w:val="3F6A7BC7"/>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76959"/>
    <w:rsid w:val="40EB6898"/>
    <w:rsid w:val="40F701DF"/>
    <w:rsid w:val="40FD480A"/>
    <w:rsid w:val="411B59C4"/>
    <w:rsid w:val="412A32F8"/>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1C1B20"/>
    <w:rsid w:val="4331401E"/>
    <w:rsid w:val="43486FC5"/>
    <w:rsid w:val="43591DDA"/>
    <w:rsid w:val="435A0DF2"/>
    <w:rsid w:val="435B43F6"/>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2376C"/>
    <w:rsid w:val="444946CA"/>
    <w:rsid w:val="444B3F54"/>
    <w:rsid w:val="445D7CFA"/>
    <w:rsid w:val="447137A5"/>
    <w:rsid w:val="4476661F"/>
    <w:rsid w:val="44775260"/>
    <w:rsid w:val="447E3AC5"/>
    <w:rsid w:val="44805ED4"/>
    <w:rsid w:val="448E5DEE"/>
    <w:rsid w:val="449E4142"/>
    <w:rsid w:val="44A90BAA"/>
    <w:rsid w:val="44B24A20"/>
    <w:rsid w:val="44BC0BEE"/>
    <w:rsid w:val="44BF6C07"/>
    <w:rsid w:val="44C24001"/>
    <w:rsid w:val="44C55A88"/>
    <w:rsid w:val="44FB1C9C"/>
    <w:rsid w:val="450327A3"/>
    <w:rsid w:val="451E1374"/>
    <w:rsid w:val="452F01D7"/>
    <w:rsid w:val="45392A13"/>
    <w:rsid w:val="453E3FCF"/>
    <w:rsid w:val="454964D0"/>
    <w:rsid w:val="454F1836"/>
    <w:rsid w:val="4551644F"/>
    <w:rsid w:val="45566A25"/>
    <w:rsid w:val="45790B64"/>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0647F"/>
    <w:rsid w:val="47617B01"/>
    <w:rsid w:val="47665A15"/>
    <w:rsid w:val="47677941"/>
    <w:rsid w:val="477F1660"/>
    <w:rsid w:val="4788232A"/>
    <w:rsid w:val="478B0398"/>
    <w:rsid w:val="478F5D0B"/>
    <w:rsid w:val="47940D5A"/>
    <w:rsid w:val="479D5A47"/>
    <w:rsid w:val="47A11E6C"/>
    <w:rsid w:val="47A31F5F"/>
    <w:rsid w:val="47A84BA6"/>
    <w:rsid w:val="47B52444"/>
    <w:rsid w:val="47B8724E"/>
    <w:rsid w:val="47E811D9"/>
    <w:rsid w:val="47ED7BCA"/>
    <w:rsid w:val="48016F34"/>
    <w:rsid w:val="480556DB"/>
    <w:rsid w:val="48082586"/>
    <w:rsid w:val="48185C56"/>
    <w:rsid w:val="48254C34"/>
    <w:rsid w:val="48272AF9"/>
    <w:rsid w:val="48450F81"/>
    <w:rsid w:val="48455675"/>
    <w:rsid w:val="484E4529"/>
    <w:rsid w:val="484E729D"/>
    <w:rsid w:val="48566773"/>
    <w:rsid w:val="485A23C2"/>
    <w:rsid w:val="48623B31"/>
    <w:rsid w:val="48691107"/>
    <w:rsid w:val="48711FC6"/>
    <w:rsid w:val="48861F15"/>
    <w:rsid w:val="48873072"/>
    <w:rsid w:val="48895289"/>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3791E"/>
    <w:rsid w:val="49555444"/>
    <w:rsid w:val="49792B95"/>
    <w:rsid w:val="49B06B1E"/>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9C08D1"/>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2D6177"/>
    <w:rsid w:val="4B337A07"/>
    <w:rsid w:val="4B43211C"/>
    <w:rsid w:val="4B520DF4"/>
    <w:rsid w:val="4B603107"/>
    <w:rsid w:val="4B7A5635"/>
    <w:rsid w:val="4B7F2C4C"/>
    <w:rsid w:val="4B8E10E1"/>
    <w:rsid w:val="4B9802B0"/>
    <w:rsid w:val="4B9E65BE"/>
    <w:rsid w:val="4B9F33A8"/>
    <w:rsid w:val="4BA80AFD"/>
    <w:rsid w:val="4BB033BA"/>
    <w:rsid w:val="4BB469AD"/>
    <w:rsid w:val="4BC06040"/>
    <w:rsid w:val="4BC66ACD"/>
    <w:rsid w:val="4BCF5981"/>
    <w:rsid w:val="4BD846DB"/>
    <w:rsid w:val="4BF441D2"/>
    <w:rsid w:val="4C03387D"/>
    <w:rsid w:val="4C080E93"/>
    <w:rsid w:val="4C0813DE"/>
    <w:rsid w:val="4C1930A0"/>
    <w:rsid w:val="4C1C2A09"/>
    <w:rsid w:val="4C284AD9"/>
    <w:rsid w:val="4C423098"/>
    <w:rsid w:val="4C5C2F8D"/>
    <w:rsid w:val="4C612351"/>
    <w:rsid w:val="4C694192"/>
    <w:rsid w:val="4C7964D9"/>
    <w:rsid w:val="4C8C5620"/>
    <w:rsid w:val="4C9269F6"/>
    <w:rsid w:val="4CB75F07"/>
    <w:rsid w:val="4CC84335"/>
    <w:rsid w:val="4CD22B0F"/>
    <w:rsid w:val="4CD40D75"/>
    <w:rsid w:val="4CDA3E72"/>
    <w:rsid w:val="4CE4545C"/>
    <w:rsid w:val="4CE9350A"/>
    <w:rsid w:val="4D014937"/>
    <w:rsid w:val="4D156927"/>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D7C9F"/>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895F9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63299"/>
    <w:rsid w:val="4FE7106E"/>
    <w:rsid w:val="4FF82FCD"/>
    <w:rsid w:val="4FFE0FFF"/>
    <w:rsid w:val="50053943"/>
    <w:rsid w:val="50260569"/>
    <w:rsid w:val="50374A3C"/>
    <w:rsid w:val="50487AB0"/>
    <w:rsid w:val="50550E55"/>
    <w:rsid w:val="506B379F"/>
    <w:rsid w:val="507E7F6A"/>
    <w:rsid w:val="50901457"/>
    <w:rsid w:val="509F43E4"/>
    <w:rsid w:val="50A54D3E"/>
    <w:rsid w:val="50B82E88"/>
    <w:rsid w:val="50BB32A7"/>
    <w:rsid w:val="50CC5CB2"/>
    <w:rsid w:val="50DA206B"/>
    <w:rsid w:val="50F1402B"/>
    <w:rsid w:val="50FD2AD9"/>
    <w:rsid w:val="51081E85"/>
    <w:rsid w:val="51097D9A"/>
    <w:rsid w:val="511A650F"/>
    <w:rsid w:val="51237D2E"/>
    <w:rsid w:val="515B06D0"/>
    <w:rsid w:val="51764AF1"/>
    <w:rsid w:val="518C60C3"/>
    <w:rsid w:val="51996737"/>
    <w:rsid w:val="51B408B8"/>
    <w:rsid w:val="51B80848"/>
    <w:rsid w:val="51CC0868"/>
    <w:rsid w:val="51CC7481"/>
    <w:rsid w:val="51D5340F"/>
    <w:rsid w:val="520C2D5F"/>
    <w:rsid w:val="52171E30"/>
    <w:rsid w:val="52287B99"/>
    <w:rsid w:val="522E717A"/>
    <w:rsid w:val="52382F2A"/>
    <w:rsid w:val="52386E3D"/>
    <w:rsid w:val="523A7DD1"/>
    <w:rsid w:val="523B7711"/>
    <w:rsid w:val="523E560F"/>
    <w:rsid w:val="52410C5B"/>
    <w:rsid w:val="52495D62"/>
    <w:rsid w:val="5271774C"/>
    <w:rsid w:val="527A416D"/>
    <w:rsid w:val="527F1783"/>
    <w:rsid w:val="528D7B65"/>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54676C"/>
    <w:rsid w:val="535A51E8"/>
    <w:rsid w:val="5361549D"/>
    <w:rsid w:val="536220DA"/>
    <w:rsid w:val="53650637"/>
    <w:rsid w:val="536A5F90"/>
    <w:rsid w:val="5371557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703A7A"/>
    <w:rsid w:val="54935B8F"/>
    <w:rsid w:val="549534E0"/>
    <w:rsid w:val="549D3677"/>
    <w:rsid w:val="54A87049"/>
    <w:rsid w:val="54B03E76"/>
    <w:rsid w:val="54B24092"/>
    <w:rsid w:val="54BF230B"/>
    <w:rsid w:val="54CC2441"/>
    <w:rsid w:val="54CC6227"/>
    <w:rsid w:val="54D10F9B"/>
    <w:rsid w:val="54D97871"/>
    <w:rsid w:val="54E12281"/>
    <w:rsid w:val="54FA5454"/>
    <w:rsid w:val="550B5550"/>
    <w:rsid w:val="551D586C"/>
    <w:rsid w:val="55200298"/>
    <w:rsid w:val="55335E1B"/>
    <w:rsid w:val="55355689"/>
    <w:rsid w:val="5536079B"/>
    <w:rsid w:val="554B7EF0"/>
    <w:rsid w:val="556E7FB9"/>
    <w:rsid w:val="556F3D99"/>
    <w:rsid w:val="55720837"/>
    <w:rsid w:val="55860894"/>
    <w:rsid w:val="558F6181"/>
    <w:rsid w:val="55A71569"/>
    <w:rsid w:val="55AF3055"/>
    <w:rsid w:val="55B02DF1"/>
    <w:rsid w:val="55D47A00"/>
    <w:rsid w:val="55D5456D"/>
    <w:rsid w:val="55DC290C"/>
    <w:rsid w:val="55E71B19"/>
    <w:rsid w:val="55EA5D64"/>
    <w:rsid w:val="55F01FA1"/>
    <w:rsid w:val="55FC19B9"/>
    <w:rsid w:val="56130B60"/>
    <w:rsid w:val="5621502B"/>
    <w:rsid w:val="56234F28"/>
    <w:rsid w:val="562C1C22"/>
    <w:rsid w:val="56302455"/>
    <w:rsid w:val="563344EC"/>
    <w:rsid w:val="56717635"/>
    <w:rsid w:val="56990B7C"/>
    <w:rsid w:val="569E1126"/>
    <w:rsid w:val="56A8690E"/>
    <w:rsid w:val="56AB7A29"/>
    <w:rsid w:val="56B679AB"/>
    <w:rsid w:val="56B80DEB"/>
    <w:rsid w:val="56BF4844"/>
    <w:rsid w:val="56D503F0"/>
    <w:rsid w:val="56E0560F"/>
    <w:rsid w:val="56E06E61"/>
    <w:rsid w:val="56EF3C74"/>
    <w:rsid w:val="56F653FE"/>
    <w:rsid w:val="56FA762A"/>
    <w:rsid w:val="57007337"/>
    <w:rsid w:val="574448FC"/>
    <w:rsid w:val="575206C7"/>
    <w:rsid w:val="57561D39"/>
    <w:rsid w:val="575B7AFD"/>
    <w:rsid w:val="575C35DF"/>
    <w:rsid w:val="575F3C6D"/>
    <w:rsid w:val="57660D3F"/>
    <w:rsid w:val="5785783C"/>
    <w:rsid w:val="578F06BB"/>
    <w:rsid w:val="57CC0FC7"/>
    <w:rsid w:val="57CC4BC2"/>
    <w:rsid w:val="57D10760"/>
    <w:rsid w:val="57D1153D"/>
    <w:rsid w:val="57D77297"/>
    <w:rsid w:val="57FA3774"/>
    <w:rsid w:val="58084A3C"/>
    <w:rsid w:val="580B282C"/>
    <w:rsid w:val="581F559B"/>
    <w:rsid w:val="582772A7"/>
    <w:rsid w:val="582A3F3F"/>
    <w:rsid w:val="58400E73"/>
    <w:rsid w:val="5847689F"/>
    <w:rsid w:val="58531B77"/>
    <w:rsid w:val="585A65D3"/>
    <w:rsid w:val="585D2975"/>
    <w:rsid w:val="585E3492"/>
    <w:rsid w:val="585F64F9"/>
    <w:rsid w:val="586E3E23"/>
    <w:rsid w:val="587E3341"/>
    <w:rsid w:val="587F428B"/>
    <w:rsid w:val="58843A9C"/>
    <w:rsid w:val="58953AAF"/>
    <w:rsid w:val="58B31855"/>
    <w:rsid w:val="58CF56D8"/>
    <w:rsid w:val="58D26AB1"/>
    <w:rsid w:val="58D31010"/>
    <w:rsid w:val="58D6741E"/>
    <w:rsid w:val="58DB0535"/>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BA3C74"/>
    <w:rsid w:val="59C11856"/>
    <w:rsid w:val="59C153AB"/>
    <w:rsid w:val="59D423B5"/>
    <w:rsid w:val="59D42FDA"/>
    <w:rsid w:val="59DA4E01"/>
    <w:rsid w:val="59F334C8"/>
    <w:rsid w:val="59F64E82"/>
    <w:rsid w:val="5A0A5DD6"/>
    <w:rsid w:val="5A10435C"/>
    <w:rsid w:val="5A2654CC"/>
    <w:rsid w:val="5A323A44"/>
    <w:rsid w:val="5A395E66"/>
    <w:rsid w:val="5A476FBE"/>
    <w:rsid w:val="5A484352"/>
    <w:rsid w:val="5A4B5B6F"/>
    <w:rsid w:val="5A5321A5"/>
    <w:rsid w:val="5A701460"/>
    <w:rsid w:val="5A783688"/>
    <w:rsid w:val="5A8734AF"/>
    <w:rsid w:val="5A9C5EE4"/>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585171"/>
    <w:rsid w:val="5B585B78"/>
    <w:rsid w:val="5B6D62B9"/>
    <w:rsid w:val="5B7420A1"/>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4B1054"/>
    <w:rsid w:val="5C5355FE"/>
    <w:rsid w:val="5C5A49A5"/>
    <w:rsid w:val="5C6519EA"/>
    <w:rsid w:val="5C6715FE"/>
    <w:rsid w:val="5C6F4105"/>
    <w:rsid w:val="5C7B745F"/>
    <w:rsid w:val="5C936557"/>
    <w:rsid w:val="5CB309A7"/>
    <w:rsid w:val="5CB564CD"/>
    <w:rsid w:val="5CBB7F6F"/>
    <w:rsid w:val="5CC248CE"/>
    <w:rsid w:val="5CEB6393"/>
    <w:rsid w:val="5D042FB1"/>
    <w:rsid w:val="5D080CF3"/>
    <w:rsid w:val="5D3A4C25"/>
    <w:rsid w:val="5D442CB4"/>
    <w:rsid w:val="5D7869AF"/>
    <w:rsid w:val="5D7C3F11"/>
    <w:rsid w:val="5D971C5A"/>
    <w:rsid w:val="5D9D49E0"/>
    <w:rsid w:val="5DA01E9E"/>
    <w:rsid w:val="5DAD3649"/>
    <w:rsid w:val="5DC310BE"/>
    <w:rsid w:val="5DCC7F73"/>
    <w:rsid w:val="5DDF1821"/>
    <w:rsid w:val="5DE2656A"/>
    <w:rsid w:val="5DEA2F91"/>
    <w:rsid w:val="5DF94AE0"/>
    <w:rsid w:val="5DFA5883"/>
    <w:rsid w:val="5E224037"/>
    <w:rsid w:val="5E31427A"/>
    <w:rsid w:val="5E3146A3"/>
    <w:rsid w:val="5E442F62"/>
    <w:rsid w:val="5E6C2C5B"/>
    <w:rsid w:val="5E6E2DD8"/>
    <w:rsid w:val="5E7251A2"/>
    <w:rsid w:val="5E785A05"/>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8108E9"/>
    <w:rsid w:val="5F9A65E6"/>
    <w:rsid w:val="5F9B2627"/>
    <w:rsid w:val="5FA66B60"/>
    <w:rsid w:val="5FAC7B1F"/>
    <w:rsid w:val="5FB5266F"/>
    <w:rsid w:val="5FB80E3D"/>
    <w:rsid w:val="5FB831B4"/>
    <w:rsid w:val="5FBE38EB"/>
    <w:rsid w:val="5FC93D95"/>
    <w:rsid w:val="5FD40999"/>
    <w:rsid w:val="5FD8371D"/>
    <w:rsid w:val="5FE5522B"/>
    <w:rsid w:val="5FF03F08"/>
    <w:rsid w:val="5FF2548E"/>
    <w:rsid w:val="5FF313D3"/>
    <w:rsid w:val="600F05EB"/>
    <w:rsid w:val="601259E5"/>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2065A1D"/>
    <w:rsid w:val="62127F1E"/>
    <w:rsid w:val="6213792C"/>
    <w:rsid w:val="621775E2"/>
    <w:rsid w:val="621C0D9D"/>
    <w:rsid w:val="622F7552"/>
    <w:rsid w:val="62467BC8"/>
    <w:rsid w:val="6250406E"/>
    <w:rsid w:val="6267666C"/>
    <w:rsid w:val="62724E61"/>
    <w:rsid w:val="627D6831"/>
    <w:rsid w:val="62811B1C"/>
    <w:rsid w:val="628C7CD0"/>
    <w:rsid w:val="6299063F"/>
    <w:rsid w:val="629B7F14"/>
    <w:rsid w:val="62A20409"/>
    <w:rsid w:val="62A25746"/>
    <w:rsid w:val="62A56FE4"/>
    <w:rsid w:val="62B54B44"/>
    <w:rsid w:val="62B92A90"/>
    <w:rsid w:val="62DD052C"/>
    <w:rsid w:val="62E045DA"/>
    <w:rsid w:val="62E454A1"/>
    <w:rsid w:val="62E775FD"/>
    <w:rsid w:val="62E95123"/>
    <w:rsid w:val="62EF025F"/>
    <w:rsid w:val="62F36E4C"/>
    <w:rsid w:val="62F47F8F"/>
    <w:rsid w:val="62F7233F"/>
    <w:rsid w:val="631D4DCC"/>
    <w:rsid w:val="631F3FB4"/>
    <w:rsid w:val="63212B0F"/>
    <w:rsid w:val="63273E9D"/>
    <w:rsid w:val="63364F75"/>
    <w:rsid w:val="6340438B"/>
    <w:rsid w:val="63471E49"/>
    <w:rsid w:val="6353238E"/>
    <w:rsid w:val="63612AB8"/>
    <w:rsid w:val="63640C4D"/>
    <w:rsid w:val="636E73D6"/>
    <w:rsid w:val="6379289B"/>
    <w:rsid w:val="637D0978"/>
    <w:rsid w:val="638906B4"/>
    <w:rsid w:val="638968B0"/>
    <w:rsid w:val="638A282C"/>
    <w:rsid w:val="63901A42"/>
    <w:rsid w:val="6393508F"/>
    <w:rsid w:val="639A3568"/>
    <w:rsid w:val="63A159FD"/>
    <w:rsid w:val="63A75341"/>
    <w:rsid w:val="63A85E90"/>
    <w:rsid w:val="63A962DB"/>
    <w:rsid w:val="63AB1A91"/>
    <w:rsid w:val="63B75221"/>
    <w:rsid w:val="63B82D47"/>
    <w:rsid w:val="63C74D38"/>
    <w:rsid w:val="63EA73A4"/>
    <w:rsid w:val="63EE4692"/>
    <w:rsid w:val="63FD622D"/>
    <w:rsid w:val="6412222E"/>
    <w:rsid w:val="64177A6E"/>
    <w:rsid w:val="643F32F9"/>
    <w:rsid w:val="644F5459"/>
    <w:rsid w:val="64582686"/>
    <w:rsid w:val="64673C87"/>
    <w:rsid w:val="646C5FB1"/>
    <w:rsid w:val="64877733"/>
    <w:rsid w:val="64925346"/>
    <w:rsid w:val="64A170D2"/>
    <w:rsid w:val="64A251DD"/>
    <w:rsid w:val="64B654D9"/>
    <w:rsid w:val="64BC182A"/>
    <w:rsid w:val="650242F0"/>
    <w:rsid w:val="65365B2B"/>
    <w:rsid w:val="653F447E"/>
    <w:rsid w:val="65542778"/>
    <w:rsid w:val="655613E2"/>
    <w:rsid w:val="65566374"/>
    <w:rsid w:val="655829AF"/>
    <w:rsid w:val="656B70C3"/>
    <w:rsid w:val="658E1FB1"/>
    <w:rsid w:val="658F4798"/>
    <w:rsid w:val="65907AD8"/>
    <w:rsid w:val="659B1EBA"/>
    <w:rsid w:val="65A11CE5"/>
    <w:rsid w:val="65A83379"/>
    <w:rsid w:val="65B31A18"/>
    <w:rsid w:val="65B461E9"/>
    <w:rsid w:val="65BD7661"/>
    <w:rsid w:val="65BE39A8"/>
    <w:rsid w:val="65C23A09"/>
    <w:rsid w:val="65FB3FBE"/>
    <w:rsid w:val="66101A71"/>
    <w:rsid w:val="66171FA7"/>
    <w:rsid w:val="66247D11"/>
    <w:rsid w:val="663B3EC9"/>
    <w:rsid w:val="665A1E94"/>
    <w:rsid w:val="66736112"/>
    <w:rsid w:val="667F5B5B"/>
    <w:rsid w:val="668F1B3D"/>
    <w:rsid w:val="66911D59"/>
    <w:rsid w:val="6694262A"/>
    <w:rsid w:val="66990381"/>
    <w:rsid w:val="66996E60"/>
    <w:rsid w:val="66A573FC"/>
    <w:rsid w:val="66B31B01"/>
    <w:rsid w:val="66CE1E80"/>
    <w:rsid w:val="66DB2FD4"/>
    <w:rsid w:val="66DE4873"/>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5211A"/>
    <w:rsid w:val="67D839B8"/>
    <w:rsid w:val="67EE4F89"/>
    <w:rsid w:val="67F35317"/>
    <w:rsid w:val="67F73E3E"/>
    <w:rsid w:val="68016A6B"/>
    <w:rsid w:val="680201B7"/>
    <w:rsid w:val="68040309"/>
    <w:rsid w:val="68060525"/>
    <w:rsid w:val="68103152"/>
    <w:rsid w:val="682E35D8"/>
    <w:rsid w:val="68362BFB"/>
    <w:rsid w:val="683D085A"/>
    <w:rsid w:val="683F1130"/>
    <w:rsid w:val="684456A1"/>
    <w:rsid w:val="684D3A5E"/>
    <w:rsid w:val="68573C08"/>
    <w:rsid w:val="685C1EF3"/>
    <w:rsid w:val="685E1363"/>
    <w:rsid w:val="687731D1"/>
    <w:rsid w:val="6878475E"/>
    <w:rsid w:val="688E1089"/>
    <w:rsid w:val="689005C2"/>
    <w:rsid w:val="68993219"/>
    <w:rsid w:val="689E42BA"/>
    <w:rsid w:val="68A026F3"/>
    <w:rsid w:val="68AD6BF3"/>
    <w:rsid w:val="68AF6C13"/>
    <w:rsid w:val="68C77CB4"/>
    <w:rsid w:val="68D73C6F"/>
    <w:rsid w:val="68F25680"/>
    <w:rsid w:val="69074555"/>
    <w:rsid w:val="690E07C7"/>
    <w:rsid w:val="69140A20"/>
    <w:rsid w:val="69236A65"/>
    <w:rsid w:val="692E469B"/>
    <w:rsid w:val="69315C48"/>
    <w:rsid w:val="693B5FAC"/>
    <w:rsid w:val="694019EC"/>
    <w:rsid w:val="694841AF"/>
    <w:rsid w:val="69584DB4"/>
    <w:rsid w:val="695B5B89"/>
    <w:rsid w:val="695D5F23"/>
    <w:rsid w:val="6968512E"/>
    <w:rsid w:val="696C3D80"/>
    <w:rsid w:val="696D7E94"/>
    <w:rsid w:val="698A5EE4"/>
    <w:rsid w:val="69905263"/>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B1A2C3C"/>
    <w:rsid w:val="6B1B42E7"/>
    <w:rsid w:val="6B221F4E"/>
    <w:rsid w:val="6B24003E"/>
    <w:rsid w:val="6B24574D"/>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10355"/>
    <w:rsid w:val="6BDD15DD"/>
    <w:rsid w:val="6BDF2966"/>
    <w:rsid w:val="6BE86A5F"/>
    <w:rsid w:val="6C053C7D"/>
    <w:rsid w:val="6C0D357A"/>
    <w:rsid w:val="6C197958"/>
    <w:rsid w:val="6C2076DB"/>
    <w:rsid w:val="6C234DED"/>
    <w:rsid w:val="6C276CBC"/>
    <w:rsid w:val="6C29198B"/>
    <w:rsid w:val="6C3A67D1"/>
    <w:rsid w:val="6C3D2157"/>
    <w:rsid w:val="6C3D2D5C"/>
    <w:rsid w:val="6C411B2C"/>
    <w:rsid w:val="6C4800AA"/>
    <w:rsid w:val="6C4C2BE5"/>
    <w:rsid w:val="6C4D28F8"/>
    <w:rsid w:val="6C573E9C"/>
    <w:rsid w:val="6C5C23DC"/>
    <w:rsid w:val="6C6920F9"/>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65184A"/>
    <w:rsid w:val="6D8079F9"/>
    <w:rsid w:val="6D8A5754"/>
    <w:rsid w:val="6DB13E57"/>
    <w:rsid w:val="6DC245A2"/>
    <w:rsid w:val="6DC71662"/>
    <w:rsid w:val="6DCD5126"/>
    <w:rsid w:val="6DDB6CB0"/>
    <w:rsid w:val="6DDE269F"/>
    <w:rsid w:val="6DE21877"/>
    <w:rsid w:val="6DE52ACD"/>
    <w:rsid w:val="6DED34CB"/>
    <w:rsid w:val="6DF36E56"/>
    <w:rsid w:val="6DFC0B44"/>
    <w:rsid w:val="6E0458E7"/>
    <w:rsid w:val="6E212037"/>
    <w:rsid w:val="6E263D90"/>
    <w:rsid w:val="6E3B221B"/>
    <w:rsid w:val="6E475779"/>
    <w:rsid w:val="6E4D2ED3"/>
    <w:rsid w:val="6E51424D"/>
    <w:rsid w:val="6E5F380F"/>
    <w:rsid w:val="6E663C68"/>
    <w:rsid w:val="6E6A3D7F"/>
    <w:rsid w:val="6E7764EF"/>
    <w:rsid w:val="6E8403F6"/>
    <w:rsid w:val="6E963C85"/>
    <w:rsid w:val="6EA6211A"/>
    <w:rsid w:val="6EAD447C"/>
    <w:rsid w:val="6EAE5472"/>
    <w:rsid w:val="6EBC069A"/>
    <w:rsid w:val="6EBE7228"/>
    <w:rsid w:val="6ECD7F59"/>
    <w:rsid w:val="6ECF449B"/>
    <w:rsid w:val="6ED264A3"/>
    <w:rsid w:val="6ED36C87"/>
    <w:rsid w:val="6ED63B92"/>
    <w:rsid w:val="6ED975CA"/>
    <w:rsid w:val="6EED7C80"/>
    <w:rsid w:val="6EF773A4"/>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D40F09"/>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25AEA"/>
    <w:rsid w:val="70FA674D"/>
    <w:rsid w:val="70FD7FEB"/>
    <w:rsid w:val="710952C1"/>
    <w:rsid w:val="713729D0"/>
    <w:rsid w:val="713954C7"/>
    <w:rsid w:val="713F70AB"/>
    <w:rsid w:val="71452CD8"/>
    <w:rsid w:val="715045BF"/>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1F56214"/>
    <w:rsid w:val="720E0702"/>
    <w:rsid w:val="721469FD"/>
    <w:rsid w:val="721919B3"/>
    <w:rsid w:val="721970A7"/>
    <w:rsid w:val="721A6098"/>
    <w:rsid w:val="721D18D3"/>
    <w:rsid w:val="72310D1A"/>
    <w:rsid w:val="725D6B54"/>
    <w:rsid w:val="727644F9"/>
    <w:rsid w:val="727918F3"/>
    <w:rsid w:val="72986FA0"/>
    <w:rsid w:val="729D1A86"/>
    <w:rsid w:val="72A17C99"/>
    <w:rsid w:val="72A2709C"/>
    <w:rsid w:val="72A5093A"/>
    <w:rsid w:val="72AD7197"/>
    <w:rsid w:val="72AF6F7E"/>
    <w:rsid w:val="72B13AFE"/>
    <w:rsid w:val="72BD2C86"/>
    <w:rsid w:val="72CD226C"/>
    <w:rsid w:val="72D032DD"/>
    <w:rsid w:val="72D27981"/>
    <w:rsid w:val="72DB610A"/>
    <w:rsid w:val="72DF7F5F"/>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F6D43"/>
    <w:rsid w:val="750201A2"/>
    <w:rsid w:val="75041948"/>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B00E5"/>
    <w:rsid w:val="76733229"/>
    <w:rsid w:val="76760624"/>
    <w:rsid w:val="76832D41"/>
    <w:rsid w:val="768B2C28"/>
    <w:rsid w:val="76960CC6"/>
    <w:rsid w:val="76AA29C3"/>
    <w:rsid w:val="76B850E0"/>
    <w:rsid w:val="76BB1CAB"/>
    <w:rsid w:val="76C04050"/>
    <w:rsid w:val="76C23869"/>
    <w:rsid w:val="76D67314"/>
    <w:rsid w:val="76E00193"/>
    <w:rsid w:val="76E65049"/>
    <w:rsid w:val="76FA74A7"/>
    <w:rsid w:val="77076007"/>
    <w:rsid w:val="770976EA"/>
    <w:rsid w:val="771A36A5"/>
    <w:rsid w:val="77282E96"/>
    <w:rsid w:val="77413F7E"/>
    <w:rsid w:val="77464076"/>
    <w:rsid w:val="7758241F"/>
    <w:rsid w:val="77585F7B"/>
    <w:rsid w:val="77690189"/>
    <w:rsid w:val="777A7D22"/>
    <w:rsid w:val="777E28EC"/>
    <w:rsid w:val="77835654"/>
    <w:rsid w:val="7797109C"/>
    <w:rsid w:val="779A2A38"/>
    <w:rsid w:val="77B4450A"/>
    <w:rsid w:val="77B46E73"/>
    <w:rsid w:val="77E37A12"/>
    <w:rsid w:val="77F42148"/>
    <w:rsid w:val="77FC724F"/>
    <w:rsid w:val="77FE3468"/>
    <w:rsid w:val="78126A72"/>
    <w:rsid w:val="781E71C5"/>
    <w:rsid w:val="78250553"/>
    <w:rsid w:val="782642CC"/>
    <w:rsid w:val="782D11B6"/>
    <w:rsid w:val="78373BF3"/>
    <w:rsid w:val="783B17B1"/>
    <w:rsid w:val="784E2046"/>
    <w:rsid w:val="78546F0C"/>
    <w:rsid w:val="786778FE"/>
    <w:rsid w:val="78830961"/>
    <w:rsid w:val="78972AD3"/>
    <w:rsid w:val="789D588A"/>
    <w:rsid w:val="78A43B6E"/>
    <w:rsid w:val="78B65E3A"/>
    <w:rsid w:val="78E0091E"/>
    <w:rsid w:val="78EE1C79"/>
    <w:rsid w:val="78F85605"/>
    <w:rsid w:val="78FA66FA"/>
    <w:rsid w:val="79053EE1"/>
    <w:rsid w:val="79336ABC"/>
    <w:rsid w:val="79345B6A"/>
    <w:rsid w:val="793E46BF"/>
    <w:rsid w:val="79424F6E"/>
    <w:rsid w:val="794B7D41"/>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65260"/>
    <w:rsid w:val="7A2F3BBF"/>
    <w:rsid w:val="7A2F459A"/>
    <w:rsid w:val="7A322A39"/>
    <w:rsid w:val="7A517022"/>
    <w:rsid w:val="7A542B32"/>
    <w:rsid w:val="7A6F5001"/>
    <w:rsid w:val="7A7720A0"/>
    <w:rsid w:val="7A837B2B"/>
    <w:rsid w:val="7A9635B3"/>
    <w:rsid w:val="7A992B33"/>
    <w:rsid w:val="7AA2343E"/>
    <w:rsid w:val="7AD41DBD"/>
    <w:rsid w:val="7AD60EB8"/>
    <w:rsid w:val="7ADA73A4"/>
    <w:rsid w:val="7AE66B99"/>
    <w:rsid w:val="7AF10BC1"/>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E35E2A"/>
    <w:rsid w:val="7BF538C2"/>
    <w:rsid w:val="7BF66C24"/>
    <w:rsid w:val="7BFA1CC7"/>
    <w:rsid w:val="7BFB70B3"/>
    <w:rsid w:val="7BFD3595"/>
    <w:rsid w:val="7C0251DA"/>
    <w:rsid w:val="7C0C0E4A"/>
    <w:rsid w:val="7C0C2906"/>
    <w:rsid w:val="7C0E41D1"/>
    <w:rsid w:val="7C1052F2"/>
    <w:rsid w:val="7C21292C"/>
    <w:rsid w:val="7C2668D9"/>
    <w:rsid w:val="7C2E2D54"/>
    <w:rsid w:val="7C32497F"/>
    <w:rsid w:val="7C3C69AE"/>
    <w:rsid w:val="7C5036C5"/>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45DA7"/>
    <w:rsid w:val="7E1939E8"/>
    <w:rsid w:val="7E2400E7"/>
    <w:rsid w:val="7E2822EA"/>
    <w:rsid w:val="7E2A20CE"/>
    <w:rsid w:val="7E355A7B"/>
    <w:rsid w:val="7E3E236F"/>
    <w:rsid w:val="7E455322"/>
    <w:rsid w:val="7E492AC2"/>
    <w:rsid w:val="7E682F48"/>
    <w:rsid w:val="7E6E3E85"/>
    <w:rsid w:val="7E885398"/>
    <w:rsid w:val="7E953F59"/>
    <w:rsid w:val="7E991353"/>
    <w:rsid w:val="7E9C184B"/>
    <w:rsid w:val="7EA72948"/>
    <w:rsid w:val="7EB31EDB"/>
    <w:rsid w:val="7ED61132"/>
    <w:rsid w:val="7EE70CC0"/>
    <w:rsid w:val="7EEB48DB"/>
    <w:rsid w:val="7EF27444"/>
    <w:rsid w:val="7F067B28"/>
    <w:rsid w:val="7F185A04"/>
    <w:rsid w:val="7F2257ED"/>
    <w:rsid w:val="7F265C58"/>
    <w:rsid w:val="7F3B240A"/>
    <w:rsid w:val="7F4C4618"/>
    <w:rsid w:val="7F4D13A6"/>
    <w:rsid w:val="7F582CF2"/>
    <w:rsid w:val="7F951B40"/>
    <w:rsid w:val="7FA501CC"/>
    <w:rsid w:val="7FA820A8"/>
    <w:rsid w:val="7FAF2DF8"/>
    <w:rsid w:val="7FB81344"/>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16246</Words>
  <Characters>17217</Characters>
  <Lines>139</Lines>
  <Paragraphs>39</Paragraphs>
  <TotalTime>4</TotalTime>
  <ScaleCrop>false</ScaleCrop>
  <LinksUpToDate>false</LinksUpToDate>
  <CharactersWithSpaces>18107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2026-01-26T09:15:08Z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75D1E9E630BE40DA8E176CE584DABCFD_13</vt:lpwstr>
  </property>
  <property fmtid="{D5CDD505-2E9C-101B-9397-08002B2CF9AE}" pid="4" name="KSOTemplateDocerSaveRecord">
    <vt:lpwstr>eyJoZGlkIjoiMzU0MTZjMjFkMjFjOGMwYTIzNWEzZDljNjYxZWI0MmYiLCJ1c2VySWQiOiIxNjg0NTc5MjM2In0=</vt:lpwstr>
  </property>
</Properties>
</file>