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81481">
      <w:pPr>
        <w:pStyle w:val="10"/>
        <w:widowControl w:val="0"/>
        <w:spacing w:beforeLines="50"/>
        <w:jc w:val="center"/>
        <w:rPr>
          <w:rFonts w:hint="eastAsia" w:ascii="宋体" w:hAnsi="宋体" w:eastAsia="宋体" w:cs="宋体"/>
          <w:b/>
          <w:bCs/>
          <w:sz w:val="44"/>
          <w:szCs w:val="44"/>
          <w:lang w:eastAsia="zh-CN"/>
        </w:rPr>
      </w:pPr>
      <w:r>
        <w:rPr>
          <w:rFonts w:hint="eastAsia" w:hAnsi="宋体" w:cs="宋体"/>
          <w:b/>
          <w:bCs/>
          <w:sz w:val="44"/>
          <w:szCs w:val="44"/>
          <w:lang w:eastAsia="zh-CN"/>
        </w:rPr>
        <w:t>驻马店市中心医院活度计、等离子体射频手术系统等医疗设备采购项目（四次）（活度计）</w:t>
      </w:r>
    </w:p>
    <w:p w14:paraId="13AD521C">
      <w:pPr>
        <w:pStyle w:val="10"/>
        <w:jc w:val="center"/>
        <w:rPr>
          <w:rStyle w:val="33"/>
          <w:rFonts w:hint="eastAsia" w:ascii="宋体" w:hAnsi="宋体" w:eastAsia="宋体" w:cs="宋体"/>
          <w:b/>
          <w:bCs/>
          <w:color w:val="auto"/>
          <w:sz w:val="48"/>
          <w:szCs w:val="48"/>
        </w:rPr>
      </w:pPr>
    </w:p>
    <w:p w14:paraId="6BFE791F">
      <w:pPr>
        <w:pStyle w:val="10"/>
        <w:jc w:val="center"/>
        <w:rPr>
          <w:rStyle w:val="33"/>
          <w:rFonts w:hint="eastAsia" w:ascii="宋体" w:hAnsi="宋体" w:eastAsia="宋体" w:cs="宋体"/>
          <w:b/>
          <w:bCs/>
          <w:color w:val="auto"/>
          <w:sz w:val="48"/>
          <w:szCs w:val="48"/>
        </w:rPr>
      </w:pPr>
    </w:p>
    <w:p w14:paraId="6B4FB65E">
      <w:pPr>
        <w:pStyle w:val="10"/>
        <w:jc w:val="center"/>
        <w:rPr>
          <w:rStyle w:val="33"/>
          <w:rFonts w:hint="eastAsia" w:ascii="宋体" w:hAnsi="宋体" w:eastAsia="宋体" w:cs="宋体"/>
          <w:b/>
          <w:bCs/>
          <w:color w:val="auto"/>
          <w:sz w:val="48"/>
          <w:szCs w:val="48"/>
        </w:rPr>
      </w:pPr>
    </w:p>
    <w:p w14:paraId="43082CCE">
      <w:pPr>
        <w:pStyle w:val="10"/>
        <w:jc w:val="center"/>
        <w:rPr>
          <w:rStyle w:val="33"/>
          <w:rFonts w:hint="eastAsia" w:ascii="宋体" w:hAnsi="宋体" w:eastAsia="宋体" w:cs="宋体"/>
          <w:b/>
          <w:bCs/>
          <w:color w:val="auto"/>
          <w:sz w:val="48"/>
          <w:szCs w:val="48"/>
        </w:rPr>
      </w:pPr>
    </w:p>
    <w:p w14:paraId="328DF7D1">
      <w:pPr>
        <w:pStyle w:val="10"/>
        <w:jc w:val="center"/>
        <w:rPr>
          <w:rStyle w:val="33"/>
          <w:rFonts w:hint="eastAsia" w:ascii="宋体" w:hAnsi="宋体" w:eastAsia="宋体" w:cs="宋体"/>
          <w:b/>
          <w:bCs/>
          <w:color w:val="auto"/>
          <w:sz w:val="44"/>
          <w:szCs w:val="44"/>
        </w:rPr>
      </w:pPr>
      <w:r>
        <w:rPr>
          <w:rStyle w:val="33"/>
          <w:rFonts w:hint="eastAsia" w:hAnsi="宋体" w:cs="宋体"/>
          <w:b/>
          <w:bCs/>
          <w:color w:val="auto"/>
          <w:sz w:val="44"/>
          <w:szCs w:val="44"/>
          <w:lang w:val="en-US" w:eastAsia="zh-CN"/>
        </w:rPr>
        <w:t>竞争性谈判</w:t>
      </w:r>
      <w:r>
        <w:rPr>
          <w:rStyle w:val="33"/>
          <w:rFonts w:hint="eastAsia" w:ascii="宋体" w:hAnsi="宋体" w:eastAsia="宋体" w:cs="宋体"/>
          <w:b/>
          <w:bCs/>
          <w:color w:val="auto"/>
          <w:sz w:val="44"/>
          <w:szCs w:val="44"/>
        </w:rPr>
        <w:t>文件</w:t>
      </w:r>
    </w:p>
    <w:p w14:paraId="0AE9B8AA">
      <w:pPr>
        <w:tabs>
          <w:tab w:val="left" w:pos="2700"/>
          <w:tab w:val="left" w:pos="2880"/>
          <w:tab w:val="left" w:pos="3060"/>
          <w:tab w:val="left" w:pos="7560"/>
        </w:tabs>
        <w:snapToGrid w:val="0"/>
        <w:spacing w:line="360" w:lineRule="auto"/>
        <w:ind w:firstLine="1928" w:firstLineChars="600"/>
        <w:rPr>
          <w:rFonts w:hint="eastAsia" w:ascii="宋体" w:hAnsi="宋体" w:eastAsia="宋体" w:cs="宋体"/>
          <w:b/>
          <w:bCs/>
          <w:spacing w:val="-10"/>
          <w:sz w:val="34"/>
          <w:szCs w:val="34"/>
        </w:rPr>
      </w:pPr>
    </w:p>
    <w:p w14:paraId="598DBADB">
      <w:pPr>
        <w:snapToGrid w:val="0"/>
        <w:spacing w:line="380" w:lineRule="exact"/>
        <w:jc w:val="center"/>
        <w:rPr>
          <w:rFonts w:hint="eastAsia" w:ascii="宋体" w:hAnsi="宋体" w:eastAsia="宋体" w:cs="宋体"/>
          <w:b/>
          <w:sz w:val="32"/>
          <w:szCs w:val="32"/>
        </w:rPr>
      </w:pPr>
    </w:p>
    <w:p w14:paraId="57773C33">
      <w:pPr>
        <w:pStyle w:val="21"/>
        <w:ind w:firstLine="210"/>
        <w:rPr>
          <w:rFonts w:hint="eastAsia" w:ascii="宋体" w:hAnsi="宋体" w:eastAsia="宋体" w:cs="宋体"/>
        </w:rPr>
      </w:pPr>
    </w:p>
    <w:p w14:paraId="4AE6D0D2">
      <w:pPr>
        <w:pStyle w:val="62"/>
        <w:rPr>
          <w:rFonts w:hint="eastAsia" w:ascii="宋体" w:hAnsi="宋体" w:eastAsia="宋体" w:cs="宋体"/>
          <w:bCs/>
          <w:sz w:val="2"/>
          <w:szCs w:val="2"/>
        </w:rPr>
      </w:pPr>
    </w:p>
    <w:p w14:paraId="509E69AC">
      <w:pPr>
        <w:rPr>
          <w:rFonts w:hint="eastAsia" w:ascii="宋体" w:hAnsi="宋体" w:eastAsia="宋体" w:cs="宋体"/>
          <w:bCs/>
          <w:sz w:val="2"/>
          <w:szCs w:val="2"/>
        </w:rPr>
      </w:pPr>
    </w:p>
    <w:p w14:paraId="191A4D49">
      <w:pPr>
        <w:spacing w:line="20" w:lineRule="exact"/>
        <w:rPr>
          <w:rFonts w:hint="eastAsia" w:ascii="宋体" w:hAnsi="宋体" w:eastAsia="宋体" w:cs="宋体"/>
          <w:bCs/>
          <w:sz w:val="2"/>
          <w:szCs w:val="2"/>
        </w:rPr>
      </w:pPr>
    </w:p>
    <w:p w14:paraId="7D5E16E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rPr>
      </w:pPr>
    </w:p>
    <w:p w14:paraId="3D83348B">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rPr>
      </w:pPr>
    </w:p>
    <w:p w14:paraId="2E361EAD">
      <w:pPr>
        <w:tabs>
          <w:tab w:val="left" w:pos="2700"/>
          <w:tab w:val="left" w:pos="2880"/>
          <w:tab w:val="left" w:pos="3060"/>
          <w:tab w:val="left" w:pos="7560"/>
        </w:tabs>
        <w:snapToGrid w:val="0"/>
        <w:spacing w:line="480" w:lineRule="auto"/>
        <w:jc w:val="center"/>
        <w:rPr>
          <w:rFonts w:hint="eastAsia" w:ascii="宋体" w:hAnsi="宋体" w:eastAsia="宋体" w:cs="宋体"/>
          <w:b/>
          <w:bCs/>
          <w:spacing w:val="-10"/>
          <w:sz w:val="34"/>
          <w:szCs w:val="34"/>
        </w:rPr>
      </w:pPr>
    </w:p>
    <w:p w14:paraId="658E6190">
      <w:pPr>
        <w:tabs>
          <w:tab w:val="left" w:pos="2700"/>
          <w:tab w:val="left" w:pos="2880"/>
          <w:tab w:val="left" w:pos="3060"/>
          <w:tab w:val="left" w:pos="7560"/>
        </w:tabs>
        <w:snapToGrid w:val="0"/>
        <w:spacing w:line="480" w:lineRule="auto"/>
        <w:ind w:firstLine="2089" w:firstLineChars="800"/>
        <w:rPr>
          <w:rFonts w:hint="eastAsia" w:ascii="宋体" w:hAnsi="宋体" w:cs="宋体"/>
          <w:b/>
          <w:bCs/>
          <w:color w:val="auto"/>
          <w:spacing w:val="-10"/>
          <w:sz w:val="28"/>
          <w:szCs w:val="28"/>
          <w:highlight w:val="none"/>
          <w:lang w:val="en-US" w:eastAsia="zh-CN"/>
        </w:rPr>
      </w:pPr>
      <w:r>
        <w:rPr>
          <w:rFonts w:hint="eastAsia" w:ascii="宋体" w:hAnsi="宋体" w:cs="宋体"/>
          <w:b/>
          <w:bCs/>
          <w:color w:val="auto"/>
          <w:spacing w:val="-10"/>
          <w:sz w:val="28"/>
          <w:szCs w:val="28"/>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2089" w:firstLineChars="800"/>
        <w:rPr>
          <w:rFonts w:hint="default" w:ascii="宋体" w:hAnsi="宋体" w:eastAsia="宋体" w:cs="宋体"/>
          <w:b/>
          <w:bCs/>
          <w:color w:val="auto"/>
          <w:spacing w:val="-10"/>
          <w:sz w:val="28"/>
          <w:szCs w:val="28"/>
          <w:highlight w:val="none"/>
          <w:lang w:val="en-US" w:eastAsia="zh-CN"/>
        </w:rPr>
      </w:pPr>
      <w:r>
        <w:rPr>
          <w:rFonts w:hint="eastAsia" w:ascii="宋体" w:hAnsi="宋体" w:eastAsia="宋体" w:cs="宋体"/>
          <w:b/>
          <w:bCs/>
          <w:color w:val="auto"/>
          <w:spacing w:val="-10"/>
          <w:sz w:val="28"/>
          <w:szCs w:val="28"/>
          <w:highlight w:val="none"/>
          <w:lang w:val="en-US" w:eastAsia="zh-CN"/>
        </w:rPr>
        <w:t>采购代理机构：</w:t>
      </w:r>
      <w:r>
        <w:rPr>
          <w:rFonts w:hint="eastAsia" w:ascii="宋体" w:hAnsi="宋体" w:cs="宋体"/>
          <w:b/>
          <w:bCs/>
          <w:color w:val="auto"/>
          <w:spacing w:val="-10"/>
          <w:sz w:val="28"/>
          <w:szCs w:val="28"/>
          <w:highlight w:val="none"/>
          <w:lang w:val="en-US" w:eastAsia="zh-CN"/>
        </w:rPr>
        <w:t>中泰工程管理有限公司</w:t>
      </w:r>
    </w:p>
    <w:p w14:paraId="4FCBE59C">
      <w:pPr>
        <w:tabs>
          <w:tab w:val="left" w:pos="2700"/>
          <w:tab w:val="left" w:pos="2880"/>
          <w:tab w:val="left" w:pos="3060"/>
          <w:tab w:val="left" w:pos="7560"/>
        </w:tabs>
        <w:snapToGrid w:val="0"/>
        <w:spacing w:line="480" w:lineRule="auto"/>
        <w:ind w:firstLine="2089" w:firstLineChars="800"/>
        <w:jc w:val="both"/>
        <w:rPr>
          <w:rFonts w:hint="default" w:ascii="宋体" w:hAnsi="宋体" w:eastAsia="宋体" w:cs="宋体"/>
          <w:b/>
          <w:bCs/>
          <w:color w:val="auto"/>
          <w:spacing w:val="-10"/>
          <w:sz w:val="28"/>
          <w:szCs w:val="28"/>
          <w:highlight w:val="none"/>
          <w:lang w:val="en-US" w:eastAsia="zh-CN"/>
        </w:rPr>
      </w:pPr>
      <w:r>
        <w:rPr>
          <w:rFonts w:hint="eastAsia" w:ascii="宋体" w:hAnsi="宋体" w:eastAsia="宋体" w:cs="宋体"/>
          <w:b/>
          <w:bCs/>
          <w:color w:val="auto"/>
          <w:spacing w:val="-10"/>
          <w:sz w:val="28"/>
          <w:szCs w:val="28"/>
          <w:highlight w:val="none"/>
          <w:lang w:val="en-US" w:eastAsia="zh-CN"/>
        </w:rPr>
        <w:t xml:space="preserve">日  </w:t>
      </w:r>
      <w:r>
        <w:rPr>
          <w:rFonts w:hint="eastAsia" w:ascii="宋体" w:hAnsi="宋体" w:cs="宋体"/>
          <w:b/>
          <w:bCs/>
          <w:color w:val="auto"/>
          <w:spacing w:val="-10"/>
          <w:sz w:val="28"/>
          <w:szCs w:val="28"/>
          <w:highlight w:val="none"/>
          <w:lang w:val="en-US" w:eastAsia="zh-CN"/>
        </w:rPr>
        <w:t xml:space="preserve"> </w:t>
      </w:r>
      <w:r>
        <w:rPr>
          <w:rFonts w:hint="eastAsia" w:ascii="宋体" w:hAnsi="宋体" w:eastAsia="宋体" w:cs="宋体"/>
          <w:b/>
          <w:bCs/>
          <w:color w:val="auto"/>
          <w:spacing w:val="-10"/>
          <w:sz w:val="28"/>
          <w:szCs w:val="28"/>
          <w:highlight w:val="none"/>
          <w:lang w:val="en-US" w:eastAsia="zh-CN"/>
        </w:rPr>
        <w:t xml:space="preserve">      期：202</w:t>
      </w:r>
      <w:r>
        <w:rPr>
          <w:rFonts w:hint="eastAsia" w:ascii="宋体" w:hAnsi="宋体" w:cs="宋体"/>
          <w:b/>
          <w:bCs/>
          <w:color w:val="auto"/>
          <w:spacing w:val="-10"/>
          <w:sz w:val="28"/>
          <w:szCs w:val="28"/>
          <w:highlight w:val="none"/>
          <w:lang w:val="en-US" w:eastAsia="zh-CN"/>
        </w:rPr>
        <w:t>6</w:t>
      </w:r>
      <w:r>
        <w:rPr>
          <w:rFonts w:hint="eastAsia" w:ascii="宋体" w:hAnsi="宋体" w:eastAsia="宋体" w:cs="宋体"/>
          <w:b/>
          <w:bCs/>
          <w:color w:val="auto"/>
          <w:spacing w:val="-10"/>
          <w:sz w:val="28"/>
          <w:szCs w:val="28"/>
          <w:highlight w:val="none"/>
          <w:lang w:val="en-US" w:eastAsia="zh-CN"/>
        </w:rPr>
        <w:t>年</w:t>
      </w:r>
      <w:r>
        <w:rPr>
          <w:rFonts w:hint="eastAsia" w:ascii="宋体" w:hAnsi="宋体" w:cs="宋体"/>
          <w:b/>
          <w:bCs/>
          <w:color w:val="auto"/>
          <w:spacing w:val="-10"/>
          <w:sz w:val="28"/>
          <w:szCs w:val="28"/>
          <w:highlight w:val="none"/>
          <w:lang w:val="en-US" w:eastAsia="zh-CN"/>
        </w:rPr>
        <w:t>01</w:t>
      </w:r>
      <w:r>
        <w:rPr>
          <w:rFonts w:hint="eastAsia" w:ascii="宋体" w:hAnsi="宋体" w:eastAsia="宋体" w:cs="宋体"/>
          <w:b/>
          <w:bCs/>
          <w:color w:val="auto"/>
          <w:spacing w:val="-10"/>
          <w:sz w:val="28"/>
          <w:szCs w:val="28"/>
          <w:highlight w:val="none"/>
          <w:lang w:val="en-US" w:eastAsia="zh-CN"/>
        </w:rPr>
        <w:t>月</w:t>
      </w:r>
    </w:p>
    <w:p w14:paraId="5DA9B303">
      <w:pPr>
        <w:pStyle w:val="17"/>
        <w:tabs>
          <w:tab w:val="right" w:leader="dot" w:pos="8640"/>
        </w:tabs>
        <w:snapToGrid w:val="0"/>
        <w:jc w:val="center"/>
        <w:textAlignment w:val="baseline"/>
        <w:rPr>
          <w:rFonts w:hint="eastAsia" w:ascii="宋体" w:hAnsi="宋体" w:eastAsia="宋体" w:cs="宋体"/>
          <w:b/>
          <w:bCs/>
          <w:sz w:val="44"/>
          <w:szCs w:val="44"/>
        </w:rPr>
      </w:pPr>
    </w:p>
    <w:p w14:paraId="4C32AAB8">
      <w:pPr>
        <w:pStyle w:val="17"/>
        <w:tabs>
          <w:tab w:val="right" w:leader="dot" w:pos="8640"/>
        </w:tabs>
        <w:snapToGrid w:val="0"/>
        <w:jc w:val="center"/>
        <w:textAlignment w:val="baseline"/>
        <w:rPr>
          <w:rFonts w:hint="eastAsia" w:ascii="宋体" w:hAnsi="宋体" w:eastAsia="宋体" w:cs="宋体"/>
          <w:b/>
          <w:bCs/>
          <w:sz w:val="44"/>
          <w:szCs w:val="44"/>
        </w:rPr>
      </w:pPr>
    </w:p>
    <w:p w14:paraId="3F9598B1">
      <w:pPr>
        <w:pStyle w:val="17"/>
        <w:tabs>
          <w:tab w:val="right" w:leader="dot" w:pos="8640"/>
        </w:tabs>
        <w:snapToGrid w:val="0"/>
        <w:jc w:val="center"/>
        <w:textAlignment w:val="baseline"/>
        <w:rPr>
          <w:rFonts w:hint="eastAsia" w:ascii="宋体" w:hAnsi="宋体" w:eastAsia="宋体" w:cs="宋体"/>
          <w:b/>
          <w:bCs/>
          <w:sz w:val="44"/>
          <w:szCs w:val="44"/>
        </w:rPr>
      </w:pPr>
    </w:p>
    <w:p w14:paraId="47C94122">
      <w:pPr>
        <w:pStyle w:val="17"/>
        <w:tabs>
          <w:tab w:val="right" w:leader="dot" w:pos="8640"/>
        </w:tabs>
        <w:snapToGrid w:val="0"/>
        <w:jc w:val="center"/>
        <w:textAlignment w:val="baseline"/>
        <w:rPr>
          <w:rFonts w:hint="eastAsia" w:ascii="宋体" w:hAnsi="宋体" w:eastAsia="宋体" w:cs="宋体"/>
          <w:b/>
          <w:bCs/>
          <w:sz w:val="44"/>
          <w:szCs w:val="44"/>
        </w:rPr>
        <w:sectPr>
          <w:headerReference r:id="rId3" w:type="default"/>
          <w:pgSz w:w="12240" w:h="15840"/>
          <w:pgMar w:top="1440" w:right="1800" w:bottom="1440" w:left="1800" w:header="850" w:footer="992" w:gutter="0"/>
          <w:pgNumType w:fmt="decimal"/>
          <w:cols w:space="0" w:num="1"/>
          <w:docGrid w:linePitch="312" w:charSpace="0"/>
        </w:sectPr>
      </w:pPr>
    </w:p>
    <w:p w14:paraId="2E09F7C5">
      <w:pPr>
        <w:pStyle w:val="17"/>
        <w:tabs>
          <w:tab w:val="right" w:leader="dot" w:pos="8640"/>
        </w:tabs>
        <w:snapToGrid w:val="0"/>
        <w:jc w:val="center"/>
        <w:textAlignment w:val="baseline"/>
        <w:rPr>
          <w:rFonts w:hint="eastAsia" w:ascii="宋体" w:hAnsi="宋体" w:eastAsia="宋体" w:cs="宋体"/>
          <w:b/>
          <w:bCs/>
          <w:sz w:val="44"/>
          <w:szCs w:val="44"/>
        </w:rPr>
      </w:pPr>
      <w:r>
        <w:rPr>
          <w:rFonts w:hint="eastAsia" w:ascii="宋体" w:hAnsi="宋体" w:eastAsia="宋体" w:cs="宋体"/>
          <w:b/>
          <w:bCs/>
          <w:sz w:val="44"/>
          <w:szCs w:val="44"/>
        </w:rPr>
        <w:t>目录</w:t>
      </w:r>
    </w:p>
    <w:p w14:paraId="327237FF">
      <w:pPr>
        <w:pStyle w:val="17"/>
        <w:keepNext w:val="0"/>
        <w:keepLines w:val="0"/>
        <w:pageBreakBefore w:val="0"/>
        <w:widowControl w:val="0"/>
        <w:tabs>
          <w:tab w:val="right" w:leader="dot" w:pos="864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0"/>
        </w:rPr>
        <w:fldChar w:fldCharType="begin"/>
      </w:r>
      <w:r>
        <w:rPr>
          <w:rFonts w:hint="eastAsia" w:ascii="宋体" w:hAnsi="宋体" w:eastAsia="宋体" w:cs="宋体"/>
          <w:sz w:val="20"/>
        </w:rPr>
        <w:instrText xml:space="preserve">TOC \o "1-1" \h \u </w:instrText>
      </w:r>
      <w:r>
        <w:rPr>
          <w:rFonts w:hint="eastAsia" w:ascii="宋体" w:hAnsi="宋体" w:eastAsia="宋体" w:cs="宋体"/>
          <w:sz w:val="20"/>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_Toc4398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第一章  竞争性谈判公告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_Toc4398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577D0E">
      <w:pPr>
        <w:pStyle w:val="17"/>
        <w:keepNext w:val="0"/>
        <w:keepLines w:val="0"/>
        <w:pageBreakBefore w:val="0"/>
        <w:widowControl w:val="0"/>
        <w:tabs>
          <w:tab w:val="right" w:leader="dot" w:pos="864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_Toc14134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bidi="ar-SA"/>
        </w:rPr>
        <w:t>第二章 </w:t>
      </w:r>
      <w:r>
        <w:rPr>
          <w:rFonts w:hint="eastAsia" w:ascii="宋体" w:hAnsi="宋体" w:eastAsia="宋体" w:cs="宋体"/>
          <w:bCs/>
          <w:kern w:val="2"/>
          <w:sz w:val="24"/>
          <w:szCs w:val="24"/>
          <w:highlight w:val="none"/>
          <w:lang w:val="en-US" w:eastAsia="zh-CN" w:bidi="ar-SA"/>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_Toc14134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473A27">
      <w:pPr>
        <w:pStyle w:val="17"/>
        <w:keepNext w:val="0"/>
        <w:keepLines w:val="0"/>
        <w:pageBreakBefore w:val="0"/>
        <w:widowControl w:val="0"/>
        <w:tabs>
          <w:tab w:val="right" w:leader="dot" w:pos="864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_Toc9859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w:t>
      </w:r>
      <w:r>
        <w:rPr>
          <w:rFonts w:hint="eastAsia" w:ascii="宋体" w:hAnsi="宋体" w:eastAsia="宋体" w:cs="宋体"/>
          <w:bCs/>
          <w:sz w:val="24"/>
          <w:szCs w:val="24"/>
          <w:lang w:val="en-US" w:eastAsia="zh-CN"/>
        </w:rPr>
        <w:t>三</w:t>
      </w:r>
      <w:r>
        <w:rPr>
          <w:rFonts w:hint="eastAsia" w:ascii="宋体" w:hAnsi="宋体" w:eastAsia="宋体" w:cs="宋体"/>
          <w:bCs/>
          <w:sz w:val="24"/>
          <w:szCs w:val="24"/>
        </w:rPr>
        <w:t>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_Toc9859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7A71D3">
      <w:pPr>
        <w:pStyle w:val="17"/>
        <w:keepNext w:val="0"/>
        <w:keepLines w:val="0"/>
        <w:pageBreakBefore w:val="0"/>
        <w:widowControl w:val="0"/>
        <w:tabs>
          <w:tab w:val="right" w:leader="dot" w:pos="864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_Toc2714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第四章  政府采购合同（主要条款）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A9A8351">
      <w:pPr>
        <w:pStyle w:val="17"/>
        <w:keepNext w:val="0"/>
        <w:keepLines w:val="0"/>
        <w:pageBreakBefore w:val="0"/>
        <w:widowControl w:val="0"/>
        <w:tabs>
          <w:tab w:val="right" w:leader="dot" w:pos="8640"/>
        </w:tabs>
        <w:kinsoku/>
        <w:wordWrap/>
        <w:overflowPunct/>
        <w:topLinePunct w:val="0"/>
        <w:autoSpaceDE/>
        <w:autoSpaceDN/>
        <w:bidi w:val="0"/>
        <w:adjustRightInd/>
        <w:snapToGrid/>
        <w:spacing w:line="480" w:lineRule="auto"/>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_Toc13353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第五章  谈判响应文件格式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_Toc13353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65DADD">
      <w:pPr>
        <w:pStyle w:val="17"/>
        <w:tabs>
          <w:tab w:val="right" w:leader="dot" w:pos="8640"/>
        </w:tabs>
      </w:pPr>
    </w:p>
    <w:p w14:paraId="6B625C52">
      <w:pPr>
        <w:pStyle w:val="46"/>
        <w:keepNext w:val="0"/>
        <w:keepLines w:val="0"/>
        <w:pageBreakBefore w:val="0"/>
        <w:widowControl w:val="0"/>
        <w:tabs>
          <w:tab w:val="center" w:pos="4320"/>
        </w:tabs>
        <w:kinsoku/>
        <w:wordWrap/>
        <w:overflowPunct/>
        <w:topLinePunct w:val="0"/>
        <w:autoSpaceDE/>
        <w:autoSpaceDN/>
        <w:bidi w:val="0"/>
        <w:adjustRightInd/>
        <w:snapToGrid w:val="0"/>
        <w:spacing w:line="560" w:lineRule="exact"/>
        <w:textAlignment w:val="baseline"/>
        <w:rPr>
          <w:rFonts w:hint="eastAsia" w:ascii="宋体" w:hAnsi="宋体" w:eastAsia="宋体" w:cs="宋体"/>
        </w:rPr>
      </w:pPr>
      <w:r>
        <w:rPr>
          <w:rFonts w:hint="eastAsia" w:ascii="宋体" w:hAnsi="宋体" w:eastAsia="宋体" w:cs="宋体"/>
        </w:rPr>
        <w:fldChar w:fldCharType="end"/>
      </w:r>
      <w:r>
        <w:rPr>
          <w:rFonts w:hint="eastAsia" w:ascii="宋体" w:hAnsi="宋体" w:eastAsia="宋体" w:cs="宋体"/>
        </w:rPr>
        <w:tab/>
      </w:r>
    </w:p>
    <w:p w14:paraId="33B901FE">
      <w:pPr>
        <w:pStyle w:val="46"/>
        <w:snapToGrid w:val="0"/>
        <w:jc w:val="center"/>
        <w:textAlignment w:val="baseline"/>
        <w:outlineLvl w:val="0"/>
        <w:rPr>
          <w:rFonts w:hint="eastAsia" w:ascii="宋体" w:hAnsi="宋体" w:eastAsia="宋体" w:cs="宋体"/>
          <w:b/>
          <w:bCs/>
          <w:sz w:val="36"/>
          <w:szCs w:val="24"/>
        </w:rPr>
        <w:sectPr>
          <w:footerReference r:id="rId4" w:type="default"/>
          <w:pgSz w:w="12240" w:h="15840"/>
          <w:pgMar w:top="1440" w:right="1800" w:bottom="1440" w:left="1800" w:header="850" w:footer="992" w:gutter="0"/>
          <w:pgNumType w:fmt="decimal" w:start="1"/>
          <w:cols w:space="0" w:num="1"/>
          <w:docGrid w:linePitch="312" w:charSpace="0"/>
        </w:sectPr>
      </w:pPr>
    </w:p>
    <w:p w14:paraId="3CCA4996">
      <w:pPr>
        <w:pStyle w:val="46"/>
        <w:keepNext w:val="0"/>
        <w:keepLines w:val="0"/>
        <w:pageBreakBefore w:val="0"/>
        <w:widowControl w:val="0"/>
        <w:kinsoku/>
        <w:wordWrap/>
        <w:overflowPunct/>
        <w:topLinePunct w:val="0"/>
        <w:autoSpaceDE/>
        <w:autoSpaceDN/>
        <w:bidi w:val="0"/>
        <w:adjustRightInd/>
        <w:snapToGrid w:val="0"/>
        <w:spacing w:before="313" w:beforeLines="100" w:after="313" w:afterLines="100" w:line="500" w:lineRule="exact"/>
        <w:jc w:val="center"/>
        <w:textAlignment w:val="baseline"/>
        <w:outlineLvl w:val="0"/>
        <w:rPr>
          <w:rFonts w:hint="eastAsia" w:ascii="宋体" w:hAnsi="宋体" w:eastAsia="宋体" w:cs="宋体"/>
          <w:b/>
          <w:bCs/>
          <w:sz w:val="36"/>
          <w:szCs w:val="24"/>
        </w:rPr>
      </w:pPr>
      <w:bookmarkStart w:id="0" w:name="_Toc4398"/>
      <w:r>
        <w:rPr>
          <w:rFonts w:hint="eastAsia" w:ascii="宋体" w:hAnsi="宋体" w:eastAsia="宋体" w:cs="宋体"/>
          <w:b/>
          <w:bCs/>
          <w:sz w:val="36"/>
          <w:szCs w:val="24"/>
        </w:rPr>
        <w:t>第一章  竞争性谈判公告</w:t>
      </w:r>
      <w:bookmarkEnd w:id="0"/>
    </w:p>
    <w:p w14:paraId="02C3ADB9">
      <w:pPr>
        <w:keepNext w:val="0"/>
        <w:keepLines w:val="0"/>
        <w:pageBreakBefore w:val="0"/>
        <w:widowControl/>
        <w:kinsoku/>
        <w:overflowPunct/>
        <w:topLinePunct w:val="0"/>
        <w:autoSpaceDE/>
        <w:autoSpaceDN/>
        <w:bidi w:val="0"/>
        <w:adjustRightInd w:val="0"/>
        <w:snapToGrid w:val="0"/>
        <w:spacing w:line="460" w:lineRule="exact"/>
        <w:jc w:val="center"/>
        <w:textAlignment w:val="auto"/>
        <w:rPr>
          <w:rFonts w:hint="eastAsia" w:ascii="宋体" w:hAnsi="宋体" w:eastAsia="宋体" w:cs="宋体"/>
          <w:b/>
          <w:kern w:val="0"/>
          <w:sz w:val="28"/>
          <w:szCs w:val="28"/>
        </w:rPr>
      </w:pPr>
      <w:r>
        <w:rPr>
          <w:rFonts w:hint="eastAsia" w:ascii="宋体" w:hAnsi="宋体" w:cs="宋体"/>
          <w:b/>
          <w:kern w:val="0"/>
          <w:sz w:val="28"/>
          <w:szCs w:val="28"/>
          <w:lang w:eastAsia="zh-CN"/>
        </w:rPr>
        <w:t>驻马店市中心医院活度计、等离子体射频手术系统等医疗设备采购项目（四次）（活度计）</w:t>
      </w:r>
      <w:r>
        <w:rPr>
          <w:rFonts w:hint="eastAsia" w:ascii="宋体" w:hAnsi="宋体" w:eastAsia="宋体" w:cs="宋体"/>
          <w:b/>
          <w:kern w:val="0"/>
          <w:sz w:val="28"/>
          <w:szCs w:val="28"/>
        </w:rPr>
        <w:t>竞争性</w:t>
      </w:r>
      <w:r>
        <w:rPr>
          <w:rFonts w:hint="eastAsia" w:ascii="宋体" w:hAnsi="宋体" w:eastAsia="宋体" w:cs="宋体"/>
          <w:b/>
          <w:kern w:val="0"/>
          <w:sz w:val="28"/>
          <w:szCs w:val="28"/>
          <w:lang w:eastAsia="zh-CN"/>
        </w:rPr>
        <w:t>谈判</w:t>
      </w:r>
      <w:r>
        <w:rPr>
          <w:rFonts w:hint="eastAsia" w:ascii="宋体" w:hAnsi="宋体" w:eastAsia="宋体" w:cs="宋体"/>
          <w:b/>
          <w:kern w:val="0"/>
          <w:sz w:val="28"/>
          <w:szCs w:val="28"/>
        </w:rPr>
        <w:t>公告</w:t>
      </w:r>
    </w:p>
    <w:p w14:paraId="37107725">
      <w:pPr>
        <w:keepNext w:val="0"/>
        <w:keepLines w:val="0"/>
        <w:pageBreakBefore w:val="0"/>
        <w:kinsoku/>
        <w:overflowPunct/>
        <w:topLinePunct w:val="0"/>
        <w:autoSpaceDE/>
        <w:autoSpaceDN/>
        <w:bidi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驻马店市中心医院现对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活度计、等离子体射频手术系统等医疗设备采购项目（四次）（活度计）</w:t>
      </w:r>
      <w:r>
        <w:rPr>
          <w:rFonts w:hint="eastAsia" w:ascii="宋体" w:hAnsi="宋体" w:eastAsia="宋体" w:cs="宋体"/>
          <w:sz w:val="21"/>
          <w:szCs w:val="21"/>
        </w:rPr>
        <w:t>进行院内竞争性</w:t>
      </w:r>
      <w:r>
        <w:rPr>
          <w:rFonts w:hint="eastAsia" w:ascii="宋体" w:hAnsi="宋体" w:eastAsia="宋体" w:cs="宋体"/>
          <w:sz w:val="21"/>
          <w:szCs w:val="21"/>
          <w:lang w:eastAsia="zh-CN"/>
        </w:rPr>
        <w:t>谈判</w:t>
      </w:r>
      <w:r>
        <w:rPr>
          <w:rFonts w:hint="eastAsia" w:ascii="宋体" w:hAnsi="宋体" w:eastAsia="宋体" w:cs="宋体"/>
          <w:sz w:val="21"/>
          <w:szCs w:val="21"/>
        </w:rPr>
        <w:t>采购，欢迎符合资格条件的供应商前来报名并获取采购文件。</w:t>
      </w:r>
    </w:p>
    <w:p w14:paraId="2112F905">
      <w:pPr>
        <w:keepNext w:val="0"/>
        <w:keepLines w:val="0"/>
        <w:pageBreakBefore w:val="0"/>
        <w:widowControl/>
        <w:kinsoku/>
        <w:overflowPunct/>
        <w:topLinePunct w:val="0"/>
        <w:autoSpaceDE/>
        <w:autoSpaceDN/>
        <w:bidi w:val="0"/>
        <w:snapToGrid w:val="0"/>
        <w:spacing w:line="460" w:lineRule="exact"/>
        <w:jc w:val="left"/>
        <w:textAlignment w:val="auto"/>
        <w:outlineLvl w:val="1"/>
        <w:rPr>
          <w:rFonts w:hint="eastAsia" w:ascii="宋体" w:hAnsi="宋体" w:eastAsia="宋体" w:cs="宋体"/>
          <w:b/>
          <w:bCs/>
          <w:sz w:val="21"/>
          <w:szCs w:val="21"/>
          <w:shd w:val="clear" w:color="auto" w:fill="FFFFFF"/>
        </w:rPr>
      </w:pPr>
      <w:r>
        <w:rPr>
          <w:rFonts w:hint="eastAsia" w:ascii="宋体" w:hAnsi="宋体" w:eastAsia="宋体" w:cs="宋体"/>
          <w:b/>
          <w:bCs/>
          <w:sz w:val="21"/>
          <w:szCs w:val="21"/>
          <w:shd w:val="clear" w:color="auto" w:fill="FFFFFF"/>
        </w:rPr>
        <w:t>一、项目基本情况</w:t>
      </w:r>
    </w:p>
    <w:p w14:paraId="7488B5DD">
      <w:pPr>
        <w:keepNext w:val="0"/>
        <w:keepLines w:val="0"/>
        <w:pageBreakBefore w:val="0"/>
        <w:widowControl/>
        <w:tabs>
          <w:tab w:val="left" w:pos="840"/>
        </w:tabs>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1、采购项目名称：</w:t>
      </w:r>
      <w:r>
        <w:rPr>
          <w:rFonts w:hint="eastAsia" w:ascii="宋体" w:hAnsi="宋体" w:cs="宋体"/>
          <w:sz w:val="21"/>
          <w:szCs w:val="21"/>
          <w:shd w:val="clear" w:color="auto" w:fill="FFFFFF"/>
          <w:lang w:eastAsia="zh-CN"/>
        </w:rPr>
        <w:t>驻马店市中心医院活度计、等离子体射频手术系统等医疗设备采购项目（四次）（活度计）</w:t>
      </w:r>
      <w:r>
        <w:rPr>
          <w:rFonts w:hint="eastAsia" w:ascii="宋体" w:hAnsi="宋体" w:eastAsia="宋体" w:cs="宋体"/>
          <w:sz w:val="21"/>
          <w:szCs w:val="21"/>
          <w:shd w:val="clear" w:color="auto" w:fill="FFFFFF"/>
        </w:rPr>
        <w:t>；</w:t>
      </w:r>
    </w:p>
    <w:p w14:paraId="3CC2BF81">
      <w:pPr>
        <w:keepNext w:val="0"/>
        <w:keepLines w:val="0"/>
        <w:pageBreakBefore w:val="0"/>
        <w:widowControl/>
        <w:tabs>
          <w:tab w:val="left" w:pos="840"/>
        </w:tabs>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2、采购需求：具体要求详见附件；</w:t>
      </w:r>
    </w:p>
    <w:p w14:paraId="60BCDAD6">
      <w:pPr>
        <w:keepNext w:val="0"/>
        <w:keepLines w:val="0"/>
        <w:pageBreakBefore w:val="0"/>
        <w:widowControl/>
        <w:tabs>
          <w:tab w:val="left" w:pos="840"/>
        </w:tabs>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w:t>
      </w:r>
      <w:bookmarkStart w:id="1" w:name="_Toc26725"/>
      <w:r>
        <w:rPr>
          <w:rFonts w:hint="eastAsia" w:ascii="宋体" w:hAnsi="宋体" w:eastAsia="宋体" w:cs="宋体"/>
          <w:sz w:val="21"/>
          <w:szCs w:val="21"/>
          <w:shd w:val="clear" w:color="auto" w:fill="FFFFFF"/>
        </w:rPr>
        <w:t>、预算金额：</w:t>
      </w:r>
      <w:r>
        <w:rPr>
          <w:rFonts w:hint="eastAsia" w:ascii="宋体" w:hAnsi="宋体" w:cs="宋体"/>
          <w:sz w:val="21"/>
          <w:szCs w:val="21"/>
          <w:shd w:val="clear" w:color="auto" w:fill="FFFFFF"/>
          <w:lang w:val="en-US" w:eastAsia="zh-CN"/>
        </w:rPr>
        <w:t>7</w:t>
      </w:r>
      <w:r>
        <w:rPr>
          <w:rFonts w:hint="eastAsia" w:ascii="宋体" w:hAnsi="宋体" w:eastAsia="宋体" w:cs="宋体"/>
          <w:sz w:val="21"/>
          <w:szCs w:val="21"/>
          <w:shd w:val="clear" w:color="auto" w:fill="FFFFFF"/>
        </w:rPr>
        <w:t>万</w:t>
      </w:r>
      <w:r>
        <w:rPr>
          <w:rFonts w:hint="eastAsia" w:ascii="宋体" w:hAnsi="宋体" w:eastAsia="宋体" w:cs="宋体"/>
          <w:sz w:val="21"/>
          <w:szCs w:val="21"/>
          <w:shd w:val="clear" w:color="auto" w:fill="FFFFFF"/>
          <w:lang w:val="en-US" w:eastAsia="zh-CN"/>
        </w:rPr>
        <w:t>元</w:t>
      </w:r>
      <w:r>
        <w:rPr>
          <w:rFonts w:hint="eastAsia" w:ascii="宋体" w:hAnsi="宋体" w:eastAsia="宋体" w:cs="宋体"/>
          <w:sz w:val="21"/>
          <w:szCs w:val="21"/>
          <w:shd w:val="clear" w:color="auto" w:fill="FFFFFF"/>
        </w:rPr>
        <w:t>；</w:t>
      </w:r>
    </w:p>
    <w:p w14:paraId="36CAC29B">
      <w:pPr>
        <w:keepNext w:val="0"/>
        <w:keepLines w:val="0"/>
        <w:pageBreakBefore w:val="0"/>
        <w:widowControl/>
        <w:tabs>
          <w:tab w:val="left" w:pos="840"/>
        </w:tabs>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sz w:val="21"/>
          <w:szCs w:val="21"/>
          <w:shd w:val="clear" w:color="auto" w:fill="FFFFFF"/>
          <w:lang w:val="en-US" w:eastAsia="zh-CN"/>
        </w:rPr>
      </w:pPr>
      <w:bookmarkStart w:id="2" w:name="_Toc23626"/>
      <w:bookmarkStart w:id="3" w:name="_Toc16639"/>
      <w:bookmarkStart w:id="4" w:name="_Toc18607"/>
      <w:bookmarkStart w:id="5" w:name="_Toc27704"/>
      <w:r>
        <w:rPr>
          <w:rFonts w:hint="eastAsia" w:ascii="宋体" w:hAnsi="宋体" w:eastAsia="宋体" w:cs="宋体"/>
          <w:sz w:val="21"/>
          <w:szCs w:val="21"/>
          <w:shd w:val="clear" w:color="auto" w:fill="FFFFFF"/>
          <w:lang w:val="en-US" w:eastAsia="zh-CN"/>
        </w:rPr>
        <w:t>4、交货期：合同签订之日起30日内交货；</w:t>
      </w:r>
    </w:p>
    <w:p w14:paraId="66A134A9">
      <w:pPr>
        <w:keepNext w:val="0"/>
        <w:keepLines w:val="0"/>
        <w:pageBreakBefore w:val="0"/>
        <w:widowControl/>
        <w:tabs>
          <w:tab w:val="left" w:pos="840"/>
        </w:tabs>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lang w:val="en-US" w:eastAsia="zh-CN"/>
        </w:rPr>
        <w:t>5</w:t>
      </w:r>
      <w:r>
        <w:rPr>
          <w:rFonts w:hint="eastAsia" w:ascii="宋体" w:hAnsi="宋体" w:eastAsia="宋体" w:cs="宋体"/>
          <w:sz w:val="21"/>
          <w:szCs w:val="21"/>
          <w:shd w:val="clear" w:color="auto" w:fill="FFFFFF"/>
        </w:rPr>
        <w:t>、质量要求：</w:t>
      </w:r>
      <w:r>
        <w:rPr>
          <w:rFonts w:hint="eastAsia" w:ascii="宋体" w:hAnsi="宋体" w:eastAsia="宋体" w:cs="宋体"/>
          <w:sz w:val="21"/>
          <w:szCs w:val="21"/>
          <w:shd w:val="clear" w:color="auto" w:fill="FFFFFF"/>
          <w:lang w:val="zh-CN"/>
        </w:rPr>
        <w:t>符合国家有关法律、法规，以及行业质量标</w:t>
      </w:r>
      <w:r>
        <w:rPr>
          <w:rFonts w:hint="eastAsia" w:ascii="宋体" w:hAnsi="宋体" w:eastAsia="宋体" w:cs="宋体"/>
          <w:sz w:val="21"/>
          <w:szCs w:val="21"/>
          <w:shd w:val="clear" w:color="auto" w:fill="FFFFFF"/>
        </w:rPr>
        <w:t>准</w:t>
      </w:r>
      <w:r>
        <w:rPr>
          <w:rFonts w:hint="eastAsia" w:ascii="宋体" w:hAnsi="宋体" w:eastAsia="宋体" w:cs="宋体"/>
          <w:sz w:val="21"/>
          <w:szCs w:val="21"/>
          <w:shd w:val="clear" w:color="auto" w:fill="FFFFFF"/>
          <w:lang w:val="zh-CN"/>
        </w:rPr>
        <w:t>的要求</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lang w:val="en-US" w:eastAsia="zh-CN"/>
        </w:rPr>
        <w:t>满足</w:t>
      </w:r>
      <w:r>
        <w:rPr>
          <w:rFonts w:hint="eastAsia" w:ascii="宋体" w:hAnsi="宋体" w:cs="宋体"/>
          <w:sz w:val="21"/>
          <w:szCs w:val="21"/>
          <w:shd w:val="clear" w:color="auto" w:fill="FFFFFF"/>
          <w:lang w:val="en-US" w:eastAsia="zh-CN"/>
        </w:rPr>
        <w:t>谈判</w:t>
      </w:r>
      <w:r>
        <w:rPr>
          <w:rFonts w:hint="eastAsia" w:ascii="宋体" w:hAnsi="宋体" w:eastAsia="宋体" w:cs="宋体"/>
          <w:sz w:val="21"/>
          <w:szCs w:val="21"/>
          <w:shd w:val="clear" w:color="auto" w:fill="FFFFFF"/>
          <w:lang w:val="en-US" w:eastAsia="zh-CN"/>
        </w:rPr>
        <w:t>文件</w:t>
      </w:r>
      <w:r>
        <w:rPr>
          <w:rFonts w:hint="eastAsia" w:ascii="宋体" w:hAnsi="宋体" w:eastAsia="宋体" w:cs="宋体"/>
          <w:sz w:val="21"/>
          <w:szCs w:val="21"/>
          <w:shd w:val="clear" w:color="auto" w:fill="FFFFFF"/>
        </w:rPr>
        <w:t>规定标准</w:t>
      </w:r>
      <w:r>
        <w:rPr>
          <w:rFonts w:hint="eastAsia" w:ascii="宋体" w:hAnsi="宋体" w:eastAsia="宋体" w:cs="宋体"/>
          <w:sz w:val="21"/>
          <w:szCs w:val="21"/>
          <w:shd w:val="clear" w:color="auto" w:fill="FFFFFF"/>
          <w:lang w:eastAsia="zh-CN"/>
        </w:rPr>
        <w:t>。</w:t>
      </w:r>
    </w:p>
    <w:p w14:paraId="5ECF6397">
      <w:pPr>
        <w:keepNext w:val="0"/>
        <w:keepLines w:val="0"/>
        <w:pageBreakBefore w:val="0"/>
        <w:widowControl/>
        <w:kinsoku/>
        <w:overflowPunct/>
        <w:topLinePunct w:val="0"/>
        <w:autoSpaceDE/>
        <w:autoSpaceDN/>
        <w:bidi w:val="0"/>
        <w:snapToGrid w:val="0"/>
        <w:spacing w:line="460" w:lineRule="exact"/>
        <w:jc w:val="left"/>
        <w:textAlignment w:val="auto"/>
        <w:outlineLvl w:val="1"/>
        <w:rPr>
          <w:rFonts w:hint="eastAsia" w:ascii="宋体" w:hAnsi="宋体" w:eastAsia="宋体" w:cs="宋体"/>
          <w:b/>
          <w:bCs/>
          <w:color w:val="000000" w:themeColor="text1"/>
          <w:sz w:val="21"/>
          <w:szCs w:val="21"/>
          <w:shd w:val="clear" w:color="auto" w:fill="FFFFFF"/>
          <w14:textFill>
            <w14:solidFill>
              <w14:schemeClr w14:val="tx1"/>
            </w14:solidFill>
          </w14:textFill>
        </w:rPr>
      </w:pPr>
      <w:r>
        <w:rPr>
          <w:rFonts w:hint="eastAsia" w:ascii="宋体" w:hAnsi="宋体" w:eastAsia="宋体" w:cs="宋体"/>
          <w:b/>
          <w:bCs/>
          <w:color w:val="000000" w:themeColor="text1"/>
          <w:sz w:val="21"/>
          <w:szCs w:val="21"/>
          <w:shd w:val="clear" w:color="auto" w:fill="FFFFFF"/>
          <w14:textFill>
            <w14:solidFill>
              <w14:schemeClr w14:val="tx1"/>
            </w14:solidFill>
          </w14:textFill>
        </w:rPr>
        <w:t>二、</w:t>
      </w:r>
      <w:bookmarkEnd w:id="1"/>
      <w:bookmarkEnd w:id="2"/>
      <w:bookmarkEnd w:id="3"/>
      <w:bookmarkEnd w:id="4"/>
      <w:bookmarkEnd w:id="5"/>
      <w:r>
        <w:rPr>
          <w:rFonts w:hint="eastAsia" w:ascii="宋体" w:hAnsi="宋体" w:eastAsia="宋体" w:cs="宋体"/>
          <w:b/>
          <w:bCs/>
          <w:color w:val="000000" w:themeColor="text1"/>
          <w:sz w:val="21"/>
          <w:szCs w:val="21"/>
          <w:shd w:val="clear" w:color="auto" w:fill="FFFFFF"/>
          <w14:textFill>
            <w14:solidFill>
              <w14:schemeClr w14:val="tx1"/>
            </w14:solidFill>
          </w14:textFill>
        </w:rPr>
        <w:t>供应商资格要求：</w:t>
      </w:r>
    </w:p>
    <w:p w14:paraId="3A24976B">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outlineLvl w:val="1"/>
        <w:rPr>
          <w:rFonts w:hint="eastAsia" w:ascii="宋体" w:hAnsi="宋体" w:eastAsia="宋体" w:cs="宋体"/>
          <w:b w:val="0"/>
          <w:bCs w:val="0"/>
          <w:sz w:val="21"/>
          <w:szCs w:val="21"/>
          <w:lang w:val="en-US" w:eastAsia="zh-CN"/>
        </w:rPr>
      </w:pPr>
      <w:bookmarkStart w:id="6" w:name="_Toc30971"/>
      <w:bookmarkStart w:id="7" w:name="_Toc30643"/>
      <w:bookmarkStart w:id="8" w:name="_Toc7823"/>
      <w:bookmarkStart w:id="9" w:name="_Toc23395"/>
      <w:bookmarkStart w:id="10" w:name="_Toc9562"/>
      <w:r>
        <w:rPr>
          <w:rFonts w:hint="eastAsia" w:ascii="宋体" w:hAnsi="宋体" w:eastAsia="宋体" w:cs="宋体"/>
          <w:b w:val="0"/>
          <w:bCs w:val="0"/>
          <w:sz w:val="21"/>
          <w:szCs w:val="21"/>
          <w:lang w:val="en-US" w:eastAsia="zh-CN"/>
        </w:rPr>
        <w:t>1、具有独立承担民事责任的能力（提供营业执照或其他证明材料）；</w:t>
      </w:r>
    </w:p>
    <w:p w14:paraId="5ADCD30D">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2、具有良好的商业信誉和健全的财务会计制度（提供经审计的2024年度财务报告或者其基本开户银行出具的资信证明）；</w:t>
      </w:r>
    </w:p>
    <w:p w14:paraId="7DECAC20">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87965E6">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4、具有履行合同所必需的设备和专业技术能力（提供书面承诺函）；</w:t>
      </w:r>
    </w:p>
    <w:p w14:paraId="34FFBB4B">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5、参加本采购活动前三年内，在经营活动中没有重大违法记录（提供书面承诺函）；</w:t>
      </w:r>
    </w:p>
    <w:p w14:paraId="6A71C3AE">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6CB2D1D3">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7、单位负责人为同一人或者存在直接控股、管理关系的不同供应商，不得参加同一合同项下的</w:t>
      </w:r>
      <w:r>
        <w:rPr>
          <w:rFonts w:hint="eastAsia" w:ascii="宋体" w:hAnsi="宋体" w:cs="宋体"/>
          <w:b w:val="0"/>
          <w:bCs w:val="0"/>
          <w:sz w:val="21"/>
          <w:szCs w:val="21"/>
          <w:lang w:val="en-US" w:eastAsia="zh-CN"/>
        </w:rPr>
        <w:t>谈判</w:t>
      </w:r>
      <w:r>
        <w:rPr>
          <w:rFonts w:hint="eastAsia" w:ascii="宋体" w:hAnsi="宋体" w:eastAsia="宋体" w:cs="宋体"/>
          <w:b w:val="0"/>
          <w:bCs w:val="0"/>
          <w:sz w:val="21"/>
          <w:szCs w:val="21"/>
          <w:lang w:val="en-US" w:eastAsia="zh-CN"/>
        </w:rPr>
        <w:t>（提供在“国家企业信用信息公示系统”中查询的相关材料并加盖公章（需包含公司基本信息、股东信息及股权变更信息）或提供承诺函）。一经发现，将导致投标同时被拒绝；</w:t>
      </w:r>
    </w:p>
    <w:p w14:paraId="2D6A1696">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8、本项目特定资格要求：供应商如为代理商的并所投产品如为进口产品的，需提供拟投产品制造商或中国境内办事处或中国总代理经销商针对本项目的授权书；</w:t>
      </w:r>
    </w:p>
    <w:p w14:paraId="2BCFDDFE">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9、不接受联合体</w:t>
      </w:r>
      <w:r>
        <w:rPr>
          <w:rFonts w:hint="eastAsia" w:ascii="宋体" w:hAnsi="宋体" w:cs="宋体"/>
          <w:b w:val="0"/>
          <w:bCs w:val="0"/>
          <w:sz w:val="21"/>
          <w:szCs w:val="21"/>
          <w:lang w:val="en-US" w:eastAsia="zh-CN"/>
        </w:rPr>
        <w:t>谈判</w:t>
      </w:r>
      <w:r>
        <w:rPr>
          <w:rFonts w:hint="eastAsia" w:ascii="宋体" w:hAnsi="宋体" w:eastAsia="宋体" w:cs="宋体"/>
          <w:b w:val="0"/>
          <w:bCs w:val="0"/>
          <w:sz w:val="21"/>
          <w:szCs w:val="21"/>
          <w:lang w:val="en-US" w:eastAsia="zh-CN"/>
        </w:rPr>
        <w:t>。</w:t>
      </w:r>
    </w:p>
    <w:p w14:paraId="35423FF2">
      <w:pPr>
        <w:keepNext w:val="0"/>
        <w:keepLines w:val="0"/>
        <w:pageBreakBefore w:val="0"/>
        <w:widowControl/>
        <w:kinsoku/>
        <w:overflowPunct/>
        <w:topLinePunct w:val="0"/>
        <w:autoSpaceDE/>
        <w:autoSpaceDN/>
        <w:bidi w:val="0"/>
        <w:snapToGrid w:val="0"/>
        <w:spacing w:line="460" w:lineRule="exact"/>
        <w:jc w:val="left"/>
        <w:textAlignment w:val="auto"/>
        <w:outlineLvl w:val="1"/>
        <w:rPr>
          <w:rFonts w:hint="eastAsia" w:ascii="宋体" w:hAnsi="宋体" w:eastAsia="宋体" w:cs="宋体"/>
          <w:b/>
          <w:bCs/>
          <w:sz w:val="21"/>
          <w:szCs w:val="21"/>
        </w:rPr>
      </w:pPr>
      <w:r>
        <w:rPr>
          <w:rFonts w:hint="eastAsia" w:ascii="宋体" w:hAnsi="宋体" w:eastAsia="宋体" w:cs="宋体"/>
          <w:b/>
          <w:bCs/>
          <w:sz w:val="21"/>
          <w:szCs w:val="21"/>
        </w:rPr>
        <w:t>三、获取采购文件</w:t>
      </w:r>
      <w:bookmarkEnd w:id="6"/>
      <w:bookmarkEnd w:id="7"/>
      <w:bookmarkEnd w:id="8"/>
      <w:bookmarkEnd w:id="9"/>
      <w:bookmarkEnd w:id="10"/>
    </w:p>
    <w:p w14:paraId="638A410B">
      <w:pPr>
        <w:keepNext w:val="0"/>
        <w:keepLines w:val="0"/>
        <w:pageBreakBefore w:val="0"/>
        <w:widowControl/>
        <w:kinsoku/>
        <w:overflowPunct/>
        <w:topLinePunct w:val="0"/>
        <w:autoSpaceDE/>
        <w:autoSpaceDN/>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shd w:val="clear" w:color="auto" w:fill="FFFFFF"/>
          <w:lang w:val="en-US"/>
        </w:rPr>
      </w:pPr>
      <w:r>
        <w:rPr>
          <w:rFonts w:hint="eastAsia" w:ascii="宋体" w:hAnsi="宋体" w:eastAsia="宋体" w:cs="宋体"/>
          <w:sz w:val="21"/>
          <w:szCs w:val="21"/>
          <w:shd w:val="clear" w:color="auto" w:fill="FFFFFF"/>
        </w:rPr>
        <w:t>1</w:t>
      </w:r>
      <w:r>
        <w:rPr>
          <w:rFonts w:hint="eastAsia" w:ascii="宋体" w:hAnsi="宋体" w:cs="宋体"/>
          <w:sz w:val="21"/>
          <w:szCs w:val="21"/>
          <w:shd w:val="clear" w:color="auto" w:fill="FFFFFF"/>
          <w:lang w:val="en-US" w:eastAsia="zh-CN"/>
        </w:rPr>
        <w:t>.</w:t>
      </w:r>
      <w:r>
        <w:rPr>
          <w:rFonts w:hint="eastAsia" w:ascii="宋体" w:hAnsi="宋体" w:eastAsia="宋体" w:cs="宋体"/>
          <w:color w:val="000000" w:themeColor="text1"/>
          <w:sz w:val="21"/>
          <w:szCs w:val="21"/>
          <w:shd w:val="clear" w:color="auto" w:fill="FFFFFF"/>
          <w14:textFill>
            <w14:solidFill>
              <w14:schemeClr w14:val="tx1"/>
            </w14:solidFill>
          </w14:textFill>
        </w:rPr>
        <w:t>报名时间：</w:t>
      </w:r>
      <w:r>
        <w:rPr>
          <w:rFonts w:hint="eastAsia" w:ascii="宋体" w:hAnsi="宋体" w:eastAsia="宋体" w:cs="宋体"/>
          <w:color w:val="auto"/>
          <w:sz w:val="21"/>
          <w:szCs w:val="21"/>
          <w:shd w:val="clear" w:color="auto" w:fill="FFFFFF"/>
          <w:lang w:eastAsia="zh-CN"/>
        </w:rPr>
        <w:t>202</w:t>
      </w:r>
      <w:r>
        <w:rPr>
          <w:rFonts w:hint="eastAsia" w:ascii="宋体" w:hAnsi="宋体" w:cs="宋体"/>
          <w:color w:val="auto"/>
          <w:sz w:val="21"/>
          <w:szCs w:val="21"/>
          <w:shd w:val="clear" w:color="auto" w:fill="FFFFFF"/>
          <w:lang w:val="en-US" w:eastAsia="zh-CN"/>
        </w:rPr>
        <w:t>6</w:t>
      </w:r>
      <w:r>
        <w:rPr>
          <w:rFonts w:hint="eastAsia" w:ascii="宋体" w:hAnsi="宋体" w:eastAsia="宋体" w:cs="宋体"/>
          <w:color w:val="auto"/>
          <w:sz w:val="21"/>
          <w:szCs w:val="21"/>
          <w:shd w:val="clear" w:color="auto" w:fill="FFFFFF"/>
        </w:rPr>
        <w:t>年</w:t>
      </w:r>
      <w:r>
        <w:rPr>
          <w:rFonts w:hint="eastAsia" w:ascii="宋体" w:hAnsi="宋体" w:cs="宋体"/>
          <w:color w:val="auto"/>
          <w:sz w:val="21"/>
          <w:szCs w:val="21"/>
          <w:shd w:val="clear" w:color="auto" w:fill="FFFFFF"/>
          <w:lang w:val="en-US" w:eastAsia="zh-CN"/>
        </w:rPr>
        <w:t>0</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26</w:t>
      </w:r>
      <w:r>
        <w:rPr>
          <w:rFonts w:hint="eastAsia" w:ascii="宋体" w:hAnsi="宋体" w:eastAsia="宋体" w:cs="宋体"/>
          <w:color w:val="auto"/>
          <w:sz w:val="21"/>
          <w:szCs w:val="21"/>
          <w:highlight w:val="none"/>
          <w:shd w:val="clear" w:color="auto" w:fill="FFFFFF"/>
        </w:rPr>
        <w:t>日-</w:t>
      </w:r>
      <w:r>
        <w:rPr>
          <w:rFonts w:hint="eastAsia" w:ascii="宋体" w:hAnsi="宋体" w:eastAsia="宋体" w:cs="宋体"/>
          <w:color w:val="auto"/>
          <w:sz w:val="21"/>
          <w:szCs w:val="21"/>
          <w:highlight w:val="none"/>
          <w:shd w:val="clear" w:color="auto" w:fill="FFFFFF"/>
          <w:lang w:eastAsia="zh-CN"/>
        </w:rPr>
        <w:t>202</w:t>
      </w:r>
      <w:r>
        <w:rPr>
          <w:rFonts w:hint="eastAsia" w:ascii="宋体" w:hAnsi="宋体" w:cs="宋体"/>
          <w:color w:val="auto"/>
          <w:sz w:val="21"/>
          <w:szCs w:val="21"/>
          <w:highlight w:val="none"/>
          <w:shd w:val="clear" w:color="auto" w:fill="FFFFFF"/>
          <w:lang w:val="en-US" w:eastAsia="zh-CN"/>
        </w:rPr>
        <w:t>6年01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28</w:t>
      </w:r>
      <w:r>
        <w:rPr>
          <w:rFonts w:hint="eastAsia" w:ascii="宋体" w:hAnsi="宋体" w:eastAsia="宋体" w:cs="宋体"/>
          <w:color w:val="auto"/>
          <w:sz w:val="21"/>
          <w:szCs w:val="21"/>
          <w:highlight w:val="none"/>
          <w:shd w:val="clear" w:color="auto" w:fill="FFFFFF"/>
        </w:rPr>
        <w:t>日，上午</w:t>
      </w:r>
      <w:r>
        <w:rPr>
          <w:rFonts w:hint="eastAsia" w:ascii="宋体" w:hAnsi="宋体" w:eastAsia="宋体" w:cs="宋体"/>
          <w:color w:val="auto"/>
          <w:sz w:val="21"/>
          <w:szCs w:val="21"/>
          <w:shd w:val="clear" w:color="auto" w:fill="FFFFFF"/>
          <w:lang w:val="en-US" w:eastAsia="zh-CN"/>
        </w:rPr>
        <w:t>0</w:t>
      </w:r>
      <w:r>
        <w:rPr>
          <w:rFonts w:hint="eastAsia" w:ascii="宋体" w:hAnsi="宋体" w:eastAsia="宋体" w:cs="宋体"/>
          <w:color w:val="auto"/>
          <w:sz w:val="21"/>
          <w:szCs w:val="21"/>
          <w:shd w:val="clear" w:color="auto" w:fill="FFFFFF"/>
        </w:rPr>
        <w:t>8：</w:t>
      </w:r>
      <w:r>
        <w:rPr>
          <w:rFonts w:hint="eastAsia" w:ascii="宋体" w:hAnsi="宋体" w:eastAsia="宋体" w:cs="宋体"/>
          <w:color w:val="auto"/>
          <w:sz w:val="21"/>
          <w:szCs w:val="21"/>
          <w:shd w:val="clear" w:color="auto" w:fill="FFFFFF"/>
          <w:lang w:val="en-US" w:eastAsia="zh-CN"/>
        </w:rPr>
        <w:t>00</w:t>
      </w:r>
      <w:r>
        <w:rPr>
          <w:rFonts w:hint="eastAsia" w:ascii="宋体" w:hAnsi="宋体" w:eastAsia="宋体" w:cs="宋体"/>
          <w:color w:val="auto"/>
          <w:sz w:val="21"/>
          <w:szCs w:val="21"/>
          <w:shd w:val="clear" w:color="auto" w:fill="FFFFFF"/>
        </w:rPr>
        <w:t>-</w:t>
      </w:r>
      <w:r>
        <w:rPr>
          <w:rFonts w:hint="eastAsia" w:ascii="宋体" w:hAnsi="宋体" w:eastAsia="宋体" w:cs="宋体"/>
          <w:color w:val="auto"/>
          <w:sz w:val="21"/>
          <w:szCs w:val="21"/>
          <w:shd w:val="clear" w:color="auto" w:fill="FFFFFF"/>
          <w:lang w:val="en-US" w:eastAsia="zh-CN"/>
        </w:rPr>
        <w:t>下午</w:t>
      </w:r>
      <w:r>
        <w:rPr>
          <w:rFonts w:hint="eastAsia" w:ascii="宋体" w:hAnsi="宋体" w:eastAsia="宋体" w:cs="宋体"/>
          <w:color w:val="auto"/>
          <w:sz w:val="21"/>
          <w:szCs w:val="21"/>
          <w:shd w:val="clear" w:color="auto" w:fill="FFFFFF"/>
        </w:rPr>
        <w:t>1</w:t>
      </w:r>
      <w:r>
        <w:rPr>
          <w:rFonts w:hint="eastAsia" w:ascii="宋体" w:hAnsi="宋体" w:eastAsia="宋体" w:cs="宋体"/>
          <w:color w:val="auto"/>
          <w:sz w:val="21"/>
          <w:szCs w:val="21"/>
          <w:shd w:val="clear" w:color="auto" w:fill="FFFFFF"/>
          <w:lang w:val="en-US" w:eastAsia="zh-CN"/>
        </w:rPr>
        <w:t>7</w:t>
      </w:r>
      <w:r>
        <w:rPr>
          <w:rFonts w:hint="eastAsia" w:ascii="宋体" w:hAnsi="宋体" w:eastAsia="宋体" w:cs="宋体"/>
          <w:color w:val="auto"/>
          <w:sz w:val="21"/>
          <w:szCs w:val="21"/>
          <w:shd w:val="clear" w:color="auto" w:fill="FFFFFF"/>
        </w:rPr>
        <w:t>:</w:t>
      </w:r>
      <w:r>
        <w:rPr>
          <w:rFonts w:hint="eastAsia" w:ascii="宋体" w:hAnsi="宋体" w:eastAsia="宋体" w:cs="宋体"/>
          <w:color w:val="auto"/>
          <w:sz w:val="21"/>
          <w:szCs w:val="21"/>
          <w:shd w:val="clear" w:color="auto" w:fill="FFFFFF"/>
          <w:lang w:val="en-US" w:eastAsia="zh-CN"/>
        </w:rPr>
        <w:t>30</w:t>
      </w:r>
      <w:r>
        <w:rPr>
          <w:rFonts w:hint="eastAsia" w:ascii="宋体" w:hAnsi="宋体" w:eastAsia="宋体" w:cs="宋体"/>
          <w:color w:val="auto"/>
          <w:sz w:val="21"/>
          <w:szCs w:val="21"/>
          <w:shd w:val="clear" w:color="auto" w:fill="FFFFFF"/>
        </w:rPr>
        <w:t>（北京时间，法定节假日除外）</w:t>
      </w:r>
      <w:r>
        <w:rPr>
          <w:rFonts w:hint="eastAsia" w:ascii="宋体" w:hAnsi="宋体" w:eastAsia="宋体" w:cs="宋体"/>
          <w:color w:val="auto"/>
          <w:sz w:val="21"/>
          <w:szCs w:val="21"/>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采购文件获取方式：供应商须把填写完整的报名登记表及本</w:t>
      </w:r>
      <w:r>
        <w:rPr>
          <w:rFonts w:hint="eastAsia" w:ascii="宋体" w:hAnsi="宋体" w:cs="宋体"/>
          <w:color w:val="auto"/>
          <w:kern w:val="0"/>
          <w:sz w:val="21"/>
          <w:szCs w:val="21"/>
          <w:highlight w:val="none"/>
          <w:shd w:val="clear" w:color="auto" w:fill="FFFFFF"/>
          <w:lang w:val="en-US" w:eastAsia="zh-CN" w:bidi="ar-SA"/>
        </w:rPr>
        <w:t>谈判</w:t>
      </w:r>
      <w:r>
        <w:rPr>
          <w:rFonts w:hint="eastAsia" w:ascii="宋体" w:hAnsi="宋体" w:eastAsia="宋体" w:cs="宋体"/>
          <w:color w:val="auto"/>
          <w:kern w:val="0"/>
          <w:sz w:val="21"/>
          <w:szCs w:val="21"/>
          <w:highlight w:val="none"/>
          <w:shd w:val="clear" w:color="auto" w:fill="FFFFFF"/>
          <w:lang w:val="en-US" w:eastAsia="zh-CN" w:bidi="ar-SA"/>
        </w:rPr>
        <w:t>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6E3C200F">
      <w:pPr>
        <w:keepNext w:val="0"/>
        <w:keepLines w:val="0"/>
        <w:pageBreakBefore w:val="0"/>
        <w:widowControl/>
        <w:kinsoku/>
        <w:wordWrap w:val="0"/>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kern w:val="0"/>
          <w:sz w:val="21"/>
          <w:szCs w:val="21"/>
        </w:rPr>
      </w:pP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报名登记表：请从附件中下载。</w:t>
      </w:r>
    </w:p>
    <w:p w14:paraId="1768A2DB">
      <w:pPr>
        <w:keepNext w:val="0"/>
        <w:keepLines w:val="0"/>
        <w:pageBreakBefore w:val="0"/>
        <w:widowControl/>
        <w:kinsoku/>
        <w:overflowPunct/>
        <w:topLinePunct w:val="0"/>
        <w:autoSpaceDE/>
        <w:autoSpaceDN/>
        <w:bidi w:val="0"/>
        <w:snapToGrid w:val="0"/>
        <w:spacing w:line="460" w:lineRule="exact"/>
        <w:jc w:val="left"/>
        <w:textAlignment w:val="auto"/>
        <w:outlineLvl w:val="1"/>
        <w:rPr>
          <w:rFonts w:hint="eastAsia" w:ascii="宋体" w:hAnsi="宋体" w:eastAsia="宋体" w:cs="宋体"/>
          <w:b/>
          <w:bCs/>
          <w:sz w:val="21"/>
          <w:szCs w:val="21"/>
        </w:rPr>
      </w:pPr>
      <w:bookmarkStart w:id="11" w:name="_Toc15111"/>
      <w:bookmarkStart w:id="12" w:name="_Toc10738"/>
      <w:bookmarkStart w:id="13" w:name="_Toc27480"/>
      <w:bookmarkStart w:id="14" w:name="_Toc25869"/>
      <w:bookmarkStart w:id="15" w:name="_Toc15135"/>
      <w:r>
        <w:rPr>
          <w:rFonts w:hint="eastAsia" w:ascii="宋体" w:hAnsi="宋体" w:eastAsia="宋体" w:cs="宋体"/>
          <w:b/>
          <w:bCs/>
          <w:sz w:val="21"/>
          <w:szCs w:val="21"/>
          <w:shd w:val="clear" w:color="auto" w:fill="FFFFFF"/>
        </w:rPr>
        <w:t>四、</w:t>
      </w:r>
      <w:r>
        <w:rPr>
          <w:rFonts w:hint="eastAsia" w:ascii="宋体" w:hAnsi="宋体" w:eastAsia="宋体" w:cs="宋体"/>
          <w:b/>
          <w:bCs/>
          <w:sz w:val="21"/>
          <w:szCs w:val="21"/>
          <w:shd w:val="clear" w:color="auto" w:fill="FFFFFF"/>
          <w:lang w:val="en-US" w:eastAsia="zh-CN"/>
        </w:rPr>
        <w:t>谈判</w:t>
      </w:r>
      <w:r>
        <w:rPr>
          <w:rFonts w:hint="eastAsia" w:ascii="宋体" w:hAnsi="宋体" w:eastAsia="宋体" w:cs="宋体"/>
          <w:b/>
          <w:bCs/>
          <w:sz w:val="21"/>
          <w:szCs w:val="21"/>
          <w:shd w:val="clear" w:color="auto" w:fill="FFFFFF"/>
        </w:rPr>
        <w:t>截止时间及地点</w:t>
      </w:r>
      <w:bookmarkEnd w:id="11"/>
      <w:bookmarkEnd w:id="12"/>
      <w:bookmarkEnd w:id="13"/>
      <w:bookmarkEnd w:id="14"/>
      <w:bookmarkEnd w:id="15"/>
    </w:p>
    <w:p w14:paraId="61881224">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shd w:val="clear" w:color="auto" w:fill="FFFFFF"/>
        </w:rPr>
        <w:t>1.时间：</w:t>
      </w:r>
      <w:r>
        <w:rPr>
          <w:rFonts w:hint="eastAsia" w:ascii="宋体" w:hAnsi="宋体" w:eastAsia="宋体" w:cs="宋体"/>
          <w:sz w:val="21"/>
          <w:szCs w:val="21"/>
        </w:rPr>
        <w:t>另行通知</w:t>
      </w:r>
      <w:r>
        <w:rPr>
          <w:rFonts w:hint="eastAsia" w:ascii="宋体" w:hAnsi="宋体" w:eastAsia="宋体" w:cs="宋体"/>
          <w:kern w:val="0"/>
          <w:sz w:val="21"/>
          <w:szCs w:val="21"/>
          <w:shd w:val="clear" w:color="auto" w:fill="FFFFFF"/>
        </w:rPr>
        <w:t>。</w:t>
      </w:r>
    </w:p>
    <w:p w14:paraId="599FEE65">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2.地点：</w:t>
      </w:r>
      <w:r>
        <w:rPr>
          <w:rFonts w:hint="eastAsia" w:ascii="宋体" w:hAnsi="宋体" w:eastAsia="宋体" w:cs="宋体"/>
          <w:sz w:val="21"/>
          <w:szCs w:val="21"/>
        </w:rPr>
        <w:t>另行通知</w:t>
      </w:r>
      <w:r>
        <w:rPr>
          <w:rFonts w:hint="eastAsia" w:ascii="宋体" w:hAnsi="宋体" w:eastAsia="宋体" w:cs="宋体"/>
          <w:kern w:val="0"/>
          <w:sz w:val="21"/>
          <w:szCs w:val="21"/>
          <w:shd w:val="clear" w:color="auto" w:fill="FFFFFF"/>
        </w:rPr>
        <w:t>。</w:t>
      </w:r>
    </w:p>
    <w:p w14:paraId="08117A17">
      <w:pPr>
        <w:keepNext w:val="0"/>
        <w:keepLines w:val="0"/>
        <w:pageBreakBefore w:val="0"/>
        <w:widowControl/>
        <w:kinsoku/>
        <w:overflowPunct/>
        <w:topLinePunct w:val="0"/>
        <w:autoSpaceDE/>
        <w:autoSpaceDN/>
        <w:bidi w:val="0"/>
        <w:snapToGrid w:val="0"/>
        <w:spacing w:line="460" w:lineRule="exact"/>
        <w:jc w:val="left"/>
        <w:textAlignment w:val="auto"/>
        <w:outlineLvl w:val="1"/>
        <w:rPr>
          <w:rFonts w:hint="eastAsia" w:ascii="宋体" w:hAnsi="宋体" w:eastAsia="宋体" w:cs="宋体"/>
          <w:b/>
          <w:bCs/>
          <w:sz w:val="21"/>
          <w:szCs w:val="21"/>
        </w:rPr>
      </w:pPr>
      <w:r>
        <w:rPr>
          <w:rFonts w:hint="eastAsia" w:ascii="宋体" w:hAnsi="宋体" w:eastAsia="宋体" w:cs="宋体"/>
          <w:b/>
          <w:bCs/>
          <w:sz w:val="21"/>
          <w:szCs w:val="21"/>
          <w:shd w:val="clear" w:color="auto" w:fill="FFFFFF"/>
        </w:rPr>
        <w:t>五、</w:t>
      </w:r>
      <w:r>
        <w:rPr>
          <w:rFonts w:hint="eastAsia" w:ascii="宋体" w:hAnsi="宋体" w:eastAsia="宋体" w:cs="宋体"/>
          <w:b/>
          <w:bCs/>
          <w:sz w:val="21"/>
          <w:szCs w:val="21"/>
          <w:shd w:val="clear" w:color="auto" w:fill="FFFFFF"/>
          <w:lang w:val="en-US" w:eastAsia="zh-CN"/>
        </w:rPr>
        <w:t>谈判</w:t>
      </w:r>
      <w:r>
        <w:rPr>
          <w:rFonts w:hint="eastAsia" w:ascii="宋体" w:hAnsi="宋体" w:eastAsia="宋体" w:cs="宋体"/>
          <w:b/>
          <w:bCs/>
          <w:sz w:val="21"/>
          <w:szCs w:val="21"/>
          <w:shd w:val="clear" w:color="auto" w:fill="FFFFFF"/>
        </w:rPr>
        <w:t>时间及地点</w:t>
      </w:r>
    </w:p>
    <w:p w14:paraId="351013C5">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shd w:val="clear" w:color="auto" w:fill="FFFFFF"/>
        </w:rPr>
        <w:t>1.时间：</w:t>
      </w:r>
      <w:r>
        <w:rPr>
          <w:rFonts w:hint="eastAsia" w:ascii="宋体" w:hAnsi="宋体" w:eastAsia="宋体" w:cs="宋体"/>
          <w:sz w:val="21"/>
          <w:szCs w:val="21"/>
        </w:rPr>
        <w:t>另行通知</w:t>
      </w:r>
      <w:r>
        <w:rPr>
          <w:rFonts w:hint="eastAsia" w:ascii="宋体" w:hAnsi="宋体" w:eastAsia="宋体" w:cs="宋体"/>
          <w:kern w:val="0"/>
          <w:sz w:val="21"/>
          <w:szCs w:val="21"/>
          <w:shd w:val="clear" w:color="auto" w:fill="FFFFFF"/>
        </w:rPr>
        <w:t>。</w:t>
      </w:r>
    </w:p>
    <w:p w14:paraId="643D144C">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2.地点：</w:t>
      </w:r>
      <w:r>
        <w:rPr>
          <w:rFonts w:hint="eastAsia" w:ascii="宋体" w:hAnsi="宋体" w:eastAsia="宋体" w:cs="宋体"/>
          <w:sz w:val="21"/>
          <w:szCs w:val="21"/>
        </w:rPr>
        <w:t>另行通知</w:t>
      </w:r>
      <w:r>
        <w:rPr>
          <w:rFonts w:hint="eastAsia" w:ascii="宋体" w:hAnsi="宋体" w:eastAsia="宋体" w:cs="宋体"/>
          <w:kern w:val="0"/>
          <w:sz w:val="21"/>
          <w:szCs w:val="21"/>
          <w:shd w:val="clear" w:color="auto" w:fill="FFFFFF"/>
        </w:rPr>
        <w:t>。</w:t>
      </w:r>
    </w:p>
    <w:p w14:paraId="1C538FDC">
      <w:pPr>
        <w:keepNext w:val="0"/>
        <w:keepLines w:val="0"/>
        <w:pageBreakBefore w:val="0"/>
        <w:widowControl/>
        <w:kinsoku/>
        <w:overflowPunct/>
        <w:topLinePunct w:val="0"/>
        <w:autoSpaceDE/>
        <w:autoSpaceDN/>
        <w:bidi w:val="0"/>
        <w:snapToGrid w:val="0"/>
        <w:spacing w:line="460" w:lineRule="exact"/>
        <w:jc w:val="left"/>
        <w:textAlignment w:val="auto"/>
        <w:outlineLvl w:val="1"/>
        <w:rPr>
          <w:rFonts w:hint="eastAsia" w:ascii="宋体" w:hAnsi="宋体" w:eastAsia="宋体" w:cs="宋体"/>
          <w:b/>
          <w:bCs/>
          <w:sz w:val="21"/>
          <w:szCs w:val="21"/>
        </w:rPr>
      </w:pPr>
      <w:bookmarkStart w:id="16" w:name="_Toc29784"/>
      <w:bookmarkStart w:id="17" w:name="_Toc6523"/>
      <w:bookmarkStart w:id="18" w:name="_Toc30918"/>
      <w:bookmarkStart w:id="19" w:name="_Toc20287"/>
      <w:r>
        <w:rPr>
          <w:rFonts w:hint="eastAsia" w:ascii="宋体" w:hAnsi="宋体" w:eastAsia="宋体" w:cs="宋体"/>
          <w:b/>
          <w:bCs/>
          <w:sz w:val="21"/>
          <w:szCs w:val="21"/>
          <w:shd w:val="clear" w:color="auto" w:fill="FFFFFF"/>
        </w:rPr>
        <w:t>六、发布公告的媒介及</w:t>
      </w:r>
      <w:r>
        <w:rPr>
          <w:rFonts w:hint="eastAsia" w:ascii="宋体" w:hAnsi="宋体" w:eastAsia="宋体" w:cs="宋体"/>
          <w:b/>
          <w:bCs/>
          <w:sz w:val="21"/>
          <w:szCs w:val="21"/>
        </w:rPr>
        <w:t>采购</w:t>
      </w:r>
      <w:r>
        <w:rPr>
          <w:rFonts w:hint="eastAsia" w:ascii="宋体" w:hAnsi="宋体" w:eastAsia="宋体" w:cs="宋体"/>
          <w:b/>
          <w:bCs/>
          <w:sz w:val="21"/>
          <w:szCs w:val="21"/>
          <w:shd w:val="clear" w:color="auto" w:fill="FFFFFF"/>
        </w:rPr>
        <w:t>公告期限</w:t>
      </w:r>
      <w:bookmarkEnd w:id="16"/>
      <w:bookmarkEnd w:id="17"/>
      <w:bookmarkEnd w:id="18"/>
      <w:bookmarkEnd w:id="19"/>
    </w:p>
    <w:p w14:paraId="5D3EBEF1">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本次</w:t>
      </w:r>
      <w:r>
        <w:rPr>
          <w:rFonts w:hint="eastAsia" w:ascii="宋体" w:hAnsi="宋体" w:eastAsia="宋体" w:cs="宋体"/>
          <w:sz w:val="21"/>
          <w:szCs w:val="21"/>
        </w:rPr>
        <w:t>采购</w:t>
      </w:r>
      <w:r>
        <w:rPr>
          <w:rFonts w:hint="eastAsia" w:ascii="宋体" w:hAnsi="宋体" w:eastAsia="宋体" w:cs="宋体"/>
          <w:kern w:val="0"/>
          <w:sz w:val="21"/>
          <w:szCs w:val="21"/>
          <w:shd w:val="clear" w:color="auto" w:fill="FFFFFF"/>
        </w:rPr>
        <w:t>公告在《驻马店市中心医院》院内网</w:t>
      </w:r>
      <w:r>
        <w:rPr>
          <w:rFonts w:hint="eastAsia" w:ascii="宋体" w:hAnsi="宋体" w:eastAsia="宋体" w:cs="宋体"/>
          <w:sz w:val="21"/>
          <w:szCs w:val="21"/>
        </w:rPr>
        <w:t>上发布，采购公告期限为三个工作日</w:t>
      </w:r>
      <w:r>
        <w:rPr>
          <w:rFonts w:hint="eastAsia" w:ascii="宋体" w:hAnsi="宋体" w:eastAsia="宋体" w:cs="宋体"/>
          <w:kern w:val="0"/>
          <w:sz w:val="21"/>
          <w:szCs w:val="21"/>
          <w:shd w:val="clear" w:color="auto" w:fill="FFFFFF"/>
        </w:rPr>
        <w:t>。</w:t>
      </w:r>
      <w:bookmarkStart w:id="20" w:name="_Toc35393795"/>
      <w:bookmarkStart w:id="21" w:name="_Toc35393626"/>
    </w:p>
    <w:bookmarkEnd w:id="20"/>
    <w:bookmarkEnd w:id="21"/>
    <w:p w14:paraId="29652B13">
      <w:pPr>
        <w:keepNext w:val="0"/>
        <w:keepLines w:val="0"/>
        <w:pageBreakBefore w:val="0"/>
        <w:widowControl/>
        <w:kinsoku/>
        <w:overflowPunct/>
        <w:topLinePunct w:val="0"/>
        <w:autoSpaceDE/>
        <w:autoSpaceDN/>
        <w:bidi w:val="0"/>
        <w:snapToGrid w:val="0"/>
        <w:spacing w:line="460" w:lineRule="exact"/>
        <w:jc w:val="left"/>
        <w:textAlignment w:val="auto"/>
        <w:outlineLvl w:val="1"/>
        <w:rPr>
          <w:rFonts w:hint="eastAsia" w:ascii="宋体" w:hAnsi="宋体" w:eastAsia="宋体" w:cs="宋体"/>
          <w:b/>
          <w:bCs/>
          <w:sz w:val="21"/>
          <w:szCs w:val="21"/>
        </w:rPr>
      </w:pPr>
      <w:bookmarkStart w:id="22" w:name="_Toc27370"/>
      <w:bookmarkStart w:id="23" w:name="_Toc24274"/>
      <w:bookmarkStart w:id="24" w:name="_Toc16291"/>
      <w:bookmarkStart w:id="25" w:name="_Toc3604"/>
      <w:bookmarkStart w:id="26" w:name="_Toc31928"/>
      <w:r>
        <w:rPr>
          <w:rFonts w:hint="eastAsia" w:ascii="宋体" w:hAnsi="宋体" w:eastAsia="宋体" w:cs="宋体"/>
          <w:b/>
          <w:bCs/>
          <w:sz w:val="21"/>
          <w:szCs w:val="21"/>
          <w:shd w:val="clear" w:color="auto" w:fill="FFFFFF"/>
        </w:rPr>
        <w:t>七、</w:t>
      </w:r>
      <w:bookmarkEnd w:id="22"/>
      <w:bookmarkEnd w:id="23"/>
      <w:bookmarkEnd w:id="24"/>
      <w:bookmarkEnd w:id="25"/>
      <w:bookmarkEnd w:id="26"/>
      <w:r>
        <w:rPr>
          <w:rFonts w:hint="eastAsia" w:ascii="宋体" w:hAnsi="宋体" w:eastAsia="宋体" w:cs="宋体"/>
          <w:b/>
          <w:bCs/>
          <w:sz w:val="21"/>
          <w:szCs w:val="21"/>
          <w:shd w:val="clear" w:color="auto" w:fill="FFFFFF"/>
        </w:rPr>
        <w:t>凡对本次</w:t>
      </w:r>
      <w:r>
        <w:rPr>
          <w:rFonts w:hint="eastAsia" w:ascii="宋体" w:hAnsi="宋体" w:eastAsia="宋体" w:cs="宋体"/>
          <w:b/>
          <w:bCs/>
          <w:sz w:val="21"/>
          <w:szCs w:val="21"/>
          <w:shd w:val="clear" w:color="auto" w:fill="FFFFFF"/>
          <w:lang w:val="en-US" w:eastAsia="zh-CN"/>
        </w:rPr>
        <w:t>采购</w:t>
      </w:r>
      <w:r>
        <w:rPr>
          <w:rFonts w:hint="eastAsia" w:ascii="宋体" w:hAnsi="宋体" w:eastAsia="宋体" w:cs="宋体"/>
          <w:b/>
          <w:bCs/>
          <w:sz w:val="21"/>
          <w:szCs w:val="21"/>
          <w:shd w:val="clear" w:color="auto" w:fill="FFFFFF"/>
        </w:rPr>
        <w:t>提出询问，请按照以下方式联系</w:t>
      </w:r>
    </w:p>
    <w:p w14:paraId="40794DDB">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kern w:val="0"/>
          <w:sz w:val="21"/>
          <w:szCs w:val="21"/>
          <w:shd w:val="clear" w:color="auto" w:fill="FFFFFF"/>
          <w:lang w:val="en-US" w:eastAsia="zh-CN"/>
        </w:rPr>
      </w:pPr>
      <w:r>
        <w:rPr>
          <w:rFonts w:hint="eastAsia" w:ascii="宋体" w:hAnsi="宋体" w:eastAsia="宋体" w:cs="宋体"/>
          <w:kern w:val="0"/>
          <w:sz w:val="21"/>
          <w:szCs w:val="21"/>
          <w:shd w:val="clear" w:color="auto" w:fill="FFFFFF"/>
          <w:lang w:val="en-US" w:eastAsia="zh-CN"/>
        </w:rPr>
        <w:t>1.采购人：驻马店市中心医院</w:t>
      </w:r>
    </w:p>
    <w:p w14:paraId="00DA39CB">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kern w:val="0"/>
          <w:sz w:val="21"/>
          <w:szCs w:val="21"/>
          <w:shd w:val="clear" w:color="auto" w:fill="FFFFFF"/>
          <w:lang w:val="en-US" w:eastAsia="zh-CN"/>
        </w:rPr>
      </w:pPr>
      <w:r>
        <w:rPr>
          <w:rFonts w:hint="eastAsia" w:ascii="宋体" w:hAnsi="宋体" w:eastAsia="宋体" w:cs="宋体"/>
          <w:kern w:val="0"/>
          <w:sz w:val="21"/>
          <w:szCs w:val="21"/>
          <w:shd w:val="clear" w:color="auto" w:fill="FFFFFF"/>
          <w:lang w:val="en-US" w:eastAsia="zh-CN"/>
        </w:rPr>
        <w:t>地址：驻马店市中华大道747号</w:t>
      </w:r>
    </w:p>
    <w:p w14:paraId="24D9B434">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kern w:val="0"/>
          <w:sz w:val="21"/>
          <w:szCs w:val="21"/>
          <w:shd w:val="clear" w:color="auto" w:fill="FFFFFF"/>
          <w:lang w:val="en-US" w:eastAsia="zh-CN"/>
        </w:rPr>
      </w:pPr>
      <w:r>
        <w:rPr>
          <w:rFonts w:hint="eastAsia" w:ascii="宋体" w:hAnsi="宋体" w:eastAsia="宋体" w:cs="宋体"/>
          <w:kern w:val="0"/>
          <w:sz w:val="21"/>
          <w:szCs w:val="21"/>
          <w:shd w:val="clear" w:color="auto" w:fill="FFFFFF"/>
          <w:lang w:val="en-US" w:eastAsia="zh-CN"/>
        </w:rPr>
        <w:t>联系人：陈先生</w:t>
      </w:r>
    </w:p>
    <w:p w14:paraId="3D8C5247">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kern w:val="0"/>
          <w:sz w:val="21"/>
          <w:szCs w:val="21"/>
          <w:shd w:val="clear" w:color="auto" w:fill="FFFFFF"/>
          <w:lang w:val="en-US" w:eastAsia="zh-CN"/>
        </w:rPr>
      </w:pPr>
      <w:r>
        <w:rPr>
          <w:rFonts w:hint="eastAsia" w:ascii="宋体" w:hAnsi="宋体" w:eastAsia="宋体" w:cs="宋体"/>
          <w:kern w:val="0"/>
          <w:sz w:val="21"/>
          <w:szCs w:val="21"/>
          <w:shd w:val="clear" w:color="auto" w:fill="FFFFFF"/>
          <w:lang w:val="en-US" w:eastAsia="zh-CN"/>
        </w:rPr>
        <w:t>电话：0396-2726379</w:t>
      </w:r>
    </w:p>
    <w:p w14:paraId="514D2736">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kern w:val="0"/>
          <w:sz w:val="21"/>
          <w:szCs w:val="21"/>
          <w:shd w:val="clear" w:color="auto" w:fill="FFFFFF"/>
          <w:lang w:val="en-US" w:eastAsia="zh-CN"/>
        </w:rPr>
      </w:pPr>
      <w:r>
        <w:rPr>
          <w:rFonts w:hint="eastAsia" w:ascii="宋体" w:hAnsi="宋体" w:eastAsia="宋体" w:cs="宋体"/>
          <w:kern w:val="0"/>
          <w:sz w:val="21"/>
          <w:szCs w:val="21"/>
          <w:shd w:val="clear" w:color="auto" w:fill="FFFFFF"/>
          <w:lang w:val="en-US" w:eastAsia="zh-CN"/>
        </w:rPr>
        <w:t xml:space="preserve">2.采购代理机构：中泰工程管理有限公司 </w:t>
      </w:r>
    </w:p>
    <w:p w14:paraId="5DAB7332">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kern w:val="0"/>
          <w:sz w:val="21"/>
          <w:szCs w:val="21"/>
          <w:shd w:val="clear" w:color="auto" w:fill="FFFFFF"/>
          <w:lang w:val="en-US" w:eastAsia="zh-CN"/>
        </w:rPr>
      </w:pPr>
      <w:r>
        <w:rPr>
          <w:rFonts w:hint="eastAsia" w:ascii="宋体" w:hAnsi="宋体" w:eastAsia="宋体" w:cs="宋体"/>
          <w:kern w:val="0"/>
          <w:sz w:val="21"/>
          <w:szCs w:val="21"/>
          <w:shd w:val="clear" w:color="auto" w:fill="FFFFFF"/>
          <w:lang w:val="en-US" w:eastAsia="zh-CN"/>
        </w:rPr>
        <w:t>地址：河南省郑州市金水区红专路110号名门国际中心17层1706室</w:t>
      </w:r>
    </w:p>
    <w:p w14:paraId="40DE41C3">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kern w:val="0"/>
          <w:sz w:val="21"/>
          <w:szCs w:val="21"/>
          <w:shd w:val="clear" w:color="auto" w:fill="FFFFFF"/>
          <w:lang w:val="en-US" w:eastAsia="zh-CN"/>
        </w:rPr>
      </w:pPr>
      <w:r>
        <w:rPr>
          <w:rFonts w:hint="eastAsia" w:ascii="宋体" w:hAnsi="宋体" w:eastAsia="宋体" w:cs="宋体"/>
          <w:kern w:val="0"/>
          <w:sz w:val="21"/>
          <w:szCs w:val="21"/>
          <w:shd w:val="clear" w:color="auto" w:fill="FFFFFF"/>
          <w:lang w:val="en-US" w:eastAsia="zh-CN"/>
        </w:rPr>
        <w:t>联系人：张先生</w:t>
      </w:r>
    </w:p>
    <w:p w14:paraId="41ED3FF1">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kern w:val="0"/>
          <w:sz w:val="21"/>
          <w:szCs w:val="21"/>
          <w:shd w:val="clear" w:color="auto" w:fill="FFFFFF"/>
          <w:lang w:val="en-US" w:eastAsia="zh-CN"/>
        </w:rPr>
      </w:pPr>
      <w:r>
        <w:rPr>
          <w:rFonts w:hint="eastAsia" w:ascii="宋体" w:hAnsi="宋体" w:eastAsia="宋体" w:cs="宋体"/>
          <w:kern w:val="0"/>
          <w:sz w:val="21"/>
          <w:szCs w:val="21"/>
          <w:shd w:val="clear" w:color="auto" w:fill="FFFFFF"/>
          <w:lang w:val="en-US" w:eastAsia="zh-CN"/>
        </w:rPr>
        <w:t>联系方式：15638301234</w:t>
      </w:r>
    </w:p>
    <w:p w14:paraId="73362995">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kern w:val="0"/>
          <w:sz w:val="21"/>
          <w:szCs w:val="21"/>
          <w:shd w:val="clear" w:color="auto" w:fill="FFFFFF"/>
          <w:lang w:val="en-US" w:eastAsia="zh-CN"/>
        </w:rPr>
      </w:pPr>
      <w:r>
        <w:rPr>
          <w:rFonts w:hint="eastAsia" w:ascii="宋体" w:hAnsi="宋体" w:eastAsia="宋体" w:cs="宋体"/>
          <w:kern w:val="0"/>
          <w:sz w:val="21"/>
          <w:szCs w:val="21"/>
          <w:shd w:val="clear" w:color="auto" w:fill="FFFFFF"/>
          <w:lang w:val="en-US" w:eastAsia="zh-CN"/>
        </w:rPr>
        <w:t>3.监督部门：驻马店市中心医院纪检监察室</w:t>
      </w:r>
      <w:bookmarkStart w:id="142" w:name="_GoBack"/>
      <w:bookmarkEnd w:id="142"/>
    </w:p>
    <w:p w14:paraId="69208BBB">
      <w:pPr>
        <w:keepNext w:val="0"/>
        <w:keepLines w:val="0"/>
        <w:pageBreakBefore w:val="0"/>
        <w:widowControl/>
        <w:kinsoku/>
        <w:overflowPunct/>
        <w:topLinePunct w:val="0"/>
        <w:autoSpaceDE/>
        <w:autoSpaceDN/>
        <w:bidi w:val="0"/>
        <w:snapToGrid w:val="0"/>
        <w:spacing w:line="460" w:lineRule="exact"/>
        <w:ind w:firstLine="420" w:firstLineChars="200"/>
        <w:jc w:val="left"/>
        <w:textAlignment w:val="auto"/>
        <w:rPr>
          <w:rFonts w:hint="eastAsia" w:ascii="宋体" w:hAnsi="宋体" w:eastAsia="宋体" w:cs="宋体"/>
          <w:kern w:val="0"/>
          <w:sz w:val="21"/>
          <w:szCs w:val="21"/>
          <w:shd w:val="clear" w:color="auto" w:fill="FFFFFF"/>
          <w:lang w:val="en-US" w:eastAsia="zh-CN"/>
        </w:rPr>
      </w:pPr>
      <w:r>
        <w:rPr>
          <w:rFonts w:hint="eastAsia" w:ascii="宋体" w:hAnsi="宋体" w:eastAsia="宋体" w:cs="宋体"/>
          <w:kern w:val="0"/>
          <w:sz w:val="21"/>
          <w:szCs w:val="21"/>
          <w:shd w:val="clear" w:color="auto" w:fill="FFFFFF"/>
          <w:lang w:val="en-US" w:eastAsia="zh-CN"/>
        </w:rPr>
        <w:t>监督电话：0396-2726678</w:t>
      </w:r>
    </w:p>
    <w:p w14:paraId="1EFCE149">
      <w:pPr>
        <w:widowControl/>
        <w:snapToGrid w:val="0"/>
        <w:spacing w:line="360" w:lineRule="auto"/>
        <w:ind w:firstLine="420" w:firstLineChars="200"/>
        <w:jc w:val="right"/>
        <w:rPr>
          <w:rFonts w:hint="eastAsia" w:ascii="宋体" w:hAnsi="宋体" w:eastAsia="宋体" w:cs="宋体"/>
          <w:kern w:val="0"/>
          <w:sz w:val="21"/>
          <w:szCs w:val="21"/>
          <w:shd w:val="clear" w:color="auto" w:fill="FFFFFF"/>
        </w:rPr>
      </w:pPr>
    </w:p>
    <w:p w14:paraId="4000E6EE">
      <w:pPr>
        <w:widowControl/>
        <w:snapToGrid w:val="0"/>
        <w:spacing w:line="360" w:lineRule="auto"/>
        <w:ind w:firstLine="420" w:firstLineChars="200"/>
        <w:jc w:val="right"/>
        <w:rPr>
          <w:rFonts w:hint="eastAsia" w:ascii="宋体" w:hAnsi="宋体" w:eastAsia="宋体" w:cs="宋体"/>
          <w:kern w:val="0"/>
          <w:sz w:val="21"/>
          <w:szCs w:val="21"/>
          <w:shd w:val="clear" w:color="auto" w:fill="FFFFFF"/>
        </w:rPr>
      </w:pPr>
    </w:p>
    <w:p w14:paraId="2342DE1D">
      <w:pPr>
        <w:widowControl/>
        <w:snapToGrid w:val="0"/>
        <w:spacing w:line="360" w:lineRule="auto"/>
        <w:ind w:firstLine="420" w:firstLineChars="200"/>
        <w:jc w:val="right"/>
        <w:rPr>
          <w:rFonts w:hint="eastAsia" w:ascii="宋体" w:hAnsi="宋体" w:eastAsia="宋体" w:cs="宋体"/>
          <w:kern w:val="0"/>
          <w:sz w:val="21"/>
          <w:szCs w:val="21"/>
          <w:shd w:val="clear" w:color="auto" w:fill="FFFFFF"/>
        </w:rPr>
      </w:pPr>
    </w:p>
    <w:p w14:paraId="6B9E743B">
      <w:pPr>
        <w:widowControl/>
        <w:snapToGrid w:val="0"/>
        <w:spacing w:line="360" w:lineRule="auto"/>
        <w:ind w:firstLine="420" w:firstLineChars="200"/>
        <w:jc w:val="right"/>
        <w:rPr>
          <w:rFonts w:hint="eastAsia" w:ascii="宋体" w:hAnsi="宋体" w:eastAsia="宋体" w:cs="宋体"/>
          <w:kern w:val="0"/>
          <w:sz w:val="21"/>
          <w:szCs w:val="21"/>
          <w:shd w:val="clear" w:color="auto" w:fill="FFFFFF"/>
        </w:rPr>
      </w:pPr>
    </w:p>
    <w:p w14:paraId="64E18542">
      <w:pPr>
        <w:widowControl/>
        <w:snapToGrid w:val="0"/>
        <w:spacing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eastAsia="宋体" w:cs="宋体"/>
          <w:kern w:val="0"/>
          <w:sz w:val="21"/>
          <w:szCs w:val="21"/>
          <w:shd w:val="clear" w:color="auto" w:fill="FFFFFF"/>
        </w:rPr>
        <w:t>驻马</w:t>
      </w:r>
      <w:r>
        <w:rPr>
          <w:rFonts w:hint="eastAsia" w:ascii="宋体" w:hAnsi="宋体" w:eastAsia="宋体" w:cs="宋体"/>
          <w:color w:val="000000" w:themeColor="text1"/>
          <w:kern w:val="0"/>
          <w:sz w:val="21"/>
          <w:szCs w:val="21"/>
          <w:shd w:val="clear" w:color="auto" w:fill="FFFFFF"/>
          <w14:textFill>
            <w14:solidFill>
              <w14:schemeClr w14:val="tx1"/>
            </w14:solidFill>
          </w14:textFill>
        </w:rPr>
        <w:t>店市中心</w:t>
      </w: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医院采购科</w:t>
      </w:r>
    </w:p>
    <w:p w14:paraId="3F235C62">
      <w:pPr>
        <w:pStyle w:val="20"/>
        <w:widowControl/>
        <w:snapToGrid w:val="0"/>
        <w:spacing w:before="0" w:beforeAutospacing="0" w:after="0" w:afterAutospacing="0" w:line="360" w:lineRule="auto"/>
        <w:ind w:firstLine="420" w:firstLineChars="200"/>
        <w:jc w:val="center"/>
        <w:rPr>
          <w:rFonts w:hint="eastAsia" w:ascii="宋体" w:hAnsi="宋体" w:eastAsia="宋体" w:cs="宋体"/>
          <w:color w:val="FF0000"/>
          <w:sz w:val="21"/>
          <w:szCs w:val="21"/>
          <w:highlight w:val="none"/>
          <w:shd w:val="clear" w:color="auto" w:fill="FFFFFF"/>
        </w:rPr>
      </w:pPr>
      <w:r>
        <w:rPr>
          <w:rFonts w:hint="eastAsia" w:ascii="宋体" w:hAnsi="宋体" w:eastAsia="宋体" w:cs="宋体"/>
          <w:color w:val="FF0000"/>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eastAsia="zh-CN"/>
        </w:rPr>
        <w:t>202</w:t>
      </w:r>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shd w:val="clear" w:color="auto" w:fill="FFFFFF"/>
          <w:lang w:val="en-US" w:eastAsia="zh-CN"/>
        </w:rPr>
        <w:t>01</w:t>
      </w:r>
      <w:r>
        <w:rPr>
          <w:rFonts w:hint="eastAsia" w:ascii="宋体" w:hAnsi="宋体" w:eastAsia="宋体" w:cs="宋体"/>
          <w:color w:val="auto"/>
          <w:sz w:val="21"/>
          <w:szCs w:val="21"/>
          <w:highlight w:val="none"/>
          <w:shd w:val="clear" w:color="auto" w:fill="FFFFFF"/>
        </w:rPr>
        <w:t>月</w:t>
      </w:r>
      <w:r>
        <w:rPr>
          <w:rFonts w:hint="eastAsia" w:ascii="宋体" w:hAnsi="宋体" w:eastAsia="宋体" w:cs="宋体"/>
          <w:color w:val="auto"/>
          <w:sz w:val="21"/>
          <w:szCs w:val="21"/>
          <w:highlight w:val="none"/>
          <w:shd w:val="clear" w:color="auto" w:fill="FFFFFF"/>
          <w:lang w:val="en-US" w:eastAsia="zh-CN"/>
        </w:rPr>
        <w:t>23</w:t>
      </w:r>
      <w:r>
        <w:rPr>
          <w:rFonts w:hint="eastAsia" w:ascii="宋体" w:hAnsi="宋体" w:eastAsia="宋体" w:cs="宋体"/>
          <w:color w:val="auto"/>
          <w:sz w:val="21"/>
          <w:szCs w:val="21"/>
          <w:highlight w:val="none"/>
          <w:shd w:val="clear" w:color="auto" w:fill="FFFFFF"/>
        </w:rPr>
        <w:t>日</w:t>
      </w:r>
    </w:p>
    <w:p w14:paraId="28905317">
      <w:pPr>
        <w:pStyle w:val="20"/>
        <w:widowControl/>
        <w:snapToGrid w:val="0"/>
        <w:spacing w:before="0" w:beforeAutospacing="0" w:after="0" w:afterAutospacing="0" w:line="360" w:lineRule="auto"/>
        <w:ind w:firstLine="420" w:firstLineChars="200"/>
        <w:rPr>
          <w:rFonts w:hint="eastAsia" w:ascii="宋体" w:hAnsi="宋体" w:eastAsia="宋体" w:cs="宋体"/>
          <w:sz w:val="21"/>
          <w:szCs w:val="21"/>
          <w:shd w:val="clear" w:color="auto" w:fill="FFFFFF"/>
        </w:rPr>
      </w:pPr>
    </w:p>
    <w:p w14:paraId="307141F3">
      <w:pPr>
        <w:keepNext w:val="0"/>
        <w:keepLines w:val="0"/>
        <w:pageBreakBefore w:val="0"/>
        <w:widowControl/>
        <w:kinsoku/>
        <w:wordWrap/>
        <w:overflowPunct/>
        <w:topLinePunct w:val="0"/>
        <w:autoSpaceDE/>
        <w:autoSpaceDN/>
        <w:bidi w:val="0"/>
        <w:adjustRightInd/>
        <w:snapToGrid w:val="0"/>
        <w:spacing w:before="157" w:beforeLines="50" w:line="360" w:lineRule="auto"/>
        <w:jc w:val="center"/>
        <w:textAlignment w:val="auto"/>
        <w:outlineLvl w:val="0"/>
        <w:rPr>
          <w:rFonts w:hint="eastAsia" w:ascii="宋体" w:hAnsi="宋体" w:eastAsia="宋体" w:cs="宋体"/>
          <w:b/>
          <w:bCs/>
          <w:kern w:val="2"/>
          <w:sz w:val="36"/>
          <w:szCs w:val="24"/>
          <w:lang w:val="en-US" w:eastAsia="zh-CN" w:bidi="ar-SA"/>
        </w:rPr>
        <w:sectPr>
          <w:footerReference r:id="rId5" w:type="default"/>
          <w:pgSz w:w="12240" w:h="15840"/>
          <w:pgMar w:top="1440" w:right="1800" w:bottom="1440" w:left="1800" w:header="850" w:footer="1077" w:gutter="0"/>
          <w:pgNumType w:fmt="decimal" w:start="1"/>
          <w:cols w:space="0" w:num="1"/>
          <w:docGrid w:linePitch="312" w:charSpace="0"/>
        </w:sectPr>
      </w:pPr>
    </w:p>
    <w:p w14:paraId="34B93C53">
      <w:pPr>
        <w:keepNext w:val="0"/>
        <w:keepLines w:val="0"/>
        <w:pageBreakBefore w:val="0"/>
        <w:widowControl/>
        <w:kinsoku/>
        <w:wordWrap/>
        <w:overflowPunct/>
        <w:topLinePunct w:val="0"/>
        <w:autoSpaceDE/>
        <w:autoSpaceDN/>
        <w:bidi w:val="0"/>
        <w:adjustRightInd/>
        <w:snapToGrid w:val="0"/>
        <w:spacing w:before="157" w:beforeLines="50" w:line="360" w:lineRule="auto"/>
        <w:jc w:val="center"/>
        <w:textAlignment w:val="auto"/>
        <w:outlineLvl w:val="0"/>
        <w:rPr>
          <w:rFonts w:hint="eastAsia" w:ascii="宋体" w:hAnsi="宋体" w:eastAsia="宋体" w:cs="宋体"/>
          <w:b/>
          <w:bCs/>
          <w:kern w:val="2"/>
          <w:sz w:val="36"/>
          <w:szCs w:val="24"/>
          <w:lang w:val="en-US" w:eastAsia="zh-CN" w:bidi="ar-SA"/>
        </w:rPr>
      </w:pPr>
      <w:bookmarkStart w:id="27" w:name="_Toc14134"/>
      <w:r>
        <w:rPr>
          <w:rFonts w:hint="eastAsia" w:ascii="宋体" w:hAnsi="宋体" w:eastAsia="宋体" w:cs="宋体"/>
          <w:b/>
          <w:bCs/>
          <w:kern w:val="2"/>
          <w:sz w:val="36"/>
          <w:szCs w:val="24"/>
          <w:lang w:val="en-US" w:eastAsia="zh-CN" w:bidi="ar-SA"/>
        </w:rPr>
        <w:t>第二章 </w:t>
      </w:r>
      <w:r>
        <w:rPr>
          <w:rFonts w:hint="eastAsia" w:ascii="宋体" w:hAnsi="宋体" w:eastAsia="宋体" w:cs="宋体"/>
          <w:b/>
          <w:bCs/>
          <w:kern w:val="2"/>
          <w:sz w:val="36"/>
          <w:szCs w:val="24"/>
          <w:highlight w:val="none"/>
          <w:lang w:val="en-US" w:eastAsia="zh-CN" w:bidi="ar-SA"/>
        </w:rPr>
        <w:t>采购需求</w:t>
      </w:r>
      <w:bookmarkEnd w:id="27"/>
    </w:p>
    <w:p w14:paraId="7DDFE26F">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both"/>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一、项目名称</w:t>
      </w:r>
      <w:r>
        <w:rPr>
          <w:rFonts w:hint="eastAsia" w:ascii="宋体" w:hAnsi="宋体" w:eastAsia="宋体" w:cs="宋体"/>
          <w:b w:val="0"/>
          <w:bCs w:val="0"/>
          <w:sz w:val="21"/>
          <w:szCs w:val="21"/>
          <w:vertAlign w:val="baseline"/>
          <w:lang w:val="en-US" w:eastAsia="zh-CN"/>
        </w:rPr>
        <w:t>：</w:t>
      </w:r>
      <w:r>
        <w:rPr>
          <w:rFonts w:hint="eastAsia" w:ascii="宋体" w:hAnsi="宋体" w:cs="宋体"/>
          <w:b w:val="0"/>
          <w:bCs w:val="0"/>
          <w:sz w:val="21"/>
          <w:szCs w:val="21"/>
          <w:vertAlign w:val="baseline"/>
          <w:lang w:val="en-US" w:eastAsia="zh-CN"/>
        </w:rPr>
        <w:t>驻马店市中心医院活度计、等离子体射频手术系统等医疗设备采购项目（四次）（活度计）</w:t>
      </w:r>
    </w:p>
    <w:p w14:paraId="58559109">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both"/>
        <w:textAlignment w:val="baseline"/>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二、采购标的清单：</w:t>
      </w:r>
    </w:p>
    <w:tbl>
      <w:tblPr>
        <w:tblStyle w:val="23"/>
        <w:tblW w:w="9177"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795"/>
        <w:gridCol w:w="1689"/>
        <w:gridCol w:w="1080"/>
        <w:gridCol w:w="1064"/>
        <w:gridCol w:w="1370"/>
        <w:gridCol w:w="9"/>
        <w:gridCol w:w="1122"/>
        <w:gridCol w:w="1251"/>
      </w:tblGrid>
      <w:tr w14:paraId="664C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97" w:type="dxa"/>
            <w:vAlign w:val="center"/>
          </w:tcPr>
          <w:p w14:paraId="3B5DB2F6">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包号</w:t>
            </w:r>
          </w:p>
        </w:tc>
        <w:tc>
          <w:tcPr>
            <w:tcW w:w="795" w:type="dxa"/>
            <w:vAlign w:val="center"/>
          </w:tcPr>
          <w:p w14:paraId="2E3283B5">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序号</w:t>
            </w:r>
          </w:p>
        </w:tc>
        <w:tc>
          <w:tcPr>
            <w:tcW w:w="1689" w:type="dxa"/>
            <w:vAlign w:val="center"/>
          </w:tcPr>
          <w:p w14:paraId="1EB2B595">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标的名称</w:t>
            </w:r>
          </w:p>
        </w:tc>
        <w:tc>
          <w:tcPr>
            <w:tcW w:w="1080" w:type="dxa"/>
            <w:vAlign w:val="center"/>
          </w:tcPr>
          <w:p w14:paraId="69252B2F">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单位</w:t>
            </w:r>
          </w:p>
        </w:tc>
        <w:tc>
          <w:tcPr>
            <w:tcW w:w="1064" w:type="dxa"/>
            <w:vAlign w:val="center"/>
          </w:tcPr>
          <w:p w14:paraId="0F7A5F3A">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数量</w:t>
            </w:r>
          </w:p>
        </w:tc>
        <w:tc>
          <w:tcPr>
            <w:tcW w:w="1379" w:type="dxa"/>
            <w:gridSpan w:val="2"/>
            <w:vAlign w:val="center"/>
          </w:tcPr>
          <w:p w14:paraId="4C075D74">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资金预算</w:t>
            </w:r>
          </w:p>
        </w:tc>
        <w:tc>
          <w:tcPr>
            <w:tcW w:w="1122" w:type="dxa"/>
            <w:vAlign w:val="center"/>
          </w:tcPr>
          <w:p w14:paraId="1DCE6D16">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资金性质</w:t>
            </w:r>
          </w:p>
        </w:tc>
        <w:tc>
          <w:tcPr>
            <w:tcW w:w="1251" w:type="dxa"/>
            <w:vAlign w:val="center"/>
          </w:tcPr>
          <w:p w14:paraId="63439CE1">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国产/进口</w:t>
            </w:r>
          </w:p>
        </w:tc>
      </w:tr>
      <w:tr w14:paraId="04FE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97" w:type="dxa"/>
            <w:vAlign w:val="center"/>
          </w:tcPr>
          <w:p w14:paraId="58E86F39">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795" w:type="dxa"/>
            <w:vAlign w:val="center"/>
          </w:tcPr>
          <w:p w14:paraId="21E4535D">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689" w:type="dxa"/>
            <w:vAlign w:val="center"/>
          </w:tcPr>
          <w:p w14:paraId="705D966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活度计</w:t>
            </w:r>
          </w:p>
        </w:tc>
        <w:tc>
          <w:tcPr>
            <w:tcW w:w="1080" w:type="dxa"/>
            <w:vAlign w:val="center"/>
          </w:tcPr>
          <w:p w14:paraId="6249522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1064" w:type="dxa"/>
            <w:vAlign w:val="center"/>
          </w:tcPr>
          <w:p w14:paraId="7E3150C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379" w:type="dxa"/>
            <w:gridSpan w:val="2"/>
            <w:vAlign w:val="center"/>
          </w:tcPr>
          <w:p w14:paraId="3D57FC8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7万元</w:t>
            </w:r>
          </w:p>
        </w:tc>
        <w:tc>
          <w:tcPr>
            <w:tcW w:w="1122" w:type="dxa"/>
            <w:vAlign w:val="center"/>
          </w:tcPr>
          <w:p w14:paraId="4E1D69B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51" w:type="dxa"/>
            <w:vAlign w:val="center"/>
          </w:tcPr>
          <w:p w14:paraId="4547D3C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cs="宋体"/>
                <w:color w:val="auto"/>
                <w:kern w:val="0"/>
                <w:sz w:val="21"/>
                <w:szCs w:val="21"/>
                <w:highlight w:val="none"/>
                <w:shd w:val="clear" w:color="auto" w:fill="FFFFFF"/>
                <w:lang w:val="en-US" w:eastAsia="zh-CN" w:bidi="ar-SA"/>
              </w:rPr>
              <w:t>接受</w:t>
            </w:r>
            <w:r>
              <w:rPr>
                <w:rFonts w:hint="eastAsia" w:ascii="宋体" w:hAnsi="宋体" w:eastAsia="宋体" w:cs="宋体"/>
                <w:color w:val="auto"/>
                <w:kern w:val="0"/>
                <w:sz w:val="21"/>
                <w:szCs w:val="21"/>
                <w:highlight w:val="none"/>
                <w:shd w:val="clear" w:color="auto" w:fill="FFFFFF"/>
                <w:lang w:val="en-US" w:eastAsia="zh-CN" w:bidi="ar-SA"/>
              </w:rPr>
              <w:t>进口</w:t>
            </w:r>
          </w:p>
        </w:tc>
      </w:tr>
      <w:tr w14:paraId="59B0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92" w:type="dxa"/>
            <w:gridSpan w:val="2"/>
            <w:vAlign w:val="center"/>
          </w:tcPr>
          <w:p w14:paraId="7B217AD3">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w:t>
            </w:r>
          </w:p>
        </w:tc>
        <w:tc>
          <w:tcPr>
            <w:tcW w:w="1689" w:type="dxa"/>
            <w:vAlign w:val="center"/>
          </w:tcPr>
          <w:p w14:paraId="3AB6F8B2">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p>
        </w:tc>
        <w:tc>
          <w:tcPr>
            <w:tcW w:w="1080" w:type="dxa"/>
            <w:vAlign w:val="center"/>
          </w:tcPr>
          <w:p w14:paraId="4A2E29F2">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p>
        </w:tc>
        <w:tc>
          <w:tcPr>
            <w:tcW w:w="1064" w:type="dxa"/>
            <w:vAlign w:val="center"/>
          </w:tcPr>
          <w:p w14:paraId="5EA18988">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p>
        </w:tc>
        <w:tc>
          <w:tcPr>
            <w:tcW w:w="1370" w:type="dxa"/>
            <w:vAlign w:val="center"/>
          </w:tcPr>
          <w:p w14:paraId="2D036B0E">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7万元</w:t>
            </w:r>
          </w:p>
        </w:tc>
        <w:tc>
          <w:tcPr>
            <w:tcW w:w="1131" w:type="dxa"/>
            <w:gridSpan w:val="2"/>
            <w:vAlign w:val="center"/>
          </w:tcPr>
          <w:p w14:paraId="6C514FAA">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p>
        </w:tc>
        <w:tc>
          <w:tcPr>
            <w:tcW w:w="1251" w:type="dxa"/>
            <w:vAlign w:val="center"/>
          </w:tcPr>
          <w:p w14:paraId="05E1E6CB">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p>
        </w:tc>
      </w:tr>
      <w:tr w14:paraId="4571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92" w:type="dxa"/>
            <w:gridSpan w:val="2"/>
            <w:vAlign w:val="center"/>
          </w:tcPr>
          <w:p w14:paraId="50047F12">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tc>
        <w:tc>
          <w:tcPr>
            <w:tcW w:w="7585" w:type="dxa"/>
            <w:gridSpan w:val="7"/>
            <w:vAlign w:val="center"/>
          </w:tcPr>
          <w:p w14:paraId="4E67F8C1">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center"/>
              <w:textAlignment w:val="baseline"/>
              <w:rPr>
                <w:rFonts w:hint="eastAsia" w:ascii="宋体" w:hAnsi="宋体" w:eastAsia="宋体" w:cs="宋体"/>
                <w:b w:val="0"/>
                <w:bCs w:val="0"/>
                <w:sz w:val="21"/>
                <w:szCs w:val="21"/>
                <w:vertAlign w:val="baseline"/>
                <w:lang w:val="en-US" w:eastAsia="zh-CN"/>
              </w:rPr>
            </w:pPr>
          </w:p>
        </w:tc>
      </w:tr>
    </w:tbl>
    <w:p w14:paraId="42BCBAFF">
      <w:pPr>
        <w:numPr>
          <w:ilvl w:val="0"/>
          <w:numId w:val="0"/>
        </w:numPr>
        <w:spacing w:line="192" w:lineRule="auto"/>
        <w:jc w:val="center"/>
        <w:rPr>
          <w:rFonts w:hint="eastAsia" w:ascii="宋体" w:hAnsi="宋体" w:eastAsia="宋体" w:cs="宋体"/>
          <w:b/>
          <w:bCs/>
          <w:sz w:val="21"/>
          <w:szCs w:val="21"/>
          <w:highlight w:val="none"/>
          <w:lang w:val="en-US" w:eastAsia="zh-CN"/>
        </w:rPr>
      </w:pPr>
    </w:p>
    <w:p w14:paraId="198353D5">
      <w:pPr>
        <w:numPr>
          <w:ilvl w:val="0"/>
          <w:numId w:val="0"/>
        </w:numPr>
        <w:spacing w:line="192" w:lineRule="auto"/>
        <w:jc w:val="both"/>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三、技术要求：</w:t>
      </w:r>
    </w:p>
    <w:p w14:paraId="29542F76">
      <w:pPr>
        <w:numPr>
          <w:ilvl w:val="0"/>
          <w:numId w:val="0"/>
        </w:numPr>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活度计技术参数</w:t>
      </w:r>
    </w:p>
    <w:p w14:paraId="27849EB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1、探头类型：井式探头 </w:t>
      </w:r>
    </w:p>
    <w:p w14:paraId="55AFFEE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2、探头分辨率：≤0.01MBq(0.1 u Ci)</w:t>
      </w:r>
    </w:p>
    <w:p w14:paraId="7875BEF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3、探头准确度：≤2%</w:t>
      </w:r>
    </w:p>
    <w:p w14:paraId="2CE1476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4、探头线性：≤2%</w:t>
      </w:r>
    </w:p>
    <w:p w14:paraId="2EDE8CB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5、触摸屏显示器：≥8 "彩色VGA</w:t>
      </w:r>
    </w:p>
    <w:p w14:paraId="1D62AD8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6、可测试能量范围：50-511keV</w:t>
      </w:r>
    </w:p>
    <w:p w14:paraId="237F9AD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7、可显示活度单位：Ci或Bg直接读数(用户选择)</w:t>
      </w:r>
    </w:p>
    <w:p w14:paraId="6874D5D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8、验收时需提供第三方校准报告</w:t>
      </w:r>
    </w:p>
    <w:p w14:paraId="63DDF5C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9、设备配置清单（包含但不限于）：</w:t>
      </w:r>
    </w:p>
    <w:p w14:paraId="698AF39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活度计整机一套(电离室、显示器等)、保护桶一个</w:t>
      </w:r>
    </w:p>
    <w:p w14:paraId="0B5E7C38">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both"/>
        <w:textAlignment w:val="baseline"/>
        <w:rPr>
          <w:rFonts w:hint="eastAsia" w:ascii="宋体" w:hAnsi="宋体" w:cs="宋体"/>
          <w:b/>
          <w:bCs/>
          <w:sz w:val="21"/>
          <w:szCs w:val="21"/>
          <w:vertAlign w:val="baseline"/>
          <w:lang w:val="en-US" w:eastAsia="zh-CN"/>
        </w:rPr>
        <w:sectPr>
          <w:footerReference r:id="rId6" w:type="default"/>
          <w:pgSz w:w="12240" w:h="15840"/>
          <w:pgMar w:top="1440" w:right="1800" w:bottom="1440" w:left="1800" w:header="850" w:footer="1077" w:gutter="0"/>
          <w:pgNumType w:fmt="decimal"/>
          <w:cols w:space="0" w:num="1"/>
          <w:docGrid w:linePitch="312" w:charSpace="0"/>
        </w:sectPr>
      </w:pPr>
    </w:p>
    <w:p w14:paraId="1C94021B">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both"/>
        <w:textAlignment w:val="baseline"/>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四</w:t>
      </w:r>
      <w:r>
        <w:rPr>
          <w:rFonts w:hint="eastAsia" w:ascii="宋体" w:hAnsi="宋体" w:eastAsia="宋体" w:cs="宋体"/>
          <w:b/>
          <w:bCs/>
          <w:sz w:val="21"/>
          <w:szCs w:val="21"/>
          <w:vertAlign w:val="baseline"/>
          <w:lang w:val="en-US" w:eastAsia="zh-CN"/>
        </w:rPr>
        <w:t>、商务要求</w:t>
      </w:r>
    </w:p>
    <w:tbl>
      <w:tblPr>
        <w:tblStyle w:val="2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5EE79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B9BE83C">
            <w:pPr>
              <w:pStyle w:val="7"/>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02F9EB3">
            <w:pPr>
              <w:pStyle w:val="7"/>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73B7C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6805705">
            <w:pPr>
              <w:pStyle w:val="7"/>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A7309FE">
            <w:pPr>
              <w:pStyle w:val="7"/>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从产品入库之日起，整机保修三年，出具相关服务承诺书。</w:t>
            </w:r>
          </w:p>
        </w:tc>
      </w:tr>
      <w:tr w14:paraId="65315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85FB471">
            <w:pPr>
              <w:pStyle w:val="7"/>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84B9A6A">
            <w:pPr>
              <w:pStyle w:val="7"/>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符合国家有关法律、法规，以及行业质量标准的要求，满足谈判文件规定标准。</w:t>
            </w:r>
          </w:p>
        </w:tc>
      </w:tr>
      <w:tr w14:paraId="1A659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97F10E4">
            <w:pPr>
              <w:pStyle w:val="7"/>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3A20F0AC">
            <w:pPr>
              <w:pStyle w:val="7"/>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以合同签订为准。</w:t>
            </w:r>
          </w:p>
        </w:tc>
      </w:tr>
      <w:tr w14:paraId="4A3A0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C31D9BC">
            <w:pPr>
              <w:pStyle w:val="7"/>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C6D6C12">
            <w:pPr>
              <w:pStyle w:val="7"/>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080B0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6C2D2E6">
            <w:pPr>
              <w:pStyle w:val="7"/>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1CC470D6">
            <w:pPr>
              <w:pStyle w:val="7"/>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4ECA6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5"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9418B7">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3A7E80AA">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1.质保期内应当为采购人提供以下技术支持和服务：</w:t>
            </w:r>
          </w:p>
          <w:p w14:paraId="0D1B0137">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a、现场响应：供应商应保证在12小时内对用户提出的问题或故障予以响应及处理。可提供备用设备或核心部件应急使用。</w:t>
            </w:r>
          </w:p>
          <w:p w14:paraId="27590A81">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b、成交供应商应当应每季度对该设备进行保养不少于一次,并出具保养报告，具体保养内容见合同。</w:t>
            </w:r>
          </w:p>
          <w:p w14:paraId="3D5D74D1">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c、质保期内该设备应保证大于95%（含）的开机率，如达不到要求，每少于一天质保期顺延7天，如造成严重损失需赔偿用户经济损失或换货或退货。</w:t>
            </w:r>
          </w:p>
          <w:p w14:paraId="633D1B21">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d、技术升级，如果制造商的产品技术升级，成交供应商应及时通知采购人，如采购人有相应要求，成交供应商和制造商应对采购人购买的产品进行免费升级服务。</w:t>
            </w:r>
          </w:p>
          <w:p w14:paraId="606F89FF">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e、成交供应商交付设备时，应按照《国家食品药品监督管理总局》第18号令第17条的要求提供相应的维护手册、维修手册、软件备份、故障代码表、备件清单、零部件、维修密码等维护维修必需的材料和信息。</w:t>
            </w:r>
          </w:p>
          <w:p w14:paraId="304A6D5A">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f、除火灾、洪水、地震等天灾外，在保修期内，由于货物故障所产生的所有费用均由供应商负责。                                 </w:t>
            </w:r>
          </w:p>
          <w:p w14:paraId="2956BDD0">
            <w:pPr>
              <w:pStyle w:val="7"/>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2.培训：免费提供操作培训和维修培训。                         </w:t>
            </w:r>
          </w:p>
          <w:p w14:paraId="525F0267">
            <w:pPr>
              <w:pStyle w:val="7"/>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eastAsia" w:ascii="宋体" w:hAnsi="宋体" w:eastAsia="宋体" w:cs="宋体"/>
                <w:highlight w:val="none"/>
                <w:lang w:val="en-US" w:eastAsia="zh-CN"/>
              </w:rPr>
            </w:pPr>
            <w:r>
              <w:rPr>
                <w:rFonts w:hint="eastAsia" w:ascii="宋体" w:hAnsi="宋体" w:eastAsia="宋体" w:cs="宋体"/>
                <w:sz w:val="21"/>
                <w:szCs w:val="21"/>
                <w:highlight w:val="none"/>
                <w:lang w:val="en-US" w:eastAsia="zh-CN"/>
              </w:rPr>
              <w:t xml:space="preserve">3.所有设备按照医院实际要求免费开放端口，免费为医院对接院内信息系统。质保期内免费进行软件升级。                          </w:t>
            </w:r>
          </w:p>
        </w:tc>
      </w:tr>
      <w:tr w14:paraId="38093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DE8C4F8">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4CC1E3CE">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sz w:val="21"/>
                <w:szCs w:val="21"/>
                <w:highlight w:val="none"/>
                <w:lang w:val="en-US" w:eastAsia="zh-CN"/>
              </w:rPr>
              <w:t>要求设备为最新出厂设备，出厂日期不得早于招标日期6个月</w:t>
            </w:r>
          </w:p>
        </w:tc>
      </w:tr>
    </w:tbl>
    <w:p w14:paraId="57418747">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both"/>
        <w:textAlignment w:val="baseline"/>
        <w:rPr>
          <w:rFonts w:hint="eastAsia" w:ascii="宋体" w:hAnsi="宋体" w:eastAsia="宋体" w:cs="宋体"/>
          <w:b/>
          <w:bCs/>
          <w:sz w:val="21"/>
          <w:szCs w:val="21"/>
          <w:vertAlign w:val="baseline"/>
          <w:lang w:val="en-US" w:eastAsia="zh-CN"/>
        </w:rPr>
      </w:pPr>
      <w:r>
        <w:rPr>
          <w:rFonts w:hint="eastAsia" w:ascii="宋体" w:hAnsi="宋体" w:cs="宋体"/>
          <w:b/>
          <w:bCs/>
          <w:sz w:val="21"/>
          <w:szCs w:val="21"/>
          <w:lang w:val="en-US" w:eastAsia="zh-CN"/>
        </w:rPr>
        <w:t>五</w:t>
      </w:r>
      <w:r>
        <w:rPr>
          <w:rFonts w:hint="eastAsia" w:ascii="宋体" w:hAnsi="宋体" w:eastAsia="宋体" w:cs="宋体"/>
          <w:b/>
          <w:bCs/>
          <w:sz w:val="21"/>
          <w:szCs w:val="21"/>
          <w:lang w:val="en-US" w:eastAsia="zh-CN"/>
        </w:rPr>
        <w:t xml:space="preserve">、采购人对项目的特殊要求及说明 </w:t>
      </w:r>
    </w:p>
    <w:tbl>
      <w:tblPr>
        <w:tblStyle w:val="22"/>
        <w:tblW w:w="9510" w:type="dxa"/>
        <w:tblInd w:w="-3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09"/>
        <w:gridCol w:w="6501"/>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7"/>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rPr>
              <w:t>，不允许转包和分包。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小组确定一名成交供应商并推荐一名成交候选供应商。</w:t>
            </w:r>
          </w:p>
          <w:p w14:paraId="7D4EACBE">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0A82A7A">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7B48C817">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tc>
      </w:tr>
    </w:tbl>
    <w:p w14:paraId="67CD8503">
      <w:pPr>
        <w:pStyle w:val="12"/>
        <w:keepNext w:val="0"/>
        <w:keepLines w:val="0"/>
        <w:pageBreakBefore w:val="0"/>
        <w:widowControl w:val="0"/>
        <w:kinsoku/>
        <w:wordWrap/>
        <w:overflowPunct/>
        <w:topLinePunct w:val="0"/>
        <w:autoSpaceDE/>
        <w:autoSpaceDN/>
        <w:bidi w:val="0"/>
        <w:adjustRightInd/>
        <w:snapToGrid w:val="0"/>
        <w:spacing w:after="0" w:line="500" w:lineRule="exact"/>
        <w:ind w:left="0" w:leftChars="0" w:firstLine="0" w:firstLineChars="0"/>
        <w:jc w:val="both"/>
        <w:textAlignment w:val="baseline"/>
        <w:rPr>
          <w:rFonts w:hint="eastAsia" w:ascii="宋体" w:hAnsi="宋体" w:eastAsia="宋体" w:cs="宋体"/>
          <w:b/>
          <w:bCs/>
          <w:sz w:val="21"/>
          <w:szCs w:val="21"/>
          <w:lang w:val="en-US" w:eastAsia="zh-CN"/>
        </w:rPr>
        <w:sectPr>
          <w:pgSz w:w="12240" w:h="15840"/>
          <w:pgMar w:top="1440" w:right="1800" w:bottom="1440" w:left="1800" w:header="850" w:footer="1077" w:gutter="0"/>
          <w:pgNumType w:fmt="decimal"/>
          <w:cols w:space="0" w:num="1"/>
          <w:docGrid w:linePitch="312" w:charSpace="0"/>
        </w:sectPr>
      </w:pPr>
    </w:p>
    <w:p w14:paraId="78E5CAD3">
      <w:pPr>
        <w:pStyle w:val="46"/>
        <w:keepNext w:val="0"/>
        <w:keepLines w:val="0"/>
        <w:pageBreakBefore w:val="0"/>
        <w:widowControl w:val="0"/>
        <w:kinsoku/>
        <w:wordWrap/>
        <w:overflowPunct/>
        <w:topLinePunct w:val="0"/>
        <w:autoSpaceDE/>
        <w:autoSpaceDN/>
        <w:bidi w:val="0"/>
        <w:adjustRightInd/>
        <w:snapToGrid w:val="0"/>
        <w:spacing w:before="313" w:beforeLines="100" w:afterAutospacing="0" w:line="460" w:lineRule="exact"/>
        <w:jc w:val="center"/>
        <w:textAlignment w:val="baseline"/>
        <w:outlineLvl w:val="0"/>
        <w:rPr>
          <w:rFonts w:hint="eastAsia" w:ascii="宋体" w:hAnsi="宋体" w:eastAsia="宋体" w:cs="宋体"/>
          <w:b/>
          <w:bCs/>
          <w:sz w:val="36"/>
          <w:szCs w:val="24"/>
        </w:rPr>
      </w:pPr>
      <w:bookmarkStart w:id="28" w:name="_Toc9859"/>
      <w:r>
        <w:rPr>
          <w:rFonts w:hint="eastAsia" w:ascii="宋体" w:hAnsi="宋体" w:eastAsia="宋体" w:cs="宋体"/>
          <w:b/>
          <w:bCs/>
          <w:sz w:val="36"/>
          <w:szCs w:val="24"/>
        </w:rPr>
        <w:t>第</w:t>
      </w:r>
      <w:r>
        <w:rPr>
          <w:rFonts w:hint="eastAsia" w:ascii="宋体" w:hAnsi="宋体" w:eastAsia="宋体" w:cs="宋体"/>
          <w:b/>
          <w:bCs/>
          <w:sz w:val="36"/>
          <w:szCs w:val="24"/>
          <w:lang w:val="en-US" w:eastAsia="zh-CN"/>
        </w:rPr>
        <w:t>三</w:t>
      </w:r>
      <w:r>
        <w:rPr>
          <w:rFonts w:hint="eastAsia" w:ascii="宋体" w:hAnsi="宋体" w:eastAsia="宋体" w:cs="宋体"/>
          <w:b/>
          <w:bCs/>
          <w:sz w:val="36"/>
          <w:szCs w:val="24"/>
        </w:rPr>
        <w:t>章  供应商须知</w:t>
      </w:r>
      <w:bookmarkEnd w:id="28"/>
    </w:p>
    <w:p w14:paraId="33A26350">
      <w:pPr>
        <w:pStyle w:val="2"/>
        <w:snapToGrid w:val="0"/>
        <w:spacing w:before="0" w:beforeAutospacing="0" w:after="0" w:afterAutospacing="0" w:line="360" w:lineRule="auto"/>
        <w:jc w:val="center"/>
        <w:textAlignment w:val="baseline"/>
        <w:rPr>
          <w:rFonts w:hint="eastAsia" w:ascii="宋体" w:hAnsi="宋体" w:eastAsia="宋体" w:cs="宋体"/>
          <w:sz w:val="24"/>
          <w:szCs w:val="24"/>
        </w:rPr>
      </w:pPr>
      <w:bookmarkStart w:id="29" w:name="_Toc32463"/>
      <w:bookmarkStart w:id="30" w:name="_Toc8327"/>
      <w:bookmarkStart w:id="31" w:name="_Toc26269"/>
      <w:bookmarkStart w:id="32" w:name="_Toc12095"/>
      <w:r>
        <w:rPr>
          <w:rFonts w:hint="eastAsia" w:ascii="宋体" w:hAnsi="宋体" w:eastAsia="宋体" w:cs="宋体"/>
          <w:sz w:val="24"/>
          <w:szCs w:val="24"/>
        </w:rPr>
        <w:t>&lt;供应商须知前附表&gt;</w:t>
      </w:r>
      <w:bookmarkEnd w:id="29"/>
      <w:bookmarkEnd w:id="30"/>
      <w:bookmarkEnd w:id="31"/>
      <w:bookmarkEnd w:id="32"/>
    </w:p>
    <w:tbl>
      <w:tblPr>
        <w:tblStyle w:val="2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beforeAutospacing="0" w:line="240" w:lineRule="auto"/>
              <w:jc w:val="center"/>
              <w:rPr>
                <w:rFonts w:hint="eastAsia" w:ascii="宋体" w:hAnsi="宋体" w:eastAsia="宋体" w:cs="宋体"/>
                <w:color w:val="auto"/>
                <w:kern w:val="0"/>
                <w:sz w:val="21"/>
                <w:szCs w:val="21"/>
                <w:highlight w:val="none"/>
              </w:rPr>
            </w:pPr>
            <w:bookmarkStart w:id="33" w:name="_Toc269470294"/>
            <w:bookmarkStart w:id="34" w:name="_Toc270604575"/>
            <w:bookmarkStart w:id="35" w:name="_Toc9382"/>
            <w:r>
              <w:rPr>
                <w:rFonts w:hint="eastAsia" w:ascii="宋体" w:hAnsi="宋体" w:eastAsia="宋体" w:cs="宋体"/>
                <w:color w:val="auto"/>
                <w:kern w:val="0"/>
                <w:sz w:val="21"/>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66F9779">
            <w:pPr>
              <w:widowControl/>
              <w:snapToGrid w:val="0"/>
              <w:spacing w:line="440" w:lineRule="exact"/>
              <w:jc w:val="left"/>
              <w:outlineLvl w:val="0"/>
              <w:rPr>
                <w:rFonts w:hint="eastAsia" w:ascii="宋体" w:hAnsi="宋体" w:eastAsia="宋体" w:cs="宋体"/>
                <w:color w:val="auto"/>
                <w:sz w:val="21"/>
                <w:szCs w:val="21"/>
                <w:highlight w:val="none"/>
                <w:lang w:val="en-US" w:eastAsia="zh-CN"/>
              </w:rPr>
            </w:pPr>
            <w:bookmarkStart w:id="36" w:name="_Toc21994"/>
            <w:bookmarkStart w:id="37" w:name="_Toc11080"/>
            <w:bookmarkStart w:id="38" w:name="_Toc31727"/>
            <w:bookmarkStart w:id="39" w:name="_Toc9566"/>
            <w:bookmarkStart w:id="40" w:name="_Toc27817"/>
            <w:bookmarkStart w:id="41" w:name="_Toc24968"/>
            <w:bookmarkStart w:id="42" w:name="_Toc21083"/>
            <w:bookmarkStart w:id="43" w:name="_Toc30169"/>
            <w:bookmarkStart w:id="44" w:name="_Toc27740"/>
            <w:bookmarkStart w:id="45" w:name="_Toc31122"/>
            <w:bookmarkStart w:id="46" w:name="_Toc22577"/>
            <w:bookmarkStart w:id="47" w:name="_Toc26910"/>
            <w:bookmarkStart w:id="48" w:name="_Toc9357"/>
            <w:r>
              <w:rPr>
                <w:rFonts w:hint="eastAsia" w:ascii="宋体" w:hAnsi="宋体" w:eastAsia="宋体" w:cs="宋体"/>
                <w:color w:val="auto"/>
                <w:sz w:val="21"/>
                <w:szCs w:val="21"/>
                <w:highlight w:val="none"/>
              </w:rPr>
              <w:t>1.1项目名称：</w:t>
            </w:r>
            <w:bookmarkEnd w:id="36"/>
            <w:bookmarkEnd w:id="37"/>
            <w:bookmarkEnd w:id="38"/>
            <w:bookmarkEnd w:id="39"/>
            <w:bookmarkEnd w:id="40"/>
            <w:bookmarkEnd w:id="41"/>
            <w:bookmarkEnd w:id="42"/>
            <w:bookmarkEnd w:id="43"/>
            <w:bookmarkEnd w:id="44"/>
            <w:bookmarkEnd w:id="45"/>
            <w:bookmarkEnd w:id="46"/>
            <w:bookmarkStart w:id="49" w:name="_Toc29400"/>
            <w:bookmarkStart w:id="50" w:name="_Toc28320"/>
            <w:bookmarkStart w:id="51" w:name="_Toc23424"/>
            <w:bookmarkStart w:id="52" w:name="_Toc16110"/>
            <w:bookmarkStart w:id="53" w:name="_Toc13960"/>
            <w:bookmarkStart w:id="54" w:name="_Toc17150"/>
            <w:bookmarkStart w:id="55" w:name="_Toc31384"/>
            <w:bookmarkStart w:id="56" w:name="_Toc32551"/>
            <w:bookmarkStart w:id="57" w:name="_Toc29895"/>
            <w:bookmarkStart w:id="58" w:name="_Toc21372"/>
            <w:bookmarkStart w:id="59" w:name="_Toc9342"/>
            <w:r>
              <w:rPr>
                <w:rFonts w:hint="eastAsia" w:ascii="宋体" w:hAnsi="宋体" w:eastAsia="宋体" w:cs="宋体"/>
                <w:color w:val="auto"/>
                <w:sz w:val="21"/>
                <w:szCs w:val="21"/>
                <w:highlight w:val="none"/>
                <w:lang w:val="en-US" w:eastAsia="zh-CN"/>
              </w:rPr>
              <w:t>驻马店市中心医院活度计、等离子体射频手术系统等医疗设备采购项目（四次）（活度计）</w:t>
            </w:r>
            <w:bookmarkEnd w:id="47"/>
          </w:p>
          <w:p w14:paraId="710A5111">
            <w:pPr>
              <w:widowControl/>
              <w:snapToGrid w:val="0"/>
              <w:spacing w:line="440" w:lineRule="exact"/>
              <w:jc w:val="left"/>
              <w:outlineLvl w:val="0"/>
              <w:rPr>
                <w:rFonts w:hint="eastAsia" w:ascii="宋体" w:hAnsi="宋体" w:eastAsia="宋体" w:cs="宋体"/>
                <w:color w:val="auto"/>
                <w:sz w:val="21"/>
                <w:szCs w:val="21"/>
                <w:highlight w:val="none"/>
              </w:rPr>
            </w:pPr>
            <w:bookmarkStart w:id="60" w:name="_Toc4542"/>
            <w:r>
              <w:rPr>
                <w:rFonts w:hint="eastAsia" w:ascii="宋体" w:hAnsi="宋体" w:eastAsia="宋体" w:cs="宋体"/>
                <w:color w:val="auto"/>
                <w:sz w:val="21"/>
                <w:szCs w:val="21"/>
                <w:highlight w:val="none"/>
              </w:rPr>
              <w:t>1.2采购人名称：</w:t>
            </w:r>
            <w:bookmarkEnd w:id="49"/>
            <w:bookmarkEnd w:id="50"/>
            <w:bookmarkEnd w:id="51"/>
            <w:r>
              <w:rPr>
                <w:rFonts w:hint="eastAsia" w:ascii="宋体" w:hAnsi="宋体" w:eastAsia="宋体" w:cs="宋体"/>
                <w:color w:val="auto"/>
                <w:sz w:val="21"/>
                <w:szCs w:val="21"/>
                <w:highlight w:val="none"/>
              </w:rPr>
              <w:t>驻马店市中心医院</w:t>
            </w:r>
            <w:bookmarkEnd w:id="48"/>
            <w:bookmarkEnd w:id="52"/>
            <w:bookmarkEnd w:id="53"/>
            <w:bookmarkEnd w:id="54"/>
            <w:bookmarkEnd w:id="55"/>
            <w:bookmarkEnd w:id="56"/>
            <w:bookmarkEnd w:id="57"/>
            <w:bookmarkEnd w:id="58"/>
            <w:bookmarkEnd w:id="59"/>
            <w:bookmarkEnd w:id="60"/>
          </w:p>
          <w:p w14:paraId="0043921C">
            <w:pPr>
              <w:widowControl/>
              <w:snapToGrid w:val="0"/>
              <w:spacing w:line="440" w:lineRule="exact"/>
              <w:jc w:val="left"/>
              <w:outlineLvl w:val="0"/>
              <w:rPr>
                <w:rFonts w:hint="eastAsia" w:ascii="宋体" w:hAnsi="宋体" w:eastAsia="宋体" w:cs="宋体"/>
                <w:color w:val="auto"/>
                <w:kern w:val="2"/>
                <w:sz w:val="21"/>
                <w:szCs w:val="21"/>
                <w:highlight w:val="none"/>
                <w:lang w:val="en-US" w:eastAsia="zh-CN" w:bidi="ar-SA"/>
              </w:rPr>
            </w:pPr>
            <w:bookmarkStart w:id="61" w:name="_Toc27606"/>
            <w:bookmarkStart w:id="62" w:name="_Toc3148"/>
            <w:bookmarkStart w:id="63" w:name="_Toc1096"/>
            <w:bookmarkStart w:id="64" w:name="_Toc5153"/>
            <w:bookmarkStart w:id="65" w:name="_Toc29780"/>
            <w:bookmarkStart w:id="66" w:name="_Toc26199"/>
            <w:bookmarkStart w:id="67" w:name="_Toc9778"/>
            <w:bookmarkStart w:id="68" w:name="_Toc8379"/>
            <w:bookmarkStart w:id="69" w:name="_Toc11639"/>
            <w:bookmarkStart w:id="70" w:name="_Toc24541"/>
            <w:bookmarkStart w:id="71" w:name="_Toc12440"/>
            <w:bookmarkStart w:id="72" w:name="_Toc22834"/>
            <w:bookmarkStart w:id="73" w:name="_Toc4944"/>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采购范围：详</w:t>
            </w:r>
            <w:r>
              <w:rPr>
                <w:rFonts w:hint="eastAsia" w:ascii="宋体" w:hAnsi="宋体" w:eastAsia="宋体" w:cs="宋体"/>
                <w:color w:val="auto"/>
                <w:sz w:val="21"/>
                <w:szCs w:val="21"/>
                <w:highlight w:val="none"/>
                <w:lang w:val="en-US" w:eastAsia="zh-CN"/>
              </w:rPr>
              <w:t>见第二章采购</w:t>
            </w:r>
            <w:r>
              <w:rPr>
                <w:rFonts w:hint="eastAsia" w:ascii="宋体" w:hAnsi="宋体" w:eastAsia="宋体" w:cs="宋体"/>
                <w:color w:val="auto"/>
                <w:sz w:val="21"/>
                <w:szCs w:val="21"/>
                <w:highlight w:val="none"/>
              </w:rPr>
              <w:t>需求</w:t>
            </w:r>
            <w:bookmarkEnd w:id="61"/>
            <w:bookmarkEnd w:id="62"/>
            <w:bookmarkEnd w:id="63"/>
            <w:bookmarkEnd w:id="64"/>
            <w:bookmarkEnd w:id="65"/>
            <w:bookmarkEnd w:id="66"/>
            <w:bookmarkEnd w:id="67"/>
            <w:bookmarkEnd w:id="68"/>
            <w:bookmarkEnd w:id="69"/>
            <w:bookmarkEnd w:id="70"/>
            <w:bookmarkEnd w:id="71"/>
            <w:bookmarkEnd w:id="72"/>
            <w:bookmarkEnd w:id="73"/>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合格</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：具备</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公告第二项规定的条件。</w:t>
            </w:r>
          </w:p>
        </w:tc>
      </w:tr>
      <w:tr w14:paraId="165CED55">
        <w:tblPrEx>
          <w:tblCellMar>
            <w:top w:w="0" w:type="dxa"/>
            <w:left w:w="0" w:type="dxa"/>
            <w:bottom w:w="0" w:type="dxa"/>
            <w:right w:w="0" w:type="dxa"/>
          </w:tblCellMar>
        </w:tblPrEx>
        <w:trPr>
          <w:trHeight w:val="38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6FCBDE">
            <w:pPr>
              <w:widowControl/>
              <w:snapToGrid w:val="0"/>
              <w:spacing w:line="440" w:lineRule="exact"/>
              <w:jc w:val="lef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rPr>
              <w:t>采购预算</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7万元</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最高投标限价</w:t>
            </w:r>
            <w:r>
              <w:rPr>
                <w:rFonts w:hint="eastAsia" w:ascii="宋体" w:hAnsi="宋体" w:eastAsia="宋体" w:cs="宋体"/>
                <w:color w:val="auto"/>
                <w:kern w:val="0"/>
                <w:sz w:val="21"/>
                <w:szCs w:val="21"/>
                <w:highlight w:val="none"/>
                <w:lang w:val="en-US" w:eastAsia="zh-CN"/>
              </w:rPr>
              <w:t>:7万元</w:t>
            </w:r>
            <w:r>
              <w:rPr>
                <w:rFonts w:hint="eastAsia" w:ascii="宋体" w:hAnsi="宋体" w:eastAsia="宋体" w:cs="宋体"/>
                <w:color w:val="auto"/>
                <w:sz w:val="21"/>
                <w:szCs w:val="21"/>
                <w:highlight w:val="none"/>
                <w:lang w:val="en-US" w:eastAsia="zh-CN"/>
              </w:rPr>
              <w:t>。</w:t>
            </w:r>
          </w:p>
          <w:p w14:paraId="5D629BDA">
            <w:pPr>
              <w:widowControl/>
              <w:snapToGrid w:val="0"/>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 本项目</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000000" w:themeColor="text1"/>
                <w:kern w:val="0"/>
                <w:sz w:val="21"/>
                <w:szCs w:val="21"/>
                <w:highlight w:val="none"/>
                <w14:textFill>
                  <w14:solidFill>
                    <w14:schemeClr w14:val="tx1"/>
                  </w14:solidFill>
                </w14:textFill>
              </w:rPr>
              <w:t>以人民币报价</w:t>
            </w:r>
            <w:r>
              <w:rPr>
                <w:rFonts w:hint="eastAsia" w:ascii="宋体" w:hAnsi="宋体" w:eastAsia="宋体" w:cs="宋体"/>
                <w:color w:val="auto"/>
                <w:kern w:val="0"/>
                <w:sz w:val="21"/>
                <w:szCs w:val="21"/>
                <w:highlight w:val="none"/>
              </w:rPr>
              <w:t>。</w:t>
            </w:r>
          </w:p>
          <w:p w14:paraId="41509E83">
            <w:pPr>
              <w:widowControl/>
              <w:snapToGrid w:val="0"/>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 供应商的报价超过采购预算，采购人不能支付的，按废标处理。</w:t>
            </w:r>
          </w:p>
          <w:p w14:paraId="35E9519C">
            <w:pPr>
              <w:widowControl/>
              <w:snapToGrid w:val="0"/>
              <w:spacing w:line="44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3.3 本项目</w:t>
            </w:r>
            <w:r>
              <w:rPr>
                <w:rFonts w:hint="eastAsia" w:ascii="宋体" w:hAnsi="宋体" w:eastAsia="宋体" w:cs="宋体"/>
                <w:color w:val="auto"/>
                <w:kern w:val="0"/>
                <w:sz w:val="21"/>
                <w:szCs w:val="21"/>
                <w:highlight w:val="none"/>
                <w:lang w:val="en-US" w:eastAsia="zh-CN"/>
              </w:rPr>
              <w:t>由成交供应商缴纳</w:t>
            </w:r>
            <w:r>
              <w:rPr>
                <w:rFonts w:hint="eastAsia" w:ascii="宋体" w:hAnsi="宋体" w:eastAsia="宋体" w:cs="宋体"/>
                <w:color w:val="auto"/>
                <w:kern w:val="0"/>
                <w:sz w:val="21"/>
                <w:szCs w:val="21"/>
                <w:highlight w:val="none"/>
              </w:rPr>
              <w:t>招标代理服务费。</w:t>
            </w:r>
          </w:p>
          <w:tbl>
            <w:tblPr>
              <w:tblStyle w:val="23"/>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50800</wp:posOffset>
                            </wp:positionH>
                            <wp:positionV relativeFrom="paragraph">
                              <wp:posOffset>314960</wp:posOffset>
                            </wp:positionV>
                            <wp:extent cx="1074420" cy="285750"/>
                            <wp:effectExtent l="0" t="0" r="11430" b="0"/>
                            <wp:wrapNone/>
                            <wp:docPr id="6" name="文本框 6"/>
                            <wp:cNvGraphicFramePr/>
                            <a:graphic xmlns:a="http://schemas.openxmlformats.org/drawingml/2006/main">
                              <a:graphicData uri="http://schemas.microsoft.com/office/word/2010/wordprocessingShape">
                                <wps:wsp>
                                  <wps:cNvSpPr txBox="1"/>
                                  <wps:spPr>
                                    <a:xfrm>
                                      <a:off x="1397000" y="5120640"/>
                                      <a:ext cx="107442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84.6pt;z-index:251662336;mso-width-relative:page;mso-height-relative:page;" fillcolor="#FFFFFF [3201]" filled="t" stroked="f" coordsize="21600,21600" o:gfxdata="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6gipJdMAAAAH&#10;AQAADwAAAAAAAAABACAAAAAiAAAAZHJzL2Rvd25yZXYueG1sUEsBAhQAFAAAAAgAh07iQI74w1la&#10;AgAAmwQAAA4AAAAAAAAAAQAgAAAAIgEAAGRycy9lMm9Eb2MueG1sUEsFBgAAAAAGAAYAWQEAAO4F&#10;A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476885</wp:posOffset>
                            </wp:positionH>
                            <wp:positionV relativeFrom="paragraph">
                              <wp:posOffset>97790</wp:posOffset>
                            </wp:positionV>
                            <wp:extent cx="1026795" cy="287020"/>
                            <wp:effectExtent l="0" t="0" r="1905" b="17780"/>
                            <wp:wrapNone/>
                            <wp:docPr id="7" name="文本框 7"/>
                            <wp:cNvGraphicFramePr/>
                            <a:graphic xmlns:a="http://schemas.openxmlformats.org/drawingml/2006/main">
                              <a:graphicData uri="http://schemas.microsoft.com/office/word/2010/wordprocessingShape">
                                <wps:wsp>
                                  <wps:cNvSpPr txBox="1"/>
                                  <wps:spPr>
                                    <a:xfrm>
                                      <a:off x="1673225" y="4735830"/>
                                      <a:ext cx="1026795" cy="2870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55pt;margin-top:7.7pt;height:22.6pt;width:80.85pt;z-index:251661312;mso-width-relative:page;mso-height-relative:page;" fillcolor="#FFFFFF [3201]" filled="t" stroked="f" coordsize="21600,21600" o:gfxdata="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XYQDTU&#10;AAAACAEAAA8AAAAAAAAAAQAgAAAAIgAAAGRycy9kb3ducmV2LnhtbFBLAQIUABQAAAAIAIdO4kAy&#10;T0MIXQIAAJsEAAAOAAAAAAAAAAEAIAAAACMBAABkcnMvZTJvRG9jLnhtbFBLBQYAAAAABgAGAFkB&#10;AADy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1.0%</w:t>
                  </w:r>
                </w:p>
              </w:tc>
            </w:tr>
          </w:tbl>
          <w:p w14:paraId="17E8F5D0">
            <w:pPr>
              <w:widowControl/>
              <w:snapToGrid w:val="0"/>
              <w:spacing w:line="440" w:lineRule="exact"/>
              <w:jc w:val="left"/>
              <w:rPr>
                <w:rFonts w:hint="eastAsia" w:ascii="宋体" w:hAnsi="宋体" w:eastAsia="宋体" w:cs="宋体"/>
                <w:color w:val="auto"/>
                <w:kern w:val="0"/>
                <w:sz w:val="21"/>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文件组成：纸质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文件正本1份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副本2份</w:t>
            </w:r>
            <w:r>
              <w:rPr>
                <w:rFonts w:hint="eastAsia" w:ascii="宋体" w:hAnsi="宋体" w:eastAsia="宋体" w:cs="宋体"/>
                <w:color w:val="auto"/>
                <w:sz w:val="21"/>
                <w:szCs w:val="21"/>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截止时间</w:t>
            </w:r>
            <w:r>
              <w:rPr>
                <w:rFonts w:hint="eastAsia" w:ascii="宋体" w:hAnsi="宋体" w:eastAsia="宋体" w:cs="宋体"/>
                <w:color w:val="auto"/>
                <w:kern w:val="0"/>
                <w:sz w:val="21"/>
                <w:szCs w:val="21"/>
                <w:highlight w:val="none"/>
                <w:lang w:val="en-US" w:eastAsia="zh-CN"/>
              </w:rPr>
              <w:t>及开标时间</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另行通知</w:t>
            </w:r>
            <w:r>
              <w:rPr>
                <w:rFonts w:hint="eastAsia" w:ascii="宋体" w:hAnsi="宋体" w:cs="宋体"/>
                <w:color w:val="auto"/>
                <w:sz w:val="21"/>
                <w:szCs w:val="21"/>
                <w:highlight w:val="none"/>
                <w:lang w:val="en-US" w:eastAsia="zh-CN"/>
              </w:rPr>
              <w:t>。</w:t>
            </w:r>
          </w:p>
          <w:p w14:paraId="2952A193">
            <w:pPr>
              <w:widowControl/>
              <w:snapToGrid w:val="0"/>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文件递交地点</w:t>
            </w:r>
            <w:r>
              <w:rPr>
                <w:rFonts w:hint="eastAsia" w:ascii="宋体" w:hAnsi="宋体" w:eastAsia="宋体" w:cs="宋体"/>
                <w:color w:val="auto"/>
                <w:kern w:val="0"/>
                <w:sz w:val="21"/>
                <w:szCs w:val="21"/>
                <w:highlight w:val="none"/>
                <w:lang w:val="en-US" w:eastAsia="zh-CN"/>
              </w:rPr>
              <w:t>及开标地点</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另行通知</w:t>
            </w:r>
            <w:r>
              <w:rPr>
                <w:rFonts w:hint="eastAsia" w:ascii="宋体" w:hAnsi="宋体" w:eastAsia="宋体" w:cs="宋体"/>
                <w:color w:val="auto"/>
                <w:kern w:val="0"/>
                <w:sz w:val="21"/>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成</w:t>
            </w:r>
            <w:r>
              <w:rPr>
                <w:rFonts w:hint="eastAsia" w:ascii="宋体" w:hAnsi="宋体" w:eastAsia="宋体" w:cs="宋体"/>
                <w:color w:val="auto"/>
                <w:kern w:val="0"/>
                <w:sz w:val="21"/>
                <w:szCs w:val="21"/>
                <w:highlight w:val="none"/>
              </w:rPr>
              <w:t>员：</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及以上单数</w:t>
            </w:r>
            <w:r>
              <w:rPr>
                <w:rFonts w:hint="eastAsia" w:ascii="宋体" w:hAnsi="宋体" w:eastAsia="宋体" w:cs="宋体"/>
                <w:color w:val="auto"/>
                <w:kern w:val="0"/>
                <w:sz w:val="21"/>
                <w:szCs w:val="21"/>
                <w:highlight w:val="none"/>
              </w:rPr>
              <w:t>。</w:t>
            </w:r>
          </w:p>
          <w:p w14:paraId="05D582FC">
            <w:pPr>
              <w:widowControl/>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专家确定方式：</w:t>
            </w:r>
            <w:r>
              <w:rPr>
                <w:rFonts w:hint="eastAsia" w:ascii="宋体" w:hAnsi="宋体" w:eastAsia="宋体" w:cs="宋体"/>
                <w:color w:val="auto"/>
                <w:kern w:val="0"/>
                <w:sz w:val="21"/>
                <w:szCs w:val="21"/>
                <w:highlight w:val="none"/>
              </w:rPr>
              <w:t>由评审专家、采购人代表</w:t>
            </w:r>
            <w:r>
              <w:rPr>
                <w:rFonts w:hint="eastAsia" w:ascii="宋体" w:hAnsi="宋体" w:eastAsia="宋体" w:cs="宋体"/>
                <w:color w:val="auto"/>
                <w:kern w:val="0"/>
                <w:sz w:val="21"/>
                <w:szCs w:val="21"/>
                <w:highlight w:val="none"/>
                <w:lang w:val="en-US" w:eastAsia="zh-CN"/>
              </w:rPr>
              <w:t>组成</w:t>
            </w:r>
            <w:r>
              <w:rPr>
                <w:rFonts w:hint="eastAsia" w:ascii="宋体" w:hAnsi="宋体" w:cs="宋体"/>
                <w:color w:val="auto"/>
                <w:kern w:val="0"/>
                <w:sz w:val="21"/>
                <w:szCs w:val="21"/>
                <w:highlight w:val="none"/>
                <w:lang w:val="en-US" w:eastAsia="zh-CN"/>
              </w:rPr>
              <w:t>。</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评标办法：</w:t>
            </w:r>
            <w:r>
              <w:rPr>
                <w:rFonts w:hint="eastAsia" w:ascii="宋体" w:hAnsi="宋体" w:eastAsia="宋体" w:cs="宋体"/>
                <w:color w:val="auto"/>
                <w:kern w:val="0"/>
                <w:sz w:val="21"/>
                <w:szCs w:val="21"/>
                <w:highlight w:val="none"/>
              </w:rPr>
              <w:t>本项目采用</w:t>
            </w:r>
            <w:r>
              <w:rPr>
                <w:rFonts w:hint="eastAsia" w:ascii="宋体" w:hAnsi="宋体" w:eastAsia="宋体" w:cs="宋体"/>
                <w:color w:val="auto"/>
                <w:sz w:val="21"/>
                <w:szCs w:val="21"/>
                <w:highlight w:val="none"/>
              </w:rPr>
              <w:t>综合评分法</w:t>
            </w:r>
            <w:r>
              <w:rPr>
                <w:rFonts w:hint="eastAsia" w:ascii="宋体" w:hAnsi="宋体" w:eastAsia="宋体" w:cs="宋体"/>
                <w:color w:val="auto"/>
                <w:kern w:val="0"/>
                <w:sz w:val="21"/>
                <w:szCs w:val="21"/>
                <w:highlight w:val="none"/>
              </w:rPr>
              <w:t>。</w:t>
            </w:r>
          </w:p>
        </w:tc>
      </w:tr>
      <w:tr w14:paraId="12DC5000">
        <w:tblPrEx>
          <w:tblCellMar>
            <w:top w:w="0" w:type="dxa"/>
            <w:left w:w="0" w:type="dxa"/>
            <w:bottom w:w="0" w:type="dxa"/>
            <w:right w:w="0" w:type="dxa"/>
          </w:tblCellMar>
        </w:tblPrEx>
        <w:trPr>
          <w:trHeight w:val="32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公告及</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通知书：由采购人授权</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小组确定一名</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并推荐</w:t>
            </w: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名</w:t>
            </w:r>
            <w:r>
              <w:rPr>
                <w:rFonts w:hint="eastAsia" w:ascii="宋体" w:hAnsi="宋体" w:eastAsia="宋体" w:cs="宋体"/>
                <w:color w:val="auto"/>
                <w:kern w:val="0"/>
                <w:sz w:val="21"/>
                <w:szCs w:val="21"/>
                <w:highlight w:val="none"/>
                <w:lang w:eastAsia="zh-CN"/>
              </w:rPr>
              <w:t>成交候选供应商</w:t>
            </w:r>
            <w:r>
              <w:rPr>
                <w:rFonts w:hint="eastAsia" w:ascii="宋体" w:hAnsi="宋体" w:eastAsia="宋体" w:cs="宋体"/>
                <w:color w:val="auto"/>
                <w:kern w:val="0"/>
                <w:sz w:val="21"/>
                <w:szCs w:val="21"/>
                <w:highlight w:val="none"/>
              </w:rPr>
              <w:t>。评审结束后在《驻马店市中心医院》官网上发布成交公告，公示期结束后向</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签订合同：自</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发出之日起</w:t>
            </w:r>
            <w:r>
              <w:rPr>
                <w:rFonts w:hint="eastAsia" w:ascii="宋体" w:hAnsi="宋体" w:eastAsia="宋体" w:cs="宋体"/>
                <w:color w:val="auto"/>
                <w:kern w:val="0"/>
                <w:sz w:val="21"/>
                <w:szCs w:val="21"/>
                <w:highlight w:val="none"/>
                <w:lang w:val="en-US" w:eastAsia="zh-CN"/>
              </w:rPr>
              <w:t>30日</w:t>
            </w:r>
            <w:r>
              <w:rPr>
                <w:rFonts w:hint="eastAsia" w:ascii="宋体" w:hAnsi="宋体" w:eastAsia="宋体" w:cs="宋体"/>
                <w:color w:val="auto"/>
                <w:kern w:val="0"/>
                <w:sz w:val="21"/>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采购资金来源：</w:t>
            </w:r>
            <w:r>
              <w:rPr>
                <w:rFonts w:hint="eastAsia" w:ascii="宋体" w:hAnsi="宋体" w:eastAsia="宋体" w:cs="宋体"/>
                <w:color w:val="auto"/>
                <w:kern w:val="0"/>
                <w:sz w:val="21"/>
                <w:szCs w:val="21"/>
                <w:highlight w:val="none"/>
                <w:lang w:val="en-US" w:eastAsia="zh-CN"/>
              </w:rPr>
              <w:t>自筹资金</w:t>
            </w:r>
            <w:r>
              <w:rPr>
                <w:rFonts w:hint="eastAsia" w:ascii="宋体" w:hAnsi="宋体" w:eastAsia="宋体" w:cs="宋体"/>
                <w:color w:val="auto"/>
                <w:kern w:val="0"/>
                <w:sz w:val="21"/>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付款方式：详见第二章</w:t>
            </w:r>
            <w:r>
              <w:rPr>
                <w:rFonts w:hint="eastAsia" w:ascii="宋体" w:hAnsi="宋体" w:eastAsia="宋体" w:cs="宋体"/>
                <w:color w:val="auto"/>
                <w:kern w:val="0"/>
                <w:sz w:val="21"/>
                <w:szCs w:val="21"/>
                <w:highlight w:val="none"/>
                <w:lang w:val="en-US" w:eastAsia="zh-CN"/>
              </w:rPr>
              <w:t>采购需求商务要求</w:t>
            </w:r>
            <w:r>
              <w:rPr>
                <w:rFonts w:hint="eastAsia" w:ascii="宋体" w:hAnsi="宋体" w:eastAsia="宋体" w:cs="宋体"/>
                <w:color w:val="auto"/>
                <w:kern w:val="0"/>
                <w:sz w:val="21"/>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有效期：</w:t>
            </w:r>
            <w:r>
              <w:rPr>
                <w:rFonts w:hint="eastAsia" w:ascii="宋体" w:hAnsi="宋体" w:eastAsia="宋体" w:cs="宋体"/>
                <w:color w:val="auto"/>
                <w:kern w:val="0"/>
                <w:sz w:val="21"/>
                <w:szCs w:val="21"/>
                <w:highlight w:val="none"/>
                <w:lang w:val="en-US" w:eastAsia="zh-CN"/>
              </w:rPr>
              <w:t>响应文件递交</w:t>
            </w:r>
            <w:r>
              <w:rPr>
                <w:rFonts w:hint="eastAsia" w:ascii="宋体" w:hAnsi="宋体" w:eastAsia="宋体" w:cs="宋体"/>
                <w:color w:val="auto"/>
                <w:kern w:val="0"/>
                <w:sz w:val="21"/>
                <w:szCs w:val="21"/>
                <w:highlight w:val="none"/>
              </w:rPr>
              <w:t>截止期结束后</w:t>
            </w: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谈判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 w:val="21"/>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质疑和投诉：供应商认为</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bCs/>
                <w:color w:val="auto"/>
                <w:kern w:val="0"/>
                <w:sz w:val="21"/>
                <w:szCs w:val="21"/>
                <w:highlight w:val="none"/>
              </w:rPr>
              <w:t>文件使自己的合法权益受到损害的，</w:t>
            </w:r>
            <w:r>
              <w:rPr>
                <w:rFonts w:hint="eastAsia" w:ascii="宋体" w:hAnsi="宋体" w:eastAsia="宋体" w:cs="宋体"/>
                <w:color w:val="auto"/>
                <w:kern w:val="0"/>
                <w:sz w:val="21"/>
                <w:szCs w:val="21"/>
                <w:highlight w:val="none"/>
              </w:rPr>
              <w:t>应当在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公告期限届满之日(或收到</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文件之日)起</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个工作日之内向</w:t>
            </w:r>
            <w:r>
              <w:rPr>
                <w:rFonts w:hint="eastAsia" w:ascii="宋体" w:hAnsi="宋体" w:eastAsia="宋体" w:cs="宋体"/>
                <w:bCs/>
                <w:color w:val="auto"/>
                <w:kern w:val="0"/>
                <w:sz w:val="21"/>
                <w:szCs w:val="21"/>
                <w:highlight w:val="none"/>
              </w:rPr>
              <w:t>采购人提出质疑；供应商认为</w:t>
            </w:r>
            <w:r>
              <w:rPr>
                <w:rFonts w:hint="eastAsia" w:ascii="宋体" w:hAnsi="宋体" w:eastAsia="宋体" w:cs="宋体"/>
                <w:bCs/>
                <w:color w:val="auto"/>
                <w:kern w:val="0"/>
                <w:sz w:val="21"/>
                <w:szCs w:val="21"/>
                <w:highlight w:val="none"/>
                <w:lang w:eastAsia="zh-CN"/>
              </w:rPr>
              <w:t>谈判</w:t>
            </w:r>
            <w:r>
              <w:rPr>
                <w:rFonts w:hint="eastAsia" w:ascii="宋体" w:hAnsi="宋体" w:eastAsia="宋体" w:cs="宋体"/>
                <w:bCs/>
                <w:color w:val="auto"/>
                <w:kern w:val="0"/>
                <w:sz w:val="21"/>
                <w:szCs w:val="21"/>
                <w:highlight w:val="none"/>
              </w:rPr>
              <w:t>过程和</w:t>
            </w:r>
            <w:r>
              <w:rPr>
                <w:rFonts w:hint="eastAsia" w:ascii="宋体" w:hAnsi="宋体" w:eastAsia="宋体" w:cs="宋体"/>
                <w:bCs/>
                <w:color w:val="auto"/>
                <w:kern w:val="0"/>
                <w:sz w:val="21"/>
                <w:szCs w:val="21"/>
                <w:highlight w:val="none"/>
                <w:lang w:val="en-US" w:eastAsia="zh-CN"/>
              </w:rPr>
              <w:t>成交</w:t>
            </w:r>
            <w:r>
              <w:rPr>
                <w:rFonts w:hint="eastAsia" w:ascii="宋体" w:hAnsi="宋体" w:eastAsia="宋体" w:cs="宋体"/>
                <w:bCs/>
                <w:color w:val="auto"/>
                <w:kern w:val="0"/>
                <w:sz w:val="21"/>
                <w:szCs w:val="21"/>
                <w:highlight w:val="none"/>
              </w:rPr>
              <w:t>结果使自己的合法权益受到损害的，应当在知道或者应知其权益受到损害之日起</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个工作日内提出质疑。</w:t>
            </w:r>
            <w:r>
              <w:rPr>
                <w:rFonts w:hint="eastAsia" w:ascii="宋体" w:hAnsi="宋体" w:eastAsia="宋体" w:cs="宋体"/>
                <w:color w:val="auto"/>
                <w:kern w:val="0"/>
                <w:sz w:val="21"/>
                <w:szCs w:val="21"/>
                <w:highlight w:val="none"/>
              </w:rPr>
              <w:t>逾期不再受理,</w:t>
            </w:r>
            <w:r>
              <w:rPr>
                <w:rFonts w:hint="eastAsia" w:ascii="宋体" w:hAnsi="宋体" w:eastAsia="宋体" w:cs="宋体"/>
                <w:bCs/>
                <w:color w:val="auto"/>
                <w:kern w:val="0"/>
                <w:sz w:val="21"/>
                <w:szCs w:val="21"/>
                <w:highlight w:val="none"/>
              </w:rPr>
              <w:t>供应商在法定质疑期内应一次性提出针对同一采购环节的质疑</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kern w:val="0"/>
                <w:sz w:val="21"/>
                <w:szCs w:val="21"/>
                <w:highlight w:val="none"/>
              </w:rPr>
              <w:t>供应商对</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的质疑答复不满意,或</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未在规定时间内作出答复的，可以在答复期满后15个工作日内向</w:t>
            </w:r>
            <w:r>
              <w:rPr>
                <w:rFonts w:hint="eastAsia" w:ascii="宋体" w:hAnsi="宋体" w:eastAsia="宋体" w:cs="宋体"/>
                <w:color w:val="auto"/>
                <w:kern w:val="0"/>
                <w:sz w:val="21"/>
                <w:szCs w:val="21"/>
                <w:highlight w:val="none"/>
                <w:lang w:val="en-US" w:eastAsia="zh-CN"/>
              </w:rPr>
              <w:t>医院纪检</w:t>
            </w:r>
            <w:r>
              <w:rPr>
                <w:rFonts w:hint="eastAsia" w:ascii="宋体" w:hAnsi="宋体" w:eastAsia="宋体" w:cs="宋体"/>
                <w:color w:val="auto"/>
                <w:kern w:val="0"/>
                <w:sz w:val="21"/>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解释：1、构成本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文件中有特殊规定外，仅适用于招标投标阶段的规定，按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公告、供应商须知、评标办法、</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文件格式的先后顺序解释；同一组成文件中就同一事项的规定或约定不一致的，以编排顺序在后者为准；当</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文件与</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文件解释权归采购人。</w:t>
            </w:r>
          </w:p>
        </w:tc>
      </w:tr>
    </w:tbl>
    <w:p w14:paraId="4E0CD0AE">
      <w:pPr>
        <w:keepNext w:val="0"/>
        <w:keepLines w:val="0"/>
        <w:pageBreakBefore w:val="0"/>
        <w:numPr>
          <w:ilvl w:val="0"/>
          <w:numId w:val="2"/>
        </w:numPr>
        <w:tabs>
          <w:tab w:val="left" w:pos="360"/>
        </w:tabs>
        <w:kinsoku/>
        <w:wordWrap/>
        <w:overflowPunct/>
        <w:topLinePunct w:val="0"/>
        <w:bidi w:val="0"/>
        <w:snapToGrid w:val="0"/>
        <w:spacing w:line="460" w:lineRule="exact"/>
        <w:textAlignment w:val="baseline"/>
        <w:outlineLvl w:val="1"/>
        <w:rPr>
          <w:rFonts w:hint="eastAsia" w:ascii="宋体" w:hAnsi="宋体" w:eastAsia="宋体" w:cs="宋体"/>
          <w:b/>
          <w:color w:val="000000"/>
          <w:sz w:val="24"/>
        </w:rPr>
        <w:sectPr>
          <w:pgSz w:w="12240" w:h="15840"/>
          <w:pgMar w:top="1440" w:right="1800" w:bottom="1440" w:left="1800" w:header="850" w:footer="1077" w:gutter="0"/>
          <w:pgNumType w:fmt="decimal"/>
          <w:cols w:space="0" w:num="1"/>
          <w:docGrid w:linePitch="312" w:charSpace="0"/>
        </w:sectPr>
      </w:pPr>
    </w:p>
    <w:bookmarkEnd w:id="33"/>
    <w:bookmarkEnd w:id="34"/>
    <w:bookmarkEnd w:id="35"/>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74" w:name="_Toc270604588"/>
      <w:bookmarkStart w:id="75" w:name="_Toc834"/>
      <w:r>
        <w:rPr>
          <w:rFonts w:hint="eastAsia" w:ascii="宋体" w:hAnsi="宋体" w:eastAsia="宋体" w:cs="宋体"/>
          <w:b/>
          <w:color w:val="000000"/>
          <w:sz w:val="24"/>
        </w:rPr>
        <w:t xml:space="preserve"> </w:t>
      </w: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文件仅适用于</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公告中所叙述项目的</w:t>
      </w:r>
      <w:r>
        <w:rPr>
          <w:rFonts w:hint="eastAsia" w:ascii="宋体" w:hAnsi="宋体" w:eastAsia="宋体" w:cs="宋体"/>
          <w:color w:val="auto"/>
          <w:kern w:val="0"/>
          <w:sz w:val="21"/>
          <w:szCs w:val="21"/>
          <w:highlight w:val="none"/>
          <w:lang w:eastAsia="zh-CN"/>
        </w:rPr>
        <w:t>货物</w:t>
      </w:r>
      <w:r>
        <w:rPr>
          <w:rFonts w:hint="eastAsia" w:ascii="宋体" w:hAnsi="宋体" w:eastAsia="宋体" w:cs="宋体"/>
          <w:color w:val="auto"/>
          <w:kern w:val="0"/>
          <w:sz w:val="21"/>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”系指</w:t>
      </w:r>
      <w:r>
        <w:rPr>
          <w:rFonts w:hint="eastAsia" w:ascii="宋体" w:hAnsi="宋体" w:eastAsia="宋体" w:cs="宋体"/>
          <w:color w:val="auto"/>
          <w:kern w:val="0"/>
          <w:sz w:val="21"/>
          <w:szCs w:val="21"/>
          <w:highlight w:val="none"/>
          <w:lang w:val="en-US" w:eastAsia="zh-CN"/>
        </w:rPr>
        <w:t>领取</w:t>
      </w:r>
      <w:r>
        <w:rPr>
          <w:rFonts w:hint="eastAsia" w:ascii="宋体" w:hAnsi="宋体" w:eastAsia="宋体" w:cs="宋体"/>
          <w:color w:val="auto"/>
          <w:kern w:val="0"/>
          <w:sz w:val="21"/>
          <w:szCs w:val="21"/>
          <w:highlight w:val="none"/>
        </w:rPr>
        <w:t>了本</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文件，且已经提交本次</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代表”系指代表</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参加本次</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活动的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 “货物”系指供应商按采购文件规定向采购人提供的一切设备、机械、仪器仪表、备品备件、工具、手册及其它有关技术资料和材料。</w:t>
      </w:r>
    </w:p>
    <w:p w14:paraId="7C251336">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预算金额：</w:t>
      </w:r>
      <w:r>
        <w:rPr>
          <w:rFonts w:hint="eastAsia" w:ascii="宋体" w:hAnsi="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lang w:val="en-US" w:eastAsia="zh-CN"/>
        </w:rPr>
        <w:t>万元；最高限价：</w:t>
      </w:r>
      <w:r>
        <w:rPr>
          <w:rFonts w:hint="eastAsia" w:ascii="宋体" w:hAnsi="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lang w:val="en-US" w:eastAsia="zh-CN"/>
        </w:rPr>
        <w:t>万元</w:t>
      </w:r>
      <w:r>
        <w:rPr>
          <w:rFonts w:hint="eastAsia" w:ascii="宋体" w:hAnsi="宋体" w:cs="宋体"/>
          <w:b/>
          <w:bCs/>
          <w:color w:val="auto"/>
          <w:kern w:val="0"/>
          <w:sz w:val="21"/>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4.</w:t>
      </w:r>
      <w:r>
        <w:rPr>
          <w:rFonts w:hint="eastAsia" w:ascii="宋体" w:hAnsi="宋体" w:eastAsia="宋体" w:cs="宋体"/>
          <w:b/>
          <w:bCs/>
          <w:color w:val="auto"/>
          <w:kern w:val="0"/>
          <w:sz w:val="21"/>
          <w:szCs w:val="21"/>
          <w:highlight w:val="none"/>
          <w:lang w:eastAsia="zh-CN"/>
        </w:rPr>
        <w:t>供应商</w:t>
      </w:r>
      <w:r>
        <w:rPr>
          <w:rFonts w:hint="eastAsia" w:ascii="宋体" w:hAnsi="宋体" w:eastAsia="宋体" w:cs="宋体"/>
          <w:b/>
          <w:bCs/>
          <w:color w:val="auto"/>
          <w:kern w:val="0"/>
          <w:sz w:val="21"/>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b w:val="0"/>
          <w:bCs w:val="0"/>
          <w:sz w:val="21"/>
          <w:szCs w:val="21"/>
          <w:lang w:val="en-US" w:eastAsia="zh-CN"/>
        </w:rPr>
        <w:t>具有独立承担民事责任的能力（提供营业执照或其他证明材料）</w:t>
      </w:r>
      <w:r>
        <w:rPr>
          <w:rFonts w:hint="eastAsia" w:ascii="宋体" w:hAnsi="宋体" w:cs="宋体"/>
          <w:color w:val="auto"/>
          <w:sz w:val="21"/>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lang w:val="en-US" w:eastAsia="zh-CN"/>
        </w:rPr>
        <w:t>2、具有良好的商业信誉和健全的财务会计制度</w:t>
      </w:r>
      <w:r>
        <w:rPr>
          <w:rFonts w:hint="eastAsia" w:ascii="宋体" w:hAnsi="宋体" w:cs="宋体"/>
          <w:color w:val="auto"/>
          <w:sz w:val="21"/>
          <w:szCs w:val="21"/>
          <w:highlight w:val="none"/>
          <w:shd w:val="clear" w:color="auto" w:fill="FFFFFF"/>
          <w:lang w:val="en-US" w:eastAsia="zh-CN"/>
        </w:rPr>
        <w:t>（提供经审计的2024年</w:t>
      </w:r>
      <w:r>
        <w:rPr>
          <w:rFonts w:hint="eastAsia" w:ascii="宋体" w:hAnsi="宋体" w:eastAsia="宋体" w:cs="宋体"/>
          <w:color w:val="auto"/>
          <w:sz w:val="21"/>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 w:val="21"/>
          <w:szCs w:val="21"/>
          <w:highlight w:val="none"/>
          <w:shd w:val="clear" w:color="auto" w:fill="FFFFFF"/>
          <w:lang w:val="en-US" w:eastAsia="zh-CN"/>
        </w:rPr>
        <w:t>采购活动近六个月任意一个月的依法缴纳税收和缴纳</w:t>
      </w:r>
      <w:r>
        <w:rPr>
          <w:rFonts w:hint="eastAsia" w:ascii="宋体" w:hAnsi="宋体" w:cs="宋体"/>
          <w:color w:val="auto"/>
          <w:sz w:val="21"/>
          <w:szCs w:val="21"/>
          <w:highlight w:val="none"/>
          <w:shd w:val="clear" w:color="auto" w:fill="FFFFFF"/>
          <w:lang w:val="en-US" w:eastAsia="zh-CN"/>
        </w:rPr>
        <w:t>社保</w:t>
      </w:r>
      <w:r>
        <w:rPr>
          <w:rFonts w:hint="eastAsia" w:ascii="宋体" w:hAnsi="宋体" w:eastAsia="宋体" w:cs="宋体"/>
          <w:color w:val="auto"/>
          <w:sz w:val="21"/>
          <w:szCs w:val="21"/>
          <w:highlight w:val="none"/>
          <w:shd w:val="clear" w:color="auto" w:fill="FFFFFF"/>
          <w:lang w:val="en-US" w:eastAsia="zh-CN"/>
        </w:rPr>
        <w:t>的</w:t>
      </w:r>
      <w:r>
        <w:rPr>
          <w:rFonts w:hint="eastAsia" w:ascii="宋体" w:hAnsi="宋体" w:cs="宋体"/>
          <w:color w:val="auto"/>
          <w:sz w:val="21"/>
          <w:szCs w:val="21"/>
          <w:highlight w:val="none"/>
          <w:shd w:val="clear" w:color="auto" w:fill="FFFFFF"/>
          <w:lang w:val="en-US" w:eastAsia="zh-CN"/>
        </w:rPr>
        <w:t>证明</w:t>
      </w:r>
      <w:r>
        <w:rPr>
          <w:rFonts w:hint="eastAsia" w:ascii="宋体" w:hAnsi="宋体" w:eastAsia="宋体" w:cs="宋体"/>
          <w:color w:val="auto"/>
          <w:sz w:val="21"/>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1"/>
          <w:szCs w:val="21"/>
          <w:highlight w:val="none"/>
          <w:shd w:val="clear" w:color="auto" w:fill="FFFFFF"/>
          <w:lang w:val="en-US" w:eastAsia="zh-CN"/>
        </w:rPr>
        <w:t>；</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4.4</w:t>
      </w:r>
      <w:r>
        <w:rPr>
          <w:rFonts w:hint="eastAsia" w:ascii="宋体" w:hAnsi="宋体" w:eastAsia="宋体" w:cs="宋体"/>
          <w:color w:val="auto"/>
          <w:sz w:val="21"/>
          <w:szCs w:val="21"/>
          <w:highlight w:val="none"/>
          <w:shd w:val="clear" w:color="auto" w:fill="FFFFFF"/>
          <w:lang w:val="en-US" w:eastAsia="zh-CN"/>
        </w:rPr>
        <w:t>、具有履行合同所必需的设备和专业技术能力（提供书面</w:t>
      </w:r>
      <w:r>
        <w:rPr>
          <w:rFonts w:hint="eastAsia" w:ascii="宋体" w:hAnsi="宋体" w:cs="宋体"/>
          <w:color w:val="auto"/>
          <w:sz w:val="21"/>
          <w:szCs w:val="21"/>
          <w:highlight w:val="none"/>
          <w:shd w:val="clear" w:color="auto" w:fill="FFFFFF"/>
          <w:lang w:val="en-US" w:eastAsia="zh-CN"/>
        </w:rPr>
        <w:t>承诺</w:t>
      </w:r>
      <w:r>
        <w:rPr>
          <w:rFonts w:hint="eastAsia" w:ascii="宋体" w:hAnsi="宋体" w:eastAsia="宋体" w:cs="宋体"/>
          <w:color w:val="auto"/>
          <w:sz w:val="21"/>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sz w:val="21"/>
          <w:szCs w:val="21"/>
          <w:highlight w:val="none"/>
          <w:lang w:val="en-US" w:eastAsia="zh-CN"/>
        </w:rPr>
      </w:pPr>
      <w:r>
        <w:rPr>
          <w:rFonts w:hint="eastAsia" w:ascii="宋体" w:hAnsi="宋体" w:cs="宋体"/>
          <w:color w:val="auto"/>
          <w:sz w:val="21"/>
          <w:szCs w:val="21"/>
          <w:highlight w:val="none"/>
          <w:shd w:val="clear" w:color="auto" w:fill="FFFFFF"/>
          <w:lang w:val="en-US" w:eastAsia="zh-CN"/>
        </w:rPr>
        <w:t>4.5</w:t>
      </w:r>
      <w:r>
        <w:rPr>
          <w:rFonts w:hint="eastAsia" w:ascii="宋体" w:hAnsi="宋体" w:eastAsia="宋体" w:cs="宋体"/>
          <w:color w:val="auto"/>
          <w:sz w:val="21"/>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 w:val="21"/>
          <w:szCs w:val="21"/>
          <w:highlight w:val="none"/>
          <w:shd w:val="clear" w:color="auto" w:fill="FFFFFF"/>
          <w:lang w:val="en-US" w:eastAsia="zh-CN"/>
        </w:rPr>
        <w:t>承诺</w:t>
      </w:r>
      <w:r>
        <w:rPr>
          <w:rFonts w:hint="eastAsia" w:ascii="宋体" w:hAnsi="宋体" w:eastAsia="宋体" w:cs="宋体"/>
          <w:color w:val="auto"/>
          <w:sz w:val="21"/>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4.6</w:t>
      </w:r>
      <w:r>
        <w:rPr>
          <w:rFonts w:hint="eastAsia" w:ascii="宋体" w:hAnsi="宋体" w:eastAsia="宋体" w:cs="宋体"/>
          <w:color w:val="auto"/>
          <w:sz w:val="21"/>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 w:val="21"/>
          <w:szCs w:val="21"/>
          <w:highlight w:val="none"/>
          <w:shd w:val="clear" w:color="auto" w:fill="FFFFFF"/>
          <w:lang w:val="en-US" w:eastAsia="zh-CN"/>
        </w:rPr>
        <w:t>提供在</w:t>
      </w:r>
      <w:r>
        <w:rPr>
          <w:rFonts w:hint="eastAsia" w:ascii="宋体" w:hAnsi="宋体" w:eastAsia="宋体" w:cs="宋体"/>
          <w:color w:val="auto"/>
          <w:sz w:val="21"/>
          <w:szCs w:val="21"/>
          <w:highlight w:val="none"/>
          <w:shd w:val="clear" w:color="auto" w:fill="FFFFFF"/>
          <w:lang w:val="en-US" w:eastAsia="zh-CN"/>
        </w:rPr>
        <w:t>“信用中国”、</w:t>
      </w:r>
      <w:r>
        <w:rPr>
          <w:rFonts w:hint="eastAsia" w:ascii="宋体" w:hAnsi="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val="en-US" w:eastAsia="zh-CN"/>
        </w:rPr>
        <w:t>中国政府采购网</w:t>
      </w:r>
      <w:r>
        <w:rPr>
          <w:rFonts w:hint="eastAsia" w:ascii="宋体" w:hAnsi="宋体" w:cs="宋体"/>
          <w:color w:val="auto"/>
          <w:sz w:val="21"/>
          <w:szCs w:val="21"/>
          <w:highlight w:val="none"/>
          <w:shd w:val="clear" w:color="auto" w:fill="FFFFFF"/>
          <w:lang w:val="en-US" w:eastAsia="zh-CN"/>
        </w:rPr>
        <w:t>”等网站查询的相关材料并加盖公章，</w:t>
      </w:r>
      <w:r>
        <w:rPr>
          <w:rFonts w:hint="eastAsia" w:ascii="宋体" w:hAnsi="宋体" w:eastAsia="宋体" w:cs="宋体"/>
          <w:color w:val="auto"/>
          <w:sz w:val="21"/>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4.7</w:t>
      </w:r>
      <w:r>
        <w:rPr>
          <w:rFonts w:hint="eastAsia" w:ascii="宋体" w:hAnsi="宋体" w:eastAsia="宋体" w:cs="宋体"/>
          <w:color w:val="auto"/>
          <w:sz w:val="21"/>
          <w:szCs w:val="21"/>
          <w:highlight w:val="none"/>
          <w:shd w:val="clear" w:color="auto" w:fill="FFFFFF"/>
          <w:lang w:val="en-US" w:eastAsia="zh-CN"/>
        </w:rPr>
        <w:t>、单位负责人为同一人或者存在直接控股、管理关系的不同供应商，不得参加同一合同项下的</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kern w:val="0"/>
          <w:sz w:val="21"/>
          <w:szCs w:val="21"/>
          <w:highlight w:val="none"/>
          <w:lang w:val="en-US" w:eastAsia="zh-CN"/>
        </w:rPr>
        <w:t>提供在“国家企业信用信息公示系统”中查询的相关材料</w:t>
      </w:r>
      <w:r>
        <w:rPr>
          <w:rFonts w:hint="eastAsia" w:ascii="宋体" w:hAnsi="宋体" w:cs="宋体"/>
          <w:color w:val="auto"/>
          <w:kern w:val="0"/>
          <w:sz w:val="21"/>
          <w:szCs w:val="21"/>
          <w:highlight w:val="none"/>
          <w:lang w:val="en-US" w:eastAsia="zh-CN"/>
        </w:rPr>
        <w:t>并加盖公章</w:t>
      </w:r>
      <w:r>
        <w:rPr>
          <w:rFonts w:hint="eastAsia" w:ascii="宋体" w:hAnsi="宋体" w:eastAsia="宋体" w:cs="宋体"/>
          <w:color w:val="auto"/>
          <w:kern w:val="0"/>
          <w:sz w:val="21"/>
          <w:szCs w:val="21"/>
          <w:highlight w:val="none"/>
          <w:lang w:val="en-US" w:eastAsia="zh-CN"/>
        </w:rPr>
        <w:t>（需包含公司基本信息、股东信息及股权变更信息）或提供承诺</w:t>
      </w:r>
      <w:r>
        <w:rPr>
          <w:rFonts w:hint="eastAsia" w:ascii="宋体" w:hAnsi="宋体" w:cs="宋体"/>
          <w:color w:val="auto"/>
          <w:kern w:val="0"/>
          <w:sz w:val="21"/>
          <w:szCs w:val="21"/>
          <w:highlight w:val="none"/>
          <w:lang w:val="en-US" w:eastAsia="zh-CN"/>
        </w:rPr>
        <w:t>函</w:t>
      </w:r>
      <w:r>
        <w:rPr>
          <w:rFonts w:hint="eastAsia" w:ascii="宋体" w:hAnsi="宋体" w:eastAsia="宋体" w:cs="宋体"/>
          <w:color w:val="auto"/>
          <w:sz w:val="21"/>
          <w:szCs w:val="21"/>
          <w:highlight w:val="none"/>
          <w:shd w:val="clear" w:color="auto" w:fill="FFFFFF"/>
          <w:lang w:val="en-US" w:eastAsia="zh-CN"/>
        </w:rPr>
        <w:t>）。一经发现，将导致投标同时被拒绝</w:t>
      </w:r>
      <w:r>
        <w:rPr>
          <w:rFonts w:hint="eastAsia" w:ascii="宋体" w:hAnsi="宋体" w:cs="宋体"/>
          <w:color w:val="auto"/>
          <w:sz w:val="21"/>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4.8、本项目特定资格要求：</w:t>
      </w:r>
    </w:p>
    <w:p w14:paraId="4769BF73">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b w:val="0"/>
          <w:bCs w:val="0"/>
          <w:sz w:val="21"/>
          <w:szCs w:val="21"/>
          <w:lang w:val="en-US" w:eastAsia="zh-CN"/>
        </w:rPr>
        <w:t>供应商如为代理商的并所投产品如为进口产品的，需提供拟投产品制造商或中国境内办事处或中国总代理经销商针对本项目的授权书</w:t>
      </w:r>
      <w:r>
        <w:rPr>
          <w:rFonts w:hint="eastAsia" w:ascii="宋体" w:hAnsi="宋体" w:eastAsia="宋体" w:cs="宋体"/>
          <w:color w:val="auto"/>
          <w:sz w:val="21"/>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不论投标结果如何，</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均应自行承担所有与</w:t>
      </w:r>
      <w:r>
        <w:rPr>
          <w:rFonts w:hint="eastAsia" w:ascii="宋体" w:hAnsi="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 本</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1"/>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9.1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代表只能接受一个</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9.4</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bCs/>
          <w:color w:val="auto"/>
          <w:kern w:val="0"/>
          <w:sz w:val="21"/>
          <w:szCs w:val="21"/>
          <w:highlight w:val="none"/>
        </w:rPr>
        <w:t>供应商认为</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bCs/>
          <w:color w:val="auto"/>
          <w:kern w:val="0"/>
          <w:sz w:val="21"/>
          <w:szCs w:val="21"/>
          <w:highlight w:val="none"/>
        </w:rPr>
        <w:t>文件使自己的合法权益受到损害的，</w:t>
      </w:r>
      <w:r>
        <w:rPr>
          <w:rFonts w:hint="eastAsia" w:ascii="宋体" w:hAnsi="宋体" w:eastAsia="宋体" w:cs="宋体"/>
          <w:color w:val="auto"/>
          <w:kern w:val="0"/>
          <w:sz w:val="21"/>
          <w:szCs w:val="21"/>
          <w:highlight w:val="none"/>
        </w:rPr>
        <w:t>应当在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公告期限届满之日(或收到</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文件之日)起</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个工作日之内向</w:t>
      </w:r>
      <w:r>
        <w:rPr>
          <w:rFonts w:hint="eastAsia" w:ascii="宋体" w:hAnsi="宋体" w:eastAsia="宋体" w:cs="宋体"/>
          <w:bCs/>
          <w:color w:val="auto"/>
          <w:kern w:val="0"/>
          <w:sz w:val="21"/>
          <w:szCs w:val="21"/>
          <w:highlight w:val="none"/>
        </w:rPr>
        <w:t>采购人提出质疑；供应商认为</w:t>
      </w:r>
      <w:r>
        <w:rPr>
          <w:rFonts w:hint="eastAsia" w:ascii="宋体" w:hAnsi="宋体" w:eastAsia="宋体" w:cs="宋体"/>
          <w:color w:val="auto"/>
          <w:sz w:val="21"/>
          <w:szCs w:val="21"/>
          <w:highlight w:val="none"/>
          <w:lang w:val="en-US" w:eastAsia="zh-CN"/>
        </w:rPr>
        <w:t>谈判</w:t>
      </w:r>
      <w:r>
        <w:rPr>
          <w:rFonts w:hint="eastAsia" w:ascii="宋体" w:hAnsi="宋体" w:eastAsia="宋体" w:cs="宋体"/>
          <w:bCs/>
          <w:color w:val="auto"/>
          <w:kern w:val="0"/>
          <w:sz w:val="21"/>
          <w:szCs w:val="21"/>
          <w:highlight w:val="none"/>
        </w:rPr>
        <w:t>过程和</w:t>
      </w:r>
      <w:r>
        <w:rPr>
          <w:rFonts w:hint="eastAsia" w:ascii="宋体" w:hAnsi="宋体" w:cs="宋体"/>
          <w:bCs/>
          <w:color w:val="auto"/>
          <w:kern w:val="0"/>
          <w:sz w:val="21"/>
          <w:szCs w:val="21"/>
          <w:highlight w:val="none"/>
          <w:lang w:eastAsia="zh-CN"/>
        </w:rPr>
        <w:t>成交</w:t>
      </w:r>
      <w:r>
        <w:rPr>
          <w:rFonts w:hint="eastAsia" w:ascii="宋体" w:hAnsi="宋体" w:eastAsia="宋体" w:cs="宋体"/>
          <w:bCs/>
          <w:color w:val="auto"/>
          <w:kern w:val="0"/>
          <w:sz w:val="21"/>
          <w:szCs w:val="21"/>
          <w:highlight w:val="none"/>
        </w:rPr>
        <w:t>结果使自己的合法权益受到损害的，应当在知道或者应知其权益受到损害之日起</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个工作日内提出质疑。</w:t>
      </w:r>
      <w:r>
        <w:rPr>
          <w:rFonts w:hint="eastAsia" w:ascii="宋体" w:hAnsi="宋体" w:eastAsia="宋体" w:cs="宋体"/>
          <w:color w:val="auto"/>
          <w:kern w:val="0"/>
          <w:sz w:val="21"/>
          <w:szCs w:val="21"/>
          <w:highlight w:val="none"/>
        </w:rPr>
        <w:t>逾期不再受理,</w:t>
      </w:r>
      <w:r>
        <w:rPr>
          <w:rFonts w:hint="eastAsia" w:ascii="宋体" w:hAnsi="宋体" w:eastAsia="宋体" w:cs="宋体"/>
          <w:bCs/>
          <w:color w:val="auto"/>
          <w:kern w:val="0"/>
          <w:sz w:val="21"/>
          <w:szCs w:val="21"/>
          <w:highlight w:val="none"/>
        </w:rPr>
        <w:t>供应商在法定质疑期内应一次性提出针对同一采购环节的质疑。</w:t>
      </w:r>
      <w:r>
        <w:rPr>
          <w:rFonts w:hint="eastAsia" w:ascii="宋体" w:hAnsi="宋体" w:eastAsia="宋体" w:cs="宋体"/>
          <w:color w:val="auto"/>
          <w:kern w:val="0"/>
          <w:sz w:val="21"/>
          <w:szCs w:val="21"/>
          <w:highlight w:val="none"/>
        </w:rPr>
        <w:t>供应商对</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的质疑答复不满意,或</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未在规定时间内作出答复的，可以在答复期满后15个工作日内向</w:t>
      </w:r>
      <w:r>
        <w:rPr>
          <w:rFonts w:hint="eastAsia" w:ascii="宋体" w:hAnsi="宋体" w:eastAsia="宋体" w:cs="宋体"/>
          <w:color w:val="auto"/>
          <w:kern w:val="0"/>
          <w:sz w:val="21"/>
          <w:szCs w:val="21"/>
          <w:highlight w:val="none"/>
          <w:lang w:val="en-US" w:eastAsia="zh-CN"/>
        </w:rPr>
        <w:t>医院纪检</w:t>
      </w:r>
      <w:r>
        <w:rPr>
          <w:rFonts w:hint="eastAsia" w:ascii="宋体" w:hAnsi="宋体" w:eastAsia="宋体" w:cs="宋体"/>
          <w:color w:val="auto"/>
          <w:kern w:val="0"/>
          <w:sz w:val="21"/>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bCs/>
          <w:color w:val="auto"/>
          <w:kern w:val="0"/>
          <w:sz w:val="21"/>
          <w:szCs w:val="21"/>
          <w:highlight w:val="none"/>
        </w:rPr>
        <w:t>质疑、投诉应当采用书面形式，质疑书、投诉书均应明确阐述</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bCs/>
          <w:color w:val="auto"/>
          <w:kern w:val="0"/>
          <w:sz w:val="21"/>
          <w:szCs w:val="21"/>
          <w:highlight w:val="none"/>
        </w:rPr>
        <w:t>文件、</w:t>
      </w:r>
      <w:r>
        <w:rPr>
          <w:rFonts w:hint="eastAsia" w:ascii="宋体" w:hAnsi="宋体" w:eastAsia="宋体" w:cs="宋体"/>
          <w:color w:val="auto"/>
          <w:sz w:val="21"/>
          <w:szCs w:val="21"/>
          <w:highlight w:val="none"/>
          <w:lang w:val="en-US" w:eastAsia="zh-CN"/>
        </w:rPr>
        <w:t>谈判</w:t>
      </w:r>
      <w:r>
        <w:rPr>
          <w:rFonts w:hint="eastAsia" w:ascii="宋体" w:hAnsi="宋体" w:eastAsia="宋体" w:cs="宋体"/>
          <w:bCs/>
          <w:color w:val="auto"/>
          <w:kern w:val="0"/>
          <w:sz w:val="21"/>
          <w:szCs w:val="21"/>
          <w:highlight w:val="none"/>
        </w:rPr>
        <w:t>过程和</w:t>
      </w:r>
      <w:r>
        <w:rPr>
          <w:rFonts w:hint="eastAsia" w:ascii="宋体" w:hAnsi="宋体" w:cs="宋体"/>
          <w:bCs/>
          <w:color w:val="auto"/>
          <w:kern w:val="0"/>
          <w:sz w:val="21"/>
          <w:szCs w:val="21"/>
          <w:highlight w:val="none"/>
          <w:lang w:eastAsia="zh-CN"/>
        </w:rPr>
        <w:t>成交</w:t>
      </w:r>
      <w:r>
        <w:rPr>
          <w:rFonts w:hint="eastAsia" w:ascii="宋体" w:hAnsi="宋体" w:eastAsia="宋体" w:cs="宋体"/>
          <w:bCs/>
          <w:color w:val="auto"/>
          <w:kern w:val="0"/>
          <w:sz w:val="21"/>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11.</w:t>
      </w:r>
      <w:r>
        <w:rPr>
          <w:rFonts w:hint="eastAsia" w:ascii="宋体" w:hAnsi="宋体" w:eastAsia="宋体" w:cs="宋体"/>
          <w:b/>
          <w:bCs/>
          <w:color w:val="auto"/>
          <w:kern w:val="0"/>
          <w:sz w:val="21"/>
          <w:szCs w:val="21"/>
          <w:highlight w:val="none"/>
          <w:lang w:eastAsia="zh-CN"/>
        </w:rPr>
        <w:t>供应商</w:t>
      </w:r>
      <w:r>
        <w:rPr>
          <w:rFonts w:hint="eastAsia" w:ascii="宋体" w:hAnsi="宋体" w:eastAsia="宋体" w:cs="宋体"/>
          <w:b/>
          <w:bCs/>
          <w:color w:val="auto"/>
          <w:kern w:val="0"/>
          <w:sz w:val="21"/>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没有按照</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文件要求提供全部资料，或者</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没有对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文件在各方面都作出实质性响应是</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的风险，并可能导致其投标被拒绝。</w:t>
      </w:r>
    </w:p>
    <w:bookmarkEnd w:id="74"/>
    <w:bookmarkEnd w:id="75"/>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12.</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文件的构成</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本</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12.1 </w:t>
      </w:r>
      <w:r>
        <w:rPr>
          <w:rFonts w:hint="eastAsia" w:ascii="宋体" w:hAnsi="宋体" w:eastAsia="宋体" w:cs="宋体"/>
          <w:color w:val="auto"/>
          <w:kern w:val="0"/>
          <w:sz w:val="21"/>
          <w:szCs w:val="21"/>
          <w:highlight w:val="none"/>
          <w:lang w:val="en-US" w:eastAsia="zh-CN"/>
        </w:rPr>
        <w:t>竞争性谈判</w:t>
      </w:r>
      <w:r>
        <w:rPr>
          <w:rFonts w:hint="eastAsia" w:ascii="宋体" w:hAnsi="宋体" w:eastAsia="宋体" w:cs="宋体"/>
          <w:color w:val="auto"/>
          <w:kern w:val="0"/>
          <w:sz w:val="21"/>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12.2 </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13.</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13.1 </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对已发出的</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文件进行必要澄清、修改或补充的，应当在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文件要求提交</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文件截止时间</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日</w:t>
      </w:r>
      <w:r>
        <w:rPr>
          <w:rFonts w:hint="eastAsia" w:ascii="宋体" w:hAnsi="宋体" w:eastAsia="宋体" w:cs="宋体"/>
          <w:color w:val="auto"/>
          <w:kern w:val="0"/>
          <w:sz w:val="21"/>
          <w:szCs w:val="21"/>
          <w:highlight w:val="none"/>
        </w:rPr>
        <w:t>前，在</w:t>
      </w:r>
      <w:r>
        <w:rPr>
          <w:rFonts w:hint="eastAsia" w:ascii="宋体" w:hAnsi="宋体" w:eastAsia="宋体" w:cs="宋体"/>
          <w:color w:val="auto"/>
          <w:kern w:val="0"/>
          <w:sz w:val="21"/>
          <w:szCs w:val="21"/>
          <w:highlight w:val="none"/>
          <w:lang w:val="en-US" w:eastAsia="zh-CN"/>
        </w:rPr>
        <w:t>原采购公告发布</w:t>
      </w:r>
      <w:r>
        <w:rPr>
          <w:rFonts w:hint="eastAsia" w:ascii="宋体" w:hAnsi="宋体" w:eastAsia="宋体" w:cs="宋体"/>
          <w:color w:val="auto"/>
          <w:kern w:val="0"/>
          <w:sz w:val="21"/>
          <w:szCs w:val="21"/>
          <w:highlight w:val="none"/>
        </w:rPr>
        <w:t>相关媒体上发布更正公告或变更公告。</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文件公示期间对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13.2 </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文件澄清、修改或补充的内容为</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13.3 </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文件的澄清、修改或补充都应以法定形式发布。采购人未对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13.4 </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可以视</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具体情况延长</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截止时间和</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时间，但至少应当在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文件要求提交</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文件的截止时间3</w:t>
      </w:r>
      <w:r>
        <w:rPr>
          <w:rFonts w:hint="eastAsia" w:ascii="宋体" w:hAnsi="宋体" w:eastAsia="宋体" w:cs="宋体"/>
          <w:bCs/>
          <w:color w:val="auto"/>
          <w:kern w:val="0"/>
          <w:sz w:val="21"/>
          <w:szCs w:val="21"/>
          <w:highlight w:val="none"/>
        </w:rPr>
        <w:t>日</w:t>
      </w:r>
      <w:r>
        <w:rPr>
          <w:rFonts w:hint="eastAsia" w:ascii="宋体" w:hAnsi="宋体" w:eastAsia="宋体" w:cs="宋体"/>
          <w:color w:val="auto"/>
          <w:kern w:val="0"/>
          <w:sz w:val="21"/>
          <w:szCs w:val="21"/>
          <w:highlight w:val="none"/>
        </w:rPr>
        <w:t>前，将变更时间</w:t>
      </w:r>
      <w:r>
        <w:rPr>
          <w:rFonts w:hint="eastAsia" w:ascii="宋体" w:hAnsi="宋体" w:eastAsia="宋体" w:cs="宋体"/>
          <w:color w:val="auto"/>
          <w:kern w:val="0"/>
          <w:sz w:val="21"/>
          <w:szCs w:val="21"/>
          <w:highlight w:val="none"/>
          <w:lang w:val="en-US" w:eastAsia="zh-CN"/>
        </w:rPr>
        <w:t>通知所有潜在供应商</w:t>
      </w:r>
      <w:r>
        <w:rPr>
          <w:rFonts w:hint="eastAsia" w:ascii="宋体" w:hAnsi="宋体" w:eastAsia="宋体" w:cs="宋体"/>
          <w:color w:val="auto"/>
          <w:kern w:val="0"/>
          <w:sz w:val="21"/>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w:t>
      </w:r>
      <w:r>
        <w:rPr>
          <w:rFonts w:hint="eastAsia" w:ascii="宋体" w:hAnsi="宋体" w:eastAsia="宋体" w:cs="宋体"/>
          <w:b/>
          <w:bCs/>
          <w:color w:val="auto"/>
          <w:kern w:val="0"/>
          <w:sz w:val="21"/>
          <w:szCs w:val="21"/>
          <w:highlight w:val="none"/>
          <w:lang w:val="en-US" w:eastAsia="zh-CN"/>
        </w:rPr>
        <w:t>响应</w:t>
      </w:r>
      <w:r>
        <w:rPr>
          <w:rFonts w:hint="eastAsia" w:ascii="宋体" w:hAnsi="宋体" w:eastAsia="宋体" w:cs="宋体"/>
          <w:b/>
          <w:bCs/>
          <w:color w:val="auto"/>
          <w:kern w:val="0"/>
          <w:sz w:val="21"/>
          <w:szCs w:val="21"/>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14.1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应仔细阅读</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文件的所有内容，按照</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文件提供的格式编写</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文件，不得缺少或留空任何</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文件要求填写的表格或提交的资料。</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文件提供格式的按格式填列，未提供格式的可自行拟定。</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文件应对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文件的要求作出实质性响应（包括</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资格要求、技术要求、商务要求和</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文件格式中对</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kern w:val="0"/>
          <w:sz w:val="21"/>
          <w:szCs w:val="21"/>
          <w:highlight w:val="none"/>
        </w:rPr>
        <w:t>的要求），</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14.2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应完整签署</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文件格式附件中《</w:t>
      </w:r>
      <w:r>
        <w:rPr>
          <w:rFonts w:hint="eastAsia" w:ascii="宋体" w:hAnsi="宋体" w:eastAsia="宋体" w:cs="宋体"/>
          <w:color w:val="auto"/>
          <w:kern w:val="0"/>
          <w:sz w:val="21"/>
          <w:szCs w:val="21"/>
          <w:highlight w:val="none"/>
          <w:lang w:eastAsia="zh-CN"/>
        </w:rPr>
        <w:t>竞争性</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响应书</w:t>
      </w:r>
      <w:r>
        <w:rPr>
          <w:rFonts w:hint="eastAsia" w:ascii="宋体" w:hAnsi="宋体" w:eastAsia="宋体" w:cs="宋体"/>
          <w:color w:val="auto"/>
          <w:kern w:val="0"/>
          <w:sz w:val="21"/>
          <w:szCs w:val="21"/>
          <w:highlight w:val="none"/>
        </w:rPr>
        <w:t>》，不得增减或修改内容。否则视为对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15.</w:t>
      </w:r>
      <w:r>
        <w:rPr>
          <w:rFonts w:hint="eastAsia" w:ascii="宋体" w:hAnsi="宋体" w:eastAsia="宋体" w:cs="宋体"/>
          <w:b/>
          <w:bCs/>
          <w:color w:val="auto"/>
          <w:kern w:val="0"/>
          <w:sz w:val="21"/>
          <w:szCs w:val="21"/>
          <w:highlight w:val="none"/>
          <w:lang w:val="en-US" w:eastAsia="zh-CN"/>
        </w:rPr>
        <w:t>响应</w:t>
      </w:r>
      <w:r>
        <w:rPr>
          <w:rFonts w:hint="eastAsia" w:ascii="宋体" w:hAnsi="宋体" w:eastAsia="宋体" w:cs="宋体"/>
          <w:b/>
          <w:bCs/>
          <w:color w:val="auto"/>
          <w:kern w:val="0"/>
          <w:sz w:val="21"/>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w:t>
      </w:r>
      <w:r>
        <w:rPr>
          <w:rFonts w:hint="eastAsia" w:ascii="宋体" w:hAnsi="宋体" w:eastAsia="宋体" w:cs="宋体"/>
          <w:color w:val="auto"/>
          <w:kern w:val="0"/>
          <w:sz w:val="21"/>
          <w:szCs w:val="21"/>
          <w:highlight w:val="none"/>
          <w:lang w:val="en-US" w:eastAsia="zh-CN"/>
        </w:rPr>
        <w:t xml:space="preserve"> 响应</w:t>
      </w:r>
      <w:r>
        <w:rPr>
          <w:rFonts w:hint="eastAsia" w:ascii="宋体" w:hAnsi="宋体" w:eastAsia="宋体" w:cs="宋体"/>
          <w:color w:val="auto"/>
          <w:kern w:val="0"/>
          <w:sz w:val="21"/>
          <w:szCs w:val="21"/>
          <w:highlight w:val="none"/>
        </w:rPr>
        <w:t>文件以及</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与采购人就有关</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关于计量单位，</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文件已有明确规定的，使用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文件规定的计量单位；</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文件没有规定的，应采用中华人民共和国法定计量单位。否则视为对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公章。必要时</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可以要求</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16.</w:t>
      </w:r>
      <w:r>
        <w:rPr>
          <w:rFonts w:hint="eastAsia" w:ascii="宋体" w:hAnsi="宋体" w:eastAsia="宋体" w:cs="宋体"/>
          <w:b/>
          <w:bCs/>
          <w:color w:val="auto"/>
          <w:kern w:val="0"/>
          <w:sz w:val="21"/>
          <w:szCs w:val="21"/>
          <w:highlight w:val="none"/>
          <w:lang w:val="en-US" w:eastAsia="zh-CN"/>
        </w:rPr>
        <w:t>响应</w:t>
      </w:r>
      <w:r>
        <w:rPr>
          <w:rFonts w:hint="eastAsia" w:ascii="宋体" w:hAnsi="宋体" w:eastAsia="宋体" w:cs="宋体"/>
          <w:b/>
          <w:bCs/>
          <w:color w:val="auto"/>
          <w:kern w:val="0"/>
          <w:sz w:val="21"/>
          <w:szCs w:val="21"/>
          <w:highlight w:val="none"/>
        </w:rPr>
        <w:t>文件的组成</w:t>
      </w: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响应</w:t>
      </w:r>
      <w:r>
        <w:rPr>
          <w:rFonts w:hint="eastAsia" w:ascii="宋体" w:hAnsi="宋体" w:eastAsia="宋体" w:cs="宋体"/>
          <w:b/>
          <w:bCs/>
          <w:color w:val="auto"/>
          <w:kern w:val="0"/>
          <w:sz w:val="21"/>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16.1、</w:t>
      </w:r>
      <w:r>
        <w:rPr>
          <w:rFonts w:hint="eastAsia" w:ascii="宋体" w:hAnsi="宋体" w:eastAsia="宋体" w:cs="宋体"/>
          <w:color w:val="auto"/>
          <w:kern w:val="0"/>
          <w:sz w:val="21"/>
          <w:szCs w:val="21"/>
          <w:highlight w:val="none"/>
          <w:lang w:val="en-US" w:eastAsia="zh-CN"/>
        </w:rPr>
        <w:t>竞争性谈判响应书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16.2、初次报价</w:t>
      </w:r>
      <w:r>
        <w:rPr>
          <w:rFonts w:hint="eastAsia" w:ascii="宋体" w:hAnsi="宋体" w:eastAsia="宋体" w:cs="宋体"/>
          <w:color w:val="auto"/>
          <w:kern w:val="0"/>
          <w:sz w:val="21"/>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16.3、</w:t>
      </w:r>
      <w:r>
        <w:rPr>
          <w:rFonts w:hint="eastAsia" w:ascii="宋体" w:hAnsi="宋体" w:eastAsia="宋体" w:cs="宋体"/>
          <w:color w:val="auto"/>
          <w:kern w:val="0"/>
          <w:sz w:val="21"/>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供应商承诺书</w:t>
      </w:r>
    </w:p>
    <w:p w14:paraId="664E58FE">
      <w:pPr>
        <w:pStyle w:val="8"/>
        <w:keepNext w:val="0"/>
        <w:keepLines w:val="0"/>
        <w:pageBreakBefore w:val="0"/>
        <w:widowControl w:val="0"/>
        <w:kinsoku/>
        <w:wordWrap/>
        <w:overflowPunct/>
        <w:topLinePunct w:val="0"/>
        <w:bidi w:val="0"/>
        <w:snapToGrid w:val="0"/>
        <w:spacing w:beforeAutospacing="0" w:after="0" w:afterAutospacing="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beforeAutospacing="0" w:line="360" w:lineRule="auto"/>
        <w:ind w:firstLine="417" w:firstLineChars="198"/>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17.</w:t>
      </w:r>
      <w:r>
        <w:rPr>
          <w:rFonts w:hint="eastAsia" w:ascii="宋体" w:hAnsi="宋体" w:eastAsia="宋体" w:cs="宋体"/>
          <w:b/>
          <w:color w:val="auto"/>
          <w:kern w:val="0"/>
          <w:sz w:val="21"/>
          <w:szCs w:val="21"/>
          <w:highlight w:val="none"/>
          <w:lang w:val="en-US" w:eastAsia="zh-CN"/>
        </w:rPr>
        <w:t>响应文件</w:t>
      </w:r>
      <w:r>
        <w:rPr>
          <w:rFonts w:hint="eastAsia" w:ascii="宋体" w:hAnsi="宋体" w:eastAsia="宋体" w:cs="宋体"/>
          <w:b/>
          <w:color w:val="auto"/>
          <w:kern w:val="0"/>
          <w:sz w:val="21"/>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17.1 </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从</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公告所规定的投标截止期之后开始生效，在</w:t>
      </w:r>
      <w:r>
        <w:rPr>
          <w:rFonts w:hint="eastAsia" w:ascii="宋体" w:hAnsi="宋体" w:eastAsia="宋体" w:cs="宋体"/>
          <w:bCs/>
          <w:color w:val="auto"/>
          <w:kern w:val="0"/>
          <w:sz w:val="21"/>
          <w:szCs w:val="21"/>
          <w:highlight w:val="none"/>
          <w:lang w:eastAsia="zh-CN"/>
        </w:rPr>
        <w:t>供应商</w:t>
      </w:r>
      <w:r>
        <w:rPr>
          <w:rFonts w:hint="eastAsia" w:ascii="宋体" w:hAnsi="宋体" w:eastAsia="宋体" w:cs="宋体"/>
          <w:bCs/>
          <w:color w:val="auto"/>
          <w:kern w:val="0"/>
          <w:sz w:val="21"/>
          <w:szCs w:val="21"/>
          <w:highlight w:val="none"/>
        </w:rPr>
        <w:t>须知前附表</w:t>
      </w:r>
      <w:r>
        <w:rPr>
          <w:rFonts w:hint="eastAsia" w:ascii="宋体" w:hAnsi="宋体" w:eastAsia="宋体" w:cs="宋体"/>
          <w:color w:val="auto"/>
          <w:kern w:val="0"/>
          <w:sz w:val="21"/>
          <w:szCs w:val="21"/>
          <w:highlight w:val="none"/>
        </w:rPr>
        <w:t>第1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项所规定的期限内保持有效。有效期不足将导致其</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文件被拒绝。</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17.2特殊情况下</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可于投标有效期满之前书面要求</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同意延长有效期，</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应在</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规定的期限内以书面形式予以答复。</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可以拒绝上述要求。</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答复不明确或者逾期未答复的，均视为拒绝上述要求。对于接受该要求的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，既不要求也不允许其修改</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18.1 所有</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报价均以</w:t>
      </w:r>
      <w:r>
        <w:rPr>
          <w:rFonts w:hint="eastAsia" w:ascii="宋体" w:hAnsi="宋体" w:eastAsia="宋体" w:cs="宋体"/>
          <w:color w:val="auto"/>
          <w:kern w:val="0"/>
          <w:sz w:val="21"/>
          <w:szCs w:val="21"/>
          <w:highlight w:val="none"/>
          <w:lang w:val="en-US" w:eastAsia="zh-CN"/>
        </w:rPr>
        <w:t>人民币报价</w:t>
      </w:r>
      <w:r>
        <w:rPr>
          <w:rFonts w:hint="eastAsia" w:ascii="宋体" w:hAnsi="宋体" w:eastAsia="宋体" w:cs="宋体"/>
          <w:color w:val="auto"/>
          <w:kern w:val="0"/>
          <w:sz w:val="21"/>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18.2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要按</w:t>
      </w:r>
      <w:r>
        <w:rPr>
          <w:rFonts w:hint="eastAsia" w:ascii="宋体" w:hAnsi="宋体" w:eastAsia="宋体" w:cs="宋体"/>
          <w:color w:val="auto"/>
          <w:kern w:val="0"/>
          <w:sz w:val="21"/>
          <w:szCs w:val="21"/>
          <w:highlight w:val="none"/>
          <w:lang w:val="en-US" w:eastAsia="zh-CN"/>
        </w:rPr>
        <w:t>初次报价</w:t>
      </w:r>
      <w:r>
        <w:rPr>
          <w:rFonts w:hint="eastAsia" w:ascii="宋体" w:hAnsi="宋体" w:eastAsia="宋体" w:cs="宋体"/>
          <w:color w:val="auto"/>
          <w:kern w:val="0"/>
          <w:sz w:val="21"/>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18.3 </w:t>
      </w:r>
      <w:r>
        <w:rPr>
          <w:rFonts w:hint="eastAsia" w:ascii="宋体" w:hAnsi="宋体" w:eastAsia="宋体" w:cs="宋体"/>
          <w:color w:val="auto"/>
          <w:spacing w:val="10"/>
          <w:kern w:val="0"/>
          <w:sz w:val="21"/>
          <w:szCs w:val="21"/>
          <w:highlight w:val="none"/>
          <w:lang w:eastAsia="zh-CN"/>
        </w:rPr>
        <w:t>供应商</w:t>
      </w:r>
      <w:r>
        <w:rPr>
          <w:rFonts w:hint="eastAsia" w:ascii="宋体" w:hAnsi="宋体" w:eastAsia="宋体" w:cs="宋体"/>
          <w:color w:val="auto"/>
          <w:spacing w:val="10"/>
          <w:kern w:val="0"/>
          <w:sz w:val="21"/>
          <w:szCs w:val="21"/>
          <w:highlight w:val="none"/>
        </w:rPr>
        <w:t>投报多标包的，应对每标包分别报价并分别填报</w:t>
      </w:r>
      <w:r>
        <w:rPr>
          <w:rFonts w:hint="eastAsia" w:ascii="宋体" w:hAnsi="宋体" w:eastAsia="宋体" w:cs="宋体"/>
          <w:color w:val="auto"/>
          <w:kern w:val="0"/>
          <w:sz w:val="21"/>
          <w:szCs w:val="21"/>
          <w:highlight w:val="none"/>
          <w:lang w:val="en-US" w:eastAsia="zh-CN"/>
        </w:rPr>
        <w:t>初次报价</w:t>
      </w:r>
      <w:r>
        <w:rPr>
          <w:rFonts w:hint="eastAsia" w:ascii="宋体" w:hAnsi="宋体" w:eastAsia="宋体" w:cs="宋体"/>
          <w:color w:val="auto"/>
          <w:kern w:val="0"/>
          <w:sz w:val="21"/>
          <w:szCs w:val="21"/>
          <w:highlight w:val="none"/>
        </w:rPr>
        <w:t>一览表</w:t>
      </w:r>
      <w:r>
        <w:rPr>
          <w:rFonts w:hint="eastAsia" w:ascii="宋体" w:hAnsi="宋体" w:eastAsia="宋体" w:cs="宋体"/>
          <w:color w:val="auto"/>
          <w:spacing w:val="10"/>
          <w:kern w:val="0"/>
          <w:sz w:val="21"/>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18.4 </w:t>
      </w:r>
      <w:r>
        <w:rPr>
          <w:rFonts w:hint="eastAsia" w:ascii="宋体" w:hAnsi="宋体" w:cs="宋体"/>
          <w:color w:val="auto"/>
          <w:kern w:val="0"/>
          <w:sz w:val="21"/>
          <w:szCs w:val="21"/>
          <w:highlight w:val="none"/>
          <w:lang w:val="en-US" w:eastAsia="zh-CN"/>
        </w:rPr>
        <w:t>成交供应商的最后一轮报价</w:t>
      </w:r>
      <w:r>
        <w:rPr>
          <w:rFonts w:hint="eastAsia" w:ascii="宋体" w:hAnsi="宋体" w:eastAsia="宋体" w:cs="宋体"/>
          <w:color w:val="auto"/>
          <w:kern w:val="0"/>
          <w:sz w:val="21"/>
          <w:szCs w:val="21"/>
          <w:highlight w:val="none"/>
        </w:rPr>
        <w:t>在政府采购合同执行过程中是固定不变的，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18.5 </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18.6 对于</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eastAsia="zh-CN"/>
        </w:rPr>
        <w:t>初次报价一览表</w:t>
      </w:r>
      <w:r>
        <w:rPr>
          <w:rFonts w:hint="eastAsia" w:ascii="宋体" w:hAnsi="宋体" w:eastAsia="宋体" w:cs="宋体"/>
          <w:color w:val="auto"/>
          <w:kern w:val="0"/>
          <w:sz w:val="21"/>
          <w:szCs w:val="21"/>
          <w:highlight w:val="none"/>
        </w:rPr>
        <w:t>和</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19.保证金</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无</w:t>
      </w:r>
      <w:r>
        <w:rPr>
          <w:rFonts w:hint="eastAsia" w:ascii="宋体" w:hAnsi="宋体" w:eastAsia="宋体" w:cs="宋体"/>
          <w:b/>
          <w:color w:val="auto"/>
          <w:kern w:val="0"/>
          <w:sz w:val="21"/>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rPr>
        <w:t>20.</w:t>
      </w:r>
      <w:r>
        <w:rPr>
          <w:rFonts w:hint="eastAsia" w:ascii="宋体" w:hAnsi="宋体" w:eastAsia="宋体" w:cs="宋体"/>
          <w:b/>
          <w:bCs/>
          <w:color w:val="auto"/>
          <w:kern w:val="0"/>
          <w:sz w:val="21"/>
          <w:szCs w:val="21"/>
          <w:highlight w:val="none"/>
          <w:lang w:val="en-US" w:eastAsia="zh-CN"/>
        </w:rPr>
        <w:t>响应</w:t>
      </w:r>
      <w:r>
        <w:rPr>
          <w:rFonts w:hint="eastAsia" w:ascii="宋体" w:hAnsi="宋体" w:eastAsia="宋体" w:cs="宋体"/>
          <w:b/>
          <w:color w:val="auto"/>
          <w:kern w:val="0"/>
          <w:sz w:val="21"/>
          <w:szCs w:val="21"/>
          <w:highlight w:val="none"/>
        </w:rPr>
        <w:t>文件的签署</w:t>
      </w:r>
      <w:r>
        <w:rPr>
          <w:rFonts w:hint="eastAsia" w:ascii="宋体" w:hAnsi="宋体" w:eastAsia="宋体" w:cs="宋体"/>
          <w:b/>
          <w:color w:val="auto"/>
          <w:kern w:val="0"/>
          <w:sz w:val="21"/>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文件应按第</w:t>
      </w:r>
      <w:r>
        <w:rPr>
          <w:rFonts w:hint="eastAsia" w:ascii="宋体" w:hAnsi="宋体" w:cs="宋体"/>
          <w:color w:val="auto"/>
          <w:kern w:val="0"/>
          <w:sz w:val="21"/>
          <w:szCs w:val="21"/>
          <w:highlight w:val="none"/>
          <w:lang w:val="en-US" w:eastAsia="zh-CN"/>
        </w:rPr>
        <w:t>五</w:t>
      </w:r>
      <w:r>
        <w:rPr>
          <w:rFonts w:hint="eastAsia" w:ascii="宋体" w:hAnsi="宋体" w:eastAsia="宋体" w:cs="宋体"/>
          <w:color w:val="auto"/>
          <w:kern w:val="0"/>
          <w:sz w:val="21"/>
          <w:szCs w:val="21"/>
          <w:highlight w:val="none"/>
        </w:rPr>
        <w:t>章“</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文件格式”进行编写，如有必要，可以增加附页，作为</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的组成部分。其中，</w:t>
      </w:r>
      <w:r>
        <w:rPr>
          <w:rFonts w:hint="eastAsia" w:ascii="宋体" w:hAnsi="宋体" w:cs="宋体"/>
          <w:color w:val="auto"/>
          <w:kern w:val="0"/>
          <w:sz w:val="21"/>
          <w:szCs w:val="21"/>
          <w:highlight w:val="none"/>
          <w:lang w:val="en-US" w:eastAsia="zh-CN"/>
        </w:rPr>
        <w:t>初次报价</w:t>
      </w:r>
      <w:r>
        <w:rPr>
          <w:rFonts w:hint="eastAsia" w:ascii="宋体" w:hAnsi="宋体" w:eastAsia="宋体" w:cs="宋体"/>
          <w:color w:val="auto"/>
          <w:kern w:val="0"/>
          <w:sz w:val="21"/>
          <w:szCs w:val="21"/>
          <w:highlight w:val="none"/>
        </w:rPr>
        <w:t>一览表在满足</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文件实质性要求的基础上，可以提出比</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文件应当对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文件有关</w:t>
      </w:r>
      <w:r>
        <w:rPr>
          <w:rFonts w:hint="eastAsia" w:ascii="宋体" w:hAnsi="宋体" w:eastAsia="宋体" w:cs="宋体"/>
          <w:color w:val="auto"/>
          <w:kern w:val="0"/>
          <w:sz w:val="21"/>
          <w:szCs w:val="21"/>
          <w:highlight w:val="none"/>
          <w:lang w:val="en-US" w:eastAsia="zh-CN"/>
        </w:rPr>
        <w:t>交货期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有效期、</w:t>
      </w:r>
      <w:r>
        <w:rPr>
          <w:rFonts w:hint="eastAsia" w:ascii="宋体" w:hAnsi="宋体" w:eastAsia="宋体" w:cs="宋体"/>
          <w:color w:val="auto"/>
          <w:kern w:val="0"/>
          <w:sz w:val="21"/>
          <w:szCs w:val="21"/>
          <w:highlight w:val="none"/>
          <w:lang w:val="en-US" w:eastAsia="zh-CN"/>
        </w:rPr>
        <w:t>质量</w:t>
      </w:r>
      <w:r>
        <w:rPr>
          <w:rFonts w:hint="eastAsia" w:ascii="宋体" w:hAnsi="宋体" w:eastAsia="宋体" w:cs="宋体"/>
          <w:color w:val="auto"/>
          <w:kern w:val="0"/>
          <w:sz w:val="21"/>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文件应用不褪色的材料书写或打印，并由</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的法定代表人盖章或盖单位公章；</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文件应尽量避免涂改、行间插字或删除，如果出现上述情况，改动之处应加盖单位公章或由</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的法定代表人盖章确认。签字或盖章的具体要求见</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文件份数见</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文件的具体装订要求见</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w:t>
      </w:r>
      <w:r>
        <w:rPr>
          <w:rFonts w:hint="eastAsia" w:ascii="宋体" w:hAnsi="宋体" w:eastAsia="宋体" w:cs="宋体"/>
          <w:b/>
          <w:bCs/>
          <w:color w:val="auto"/>
          <w:kern w:val="0"/>
          <w:sz w:val="21"/>
          <w:szCs w:val="21"/>
          <w:highlight w:val="none"/>
          <w:lang w:val="en-US" w:eastAsia="zh-CN"/>
        </w:rPr>
        <w:t>响应</w:t>
      </w:r>
      <w:r>
        <w:rPr>
          <w:rFonts w:hint="eastAsia" w:ascii="宋体" w:hAnsi="宋体" w:eastAsia="宋体" w:cs="宋体"/>
          <w:b/>
          <w:bCs/>
          <w:color w:val="auto"/>
          <w:kern w:val="0"/>
          <w:sz w:val="21"/>
          <w:szCs w:val="21"/>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21. </w:t>
      </w:r>
      <w:r>
        <w:rPr>
          <w:rFonts w:hint="eastAsia" w:ascii="宋体" w:hAnsi="宋体" w:eastAsia="宋体" w:cs="宋体"/>
          <w:b/>
          <w:color w:val="auto"/>
          <w:kern w:val="0"/>
          <w:sz w:val="21"/>
          <w:szCs w:val="21"/>
          <w:highlight w:val="none"/>
          <w:lang w:val="en-US" w:eastAsia="zh-CN"/>
        </w:rPr>
        <w:t>响应</w:t>
      </w:r>
      <w:r>
        <w:rPr>
          <w:rFonts w:hint="eastAsia" w:ascii="宋体" w:hAnsi="宋体" w:eastAsia="宋体" w:cs="宋体"/>
          <w:b/>
          <w:color w:val="auto"/>
          <w:kern w:val="0"/>
          <w:sz w:val="21"/>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r>
        <w:rPr>
          <w:rFonts w:hint="eastAsia" w:ascii="宋体" w:hAnsi="宋体" w:eastAsia="宋体" w:cs="宋体"/>
          <w:color w:val="auto"/>
          <w:sz w:val="21"/>
          <w:szCs w:val="21"/>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 未按本章第2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.1项要求密封的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sz w:val="21"/>
          <w:szCs w:val="21"/>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 xml:space="preserve">22. </w:t>
      </w:r>
      <w:r>
        <w:rPr>
          <w:rFonts w:hint="eastAsia" w:ascii="宋体" w:hAnsi="宋体" w:eastAsia="宋体" w:cs="宋体"/>
          <w:b/>
          <w:bCs w:val="0"/>
          <w:color w:val="auto"/>
          <w:kern w:val="0"/>
          <w:sz w:val="21"/>
          <w:szCs w:val="21"/>
          <w:highlight w:val="none"/>
          <w:lang w:val="en-US" w:eastAsia="zh-CN"/>
        </w:rPr>
        <w:t>响应</w:t>
      </w:r>
      <w:r>
        <w:rPr>
          <w:rFonts w:hint="eastAsia" w:ascii="宋体" w:hAnsi="宋体" w:eastAsia="宋体" w:cs="宋体"/>
          <w:b/>
          <w:bCs w:val="0"/>
          <w:color w:val="auto"/>
          <w:kern w:val="0"/>
          <w:sz w:val="21"/>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45" w:rightChars="-16"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 xml:space="preserve">.1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应在规定的</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截止时间前</w:t>
      </w:r>
      <w:r>
        <w:rPr>
          <w:rFonts w:hint="eastAsia" w:ascii="宋体" w:hAnsi="宋体" w:eastAsia="宋体" w:cs="宋体"/>
          <w:color w:val="auto"/>
          <w:kern w:val="0"/>
          <w:sz w:val="21"/>
          <w:szCs w:val="21"/>
          <w:highlight w:val="none"/>
          <w:lang w:eastAsia="zh-CN"/>
        </w:rPr>
        <w:t>递交</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45" w:rightChars="-16"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递交</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文件的地点：见</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45" w:rightChars="-16"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.3 除</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须知前附表另有规定外，</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所递交的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45" w:rightChars="-16"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.4 逾期送达的或者未送达指定地点的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23. </w:t>
      </w:r>
      <w:r>
        <w:rPr>
          <w:rFonts w:hint="eastAsia" w:ascii="宋体" w:hAnsi="宋体" w:eastAsia="宋体" w:cs="宋体"/>
          <w:b/>
          <w:color w:val="auto"/>
          <w:kern w:val="0"/>
          <w:sz w:val="21"/>
          <w:szCs w:val="21"/>
          <w:highlight w:val="none"/>
          <w:lang w:val="en-US" w:eastAsia="zh-CN"/>
        </w:rPr>
        <w:t>响应</w:t>
      </w:r>
      <w:r>
        <w:rPr>
          <w:rFonts w:hint="eastAsia" w:ascii="宋体" w:hAnsi="宋体" w:eastAsia="宋体" w:cs="宋体"/>
          <w:b/>
          <w:color w:val="auto"/>
          <w:kern w:val="0"/>
          <w:sz w:val="21"/>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23.1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在投标截止时间前，可以对所提交的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文件进行补充、修改或者撤回，并书面通知</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。补充、修改的内容和撤回通知应当按本须知要求签署、盖章、密封，并作为</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23.2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截止期后不得修改、撤回</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在投标截止期后修改</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 组建</w:t>
      </w:r>
      <w:r>
        <w:rPr>
          <w:rFonts w:hint="eastAsia" w:ascii="宋体" w:hAnsi="宋体" w:eastAsia="宋体" w:cs="宋体"/>
          <w:b/>
          <w:bCs/>
          <w:color w:val="auto"/>
          <w:kern w:val="0"/>
          <w:sz w:val="21"/>
          <w:szCs w:val="21"/>
          <w:highlight w:val="none"/>
          <w:lang w:val="en-US" w:eastAsia="zh-CN"/>
        </w:rPr>
        <w:t>谈判</w:t>
      </w:r>
      <w:r>
        <w:rPr>
          <w:rFonts w:hint="eastAsia" w:ascii="宋体" w:hAnsi="宋体" w:eastAsia="宋体" w:cs="宋体"/>
          <w:b/>
          <w:bCs/>
          <w:color w:val="auto"/>
          <w:kern w:val="0"/>
          <w:sz w:val="21"/>
          <w:szCs w:val="21"/>
          <w:highlight w:val="none"/>
          <w:lang w:eastAsia="zh-CN"/>
        </w:rPr>
        <w:t>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 xml:space="preserve">.1 </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由采购人代表和评审专家组成。成员由</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人以上单数组成。</w:t>
      </w:r>
      <w:r>
        <w:rPr>
          <w:rFonts w:hint="eastAsia" w:ascii="宋体" w:hAnsi="宋体" w:eastAsia="宋体" w:cs="宋体"/>
          <w:color w:val="auto"/>
          <w:sz w:val="21"/>
          <w:szCs w:val="21"/>
          <w:highlight w:val="none"/>
        </w:rPr>
        <w:t>在开标后由</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rPr>
        <w:t>对</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sz w:val="21"/>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成员要依法独立评审，并对评审意见承担个人责任。</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rPr>
        <w:t>成员对需要共同认定的事项存在争议的，按照少数服从多数的原则</w:t>
      </w:r>
      <w:r>
        <w:rPr>
          <w:rFonts w:hint="eastAsia" w:ascii="宋体" w:hAnsi="宋体" w:eastAsia="宋体" w:cs="宋体"/>
          <w:color w:val="auto"/>
          <w:kern w:val="0"/>
          <w:sz w:val="21"/>
          <w:szCs w:val="21"/>
          <w:highlight w:val="none"/>
        </w:rPr>
        <w:t>做</w:t>
      </w:r>
      <w:r>
        <w:rPr>
          <w:rFonts w:hint="eastAsia" w:ascii="宋体" w:hAnsi="宋体" w:eastAsia="宋体" w:cs="宋体"/>
          <w:color w:val="auto"/>
          <w:sz w:val="21"/>
          <w:szCs w:val="21"/>
          <w:highlight w:val="none"/>
        </w:rPr>
        <w:t>出结论。持不同意见的</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rPr>
        <w:t>成员应当在评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报告上签署不同意见</w:t>
      </w:r>
      <w:r>
        <w:rPr>
          <w:rFonts w:hint="eastAsia" w:ascii="宋体" w:hAnsi="宋体" w:eastAsia="宋体" w:cs="宋体"/>
          <w:color w:val="auto"/>
          <w:kern w:val="0"/>
          <w:sz w:val="21"/>
          <w:szCs w:val="21"/>
          <w:highlight w:val="none"/>
        </w:rPr>
        <w:t>并说明</w:t>
      </w:r>
      <w:r>
        <w:rPr>
          <w:rFonts w:hint="eastAsia" w:ascii="宋体" w:hAnsi="宋体" w:eastAsia="宋体" w:cs="宋体"/>
          <w:color w:val="auto"/>
          <w:sz w:val="21"/>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kern w:val="0"/>
          <w:sz w:val="21"/>
          <w:szCs w:val="21"/>
          <w:highlight w:val="none"/>
          <w:lang w:val="en-US" w:eastAsia="zh-CN"/>
        </w:rPr>
        <w:t>响应</w:t>
      </w:r>
      <w:r>
        <w:rPr>
          <w:rFonts w:hint="eastAsia" w:ascii="宋体" w:hAnsi="宋体" w:eastAsia="宋体" w:cs="宋体"/>
          <w:b/>
          <w:bCs/>
          <w:color w:val="auto"/>
          <w:sz w:val="21"/>
          <w:szCs w:val="21"/>
          <w:highlight w:val="none"/>
        </w:rPr>
        <w:t>文件的初审</w:t>
      </w:r>
    </w:p>
    <w:p w14:paraId="2FF429BE">
      <w:pPr>
        <w:pStyle w:val="2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.2 </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将对</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进行检查，以确定</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.3 </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报价出现前后不一致的，除</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文件另有规定外，修正错误的原则如下：</w:t>
      </w:r>
    </w:p>
    <w:p w14:paraId="4DF8A71E">
      <w:pPr>
        <w:pStyle w:val="2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.3.5对不同文字文本</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确认后产生约束力，</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.4.1</w:t>
      </w:r>
      <w:r>
        <w:rPr>
          <w:rFonts w:hint="eastAsia" w:ascii="宋体" w:hAnsi="宋体" w:eastAsia="宋体" w:cs="宋体"/>
          <w:color w:val="auto"/>
          <w:sz w:val="21"/>
          <w:szCs w:val="21"/>
          <w:highlight w:val="none"/>
        </w:rPr>
        <w:t>资格性检查。依据法规政策和</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详细评估之前，采购人将依据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公告第二项和</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文件第三章4.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应提交的证明文件所述的资格标准对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进行资格审查,以确定其是否具备</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sz w:val="21"/>
          <w:szCs w:val="21"/>
          <w:highlight w:val="none"/>
        </w:rPr>
        <w:t>资格。如果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不具备</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sz w:val="21"/>
          <w:szCs w:val="21"/>
          <w:highlight w:val="none"/>
        </w:rPr>
        <w:t>资格、不满足</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文件所规定的资格标准或提供资格证明文件不全,其投标将被作为无效</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sz w:val="21"/>
          <w:szCs w:val="21"/>
          <w:highlight w:val="none"/>
        </w:rPr>
        <w:t>。在审查过程中，采购人有权要求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文件的规定提供相关资格证明材料的原件以供审查。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应在规定的时限内提供。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.4.2 资格审查后合格的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.4.3 符合性检查。依据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文件的规定，</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 w:val="21"/>
          <w:szCs w:val="21"/>
          <w:highlight w:val="none"/>
        </w:rPr>
        <w:t>的有效性、完整性和对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文件的响应程度进行审查，以确定是否符合对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文件的实质性要求作出响应。对没有实质性响应的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文件将不进行评估，其投标被作为无效</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。凡有下列情况之一者，</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文件也将被视为未实质性响应</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（3）未按</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sz w:val="21"/>
          <w:szCs w:val="21"/>
          <w:highlight w:val="none"/>
        </w:rPr>
        <w:t>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有效期、</w:t>
      </w:r>
      <w:r>
        <w:rPr>
          <w:rFonts w:hint="eastAsia" w:ascii="宋体" w:hAnsi="宋体" w:eastAsia="宋体" w:cs="宋体"/>
          <w:color w:val="auto"/>
          <w:sz w:val="21"/>
          <w:szCs w:val="21"/>
          <w:highlight w:val="none"/>
          <w:lang w:val="en-US" w:eastAsia="zh-CN"/>
        </w:rPr>
        <w:t>交货期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质保期、</w:t>
      </w: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rPr>
        <w:t>等不满足</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未按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的实质性内容未使用中文表述，或意思表述不明确，或前后矛盾，或使用计量单位不符合</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的关键内容字迹模糊、无法辨认,或</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sz w:val="21"/>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shd w:val="clear" w:color="auto" w:fill="FFFFFF"/>
          <w:lang w:val="en-US" w:eastAsia="zh-CN"/>
        </w:rPr>
        <w:t>任何一项技术参数不满足采购要求的</w:t>
      </w:r>
      <w:r>
        <w:rPr>
          <w:rFonts w:hint="eastAsia" w:ascii="宋体" w:hAnsi="宋体" w:eastAsia="宋体" w:cs="宋体"/>
          <w:color w:val="auto"/>
          <w:sz w:val="21"/>
          <w:szCs w:val="21"/>
          <w:highlight w:val="none"/>
        </w:rPr>
        <w:t>。</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）不符合</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决定投标的响应性只根据</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.4.4 对资格性检查和符合性检查不合格的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，将</w:t>
      </w:r>
      <w:r>
        <w:rPr>
          <w:rFonts w:hint="eastAsia" w:ascii="宋体" w:hAnsi="宋体" w:eastAsia="宋体" w:cs="宋体"/>
          <w:color w:val="auto"/>
          <w:kern w:val="0"/>
          <w:sz w:val="21"/>
          <w:szCs w:val="21"/>
          <w:highlight w:val="none"/>
          <w:lang w:val="en-US" w:eastAsia="zh-CN"/>
        </w:rPr>
        <w:t>通过评标系统</w:t>
      </w:r>
      <w:r>
        <w:rPr>
          <w:rFonts w:hint="eastAsia" w:ascii="宋体" w:hAnsi="宋体" w:eastAsia="宋体" w:cs="宋体"/>
          <w:color w:val="auto"/>
          <w:kern w:val="0"/>
          <w:sz w:val="21"/>
          <w:szCs w:val="21"/>
          <w:highlight w:val="none"/>
        </w:rPr>
        <w:t>告知其理由。</w:t>
      </w:r>
    </w:p>
    <w:p w14:paraId="74B995EB">
      <w:pPr>
        <w:pStyle w:val="2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40" w:leftChars="50" w:firstLine="315" w:firstLineChars="15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.5.1不同</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 w:val="21"/>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40" w:leftChars="50" w:firstLine="315" w:firstLineChars="15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.5.2不同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40" w:leftChars="50" w:firstLine="315" w:firstLineChars="15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.5.3不同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40" w:leftChars="50" w:firstLine="315" w:firstLineChars="15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.5.4不同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40" w:leftChars="50" w:firstLine="315" w:firstLineChars="15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.5.5不同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40" w:leftChars="50" w:firstLine="315" w:firstLineChars="15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.5.6不同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25" w:leftChars="9" w:firstLine="399" w:firstLineChars="19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.5.7 有证据证明</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.5.8 不同</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 w:val="21"/>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 xml:space="preserve">.5.9 </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40" w:leftChars="50" w:firstLine="316" w:firstLineChars="150"/>
        <w:contextualSpacing/>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25.6 </w:t>
      </w:r>
      <w:r>
        <w:rPr>
          <w:rFonts w:hint="eastAsia" w:ascii="宋体" w:hAnsi="宋体" w:eastAsia="宋体" w:cs="宋体"/>
          <w:b/>
          <w:bCs/>
          <w:color w:val="auto"/>
          <w:kern w:val="0"/>
          <w:sz w:val="21"/>
          <w:szCs w:val="21"/>
          <w:highlight w:val="none"/>
          <w:lang w:val="en-US" w:eastAsia="zh-CN"/>
        </w:rPr>
        <w:t>谈判</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25.6.1 谈判</w:t>
      </w:r>
      <w:r>
        <w:rPr>
          <w:rFonts w:hint="eastAsia" w:ascii="宋体" w:hAnsi="宋体" w:eastAsia="宋体" w:cs="宋体"/>
          <w:b/>
          <w:bCs/>
          <w:color w:val="auto"/>
          <w:sz w:val="21"/>
          <w:szCs w:val="21"/>
          <w:highlight w:val="none"/>
        </w:rPr>
        <w:t>小组通过随机方式确定参加</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供应商的</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顺序，所有成员集中与供应商按照顺序分别单独进行</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。在</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中，</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的任何一方不得透露与</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有关的其他供应商的技术资料、价格和其他信息。在</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过程中，</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小组可以根据</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文件和</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情况实质性变动采购需求中的技术、服务要求及合同条款，但不得变动</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文件的其他内容。实质性变动的内容须经采购人代表确认。</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文件有实质性变动的，</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小组应当以书面形式通知所有参加</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sz w:val="21"/>
          <w:szCs w:val="21"/>
          <w:highlight w:val="none"/>
        </w:rPr>
      </w:pPr>
      <w:r>
        <w:rPr>
          <w:rFonts w:hint="eastAsia" w:ascii="宋体" w:hAnsi="宋体" w:eastAsia="宋体" w:cs="宋体"/>
          <w:b/>
          <w:bCs/>
          <w:color w:val="auto"/>
          <w:sz w:val="21"/>
          <w:szCs w:val="21"/>
          <w:highlight w:val="none"/>
          <w:lang w:val="en-US" w:eastAsia="zh-CN"/>
        </w:rPr>
        <w:t>25.6.2 本次竞争性谈判进行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谈判文件有实质性变动外），否则将被视为未实质性响应竞争性谈判文件。谈判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val="en-US" w:eastAsia="zh-CN"/>
        </w:rPr>
        <w:t>响应</w:t>
      </w:r>
      <w:r>
        <w:rPr>
          <w:rFonts w:hint="eastAsia" w:ascii="宋体" w:hAnsi="宋体" w:eastAsia="宋体" w:cs="宋体"/>
          <w:b/>
          <w:bCs/>
          <w:color w:val="auto"/>
          <w:kern w:val="0"/>
          <w:sz w:val="21"/>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文件中含义不明确、同类问题表述不一致或者有明显文字和计算错误的内容，</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可以书面形式要求</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作出必要的澄清。</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的澄清应当在</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规定的时间内以书面形式作出，由其</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代表签字。但澄清事项不得超出</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文件的范围，不得实质性改变</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文件的内容，不得通过澄清等方式对</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实行差别对待。</w:t>
      </w:r>
      <w:r>
        <w:rPr>
          <w:rFonts w:hint="eastAsia" w:ascii="宋体" w:hAnsi="宋体" w:eastAsia="宋体" w:cs="宋体"/>
          <w:color w:val="auto"/>
          <w:kern w:val="0"/>
          <w:sz w:val="21"/>
          <w:szCs w:val="21"/>
          <w:highlight w:val="none"/>
          <w:lang w:eastAsia="zh-CN"/>
        </w:rPr>
        <w:t>谈判小组</w:t>
      </w:r>
      <w:r>
        <w:rPr>
          <w:rFonts w:hint="eastAsia" w:ascii="宋体" w:hAnsi="宋体" w:eastAsia="宋体" w:cs="宋体"/>
          <w:color w:val="auto"/>
          <w:kern w:val="0"/>
          <w:sz w:val="21"/>
          <w:szCs w:val="21"/>
          <w:highlight w:val="none"/>
        </w:rPr>
        <w:t>不得接受</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rPr>
        <w:t>比较与评价</w:t>
      </w:r>
    </w:p>
    <w:p w14:paraId="29DCA187">
      <w:pPr>
        <w:pStyle w:val="2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2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2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.1 凡与本次</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有关人员对属于审查、澄清、评价和比较</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kern w:val="0"/>
          <w:sz w:val="21"/>
          <w:szCs w:val="21"/>
          <w:highlight w:val="none"/>
        </w:rPr>
        <w:t>的有关资料以及定标意向等，均不得向</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.2 在评标期间，</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试图影响或干预评审的任何行为，将导致其</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kern w:val="0"/>
          <w:sz w:val="21"/>
          <w:szCs w:val="21"/>
          <w:highlight w:val="none"/>
        </w:rPr>
        <w:t>被作为无效</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kern w:val="0"/>
          <w:sz w:val="21"/>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29</w:t>
      </w:r>
      <w:r>
        <w:rPr>
          <w:rFonts w:hint="eastAsia" w:ascii="宋体" w:hAnsi="宋体" w:eastAsia="宋体" w:cs="宋体"/>
          <w:b/>
          <w:color w:val="auto"/>
          <w:kern w:val="0"/>
          <w:sz w:val="21"/>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六</w:t>
      </w:r>
      <w:r>
        <w:rPr>
          <w:rFonts w:hint="eastAsia" w:ascii="宋体" w:hAnsi="宋体" w:eastAsia="宋体" w:cs="宋体"/>
          <w:b/>
          <w:bCs/>
          <w:color w:val="auto"/>
          <w:kern w:val="0"/>
          <w:sz w:val="21"/>
          <w:szCs w:val="21"/>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0</w:t>
      </w:r>
      <w:r>
        <w:rPr>
          <w:rFonts w:hint="eastAsia" w:ascii="宋体" w:hAnsi="宋体" w:eastAsia="宋体" w:cs="宋体"/>
          <w:b/>
          <w:bCs/>
          <w:color w:val="auto"/>
          <w:kern w:val="0"/>
          <w:sz w:val="21"/>
          <w:szCs w:val="21"/>
          <w:highlight w:val="none"/>
        </w:rPr>
        <w:t>. 定标原则</w:t>
      </w:r>
    </w:p>
    <w:p w14:paraId="6AC66091">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本次谈判将按照最低评标价法确定成交供应商，即在符合</w:t>
      </w:r>
      <w:r>
        <w:rPr>
          <w:rFonts w:hint="eastAsia" w:ascii="宋体" w:hAnsi="宋体" w:cs="宋体"/>
          <w:b/>
          <w:bCs w:val="0"/>
          <w:color w:val="auto"/>
          <w:kern w:val="0"/>
          <w:sz w:val="21"/>
          <w:szCs w:val="21"/>
          <w:highlight w:val="none"/>
          <w:lang w:val="en-US" w:eastAsia="zh-CN"/>
        </w:rPr>
        <w:t>技术参数</w:t>
      </w:r>
      <w:r>
        <w:rPr>
          <w:rFonts w:hint="eastAsia" w:ascii="宋体" w:hAnsi="宋体" w:eastAsia="宋体" w:cs="宋体"/>
          <w:b/>
          <w:bCs w:val="0"/>
          <w:color w:val="auto"/>
          <w:kern w:val="0"/>
          <w:sz w:val="21"/>
          <w:szCs w:val="21"/>
          <w:highlight w:val="none"/>
        </w:rPr>
        <w:t>、质量和服务相等的前提下，以供应商最后一轮报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 确定</w:t>
      </w:r>
      <w:r>
        <w:rPr>
          <w:rFonts w:hint="eastAsia" w:ascii="宋体" w:hAnsi="宋体" w:eastAsia="宋体" w:cs="宋体"/>
          <w:b/>
          <w:bCs/>
          <w:color w:val="auto"/>
          <w:kern w:val="0"/>
          <w:sz w:val="21"/>
          <w:szCs w:val="21"/>
          <w:highlight w:val="none"/>
          <w:lang w:eastAsia="zh-CN"/>
        </w:rPr>
        <w:t>成交供应商</w:t>
      </w:r>
      <w:r>
        <w:rPr>
          <w:rFonts w:hint="eastAsia" w:ascii="宋体" w:hAnsi="宋体" w:eastAsia="宋体" w:cs="宋体"/>
          <w:b/>
          <w:bCs/>
          <w:color w:val="auto"/>
          <w:kern w:val="0"/>
          <w:sz w:val="21"/>
          <w:szCs w:val="21"/>
          <w:highlight w:val="none"/>
        </w:rPr>
        <w:t>和</w:t>
      </w:r>
      <w:r>
        <w:rPr>
          <w:rFonts w:hint="eastAsia" w:ascii="宋体" w:hAnsi="宋体" w:eastAsia="宋体" w:cs="宋体"/>
          <w:b/>
          <w:bCs/>
          <w:color w:val="auto"/>
          <w:kern w:val="0"/>
          <w:sz w:val="21"/>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本项目由采购人授权</w:t>
      </w:r>
      <w:r>
        <w:rPr>
          <w:rFonts w:hint="eastAsia" w:ascii="宋体" w:hAnsi="宋体" w:eastAsia="宋体" w:cs="宋体"/>
          <w:bCs/>
          <w:color w:val="auto"/>
          <w:kern w:val="0"/>
          <w:sz w:val="21"/>
          <w:szCs w:val="21"/>
          <w:highlight w:val="none"/>
          <w:lang w:eastAsia="zh-CN"/>
        </w:rPr>
        <w:t>谈判小组</w:t>
      </w:r>
      <w:r>
        <w:rPr>
          <w:rFonts w:hint="eastAsia" w:ascii="宋体" w:hAnsi="宋体" w:eastAsia="宋体" w:cs="宋体"/>
          <w:bCs/>
          <w:color w:val="auto"/>
          <w:kern w:val="0"/>
          <w:sz w:val="21"/>
          <w:szCs w:val="21"/>
          <w:highlight w:val="none"/>
        </w:rPr>
        <w:t>确定一名</w:t>
      </w:r>
      <w:r>
        <w:rPr>
          <w:rFonts w:hint="eastAsia" w:ascii="宋体" w:hAnsi="宋体" w:eastAsia="宋体" w:cs="宋体"/>
          <w:bCs/>
          <w:color w:val="auto"/>
          <w:kern w:val="0"/>
          <w:sz w:val="21"/>
          <w:szCs w:val="21"/>
          <w:highlight w:val="none"/>
          <w:lang w:eastAsia="zh-CN"/>
        </w:rPr>
        <w:t>成交供应商</w:t>
      </w:r>
      <w:r>
        <w:rPr>
          <w:rFonts w:hint="eastAsia" w:ascii="宋体" w:hAnsi="宋体" w:eastAsia="宋体" w:cs="宋体"/>
          <w:bCs/>
          <w:color w:val="auto"/>
          <w:kern w:val="0"/>
          <w:sz w:val="21"/>
          <w:szCs w:val="21"/>
          <w:highlight w:val="none"/>
        </w:rPr>
        <w:t>并推荐</w:t>
      </w:r>
      <w:r>
        <w:rPr>
          <w:rFonts w:hint="eastAsia" w:ascii="宋体" w:hAnsi="宋体" w:eastAsia="宋体" w:cs="宋体"/>
          <w:bCs/>
          <w:color w:val="auto"/>
          <w:kern w:val="0"/>
          <w:sz w:val="21"/>
          <w:szCs w:val="21"/>
          <w:highlight w:val="none"/>
          <w:lang w:val="en-US" w:eastAsia="zh-CN"/>
        </w:rPr>
        <w:t>一</w:t>
      </w:r>
      <w:r>
        <w:rPr>
          <w:rFonts w:hint="eastAsia" w:ascii="宋体" w:hAnsi="宋体" w:eastAsia="宋体" w:cs="宋体"/>
          <w:bCs/>
          <w:color w:val="auto"/>
          <w:kern w:val="0"/>
          <w:sz w:val="21"/>
          <w:szCs w:val="21"/>
          <w:highlight w:val="none"/>
        </w:rPr>
        <w:t>名</w:t>
      </w:r>
      <w:r>
        <w:rPr>
          <w:rFonts w:hint="eastAsia" w:ascii="宋体" w:hAnsi="宋体" w:eastAsia="宋体" w:cs="宋体"/>
          <w:bCs/>
          <w:color w:val="auto"/>
          <w:kern w:val="0"/>
          <w:sz w:val="21"/>
          <w:szCs w:val="21"/>
          <w:highlight w:val="none"/>
          <w:lang w:eastAsia="zh-CN"/>
        </w:rPr>
        <w:t>成交候选供应商</w:t>
      </w:r>
      <w:r>
        <w:rPr>
          <w:rFonts w:hint="eastAsia" w:ascii="宋体" w:hAnsi="宋体" w:eastAsia="宋体" w:cs="宋体"/>
          <w:color w:val="auto"/>
          <w:kern w:val="0"/>
          <w:sz w:val="21"/>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 xml:space="preserve">. </w:t>
      </w:r>
      <w:r>
        <w:rPr>
          <w:rFonts w:hint="eastAsia" w:ascii="宋体" w:hAnsi="宋体" w:eastAsia="宋体" w:cs="宋体"/>
          <w:b/>
          <w:bCs/>
          <w:color w:val="auto"/>
          <w:kern w:val="0"/>
          <w:sz w:val="21"/>
          <w:szCs w:val="21"/>
          <w:highlight w:val="none"/>
          <w:lang w:eastAsia="zh-CN"/>
        </w:rPr>
        <w:t>成交通知书</w:t>
      </w:r>
      <w:r>
        <w:rPr>
          <w:rFonts w:hint="eastAsia" w:ascii="宋体" w:hAnsi="宋体" w:eastAsia="宋体" w:cs="宋体"/>
          <w:b/>
          <w:bCs/>
          <w:color w:val="auto"/>
          <w:kern w:val="0"/>
          <w:sz w:val="21"/>
          <w:szCs w:val="21"/>
          <w:highlight w:val="none"/>
        </w:rPr>
        <w:t>及</w:t>
      </w:r>
      <w:r>
        <w:rPr>
          <w:rFonts w:hint="eastAsia" w:ascii="宋体" w:hAnsi="宋体" w:eastAsia="宋体" w:cs="宋体"/>
          <w:b/>
          <w:bCs/>
          <w:color w:val="auto"/>
          <w:kern w:val="0"/>
          <w:sz w:val="21"/>
          <w:szCs w:val="21"/>
          <w:highlight w:val="none"/>
          <w:lang w:eastAsia="zh-CN"/>
        </w:rPr>
        <w:t>成交</w:t>
      </w:r>
      <w:r>
        <w:rPr>
          <w:rFonts w:hint="eastAsia" w:ascii="宋体" w:hAnsi="宋体" w:eastAsia="宋体" w:cs="宋体"/>
          <w:b/>
          <w:bCs/>
          <w:color w:val="auto"/>
          <w:kern w:val="0"/>
          <w:sz w:val="21"/>
          <w:szCs w:val="21"/>
          <w:highlight w:val="none"/>
          <w:lang w:val="en-US" w:eastAsia="zh-CN"/>
        </w:rPr>
        <w:t>结果</w:t>
      </w:r>
      <w:r>
        <w:rPr>
          <w:rFonts w:hint="eastAsia" w:ascii="宋体" w:hAnsi="宋体" w:eastAsia="宋体" w:cs="宋体"/>
          <w:b/>
          <w:bCs/>
          <w:color w:val="auto"/>
          <w:kern w:val="0"/>
          <w:sz w:val="21"/>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.1评审结束后，</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人将</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的情况在本</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公告发布的同一媒介予以公示，公示</w:t>
      </w:r>
      <w:r>
        <w:rPr>
          <w:rFonts w:hint="eastAsia" w:ascii="宋体" w:hAnsi="宋体" w:eastAsia="宋体" w:cs="宋体"/>
          <w:color w:val="auto"/>
          <w:kern w:val="0"/>
          <w:sz w:val="21"/>
          <w:szCs w:val="21"/>
          <w:highlight w:val="none"/>
          <w:lang w:eastAsia="zh-CN"/>
        </w:rPr>
        <w:t>期限</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个工作日</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公示期结束后</w:t>
      </w: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发出</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在规定的时间内不领取</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的，视为</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后自动放弃</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资格；</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在有效报价中报价最低,非不可抗力放弃</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对采购人和</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具有同等法律效力。</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发出后，采购人改变</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结果，或者</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放弃</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.4</w:t>
      </w:r>
      <w:r>
        <w:rPr>
          <w:rFonts w:hint="eastAsia" w:ascii="宋体" w:hAnsi="宋体" w:eastAsia="宋体" w:cs="宋体"/>
          <w:bCs/>
          <w:color w:val="auto"/>
          <w:kern w:val="0"/>
          <w:sz w:val="21"/>
          <w:szCs w:val="21"/>
          <w:highlight w:val="none"/>
          <w:lang w:eastAsia="zh-CN"/>
        </w:rPr>
        <w:t>成交通知书</w:t>
      </w:r>
      <w:r>
        <w:rPr>
          <w:rFonts w:hint="eastAsia" w:ascii="宋体" w:hAnsi="宋体" w:eastAsia="宋体" w:cs="宋体"/>
          <w:bCs/>
          <w:color w:val="auto"/>
          <w:kern w:val="0"/>
          <w:sz w:val="21"/>
          <w:szCs w:val="21"/>
          <w:highlight w:val="none"/>
        </w:rPr>
        <w:t>将作为签订合同的依据。合同签订后，</w:t>
      </w:r>
      <w:r>
        <w:rPr>
          <w:rFonts w:hint="eastAsia" w:ascii="宋体" w:hAnsi="宋体" w:eastAsia="宋体" w:cs="宋体"/>
          <w:bCs/>
          <w:color w:val="auto"/>
          <w:kern w:val="0"/>
          <w:sz w:val="21"/>
          <w:szCs w:val="21"/>
          <w:highlight w:val="none"/>
          <w:lang w:eastAsia="zh-CN"/>
        </w:rPr>
        <w:t>成交通知书</w:t>
      </w:r>
      <w:r>
        <w:rPr>
          <w:rFonts w:hint="eastAsia" w:ascii="宋体" w:hAnsi="宋体" w:eastAsia="宋体" w:cs="宋体"/>
          <w:bCs/>
          <w:color w:val="auto"/>
          <w:kern w:val="0"/>
          <w:sz w:val="21"/>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.1出现下列情况之一时，采购人有权宣布废标，并将理由通知所有</w:t>
      </w:r>
      <w:r>
        <w:rPr>
          <w:rFonts w:hint="eastAsia" w:ascii="宋体" w:hAnsi="宋体" w:eastAsia="宋体" w:cs="宋体"/>
          <w:bCs/>
          <w:color w:val="auto"/>
          <w:kern w:val="0"/>
          <w:sz w:val="21"/>
          <w:szCs w:val="21"/>
          <w:highlight w:val="none"/>
          <w:lang w:eastAsia="zh-CN"/>
        </w:rPr>
        <w:t>供应商</w:t>
      </w:r>
      <w:r>
        <w:rPr>
          <w:rFonts w:hint="eastAsia" w:ascii="宋体" w:hAnsi="宋体" w:eastAsia="宋体" w:cs="宋体"/>
          <w:bCs/>
          <w:color w:val="auto"/>
          <w:kern w:val="0"/>
          <w:sz w:val="21"/>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.1.2</w:t>
      </w:r>
      <w:r>
        <w:rPr>
          <w:rFonts w:hint="eastAsia" w:ascii="宋体" w:hAnsi="宋体" w:eastAsia="宋体" w:cs="宋体"/>
          <w:bCs/>
          <w:color w:val="auto"/>
          <w:kern w:val="0"/>
          <w:sz w:val="21"/>
          <w:szCs w:val="21"/>
          <w:highlight w:val="none"/>
          <w:lang w:eastAsia="zh-CN"/>
        </w:rPr>
        <w:t>供应商</w:t>
      </w:r>
      <w:r>
        <w:rPr>
          <w:rFonts w:hint="eastAsia" w:ascii="宋体" w:hAnsi="宋体" w:eastAsia="宋体" w:cs="宋体"/>
          <w:bCs/>
          <w:color w:val="auto"/>
          <w:kern w:val="0"/>
          <w:sz w:val="21"/>
          <w:szCs w:val="21"/>
          <w:highlight w:val="none"/>
        </w:rPr>
        <w:t>的报价均超过了</w:t>
      </w:r>
      <w:r>
        <w:rPr>
          <w:rFonts w:hint="eastAsia" w:ascii="宋体" w:hAnsi="宋体" w:eastAsia="宋体" w:cs="宋体"/>
          <w:bCs/>
          <w:color w:val="auto"/>
          <w:kern w:val="0"/>
          <w:sz w:val="21"/>
          <w:szCs w:val="21"/>
          <w:highlight w:val="none"/>
          <w:lang w:val="en-US" w:eastAsia="zh-CN"/>
        </w:rPr>
        <w:t>采购预算金额</w:t>
      </w:r>
      <w:r>
        <w:rPr>
          <w:rFonts w:hint="eastAsia" w:ascii="宋体" w:hAnsi="宋体" w:eastAsia="宋体" w:cs="宋体"/>
          <w:bCs/>
          <w:color w:val="auto"/>
          <w:kern w:val="0"/>
          <w:sz w:val="21"/>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sz w:val="21"/>
          <w:szCs w:val="21"/>
          <w:highlight w:val="none"/>
        </w:rPr>
        <w:t>投标截止后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不足3家或通过资格性检查或符合性检查的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七</w:t>
      </w:r>
      <w:r>
        <w:rPr>
          <w:rFonts w:hint="eastAsia" w:ascii="宋体" w:hAnsi="宋体" w:eastAsia="宋体" w:cs="宋体"/>
          <w:b/>
          <w:bCs/>
          <w:color w:val="auto"/>
          <w:kern w:val="0"/>
          <w:sz w:val="21"/>
          <w:szCs w:val="21"/>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.1 采购人、</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自</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发出之日起，在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文件第三章《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须知前附表》规定的时间内，根据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文件确定的事项和</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 w:val="21"/>
          <w:szCs w:val="21"/>
          <w:highlight w:val="none"/>
        </w:rPr>
        <w:t>签订合同。双方所签订的合同不得对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文件和</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 w:val="21"/>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文件的修改文件、</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 w:val="21"/>
          <w:szCs w:val="21"/>
          <w:highlight w:val="none"/>
        </w:rPr>
        <w:t>、补充或修改的文件及澄清或承诺文件等，均为双方签订合同的组成部分，并与合同一并作为本</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文件所列采购项目的互补性法律文件，与合同具有同等法律效力。</w:t>
      </w:r>
    </w:p>
    <w:p w14:paraId="3C7B556A">
      <w:pPr>
        <w:keepNext w:val="0"/>
        <w:keepLines w:val="0"/>
        <w:pageBreakBefore w:val="0"/>
        <w:kinsoku/>
        <w:wordWrap/>
        <w:overflowPunct/>
        <w:topLinePunct w:val="0"/>
        <w:bidi w:val="0"/>
        <w:snapToGrid w:val="0"/>
        <w:spacing w:line="460" w:lineRule="exact"/>
        <w:ind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 xml:space="preserve">.3 </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放弃</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、因不可抗力不能履行合同、不按照</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文件要求提交履约保证金，或者被查实存在影响</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结果的违法行为等情形，不符合</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条件的，采购人可以按照</w:t>
      </w:r>
      <w:r>
        <w:rPr>
          <w:rFonts w:hint="eastAsia" w:ascii="宋体" w:hAnsi="宋体" w:eastAsia="宋体" w:cs="宋体"/>
          <w:color w:val="auto"/>
          <w:kern w:val="0"/>
          <w:sz w:val="21"/>
          <w:szCs w:val="21"/>
          <w:highlight w:val="none"/>
          <w:lang w:eastAsia="zh-CN"/>
        </w:rPr>
        <w:t>谈判小组</w:t>
      </w:r>
      <w:r>
        <w:rPr>
          <w:rFonts w:hint="eastAsia" w:ascii="宋体" w:hAnsi="宋体" w:eastAsia="宋体" w:cs="宋体"/>
          <w:color w:val="auto"/>
          <w:kern w:val="0"/>
          <w:sz w:val="21"/>
          <w:szCs w:val="21"/>
          <w:highlight w:val="none"/>
        </w:rPr>
        <w:t>提出的</w:t>
      </w:r>
      <w:r>
        <w:rPr>
          <w:rFonts w:hint="eastAsia" w:ascii="宋体" w:hAnsi="宋体" w:eastAsia="宋体" w:cs="宋体"/>
          <w:color w:val="auto"/>
          <w:kern w:val="0"/>
          <w:sz w:val="21"/>
          <w:szCs w:val="21"/>
          <w:highlight w:val="none"/>
          <w:lang w:eastAsia="zh-CN"/>
        </w:rPr>
        <w:t>成交候选供应商</w:t>
      </w:r>
      <w:r>
        <w:rPr>
          <w:rFonts w:hint="eastAsia" w:ascii="宋体" w:hAnsi="宋体" w:eastAsia="宋体" w:cs="宋体"/>
          <w:color w:val="auto"/>
          <w:kern w:val="0"/>
          <w:sz w:val="21"/>
          <w:szCs w:val="21"/>
          <w:highlight w:val="none"/>
        </w:rPr>
        <w:t>名单排序依次确定其他</w:t>
      </w:r>
      <w:r>
        <w:rPr>
          <w:rFonts w:hint="eastAsia" w:ascii="宋体" w:hAnsi="宋体" w:eastAsia="宋体" w:cs="宋体"/>
          <w:color w:val="auto"/>
          <w:kern w:val="0"/>
          <w:sz w:val="21"/>
          <w:szCs w:val="21"/>
          <w:highlight w:val="none"/>
          <w:lang w:eastAsia="zh-CN"/>
        </w:rPr>
        <w:t>成交候选供应商</w:t>
      </w:r>
      <w:r>
        <w:rPr>
          <w:rFonts w:hint="eastAsia" w:ascii="宋体" w:hAnsi="宋体" w:eastAsia="宋体" w:cs="宋体"/>
          <w:color w:val="auto"/>
          <w:kern w:val="0"/>
          <w:sz w:val="21"/>
          <w:szCs w:val="21"/>
          <w:highlight w:val="none"/>
        </w:rPr>
        <w:t>为</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，也可以重新招标。</w:t>
      </w:r>
    </w:p>
    <w:p w14:paraId="66EB9B8A">
      <w:pPr>
        <w:pStyle w:val="46"/>
        <w:snapToGrid w:val="0"/>
        <w:jc w:val="center"/>
        <w:textAlignment w:val="baseline"/>
        <w:rPr>
          <w:rFonts w:hint="eastAsia" w:ascii="宋体" w:hAnsi="宋体" w:eastAsia="宋体" w:cs="宋体"/>
          <w:b/>
          <w:bCs/>
          <w:sz w:val="36"/>
          <w:szCs w:val="24"/>
        </w:rPr>
      </w:pPr>
    </w:p>
    <w:p w14:paraId="07D2C4B4">
      <w:pPr>
        <w:pStyle w:val="46"/>
        <w:snapToGrid w:val="0"/>
        <w:jc w:val="center"/>
        <w:textAlignment w:val="baseline"/>
        <w:rPr>
          <w:rFonts w:hint="eastAsia" w:ascii="宋体" w:hAnsi="宋体" w:eastAsia="宋体" w:cs="宋体"/>
          <w:b/>
          <w:bCs/>
          <w:sz w:val="36"/>
          <w:szCs w:val="24"/>
        </w:rPr>
      </w:pPr>
    </w:p>
    <w:p w14:paraId="612A658B">
      <w:pPr>
        <w:pStyle w:val="46"/>
        <w:snapToGrid w:val="0"/>
        <w:jc w:val="center"/>
        <w:textAlignment w:val="baseline"/>
        <w:rPr>
          <w:rFonts w:hint="eastAsia" w:ascii="宋体" w:hAnsi="宋体" w:eastAsia="宋体" w:cs="宋体"/>
          <w:b/>
          <w:bCs/>
          <w:sz w:val="36"/>
          <w:szCs w:val="24"/>
        </w:rPr>
      </w:pPr>
    </w:p>
    <w:p w14:paraId="4DD39AD7">
      <w:pPr>
        <w:pStyle w:val="46"/>
        <w:snapToGrid w:val="0"/>
        <w:jc w:val="center"/>
        <w:textAlignment w:val="baseline"/>
        <w:rPr>
          <w:rFonts w:hint="eastAsia" w:ascii="宋体" w:hAnsi="宋体" w:eastAsia="宋体" w:cs="宋体"/>
          <w:b/>
          <w:bCs/>
          <w:sz w:val="36"/>
          <w:szCs w:val="24"/>
        </w:rPr>
      </w:pPr>
    </w:p>
    <w:p w14:paraId="66D7CD1B">
      <w:pPr>
        <w:pStyle w:val="46"/>
        <w:snapToGrid w:val="0"/>
        <w:jc w:val="center"/>
        <w:textAlignment w:val="baseline"/>
        <w:rPr>
          <w:rFonts w:hint="eastAsia" w:ascii="宋体" w:hAnsi="宋体" w:eastAsia="宋体" w:cs="宋体"/>
          <w:b/>
          <w:bCs/>
          <w:sz w:val="32"/>
          <w:szCs w:val="32"/>
        </w:rPr>
      </w:pPr>
      <w:r>
        <w:rPr>
          <w:rFonts w:hint="eastAsia" w:ascii="宋体" w:hAnsi="宋体" w:eastAsia="宋体" w:cs="宋体"/>
          <w:b/>
          <w:bCs/>
          <w:sz w:val="36"/>
          <w:szCs w:val="24"/>
        </w:rPr>
        <w:br w:type="page"/>
      </w:r>
    </w:p>
    <w:p w14:paraId="3D3055C2">
      <w:pPr>
        <w:pStyle w:val="46"/>
        <w:keepNext w:val="0"/>
        <w:keepLines w:val="0"/>
        <w:pageBreakBefore w:val="0"/>
        <w:widowControl w:val="0"/>
        <w:kinsoku/>
        <w:wordWrap/>
        <w:overflowPunct/>
        <w:topLinePunct w:val="0"/>
        <w:autoSpaceDE/>
        <w:autoSpaceDN/>
        <w:bidi w:val="0"/>
        <w:adjustRightInd/>
        <w:snapToGrid w:val="0"/>
        <w:spacing w:before="313" w:beforeLines="100" w:after="313" w:afterLines="100" w:line="460" w:lineRule="exact"/>
        <w:jc w:val="center"/>
        <w:textAlignment w:val="baseline"/>
        <w:outlineLvl w:val="0"/>
        <w:rPr>
          <w:rFonts w:hint="eastAsia" w:ascii="宋体" w:hAnsi="宋体" w:eastAsia="宋体" w:cs="宋体"/>
          <w:b/>
          <w:bCs/>
          <w:sz w:val="36"/>
          <w:szCs w:val="24"/>
        </w:rPr>
      </w:pPr>
      <w:bookmarkStart w:id="76" w:name="_Toc2714"/>
      <w:r>
        <w:rPr>
          <w:rFonts w:hint="eastAsia" w:ascii="宋体" w:hAnsi="宋体" w:eastAsia="宋体" w:cs="宋体"/>
          <w:b/>
          <w:bCs/>
          <w:sz w:val="36"/>
          <w:szCs w:val="24"/>
        </w:rPr>
        <w:t>第四章  政府采购合同（主要条款）</w:t>
      </w:r>
      <w:bookmarkEnd w:id="76"/>
    </w:p>
    <w:p w14:paraId="7FBEC056">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（以实际合同为准）</w:t>
      </w:r>
    </w:p>
    <w:p w14:paraId="62378663">
      <w:pPr>
        <w:pStyle w:val="45"/>
        <w:snapToGrid w:val="0"/>
        <w:jc w:val="both"/>
        <w:textAlignment w:val="baseline"/>
        <w:rPr>
          <w:rFonts w:hint="eastAsia" w:ascii="宋体" w:hAnsi="宋体" w:eastAsia="宋体" w:cs="宋体"/>
        </w:rPr>
      </w:pPr>
    </w:p>
    <w:p w14:paraId="3C96580F">
      <w:pPr>
        <w:pStyle w:val="46"/>
        <w:keepNext w:val="0"/>
        <w:keepLines w:val="0"/>
        <w:pageBreakBefore w:val="0"/>
        <w:widowControl w:val="0"/>
        <w:kinsoku/>
        <w:wordWrap/>
        <w:overflowPunct/>
        <w:topLinePunct w:val="0"/>
        <w:autoSpaceDE/>
        <w:autoSpaceDN/>
        <w:bidi w:val="0"/>
        <w:adjustRightInd/>
        <w:snapToGrid w:val="0"/>
        <w:spacing w:before="313" w:beforeLines="100" w:after="313" w:afterLines="100" w:line="460" w:lineRule="exact"/>
        <w:jc w:val="center"/>
        <w:textAlignment w:val="baseline"/>
        <w:outlineLvl w:val="0"/>
        <w:rPr>
          <w:rFonts w:hint="eastAsia" w:ascii="宋体" w:hAnsi="宋体" w:eastAsia="宋体" w:cs="宋体"/>
          <w:b/>
          <w:bCs/>
          <w:sz w:val="36"/>
          <w:szCs w:val="24"/>
        </w:rPr>
        <w:sectPr>
          <w:pgSz w:w="12240" w:h="15840"/>
          <w:pgMar w:top="1440" w:right="1800" w:bottom="1440" w:left="1800" w:header="850" w:footer="1077" w:gutter="0"/>
          <w:pgNumType w:fmt="decimal"/>
          <w:cols w:space="0" w:num="1"/>
          <w:docGrid w:linePitch="312" w:charSpace="0"/>
        </w:sectPr>
      </w:pPr>
    </w:p>
    <w:p w14:paraId="309F1B87">
      <w:pPr>
        <w:pStyle w:val="46"/>
        <w:keepNext w:val="0"/>
        <w:keepLines w:val="0"/>
        <w:pageBreakBefore w:val="0"/>
        <w:widowControl w:val="0"/>
        <w:kinsoku/>
        <w:wordWrap/>
        <w:overflowPunct/>
        <w:topLinePunct w:val="0"/>
        <w:autoSpaceDE/>
        <w:autoSpaceDN/>
        <w:bidi w:val="0"/>
        <w:adjustRightInd/>
        <w:snapToGrid w:val="0"/>
        <w:spacing w:before="313" w:beforeLines="100" w:after="313" w:afterLines="100" w:line="460" w:lineRule="exact"/>
        <w:jc w:val="center"/>
        <w:textAlignment w:val="baseline"/>
        <w:outlineLvl w:val="0"/>
        <w:rPr>
          <w:rFonts w:hint="eastAsia" w:ascii="宋体" w:hAnsi="宋体" w:eastAsia="宋体" w:cs="宋体"/>
          <w:b/>
          <w:bCs/>
          <w:sz w:val="36"/>
          <w:szCs w:val="24"/>
        </w:rPr>
      </w:pPr>
      <w:bookmarkStart w:id="77" w:name="_Toc13353"/>
      <w:r>
        <w:rPr>
          <w:rFonts w:hint="eastAsia" w:ascii="宋体" w:hAnsi="宋体" w:eastAsia="宋体" w:cs="宋体"/>
          <w:b/>
          <w:bCs/>
          <w:sz w:val="36"/>
          <w:szCs w:val="24"/>
        </w:rPr>
        <w:t>第五章  谈判响应文件格式</w:t>
      </w:r>
      <w:bookmarkEnd w:id="77"/>
    </w:p>
    <w:p w14:paraId="5860F8D1">
      <w:pPr>
        <w:pStyle w:val="46"/>
        <w:snapToGrid w:val="0"/>
        <w:textAlignment w:val="baseline"/>
        <w:rPr>
          <w:rFonts w:hint="eastAsia" w:ascii="宋体" w:hAnsi="宋体" w:eastAsia="宋体" w:cs="宋体"/>
        </w:rPr>
      </w:pPr>
    </w:p>
    <w:p w14:paraId="4BAF32E9">
      <w:pPr>
        <w:snapToGrid w:val="0"/>
        <w:textAlignment w:val="baseline"/>
        <w:rPr>
          <w:rFonts w:hint="eastAsia" w:ascii="宋体" w:hAnsi="宋体" w:eastAsia="宋体" w:cs="宋体"/>
          <w:sz w:val="20"/>
        </w:rPr>
      </w:pPr>
    </w:p>
    <w:p w14:paraId="7D2095FB">
      <w:pPr>
        <w:pStyle w:val="10"/>
        <w:snapToGrid w:val="0"/>
        <w:spacing w:before="312" w:after="312" w:line="600" w:lineRule="exact"/>
        <w:jc w:val="center"/>
        <w:textAlignment w:val="baseline"/>
        <w:rPr>
          <w:rFonts w:hint="eastAsia" w:ascii="宋体" w:hAnsi="宋体" w:eastAsia="宋体" w:cs="宋体"/>
          <w:b/>
          <w:bCs/>
          <w:sz w:val="32"/>
          <w:u w:val="singl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8BC1CBF">
      <w:pPr>
        <w:pStyle w:val="10"/>
        <w:snapToGrid w:val="0"/>
        <w:spacing w:before="312" w:after="312"/>
        <w:jc w:val="center"/>
        <w:textAlignment w:val="baseline"/>
        <w:rPr>
          <w:rFonts w:hint="eastAsia" w:ascii="宋体" w:hAnsi="宋体" w:eastAsia="宋体" w:cs="宋体"/>
          <w:b/>
          <w:bCs/>
          <w:sz w:val="52"/>
          <w:szCs w:val="52"/>
        </w:rPr>
      </w:pPr>
      <w:r>
        <w:rPr>
          <w:rFonts w:hint="eastAsia" w:ascii="宋体" w:hAnsi="宋体" w:eastAsia="宋体" w:cs="宋体"/>
          <w:b/>
          <w:bCs/>
          <w:sz w:val="52"/>
          <w:szCs w:val="52"/>
        </w:rPr>
        <w:t>响应文件</w:t>
      </w:r>
    </w:p>
    <w:p w14:paraId="7792C1FB">
      <w:pPr>
        <w:pStyle w:val="10"/>
        <w:snapToGrid w:val="0"/>
        <w:spacing w:before="312" w:after="312" w:line="600" w:lineRule="exact"/>
        <w:jc w:val="center"/>
        <w:textAlignment w:val="baseline"/>
        <w:rPr>
          <w:rFonts w:hint="eastAsia" w:ascii="宋体" w:hAnsi="宋体" w:eastAsia="宋体" w:cs="宋体"/>
          <w:b/>
          <w:bCs/>
          <w:sz w:val="32"/>
          <w:u w:val="single"/>
        </w:rPr>
      </w:pPr>
    </w:p>
    <w:p w14:paraId="7C8B7D85">
      <w:pPr>
        <w:pStyle w:val="10"/>
        <w:snapToGrid w:val="0"/>
        <w:spacing w:before="312" w:after="312" w:line="600" w:lineRule="exact"/>
        <w:textAlignment w:val="baseline"/>
        <w:rPr>
          <w:rFonts w:hint="eastAsia" w:ascii="宋体" w:hAnsi="宋体" w:eastAsia="宋体" w:cs="宋体"/>
          <w:b/>
          <w:bCs/>
          <w:sz w:val="32"/>
          <w:u w:val="single"/>
        </w:rPr>
      </w:pPr>
    </w:p>
    <w:p w14:paraId="0E794097">
      <w:pPr>
        <w:pStyle w:val="10"/>
        <w:snapToGrid w:val="0"/>
        <w:spacing w:before="312" w:after="312" w:line="600" w:lineRule="exact"/>
        <w:jc w:val="center"/>
        <w:textAlignment w:val="baseline"/>
        <w:rPr>
          <w:rFonts w:hint="eastAsia" w:ascii="宋体" w:hAnsi="宋体" w:eastAsia="宋体" w:cs="宋体"/>
          <w:b/>
          <w:bCs/>
          <w:sz w:val="32"/>
          <w:u w:val="single"/>
        </w:rPr>
      </w:pPr>
    </w:p>
    <w:p w14:paraId="2383E1D5">
      <w:pPr>
        <w:pStyle w:val="10"/>
        <w:snapToGrid w:val="0"/>
        <w:spacing w:before="312" w:after="312" w:line="600" w:lineRule="exact"/>
        <w:ind w:firstLine="1968" w:firstLineChars="700"/>
        <w:textAlignment w:val="baseline"/>
        <w:rPr>
          <w:rFonts w:hint="eastAsia" w:ascii="宋体" w:hAnsi="宋体" w:eastAsia="宋体" w:cs="宋体"/>
          <w:b/>
          <w:bCs/>
          <w:szCs w:val="28"/>
          <w:u w:val="none"/>
          <w:lang w:val="en-US" w:eastAsia="zh-CN"/>
        </w:rPr>
      </w:pPr>
    </w:p>
    <w:p w14:paraId="67F0F890">
      <w:pPr>
        <w:pStyle w:val="10"/>
        <w:snapToGrid w:val="0"/>
        <w:spacing w:before="312" w:after="312" w:line="600" w:lineRule="exact"/>
        <w:ind w:firstLine="1968" w:firstLineChars="700"/>
        <w:textAlignment w:val="baseline"/>
        <w:rPr>
          <w:rFonts w:hint="eastAsia" w:ascii="宋体" w:hAnsi="宋体" w:eastAsia="宋体" w:cs="宋体"/>
          <w:b/>
          <w:bCs/>
          <w:szCs w:val="28"/>
          <w:u w:val="none"/>
          <w:lang w:val="en-US" w:eastAsia="zh-CN"/>
        </w:rPr>
      </w:pPr>
    </w:p>
    <w:p w14:paraId="36E70BB3">
      <w:pPr>
        <w:pStyle w:val="10"/>
        <w:snapToGrid w:val="0"/>
        <w:spacing w:before="312" w:after="312" w:line="600" w:lineRule="exact"/>
        <w:ind w:firstLine="1968" w:firstLineChars="700"/>
        <w:textAlignment w:val="baseline"/>
        <w:rPr>
          <w:rFonts w:hint="eastAsia" w:ascii="宋体" w:hAnsi="宋体" w:eastAsia="宋体" w:cs="宋体"/>
          <w:b/>
          <w:bCs/>
          <w:szCs w:val="28"/>
          <w:u w:val="none"/>
        </w:rPr>
      </w:pPr>
      <w:r>
        <w:rPr>
          <w:rFonts w:hint="eastAsia" w:ascii="宋体" w:hAnsi="宋体" w:eastAsia="宋体" w:cs="宋体"/>
          <w:b/>
          <w:bCs/>
          <w:szCs w:val="28"/>
          <w:u w:val="none"/>
          <w:lang w:val="en-US" w:eastAsia="zh-CN"/>
        </w:rPr>
        <w:t>供应商（全称并加盖单位公章）：</w:t>
      </w:r>
    </w:p>
    <w:p w14:paraId="4DB5F78F">
      <w:pPr>
        <w:pStyle w:val="10"/>
        <w:snapToGrid w:val="0"/>
        <w:spacing w:before="312" w:after="312" w:line="600" w:lineRule="exact"/>
        <w:ind w:firstLine="1968" w:firstLineChars="700"/>
        <w:textAlignment w:val="baseline"/>
        <w:rPr>
          <w:rFonts w:hint="eastAsia" w:ascii="宋体" w:hAnsi="宋体" w:eastAsia="宋体" w:cs="宋体"/>
          <w:b/>
          <w:bCs/>
          <w:szCs w:val="28"/>
        </w:rPr>
      </w:pPr>
      <w:r>
        <w:rPr>
          <w:rFonts w:hint="eastAsia" w:ascii="宋体" w:hAnsi="宋体" w:eastAsia="宋体" w:cs="宋体"/>
          <w:b/>
          <w:bCs/>
          <w:szCs w:val="28"/>
        </w:rPr>
        <w:t>法定代表人或其委托代理人：（签字或盖章）</w:t>
      </w:r>
    </w:p>
    <w:p w14:paraId="2B36C694">
      <w:pPr>
        <w:pStyle w:val="9"/>
        <w:snapToGrid w:val="0"/>
        <w:spacing w:line="500" w:lineRule="exact"/>
        <w:ind w:left="560" w:firstLine="1405" w:firstLineChars="500"/>
        <w:textAlignment w:val="baseline"/>
        <w:rPr>
          <w:rFonts w:hint="eastAsia" w:ascii="宋体" w:hAnsi="宋体" w:eastAsia="宋体" w:cs="宋体"/>
          <w:b/>
          <w:bCs/>
          <w:szCs w:val="28"/>
        </w:rPr>
      </w:pPr>
      <w:r>
        <w:rPr>
          <w:rFonts w:hint="eastAsia" w:ascii="宋体" w:hAnsi="宋体" w:eastAsia="宋体" w:cs="宋体"/>
          <w:b/>
          <w:bCs/>
          <w:szCs w:val="28"/>
        </w:rPr>
        <w:t>日      期：  年   月  日</w:t>
      </w:r>
    </w:p>
    <w:p w14:paraId="2637B0AA">
      <w:pPr>
        <w:jc w:val="center"/>
        <w:rPr>
          <w:rFonts w:hint="eastAsia" w:ascii="宋体" w:hAnsi="宋体" w:eastAsia="宋体" w:cs="宋体"/>
          <w:b/>
          <w:bCs w:val="0"/>
          <w:color w:val="000000"/>
          <w:sz w:val="28"/>
          <w:szCs w:val="28"/>
          <w:lang w:val="en-US" w:eastAsia="zh-CN"/>
        </w:rPr>
      </w:pPr>
      <w:bookmarkStart w:id="78" w:name="_Toc27059"/>
    </w:p>
    <w:p w14:paraId="05220C9F">
      <w:pPr>
        <w:jc w:val="center"/>
        <w:rPr>
          <w:rFonts w:hint="eastAsia" w:ascii="宋体" w:hAnsi="宋体" w:eastAsia="宋体" w:cs="宋体"/>
          <w:b/>
          <w:bCs w:val="0"/>
          <w:color w:val="000000"/>
          <w:sz w:val="28"/>
          <w:szCs w:val="28"/>
          <w:lang w:val="en-US" w:eastAsia="zh-CN"/>
        </w:rPr>
      </w:pPr>
    </w:p>
    <w:p w14:paraId="666573F4">
      <w:pPr>
        <w:jc w:val="center"/>
        <w:rPr>
          <w:rFonts w:hint="eastAsia" w:ascii="宋体" w:hAnsi="宋体" w:eastAsia="宋体" w:cs="宋体"/>
          <w:b/>
          <w:bCs w:val="0"/>
          <w:color w:val="000000"/>
          <w:sz w:val="28"/>
          <w:szCs w:val="28"/>
          <w:lang w:val="en-US" w:eastAsia="zh-CN"/>
        </w:rPr>
      </w:pPr>
    </w:p>
    <w:p w14:paraId="5C88E8DB">
      <w:pPr>
        <w:jc w:val="center"/>
        <w:rPr>
          <w:rFonts w:hint="eastAsia" w:ascii="宋体" w:hAnsi="宋体" w:eastAsia="宋体" w:cs="宋体"/>
          <w:b/>
          <w:bCs w:val="0"/>
          <w:color w:val="000000"/>
          <w:sz w:val="28"/>
          <w:szCs w:val="28"/>
          <w:lang w:val="en-US" w:eastAsia="zh-CN"/>
        </w:rPr>
        <w:sectPr>
          <w:pgSz w:w="12240" w:h="15840"/>
          <w:pgMar w:top="1440" w:right="1800" w:bottom="1440" w:left="1800" w:header="850" w:footer="1077" w:gutter="0"/>
          <w:pgNumType w:fmt="decimal"/>
          <w:cols w:space="0" w:num="1"/>
          <w:docGrid w:linePitch="312" w:charSpace="0"/>
        </w:sectPr>
      </w:pPr>
    </w:p>
    <w:p w14:paraId="30DFE023">
      <w:pPr>
        <w:jc w:val="center"/>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目录</w:t>
      </w:r>
    </w:p>
    <w:p w14:paraId="1A3E3F2A">
      <w:pPr>
        <w:snapToGrid w:val="0"/>
        <w:spacing w:line="360" w:lineRule="auto"/>
        <w:ind w:firstLine="480" w:firstLineChars="200"/>
        <w:rPr>
          <w:rFonts w:hint="eastAsia" w:ascii="宋体" w:hAnsi="宋体" w:eastAsia="宋体" w:cs="宋体"/>
          <w:color w:val="auto"/>
          <w:sz w:val="24"/>
          <w:highlight w:val="none"/>
        </w:rPr>
      </w:pPr>
      <w:bookmarkStart w:id="79"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封面（格式）</w:t>
      </w:r>
      <w:bookmarkEnd w:id="79"/>
    </w:p>
    <w:p w14:paraId="6FD740C1">
      <w:pPr>
        <w:snapToGrid w:val="0"/>
        <w:spacing w:line="360" w:lineRule="auto"/>
        <w:ind w:firstLine="480" w:firstLineChars="200"/>
        <w:rPr>
          <w:rFonts w:hint="eastAsia" w:ascii="宋体" w:hAnsi="宋体" w:eastAsia="宋体" w:cs="宋体"/>
          <w:color w:val="auto"/>
          <w:sz w:val="24"/>
          <w:highlight w:val="none"/>
        </w:rPr>
      </w:pPr>
      <w:bookmarkStart w:id="80"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竞争性</w:t>
      </w:r>
      <w:r>
        <w:rPr>
          <w:rFonts w:hint="eastAsia" w:ascii="宋体" w:hAnsi="宋体" w:eastAsia="宋体" w:cs="宋体"/>
          <w:color w:val="auto"/>
          <w:sz w:val="24"/>
          <w:highlight w:val="none"/>
          <w:lang w:val="en-US" w:eastAsia="zh-CN"/>
        </w:rPr>
        <w:t>谈判响应书</w:t>
      </w:r>
      <w:r>
        <w:rPr>
          <w:rFonts w:hint="eastAsia" w:ascii="宋体" w:hAnsi="宋体" w:eastAsia="宋体" w:cs="宋体"/>
          <w:color w:val="auto"/>
          <w:sz w:val="24"/>
          <w:highlight w:val="none"/>
        </w:rPr>
        <w:t>（格式）</w:t>
      </w:r>
      <w:bookmarkEnd w:id="80"/>
    </w:p>
    <w:p w14:paraId="504A06C8">
      <w:pPr>
        <w:snapToGrid w:val="0"/>
        <w:spacing w:line="360" w:lineRule="auto"/>
        <w:ind w:firstLine="480" w:firstLineChars="200"/>
        <w:rPr>
          <w:rFonts w:hint="eastAsia" w:ascii="宋体" w:hAnsi="宋体" w:eastAsia="宋体" w:cs="宋体"/>
          <w:color w:val="auto"/>
          <w:sz w:val="24"/>
          <w:highlight w:val="none"/>
        </w:rPr>
      </w:pPr>
      <w:bookmarkStart w:id="81"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初次报价</w:t>
      </w:r>
      <w:r>
        <w:rPr>
          <w:rFonts w:hint="eastAsia" w:ascii="宋体" w:hAnsi="宋体" w:eastAsia="宋体" w:cs="宋体"/>
          <w:color w:val="auto"/>
          <w:sz w:val="24"/>
          <w:highlight w:val="none"/>
        </w:rPr>
        <w:t>一览表（格式）</w:t>
      </w:r>
      <w:bookmarkEnd w:id="81"/>
    </w:p>
    <w:p w14:paraId="4ED9D4F4">
      <w:pPr>
        <w:snapToGrid w:val="0"/>
        <w:spacing w:line="360" w:lineRule="auto"/>
        <w:ind w:firstLine="480" w:firstLineChars="200"/>
        <w:rPr>
          <w:rFonts w:hint="eastAsia" w:ascii="宋体" w:hAnsi="宋体" w:eastAsia="宋体" w:cs="宋体"/>
          <w:color w:val="auto"/>
          <w:sz w:val="24"/>
          <w:highlight w:val="none"/>
          <w:lang w:val="en-US"/>
        </w:rPr>
      </w:pPr>
      <w:bookmarkStart w:id="82" w:name="_Toc9579"/>
      <w:r>
        <w:rPr>
          <w:rFonts w:hint="eastAsia" w:ascii="宋体" w:hAnsi="宋体" w:eastAsia="宋体" w:cs="宋体"/>
          <w:color w:val="auto"/>
          <w:sz w:val="24"/>
          <w:highlight w:val="none"/>
        </w:rPr>
        <w:t xml:space="preserve">附件4 </w:t>
      </w:r>
      <w:bookmarkEnd w:id="82"/>
      <w:r>
        <w:rPr>
          <w:rFonts w:hint="eastAsia" w:ascii="宋体" w:hAnsi="宋体" w:eastAsia="宋体" w:cs="宋体"/>
          <w:color w:val="auto"/>
          <w:sz w:val="24"/>
          <w:highlight w:val="none"/>
          <w:lang w:val="en-US" w:eastAsia="zh-CN"/>
        </w:rPr>
        <w:t xml:space="preserve">  报价明细表</w:t>
      </w:r>
      <w:r>
        <w:rPr>
          <w:rFonts w:hint="eastAsia" w:ascii="宋体" w:hAnsi="宋体" w:eastAsia="宋体" w:cs="宋体"/>
          <w:color w:val="auto"/>
          <w:sz w:val="24"/>
          <w:highlight w:val="none"/>
        </w:rPr>
        <w:t>（格式）</w:t>
      </w:r>
    </w:p>
    <w:p w14:paraId="33D13C87">
      <w:pPr>
        <w:snapToGrid w:val="0"/>
        <w:spacing w:line="360" w:lineRule="auto"/>
        <w:ind w:firstLine="480" w:firstLineChars="200"/>
        <w:rPr>
          <w:rFonts w:hint="eastAsia" w:ascii="宋体" w:hAnsi="宋体" w:eastAsia="宋体" w:cs="宋体"/>
          <w:color w:val="auto"/>
          <w:sz w:val="24"/>
          <w:highlight w:val="none"/>
        </w:rPr>
      </w:pPr>
      <w:bookmarkStart w:id="83"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bookmarkEnd w:id="83"/>
      <w:r>
        <w:rPr>
          <w:rFonts w:hint="eastAsia" w:ascii="宋体" w:hAnsi="宋体" w:cs="宋体"/>
          <w:color w:val="auto"/>
          <w:sz w:val="24"/>
          <w:highlight w:val="none"/>
          <w:lang w:val="en-US" w:eastAsia="zh-CN"/>
        </w:rPr>
        <w:t>响应表</w:t>
      </w:r>
      <w:r>
        <w:rPr>
          <w:rFonts w:hint="eastAsia" w:ascii="宋体" w:hAnsi="宋体" w:eastAsia="宋体" w:cs="宋体"/>
          <w:color w:val="auto"/>
          <w:sz w:val="24"/>
          <w:highlight w:val="none"/>
        </w:rPr>
        <w:t>（格式）</w:t>
      </w:r>
    </w:p>
    <w:p w14:paraId="773A93EB">
      <w:pPr>
        <w:snapToGrid w:val="0"/>
        <w:spacing w:line="360" w:lineRule="auto"/>
        <w:ind w:firstLine="480" w:firstLineChars="200"/>
        <w:rPr>
          <w:rFonts w:hint="eastAsia" w:ascii="宋体" w:hAnsi="宋体" w:eastAsia="宋体" w:cs="宋体"/>
          <w:color w:val="auto"/>
          <w:sz w:val="24"/>
          <w:highlight w:val="none"/>
          <w:lang w:val="en-US" w:eastAsia="zh-CN"/>
        </w:rPr>
      </w:pPr>
      <w:bookmarkStart w:id="84" w:name="_Toc6234"/>
      <w:r>
        <w:rPr>
          <w:rFonts w:hint="eastAsia" w:ascii="宋体" w:hAnsi="宋体" w:eastAsia="宋体" w:cs="宋体"/>
          <w:color w:val="auto"/>
          <w:sz w:val="24"/>
          <w:highlight w:val="none"/>
        </w:rPr>
        <w:t xml:space="preserve">附件6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商务</w:t>
      </w:r>
      <w:bookmarkEnd w:id="84"/>
      <w:r>
        <w:rPr>
          <w:rFonts w:hint="eastAsia" w:ascii="宋体" w:hAnsi="宋体" w:cs="宋体"/>
          <w:color w:val="auto"/>
          <w:sz w:val="24"/>
          <w:highlight w:val="none"/>
          <w:lang w:val="en-US" w:eastAsia="zh-CN"/>
        </w:rPr>
        <w:t>响应表</w:t>
      </w:r>
      <w:r>
        <w:rPr>
          <w:rFonts w:hint="eastAsia" w:ascii="宋体" w:hAnsi="宋体" w:eastAsia="宋体" w:cs="宋体"/>
          <w:color w:val="auto"/>
          <w:sz w:val="24"/>
          <w:highlight w:val="none"/>
        </w:rPr>
        <w:t>（格式）</w:t>
      </w:r>
    </w:p>
    <w:p w14:paraId="274E1220">
      <w:pPr>
        <w:snapToGrid w:val="0"/>
        <w:spacing w:line="360" w:lineRule="auto"/>
        <w:ind w:firstLine="480" w:firstLineChars="200"/>
        <w:rPr>
          <w:rFonts w:hint="eastAsia" w:ascii="宋体" w:hAnsi="宋体" w:eastAsia="宋体" w:cs="宋体"/>
          <w:color w:val="auto"/>
          <w:sz w:val="24"/>
          <w:highlight w:val="none"/>
        </w:rPr>
      </w:pPr>
      <w:bookmarkStart w:id="85"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5"/>
    </w:p>
    <w:p w14:paraId="19652397">
      <w:pPr>
        <w:snapToGrid w:val="0"/>
        <w:spacing w:line="360" w:lineRule="auto"/>
        <w:ind w:firstLine="480" w:firstLineChars="200"/>
        <w:rPr>
          <w:rFonts w:hint="eastAsia" w:ascii="宋体" w:hAnsi="宋体" w:eastAsia="宋体" w:cs="宋体"/>
          <w:color w:val="auto"/>
          <w:sz w:val="24"/>
          <w:highlight w:val="none"/>
        </w:rPr>
      </w:pPr>
      <w:bookmarkStart w:id="86"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86"/>
    </w:p>
    <w:p w14:paraId="2EC97182">
      <w:pPr>
        <w:snapToGrid w:val="0"/>
        <w:spacing w:line="360" w:lineRule="auto"/>
        <w:ind w:firstLine="480" w:firstLineChars="200"/>
        <w:rPr>
          <w:rFonts w:hint="eastAsia" w:ascii="宋体" w:hAnsi="宋体" w:eastAsia="宋体" w:cs="宋体"/>
          <w:color w:val="auto"/>
          <w:sz w:val="24"/>
          <w:highlight w:val="none"/>
        </w:rPr>
      </w:pPr>
      <w:bookmarkStart w:id="87" w:name="_Toc31857"/>
      <w:r>
        <w:rPr>
          <w:rFonts w:hint="eastAsia" w:ascii="宋体" w:hAnsi="宋体" w:eastAsia="宋体" w:cs="宋体"/>
          <w:color w:val="auto"/>
          <w:sz w:val="24"/>
          <w:highlight w:val="none"/>
        </w:rPr>
        <w:t xml:space="preserve">附件9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证明文件</w:t>
      </w:r>
      <w:bookmarkEnd w:id="87"/>
    </w:p>
    <w:p w14:paraId="5AE8379E">
      <w:pPr>
        <w:snapToGrid w:val="0"/>
        <w:spacing w:line="360" w:lineRule="auto"/>
        <w:ind w:firstLine="480" w:firstLineChars="200"/>
        <w:rPr>
          <w:rFonts w:hint="eastAsia" w:ascii="宋体" w:hAnsi="宋体" w:eastAsia="宋体" w:cs="宋体"/>
          <w:color w:val="auto"/>
          <w:sz w:val="24"/>
          <w:highlight w:val="none"/>
        </w:rPr>
      </w:pPr>
      <w:bookmarkStart w:id="88" w:name="_Toc23116"/>
      <w:r>
        <w:rPr>
          <w:rFonts w:hint="eastAsia" w:ascii="宋体" w:hAnsi="宋体" w:eastAsia="宋体" w:cs="宋体"/>
          <w:color w:val="auto"/>
          <w:sz w:val="24"/>
          <w:highlight w:val="none"/>
        </w:rPr>
        <w:t xml:space="preserve">附件10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供应商承诺书（格式）</w:t>
      </w:r>
      <w:bookmarkEnd w:id="88"/>
    </w:p>
    <w:p w14:paraId="52F8F007">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2C19EACB">
      <w:pPr>
        <w:pStyle w:val="21"/>
        <w:ind w:left="0" w:leftChars="0" w:firstLine="0" w:firstLineChars="0"/>
        <w:rPr>
          <w:rFonts w:hint="eastAsia" w:ascii="宋体" w:hAnsi="宋体" w:eastAsia="宋体" w:cs="宋体"/>
          <w:lang w:val="en-US"/>
        </w:rPr>
      </w:pPr>
    </w:p>
    <w:p w14:paraId="3823CD52">
      <w:pPr>
        <w:rPr>
          <w:rFonts w:hint="eastAsia" w:ascii="宋体" w:hAnsi="宋体" w:eastAsia="宋体" w:cs="宋体"/>
          <w:b/>
          <w:color w:val="000000"/>
          <w:sz w:val="32"/>
          <w:szCs w:val="32"/>
        </w:rPr>
      </w:pPr>
      <w:r>
        <w:rPr>
          <w:rFonts w:hint="eastAsia" w:ascii="宋体" w:hAnsi="宋体" w:eastAsia="宋体" w:cs="宋体"/>
          <w:b/>
          <w:color w:val="000000"/>
          <w:sz w:val="32"/>
          <w:szCs w:val="32"/>
          <w:lang w:val="zh-CN"/>
        </w:rPr>
        <w:br w:type="page"/>
      </w:r>
    </w:p>
    <w:bookmarkEnd w:id="78"/>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8818"/>
      <w:bookmarkStart w:id="90" w:name="_Toc14560"/>
      <w:r>
        <w:rPr>
          <w:rFonts w:hint="eastAsia" w:ascii="宋体" w:hAnsi="宋体" w:eastAsia="宋体" w:cs="宋体"/>
          <w:color w:val="auto"/>
          <w:sz w:val="28"/>
          <w:szCs w:val="28"/>
          <w:highlight w:val="none"/>
          <w:lang w:val="en-US" w:eastAsia="zh-CN"/>
        </w:rPr>
        <w:t>附件2  竞争性谈判响应书（格式）</w:t>
      </w:r>
      <w:bookmarkEnd w:id="89"/>
      <w:bookmarkEnd w:id="9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采购人</w:t>
      </w:r>
      <w:r>
        <w:rPr>
          <w:rFonts w:hint="eastAsia" w:ascii="宋体" w:hAnsi="宋体" w:eastAsia="宋体" w:cs="宋体"/>
          <w:color w:val="auto"/>
          <w:kern w:val="0"/>
          <w:sz w:val="21"/>
          <w:szCs w:val="21"/>
          <w:highlight w:val="none"/>
          <w:u w:val="single"/>
        </w:rPr>
        <w:t>名称）</w:t>
      </w:r>
      <w:r>
        <w:rPr>
          <w:rFonts w:hint="eastAsia" w:ascii="宋体" w:hAnsi="宋体" w:eastAsia="宋体" w:cs="宋体"/>
          <w:color w:val="auto"/>
          <w:kern w:val="0"/>
          <w:sz w:val="21"/>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eastAsia="zh-CN"/>
        </w:rPr>
        <w:t>供应商</w:t>
      </w:r>
      <w:r>
        <w:rPr>
          <w:rFonts w:hint="eastAsia" w:ascii="宋体" w:hAnsi="宋体" w:eastAsia="宋体" w:cs="宋体"/>
          <w:color w:val="auto"/>
          <w:kern w:val="0"/>
          <w:sz w:val="21"/>
          <w:szCs w:val="21"/>
          <w:highlight w:val="none"/>
          <w:u w:val="single"/>
        </w:rPr>
        <w:t>名称）</w:t>
      </w:r>
      <w:r>
        <w:rPr>
          <w:rFonts w:hint="eastAsia" w:ascii="宋体" w:hAnsi="宋体" w:eastAsia="宋体" w:cs="宋体"/>
          <w:color w:val="auto"/>
          <w:kern w:val="0"/>
          <w:sz w:val="21"/>
          <w:szCs w:val="21"/>
          <w:highlight w:val="none"/>
        </w:rPr>
        <w:t xml:space="preserve">现委托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（姓名）为我方代理人，参加贵方组织的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项目的</w:t>
      </w:r>
      <w:r>
        <w:rPr>
          <w:rFonts w:hint="eastAsia" w:ascii="宋体" w:hAnsi="宋体" w:cs="宋体"/>
          <w:color w:val="auto"/>
          <w:kern w:val="0"/>
          <w:sz w:val="21"/>
          <w:szCs w:val="21"/>
          <w:highlight w:val="none"/>
          <w:lang w:val="en-US" w:eastAsia="zh-CN"/>
        </w:rPr>
        <w:t>竞争性谈判活动</w:t>
      </w:r>
      <w:r>
        <w:rPr>
          <w:rFonts w:hint="eastAsia" w:ascii="宋体" w:hAnsi="宋体" w:eastAsia="宋体" w:cs="宋体"/>
          <w:color w:val="auto"/>
          <w:kern w:val="0"/>
          <w:sz w:val="21"/>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、商务响应表。</w:t>
      </w:r>
    </w:p>
    <w:p w14:paraId="17B794A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、法定代表人身份证明。</w:t>
      </w:r>
    </w:p>
    <w:p w14:paraId="4C25EC94">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、法定代表人授权书。</w:t>
      </w:r>
    </w:p>
    <w:p w14:paraId="3DB0D844">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、证明文件。</w:t>
      </w:r>
    </w:p>
    <w:p w14:paraId="51919EF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、供应商承诺书。</w:t>
      </w:r>
    </w:p>
    <w:p w14:paraId="5402C4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供应商信用承诺函</w:t>
      </w:r>
      <w:r>
        <w:rPr>
          <w:rFonts w:hint="eastAsia" w:ascii="宋体" w:hAnsi="宋体" w:eastAsia="宋体" w:cs="宋体"/>
          <w:color w:val="auto"/>
          <w:kern w:val="0"/>
          <w:sz w:val="21"/>
          <w:szCs w:val="21"/>
          <w:highlight w:val="none"/>
        </w:rPr>
        <w:t>。</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为便于贵方公正、择优地确定</w:t>
      </w:r>
      <w:r>
        <w:rPr>
          <w:rFonts w:hint="eastAsia" w:ascii="宋体" w:hAnsi="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1、我方承诺已经具备</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文件中规定的参加政府采购活动的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应当具备的条件。我方愿意向贵方提供任何与本</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2、我方承诺在</w:t>
      </w:r>
      <w:r>
        <w:rPr>
          <w:rFonts w:hint="eastAsia" w:ascii="宋体" w:hAnsi="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3、我方同意在</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文件有效期内遵守本</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文件中的承诺且在此期限期满之前均具有约束力。如果我方</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4、我方已详细审查全部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文件，包括修改文件（如有的话）和有关附件，将自行承担因对全部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5、我方保证尊重</w:t>
      </w:r>
      <w:r>
        <w:rPr>
          <w:rFonts w:hint="eastAsia" w:ascii="宋体" w:hAnsi="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的评</w:t>
      </w:r>
      <w:r>
        <w:rPr>
          <w:rFonts w:hint="eastAsia" w:ascii="宋体" w:hAnsi="宋体" w:eastAsia="宋体" w:cs="宋体"/>
          <w:color w:val="auto"/>
          <w:kern w:val="0"/>
          <w:sz w:val="21"/>
          <w:szCs w:val="21"/>
          <w:highlight w:val="none"/>
          <w:lang w:val="en-US" w:eastAsia="zh-CN"/>
        </w:rPr>
        <w:t>审</w:t>
      </w:r>
      <w:r>
        <w:rPr>
          <w:rFonts w:hint="eastAsia" w:ascii="宋体" w:hAnsi="宋体" w:eastAsia="宋体" w:cs="宋体"/>
          <w:color w:val="auto"/>
          <w:kern w:val="0"/>
          <w:sz w:val="21"/>
          <w:szCs w:val="21"/>
          <w:highlight w:val="none"/>
        </w:rPr>
        <w:t>结果。</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6、我方理解并遵守</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文件的全部规定，接受</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7、如果我方代表</w:t>
      </w:r>
      <w:r>
        <w:rPr>
          <w:rFonts w:hint="eastAsia" w:ascii="宋体" w:hAnsi="宋体" w:eastAsia="宋体" w:cs="宋体"/>
          <w:bCs/>
          <w:color w:val="auto"/>
          <w:kern w:val="0"/>
          <w:sz w:val="21"/>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8、如果我方存在</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9、如果发生</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.4.1、2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.4.3项所述情况，同意我方投标被作为无效</w:t>
      </w:r>
      <w:r>
        <w:rPr>
          <w:rFonts w:hint="eastAsia" w:ascii="宋体" w:hAnsi="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10、如果发生</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.5项所述情况，同意</w:t>
      </w:r>
      <w:r>
        <w:rPr>
          <w:rFonts w:hint="eastAsia" w:ascii="宋体" w:hAnsi="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11、如果现场变更采购方式，我方同意在不改变</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12、如果被确定为</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供应商，我方同意按</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文件的规定领取</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并缴纳服务费。否则，视为我方</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后自动放弃</w:t>
      </w:r>
      <w:r>
        <w:rPr>
          <w:rFonts w:hint="eastAsia" w:ascii="宋体" w:hAnsi="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13、如果被确定为</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供应商，我方同意在领取</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之日起</w:t>
      </w:r>
      <w:r>
        <w:rPr>
          <w:rFonts w:hint="eastAsia" w:ascii="宋体" w:hAnsi="宋体" w:eastAsia="宋体" w:cs="宋体"/>
          <w:color w:val="auto"/>
          <w:kern w:val="0"/>
          <w:sz w:val="21"/>
          <w:szCs w:val="21"/>
          <w:highlight w:val="none"/>
          <w:u w:val="single"/>
          <w:lang w:val="en-US" w:eastAsia="zh-CN"/>
        </w:rPr>
        <w:t xml:space="preserve"> 30  </w:t>
      </w:r>
      <w:r>
        <w:rPr>
          <w:rFonts w:hint="eastAsia" w:ascii="宋体" w:hAnsi="宋体" w:eastAsia="宋体" w:cs="宋体"/>
          <w:color w:val="auto"/>
          <w:kern w:val="0"/>
          <w:sz w:val="21"/>
          <w:szCs w:val="21"/>
          <w:highlight w:val="none"/>
        </w:rPr>
        <w:t>日内，按照</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文件的规定与采购人签订采购合同。否则，视为我方</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14、我方最近3年内的被公开披露或查处的违法违规行为有：</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若无，则填无；若有，逐一列明</w:t>
      </w:r>
      <w:r>
        <w:rPr>
          <w:rFonts w:hint="eastAsia" w:ascii="宋体" w:hAnsi="宋体" w:cs="宋体"/>
          <w:b/>
          <w:bCs/>
          <w:color w:val="auto"/>
          <w:kern w:val="0"/>
          <w:sz w:val="21"/>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16、与</w:t>
      </w:r>
      <w:r>
        <w:rPr>
          <w:rFonts w:hint="eastAsia" w:ascii="宋体" w:hAnsi="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   地址：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   电话：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供应商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全称并</w:t>
      </w:r>
      <w:r>
        <w:rPr>
          <w:rFonts w:hint="eastAsia" w:ascii="宋体" w:hAnsi="宋体" w:eastAsia="宋体" w:cs="宋体"/>
          <w:color w:val="auto"/>
          <w:kern w:val="0"/>
          <w:sz w:val="21"/>
          <w:szCs w:val="21"/>
          <w:highlight w:val="none"/>
          <w:lang w:val="en-US" w:eastAsia="zh-CN"/>
        </w:rPr>
        <w:t>加</w:t>
      </w:r>
      <w:r>
        <w:rPr>
          <w:rFonts w:hint="eastAsia" w:ascii="宋体" w:hAnsi="宋体" w:eastAsia="宋体" w:cs="宋体"/>
          <w:color w:val="auto"/>
          <w:kern w:val="0"/>
          <w:sz w:val="21"/>
          <w:szCs w:val="21"/>
          <w:highlight w:val="none"/>
          <w:lang w:eastAsia="zh-CN"/>
        </w:rPr>
        <w:t>盖</w:t>
      </w:r>
      <w:r>
        <w:rPr>
          <w:rFonts w:hint="eastAsia" w:ascii="宋体" w:hAnsi="宋体" w:eastAsia="宋体" w:cs="宋体"/>
          <w:color w:val="auto"/>
          <w:kern w:val="0"/>
          <w:sz w:val="21"/>
          <w:szCs w:val="21"/>
          <w:highlight w:val="none"/>
          <w:lang w:val="en-US" w:eastAsia="zh-CN"/>
        </w:rPr>
        <w:t>公</w:t>
      </w:r>
      <w:r>
        <w:rPr>
          <w:rFonts w:hint="eastAsia" w:ascii="宋体" w:hAnsi="宋体" w:eastAsia="宋体" w:cs="宋体"/>
          <w:color w:val="auto"/>
          <w:kern w:val="0"/>
          <w:sz w:val="21"/>
          <w:szCs w:val="21"/>
          <w:highlight w:val="none"/>
          <w:lang w:eastAsia="zh-CN"/>
        </w:rPr>
        <w:t>章</w:t>
      </w:r>
      <w:r>
        <w:rPr>
          <w:rFonts w:hint="eastAsia" w:ascii="宋体" w:hAnsi="宋体" w:eastAsia="宋体" w:cs="宋体"/>
          <w:color w:val="auto"/>
          <w:kern w:val="0"/>
          <w:sz w:val="21"/>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7838"/>
      <w:r>
        <w:rPr>
          <w:rFonts w:hint="eastAsia" w:ascii="宋体" w:hAnsi="宋体" w:eastAsia="宋体" w:cs="宋体"/>
          <w:color w:val="auto"/>
          <w:sz w:val="28"/>
          <w:szCs w:val="28"/>
          <w:highlight w:val="none"/>
          <w:lang w:val="en-US" w:eastAsia="zh-CN"/>
        </w:rPr>
        <w:t>附件3  初次报价一览表</w:t>
      </w:r>
      <w:bookmarkEnd w:id="9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单位：</w:t>
      </w:r>
      <w:r>
        <w:rPr>
          <w:rFonts w:hint="eastAsia" w:ascii="宋体" w:hAnsi="宋体" w:cs="宋体"/>
          <w:color w:val="auto"/>
          <w:sz w:val="21"/>
          <w:szCs w:val="21"/>
          <w:highlight w:val="none"/>
          <w:lang w:val="en-US" w:eastAsia="zh-CN"/>
        </w:rPr>
        <w:t>元</w:t>
      </w:r>
    </w:p>
    <w:tbl>
      <w:tblPr>
        <w:tblStyle w:val="2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5483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11620502">
            <w:pPr>
              <w:widowControl/>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项目名称</w:t>
            </w:r>
          </w:p>
        </w:tc>
        <w:tc>
          <w:tcPr>
            <w:tcW w:w="7321" w:type="dxa"/>
            <w:noWrap/>
            <w:vAlign w:val="center"/>
          </w:tcPr>
          <w:p w14:paraId="5E982746">
            <w:pPr>
              <w:rPr>
                <w:rFonts w:hint="eastAsia" w:ascii="宋体" w:hAnsi="宋体" w:eastAsia="宋体" w:cs="宋体"/>
                <w:bCs/>
                <w:color w:val="auto"/>
                <w:sz w:val="21"/>
                <w:szCs w:val="21"/>
                <w:highlight w:val="none"/>
              </w:rPr>
            </w:pPr>
          </w:p>
        </w:tc>
      </w:tr>
      <w:tr w14:paraId="0A3D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119EC6A7">
            <w:pPr>
              <w:widowControl/>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p>
        </w:tc>
        <w:tc>
          <w:tcPr>
            <w:tcW w:w="7321" w:type="dxa"/>
            <w:noWrap/>
            <w:vAlign w:val="center"/>
          </w:tcPr>
          <w:p w14:paraId="27D760E4">
            <w:pPr>
              <w:rPr>
                <w:rFonts w:hint="eastAsia" w:ascii="宋体" w:hAnsi="宋体" w:eastAsia="宋体" w:cs="宋体"/>
                <w:color w:val="auto"/>
                <w:sz w:val="21"/>
                <w:szCs w:val="21"/>
                <w:highlight w:val="none"/>
              </w:rPr>
            </w:pPr>
          </w:p>
        </w:tc>
      </w:tr>
      <w:tr w14:paraId="0D33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4891DD4C">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rPr>
              <w:t>报价</w:t>
            </w:r>
          </w:p>
        </w:tc>
        <w:tc>
          <w:tcPr>
            <w:tcW w:w="7321" w:type="dxa"/>
            <w:noWrap/>
            <w:vAlign w:val="center"/>
          </w:tcPr>
          <w:p w14:paraId="3653818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1F1540BF">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元（详见报价明细表）</w:t>
            </w:r>
          </w:p>
        </w:tc>
      </w:tr>
      <w:tr w14:paraId="2DA4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37306C3E">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有效期</w:t>
            </w:r>
          </w:p>
        </w:tc>
        <w:tc>
          <w:tcPr>
            <w:tcW w:w="7321" w:type="dxa"/>
            <w:noWrap/>
            <w:vAlign w:val="center"/>
          </w:tcPr>
          <w:p w14:paraId="59D987EC">
            <w:pPr>
              <w:pStyle w:val="11"/>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w:t>
            </w:r>
          </w:p>
        </w:tc>
        <w:tc>
          <w:tcPr>
            <w:tcW w:w="7321" w:type="dxa"/>
            <w:noWrap/>
            <w:vAlign w:val="center"/>
          </w:tcPr>
          <w:p w14:paraId="699FCDD3">
            <w:pPr>
              <w:pStyle w:val="11"/>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 1、报价一经涂改，应在涂改处加盖单位公章或</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按格式填列，不得自行更改。否则引起的不利后果由</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承担。</w:t>
      </w:r>
    </w:p>
    <w:p w14:paraId="0DDB8DE7">
      <w:pPr>
        <w:spacing w:line="360" w:lineRule="auto"/>
        <w:ind w:firstLine="420" w:firstLineChars="200"/>
        <w:jc w:val="center"/>
        <w:rPr>
          <w:rFonts w:hint="eastAsia" w:ascii="宋体" w:hAnsi="宋体" w:eastAsia="宋体" w:cs="宋体"/>
          <w:color w:val="auto"/>
          <w:sz w:val="21"/>
          <w:szCs w:val="21"/>
          <w:highlight w:val="none"/>
          <w:lang w:eastAsia="zh-CN"/>
        </w:rPr>
      </w:pPr>
      <w:bookmarkStart w:id="92" w:name="_Toc20877"/>
      <w:bookmarkStart w:id="93" w:name="_Toc11620"/>
    </w:p>
    <w:bookmarkEnd w:id="92"/>
    <w:bookmarkEnd w:id="93"/>
    <w:p w14:paraId="6F998BE2">
      <w:pPr>
        <w:spacing w:line="360" w:lineRule="auto"/>
        <w:ind w:firstLine="420" w:firstLineChars="200"/>
        <w:jc w:val="center"/>
        <w:rPr>
          <w:rFonts w:hint="eastAsia" w:ascii="宋体" w:hAnsi="宋体" w:eastAsia="宋体" w:cs="宋体"/>
          <w:color w:val="auto"/>
          <w:kern w:val="0"/>
          <w:sz w:val="21"/>
          <w:szCs w:val="21"/>
          <w:highlight w:val="none"/>
        </w:rPr>
      </w:pPr>
      <w:bookmarkStart w:id="94" w:name="_Toc625"/>
      <w:bookmarkStart w:id="95" w:name="_Toc12222"/>
      <w:r>
        <w:rPr>
          <w:rFonts w:hint="eastAsia" w:ascii="宋体" w:hAnsi="宋体" w:eastAsia="宋体" w:cs="宋体"/>
          <w:color w:val="auto"/>
          <w:kern w:val="0"/>
          <w:sz w:val="21"/>
          <w:szCs w:val="21"/>
          <w:highlight w:val="none"/>
          <w:lang w:eastAsia="zh-CN"/>
        </w:rPr>
        <w:t>供应商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全称并</w:t>
      </w:r>
      <w:r>
        <w:rPr>
          <w:rFonts w:hint="eastAsia" w:ascii="宋体" w:hAnsi="宋体" w:eastAsia="宋体" w:cs="宋体"/>
          <w:color w:val="auto"/>
          <w:kern w:val="0"/>
          <w:sz w:val="21"/>
          <w:szCs w:val="21"/>
          <w:highlight w:val="none"/>
          <w:lang w:val="en-US" w:eastAsia="zh-CN"/>
        </w:rPr>
        <w:t>加</w:t>
      </w:r>
      <w:r>
        <w:rPr>
          <w:rFonts w:hint="eastAsia" w:ascii="宋体" w:hAnsi="宋体" w:eastAsia="宋体" w:cs="宋体"/>
          <w:color w:val="auto"/>
          <w:kern w:val="0"/>
          <w:sz w:val="21"/>
          <w:szCs w:val="21"/>
          <w:highlight w:val="none"/>
          <w:lang w:eastAsia="zh-CN"/>
        </w:rPr>
        <w:t>盖</w:t>
      </w:r>
      <w:r>
        <w:rPr>
          <w:rFonts w:hint="eastAsia" w:ascii="宋体" w:hAnsi="宋体" w:eastAsia="宋体" w:cs="宋体"/>
          <w:color w:val="auto"/>
          <w:kern w:val="0"/>
          <w:sz w:val="21"/>
          <w:szCs w:val="21"/>
          <w:highlight w:val="none"/>
          <w:lang w:val="en-US" w:eastAsia="zh-CN"/>
        </w:rPr>
        <w:t>公</w:t>
      </w:r>
      <w:r>
        <w:rPr>
          <w:rFonts w:hint="eastAsia" w:ascii="宋体" w:hAnsi="宋体" w:eastAsia="宋体" w:cs="宋体"/>
          <w:color w:val="auto"/>
          <w:kern w:val="0"/>
          <w:sz w:val="21"/>
          <w:szCs w:val="21"/>
          <w:highlight w:val="none"/>
          <w:lang w:eastAsia="zh-CN"/>
        </w:rPr>
        <w:t>章</w:t>
      </w:r>
      <w:r>
        <w:rPr>
          <w:rFonts w:hint="eastAsia" w:ascii="宋体" w:hAnsi="宋体" w:eastAsia="宋体" w:cs="宋体"/>
          <w:color w:val="auto"/>
          <w:kern w:val="0"/>
          <w:sz w:val="21"/>
          <w:szCs w:val="21"/>
          <w:highlight w:val="none"/>
        </w:rPr>
        <w:t>）</w:t>
      </w:r>
    </w:p>
    <w:p w14:paraId="1523170F">
      <w:pPr>
        <w:spacing w:line="360" w:lineRule="auto"/>
        <w:ind w:firstLine="2310" w:firstLineChars="11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rPr>
        <w:t>）：</w:t>
      </w:r>
      <w:bookmarkEnd w:id="94"/>
      <w:bookmarkEnd w:id="95"/>
    </w:p>
    <w:p w14:paraId="2959E3BC">
      <w:pPr>
        <w:jc w:val="center"/>
        <w:rPr>
          <w:rFonts w:hint="eastAsia" w:ascii="宋体" w:hAnsi="宋体" w:eastAsia="宋体" w:cs="宋体"/>
          <w:color w:val="auto"/>
          <w:sz w:val="21"/>
          <w:szCs w:val="21"/>
          <w:highlight w:val="none"/>
        </w:rPr>
      </w:pPr>
    </w:p>
    <w:p w14:paraId="64AF2685">
      <w:pPr>
        <w:spacing w:line="360" w:lineRule="auto"/>
        <w:ind w:firstLine="420" w:firstLineChars="200"/>
        <w:jc w:val="center"/>
        <w:rPr>
          <w:rFonts w:hint="eastAsia" w:ascii="宋体" w:hAnsi="宋体" w:eastAsia="宋体" w:cs="宋体"/>
          <w:color w:val="auto"/>
          <w:sz w:val="21"/>
          <w:szCs w:val="21"/>
          <w:highlight w:val="none"/>
        </w:rPr>
      </w:pPr>
      <w:bookmarkStart w:id="96" w:name="_Toc1330"/>
      <w:bookmarkStart w:id="97" w:name="_Toc9950"/>
      <w:r>
        <w:rPr>
          <w:rFonts w:hint="eastAsia" w:ascii="宋体" w:hAnsi="宋体" w:eastAsia="宋体" w:cs="宋体"/>
          <w:color w:val="auto"/>
          <w:sz w:val="21"/>
          <w:szCs w:val="21"/>
          <w:highlight w:val="none"/>
        </w:rPr>
        <w:t>年  月  日</w:t>
      </w:r>
      <w:bookmarkEnd w:id="96"/>
      <w:bookmarkEnd w:id="97"/>
    </w:p>
    <w:p w14:paraId="75AF52ED">
      <w:pPr>
        <w:rPr>
          <w:rFonts w:hint="eastAsia" w:ascii="宋体" w:hAnsi="宋体" w:eastAsia="宋体" w:cs="宋体"/>
          <w:color w:val="auto"/>
          <w:highlight w:val="none"/>
        </w:rPr>
      </w:pPr>
    </w:p>
    <w:p w14:paraId="55668C71">
      <w:pPr>
        <w:rPr>
          <w:rFonts w:hint="eastAsia" w:ascii="宋体" w:hAnsi="宋体" w:eastAsia="宋体" w:cs="宋体"/>
          <w:color w:val="auto"/>
          <w:highlight w:val="none"/>
        </w:rPr>
      </w:pPr>
      <w:bookmarkStart w:id="98" w:name="_Toc22004"/>
      <w:bookmarkStart w:id="99" w:name="_Toc24984"/>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附件4</w:t>
      </w:r>
      <w:bookmarkEnd w:id="98"/>
      <w:bookmarkEnd w:id="99"/>
      <w:r>
        <w:rPr>
          <w:rFonts w:hint="eastAsia" w:ascii="宋体" w:hAnsi="宋体" w:eastAsia="宋体" w:cs="宋体"/>
          <w:color w:val="auto"/>
          <w:sz w:val="28"/>
          <w:szCs w:val="28"/>
          <w:highlight w:val="none"/>
          <w:lang w:val="en-US" w:eastAsia="zh-CN"/>
        </w:rPr>
        <w:t xml:space="preserve">  报价明细表（格式）</w:t>
      </w:r>
    </w:p>
    <w:p w14:paraId="79C39A44">
      <w:pPr>
        <w:jc w:val="righ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auto"/>
          <w:kern w:val="0"/>
          <w:sz w:val="21"/>
          <w:szCs w:val="21"/>
          <w:highlight w:val="none"/>
        </w:rPr>
        <w:t>金额单位：人民币（元）</w:t>
      </w:r>
    </w:p>
    <w:tbl>
      <w:tblPr>
        <w:tblStyle w:val="2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827"/>
        <w:gridCol w:w="169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序号</w:t>
            </w:r>
          </w:p>
        </w:tc>
        <w:tc>
          <w:tcPr>
            <w:tcW w:w="182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货物名称</w:t>
            </w:r>
          </w:p>
        </w:tc>
        <w:tc>
          <w:tcPr>
            <w:tcW w:w="169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82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69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2</w:t>
            </w:r>
          </w:p>
        </w:tc>
        <w:tc>
          <w:tcPr>
            <w:tcW w:w="182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69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3</w:t>
            </w:r>
          </w:p>
        </w:tc>
        <w:tc>
          <w:tcPr>
            <w:tcW w:w="182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69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4</w:t>
            </w:r>
          </w:p>
        </w:tc>
        <w:tc>
          <w:tcPr>
            <w:tcW w:w="182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69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82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69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w:t>
            </w:r>
          </w:p>
        </w:tc>
        <w:tc>
          <w:tcPr>
            <w:tcW w:w="182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eastAsia="zh-CN"/>
              </w:rPr>
            </w:pPr>
            <w:r>
              <w:rPr>
                <w:rFonts w:hint="eastAsia" w:ascii="宋体" w:hAnsi="宋体" w:eastAsia="宋体" w:cs="宋体"/>
                <w:color w:val="auto"/>
                <w:spacing w:val="20"/>
                <w:kern w:val="0"/>
                <w:sz w:val="21"/>
                <w:szCs w:val="21"/>
                <w:highlight w:val="none"/>
                <w:lang w:val="en-US" w:eastAsia="zh-CN"/>
              </w:rPr>
              <w:t>总计</w:t>
            </w:r>
          </w:p>
        </w:tc>
        <w:tc>
          <w:tcPr>
            <w:tcW w:w="169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1"/>
                <w:szCs w:val="21"/>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谈判</w:t>
            </w:r>
            <w:r>
              <w:rPr>
                <w:rFonts w:hint="eastAsia" w:ascii="宋体" w:hAnsi="宋体" w:eastAsia="宋体" w:cs="宋体"/>
                <w:color w:val="auto"/>
                <w:spacing w:val="20"/>
                <w:kern w:val="0"/>
                <w:sz w:val="21"/>
                <w:szCs w:val="21"/>
                <w:highlight w:val="none"/>
              </w:rPr>
              <w:t>报价(</w:t>
            </w:r>
            <w:r>
              <w:rPr>
                <w:rFonts w:hint="eastAsia" w:ascii="宋体" w:hAnsi="宋体" w:eastAsia="宋体" w:cs="宋体"/>
                <w:color w:val="auto"/>
                <w:kern w:val="0"/>
                <w:sz w:val="21"/>
                <w:szCs w:val="21"/>
                <w:highlight w:val="none"/>
              </w:rPr>
              <w:t>大写)：</w:t>
            </w:r>
          </w:p>
        </w:tc>
      </w:tr>
    </w:tbl>
    <w:p w14:paraId="6D438FFE">
      <w:pPr>
        <w:widowControl/>
        <w:shd w:val="clear" w:color="auto" w:fill="FFFFFF"/>
        <w:spacing w:line="360" w:lineRule="auto"/>
        <w:ind w:left="1974" w:leftChars="705" w:firstLine="2032" w:firstLineChars="726"/>
        <w:jc w:val="both"/>
        <w:rPr>
          <w:rFonts w:hint="eastAsia" w:ascii="宋体" w:hAnsi="宋体" w:eastAsia="宋体" w:cs="宋体"/>
          <w:color w:val="auto"/>
          <w:kern w:val="0"/>
          <w:szCs w:val="21"/>
          <w:highlight w:val="none"/>
          <w:lang w:eastAsia="zh-CN"/>
        </w:rPr>
      </w:pPr>
    </w:p>
    <w:p w14:paraId="62CB4FDF">
      <w:pPr>
        <w:widowControl/>
        <w:shd w:val="clear" w:color="auto" w:fill="FFFFFF"/>
        <w:spacing w:line="360" w:lineRule="auto"/>
        <w:jc w:val="right"/>
        <w:rPr>
          <w:rFonts w:hint="eastAsia" w:ascii="宋体" w:hAnsi="宋体" w:eastAsia="宋体" w:cs="宋体"/>
          <w:color w:val="auto"/>
          <w:kern w:val="0"/>
          <w:sz w:val="21"/>
          <w:szCs w:val="21"/>
          <w:highlight w:val="none"/>
          <w:lang w:eastAsia="zh-CN"/>
        </w:rPr>
      </w:pPr>
    </w:p>
    <w:p w14:paraId="00925D17">
      <w:pPr>
        <w:widowControl/>
        <w:shd w:val="clear" w:color="auto" w:fill="FFFFFF"/>
        <w:spacing w:line="360" w:lineRule="auto"/>
        <w:jc w:val="right"/>
        <w:rPr>
          <w:rFonts w:hint="eastAsia" w:ascii="宋体" w:hAnsi="宋体" w:eastAsia="宋体" w:cs="宋体"/>
          <w:color w:val="auto"/>
          <w:kern w:val="0"/>
          <w:sz w:val="21"/>
          <w:szCs w:val="21"/>
          <w:highlight w:val="none"/>
          <w:lang w:eastAsia="zh-CN"/>
        </w:rPr>
      </w:pPr>
    </w:p>
    <w:p w14:paraId="1DEC94A1">
      <w:pPr>
        <w:widowControl/>
        <w:shd w:val="clear" w:color="auto" w:fill="FFFFFF"/>
        <w:spacing w:line="360" w:lineRule="auto"/>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全称并</w:t>
      </w:r>
      <w:r>
        <w:rPr>
          <w:rFonts w:hint="eastAsia" w:ascii="宋体" w:hAnsi="宋体" w:eastAsia="宋体" w:cs="宋体"/>
          <w:color w:val="auto"/>
          <w:kern w:val="0"/>
          <w:sz w:val="21"/>
          <w:szCs w:val="21"/>
          <w:highlight w:val="none"/>
          <w:lang w:val="en-US" w:eastAsia="zh-CN"/>
        </w:rPr>
        <w:t>加</w:t>
      </w:r>
      <w:r>
        <w:rPr>
          <w:rFonts w:hint="eastAsia" w:ascii="宋体" w:hAnsi="宋体" w:eastAsia="宋体" w:cs="宋体"/>
          <w:color w:val="auto"/>
          <w:kern w:val="0"/>
          <w:sz w:val="21"/>
          <w:szCs w:val="21"/>
          <w:highlight w:val="none"/>
          <w:lang w:eastAsia="zh-CN"/>
        </w:rPr>
        <w:t>盖</w:t>
      </w:r>
      <w:r>
        <w:rPr>
          <w:rFonts w:hint="eastAsia" w:ascii="宋体" w:hAnsi="宋体" w:eastAsia="宋体" w:cs="宋体"/>
          <w:color w:val="auto"/>
          <w:kern w:val="0"/>
          <w:sz w:val="21"/>
          <w:szCs w:val="21"/>
          <w:highlight w:val="none"/>
          <w:lang w:val="en-US" w:eastAsia="zh-CN"/>
        </w:rPr>
        <w:t>公</w:t>
      </w:r>
      <w:r>
        <w:rPr>
          <w:rFonts w:hint="eastAsia" w:ascii="宋体" w:hAnsi="宋体" w:eastAsia="宋体" w:cs="宋体"/>
          <w:color w:val="auto"/>
          <w:kern w:val="0"/>
          <w:sz w:val="21"/>
          <w:szCs w:val="21"/>
          <w:highlight w:val="none"/>
          <w:lang w:eastAsia="zh-CN"/>
        </w:rPr>
        <w:t>章</w:t>
      </w:r>
      <w:r>
        <w:rPr>
          <w:rFonts w:hint="eastAsia" w:ascii="宋体" w:hAnsi="宋体" w:eastAsia="宋体" w:cs="宋体"/>
          <w:color w:val="auto"/>
          <w:kern w:val="0"/>
          <w:sz w:val="21"/>
          <w:szCs w:val="21"/>
          <w:highlight w:val="none"/>
        </w:rPr>
        <w:t>）</w:t>
      </w:r>
    </w:p>
    <w:p w14:paraId="343B3390">
      <w:pPr>
        <w:widowControl/>
        <w:shd w:val="clear" w:color="auto" w:fill="FFFFFF"/>
        <w:spacing w:line="360" w:lineRule="auto"/>
        <w:ind w:left="1974"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15"/>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100" w:name="_Toc15804"/>
      <w:bookmarkStart w:id="101"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23"/>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102" w:name="_Toc21708"/>
            <w:bookmarkStart w:id="103" w:name="_Toc12299"/>
            <w:bookmarkStart w:id="104" w:name="_Toc26318"/>
            <w:bookmarkStart w:id="105" w:name="_Toc4127"/>
            <w:bookmarkStart w:id="106" w:name="_Toc16108"/>
            <w:bookmarkStart w:id="107" w:name="_Toc23643"/>
            <w:bookmarkStart w:id="108" w:name="_Toc22278"/>
            <w:r>
              <w:rPr>
                <w:rFonts w:hint="eastAsia" w:ascii="宋体" w:hAnsi="宋体" w:eastAsia="宋体" w:cs="宋体"/>
                <w:b/>
                <w:color w:val="auto"/>
                <w:sz w:val="21"/>
                <w:szCs w:val="21"/>
                <w:highlight w:val="none"/>
              </w:rPr>
              <w:t>省、市、县</w:t>
            </w:r>
            <w:bookmarkEnd w:id="102"/>
            <w:bookmarkEnd w:id="103"/>
            <w:bookmarkEnd w:id="104"/>
            <w:bookmarkEnd w:id="105"/>
            <w:bookmarkEnd w:id="106"/>
            <w:bookmarkEnd w:id="107"/>
            <w:bookmarkEnd w:id="108"/>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09" w:name="_Toc32136"/>
            <w:bookmarkStart w:id="110" w:name="_Toc22255"/>
            <w:bookmarkStart w:id="111" w:name="_Toc4481"/>
            <w:bookmarkStart w:id="112" w:name="_Toc31779"/>
            <w:bookmarkStart w:id="113" w:name="_Toc18507"/>
            <w:bookmarkStart w:id="114" w:name="_Toc16741"/>
            <w:bookmarkStart w:id="115" w:name="_Toc22887"/>
            <w:r>
              <w:rPr>
                <w:rFonts w:hint="eastAsia" w:ascii="宋体" w:hAnsi="宋体" w:eastAsia="宋体" w:cs="宋体"/>
                <w:b/>
                <w:color w:val="auto"/>
                <w:sz w:val="21"/>
                <w:szCs w:val="21"/>
                <w:highlight w:val="none"/>
              </w:rPr>
              <w:t>收费编码</w:t>
            </w:r>
            <w:bookmarkEnd w:id="109"/>
            <w:bookmarkEnd w:id="110"/>
            <w:bookmarkEnd w:id="111"/>
            <w:bookmarkEnd w:id="112"/>
            <w:bookmarkEnd w:id="113"/>
            <w:bookmarkEnd w:id="114"/>
            <w:bookmarkEnd w:id="115"/>
          </w:p>
          <w:p w14:paraId="0E7218A7">
            <w:pPr>
              <w:widowControl w:val="0"/>
              <w:spacing w:line="320" w:lineRule="exact"/>
              <w:jc w:val="center"/>
              <w:outlineLvl w:val="0"/>
              <w:rPr>
                <w:color w:val="auto"/>
                <w:sz w:val="21"/>
                <w:szCs w:val="21"/>
                <w:highlight w:val="none"/>
                <w:vertAlign w:val="baseline"/>
              </w:rPr>
            </w:pPr>
            <w:bookmarkStart w:id="116" w:name="_Toc703"/>
            <w:bookmarkStart w:id="117" w:name="_Toc8544"/>
            <w:bookmarkStart w:id="118" w:name="_Toc570"/>
            <w:bookmarkStart w:id="119" w:name="_Toc18136"/>
            <w:bookmarkStart w:id="120" w:name="_Toc26006"/>
            <w:bookmarkStart w:id="121" w:name="_Toc31947"/>
            <w:bookmarkStart w:id="122" w:name="_Toc11147"/>
            <w:r>
              <w:rPr>
                <w:rFonts w:hint="eastAsia" w:ascii="宋体" w:hAnsi="宋体" w:eastAsia="宋体" w:cs="宋体"/>
                <w:b/>
                <w:color w:val="auto"/>
                <w:sz w:val="21"/>
                <w:szCs w:val="21"/>
                <w:highlight w:val="none"/>
              </w:rPr>
              <w:t>收费标准</w:t>
            </w:r>
            <w:bookmarkEnd w:id="116"/>
            <w:bookmarkEnd w:id="117"/>
            <w:bookmarkEnd w:id="118"/>
            <w:bookmarkEnd w:id="119"/>
            <w:bookmarkEnd w:id="120"/>
            <w:bookmarkEnd w:id="121"/>
            <w:bookmarkEnd w:id="122"/>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注：</w:t>
      </w:r>
      <w:r>
        <w:rPr>
          <w:rFonts w:hint="eastAsia" w:ascii="宋体" w:hAnsi="宋体" w:eastAsia="宋体" w:cs="宋体"/>
          <w:b/>
          <w:bCs/>
          <w:color w:val="auto"/>
          <w:kern w:val="2"/>
          <w:sz w:val="21"/>
          <w:szCs w:val="21"/>
          <w:highlight w:val="none"/>
          <w:lang w:val="en-US" w:eastAsia="zh-CN" w:bidi="ar-SA"/>
        </w:rPr>
        <w:t>1.请按照检测项目填写试剂。</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15"/>
        <w:rPr>
          <w:rFonts w:hint="eastAsia" w:ascii="宋体" w:hAnsi="宋体" w:cs="宋体"/>
          <w:color w:val="auto"/>
          <w:kern w:val="0"/>
          <w:sz w:val="24"/>
          <w:highlight w:val="none"/>
        </w:rPr>
      </w:pPr>
    </w:p>
    <w:p w14:paraId="5E4799AD">
      <w:pPr>
        <w:pStyle w:val="15"/>
        <w:rPr>
          <w:rFonts w:hint="eastAsia" w:ascii="宋体" w:hAnsi="宋体" w:cs="宋体"/>
          <w:color w:val="auto"/>
          <w:kern w:val="0"/>
          <w:sz w:val="24"/>
          <w:highlight w:val="none"/>
        </w:rPr>
      </w:pPr>
    </w:p>
    <w:p w14:paraId="152C8C36">
      <w:pPr>
        <w:pStyle w:val="15"/>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15"/>
        <w:rPr>
          <w:rFonts w:hint="eastAsia" w:ascii="宋体" w:hAnsi="宋体" w:cs="宋体"/>
          <w:color w:val="auto"/>
          <w:kern w:val="0"/>
          <w:sz w:val="24"/>
          <w:highlight w:val="none"/>
        </w:rPr>
      </w:pPr>
    </w:p>
    <w:p w14:paraId="02699B8D">
      <w:pPr>
        <w:pStyle w:val="15"/>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产品配置清单一览表（如有）</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15"/>
        <w:rPr>
          <w:rFonts w:hint="eastAsia" w:ascii="宋体" w:hAnsi="宋体" w:cs="宋体"/>
          <w:color w:val="auto"/>
          <w:kern w:val="0"/>
          <w:sz w:val="24"/>
          <w:highlight w:val="none"/>
          <w:lang w:val="en-US" w:eastAsia="zh-CN"/>
        </w:rPr>
      </w:pPr>
    </w:p>
    <w:p w14:paraId="0C409640">
      <w:pPr>
        <w:pStyle w:val="15"/>
        <w:rPr>
          <w:rFonts w:hint="eastAsia" w:ascii="宋体" w:hAnsi="宋体" w:cs="宋体"/>
          <w:color w:val="auto"/>
          <w:kern w:val="0"/>
          <w:sz w:val="24"/>
          <w:highlight w:val="none"/>
          <w:lang w:val="en-US" w:eastAsia="zh-CN"/>
        </w:rPr>
      </w:pPr>
    </w:p>
    <w:p w14:paraId="1C9EAA97">
      <w:pPr>
        <w:pStyle w:val="15"/>
        <w:rPr>
          <w:rFonts w:hint="eastAsia" w:ascii="宋体" w:hAnsi="宋体" w:cs="宋体"/>
          <w:color w:val="auto"/>
          <w:kern w:val="0"/>
          <w:sz w:val="24"/>
          <w:highlight w:val="none"/>
          <w:lang w:val="en-US" w:eastAsia="zh-CN"/>
        </w:rPr>
      </w:pPr>
    </w:p>
    <w:p w14:paraId="21B00144">
      <w:pPr>
        <w:pStyle w:val="15"/>
        <w:rPr>
          <w:rFonts w:hint="eastAsia" w:ascii="宋体" w:hAnsi="宋体" w:cs="宋体"/>
          <w:color w:val="auto"/>
          <w:kern w:val="0"/>
          <w:sz w:val="24"/>
          <w:highlight w:val="none"/>
          <w:lang w:val="en-US" w:eastAsia="zh-CN"/>
        </w:rPr>
      </w:pPr>
    </w:p>
    <w:p w14:paraId="2A74BFB0">
      <w:pPr>
        <w:pStyle w:val="15"/>
        <w:rPr>
          <w:rFonts w:hint="eastAsia" w:ascii="宋体" w:hAnsi="宋体" w:cs="宋体"/>
          <w:color w:val="auto"/>
          <w:kern w:val="0"/>
          <w:sz w:val="24"/>
          <w:highlight w:val="none"/>
          <w:lang w:val="en-US" w:eastAsia="zh-CN"/>
        </w:rPr>
      </w:pPr>
    </w:p>
    <w:p w14:paraId="3EF3AB43">
      <w:pPr>
        <w:pStyle w:val="15"/>
        <w:rPr>
          <w:rFonts w:hint="eastAsia" w:ascii="宋体" w:hAnsi="宋体" w:cs="宋体"/>
          <w:color w:val="auto"/>
          <w:kern w:val="0"/>
          <w:sz w:val="24"/>
          <w:highlight w:val="none"/>
          <w:lang w:val="en-US" w:eastAsia="zh-CN"/>
        </w:rPr>
      </w:pPr>
    </w:p>
    <w:p w14:paraId="4AAC2649">
      <w:pPr>
        <w:pStyle w:val="15"/>
        <w:rPr>
          <w:rFonts w:hint="default" w:ascii="宋体" w:hAnsi="宋体" w:cs="宋体"/>
          <w:color w:val="auto"/>
          <w:kern w:val="0"/>
          <w:sz w:val="24"/>
          <w:highlight w:val="none"/>
          <w:lang w:val="en-US" w:eastAsia="zh-CN"/>
        </w:rPr>
      </w:pPr>
    </w:p>
    <w:p w14:paraId="5030750C">
      <w:pPr>
        <w:pStyle w:val="1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 xml:space="preserve"> 质保期满后易损件、配件一览表</w:t>
      </w:r>
      <w:r>
        <w:rPr>
          <w:rFonts w:hint="eastAsia" w:ascii="宋体" w:hAnsi="宋体" w:cs="宋体"/>
          <w:b/>
          <w:bCs/>
          <w:color w:val="auto"/>
          <w:kern w:val="2"/>
          <w:sz w:val="28"/>
          <w:szCs w:val="28"/>
          <w:highlight w:val="none"/>
          <w:lang w:val="en-US" w:eastAsia="zh-CN" w:bidi="ar-SA"/>
        </w:rPr>
        <w:t>（如有）</w:t>
      </w:r>
    </w:p>
    <w:p w14:paraId="366976F4">
      <w:pPr>
        <w:pStyle w:val="15"/>
        <w:rPr>
          <w:rFonts w:hint="default" w:ascii="宋体" w:hAnsi="宋体" w:cs="宋体"/>
          <w:color w:val="auto"/>
          <w:kern w:val="0"/>
          <w:sz w:val="24"/>
          <w:highlight w:val="none"/>
          <w:lang w:val="en-US"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15"/>
        <w:rPr>
          <w:rFonts w:hint="default" w:ascii="宋体" w:hAnsi="宋体" w:cs="宋体"/>
          <w:color w:val="auto"/>
          <w:kern w:val="0"/>
          <w:sz w:val="24"/>
          <w:highlight w:val="none"/>
          <w:lang w:val="en-US" w:eastAsia="zh-CN"/>
        </w:rPr>
      </w:pPr>
    </w:p>
    <w:p w14:paraId="1C27DB87">
      <w:pPr>
        <w:pStyle w:val="15"/>
        <w:rPr>
          <w:rFonts w:hint="default" w:ascii="宋体" w:hAnsi="宋体" w:cs="宋体"/>
          <w:color w:val="auto"/>
          <w:kern w:val="0"/>
          <w:sz w:val="24"/>
          <w:highlight w:val="none"/>
          <w:lang w:val="en-US" w:eastAsia="zh-CN"/>
        </w:rPr>
      </w:pPr>
    </w:p>
    <w:p w14:paraId="43E68354">
      <w:pPr>
        <w:pStyle w:val="15"/>
        <w:rPr>
          <w:rFonts w:hint="default" w:ascii="宋体" w:hAnsi="宋体" w:cs="宋体"/>
          <w:color w:val="auto"/>
          <w:kern w:val="0"/>
          <w:sz w:val="24"/>
          <w:highlight w:val="none"/>
          <w:lang w:val="en-US" w:eastAsia="zh-CN"/>
        </w:rPr>
      </w:pPr>
    </w:p>
    <w:p w14:paraId="0647EFB8">
      <w:pPr>
        <w:pStyle w:val="15"/>
        <w:rPr>
          <w:rFonts w:hint="default" w:ascii="宋体" w:hAnsi="宋体" w:cs="宋体"/>
          <w:color w:val="auto"/>
          <w:kern w:val="0"/>
          <w:sz w:val="24"/>
          <w:highlight w:val="none"/>
          <w:lang w:val="en-US" w:eastAsia="zh-CN"/>
        </w:rPr>
      </w:pPr>
    </w:p>
    <w:p w14:paraId="5A5A959A">
      <w:pPr>
        <w:pStyle w:val="15"/>
        <w:rPr>
          <w:rFonts w:hint="default" w:ascii="宋体" w:hAnsi="宋体" w:cs="宋体"/>
          <w:color w:val="auto"/>
          <w:kern w:val="0"/>
          <w:sz w:val="24"/>
          <w:highlight w:val="none"/>
          <w:lang w:val="en-US" w:eastAsia="zh-CN"/>
        </w:rPr>
      </w:pPr>
    </w:p>
    <w:p w14:paraId="650115AD">
      <w:pPr>
        <w:pStyle w:val="15"/>
        <w:rPr>
          <w:rFonts w:hint="default" w:ascii="宋体" w:hAnsi="宋体" w:cs="宋体"/>
          <w:color w:val="auto"/>
          <w:kern w:val="0"/>
          <w:sz w:val="24"/>
          <w:highlight w:val="none"/>
          <w:lang w:val="en-US" w:eastAsia="zh-CN"/>
        </w:rPr>
      </w:pPr>
    </w:p>
    <w:p w14:paraId="4A359505">
      <w:pPr>
        <w:pStyle w:val="15"/>
        <w:rPr>
          <w:rFonts w:hint="default" w:ascii="宋体" w:hAnsi="宋体" w:cs="宋体"/>
          <w:color w:val="auto"/>
          <w:kern w:val="0"/>
          <w:sz w:val="24"/>
          <w:highlight w:val="none"/>
          <w:lang w:val="en-US" w:eastAsia="zh-CN"/>
        </w:rPr>
      </w:pPr>
    </w:p>
    <w:p w14:paraId="40B7289D">
      <w:pPr>
        <w:pStyle w:val="15"/>
        <w:rPr>
          <w:rFonts w:hint="default" w:ascii="宋体" w:hAnsi="宋体" w:cs="宋体"/>
          <w:color w:val="auto"/>
          <w:kern w:val="0"/>
          <w:sz w:val="24"/>
          <w:highlight w:val="none"/>
          <w:lang w:val="en-US" w:eastAsia="zh-CN"/>
        </w:rPr>
      </w:pPr>
    </w:p>
    <w:p w14:paraId="1B505EE5">
      <w:pPr>
        <w:pStyle w:val="15"/>
        <w:rPr>
          <w:rFonts w:hint="default" w:ascii="宋体" w:hAnsi="宋体" w:cs="宋体"/>
          <w:color w:val="auto"/>
          <w:kern w:val="0"/>
          <w:sz w:val="24"/>
          <w:highlight w:val="none"/>
          <w:lang w:val="en-US" w:eastAsia="zh-CN"/>
        </w:rPr>
      </w:pPr>
    </w:p>
    <w:p w14:paraId="4CA18EFC">
      <w:pPr>
        <w:pStyle w:val="15"/>
        <w:rPr>
          <w:rFonts w:hint="default" w:ascii="宋体" w:hAnsi="宋体" w:cs="宋体"/>
          <w:color w:val="auto"/>
          <w:kern w:val="0"/>
          <w:sz w:val="24"/>
          <w:highlight w:val="none"/>
          <w:lang w:val="en-US" w:eastAsia="zh-CN"/>
        </w:rPr>
      </w:pPr>
    </w:p>
    <w:p w14:paraId="56E07BAF">
      <w:pPr>
        <w:pStyle w:val="15"/>
        <w:rPr>
          <w:rFonts w:hint="default" w:ascii="宋体" w:hAnsi="宋体" w:cs="宋体"/>
          <w:color w:val="auto"/>
          <w:kern w:val="0"/>
          <w:sz w:val="24"/>
          <w:highlight w:val="none"/>
          <w:lang w:val="en-US" w:eastAsia="zh-CN"/>
        </w:rPr>
      </w:pPr>
    </w:p>
    <w:p w14:paraId="38E426CC">
      <w:pPr>
        <w:pStyle w:val="15"/>
        <w:rPr>
          <w:rFonts w:hint="default" w:ascii="宋体" w:hAnsi="宋体" w:cs="宋体"/>
          <w:color w:val="auto"/>
          <w:kern w:val="0"/>
          <w:sz w:val="24"/>
          <w:highlight w:val="none"/>
          <w:lang w:val="en-US" w:eastAsia="zh-CN"/>
        </w:rPr>
      </w:pPr>
    </w:p>
    <w:p w14:paraId="03EB9A28">
      <w:pPr>
        <w:pStyle w:val="15"/>
        <w:rPr>
          <w:rFonts w:hint="default" w:ascii="宋体" w:hAnsi="宋体" w:cs="宋体"/>
          <w:color w:val="auto"/>
          <w:kern w:val="0"/>
          <w:sz w:val="24"/>
          <w:highlight w:val="none"/>
          <w:lang w:val="en-US" w:eastAsia="zh-CN"/>
        </w:rPr>
      </w:pPr>
    </w:p>
    <w:p w14:paraId="2424AE27">
      <w:pPr>
        <w:pStyle w:val="15"/>
        <w:rPr>
          <w:rFonts w:hint="default" w:ascii="宋体" w:hAnsi="宋体" w:cs="宋体"/>
          <w:color w:val="auto"/>
          <w:kern w:val="0"/>
          <w:sz w:val="24"/>
          <w:highlight w:val="none"/>
          <w:lang w:val="en-US" w:eastAsia="zh-CN"/>
        </w:rPr>
      </w:pPr>
    </w:p>
    <w:p w14:paraId="6DE512C9">
      <w:pPr>
        <w:pStyle w:val="15"/>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w:t>
      </w:r>
      <w:bookmarkEnd w:id="100"/>
      <w:bookmarkEnd w:id="101"/>
      <w:r>
        <w:rPr>
          <w:rFonts w:hint="eastAsia" w:ascii="宋体" w:hAnsi="宋体" w:eastAsia="宋体" w:cs="宋体"/>
          <w:color w:val="auto"/>
          <w:sz w:val="28"/>
          <w:szCs w:val="28"/>
          <w:highlight w:val="none"/>
          <w:lang w:val="en-US" w:eastAsia="zh-CN"/>
        </w:rPr>
        <w:t xml:space="preserve">  技术响应表（格式）</w:t>
      </w:r>
    </w:p>
    <w:tbl>
      <w:tblPr>
        <w:tblStyle w:val="6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3" w:name="_Toc20420"/>
      <w:bookmarkStart w:id="124" w:name="_Toc24168"/>
      <w:bookmarkStart w:id="125" w:name="_Toc29960"/>
    </w:p>
    <w:p w14:paraId="59B9E29D">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5.1  技术证明文件</w:t>
      </w:r>
    </w:p>
    <w:p w14:paraId="0E0371A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b w:val="0"/>
          <w:bCs w:val="0"/>
          <w:color w:val="auto"/>
          <w:sz w:val="24"/>
          <w:szCs w:val="24"/>
          <w:highlight w:val="none"/>
          <w:lang w:val="en-US" w:eastAsia="zh-CN"/>
        </w:rPr>
        <w:sectPr>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b w:val="0"/>
          <w:bCs w:val="0"/>
          <w:color w:val="auto"/>
          <w:sz w:val="24"/>
          <w:szCs w:val="24"/>
          <w:highlight w:val="none"/>
          <w:lang w:val="en-US" w:eastAsia="zh-CN"/>
        </w:rPr>
        <w:t>产品注册检验报告（其中检验报告照片页必须提供）（如有）及响应技术参数条款的技术白皮书和彩页等相关文件</w:t>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23"/>
      <w:bookmarkEnd w:id="124"/>
      <w:bookmarkEnd w:id="125"/>
      <w:r>
        <w:rPr>
          <w:rFonts w:hint="eastAsia" w:ascii="宋体" w:hAnsi="宋体" w:eastAsia="宋体" w:cs="宋体"/>
          <w:color w:val="auto"/>
          <w:sz w:val="28"/>
          <w:szCs w:val="28"/>
          <w:highlight w:val="none"/>
          <w:lang w:val="en-US" w:eastAsia="zh-CN"/>
        </w:rPr>
        <w:t>表（格式）</w:t>
      </w:r>
    </w:p>
    <w:tbl>
      <w:tblPr>
        <w:tblStyle w:val="63"/>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1177F86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0ADC1511">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DD5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4BCDC3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347D650C">
            <w:pPr>
              <w:pStyle w:val="7"/>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2480" w:type="dxa"/>
            <w:noWrap w:val="0"/>
            <w:vAlign w:val="center"/>
          </w:tcPr>
          <w:p w14:paraId="34C992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91A2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AEB8D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04E08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1B5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A4CC9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56387358">
            <w:pPr>
              <w:pStyle w:val="7"/>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3607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CC83A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3DA87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090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2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40257B96">
      <w:pPr>
        <w:jc w:val="center"/>
        <w:rPr>
          <w:rFonts w:hint="eastAsia" w:ascii="宋体" w:hAnsi="宋体" w:eastAsia="宋体" w:cs="宋体"/>
          <w:color w:val="auto"/>
          <w:sz w:val="28"/>
          <w:szCs w:val="28"/>
          <w:highlight w:val="none"/>
          <w:lang w:val="en-US" w:eastAsia="zh-CN"/>
        </w:rPr>
      </w:pPr>
      <w:bookmarkStart w:id="126" w:name="_Toc31526"/>
      <w:bookmarkStart w:id="127" w:name="_Toc29406"/>
      <w:bookmarkStart w:id="128" w:name="_Toc28621"/>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法定代表人身份证明（格式）</w:t>
      </w:r>
      <w:bookmarkEnd w:id="126"/>
      <w:bookmarkEnd w:id="127"/>
      <w:bookmarkEnd w:id="12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lang w:val="en-US" w:eastAsia="zh-CN"/>
        </w:rPr>
        <w:t xml:space="preserve">                                </w:t>
      </w:r>
    </w:p>
    <w:p w14:paraId="718D7915">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lang w:val="en-US" w:eastAsia="zh-CN"/>
        </w:rPr>
        <w:t xml:space="preserve">                                        </w:t>
      </w:r>
    </w:p>
    <w:p w14:paraId="2C11F584">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p>
    <w:p w14:paraId="63386B5D">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经营期限：</w:t>
      </w:r>
      <w:r>
        <w:rPr>
          <w:rFonts w:hint="eastAsia" w:ascii="宋体" w:hAnsi="宋体" w:eastAsia="宋体" w:cs="宋体"/>
          <w:color w:val="auto"/>
          <w:kern w:val="0"/>
          <w:sz w:val="21"/>
          <w:szCs w:val="21"/>
          <w:highlight w:val="none"/>
          <w:u w:val="single"/>
          <w:lang w:val="en-US" w:eastAsia="zh-CN"/>
        </w:rPr>
        <w:t xml:space="preserve">                        </w:t>
      </w:r>
    </w:p>
    <w:p w14:paraId="2F81B036">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，年龄：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名称）的法定代表人。</w:t>
      </w:r>
    </w:p>
    <w:p w14:paraId="4FE062B6">
      <w:pPr>
        <w:widowControl/>
        <w:wordWrap w:val="0"/>
        <w:spacing w:line="460" w:lineRule="exact"/>
        <w:jc w:val="left"/>
        <w:rPr>
          <w:rFonts w:hint="eastAsia" w:ascii="宋体" w:hAnsi="宋体" w:eastAsia="宋体" w:cs="宋体"/>
          <w:color w:val="auto"/>
          <w:kern w:val="0"/>
          <w:sz w:val="21"/>
          <w:szCs w:val="21"/>
          <w:highlight w:val="none"/>
        </w:rPr>
      </w:pPr>
    </w:p>
    <w:p w14:paraId="30B3A2FC">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5CBF5780">
      <w:pPr>
        <w:widowControl/>
        <w:wordWrap w:val="0"/>
        <w:spacing w:line="460" w:lineRule="exact"/>
        <w:jc w:val="left"/>
        <w:rPr>
          <w:rFonts w:hint="eastAsia" w:ascii="宋体" w:hAnsi="宋体" w:eastAsia="宋体" w:cs="宋体"/>
          <w:color w:val="auto"/>
          <w:kern w:val="0"/>
          <w:sz w:val="21"/>
          <w:szCs w:val="21"/>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tbl>
      <w:tblPr>
        <w:tblStyle w:val="2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1"/>
                <w:szCs w:val="21"/>
                <w:highlight w:val="none"/>
              </w:rPr>
            </w:pPr>
          </w:p>
          <w:p w14:paraId="425F1145">
            <w:pPr>
              <w:widowControl/>
              <w:spacing w:line="480" w:lineRule="exact"/>
              <w:jc w:val="left"/>
              <w:rPr>
                <w:rFonts w:hint="eastAsia" w:ascii="宋体" w:hAnsi="宋体" w:eastAsia="宋体" w:cs="宋体"/>
                <w:color w:val="auto"/>
                <w:kern w:val="0"/>
                <w:sz w:val="21"/>
                <w:szCs w:val="21"/>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7F75A711">
      <w:pPr>
        <w:widowControl/>
        <w:wordWrap w:val="0"/>
        <w:spacing w:line="480" w:lineRule="exact"/>
        <w:jc w:val="right"/>
        <w:rPr>
          <w:rFonts w:hint="eastAsia" w:ascii="宋体" w:hAnsi="宋体" w:eastAsia="宋体" w:cs="宋体"/>
          <w:color w:val="auto"/>
          <w:kern w:val="0"/>
          <w:sz w:val="21"/>
          <w:szCs w:val="21"/>
          <w:highlight w:val="none"/>
        </w:rPr>
      </w:pPr>
    </w:p>
    <w:p w14:paraId="4EC9ECDA">
      <w:pPr>
        <w:widowControl/>
        <w:wordWrap w:val="0"/>
        <w:spacing w:line="480" w:lineRule="exact"/>
        <w:jc w:val="right"/>
        <w:rPr>
          <w:rFonts w:hint="eastAsia" w:ascii="宋体" w:hAnsi="宋体" w:eastAsia="宋体" w:cs="宋体"/>
          <w:color w:val="auto"/>
          <w:kern w:val="0"/>
          <w:sz w:val="21"/>
          <w:szCs w:val="21"/>
          <w:highlight w:val="none"/>
        </w:rPr>
      </w:pPr>
    </w:p>
    <w:p w14:paraId="137FFC23">
      <w:pPr>
        <w:widowControl/>
        <w:wordWrap w:val="0"/>
        <w:snapToGrid w:val="0"/>
        <w:spacing w:line="460" w:lineRule="exact"/>
        <w:ind w:firstLine="2415" w:firstLineChars="1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3C284A57">
      <w:pPr>
        <w:widowControl/>
        <w:wordWrap w:val="0"/>
        <w:spacing w:line="460" w:lineRule="exact"/>
        <w:ind w:left="5040" w:leftChars="180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9" w:name="_Toc12939"/>
      <w:bookmarkStart w:id="130" w:name="_Toc30519"/>
      <w:bookmarkStart w:id="131" w:name="_Toc13976"/>
      <w:r>
        <w:rPr>
          <w:rFonts w:hint="eastAsia" w:ascii="宋体" w:hAnsi="宋体" w:eastAsia="宋体" w:cs="宋体"/>
          <w:color w:val="auto"/>
          <w:sz w:val="28"/>
          <w:szCs w:val="28"/>
          <w:highlight w:val="none"/>
          <w:lang w:val="en-US" w:eastAsia="zh-CN"/>
        </w:rPr>
        <w:t>附件8  法定代表人授权书（格式）</w:t>
      </w:r>
      <w:bookmarkEnd w:id="129"/>
      <w:bookmarkEnd w:id="130"/>
      <w:bookmarkEnd w:id="131"/>
    </w:p>
    <w:p w14:paraId="20CFE6F1">
      <w:pPr>
        <w:widowControl/>
        <w:wordWrap w:val="0"/>
        <w:snapToGrid w:val="0"/>
        <w:spacing w:line="46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名称）：</w:t>
      </w:r>
    </w:p>
    <w:p w14:paraId="07D8310C">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 xml:space="preserve">名称）的法定代表人，现委托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（姓名）为我方代理人。代理人根据本授权，以我方的名义参加</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项目的</w:t>
      </w:r>
      <w:r>
        <w:rPr>
          <w:rFonts w:hint="eastAsia" w:ascii="宋体" w:hAnsi="宋体" w:cs="宋体"/>
          <w:color w:val="auto"/>
          <w:kern w:val="0"/>
          <w:sz w:val="21"/>
          <w:szCs w:val="21"/>
          <w:highlight w:val="none"/>
          <w:lang w:val="en-US" w:eastAsia="zh-CN"/>
        </w:rPr>
        <w:t>竞争性谈判采购</w:t>
      </w:r>
      <w:r>
        <w:rPr>
          <w:rFonts w:hint="eastAsia" w:ascii="宋体" w:hAnsi="宋体" w:eastAsia="宋体" w:cs="宋体"/>
          <w:color w:val="auto"/>
          <w:kern w:val="0"/>
          <w:sz w:val="21"/>
          <w:szCs w:val="21"/>
          <w:highlight w:val="none"/>
        </w:rPr>
        <w:t>活动，并代表我方全权办理针对上述项目的</w:t>
      </w:r>
      <w:r>
        <w:rPr>
          <w:rFonts w:hint="eastAsia" w:ascii="宋体" w:hAnsi="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、开标、评</w:t>
      </w:r>
      <w:r>
        <w:rPr>
          <w:rFonts w:hint="eastAsia" w:ascii="宋体" w:hAnsi="宋体" w:eastAsia="宋体" w:cs="宋体"/>
          <w:color w:val="auto"/>
          <w:kern w:val="0"/>
          <w:sz w:val="21"/>
          <w:szCs w:val="21"/>
          <w:highlight w:val="none"/>
          <w:lang w:val="en-US" w:eastAsia="zh-CN"/>
        </w:rPr>
        <w:t>审</w:t>
      </w:r>
      <w:r>
        <w:rPr>
          <w:rFonts w:hint="eastAsia" w:ascii="宋体" w:hAnsi="宋体" w:eastAsia="宋体" w:cs="宋体"/>
          <w:color w:val="auto"/>
          <w:kern w:val="0"/>
          <w:sz w:val="21"/>
          <w:szCs w:val="21"/>
          <w:highlight w:val="none"/>
        </w:rPr>
        <w:t>、签约等具体事务和签署相关文件。</w:t>
      </w:r>
    </w:p>
    <w:p w14:paraId="3311EE74">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如果本次采购活动现场变更采购方式，本授权书有效。</w:t>
      </w:r>
    </w:p>
    <w:p w14:paraId="44AA202C">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代理人无转委托权。</w:t>
      </w:r>
    </w:p>
    <w:p w14:paraId="7CE853A4">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委托期限：</w:t>
      </w:r>
    </w:p>
    <w:p w14:paraId="409406BE">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p>
    <w:p w14:paraId="208D12AA">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委托代理人签名：             法定代表人签名</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p>
    <w:p w14:paraId="414CFA2B">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职务：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职务：</w:t>
      </w:r>
    </w:p>
    <w:tbl>
      <w:tblPr>
        <w:tblStyle w:val="2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此处请粘贴</w:t>
            </w:r>
            <w:r>
              <w:rPr>
                <w:rFonts w:hint="eastAsia" w:ascii="宋体" w:hAnsi="宋体" w:eastAsia="宋体" w:cs="宋体"/>
                <w:color w:val="auto"/>
                <w:kern w:val="0"/>
                <w:sz w:val="21"/>
                <w:szCs w:val="21"/>
                <w:highlight w:val="none"/>
              </w:rPr>
              <w:t>委托代理人</w:t>
            </w:r>
            <w:r>
              <w:rPr>
                <w:rFonts w:hint="eastAsia" w:ascii="宋体" w:hAnsi="宋体" w:eastAsia="宋体" w:cs="宋体"/>
                <w:bCs/>
                <w:color w:val="auto"/>
                <w:kern w:val="0"/>
                <w:sz w:val="21"/>
                <w:szCs w:val="21"/>
                <w:highlight w:val="none"/>
              </w:rPr>
              <w:t>身份证复印件</w:t>
            </w:r>
          </w:p>
        </w:tc>
      </w:tr>
    </w:tbl>
    <w:p w14:paraId="527C7F41">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委托代理人身份证号码：</w:t>
      </w:r>
    </w:p>
    <w:p w14:paraId="3F0C663B">
      <w:pPr>
        <w:widowControl/>
        <w:wordWrap w:val="0"/>
        <w:spacing w:line="460" w:lineRule="exact"/>
        <w:ind w:firstLine="4200" w:firstLineChars="2000"/>
        <w:jc w:val="left"/>
        <w:rPr>
          <w:rFonts w:hint="eastAsia" w:ascii="宋体" w:hAnsi="宋体" w:eastAsia="宋体" w:cs="宋体"/>
          <w:color w:val="auto"/>
          <w:kern w:val="0"/>
          <w:sz w:val="21"/>
          <w:szCs w:val="21"/>
          <w:highlight w:val="none"/>
        </w:rPr>
      </w:pPr>
    </w:p>
    <w:p w14:paraId="47490F48">
      <w:pPr>
        <w:widowControl/>
        <w:wordWrap w:val="0"/>
        <w:spacing w:line="360" w:lineRule="auto"/>
        <w:jc w:val="center"/>
        <w:rPr>
          <w:rFonts w:hint="eastAsia" w:ascii="宋体" w:hAnsi="宋体" w:eastAsia="宋体" w:cs="宋体"/>
          <w:color w:val="auto"/>
          <w:kern w:val="0"/>
          <w:sz w:val="21"/>
          <w:szCs w:val="21"/>
          <w:highlight w:val="none"/>
        </w:rPr>
      </w:pPr>
    </w:p>
    <w:p w14:paraId="10F674C3">
      <w:pPr>
        <w:widowControl/>
        <w:wordWrap w:val="0"/>
        <w:spacing w:line="360" w:lineRule="auto"/>
        <w:jc w:val="right"/>
        <w:rPr>
          <w:rFonts w:hint="eastAsia" w:ascii="宋体" w:hAnsi="宋体" w:eastAsia="宋体" w:cs="宋体"/>
          <w:color w:val="auto"/>
          <w:kern w:val="0"/>
          <w:sz w:val="21"/>
          <w:szCs w:val="21"/>
          <w:highlight w:val="none"/>
        </w:rPr>
      </w:pPr>
    </w:p>
    <w:p w14:paraId="64EEE987">
      <w:pPr>
        <w:widowControl/>
        <w:wordWrap w:val="0"/>
        <w:spacing w:line="360" w:lineRule="auto"/>
        <w:jc w:val="right"/>
        <w:rPr>
          <w:rFonts w:hint="eastAsia" w:ascii="宋体" w:hAnsi="宋体" w:eastAsia="宋体" w:cs="宋体"/>
          <w:color w:val="auto"/>
          <w:kern w:val="0"/>
          <w:sz w:val="21"/>
          <w:szCs w:val="21"/>
          <w:highlight w:val="none"/>
        </w:rPr>
      </w:pPr>
    </w:p>
    <w:p w14:paraId="1DA78FC1">
      <w:pPr>
        <w:widowControl/>
        <w:wordWrap w:val="0"/>
        <w:spacing w:line="360" w:lineRule="auto"/>
        <w:jc w:val="right"/>
        <w:rPr>
          <w:rFonts w:hint="eastAsia" w:ascii="宋体" w:hAnsi="宋体" w:eastAsia="宋体" w:cs="宋体"/>
          <w:color w:val="auto"/>
          <w:kern w:val="0"/>
          <w:sz w:val="21"/>
          <w:szCs w:val="21"/>
          <w:highlight w:val="none"/>
        </w:rPr>
      </w:pPr>
    </w:p>
    <w:p w14:paraId="03DDFB0A">
      <w:pPr>
        <w:widowControl/>
        <w:wordWrap w:val="0"/>
        <w:spacing w:line="360" w:lineRule="auto"/>
        <w:jc w:val="right"/>
        <w:rPr>
          <w:rFonts w:hint="eastAsia" w:ascii="宋体" w:hAnsi="宋体" w:eastAsia="宋体" w:cs="宋体"/>
          <w:color w:val="auto"/>
          <w:kern w:val="0"/>
          <w:sz w:val="21"/>
          <w:szCs w:val="21"/>
          <w:highlight w:val="none"/>
        </w:rPr>
      </w:pPr>
    </w:p>
    <w:p w14:paraId="44C38315">
      <w:pPr>
        <w:widowControl/>
        <w:wordWrap w:val="0"/>
        <w:spacing w:line="360" w:lineRule="auto"/>
        <w:jc w:val="right"/>
        <w:rPr>
          <w:rFonts w:hint="eastAsia" w:ascii="宋体" w:hAnsi="宋体" w:eastAsia="宋体" w:cs="宋体"/>
          <w:color w:val="auto"/>
          <w:kern w:val="0"/>
          <w:sz w:val="21"/>
          <w:szCs w:val="21"/>
          <w:highlight w:val="none"/>
        </w:rPr>
      </w:pPr>
    </w:p>
    <w:p w14:paraId="37BFC090">
      <w:pPr>
        <w:widowControl/>
        <w:wordWrap/>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65EA290B">
      <w:pPr>
        <w:widowControl/>
        <w:wordWrap w:val="0"/>
        <w:spacing w:line="460" w:lineRule="exact"/>
        <w:ind w:firstLine="3360" w:firstLineChars="16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2" w:name="_Toc18105"/>
      <w:bookmarkStart w:id="133" w:name="_Toc24693"/>
      <w:bookmarkStart w:id="134" w:name="_Toc3342"/>
      <w:r>
        <w:rPr>
          <w:rFonts w:hint="eastAsia" w:ascii="宋体" w:hAnsi="宋体" w:eastAsia="宋体" w:cs="宋体"/>
          <w:color w:val="auto"/>
          <w:sz w:val="28"/>
          <w:szCs w:val="28"/>
          <w:highlight w:val="none"/>
          <w:lang w:val="en-US" w:eastAsia="zh-CN"/>
        </w:rPr>
        <w:t>附件9  证明文件</w:t>
      </w:r>
      <w:bookmarkEnd w:id="132"/>
      <w:bookmarkEnd w:id="133"/>
      <w:bookmarkEnd w:id="134"/>
    </w:p>
    <w:p w14:paraId="64962AE9">
      <w:pPr>
        <w:pStyle w:val="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35"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59A0E4B3">
      <w:pPr>
        <w:pStyle w:val="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9.2</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技术方案</w:t>
      </w:r>
    </w:p>
    <w:p w14:paraId="4C0D9C9F">
      <w:pPr>
        <w:pStyle w:val="4"/>
        <w:spacing w:beforeAutospacing="0" w:afterAutospacing="0" w:line="480" w:lineRule="auto"/>
        <w:ind w:firstLine="472"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1"/>
          <w:szCs w:val="21"/>
          <w:highlight w:val="none"/>
        </w:rPr>
        <w:t>9.3</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其他需要提供的证明材料</w:t>
      </w:r>
    </w:p>
    <w:p w14:paraId="63B9045E">
      <w:pPr>
        <w:pStyle w:val="4"/>
        <w:spacing w:beforeAutospacing="0" w:afterAutospacing="0" w:line="480" w:lineRule="auto"/>
        <w:ind w:firstLine="630" w:firstLineChars="224"/>
        <w:jc w:val="both"/>
        <w:rPr>
          <w:rFonts w:hint="eastAsia" w:ascii="宋体" w:hAnsi="宋体" w:eastAsia="宋体" w:cs="宋体"/>
          <w:b/>
          <w:bCs/>
          <w:color w:val="auto"/>
          <w:highlight w:val="none"/>
        </w:rPr>
      </w:pPr>
    </w:p>
    <w:p w14:paraId="0CF185C0">
      <w:pPr>
        <w:pStyle w:val="4"/>
        <w:spacing w:beforeAutospacing="0" w:afterAutospacing="0" w:line="480" w:lineRule="auto"/>
        <w:ind w:firstLine="630" w:firstLineChars="224"/>
        <w:jc w:val="both"/>
        <w:rPr>
          <w:rFonts w:hint="eastAsia" w:ascii="宋体" w:hAnsi="宋体" w:eastAsia="宋体" w:cs="宋体"/>
          <w:b/>
          <w:bCs/>
          <w:color w:val="auto"/>
          <w:highlight w:val="none"/>
        </w:rPr>
      </w:pPr>
    </w:p>
    <w:p w14:paraId="5A38418C">
      <w:pPr>
        <w:pStyle w:val="4"/>
        <w:spacing w:beforeAutospacing="0" w:afterAutospacing="0" w:line="480" w:lineRule="auto"/>
        <w:ind w:firstLine="630" w:firstLineChars="224"/>
        <w:jc w:val="both"/>
        <w:rPr>
          <w:rFonts w:hint="eastAsia" w:ascii="宋体" w:hAnsi="宋体" w:eastAsia="宋体" w:cs="宋体"/>
          <w:b/>
          <w:bCs/>
          <w:color w:val="auto"/>
          <w:highlight w:val="none"/>
        </w:rPr>
      </w:pPr>
    </w:p>
    <w:p w14:paraId="6EE51B98">
      <w:pPr>
        <w:pStyle w:val="4"/>
        <w:spacing w:beforeAutospacing="0" w:afterAutospacing="0" w:line="480" w:lineRule="auto"/>
        <w:ind w:firstLine="630" w:firstLineChars="224"/>
        <w:jc w:val="both"/>
        <w:rPr>
          <w:rFonts w:hint="eastAsia" w:ascii="宋体" w:hAnsi="宋体" w:eastAsia="宋体" w:cs="宋体"/>
          <w:b/>
          <w:bCs/>
          <w:color w:val="auto"/>
          <w:highlight w:val="none"/>
        </w:rPr>
      </w:pPr>
    </w:p>
    <w:p w14:paraId="615549B2">
      <w:pPr>
        <w:pStyle w:val="4"/>
        <w:spacing w:beforeAutospacing="0" w:afterAutospacing="0" w:line="480" w:lineRule="auto"/>
        <w:ind w:firstLine="630" w:firstLineChars="224"/>
        <w:jc w:val="both"/>
        <w:rPr>
          <w:rFonts w:hint="eastAsia" w:ascii="宋体" w:hAnsi="宋体" w:eastAsia="宋体" w:cs="宋体"/>
          <w:b/>
          <w:bCs/>
          <w:color w:val="auto"/>
          <w:highlight w:val="none"/>
        </w:rPr>
      </w:pPr>
    </w:p>
    <w:p w14:paraId="6366152E">
      <w:pPr>
        <w:pStyle w:val="4"/>
        <w:spacing w:beforeAutospacing="0" w:afterAutospacing="0" w:line="480" w:lineRule="auto"/>
        <w:ind w:firstLine="630" w:firstLineChars="224"/>
        <w:jc w:val="both"/>
        <w:rPr>
          <w:rFonts w:hint="eastAsia" w:ascii="宋体" w:hAnsi="宋体" w:eastAsia="宋体" w:cs="宋体"/>
          <w:b/>
          <w:bCs/>
          <w:color w:val="auto"/>
          <w:highlight w:val="none"/>
        </w:rPr>
      </w:pPr>
    </w:p>
    <w:p w14:paraId="4F755349">
      <w:pPr>
        <w:pStyle w:val="4"/>
        <w:spacing w:beforeAutospacing="0" w:afterAutospacing="0" w:line="480" w:lineRule="auto"/>
        <w:ind w:firstLine="630" w:firstLineChars="224"/>
        <w:jc w:val="both"/>
        <w:rPr>
          <w:rFonts w:hint="eastAsia" w:ascii="宋体" w:hAnsi="宋体" w:eastAsia="宋体" w:cs="宋体"/>
          <w:b/>
          <w:bCs/>
          <w:color w:val="auto"/>
          <w:highlight w:val="none"/>
        </w:rPr>
      </w:pPr>
    </w:p>
    <w:p w14:paraId="4DBE70D8">
      <w:pPr>
        <w:pStyle w:val="4"/>
        <w:spacing w:beforeAutospacing="0" w:afterAutospacing="0" w:line="480" w:lineRule="auto"/>
        <w:ind w:firstLine="630" w:firstLineChars="224"/>
        <w:jc w:val="both"/>
        <w:rPr>
          <w:rFonts w:hint="eastAsia" w:ascii="宋体" w:hAnsi="宋体" w:eastAsia="宋体" w:cs="宋体"/>
          <w:b/>
          <w:bCs/>
          <w:color w:val="auto"/>
          <w:highlight w:val="none"/>
        </w:rPr>
      </w:pPr>
    </w:p>
    <w:p w14:paraId="45048D1C">
      <w:pPr>
        <w:pStyle w:val="4"/>
        <w:spacing w:beforeAutospacing="0" w:afterAutospacing="0" w:line="480" w:lineRule="auto"/>
        <w:ind w:firstLine="630" w:firstLineChars="224"/>
        <w:jc w:val="both"/>
        <w:rPr>
          <w:rFonts w:hint="eastAsia" w:ascii="宋体" w:hAnsi="宋体" w:eastAsia="宋体" w:cs="宋体"/>
          <w:b/>
          <w:bCs/>
          <w:color w:val="auto"/>
          <w:highlight w:val="none"/>
        </w:rPr>
      </w:pPr>
    </w:p>
    <w:p w14:paraId="4FD293BC">
      <w:pPr>
        <w:pStyle w:val="4"/>
        <w:spacing w:beforeAutospacing="0" w:afterAutospacing="0" w:line="480" w:lineRule="auto"/>
        <w:ind w:firstLine="63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36" w:name="_Toc16083"/>
      <w:bookmarkStart w:id="137" w:name="_Toc12888"/>
      <w:bookmarkStart w:id="138" w:name="_Toc13726"/>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w:t>
      </w:r>
      <w:bookmarkEnd w:id="135"/>
      <w:r>
        <w:rPr>
          <w:rFonts w:hint="eastAsia" w:ascii="宋体" w:hAnsi="宋体" w:eastAsia="宋体" w:cs="宋体"/>
          <w:color w:val="auto"/>
          <w:sz w:val="28"/>
          <w:szCs w:val="28"/>
          <w:highlight w:val="none"/>
          <w:lang w:val="en-US" w:eastAsia="zh-CN"/>
        </w:rPr>
        <w:t xml:space="preserve">  供 应 商 承 诺 书 （格式）</w:t>
      </w:r>
      <w:bookmarkEnd w:id="136"/>
      <w:bookmarkEnd w:id="137"/>
      <w:bookmarkEnd w:id="138"/>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5740" w:firstLineChars="2050"/>
        <w:jc w:val="left"/>
        <w:rPr>
          <w:rFonts w:hint="eastAsia" w:ascii="宋体" w:hAnsi="宋体" w:eastAsia="宋体" w:cs="宋体"/>
          <w:color w:val="auto"/>
          <w:kern w:val="0"/>
          <w:szCs w:val="21"/>
          <w:highlight w:val="none"/>
        </w:rPr>
      </w:pPr>
    </w:p>
    <w:p w14:paraId="2B1C72AF">
      <w:pPr>
        <w:pStyle w:val="21"/>
        <w:rPr>
          <w:rFonts w:hint="eastAsia" w:ascii="宋体" w:hAnsi="宋体" w:eastAsia="宋体" w:cs="宋体"/>
          <w:color w:val="auto"/>
          <w:kern w:val="0"/>
          <w:szCs w:val="21"/>
          <w:highlight w:val="none"/>
        </w:rPr>
      </w:pPr>
    </w:p>
    <w:p w14:paraId="7C0BDA51">
      <w:pPr>
        <w:pStyle w:val="8"/>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39" w:name="_Toc23394"/>
      <w:bookmarkStart w:id="140" w:name="_Toc31685"/>
      <w:bookmarkStart w:id="141"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bookmarkEnd w:id="139"/>
      <w:bookmarkEnd w:id="140"/>
      <w:bookmarkEnd w:id="141"/>
    </w:p>
    <w:p w14:paraId="6AA68725">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应当仔细核对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文件中有关废标条款和评标标准，提供</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认为应当附加的其它内容，以充分证明其投标符合</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文件规定，并为评标提供充分依据。如果</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未能提供相关证明文件，将有可能导致废标或者无法得分。</w:t>
      </w:r>
    </w:p>
    <w:p w14:paraId="190F622F">
      <w:pPr>
        <w:pStyle w:val="4"/>
        <w:spacing w:beforeAutospacing="0" w:afterAutospacing="0" w:line="460" w:lineRule="atLeast"/>
        <w:jc w:val="both"/>
        <w:rPr>
          <w:rFonts w:hint="eastAsia" w:ascii="宋体" w:hAnsi="宋体" w:eastAsia="宋体" w:cs="宋体"/>
          <w:b/>
          <w:bCs/>
          <w:color w:val="auto"/>
          <w:sz w:val="28"/>
          <w:szCs w:val="28"/>
          <w:highlight w:val="none"/>
        </w:rPr>
      </w:pPr>
    </w:p>
    <w:p w14:paraId="601E66F8">
      <w:pPr>
        <w:tabs>
          <w:tab w:val="left" w:pos="1418"/>
        </w:tabs>
        <w:bidi w:val="0"/>
        <w:jc w:val="center"/>
        <w:rPr>
          <w:rFonts w:hint="eastAsia" w:ascii="宋体" w:hAnsi="宋体" w:eastAsia="宋体" w:cs="宋体"/>
          <w:lang w:val="en-US" w:eastAsia="zh-CN"/>
        </w:rPr>
      </w:pPr>
    </w:p>
    <w:sectPr>
      <w:pgSz w:w="12240" w:h="15840"/>
      <w:pgMar w:top="1440" w:right="1800" w:bottom="1440" w:left="1800" w:header="850" w:footer="1077"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CJK JP Regular">
    <w:altName w:val="Segoe Print"/>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5E6B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E3F78">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165EE">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2165EE">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14"/>
      <w:pBdr>
        <w:top w:val="single" w:color="auto" w:sz="4" w:space="1"/>
      </w:pBdr>
      <w:tabs>
        <w:tab w:val="center" w:pos="4479"/>
        <w:tab w:val="clear" w:pos="4153"/>
      </w:tabs>
      <w:jc w:val="both"/>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6F587">
                          <w:pPr>
                            <w:pStyle w:val="1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86F587">
                    <w:pPr>
                      <w:pStyle w:val="14"/>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rPr>
      <w:t xml:space="preserve">        </w:t>
    </w:r>
    <w:r>
      <w:rPr>
        <w:rFonts w:hint="eastAsia"/>
        <w:lang w:eastAsia="zh-CN"/>
      </w:rPr>
      <w:tab/>
    </w:r>
  </w:p>
  <w:p w14:paraId="1B4A088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D4D4">
    <w:pPr>
      <w:pStyle w:val="1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3D727B26"/>
    <w:multiLevelType w:val="multilevel"/>
    <w:tmpl w:val="3D727B2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rPr>
        <w:rFonts w:ascii="宋体" w:hAnsi="宋体" w:eastAsia="宋体"/>
        <w:b w:val="0"/>
        <w:sz w:val="21"/>
        <w:szCs w:val="21"/>
      </w:rPr>
    </w:lvl>
    <w:lvl w:ilvl="2" w:tentative="0">
      <w:start w:val="1"/>
      <w:numFmt w:val="decimal"/>
      <w:lvlText w:val="%1.%2.%3"/>
      <w:lvlJc w:val="left"/>
      <w:pPr>
        <w:tabs>
          <w:tab w:val="left" w:pos="567"/>
        </w:tabs>
        <w:ind w:left="567" w:hanging="567"/>
      </w:pPr>
      <w:rPr>
        <w:color w:val="auto"/>
        <w:sz w:val="21"/>
        <w:szCs w:val="21"/>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4364C"/>
    <w:rsid w:val="000521A1"/>
    <w:rsid w:val="001043F9"/>
    <w:rsid w:val="00120B68"/>
    <w:rsid w:val="00126534"/>
    <w:rsid w:val="00172A27"/>
    <w:rsid w:val="001920E9"/>
    <w:rsid w:val="00203ECD"/>
    <w:rsid w:val="0023097D"/>
    <w:rsid w:val="00265D96"/>
    <w:rsid w:val="002D5409"/>
    <w:rsid w:val="002F53D2"/>
    <w:rsid w:val="00337586"/>
    <w:rsid w:val="0036248E"/>
    <w:rsid w:val="003E34B1"/>
    <w:rsid w:val="003E3DD5"/>
    <w:rsid w:val="003E764F"/>
    <w:rsid w:val="003F4362"/>
    <w:rsid w:val="00415B23"/>
    <w:rsid w:val="004242E8"/>
    <w:rsid w:val="00487951"/>
    <w:rsid w:val="004F7E96"/>
    <w:rsid w:val="00501EE6"/>
    <w:rsid w:val="00504A6D"/>
    <w:rsid w:val="00506932"/>
    <w:rsid w:val="00506BE9"/>
    <w:rsid w:val="00526598"/>
    <w:rsid w:val="00540BA4"/>
    <w:rsid w:val="0054398F"/>
    <w:rsid w:val="00560502"/>
    <w:rsid w:val="00565404"/>
    <w:rsid w:val="005C088A"/>
    <w:rsid w:val="005C6ADC"/>
    <w:rsid w:val="006258E7"/>
    <w:rsid w:val="00714DE2"/>
    <w:rsid w:val="00735C69"/>
    <w:rsid w:val="00752E21"/>
    <w:rsid w:val="00776F43"/>
    <w:rsid w:val="00790D3F"/>
    <w:rsid w:val="00793522"/>
    <w:rsid w:val="007B6AD5"/>
    <w:rsid w:val="007F4546"/>
    <w:rsid w:val="007F704A"/>
    <w:rsid w:val="00810426"/>
    <w:rsid w:val="00816DC8"/>
    <w:rsid w:val="008B6C54"/>
    <w:rsid w:val="00900E41"/>
    <w:rsid w:val="009550EE"/>
    <w:rsid w:val="009D5922"/>
    <w:rsid w:val="00A41EC7"/>
    <w:rsid w:val="00A7252C"/>
    <w:rsid w:val="00AD558A"/>
    <w:rsid w:val="00B541F3"/>
    <w:rsid w:val="00B6381E"/>
    <w:rsid w:val="00B82463"/>
    <w:rsid w:val="00BC3711"/>
    <w:rsid w:val="00CB6286"/>
    <w:rsid w:val="00CD7F6D"/>
    <w:rsid w:val="00CF3752"/>
    <w:rsid w:val="00CF73D6"/>
    <w:rsid w:val="00D20E95"/>
    <w:rsid w:val="00D631F7"/>
    <w:rsid w:val="00DB7F80"/>
    <w:rsid w:val="00DD42E0"/>
    <w:rsid w:val="00E006CC"/>
    <w:rsid w:val="00EB60B2"/>
    <w:rsid w:val="00F22F9D"/>
    <w:rsid w:val="00F2434E"/>
    <w:rsid w:val="00F678FD"/>
    <w:rsid w:val="01015335"/>
    <w:rsid w:val="011B0745"/>
    <w:rsid w:val="014001AC"/>
    <w:rsid w:val="01487075"/>
    <w:rsid w:val="014F05CD"/>
    <w:rsid w:val="016A32CB"/>
    <w:rsid w:val="01910A08"/>
    <w:rsid w:val="019B1886"/>
    <w:rsid w:val="01AB47D5"/>
    <w:rsid w:val="01AD6F5D"/>
    <w:rsid w:val="01B13CDB"/>
    <w:rsid w:val="01C7267B"/>
    <w:rsid w:val="01E019F5"/>
    <w:rsid w:val="01E44FDB"/>
    <w:rsid w:val="01F114A6"/>
    <w:rsid w:val="020F4ADB"/>
    <w:rsid w:val="02105DD0"/>
    <w:rsid w:val="022C0730"/>
    <w:rsid w:val="023B4383"/>
    <w:rsid w:val="02497534"/>
    <w:rsid w:val="024A6D3D"/>
    <w:rsid w:val="025051A9"/>
    <w:rsid w:val="025F79E1"/>
    <w:rsid w:val="029C5413"/>
    <w:rsid w:val="02AE56F2"/>
    <w:rsid w:val="02AF6115"/>
    <w:rsid w:val="02C34797"/>
    <w:rsid w:val="02C53F75"/>
    <w:rsid w:val="02C5476B"/>
    <w:rsid w:val="02E16CA8"/>
    <w:rsid w:val="02F0175E"/>
    <w:rsid w:val="02F4124E"/>
    <w:rsid w:val="03036479"/>
    <w:rsid w:val="031A4A2D"/>
    <w:rsid w:val="037A1030"/>
    <w:rsid w:val="037B54CB"/>
    <w:rsid w:val="037E320E"/>
    <w:rsid w:val="03AD764F"/>
    <w:rsid w:val="03AF1B14"/>
    <w:rsid w:val="03BE185C"/>
    <w:rsid w:val="03BE360A"/>
    <w:rsid w:val="03BF4F5F"/>
    <w:rsid w:val="03C264FC"/>
    <w:rsid w:val="03E5328D"/>
    <w:rsid w:val="03EE76D6"/>
    <w:rsid w:val="03FA61DB"/>
    <w:rsid w:val="040C6E66"/>
    <w:rsid w:val="04101DB7"/>
    <w:rsid w:val="04114082"/>
    <w:rsid w:val="041B280B"/>
    <w:rsid w:val="042C0EBC"/>
    <w:rsid w:val="04357D70"/>
    <w:rsid w:val="043953C0"/>
    <w:rsid w:val="044B1342"/>
    <w:rsid w:val="04826D2E"/>
    <w:rsid w:val="0484477C"/>
    <w:rsid w:val="04887521"/>
    <w:rsid w:val="049D378A"/>
    <w:rsid w:val="04AC5B58"/>
    <w:rsid w:val="04C504D6"/>
    <w:rsid w:val="04CB2483"/>
    <w:rsid w:val="04D37589"/>
    <w:rsid w:val="04D534BD"/>
    <w:rsid w:val="04DB2DB4"/>
    <w:rsid w:val="04DD3F64"/>
    <w:rsid w:val="04E83035"/>
    <w:rsid w:val="04ED4B11"/>
    <w:rsid w:val="04FC612D"/>
    <w:rsid w:val="051A6F66"/>
    <w:rsid w:val="05483AD3"/>
    <w:rsid w:val="057523EE"/>
    <w:rsid w:val="05940AC6"/>
    <w:rsid w:val="059B00A7"/>
    <w:rsid w:val="05BA3E5F"/>
    <w:rsid w:val="05DE1D42"/>
    <w:rsid w:val="06053772"/>
    <w:rsid w:val="06165E86"/>
    <w:rsid w:val="063218CA"/>
    <w:rsid w:val="06425AFA"/>
    <w:rsid w:val="064C5349"/>
    <w:rsid w:val="06585F98"/>
    <w:rsid w:val="066466EB"/>
    <w:rsid w:val="06652463"/>
    <w:rsid w:val="06655681"/>
    <w:rsid w:val="0674080F"/>
    <w:rsid w:val="067559E5"/>
    <w:rsid w:val="067B6479"/>
    <w:rsid w:val="06A43768"/>
    <w:rsid w:val="06AD5152"/>
    <w:rsid w:val="06BA27AF"/>
    <w:rsid w:val="06CE1DB6"/>
    <w:rsid w:val="06D47B84"/>
    <w:rsid w:val="06DA35BC"/>
    <w:rsid w:val="06E25862"/>
    <w:rsid w:val="06E93094"/>
    <w:rsid w:val="06F8135A"/>
    <w:rsid w:val="07090C1A"/>
    <w:rsid w:val="071A0472"/>
    <w:rsid w:val="071B79EB"/>
    <w:rsid w:val="071E0F8F"/>
    <w:rsid w:val="073C31C4"/>
    <w:rsid w:val="07402C36"/>
    <w:rsid w:val="075524D7"/>
    <w:rsid w:val="075C1AB8"/>
    <w:rsid w:val="07632E46"/>
    <w:rsid w:val="077961C6"/>
    <w:rsid w:val="078D3A1F"/>
    <w:rsid w:val="07956767"/>
    <w:rsid w:val="079A613C"/>
    <w:rsid w:val="07A34FF1"/>
    <w:rsid w:val="07A52BB7"/>
    <w:rsid w:val="07A5520D"/>
    <w:rsid w:val="07A73EBC"/>
    <w:rsid w:val="07AD40C1"/>
    <w:rsid w:val="07BD2F57"/>
    <w:rsid w:val="07D2135E"/>
    <w:rsid w:val="07E351BF"/>
    <w:rsid w:val="081163FE"/>
    <w:rsid w:val="081615FF"/>
    <w:rsid w:val="08370950"/>
    <w:rsid w:val="0861665F"/>
    <w:rsid w:val="08670714"/>
    <w:rsid w:val="087D4B04"/>
    <w:rsid w:val="08836BD0"/>
    <w:rsid w:val="088B366E"/>
    <w:rsid w:val="088C2B0B"/>
    <w:rsid w:val="08906316"/>
    <w:rsid w:val="089112ED"/>
    <w:rsid w:val="089D29FB"/>
    <w:rsid w:val="08BB0189"/>
    <w:rsid w:val="08C16076"/>
    <w:rsid w:val="08D137DE"/>
    <w:rsid w:val="08E458C1"/>
    <w:rsid w:val="08F655F4"/>
    <w:rsid w:val="09087453"/>
    <w:rsid w:val="0911242E"/>
    <w:rsid w:val="091D1DA1"/>
    <w:rsid w:val="092E2FE0"/>
    <w:rsid w:val="093525C0"/>
    <w:rsid w:val="093F6F9B"/>
    <w:rsid w:val="09442803"/>
    <w:rsid w:val="09554A11"/>
    <w:rsid w:val="095D6FA9"/>
    <w:rsid w:val="097204B5"/>
    <w:rsid w:val="09772BD9"/>
    <w:rsid w:val="097924AD"/>
    <w:rsid w:val="09815806"/>
    <w:rsid w:val="099363F7"/>
    <w:rsid w:val="09C63218"/>
    <w:rsid w:val="09D122E9"/>
    <w:rsid w:val="09D73678"/>
    <w:rsid w:val="09DE06BF"/>
    <w:rsid w:val="0A04296A"/>
    <w:rsid w:val="0A14667A"/>
    <w:rsid w:val="0A1E12A6"/>
    <w:rsid w:val="0A2C0D68"/>
    <w:rsid w:val="0A2C4EC9"/>
    <w:rsid w:val="0A613847"/>
    <w:rsid w:val="0A664FD5"/>
    <w:rsid w:val="0A6E1445"/>
    <w:rsid w:val="0A824AE0"/>
    <w:rsid w:val="0A850FC7"/>
    <w:rsid w:val="0AAA3089"/>
    <w:rsid w:val="0AD025A1"/>
    <w:rsid w:val="0ADD5434"/>
    <w:rsid w:val="0B097861"/>
    <w:rsid w:val="0B0E131B"/>
    <w:rsid w:val="0B107EE2"/>
    <w:rsid w:val="0B371FCF"/>
    <w:rsid w:val="0B3E3A9A"/>
    <w:rsid w:val="0B49465E"/>
    <w:rsid w:val="0B5B4F86"/>
    <w:rsid w:val="0B5F3925"/>
    <w:rsid w:val="0B837613"/>
    <w:rsid w:val="0B9B5742"/>
    <w:rsid w:val="0BA650B0"/>
    <w:rsid w:val="0BAF4E1C"/>
    <w:rsid w:val="0BCD419B"/>
    <w:rsid w:val="0BD53BE7"/>
    <w:rsid w:val="0BE1433A"/>
    <w:rsid w:val="0BFF2A12"/>
    <w:rsid w:val="0C1C1DCA"/>
    <w:rsid w:val="0C1E733C"/>
    <w:rsid w:val="0C2878F4"/>
    <w:rsid w:val="0C3D1EB8"/>
    <w:rsid w:val="0C566AD6"/>
    <w:rsid w:val="0C632FA1"/>
    <w:rsid w:val="0C69662D"/>
    <w:rsid w:val="0C8010BC"/>
    <w:rsid w:val="0C8470A6"/>
    <w:rsid w:val="0C914E84"/>
    <w:rsid w:val="0CAE0A3D"/>
    <w:rsid w:val="0CBB2DDD"/>
    <w:rsid w:val="0CCA5FFF"/>
    <w:rsid w:val="0CD914B5"/>
    <w:rsid w:val="0CE045F1"/>
    <w:rsid w:val="0CEE5747"/>
    <w:rsid w:val="0D336E17"/>
    <w:rsid w:val="0D4032E2"/>
    <w:rsid w:val="0D423C21"/>
    <w:rsid w:val="0D4B23B2"/>
    <w:rsid w:val="0D6D057B"/>
    <w:rsid w:val="0D881D7B"/>
    <w:rsid w:val="0D983A2B"/>
    <w:rsid w:val="0D9B1F3D"/>
    <w:rsid w:val="0D9C3851"/>
    <w:rsid w:val="0DC857B1"/>
    <w:rsid w:val="0DE16873"/>
    <w:rsid w:val="0DF56D87"/>
    <w:rsid w:val="0DF90060"/>
    <w:rsid w:val="0DFE11D3"/>
    <w:rsid w:val="0E056A05"/>
    <w:rsid w:val="0E2309A6"/>
    <w:rsid w:val="0E372937"/>
    <w:rsid w:val="0E3A7FCE"/>
    <w:rsid w:val="0E72396F"/>
    <w:rsid w:val="0E752FF2"/>
    <w:rsid w:val="0E8F4521"/>
    <w:rsid w:val="0EA93835"/>
    <w:rsid w:val="0EB2020F"/>
    <w:rsid w:val="0EB45D35"/>
    <w:rsid w:val="0EF728F3"/>
    <w:rsid w:val="0EFF2622"/>
    <w:rsid w:val="0F0A5C76"/>
    <w:rsid w:val="0F1113DA"/>
    <w:rsid w:val="0F1E5075"/>
    <w:rsid w:val="0F231689"/>
    <w:rsid w:val="0F2904D1"/>
    <w:rsid w:val="0F29520D"/>
    <w:rsid w:val="0F386966"/>
    <w:rsid w:val="0F3A2181"/>
    <w:rsid w:val="0F4277E5"/>
    <w:rsid w:val="0F4E4A71"/>
    <w:rsid w:val="0F570EEF"/>
    <w:rsid w:val="0F5827B9"/>
    <w:rsid w:val="0F670FFA"/>
    <w:rsid w:val="0F844707"/>
    <w:rsid w:val="0F90063F"/>
    <w:rsid w:val="0F957915"/>
    <w:rsid w:val="0FB0333E"/>
    <w:rsid w:val="0FC254D2"/>
    <w:rsid w:val="0FDA17CC"/>
    <w:rsid w:val="0FE95EB3"/>
    <w:rsid w:val="0FE97C61"/>
    <w:rsid w:val="0FEB592B"/>
    <w:rsid w:val="0FFF2314"/>
    <w:rsid w:val="1017657C"/>
    <w:rsid w:val="103A226A"/>
    <w:rsid w:val="10606F0E"/>
    <w:rsid w:val="106C0B1D"/>
    <w:rsid w:val="107E484D"/>
    <w:rsid w:val="10814CB8"/>
    <w:rsid w:val="108E3427"/>
    <w:rsid w:val="10923E54"/>
    <w:rsid w:val="10D821AF"/>
    <w:rsid w:val="10DB1C9F"/>
    <w:rsid w:val="10DB78ED"/>
    <w:rsid w:val="10DE64AA"/>
    <w:rsid w:val="10ED13FA"/>
    <w:rsid w:val="10F91ABA"/>
    <w:rsid w:val="11047F9D"/>
    <w:rsid w:val="11160068"/>
    <w:rsid w:val="11165808"/>
    <w:rsid w:val="111E4C42"/>
    <w:rsid w:val="11324BCC"/>
    <w:rsid w:val="11363E73"/>
    <w:rsid w:val="11537A88"/>
    <w:rsid w:val="117874EE"/>
    <w:rsid w:val="117B6FDE"/>
    <w:rsid w:val="117F59A5"/>
    <w:rsid w:val="11903D7A"/>
    <w:rsid w:val="119F5A66"/>
    <w:rsid w:val="11A94F1C"/>
    <w:rsid w:val="11BA7B07"/>
    <w:rsid w:val="11C40778"/>
    <w:rsid w:val="11D02E86"/>
    <w:rsid w:val="11D72467"/>
    <w:rsid w:val="11DD55A3"/>
    <w:rsid w:val="120E3383"/>
    <w:rsid w:val="122C76B0"/>
    <w:rsid w:val="12386C7D"/>
    <w:rsid w:val="123B762F"/>
    <w:rsid w:val="126510DC"/>
    <w:rsid w:val="12816876"/>
    <w:rsid w:val="128A23BA"/>
    <w:rsid w:val="12AD31C8"/>
    <w:rsid w:val="12BB1692"/>
    <w:rsid w:val="12C30F2B"/>
    <w:rsid w:val="12C63CBE"/>
    <w:rsid w:val="12EE01CF"/>
    <w:rsid w:val="12F60AE4"/>
    <w:rsid w:val="13363FA0"/>
    <w:rsid w:val="134A45C3"/>
    <w:rsid w:val="13535599"/>
    <w:rsid w:val="136B7720"/>
    <w:rsid w:val="136E2957"/>
    <w:rsid w:val="13914897"/>
    <w:rsid w:val="13AC2700"/>
    <w:rsid w:val="13C36EB4"/>
    <w:rsid w:val="13C945E3"/>
    <w:rsid w:val="13CC5426"/>
    <w:rsid w:val="13DF276F"/>
    <w:rsid w:val="13E9022F"/>
    <w:rsid w:val="13F264AF"/>
    <w:rsid w:val="13FA41EA"/>
    <w:rsid w:val="140137CB"/>
    <w:rsid w:val="1412633E"/>
    <w:rsid w:val="14411D8F"/>
    <w:rsid w:val="14440C84"/>
    <w:rsid w:val="145B10EE"/>
    <w:rsid w:val="14681327"/>
    <w:rsid w:val="14724E56"/>
    <w:rsid w:val="14796DC9"/>
    <w:rsid w:val="14910089"/>
    <w:rsid w:val="149F7382"/>
    <w:rsid w:val="14A32AD4"/>
    <w:rsid w:val="14A84789"/>
    <w:rsid w:val="14AD738E"/>
    <w:rsid w:val="14BC3B96"/>
    <w:rsid w:val="14C90EE6"/>
    <w:rsid w:val="14F0626A"/>
    <w:rsid w:val="14FA6062"/>
    <w:rsid w:val="14FB646C"/>
    <w:rsid w:val="15001278"/>
    <w:rsid w:val="15032E84"/>
    <w:rsid w:val="150C653F"/>
    <w:rsid w:val="151412DC"/>
    <w:rsid w:val="15162385"/>
    <w:rsid w:val="15381BE1"/>
    <w:rsid w:val="153E24B0"/>
    <w:rsid w:val="156C2EC6"/>
    <w:rsid w:val="157306F8"/>
    <w:rsid w:val="15881060"/>
    <w:rsid w:val="158C5316"/>
    <w:rsid w:val="15957FFC"/>
    <w:rsid w:val="15A07AD1"/>
    <w:rsid w:val="15AB73AB"/>
    <w:rsid w:val="15CA5E3E"/>
    <w:rsid w:val="15DB629E"/>
    <w:rsid w:val="15E47672"/>
    <w:rsid w:val="15EE7200"/>
    <w:rsid w:val="15FA4976"/>
    <w:rsid w:val="16066C7F"/>
    <w:rsid w:val="160A26DF"/>
    <w:rsid w:val="160E02B8"/>
    <w:rsid w:val="161A6DC6"/>
    <w:rsid w:val="16315EBE"/>
    <w:rsid w:val="164E3E3F"/>
    <w:rsid w:val="16577194"/>
    <w:rsid w:val="16586527"/>
    <w:rsid w:val="1674297A"/>
    <w:rsid w:val="16862499"/>
    <w:rsid w:val="16870F53"/>
    <w:rsid w:val="169C77DB"/>
    <w:rsid w:val="16BA5EB3"/>
    <w:rsid w:val="16C1151A"/>
    <w:rsid w:val="16C858AD"/>
    <w:rsid w:val="16DF6A27"/>
    <w:rsid w:val="16ED44DA"/>
    <w:rsid w:val="16F434A3"/>
    <w:rsid w:val="1700420E"/>
    <w:rsid w:val="174316D1"/>
    <w:rsid w:val="17452DC9"/>
    <w:rsid w:val="17514A69"/>
    <w:rsid w:val="17562080"/>
    <w:rsid w:val="1767428D"/>
    <w:rsid w:val="17886401"/>
    <w:rsid w:val="178B04F8"/>
    <w:rsid w:val="179F0CFD"/>
    <w:rsid w:val="17BD4979"/>
    <w:rsid w:val="17C76AD9"/>
    <w:rsid w:val="17EB6C6C"/>
    <w:rsid w:val="182E09AD"/>
    <w:rsid w:val="183B3024"/>
    <w:rsid w:val="1843750D"/>
    <w:rsid w:val="184E0FA9"/>
    <w:rsid w:val="185F30AD"/>
    <w:rsid w:val="18711F9C"/>
    <w:rsid w:val="18814EDA"/>
    <w:rsid w:val="188744BB"/>
    <w:rsid w:val="188F7A9E"/>
    <w:rsid w:val="18950986"/>
    <w:rsid w:val="18B27E87"/>
    <w:rsid w:val="18B6590F"/>
    <w:rsid w:val="18B76B4E"/>
    <w:rsid w:val="18C43019"/>
    <w:rsid w:val="18C61A14"/>
    <w:rsid w:val="18D045C2"/>
    <w:rsid w:val="18D92F68"/>
    <w:rsid w:val="18E25825"/>
    <w:rsid w:val="18F434B2"/>
    <w:rsid w:val="18FB4275"/>
    <w:rsid w:val="18FE652B"/>
    <w:rsid w:val="1901426D"/>
    <w:rsid w:val="190375F8"/>
    <w:rsid w:val="19067A8C"/>
    <w:rsid w:val="190A3122"/>
    <w:rsid w:val="19143FA0"/>
    <w:rsid w:val="192B2350"/>
    <w:rsid w:val="192D6E10"/>
    <w:rsid w:val="193D1A67"/>
    <w:rsid w:val="19670B89"/>
    <w:rsid w:val="19742C91"/>
    <w:rsid w:val="1984246B"/>
    <w:rsid w:val="198C16D7"/>
    <w:rsid w:val="198D49B1"/>
    <w:rsid w:val="19946E8F"/>
    <w:rsid w:val="19A601AD"/>
    <w:rsid w:val="19A71569"/>
    <w:rsid w:val="19AA02B2"/>
    <w:rsid w:val="19AB0406"/>
    <w:rsid w:val="19B5242D"/>
    <w:rsid w:val="19BC0BC4"/>
    <w:rsid w:val="19C1161C"/>
    <w:rsid w:val="19C2220A"/>
    <w:rsid w:val="19DC39BF"/>
    <w:rsid w:val="19E5593D"/>
    <w:rsid w:val="19E82D37"/>
    <w:rsid w:val="19F62DCC"/>
    <w:rsid w:val="19FA4F8A"/>
    <w:rsid w:val="19FA7B06"/>
    <w:rsid w:val="1A1A50BE"/>
    <w:rsid w:val="1A231FC1"/>
    <w:rsid w:val="1A347747"/>
    <w:rsid w:val="1A4B4268"/>
    <w:rsid w:val="1A5D3725"/>
    <w:rsid w:val="1A6049A1"/>
    <w:rsid w:val="1A8B35D3"/>
    <w:rsid w:val="1AA30CF9"/>
    <w:rsid w:val="1AC86612"/>
    <w:rsid w:val="1AEE25CF"/>
    <w:rsid w:val="1AF234E7"/>
    <w:rsid w:val="1AF52E7F"/>
    <w:rsid w:val="1AFA5418"/>
    <w:rsid w:val="1B0533B5"/>
    <w:rsid w:val="1B2C7ABC"/>
    <w:rsid w:val="1B302A48"/>
    <w:rsid w:val="1B5623CB"/>
    <w:rsid w:val="1B813443"/>
    <w:rsid w:val="1B99253B"/>
    <w:rsid w:val="1B9C209F"/>
    <w:rsid w:val="1BAB20C0"/>
    <w:rsid w:val="1BB64F73"/>
    <w:rsid w:val="1BBC447B"/>
    <w:rsid w:val="1BCA6649"/>
    <w:rsid w:val="1BD364EC"/>
    <w:rsid w:val="1BD73063"/>
    <w:rsid w:val="1BD9327F"/>
    <w:rsid w:val="1BDE43F2"/>
    <w:rsid w:val="1BE72147"/>
    <w:rsid w:val="1BF142A3"/>
    <w:rsid w:val="1BF34341"/>
    <w:rsid w:val="1BF87847"/>
    <w:rsid w:val="1C073948"/>
    <w:rsid w:val="1C0F0A4F"/>
    <w:rsid w:val="1C297D63"/>
    <w:rsid w:val="1C2F345F"/>
    <w:rsid w:val="1C4273C7"/>
    <w:rsid w:val="1C450915"/>
    <w:rsid w:val="1C6012AB"/>
    <w:rsid w:val="1C763826"/>
    <w:rsid w:val="1C794C92"/>
    <w:rsid w:val="1C960F7B"/>
    <w:rsid w:val="1C972D18"/>
    <w:rsid w:val="1CAA3D8A"/>
    <w:rsid w:val="1CB6711D"/>
    <w:rsid w:val="1CC40956"/>
    <w:rsid w:val="1CD001DE"/>
    <w:rsid w:val="1CD94D8F"/>
    <w:rsid w:val="1CDC0D71"/>
    <w:rsid w:val="1D04257E"/>
    <w:rsid w:val="1D100F23"/>
    <w:rsid w:val="1D19577B"/>
    <w:rsid w:val="1D1D0FA8"/>
    <w:rsid w:val="1D293D92"/>
    <w:rsid w:val="1D43117C"/>
    <w:rsid w:val="1D4A5A4F"/>
    <w:rsid w:val="1D540F6D"/>
    <w:rsid w:val="1D596426"/>
    <w:rsid w:val="1D6A0633"/>
    <w:rsid w:val="1D837940"/>
    <w:rsid w:val="1D913C87"/>
    <w:rsid w:val="1D970CFC"/>
    <w:rsid w:val="1DB102B0"/>
    <w:rsid w:val="1DC6338F"/>
    <w:rsid w:val="1DE50B42"/>
    <w:rsid w:val="1DF24184"/>
    <w:rsid w:val="1DFE7C94"/>
    <w:rsid w:val="1E2A2626"/>
    <w:rsid w:val="1E396257"/>
    <w:rsid w:val="1E4B4F2D"/>
    <w:rsid w:val="1E6C03DB"/>
    <w:rsid w:val="1E7C0AEF"/>
    <w:rsid w:val="1E870D71"/>
    <w:rsid w:val="1E937715"/>
    <w:rsid w:val="1E947EE6"/>
    <w:rsid w:val="1E99509F"/>
    <w:rsid w:val="1E9F430C"/>
    <w:rsid w:val="1EA21FDF"/>
    <w:rsid w:val="1F0E121F"/>
    <w:rsid w:val="1F2E3528"/>
    <w:rsid w:val="1F443106"/>
    <w:rsid w:val="1F4D2260"/>
    <w:rsid w:val="1F5C2B46"/>
    <w:rsid w:val="1F5C3FAB"/>
    <w:rsid w:val="1F632FAF"/>
    <w:rsid w:val="1F677CEA"/>
    <w:rsid w:val="1F9415B5"/>
    <w:rsid w:val="1F95570F"/>
    <w:rsid w:val="1F9C084C"/>
    <w:rsid w:val="1FAE5474"/>
    <w:rsid w:val="1FB26262"/>
    <w:rsid w:val="1FB931AC"/>
    <w:rsid w:val="1FC33971"/>
    <w:rsid w:val="1FEA0867"/>
    <w:rsid w:val="20022148"/>
    <w:rsid w:val="20034F04"/>
    <w:rsid w:val="20046B2A"/>
    <w:rsid w:val="20111D3E"/>
    <w:rsid w:val="201A57D1"/>
    <w:rsid w:val="20341290"/>
    <w:rsid w:val="20390790"/>
    <w:rsid w:val="203D202F"/>
    <w:rsid w:val="205C7FDB"/>
    <w:rsid w:val="20833120"/>
    <w:rsid w:val="20847C5E"/>
    <w:rsid w:val="208C7D22"/>
    <w:rsid w:val="209371C1"/>
    <w:rsid w:val="20B10327"/>
    <w:rsid w:val="20B61DE1"/>
    <w:rsid w:val="20D504B9"/>
    <w:rsid w:val="20E8232B"/>
    <w:rsid w:val="20F05E8F"/>
    <w:rsid w:val="21052421"/>
    <w:rsid w:val="213A0136"/>
    <w:rsid w:val="21415D89"/>
    <w:rsid w:val="214B2529"/>
    <w:rsid w:val="214D2C53"/>
    <w:rsid w:val="215F4227"/>
    <w:rsid w:val="216972EB"/>
    <w:rsid w:val="21A734D8"/>
    <w:rsid w:val="21B84BEB"/>
    <w:rsid w:val="21C26E80"/>
    <w:rsid w:val="21D855B6"/>
    <w:rsid w:val="21E949B9"/>
    <w:rsid w:val="21EE5BE9"/>
    <w:rsid w:val="21F7445F"/>
    <w:rsid w:val="222C075C"/>
    <w:rsid w:val="223636C7"/>
    <w:rsid w:val="223B3B78"/>
    <w:rsid w:val="223C6316"/>
    <w:rsid w:val="22421B7E"/>
    <w:rsid w:val="22677B1F"/>
    <w:rsid w:val="22682C67"/>
    <w:rsid w:val="22704963"/>
    <w:rsid w:val="22800727"/>
    <w:rsid w:val="22821F7B"/>
    <w:rsid w:val="229677D4"/>
    <w:rsid w:val="22A31A0E"/>
    <w:rsid w:val="22C407E5"/>
    <w:rsid w:val="22DC043E"/>
    <w:rsid w:val="22DE22BE"/>
    <w:rsid w:val="22F64E11"/>
    <w:rsid w:val="23026A39"/>
    <w:rsid w:val="2310441E"/>
    <w:rsid w:val="231E495D"/>
    <w:rsid w:val="23584AE9"/>
    <w:rsid w:val="236B2A0F"/>
    <w:rsid w:val="237E7C93"/>
    <w:rsid w:val="23903AB6"/>
    <w:rsid w:val="23916A3A"/>
    <w:rsid w:val="23952182"/>
    <w:rsid w:val="239A1546"/>
    <w:rsid w:val="23A83734"/>
    <w:rsid w:val="23AE6894"/>
    <w:rsid w:val="23D04F68"/>
    <w:rsid w:val="23EF16B0"/>
    <w:rsid w:val="24015121"/>
    <w:rsid w:val="240510B5"/>
    <w:rsid w:val="240A173F"/>
    <w:rsid w:val="240B41F2"/>
    <w:rsid w:val="240D052A"/>
    <w:rsid w:val="241C01AD"/>
    <w:rsid w:val="241D5CF9"/>
    <w:rsid w:val="24286B52"/>
    <w:rsid w:val="24323E94"/>
    <w:rsid w:val="24373239"/>
    <w:rsid w:val="243B6031"/>
    <w:rsid w:val="243F5C4A"/>
    <w:rsid w:val="244551D8"/>
    <w:rsid w:val="245142FB"/>
    <w:rsid w:val="24575689"/>
    <w:rsid w:val="246801B4"/>
    <w:rsid w:val="247022A7"/>
    <w:rsid w:val="24727DCD"/>
    <w:rsid w:val="2480698E"/>
    <w:rsid w:val="249B49DE"/>
    <w:rsid w:val="24A2753C"/>
    <w:rsid w:val="24B959FC"/>
    <w:rsid w:val="24E44130"/>
    <w:rsid w:val="24EC5DD1"/>
    <w:rsid w:val="25060946"/>
    <w:rsid w:val="252C0DD0"/>
    <w:rsid w:val="25376063"/>
    <w:rsid w:val="253A4D8F"/>
    <w:rsid w:val="254B6F9C"/>
    <w:rsid w:val="254C2D14"/>
    <w:rsid w:val="25592D3B"/>
    <w:rsid w:val="25675458"/>
    <w:rsid w:val="2582598A"/>
    <w:rsid w:val="258C3110"/>
    <w:rsid w:val="259F4898"/>
    <w:rsid w:val="25B14925"/>
    <w:rsid w:val="25BD151C"/>
    <w:rsid w:val="25DA0E81"/>
    <w:rsid w:val="25DA7BFA"/>
    <w:rsid w:val="25EB7E37"/>
    <w:rsid w:val="25FA2770"/>
    <w:rsid w:val="261633B2"/>
    <w:rsid w:val="261F21D6"/>
    <w:rsid w:val="26235823"/>
    <w:rsid w:val="26580026"/>
    <w:rsid w:val="265F14A3"/>
    <w:rsid w:val="267946FF"/>
    <w:rsid w:val="268F110A"/>
    <w:rsid w:val="26A06E73"/>
    <w:rsid w:val="26A537CA"/>
    <w:rsid w:val="26A82A00"/>
    <w:rsid w:val="26AB5818"/>
    <w:rsid w:val="26B61D82"/>
    <w:rsid w:val="26B9344C"/>
    <w:rsid w:val="26BB42BB"/>
    <w:rsid w:val="26C1503C"/>
    <w:rsid w:val="26CA3EF0"/>
    <w:rsid w:val="26DC3C24"/>
    <w:rsid w:val="26F70A5D"/>
    <w:rsid w:val="26FE3655"/>
    <w:rsid w:val="27167136"/>
    <w:rsid w:val="271B34F6"/>
    <w:rsid w:val="27321FAE"/>
    <w:rsid w:val="275352E3"/>
    <w:rsid w:val="276A7481"/>
    <w:rsid w:val="276B012A"/>
    <w:rsid w:val="277A3B68"/>
    <w:rsid w:val="278A2777"/>
    <w:rsid w:val="27A505FD"/>
    <w:rsid w:val="27AC4934"/>
    <w:rsid w:val="27AC5CEC"/>
    <w:rsid w:val="27C61236"/>
    <w:rsid w:val="27FB6C3E"/>
    <w:rsid w:val="280D7D33"/>
    <w:rsid w:val="28280EA2"/>
    <w:rsid w:val="283925B3"/>
    <w:rsid w:val="2852164D"/>
    <w:rsid w:val="28537F15"/>
    <w:rsid w:val="28784A96"/>
    <w:rsid w:val="28884B35"/>
    <w:rsid w:val="28C449CB"/>
    <w:rsid w:val="28C80903"/>
    <w:rsid w:val="28FD3A78"/>
    <w:rsid w:val="290A2CCA"/>
    <w:rsid w:val="290B259E"/>
    <w:rsid w:val="292A336C"/>
    <w:rsid w:val="292F2731"/>
    <w:rsid w:val="29345F99"/>
    <w:rsid w:val="294F34AF"/>
    <w:rsid w:val="294F692F"/>
    <w:rsid w:val="29647BFD"/>
    <w:rsid w:val="296B229E"/>
    <w:rsid w:val="298C6ABF"/>
    <w:rsid w:val="29932CBF"/>
    <w:rsid w:val="29A42A8A"/>
    <w:rsid w:val="29A925F2"/>
    <w:rsid w:val="29BA649E"/>
    <w:rsid w:val="29C16373"/>
    <w:rsid w:val="29C235A5"/>
    <w:rsid w:val="29C27101"/>
    <w:rsid w:val="29E4095D"/>
    <w:rsid w:val="2A0E0EA1"/>
    <w:rsid w:val="2A1B4A63"/>
    <w:rsid w:val="2A226050"/>
    <w:rsid w:val="2A2C0A1E"/>
    <w:rsid w:val="2A3E4134"/>
    <w:rsid w:val="2A3E70CF"/>
    <w:rsid w:val="2A426494"/>
    <w:rsid w:val="2A5957DE"/>
    <w:rsid w:val="2A5B13F0"/>
    <w:rsid w:val="2A61691A"/>
    <w:rsid w:val="2A6E4F0C"/>
    <w:rsid w:val="2A7506E8"/>
    <w:rsid w:val="2A8275BB"/>
    <w:rsid w:val="2A846AAC"/>
    <w:rsid w:val="2AA64C74"/>
    <w:rsid w:val="2AB729DE"/>
    <w:rsid w:val="2ACD7025"/>
    <w:rsid w:val="2ACE4C1F"/>
    <w:rsid w:val="2ADC41F2"/>
    <w:rsid w:val="2ADE2BD0"/>
    <w:rsid w:val="2AEB2687"/>
    <w:rsid w:val="2B01563F"/>
    <w:rsid w:val="2B0B38BD"/>
    <w:rsid w:val="2B193698"/>
    <w:rsid w:val="2B234160"/>
    <w:rsid w:val="2B287437"/>
    <w:rsid w:val="2B2E61B0"/>
    <w:rsid w:val="2B327C2B"/>
    <w:rsid w:val="2B561782"/>
    <w:rsid w:val="2B6F73A8"/>
    <w:rsid w:val="2B780BD8"/>
    <w:rsid w:val="2B7C29D4"/>
    <w:rsid w:val="2BC9585A"/>
    <w:rsid w:val="2BCF16CC"/>
    <w:rsid w:val="2BE236B4"/>
    <w:rsid w:val="2BF0264B"/>
    <w:rsid w:val="2C0438E9"/>
    <w:rsid w:val="2C112457"/>
    <w:rsid w:val="2C4B7881"/>
    <w:rsid w:val="2C531232"/>
    <w:rsid w:val="2C752B50"/>
    <w:rsid w:val="2C774CB2"/>
    <w:rsid w:val="2C8114F5"/>
    <w:rsid w:val="2C8C39F6"/>
    <w:rsid w:val="2CAC6A25"/>
    <w:rsid w:val="2CB847EB"/>
    <w:rsid w:val="2CB90C8F"/>
    <w:rsid w:val="2CDA6E57"/>
    <w:rsid w:val="2CE221BD"/>
    <w:rsid w:val="2CE61358"/>
    <w:rsid w:val="2CEE0760"/>
    <w:rsid w:val="2CEF7B20"/>
    <w:rsid w:val="2D015187"/>
    <w:rsid w:val="2D2101FF"/>
    <w:rsid w:val="2D4652DE"/>
    <w:rsid w:val="2D517119"/>
    <w:rsid w:val="2D5409B8"/>
    <w:rsid w:val="2D552205"/>
    <w:rsid w:val="2D682153"/>
    <w:rsid w:val="2D686211"/>
    <w:rsid w:val="2D835473"/>
    <w:rsid w:val="2D962D7E"/>
    <w:rsid w:val="2DB87198"/>
    <w:rsid w:val="2DBB0A37"/>
    <w:rsid w:val="2DC45B3D"/>
    <w:rsid w:val="2DD42233"/>
    <w:rsid w:val="2DDB4C35"/>
    <w:rsid w:val="2DDE0EE7"/>
    <w:rsid w:val="2DE071B6"/>
    <w:rsid w:val="2DE36856"/>
    <w:rsid w:val="2DF47AA5"/>
    <w:rsid w:val="2E136530"/>
    <w:rsid w:val="2E1F2D74"/>
    <w:rsid w:val="2E304F81"/>
    <w:rsid w:val="2E3507E9"/>
    <w:rsid w:val="2E36630F"/>
    <w:rsid w:val="2E3E709D"/>
    <w:rsid w:val="2E5D389C"/>
    <w:rsid w:val="2E644C2A"/>
    <w:rsid w:val="2E69242D"/>
    <w:rsid w:val="2E785773"/>
    <w:rsid w:val="2E9F6C97"/>
    <w:rsid w:val="2EB57234"/>
    <w:rsid w:val="2EBF4557"/>
    <w:rsid w:val="2EBF73AF"/>
    <w:rsid w:val="2EE32F12"/>
    <w:rsid w:val="2EFE736E"/>
    <w:rsid w:val="2F195D7B"/>
    <w:rsid w:val="2F2B17B6"/>
    <w:rsid w:val="2F520F27"/>
    <w:rsid w:val="2F544735"/>
    <w:rsid w:val="2F5922B5"/>
    <w:rsid w:val="2F631386"/>
    <w:rsid w:val="2F702B72"/>
    <w:rsid w:val="2F736386"/>
    <w:rsid w:val="2F9037FD"/>
    <w:rsid w:val="2F917175"/>
    <w:rsid w:val="2FC260AC"/>
    <w:rsid w:val="2FCF4325"/>
    <w:rsid w:val="2FD645DA"/>
    <w:rsid w:val="2FF921CA"/>
    <w:rsid w:val="30024BB7"/>
    <w:rsid w:val="300C37CC"/>
    <w:rsid w:val="300C5471"/>
    <w:rsid w:val="30166366"/>
    <w:rsid w:val="30183F1E"/>
    <w:rsid w:val="301A06E5"/>
    <w:rsid w:val="302E3742"/>
    <w:rsid w:val="303E14AB"/>
    <w:rsid w:val="304940D8"/>
    <w:rsid w:val="30573710"/>
    <w:rsid w:val="306A7C81"/>
    <w:rsid w:val="30B654E5"/>
    <w:rsid w:val="30C168E2"/>
    <w:rsid w:val="30C9339C"/>
    <w:rsid w:val="30DA22C8"/>
    <w:rsid w:val="30F2476F"/>
    <w:rsid w:val="3113148D"/>
    <w:rsid w:val="3113250A"/>
    <w:rsid w:val="31175F84"/>
    <w:rsid w:val="311A098E"/>
    <w:rsid w:val="31461820"/>
    <w:rsid w:val="31552AFA"/>
    <w:rsid w:val="3157541A"/>
    <w:rsid w:val="3159147B"/>
    <w:rsid w:val="31723B02"/>
    <w:rsid w:val="3184468C"/>
    <w:rsid w:val="318E3D20"/>
    <w:rsid w:val="31A223CF"/>
    <w:rsid w:val="31AF440F"/>
    <w:rsid w:val="31B639EF"/>
    <w:rsid w:val="31BC4C45"/>
    <w:rsid w:val="31C14142"/>
    <w:rsid w:val="31D04F95"/>
    <w:rsid w:val="31DB606E"/>
    <w:rsid w:val="31E542D4"/>
    <w:rsid w:val="31E87920"/>
    <w:rsid w:val="31FE033A"/>
    <w:rsid w:val="320D55D9"/>
    <w:rsid w:val="323856FB"/>
    <w:rsid w:val="32452FC5"/>
    <w:rsid w:val="3268280F"/>
    <w:rsid w:val="3296737C"/>
    <w:rsid w:val="329C2DB1"/>
    <w:rsid w:val="32AC094E"/>
    <w:rsid w:val="32B211FA"/>
    <w:rsid w:val="32D63BCD"/>
    <w:rsid w:val="32D70388"/>
    <w:rsid w:val="32F3657D"/>
    <w:rsid w:val="32F6606D"/>
    <w:rsid w:val="3304078A"/>
    <w:rsid w:val="33185FE3"/>
    <w:rsid w:val="3330157F"/>
    <w:rsid w:val="33372528"/>
    <w:rsid w:val="333B189C"/>
    <w:rsid w:val="33437504"/>
    <w:rsid w:val="335A484E"/>
    <w:rsid w:val="33937144"/>
    <w:rsid w:val="339E298D"/>
    <w:rsid w:val="33A361F5"/>
    <w:rsid w:val="33B95A18"/>
    <w:rsid w:val="33BD36BE"/>
    <w:rsid w:val="33C5616B"/>
    <w:rsid w:val="33CD3272"/>
    <w:rsid w:val="33D00BC2"/>
    <w:rsid w:val="33D12D62"/>
    <w:rsid w:val="33D51F58"/>
    <w:rsid w:val="33E57375"/>
    <w:rsid w:val="34006CB9"/>
    <w:rsid w:val="341472E4"/>
    <w:rsid w:val="341744ED"/>
    <w:rsid w:val="3421071B"/>
    <w:rsid w:val="344057F2"/>
    <w:rsid w:val="34515C51"/>
    <w:rsid w:val="346959F8"/>
    <w:rsid w:val="346A2FD2"/>
    <w:rsid w:val="3496655F"/>
    <w:rsid w:val="34B43864"/>
    <w:rsid w:val="34B63D06"/>
    <w:rsid w:val="34B85CD0"/>
    <w:rsid w:val="34B955A4"/>
    <w:rsid w:val="34C62E5D"/>
    <w:rsid w:val="34CE72A2"/>
    <w:rsid w:val="34F32864"/>
    <w:rsid w:val="34F36D08"/>
    <w:rsid w:val="3509652C"/>
    <w:rsid w:val="350C7DCA"/>
    <w:rsid w:val="352C4C62"/>
    <w:rsid w:val="3530528C"/>
    <w:rsid w:val="354237EC"/>
    <w:rsid w:val="35665BB9"/>
    <w:rsid w:val="3569521C"/>
    <w:rsid w:val="35761C0B"/>
    <w:rsid w:val="358C3D6B"/>
    <w:rsid w:val="35921B86"/>
    <w:rsid w:val="359B3408"/>
    <w:rsid w:val="359C0F44"/>
    <w:rsid w:val="35AF70D3"/>
    <w:rsid w:val="35CB37E1"/>
    <w:rsid w:val="35CF32D1"/>
    <w:rsid w:val="35E3546D"/>
    <w:rsid w:val="35E72FA6"/>
    <w:rsid w:val="35EC46CA"/>
    <w:rsid w:val="360D5BA8"/>
    <w:rsid w:val="360F5314"/>
    <w:rsid w:val="36146561"/>
    <w:rsid w:val="361E1B63"/>
    <w:rsid w:val="36305255"/>
    <w:rsid w:val="36343134"/>
    <w:rsid w:val="36453593"/>
    <w:rsid w:val="36464CCC"/>
    <w:rsid w:val="3659703F"/>
    <w:rsid w:val="366E7AE4"/>
    <w:rsid w:val="36781EAF"/>
    <w:rsid w:val="368C2F70"/>
    <w:rsid w:val="36AB4BC9"/>
    <w:rsid w:val="36AE738B"/>
    <w:rsid w:val="36B534F0"/>
    <w:rsid w:val="36C2415B"/>
    <w:rsid w:val="36CE0E71"/>
    <w:rsid w:val="36DD557A"/>
    <w:rsid w:val="36E96615"/>
    <w:rsid w:val="36F151D7"/>
    <w:rsid w:val="372611C0"/>
    <w:rsid w:val="37347390"/>
    <w:rsid w:val="373B04F2"/>
    <w:rsid w:val="373B4954"/>
    <w:rsid w:val="375021F0"/>
    <w:rsid w:val="375750B9"/>
    <w:rsid w:val="3758307B"/>
    <w:rsid w:val="37591734"/>
    <w:rsid w:val="37827D62"/>
    <w:rsid w:val="37913ADD"/>
    <w:rsid w:val="37977E1F"/>
    <w:rsid w:val="37985945"/>
    <w:rsid w:val="37D50947"/>
    <w:rsid w:val="37EB04C4"/>
    <w:rsid w:val="37FE39FA"/>
    <w:rsid w:val="381C20D2"/>
    <w:rsid w:val="38305B7D"/>
    <w:rsid w:val="383E473E"/>
    <w:rsid w:val="38455ACD"/>
    <w:rsid w:val="38526E65"/>
    <w:rsid w:val="385C5F52"/>
    <w:rsid w:val="389C3C95"/>
    <w:rsid w:val="389F72F3"/>
    <w:rsid w:val="38A5656B"/>
    <w:rsid w:val="38F83D7C"/>
    <w:rsid w:val="38FA3D54"/>
    <w:rsid w:val="3911775D"/>
    <w:rsid w:val="39136C87"/>
    <w:rsid w:val="39232087"/>
    <w:rsid w:val="39466B17"/>
    <w:rsid w:val="39671A73"/>
    <w:rsid w:val="39732F39"/>
    <w:rsid w:val="39930ABA"/>
    <w:rsid w:val="399C0723"/>
    <w:rsid w:val="39AB46AD"/>
    <w:rsid w:val="39AD1939"/>
    <w:rsid w:val="39AD5700"/>
    <w:rsid w:val="39B33299"/>
    <w:rsid w:val="39C71EBC"/>
    <w:rsid w:val="39D71ABF"/>
    <w:rsid w:val="3A06416B"/>
    <w:rsid w:val="3A0B68A2"/>
    <w:rsid w:val="3A125143"/>
    <w:rsid w:val="3A2670F2"/>
    <w:rsid w:val="3A43603C"/>
    <w:rsid w:val="3A491F6E"/>
    <w:rsid w:val="3A4E50A8"/>
    <w:rsid w:val="3A500759"/>
    <w:rsid w:val="3A53404F"/>
    <w:rsid w:val="3A555D6F"/>
    <w:rsid w:val="3A614714"/>
    <w:rsid w:val="3A704D37"/>
    <w:rsid w:val="3A742699"/>
    <w:rsid w:val="3A744447"/>
    <w:rsid w:val="3A8A3559"/>
    <w:rsid w:val="3A971EE4"/>
    <w:rsid w:val="3A995C5C"/>
    <w:rsid w:val="3ACE7FFB"/>
    <w:rsid w:val="3AD4550B"/>
    <w:rsid w:val="3AD46F39"/>
    <w:rsid w:val="3ADA547D"/>
    <w:rsid w:val="3AE26F4B"/>
    <w:rsid w:val="3AFA28C5"/>
    <w:rsid w:val="3B1E210C"/>
    <w:rsid w:val="3B20428D"/>
    <w:rsid w:val="3B3616FD"/>
    <w:rsid w:val="3B395601"/>
    <w:rsid w:val="3B5A0DA7"/>
    <w:rsid w:val="3B5C1416"/>
    <w:rsid w:val="3B60677A"/>
    <w:rsid w:val="3B683931"/>
    <w:rsid w:val="3B6E533A"/>
    <w:rsid w:val="3B8C47E6"/>
    <w:rsid w:val="3B9C1479"/>
    <w:rsid w:val="3B9F3746"/>
    <w:rsid w:val="3BC96A15"/>
    <w:rsid w:val="3BCB453B"/>
    <w:rsid w:val="3BF5780A"/>
    <w:rsid w:val="3BFC0772"/>
    <w:rsid w:val="3C0F7792"/>
    <w:rsid w:val="3C13219A"/>
    <w:rsid w:val="3C1E1CA2"/>
    <w:rsid w:val="3C221C81"/>
    <w:rsid w:val="3C3817C7"/>
    <w:rsid w:val="3C5927DC"/>
    <w:rsid w:val="3C7E77FF"/>
    <w:rsid w:val="3CDD2778"/>
    <w:rsid w:val="3CE31410"/>
    <w:rsid w:val="3CE77B28"/>
    <w:rsid w:val="3CF4361D"/>
    <w:rsid w:val="3CF87058"/>
    <w:rsid w:val="3D0C0967"/>
    <w:rsid w:val="3D46434E"/>
    <w:rsid w:val="3D465137"/>
    <w:rsid w:val="3D5765A5"/>
    <w:rsid w:val="3D597924"/>
    <w:rsid w:val="3D686FEC"/>
    <w:rsid w:val="3D793B23"/>
    <w:rsid w:val="3D7F3A58"/>
    <w:rsid w:val="3D9111E7"/>
    <w:rsid w:val="3D932E36"/>
    <w:rsid w:val="3DB65F28"/>
    <w:rsid w:val="3DCA352A"/>
    <w:rsid w:val="3DD73CC2"/>
    <w:rsid w:val="3DEE2762"/>
    <w:rsid w:val="3DFD29A6"/>
    <w:rsid w:val="3E117A41"/>
    <w:rsid w:val="3E263CAA"/>
    <w:rsid w:val="3E2B6C78"/>
    <w:rsid w:val="3E32264F"/>
    <w:rsid w:val="3E38578C"/>
    <w:rsid w:val="3E5500EC"/>
    <w:rsid w:val="3E5C591E"/>
    <w:rsid w:val="3E720CD7"/>
    <w:rsid w:val="3E81383B"/>
    <w:rsid w:val="3E863F64"/>
    <w:rsid w:val="3E902A1D"/>
    <w:rsid w:val="3EB92D70"/>
    <w:rsid w:val="3EF1250A"/>
    <w:rsid w:val="3EF762D8"/>
    <w:rsid w:val="3EF76F56"/>
    <w:rsid w:val="3F283A52"/>
    <w:rsid w:val="3F3423F7"/>
    <w:rsid w:val="3F381EE7"/>
    <w:rsid w:val="3F5B3E28"/>
    <w:rsid w:val="3F5F64EF"/>
    <w:rsid w:val="3F731DC5"/>
    <w:rsid w:val="3F7F06BD"/>
    <w:rsid w:val="3F895F2B"/>
    <w:rsid w:val="3F9F1F66"/>
    <w:rsid w:val="3FA84969"/>
    <w:rsid w:val="3FAC01DF"/>
    <w:rsid w:val="3FAD4598"/>
    <w:rsid w:val="3FC45529"/>
    <w:rsid w:val="3FCE45FA"/>
    <w:rsid w:val="4032514F"/>
    <w:rsid w:val="403B2F1A"/>
    <w:rsid w:val="40494B17"/>
    <w:rsid w:val="406805AA"/>
    <w:rsid w:val="406960D0"/>
    <w:rsid w:val="406A115E"/>
    <w:rsid w:val="408B4299"/>
    <w:rsid w:val="40DA6FCE"/>
    <w:rsid w:val="40E466BD"/>
    <w:rsid w:val="40EE65D6"/>
    <w:rsid w:val="40F577B1"/>
    <w:rsid w:val="40FF18BA"/>
    <w:rsid w:val="41195D48"/>
    <w:rsid w:val="41401527"/>
    <w:rsid w:val="416252F1"/>
    <w:rsid w:val="416A5E0A"/>
    <w:rsid w:val="416C2F7C"/>
    <w:rsid w:val="417A6026"/>
    <w:rsid w:val="418D4040"/>
    <w:rsid w:val="41A02A80"/>
    <w:rsid w:val="41AB7868"/>
    <w:rsid w:val="41B50A70"/>
    <w:rsid w:val="41C414E9"/>
    <w:rsid w:val="41C9151C"/>
    <w:rsid w:val="41EB6656"/>
    <w:rsid w:val="41F12821"/>
    <w:rsid w:val="42072045"/>
    <w:rsid w:val="42134546"/>
    <w:rsid w:val="423063A6"/>
    <w:rsid w:val="424C6F95"/>
    <w:rsid w:val="425828A0"/>
    <w:rsid w:val="425863FC"/>
    <w:rsid w:val="425F3C2F"/>
    <w:rsid w:val="42660B19"/>
    <w:rsid w:val="42862F6A"/>
    <w:rsid w:val="428A2D72"/>
    <w:rsid w:val="42997141"/>
    <w:rsid w:val="42AC505B"/>
    <w:rsid w:val="42BE1869"/>
    <w:rsid w:val="42D75F55"/>
    <w:rsid w:val="42ED23AC"/>
    <w:rsid w:val="42F425C9"/>
    <w:rsid w:val="43095949"/>
    <w:rsid w:val="431520E8"/>
    <w:rsid w:val="431C567C"/>
    <w:rsid w:val="431E7646"/>
    <w:rsid w:val="43544E16"/>
    <w:rsid w:val="43607C5E"/>
    <w:rsid w:val="43784FA8"/>
    <w:rsid w:val="43790D20"/>
    <w:rsid w:val="437B6846"/>
    <w:rsid w:val="438C4CBE"/>
    <w:rsid w:val="439C056B"/>
    <w:rsid w:val="43B43B06"/>
    <w:rsid w:val="43B753A5"/>
    <w:rsid w:val="43B919F6"/>
    <w:rsid w:val="43C66187"/>
    <w:rsid w:val="43D223CF"/>
    <w:rsid w:val="43E048FB"/>
    <w:rsid w:val="43E268C5"/>
    <w:rsid w:val="43EB243C"/>
    <w:rsid w:val="44065C7A"/>
    <w:rsid w:val="440920A4"/>
    <w:rsid w:val="440C3942"/>
    <w:rsid w:val="445459EE"/>
    <w:rsid w:val="446C618F"/>
    <w:rsid w:val="44834C13"/>
    <w:rsid w:val="44983436"/>
    <w:rsid w:val="449E61C5"/>
    <w:rsid w:val="44A3005D"/>
    <w:rsid w:val="44C34AC7"/>
    <w:rsid w:val="44D97C83"/>
    <w:rsid w:val="44EF5C79"/>
    <w:rsid w:val="452758AE"/>
    <w:rsid w:val="45285D79"/>
    <w:rsid w:val="456414CF"/>
    <w:rsid w:val="45655B63"/>
    <w:rsid w:val="456F7686"/>
    <w:rsid w:val="457F1576"/>
    <w:rsid w:val="45C97502"/>
    <w:rsid w:val="45DC6B2A"/>
    <w:rsid w:val="45E043BF"/>
    <w:rsid w:val="45E87A97"/>
    <w:rsid w:val="45F428E0"/>
    <w:rsid w:val="46205E85"/>
    <w:rsid w:val="462064F9"/>
    <w:rsid w:val="462705C0"/>
    <w:rsid w:val="46366A55"/>
    <w:rsid w:val="46396545"/>
    <w:rsid w:val="463A4797"/>
    <w:rsid w:val="46511AE0"/>
    <w:rsid w:val="466C770A"/>
    <w:rsid w:val="467001B9"/>
    <w:rsid w:val="46717A8D"/>
    <w:rsid w:val="46895DD9"/>
    <w:rsid w:val="468D6EA3"/>
    <w:rsid w:val="46933EA7"/>
    <w:rsid w:val="46AB3B49"/>
    <w:rsid w:val="46E65C1A"/>
    <w:rsid w:val="46E85747"/>
    <w:rsid w:val="46F31318"/>
    <w:rsid w:val="473C332F"/>
    <w:rsid w:val="47416EC4"/>
    <w:rsid w:val="4743578A"/>
    <w:rsid w:val="474433F3"/>
    <w:rsid w:val="477353BB"/>
    <w:rsid w:val="4774202F"/>
    <w:rsid w:val="477C2B8D"/>
    <w:rsid w:val="477F2264"/>
    <w:rsid w:val="47AA58D8"/>
    <w:rsid w:val="47BA5463"/>
    <w:rsid w:val="47C14A44"/>
    <w:rsid w:val="47C702AC"/>
    <w:rsid w:val="47CF7161"/>
    <w:rsid w:val="47D77DC3"/>
    <w:rsid w:val="47FB20FB"/>
    <w:rsid w:val="480768FB"/>
    <w:rsid w:val="48172D6C"/>
    <w:rsid w:val="481A1457"/>
    <w:rsid w:val="482C5A66"/>
    <w:rsid w:val="48357040"/>
    <w:rsid w:val="48390A7E"/>
    <w:rsid w:val="485D476D"/>
    <w:rsid w:val="486755EB"/>
    <w:rsid w:val="48693111"/>
    <w:rsid w:val="486D1538"/>
    <w:rsid w:val="48742B93"/>
    <w:rsid w:val="487A39AD"/>
    <w:rsid w:val="48851E45"/>
    <w:rsid w:val="489F6A50"/>
    <w:rsid w:val="48A40CC7"/>
    <w:rsid w:val="48AE547A"/>
    <w:rsid w:val="48CC18F2"/>
    <w:rsid w:val="49033566"/>
    <w:rsid w:val="49142F9E"/>
    <w:rsid w:val="492F13F5"/>
    <w:rsid w:val="494616A5"/>
    <w:rsid w:val="49465201"/>
    <w:rsid w:val="49492F43"/>
    <w:rsid w:val="49752D84"/>
    <w:rsid w:val="4977360C"/>
    <w:rsid w:val="49855FD9"/>
    <w:rsid w:val="498E4288"/>
    <w:rsid w:val="4998685F"/>
    <w:rsid w:val="499B127D"/>
    <w:rsid w:val="49B4660E"/>
    <w:rsid w:val="49D84F8F"/>
    <w:rsid w:val="49E031D7"/>
    <w:rsid w:val="49EA64D4"/>
    <w:rsid w:val="4A0333C5"/>
    <w:rsid w:val="4A1B33F0"/>
    <w:rsid w:val="4A37230B"/>
    <w:rsid w:val="4A3C6604"/>
    <w:rsid w:val="4A3D4856"/>
    <w:rsid w:val="4A4C4A99"/>
    <w:rsid w:val="4A5461B1"/>
    <w:rsid w:val="4ABB1C1E"/>
    <w:rsid w:val="4AC079A4"/>
    <w:rsid w:val="4AD00E3E"/>
    <w:rsid w:val="4ADA5E21"/>
    <w:rsid w:val="4AEF3676"/>
    <w:rsid w:val="4AF22945"/>
    <w:rsid w:val="4B1650A7"/>
    <w:rsid w:val="4B187071"/>
    <w:rsid w:val="4B206D94"/>
    <w:rsid w:val="4B226A7C"/>
    <w:rsid w:val="4B2E419E"/>
    <w:rsid w:val="4B313C8F"/>
    <w:rsid w:val="4B46598C"/>
    <w:rsid w:val="4B5A4F93"/>
    <w:rsid w:val="4B693428"/>
    <w:rsid w:val="4B7C1BD5"/>
    <w:rsid w:val="4B8464B4"/>
    <w:rsid w:val="4B846D55"/>
    <w:rsid w:val="4B86701D"/>
    <w:rsid w:val="4B8C7D59"/>
    <w:rsid w:val="4B97607E"/>
    <w:rsid w:val="4B9D0781"/>
    <w:rsid w:val="4BA608E8"/>
    <w:rsid w:val="4BA95F1B"/>
    <w:rsid w:val="4BAD1BF6"/>
    <w:rsid w:val="4BBD14C4"/>
    <w:rsid w:val="4BC15012"/>
    <w:rsid w:val="4BD65423"/>
    <w:rsid w:val="4BDD19BC"/>
    <w:rsid w:val="4BFB0ECD"/>
    <w:rsid w:val="4BFC2C34"/>
    <w:rsid w:val="4BFC7DC7"/>
    <w:rsid w:val="4C0E479B"/>
    <w:rsid w:val="4C260B43"/>
    <w:rsid w:val="4C283F70"/>
    <w:rsid w:val="4C2D4456"/>
    <w:rsid w:val="4C335EAE"/>
    <w:rsid w:val="4C34645F"/>
    <w:rsid w:val="4C4579F1"/>
    <w:rsid w:val="4C52274A"/>
    <w:rsid w:val="4C885B30"/>
    <w:rsid w:val="4C8B29F2"/>
    <w:rsid w:val="4C8F5111"/>
    <w:rsid w:val="4CA50490"/>
    <w:rsid w:val="4CAC181F"/>
    <w:rsid w:val="4CDB7FD1"/>
    <w:rsid w:val="4CF51418"/>
    <w:rsid w:val="4D111FCA"/>
    <w:rsid w:val="4D1C122D"/>
    <w:rsid w:val="4D302450"/>
    <w:rsid w:val="4D5A3970"/>
    <w:rsid w:val="4D7A5E5A"/>
    <w:rsid w:val="4D8E78E2"/>
    <w:rsid w:val="4DAB1AD6"/>
    <w:rsid w:val="4DAB5F7A"/>
    <w:rsid w:val="4DB52C4D"/>
    <w:rsid w:val="4DBC0187"/>
    <w:rsid w:val="4DCD7C9F"/>
    <w:rsid w:val="4DD51249"/>
    <w:rsid w:val="4DD76D6F"/>
    <w:rsid w:val="4DDA23BB"/>
    <w:rsid w:val="4DE84AD8"/>
    <w:rsid w:val="4DE91D02"/>
    <w:rsid w:val="4DF0398D"/>
    <w:rsid w:val="4DF04738"/>
    <w:rsid w:val="4DF31BBE"/>
    <w:rsid w:val="4DF74D1B"/>
    <w:rsid w:val="4DFE4782"/>
    <w:rsid w:val="4E0570D7"/>
    <w:rsid w:val="4E17648E"/>
    <w:rsid w:val="4E1B4E0F"/>
    <w:rsid w:val="4E2C4423"/>
    <w:rsid w:val="4E347DC0"/>
    <w:rsid w:val="4E576029"/>
    <w:rsid w:val="4E604B19"/>
    <w:rsid w:val="4E6A0A71"/>
    <w:rsid w:val="4E88477F"/>
    <w:rsid w:val="4E8D4CA0"/>
    <w:rsid w:val="4E8E46A8"/>
    <w:rsid w:val="4EB946C7"/>
    <w:rsid w:val="4EBD63C4"/>
    <w:rsid w:val="4EC015B1"/>
    <w:rsid w:val="4EC72940"/>
    <w:rsid w:val="4ED41501"/>
    <w:rsid w:val="4ED82D9F"/>
    <w:rsid w:val="4EE80B08"/>
    <w:rsid w:val="4EF94AC3"/>
    <w:rsid w:val="4EFC670B"/>
    <w:rsid w:val="4F0A6DAE"/>
    <w:rsid w:val="4F112FDC"/>
    <w:rsid w:val="4F365D17"/>
    <w:rsid w:val="4F3E109D"/>
    <w:rsid w:val="4F506DD9"/>
    <w:rsid w:val="4F5F526E"/>
    <w:rsid w:val="4F7F76BE"/>
    <w:rsid w:val="4F8B6063"/>
    <w:rsid w:val="4FB05A0F"/>
    <w:rsid w:val="4FBC621D"/>
    <w:rsid w:val="4FCC3F86"/>
    <w:rsid w:val="4FF4152A"/>
    <w:rsid w:val="505F4DFA"/>
    <w:rsid w:val="50823455"/>
    <w:rsid w:val="50852AB2"/>
    <w:rsid w:val="50916F34"/>
    <w:rsid w:val="50A56441"/>
    <w:rsid w:val="50AC3D18"/>
    <w:rsid w:val="50AF7B2F"/>
    <w:rsid w:val="50BD049E"/>
    <w:rsid w:val="50D565F6"/>
    <w:rsid w:val="50D94BAC"/>
    <w:rsid w:val="50F33EC0"/>
    <w:rsid w:val="510B71B7"/>
    <w:rsid w:val="51121E6C"/>
    <w:rsid w:val="512F6EC2"/>
    <w:rsid w:val="51303506"/>
    <w:rsid w:val="514B6911"/>
    <w:rsid w:val="51646360"/>
    <w:rsid w:val="51736DAF"/>
    <w:rsid w:val="5176064D"/>
    <w:rsid w:val="517639BB"/>
    <w:rsid w:val="51772E5F"/>
    <w:rsid w:val="517D5E7F"/>
    <w:rsid w:val="51856AE2"/>
    <w:rsid w:val="51984A67"/>
    <w:rsid w:val="51A90A23"/>
    <w:rsid w:val="51B15B29"/>
    <w:rsid w:val="51C504A8"/>
    <w:rsid w:val="51D63299"/>
    <w:rsid w:val="51DC6606"/>
    <w:rsid w:val="51F7178E"/>
    <w:rsid w:val="520C130D"/>
    <w:rsid w:val="52157E66"/>
    <w:rsid w:val="52285DEB"/>
    <w:rsid w:val="523D2EC3"/>
    <w:rsid w:val="523E73BD"/>
    <w:rsid w:val="52505342"/>
    <w:rsid w:val="526F57C8"/>
    <w:rsid w:val="529167FF"/>
    <w:rsid w:val="52A631B4"/>
    <w:rsid w:val="52B04DBB"/>
    <w:rsid w:val="52DF0D6B"/>
    <w:rsid w:val="52F947E9"/>
    <w:rsid w:val="5313232E"/>
    <w:rsid w:val="532A7941"/>
    <w:rsid w:val="533267F6"/>
    <w:rsid w:val="536203AC"/>
    <w:rsid w:val="53672943"/>
    <w:rsid w:val="53684537"/>
    <w:rsid w:val="53937719"/>
    <w:rsid w:val="53B37488"/>
    <w:rsid w:val="53C45F96"/>
    <w:rsid w:val="53C71634"/>
    <w:rsid w:val="541859EC"/>
    <w:rsid w:val="541C137E"/>
    <w:rsid w:val="541D1254"/>
    <w:rsid w:val="542E3461"/>
    <w:rsid w:val="54416DE4"/>
    <w:rsid w:val="54546E90"/>
    <w:rsid w:val="546D3F89"/>
    <w:rsid w:val="546E1B3D"/>
    <w:rsid w:val="548D510A"/>
    <w:rsid w:val="54992FD0"/>
    <w:rsid w:val="549A3F89"/>
    <w:rsid w:val="549C32EC"/>
    <w:rsid w:val="54AB2D04"/>
    <w:rsid w:val="54B62A66"/>
    <w:rsid w:val="54EB4EAE"/>
    <w:rsid w:val="54F00716"/>
    <w:rsid w:val="55004D55"/>
    <w:rsid w:val="551B1C37"/>
    <w:rsid w:val="55272A68"/>
    <w:rsid w:val="552A00CC"/>
    <w:rsid w:val="553E5926"/>
    <w:rsid w:val="554D3005"/>
    <w:rsid w:val="55652EB2"/>
    <w:rsid w:val="557C19C1"/>
    <w:rsid w:val="55913C7C"/>
    <w:rsid w:val="55A34937"/>
    <w:rsid w:val="55B5617A"/>
    <w:rsid w:val="55BA31FE"/>
    <w:rsid w:val="55C300FC"/>
    <w:rsid w:val="55C73B6D"/>
    <w:rsid w:val="55D81526"/>
    <w:rsid w:val="55D87E1A"/>
    <w:rsid w:val="55DA1393"/>
    <w:rsid w:val="55E4027B"/>
    <w:rsid w:val="55FA0B35"/>
    <w:rsid w:val="56002BDB"/>
    <w:rsid w:val="56004B04"/>
    <w:rsid w:val="561F3061"/>
    <w:rsid w:val="5645470A"/>
    <w:rsid w:val="56570A4D"/>
    <w:rsid w:val="56707A15"/>
    <w:rsid w:val="567B560F"/>
    <w:rsid w:val="567C073D"/>
    <w:rsid w:val="567F61F6"/>
    <w:rsid w:val="56890E23"/>
    <w:rsid w:val="568B1914"/>
    <w:rsid w:val="568E3F49"/>
    <w:rsid w:val="56D46542"/>
    <w:rsid w:val="56F40992"/>
    <w:rsid w:val="570021ED"/>
    <w:rsid w:val="5702606B"/>
    <w:rsid w:val="57030BD5"/>
    <w:rsid w:val="570F43DC"/>
    <w:rsid w:val="573E53D5"/>
    <w:rsid w:val="57727B09"/>
    <w:rsid w:val="578F4443"/>
    <w:rsid w:val="57974B58"/>
    <w:rsid w:val="579D6934"/>
    <w:rsid w:val="57AC6B77"/>
    <w:rsid w:val="57CA1742"/>
    <w:rsid w:val="57CB25AC"/>
    <w:rsid w:val="57D85BBE"/>
    <w:rsid w:val="57E11E3C"/>
    <w:rsid w:val="583367D2"/>
    <w:rsid w:val="58404C17"/>
    <w:rsid w:val="5850619B"/>
    <w:rsid w:val="586E6522"/>
    <w:rsid w:val="58A261CC"/>
    <w:rsid w:val="58A65CBC"/>
    <w:rsid w:val="58A77915"/>
    <w:rsid w:val="58F9403E"/>
    <w:rsid w:val="590F521A"/>
    <w:rsid w:val="5923730C"/>
    <w:rsid w:val="59345D96"/>
    <w:rsid w:val="59413C36"/>
    <w:rsid w:val="594352B9"/>
    <w:rsid w:val="59484FC5"/>
    <w:rsid w:val="595C637A"/>
    <w:rsid w:val="59653481"/>
    <w:rsid w:val="59723DF0"/>
    <w:rsid w:val="597E3F42"/>
    <w:rsid w:val="599B3347"/>
    <w:rsid w:val="59AE2310"/>
    <w:rsid w:val="59D46859"/>
    <w:rsid w:val="59D86349"/>
    <w:rsid w:val="59DE5DB6"/>
    <w:rsid w:val="59E854A5"/>
    <w:rsid w:val="5A1804F3"/>
    <w:rsid w:val="5A1A070F"/>
    <w:rsid w:val="5A225816"/>
    <w:rsid w:val="5A362526"/>
    <w:rsid w:val="5A4312E0"/>
    <w:rsid w:val="5A533113"/>
    <w:rsid w:val="5A5C0D28"/>
    <w:rsid w:val="5A6F0172"/>
    <w:rsid w:val="5A7140A7"/>
    <w:rsid w:val="5A742C21"/>
    <w:rsid w:val="5A8C2C8F"/>
    <w:rsid w:val="5A8D7133"/>
    <w:rsid w:val="5A932270"/>
    <w:rsid w:val="5AA30DE7"/>
    <w:rsid w:val="5AB93216"/>
    <w:rsid w:val="5ACD48CC"/>
    <w:rsid w:val="5AD86008"/>
    <w:rsid w:val="5AD96995"/>
    <w:rsid w:val="5AE00395"/>
    <w:rsid w:val="5AE96334"/>
    <w:rsid w:val="5B0B44FC"/>
    <w:rsid w:val="5B2259DD"/>
    <w:rsid w:val="5B340D27"/>
    <w:rsid w:val="5B4A5024"/>
    <w:rsid w:val="5B664037"/>
    <w:rsid w:val="5B9444F1"/>
    <w:rsid w:val="5B9462A0"/>
    <w:rsid w:val="5BB31288"/>
    <w:rsid w:val="5BBA1704"/>
    <w:rsid w:val="5BBD7F44"/>
    <w:rsid w:val="5BC745CB"/>
    <w:rsid w:val="5BCD4BCD"/>
    <w:rsid w:val="5BD20B76"/>
    <w:rsid w:val="5BD57899"/>
    <w:rsid w:val="5BE07737"/>
    <w:rsid w:val="5BE92D5F"/>
    <w:rsid w:val="5BEC1A7C"/>
    <w:rsid w:val="5BEC1C38"/>
    <w:rsid w:val="5BFE093F"/>
    <w:rsid w:val="5C0D1E93"/>
    <w:rsid w:val="5C1415AA"/>
    <w:rsid w:val="5C180C7F"/>
    <w:rsid w:val="5C25105F"/>
    <w:rsid w:val="5C2A6C04"/>
    <w:rsid w:val="5C4246A1"/>
    <w:rsid w:val="5C487B0A"/>
    <w:rsid w:val="5C5D0D87"/>
    <w:rsid w:val="5C657308"/>
    <w:rsid w:val="5C7659A5"/>
    <w:rsid w:val="5CA22C3E"/>
    <w:rsid w:val="5CC077DF"/>
    <w:rsid w:val="5CCC7465"/>
    <w:rsid w:val="5CE45005"/>
    <w:rsid w:val="5CEC5C67"/>
    <w:rsid w:val="5CFE3C64"/>
    <w:rsid w:val="5D0B701C"/>
    <w:rsid w:val="5D1B3C15"/>
    <w:rsid w:val="5D2378DB"/>
    <w:rsid w:val="5D2B715A"/>
    <w:rsid w:val="5D3715D8"/>
    <w:rsid w:val="5D4E247E"/>
    <w:rsid w:val="5D4F3451"/>
    <w:rsid w:val="5D6A4D5A"/>
    <w:rsid w:val="5D76057B"/>
    <w:rsid w:val="5D845EA0"/>
    <w:rsid w:val="5D8D2FA6"/>
    <w:rsid w:val="5DAA05B0"/>
    <w:rsid w:val="5DAD53F7"/>
    <w:rsid w:val="5DB302A6"/>
    <w:rsid w:val="5DC825F1"/>
    <w:rsid w:val="5DDE6E57"/>
    <w:rsid w:val="5E0F253C"/>
    <w:rsid w:val="5E231B5D"/>
    <w:rsid w:val="5E28378F"/>
    <w:rsid w:val="5E36363E"/>
    <w:rsid w:val="5E3A6200"/>
    <w:rsid w:val="5E540064"/>
    <w:rsid w:val="5E602490"/>
    <w:rsid w:val="5E79352B"/>
    <w:rsid w:val="5E7E2B8A"/>
    <w:rsid w:val="5E7F0087"/>
    <w:rsid w:val="5E9071F2"/>
    <w:rsid w:val="5EAE7590"/>
    <w:rsid w:val="5EBB1D95"/>
    <w:rsid w:val="5EDA221B"/>
    <w:rsid w:val="5EEB4428"/>
    <w:rsid w:val="5F167C6E"/>
    <w:rsid w:val="5F1A4D0E"/>
    <w:rsid w:val="5F2C52ED"/>
    <w:rsid w:val="5F313141"/>
    <w:rsid w:val="5F360ED7"/>
    <w:rsid w:val="5F4300C5"/>
    <w:rsid w:val="5F7C7776"/>
    <w:rsid w:val="5F8145D7"/>
    <w:rsid w:val="5F8415C3"/>
    <w:rsid w:val="5F9A5E4E"/>
    <w:rsid w:val="5FB46F10"/>
    <w:rsid w:val="5FEA46E0"/>
    <w:rsid w:val="5FEB1EC2"/>
    <w:rsid w:val="5FFB4B3F"/>
    <w:rsid w:val="5FFE63DD"/>
    <w:rsid w:val="60141108"/>
    <w:rsid w:val="6018170F"/>
    <w:rsid w:val="6019030E"/>
    <w:rsid w:val="601B4F8E"/>
    <w:rsid w:val="60246944"/>
    <w:rsid w:val="602A2D2E"/>
    <w:rsid w:val="60627DEA"/>
    <w:rsid w:val="606B6E69"/>
    <w:rsid w:val="60743588"/>
    <w:rsid w:val="607D5554"/>
    <w:rsid w:val="608A67A5"/>
    <w:rsid w:val="608A7C71"/>
    <w:rsid w:val="60925AE3"/>
    <w:rsid w:val="60953464"/>
    <w:rsid w:val="60AA20C1"/>
    <w:rsid w:val="60D45E59"/>
    <w:rsid w:val="60E01508"/>
    <w:rsid w:val="60E05AE3"/>
    <w:rsid w:val="60E33809"/>
    <w:rsid w:val="60EA01B8"/>
    <w:rsid w:val="6109503A"/>
    <w:rsid w:val="61137C66"/>
    <w:rsid w:val="61190230"/>
    <w:rsid w:val="611D0AE5"/>
    <w:rsid w:val="6124556F"/>
    <w:rsid w:val="61333E65"/>
    <w:rsid w:val="6142679E"/>
    <w:rsid w:val="61493B6E"/>
    <w:rsid w:val="61534507"/>
    <w:rsid w:val="6154601C"/>
    <w:rsid w:val="61564C79"/>
    <w:rsid w:val="615E5187"/>
    <w:rsid w:val="616F37D4"/>
    <w:rsid w:val="617050B9"/>
    <w:rsid w:val="617701F5"/>
    <w:rsid w:val="61786E8F"/>
    <w:rsid w:val="61836F99"/>
    <w:rsid w:val="61912506"/>
    <w:rsid w:val="61992521"/>
    <w:rsid w:val="619D0809"/>
    <w:rsid w:val="61B94FDB"/>
    <w:rsid w:val="61C371B5"/>
    <w:rsid w:val="61C827FF"/>
    <w:rsid w:val="61E11B13"/>
    <w:rsid w:val="6207788B"/>
    <w:rsid w:val="62165014"/>
    <w:rsid w:val="621A4768"/>
    <w:rsid w:val="62397BA1"/>
    <w:rsid w:val="62783C0B"/>
    <w:rsid w:val="628B0509"/>
    <w:rsid w:val="628F77C1"/>
    <w:rsid w:val="629F5DC5"/>
    <w:rsid w:val="62A73AFF"/>
    <w:rsid w:val="62A82630"/>
    <w:rsid w:val="62AC0373"/>
    <w:rsid w:val="62C16BF5"/>
    <w:rsid w:val="62D41677"/>
    <w:rsid w:val="62E522BB"/>
    <w:rsid w:val="630D0C38"/>
    <w:rsid w:val="630F6A49"/>
    <w:rsid w:val="6310711B"/>
    <w:rsid w:val="63273E9D"/>
    <w:rsid w:val="635051A2"/>
    <w:rsid w:val="63524352"/>
    <w:rsid w:val="63691DC0"/>
    <w:rsid w:val="63862972"/>
    <w:rsid w:val="6388493C"/>
    <w:rsid w:val="63A253D0"/>
    <w:rsid w:val="63A27EFB"/>
    <w:rsid w:val="63B74892"/>
    <w:rsid w:val="63CD51F0"/>
    <w:rsid w:val="63D13C26"/>
    <w:rsid w:val="63E8362C"/>
    <w:rsid w:val="63F83144"/>
    <w:rsid w:val="63FE69AC"/>
    <w:rsid w:val="64087B7C"/>
    <w:rsid w:val="640D633C"/>
    <w:rsid w:val="641A755E"/>
    <w:rsid w:val="6429154F"/>
    <w:rsid w:val="6435774B"/>
    <w:rsid w:val="64361AA6"/>
    <w:rsid w:val="645078DC"/>
    <w:rsid w:val="64682077"/>
    <w:rsid w:val="64740A1C"/>
    <w:rsid w:val="64830495"/>
    <w:rsid w:val="649B41FB"/>
    <w:rsid w:val="649C29D5"/>
    <w:rsid w:val="64B541D2"/>
    <w:rsid w:val="64DA5F8F"/>
    <w:rsid w:val="64ED07CF"/>
    <w:rsid w:val="64EF2799"/>
    <w:rsid w:val="65007F6E"/>
    <w:rsid w:val="6531690D"/>
    <w:rsid w:val="65336B39"/>
    <w:rsid w:val="65394A1A"/>
    <w:rsid w:val="653D1756"/>
    <w:rsid w:val="655439C0"/>
    <w:rsid w:val="655E476C"/>
    <w:rsid w:val="656D3966"/>
    <w:rsid w:val="658827C3"/>
    <w:rsid w:val="65907AD8"/>
    <w:rsid w:val="6596511E"/>
    <w:rsid w:val="65BB267B"/>
    <w:rsid w:val="65C37EAD"/>
    <w:rsid w:val="65D35C16"/>
    <w:rsid w:val="65E86CE7"/>
    <w:rsid w:val="65F55B8D"/>
    <w:rsid w:val="65FC53A9"/>
    <w:rsid w:val="660109D5"/>
    <w:rsid w:val="660D2BCE"/>
    <w:rsid w:val="66147F66"/>
    <w:rsid w:val="66630D48"/>
    <w:rsid w:val="666C792C"/>
    <w:rsid w:val="666D606B"/>
    <w:rsid w:val="667E0188"/>
    <w:rsid w:val="66A001EE"/>
    <w:rsid w:val="66AD290B"/>
    <w:rsid w:val="66BB0D4F"/>
    <w:rsid w:val="66D103A8"/>
    <w:rsid w:val="66D45FDB"/>
    <w:rsid w:val="66DE2AC5"/>
    <w:rsid w:val="66F5398F"/>
    <w:rsid w:val="67024A05"/>
    <w:rsid w:val="67041FB5"/>
    <w:rsid w:val="67057182"/>
    <w:rsid w:val="670963AD"/>
    <w:rsid w:val="67144738"/>
    <w:rsid w:val="67410A93"/>
    <w:rsid w:val="67441EC3"/>
    <w:rsid w:val="674E7C4A"/>
    <w:rsid w:val="67536B4A"/>
    <w:rsid w:val="675F3C06"/>
    <w:rsid w:val="676F0B9C"/>
    <w:rsid w:val="67780AC1"/>
    <w:rsid w:val="678A61CB"/>
    <w:rsid w:val="67A6239B"/>
    <w:rsid w:val="67AB6E4B"/>
    <w:rsid w:val="67B3095C"/>
    <w:rsid w:val="67B948E7"/>
    <w:rsid w:val="67C116F3"/>
    <w:rsid w:val="681041BA"/>
    <w:rsid w:val="683E75F2"/>
    <w:rsid w:val="686E1C26"/>
    <w:rsid w:val="686F7E78"/>
    <w:rsid w:val="68866F70"/>
    <w:rsid w:val="688E1B8B"/>
    <w:rsid w:val="68984D56"/>
    <w:rsid w:val="689C2C37"/>
    <w:rsid w:val="68A73016"/>
    <w:rsid w:val="68B24209"/>
    <w:rsid w:val="68B914D8"/>
    <w:rsid w:val="68C161FA"/>
    <w:rsid w:val="68CB5953"/>
    <w:rsid w:val="68E25D18"/>
    <w:rsid w:val="68FF29D6"/>
    <w:rsid w:val="690115CE"/>
    <w:rsid w:val="6902667D"/>
    <w:rsid w:val="690E2FA5"/>
    <w:rsid w:val="692B48CB"/>
    <w:rsid w:val="69313380"/>
    <w:rsid w:val="69474951"/>
    <w:rsid w:val="695232F6"/>
    <w:rsid w:val="696E1952"/>
    <w:rsid w:val="69733998"/>
    <w:rsid w:val="697B45FB"/>
    <w:rsid w:val="698F62F8"/>
    <w:rsid w:val="699B7AB7"/>
    <w:rsid w:val="699E7345"/>
    <w:rsid w:val="69A2734B"/>
    <w:rsid w:val="69A7605A"/>
    <w:rsid w:val="69D501AF"/>
    <w:rsid w:val="6A1862EE"/>
    <w:rsid w:val="6A2B6021"/>
    <w:rsid w:val="6A331379"/>
    <w:rsid w:val="6A3F1B90"/>
    <w:rsid w:val="6A566663"/>
    <w:rsid w:val="6A580905"/>
    <w:rsid w:val="6A99742E"/>
    <w:rsid w:val="6AA35434"/>
    <w:rsid w:val="6AAD6A36"/>
    <w:rsid w:val="6AAE27AE"/>
    <w:rsid w:val="6AC81AC2"/>
    <w:rsid w:val="6AD246EE"/>
    <w:rsid w:val="6AD40E1E"/>
    <w:rsid w:val="6AE34B4E"/>
    <w:rsid w:val="6AE663EC"/>
    <w:rsid w:val="6AEF704E"/>
    <w:rsid w:val="6AFE7BA1"/>
    <w:rsid w:val="6B054AC4"/>
    <w:rsid w:val="6B0B19AE"/>
    <w:rsid w:val="6B170353"/>
    <w:rsid w:val="6B3709F5"/>
    <w:rsid w:val="6B43383E"/>
    <w:rsid w:val="6B4A697B"/>
    <w:rsid w:val="6B5664C0"/>
    <w:rsid w:val="6B623693"/>
    <w:rsid w:val="6B6D4417"/>
    <w:rsid w:val="6B712E92"/>
    <w:rsid w:val="6B7B5E2E"/>
    <w:rsid w:val="6B881251"/>
    <w:rsid w:val="6B916358"/>
    <w:rsid w:val="6B923E7E"/>
    <w:rsid w:val="6B96396E"/>
    <w:rsid w:val="6B991511"/>
    <w:rsid w:val="6BAA0E3C"/>
    <w:rsid w:val="6BDB24DB"/>
    <w:rsid w:val="6BDD334B"/>
    <w:rsid w:val="6C124AF2"/>
    <w:rsid w:val="6C311952"/>
    <w:rsid w:val="6C321083"/>
    <w:rsid w:val="6C44161C"/>
    <w:rsid w:val="6C524941"/>
    <w:rsid w:val="6C560CD0"/>
    <w:rsid w:val="6C5630FD"/>
    <w:rsid w:val="6C5C6966"/>
    <w:rsid w:val="6C700663"/>
    <w:rsid w:val="6C8E1954"/>
    <w:rsid w:val="6CAD71C1"/>
    <w:rsid w:val="6CB40570"/>
    <w:rsid w:val="6CBF6EF4"/>
    <w:rsid w:val="6CC60283"/>
    <w:rsid w:val="6CDF2AE4"/>
    <w:rsid w:val="6CF36FC5"/>
    <w:rsid w:val="6D090170"/>
    <w:rsid w:val="6D0D35D4"/>
    <w:rsid w:val="6D1D4A96"/>
    <w:rsid w:val="6D1E7C61"/>
    <w:rsid w:val="6D365409"/>
    <w:rsid w:val="6D704B1B"/>
    <w:rsid w:val="6D853C9A"/>
    <w:rsid w:val="6D930843"/>
    <w:rsid w:val="6DD8026E"/>
    <w:rsid w:val="6DE54739"/>
    <w:rsid w:val="6DF1151C"/>
    <w:rsid w:val="6DF20A14"/>
    <w:rsid w:val="6DFA10E3"/>
    <w:rsid w:val="6E191753"/>
    <w:rsid w:val="6E217E67"/>
    <w:rsid w:val="6E283B6C"/>
    <w:rsid w:val="6E8C2E06"/>
    <w:rsid w:val="6E8F5B5F"/>
    <w:rsid w:val="6E9561B7"/>
    <w:rsid w:val="6E9F3EB4"/>
    <w:rsid w:val="6EB83DFD"/>
    <w:rsid w:val="6EBB10FB"/>
    <w:rsid w:val="6ED70525"/>
    <w:rsid w:val="6EE45476"/>
    <w:rsid w:val="6EF30A38"/>
    <w:rsid w:val="6EFE1F56"/>
    <w:rsid w:val="6F0E4B3B"/>
    <w:rsid w:val="6F174E77"/>
    <w:rsid w:val="6F35349E"/>
    <w:rsid w:val="6F40431D"/>
    <w:rsid w:val="6F4A6269"/>
    <w:rsid w:val="6F5830B1"/>
    <w:rsid w:val="6F660B27"/>
    <w:rsid w:val="6F6A75EB"/>
    <w:rsid w:val="6F8561D3"/>
    <w:rsid w:val="6FB1521A"/>
    <w:rsid w:val="6FB619CF"/>
    <w:rsid w:val="6FBF51D3"/>
    <w:rsid w:val="6FD01394"/>
    <w:rsid w:val="6FE50A20"/>
    <w:rsid w:val="70147557"/>
    <w:rsid w:val="70194B6E"/>
    <w:rsid w:val="701A591C"/>
    <w:rsid w:val="70251252"/>
    <w:rsid w:val="703B4AE4"/>
    <w:rsid w:val="705160B5"/>
    <w:rsid w:val="70602531"/>
    <w:rsid w:val="70731C8B"/>
    <w:rsid w:val="70771269"/>
    <w:rsid w:val="709051D2"/>
    <w:rsid w:val="70B34FC2"/>
    <w:rsid w:val="70B43760"/>
    <w:rsid w:val="70CC1BE0"/>
    <w:rsid w:val="70D07922"/>
    <w:rsid w:val="70DA254F"/>
    <w:rsid w:val="70F03B20"/>
    <w:rsid w:val="713966BA"/>
    <w:rsid w:val="715045BF"/>
    <w:rsid w:val="71793E73"/>
    <w:rsid w:val="71B42DA0"/>
    <w:rsid w:val="71C07997"/>
    <w:rsid w:val="71C25E5C"/>
    <w:rsid w:val="71DD61FC"/>
    <w:rsid w:val="7205184D"/>
    <w:rsid w:val="721675B7"/>
    <w:rsid w:val="72395053"/>
    <w:rsid w:val="724265FE"/>
    <w:rsid w:val="72430F2C"/>
    <w:rsid w:val="7251239D"/>
    <w:rsid w:val="72605B7B"/>
    <w:rsid w:val="72712CF1"/>
    <w:rsid w:val="727367B7"/>
    <w:rsid w:val="727452C3"/>
    <w:rsid w:val="727E6F0A"/>
    <w:rsid w:val="727F1465"/>
    <w:rsid w:val="72800ED4"/>
    <w:rsid w:val="72824C4C"/>
    <w:rsid w:val="72952BD1"/>
    <w:rsid w:val="729C4F9D"/>
    <w:rsid w:val="72B8241C"/>
    <w:rsid w:val="72C4042E"/>
    <w:rsid w:val="72D03C09"/>
    <w:rsid w:val="72E97C2E"/>
    <w:rsid w:val="72F434FA"/>
    <w:rsid w:val="72FB2C85"/>
    <w:rsid w:val="7301621E"/>
    <w:rsid w:val="73373C88"/>
    <w:rsid w:val="735A7977"/>
    <w:rsid w:val="73951FDA"/>
    <w:rsid w:val="73AD396D"/>
    <w:rsid w:val="73B33669"/>
    <w:rsid w:val="73B83ABD"/>
    <w:rsid w:val="73C3551C"/>
    <w:rsid w:val="73D019E7"/>
    <w:rsid w:val="73D054DB"/>
    <w:rsid w:val="73DF2727"/>
    <w:rsid w:val="74043A9C"/>
    <w:rsid w:val="742322C8"/>
    <w:rsid w:val="742E1241"/>
    <w:rsid w:val="743F4CEA"/>
    <w:rsid w:val="74463A57"/>
    <w:rsid w:val="745F3497"/>
    <w:rsid w:val="74674561"/>
    <w:rsid w:val="746C354F"/>
    <w:rsid w:val="7476258E"/>
    <w:rsid w:val="7476433D"/>
    <w:rsid w:val="74852E4A"/>
    <w:rsid w:val="74A95DAA"/>
    <w:rsid w:val="74B3476A"/>
    <w:rsid w:val="74C050E0"/>
    <w:rsid w:val="74D755F6"/>
    <w:rsid w:val="74DD0860"/>
    <w:rsid w:val="74E53270"/>
    <w:rsid w:val="74EB4D2A"/>
    <w:rsid w:val="74F6547D"/>
    <w:rsid w:val="75061AC9"/>
    <w:rsid w:val="75090979"/>
    <w:rsid w:val="7517489D"/>
    <w:rsid w:val="75327179"/>
    <w:rsid w:val="753748D1"/>
    <w:rsid w:val="75442A1E"/>
    <w:rsid w:val="755E78D7"/>
    <w:rsid w:val="75682033"/>
    <w:rsid w:val="757A7E5C"/>
    <w:rsid w:val="75834F63"/>
    <w:rsid w:val="759F78C3"/>
    <w:rsid w:val="75A373B3"/>
    <w:rsid w:val="75B03672"/>
    <w:rsid w:val="75C174AE"/>
    <w:rsid w:val="75D25EEA"/>
    <w:rsid w:val="75EF25F8"/>
    <w:rsid w:val="76164BEC"/>
    <w:rsid w:val="76223EA7"/>
    <w:rsid w:val="762D1373"/>
    <w:rsid w:val="763409E0"/>
    <w:rsid w:val="7637592E"/>
    <w:rsid w:val="764A5A81"/>
    <w:rsid w:val="76562678"/>
    <w:rsid w:val="76607052"/>
    <w:rsid w:val="76621D63"/>
    <w:rsid w:val="76735DAB"/>
    <w:rsid w:val="767B3303"/>
    <w:rsid w:val="767E50FD"/>
    <w:rsid w:val="768014A2"/>
    <w:rsid w:val="76886CC9"/>
    <w:rsid w:val="769B62DC"/>
    <w:rsid w:val="76A7511D"/>
    <w:rsid w:val="76AC673B"/>
    <w:rsid w:val="76B37ACA"/>
    <w:rsid w:val="76B52DFC"/>
    <w:rsid w:val="76B75085"/>
    <w:rsid w:val="76B92C06"/>
    <w:rsid w:val="76C75323"/>
    <w:rsid w:val="76CB7BEA"/>
    <w:rsid w:val="76F459ED"/>
    <w:rsid w:val="76F65C09"/>
    <w:rsid w:val="77165BA3"/>
    <w:rsid w:val="772C33D8"/>
    <w:rsid w:val="77446561"/>
    <w:rsid w:val="775672CA"/>
    <w:rsid w:val="776A7581"/>
    <w:rsid w:val="778925D9"/>
    <w:rsid w:val="779104F2"/>
    <w:rsid w:val="77AA0694"/>
    <w:rsid w:val="77AC41B4"/>
    <w:rsid w:val="77D15D7E"/>
    <w:rsid w:val="77DF669D"/>
    <w:rsid w:val="77E3618D"/>
    <w:rsid w:val="780A371A"/>
    <w:rsid w:val="780B7492"/>
    <w:rsid w:val="780F71B0"/>
    <w:rsid w:val="781225CE"/>
    <w:rsid w:val="781A0151"/>
    <w:rsid w:val="78272114"/>
    <w:rsid w:val="78281DF2"/>
    <w:rsid w:val="783E331D"/>
    <w:rsid w:val="784C1F84"/>
    <w:rsid w:val="785F09B9"/>
    <w:rsid w:val="78674C7C"/>
    <w:rsid w:val="78745037"/>
    <w:rsid w:val="7875593D"/>
    <w:rsid w:val="78896A97"/>
    <w:rsid w:val="78A31B56"/>
    <w:rsid w:val="78AA6C17"/>
    <w:rsid w:val="78AE7C9F"/>
    <w:rsid w:val="78BD6111"/>
    <w:rsid w:val="78D20CE4"/>
    <w:rsid w:val="78D6184E"/>
    <w:rsid w:val="78F9553C"/>
    <w:rsid w:val="78FF2954"/>
    <w:rsid w:val="79366790"/>
    <w:rsid w:val="794964C4"/>
    <w:rsid w:val="794F33AE"/>
    <w:rsid w:val="795A5511"/>
    <w:rsid w:val="796C7B8A"/>
    <w:rsid w:val="79703A50"/>
    <w:rsid w:val="798017B9"/>
    <w:rsid w:val="79A74F98"/>
    <w:rsid w:val="79B22FF0"/>
    <w:rsid w:val="79BC08F6"/>
    <w:rsid w:val="79DD09BA"/>
    <w:rsid w:val="79F503F9"/>
    <w:rsid w:val="7A000410"/>
    <w:rsid w:val="7A0D63E1"/>
    <w:rsid w:val="7A3C2420"/>
    <w:rsid w:val="7A4A42A1"/>
    <w:rsid w:val="7A4C5587"/>
    <w:rsid w:val="7A570129"/>
    <w:rsid w:val="7A5C2227"/>
    <w:rsid w:val="7A633FE0"/>
    <w:rsid w:val="7A727E44"/>
    <w:rsid w:val="7A9B68AB"/>
    <w:rsid w:val="7A9D735F"/>
    <w:rsid w:val="7AA45615"/>
    <w:rsid w:val="7ABE6A3D"/>
    <w:rsid w:val="7AE36219"/>
    <w:rsid w:val="7B016430"/>
    <w:rsid w:val="7B0A1C83"/>
    <w:rsid w:val="7B0A57DF"/>
    <w:rsid w:val="7B0E3521"/>
    <w:rsid w:val="7B1D1A08"/>
    <w:rsid w:val="7B256ABC"/>
    <w:rsid w:val="7B2C39A7"/>
    <w:rsid w:val="7B354F51"/>
    <w:rsid w:val="7B615D46"/>
    <w:rsid w:val="7B7A65E0"/>
    <w:rsid w:val="7B89704B"/>
    <w:rsid w:val="7B8F0163"/>
    <w:rsid w:val="7BA00179"/>
    <w:rsid w:val="7BAB467E"/>
    <w:rsid w:val="7BBF0CBF"/>
    <w:rsid w:val="7BCE143A"/>
    <w:rsid w:val="7BE14791"/>
    <w:rsid w:val="7C0E7550"/>
    <w:rsid w:val="7C376AA7"/>
    <w:rsid w:val="7C3F1D3C"/>
    <w:rsid w:val="7C547659"/>
    <w:rsid w:val="7C550AD0"/>
    <w:rsid w:val="7C75137E"/>
    <w:rsid w:val="7C7E26BA"/>
    <w:rsid w:val="7C8A4E29"/>
    <w:rsid w:val="7C9D7170"/>
    <w:rsid w:val="7CA8362A"/>
    <w:rsid w:val="7CAA7279"/>
    <w:rsid w:val="7CBC51FE"/>
    <w:rsid w:val="7CC8322A"/>
    <w:rsid w:val="7CCC5441"/>
    <w:rsid w:val="7CCD740C"/>
    <w:rsid w:val="7CE64029"/>
    <w:rsid w:val="7CFD5A7B"/>
    <w:rsid w:val="7D1C7A4B"/>
    <w:rsid w:val="7D2C604B"/>
    <w:rsid w:val="7D3D633F"/>
    <w:rsid w:val="7D480FCC"/>
    <w:rsid w:val="7D5176F5"/>
    <w:rsid w:val="7D5361E7"/>
    <w:rsid w:val="7D6733BC"/>
    <w:rsid w:val="7D7D673C"/>
    <w:rsid w:val="7D853842"/>
    <w:rsid w:val="7D8B4D8A"/>
    <w:rsid w:val="7DA93EBE"/>
    <w:rsid w:val="7DBC0000"/>
    <w:rsid w:val="7DBF4FA6"/>
    <w:rsid w:val="7DC600E3"/>
    <w:rsid w:val="7E130E4E"/>
    <w:rsid w:val="7E24305B"/>
    <w:rsid w:val="7E3F4209"/>
    <w:rsid w:val="7E4C610E"/>
    <w:rsid w:val="7E5A2CA5"/>
    <w:rsid w:val="7E6D5C68"/>
    <w:rsid w:val="7E9712CD"/>
    <w:rsid w:val="7E9A331D"/>
    <w:rsid w:val="7EB63D9A"/>
    <w:rsid w:val="7EB73EE8"/>
    <w:rsid w:val="7ED24865"/>
    <w:rsid w:val="7ED34089"/>
    <w:rsid w:val="7ED44A81"/>
    <w:rsid w:val="7EE159F7"/>
    <w:rsid w:val="7EF70770"/>
    <w:rsid w:val="7F213B20"/>
    <w:rsid w:val="7F7D4471"/>
    <w:rsid w:val="7FB94CCB"/>
    <w:rsid w:val="7FBB671C"/>
    <w:rsid w:val="7FBF5318"/>
    <w:rsid w:val="7FC16F50"/>
    <w:rsid w:val="7FCC5758"/>
    <w:rsid w:val="7FCD0D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0"/>
    <w:pPr>
      <w:keepNext/>
      <w:keepLines/>
      <w:spacing w:line="360" w:lineRule="auto"/>
      <w:outlineLvl w:val="0"/>
    </w:pPr>
    <w:rPr>
      <w:b/>
      <w:bCs/>
      <w:kern w:val="44"/>
      <w:sz w:val="32"/>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unhideWhenUsed/>
    <w:qFormat/>
    <w:uiPriority w:val="99"/>
    <w:pPr>
      <w:spacing w:after="120"/>
    </w:pPr>
  </w:style>
  <w:style w:type="paragraph" w:styleId="7">
    <w:name w:val="Body Text Indent"/>
    <w:basedOn w:val="1"/>
    <w:next w:val="8"/>
    <w:autoRedefine/>
    <w:qFormat/>
    <w:uiPriority w:val="0"/>
    <w:pPr>
      <w:spacing w:line="700" w:lineRule="exact"/>
      <w:ind w:left="960"/>
    </w:pPr>
    <w:rPr>
      <w:sz w:val="44"/>
    </w:rPr>
  </w:style>
  <w:style w:type="paragraph" w:styleId="8">
    <w:name w:val="Body Text First Indent 2"/>
    <w:basedOn w:val="7"/>
    <w:autoRedefine/>
    <w:qFormat/>
    <w:uiPriority w:val="0"/>
    <w:pPr>
      <w:spacing w:after="120"/>
    </w:pPr>
  </w:style>
  <w:style w:type="paragraph" w:styleId="9">
    <w:name w:val="List 2"/>
    <w:basedOn w:val="1"/>
    <w:autoRedefine/>
    <w:qFormat/>
    <w:uiPriority w:val="0"/>
    <w:pPr>
      <w:ind w:left="100" w:leftChars="200" w:hanging="200" w:hangingChars="200"/>
    </w:p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pPr>
      <w:ind w:left="100" w:leftChars="2500"/>
    </w:pPr>
    <w:rPr>
      <w:rFonts w:ascii="宋体" w:hAnsi="宋体"/>
      <w:sz w:val="28"/>
    </w:rPr>
  </w:style>
  <w:style w:type="paragraph" w:styleId="12">
    <w:name w:val="Body Text Indent 2"/>
    <w:basedOn w:val="1"/>
    <w:link w:val="51"/>
    <w:autoRedefine/>
    <w:qFormat/>
    <w:uiPriority w:val="0"/>
    <w:pPr>
      <w:spacing w:after="120" w:line="480" w:lineRule="auto"/>
      <w:ind w:left="420" w:leftChars="200"/>
    </w:pPr>
  </w:style>
  <w:style w:type="paragraph" w:styleId="13">
    <w:name w:val="Balloon Text"/>
    <w:basedOn w:val="1"/>
    <w:link w:val="52"/>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envelope return"/>
    <w:basedOn w:val="1"/>
    <w:autoRedefine/>
    <w:qFormat/>
    <w:uiPriority w:val="0"/>
    <w:pPr>
      <w:snapToGrid w:val="0"/>
    </w:pPr>
    <w:rPr>
      <w:rFonts w:ascii="Arial" w:hAnsi="Arial"/>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toc 2"/>
    <w:basedOn w:val="1"/>
    <w:next w:val="1"/>
    <w:autoRedefine/>
    <w:qFormat/>
    <w:uiPriority w:val="0"/>
    <w:pPr>
      <w:ind w:left="210"/>
      <w:jc w:val="left"/>
    </w:pPr>
    <w:rPr>
      <w:smallCaps/>
      <w:sz w:val="20"/>
    </w:rPr>
  </w:style>
  <w:style w:type="paragraph" w:styleId="19">
    <w:name w:val="Body Text 2"/>
    <w:basedOn w:val="1"/>
    <w:next w:val="6"/>
    <w:autoRedefine/>
    <w:qFormat/>
    <w:uiPriority w:val="0"/>
    <w:pPr>
      <w:spacing w:after="120" w:line="480" w:lineRule="auto"/>
    </w:pPr>
    <w:rPr>
      <w:szCs w:val="24"/>
    </w:rPr>
  </w:style>
  <w:style w:type="paragraph" w:styleId="20">
    <w:name w:val="Normal (Web)"/>
    <w:basedOn w:val="1"/>
    <w:autoRedefine/>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21">
    <w:name w:val="Body Text First Indent"/>
    <w:basedOn w:val="6"/>
    <w:autoRedefine/>
    <w:qFormat/>
    <w:uiPriority w:val="0"/>
    <w:pPr>
      <w:spacing w:after="0" w:line="360" w:lineRule="auto"/>
      <w:ind w:firstLine="100" w:firstLineChars="100"/>
    </w:pPr>
    <w:rPr>
      <w:szCs w:val="21"/>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b/>
      <w:bdr w:val="single" w:color="999999" w:sz="6" w:space="0"/>
      <w:shd w:val="clear" w:color="auto" w:fill="FFFFFF"/>
    </w:rPr>
  </w:style>
  <w:style w:type="character" w:styleId="26">
    <w:name w:val="page number"/>
    <w:basedOn w:val="24"/>
    <w:autoRedefine/>
    <w:qFormat/>
    <w:uiPriority w:val="0"/>
  </w:style>
  <w:style w:type="character" w:styleId="27">
    <w:name w:val="FollowedHyperlink"/>
    <w:basedOn w:val="24"/>
    <w:autoRedefine/>
    <w:qFormat/>
    <w:uiPriority w:val="0"/>
    <w:rPr>
      <w:color w:val="800080"/>
      <w:u w:val="none"/>
    </w:rPr>
  </w:style>
  <w:style w:type="character" w:styleId="28">
    <w:name w:val="Emphasis"/>
    <w:basedOn w:val="24"/>
    <w:autoRedefine/>
    <w:qFormat/>
    <w:uiPriority w:val="0"/>
  </w:style>
  <w:style w:type="character" w:styleId="29">
    <w:name w:val="HTML Definition"/>
    <w:basedOn w:val="24"/>
    <w:autoRedefine/>
    <w:qFormat/>
    <w:uiPriority w:val="0"/>
  </w:style>
  <w:style w:type="character" w:styleId="30">
    <w:name w:val="HTML Typewriter"/>
    <w:basedOn w:val="24"/>
    <w:autoRedefine/>
    <w:qFormat/>
    <w:uiPriority w:val="0"/>
    <w:rPr>
      <w:rFonts w:hint="default" w:ascii="monospace" w:hAnsi="monospace" w:eastAsia="monospace" w:cs="monospace"/>
      <w:sz w:val="20"/>
    </w:rPr>
  </w:style>
  <w:style w:type="character" w:styleId="31">
    <w:name w:val="HTML Acronym"/>
    <w:basedOn w:val="24"/>
    <w:autoRedefine/>
    <w:qFormat/>
    <w:uiPriority w:val="0"/>
  </w:style>
  <w:style w:type="character" w:styleId="32">
    <w:name w:val="HTML Variable"/>
    <w:basedOn w:val="24"/>
    <w:autoRedefine/>
    <w:qFormat/>
    <w:uiPriority w:val="0"/>
  </w:style>
  <w:style w:type="character" w:styleId="33">
    <w:name w:val="Hyperlink"/>
    <w:basedOn w:val="24"/>
    <w:autoRedefine/>
    <w:qFormat/>
    <w:uiPriority w:val="99"/>
    <w:rPr>
      <w:color w:val="0000FF"/>
      <w:u w:val="none"/>
    </w:rPr>
  </w:style>
  <w:style w:type="character" w:styleId="34">
    <w:name w:val="HTML Code"/>
    <w:basedOn w:val="24"/>
    <w:autoRedefine/>
    <w:qFormat/>
    <w:uiPriority w:val="0"/>
    <w:rPr>
      <w:rFonts w:hint="default" w:ascii="monospace" w:hAnsi="monospace" w:eastAsia="monospace" w:cs="monospace"/>
      <w:sz w:val="20"/>
    </w:rPr>
  </w:style>
  <w:style w:type="character" w:styleId="35">
    <w:name w:val="HTML Cite"/>
    <w:basedOn w:val="24"/>
    <w:autoRedefine/>
    <w:qFormat/>
    <w:uiPriority w:val="0"/>
  </w:style>
  <w:style w:type="character" w:styleId="36">
    <w:name w:val="HTML Keyboard"/>
    <w:basedOn w:val="24"/>
    <w:autoRedefine/>
    <w:qFormat/>
    <w:uiPriority w:val="0"/>
    <w:rPr>
      <w:rFonts w:hint="default" w:ascii="monospace" w:hAnsi="monospace" w:eastAsia="monospace" w:cs="monospace"/>
      <w:sz w:val="20"/>
    </w:rPr>
  </w:style>
  <w:style w:type="character" w:styleId="37">
    <w:name w:val="HTML Sample"/>
    <w:basedOn w:val="24"/>
    <w:autoRedefine/>
    <w:qFormat/>
    <w:uiPriority w:val="0"/>
    <w:rPr>
      <w:rFonts w:ascii="monospace" w:hAnsi="monospace" w:eastAsia="monospace" w:cs="monospace"/>
    </w:rPr>
  </w:style>
  <w:style w:type="paragraph" w:customStyle="1" w:styleId="3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3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0">
    <w:name w:val="BodyText1I"/>
    <w:basedOn w:val="41"/>
    <w:autoRedefine/>
    <w:qFormat/>
    <w:uiPriority w:val="99"/>
    <w:pPr>
      <w:spacing w:after="120"/>
      <w:ind w:firstLine="420" w:firstLineChars="100"/>
    </w:pPr>
  </w:style>
  <w:style w:type="paragraph" w:customStyle="1" w:styleId="41">
    <w:name w:val="BodyText"/>
    <w:basedOn w:val="1"/>
    <w:next w:val="42"/>
    <w:autoRedefine/>
    <w:qFormat/>
    <w:uiPriority w:val="99"/>
    <w:pPr>
      <w:spacing w:after="120"/>
      <w:textAlignment w:val="baseline"/>
    </w:pPr>
  </w:style>
  <w:style w:type="paragraph" w:customStyle="1" w:styleId="42">
    <w:name w:val="BodyText2"/>
    <w:basedOn w:val="1"/>
    <w:next w:val="41"/>
    <w:autoRedefine/>
    <w:qFormat/>
    <w:uiPriority w:val="99"/>
    <w:pPr>
      <w:widowControl/>
      <w:spacing w:before="100" w:beforeAutospacing="1" w:after="100" w:afterAutospacing="1"/>
      <w:jc w:val="left"/>
      <w:textAlignment w:val="baseline"/>
    </w:pPr>
    <w:rPr>
      <w:rFonts w:ascii="宋体" w:hAnsi="宋体" w:cs="宋体"/>
      <w:kern w:val="0"/>
      <w:sz w:val="24"/>
      <w:szCs w:val="24"/>
    </w:rPr>
  </w:style>
  <w:style w:type="paragraph" w:customStyle="1" w:styleId="43">
    <w:name w:val="style4"/>
    <w:basedOn w:val="1"/>
    <w:next w:val="44"/>
    <w:autoRedefine/>
    <w:qFormat/>
    <w:uiPriority w:val="0"/>
    <w:pPr>
      <w:widowControl/>
      <w:spacing w:before="280" w:after="280"/>
    </w:pPr>
    <w:rPr>
      <w:rFonts w:ascii="宋体"/>
      <w:sz w:val="18"/>
    </w:rPr>
  </w:style>
  <w:style w:type="paragraph" w:customStyle="1" w:styleId="4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5">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无间隔1"/>
    <w:basedOn w:val="1"/>
    <w:autoRedefine/>
    <w:qFormat/>
    <w:uiPriority w:val="0"/>
    <w:pPr>
      <w:spacing w:line="400" w:lineRule="exact"/>
    </w:pPr>
    <w:rPr>
      <w:sz w:val="24"/>
    </w:rPr>
  </w:style>
  <w:style w:type="paragraph" w:customStyle="1" w:styleId="47">
    <w:name w:val="List Paragraph1"/>
    <w:basedOn w:val="1"/>
    <w:autoRedefine/>
    <w:qFormat/>
    <w:uiPriority w:val="1"/>
    <w:pPr>
      <w:spacing w:line="468" w:lineRule="exact"/>
      <w:ind w:left="472" w:firstLine="480"/>
    </w:pPr>
    <w:rPr>
      <w:rFonts w:ascii="Noto Sans CJK JP Regular" w:hAnsi="Noto Sans CJK JP Regular" w:cs="Noto Sans CJK JP Regular"/>
      <w:sz w:val="22"/>
      <w:szCs w:val="22"/>
      <w:lang w:eastAsia="en-US"/>
    </w:rPr>
  </w:style>
  <w:style w:type="paragraph" w:customStyle="1" w:styleId="48">
    <w:name w:val="正文小标题"/>
    <w:basedOn w:val="1"/>
    <w:next w:val="1"/>
    <w:autoRedefine/>
    <w:qFormat/>
    <w:uiPriority w:val="0"/>
    <w:pPr>
      <w:spacing w:line="360" w:lineRule="auto"/>
      <w:ind w:left="-2" w:leftChars="-1" w:firstLine="661" w:firstLineChars="235"/>
      <w:outlineLvl w:val="2"/>
    </w:pPr>
    <w:rPr>
      <w:rFonts w:ascii="宋体" w:hAnsi="宋体"/>
      <w:color w:val="000000"/>
      <w:kern w:val="0"/>
      <w:szCs w:val="21"/>
      <w:u w:val="single"/>
    </w:rPr>
  </w:style>
  <w:style w:type="paragraph" w:styleId="49">
    <w:name w:val="List Paragraph"/>
    <w:basedOn w:val="1"/>
    <w:autoRedefine/>
    <w:qFormat/>
    <w:uiPriority w:val="99"/>
    <w:pPr>
      <w:ind w:firstLine="420" w:firstLineChars="200"/>
    </w:pPr>
  </w:style>
  <w:style w:type="paragraph" w:customStyle="1" w:styleId="50">
    <w:name w:val="cjk"/>
    <w:basedOn w:val="1"/>
    <w:autoRedefine/>
    <w:qFormat/>
    <w:uiPriority w:val="0"/>
    <w:pPr>
      <w:widowControl/>
      <w:jc w:val="left"/>
    </w:pPr>
    <w:rPr>
      <w:rFonts w:ascii="宋体" w:hAnsi="宋体" w:cs="宋体"/>
      <w:kern w:val="0"/>
      <w:sz w:val="24"/>
      <w:szCs w:val="24"/>
    </w:rPr>
  </w:style>
  <w:style w:type="character" w:customStyle="1" w:styleId="51">
    <w:name w:val="正文文本缩进 2 Char"/>
    <w:basedOn w:val="24"/>
    <w:link w:val="12"/>
    <w:autoRedefine/>
    <w:qFormat/>
    <w:uiPriority w:val="0"/>
    <w:rPr>
      <w:kern w:val="2"/>
      <w:sz w:val="28"/>
    </w:rPr>
  </w:style>
  <w:style w:type="character" w:customStyle="1" w:styleId="52">
    <w:name w:val="批注框文本 Char"/>
    <w:basedOn w:val="24"/>
    <w:link w:val="13"/>
    <w:autoRedefine/>
    <w:qFormat/>
    <w:uiPriority w:val="0"/>
    <w:rPr>
      <w:kern w:val="2"/>
      <w:sz w:val="18"/>
      <w:szCs w:val="18"/>
    </w:rPr>
  </w:style>
  <w:style w:type="paragraph" w:customStyle="1" w:styleId="53">
    <w:name w:val="Heading2"/>
    <w:basedOn w:val="1"/>
    <w:next w:val="1"/>
    <w:autoRedefine/>
    <w:qFormat/>
    <w:uiPriority w:val="99"/>
    <w:pPr>
      <w:keepNext/>
      <w:keepLines/>
      <w:tabs>
        <w:tab w:val="left" w:pos="425"/>
      </w:tabs>
      <w:spacing w:before="260" w:after="260" w:line="413" w:lineRule="auto"/>
      <w:ind w:left="425" w:hanging="425"/>
      <w:textAlignment w:val="baseline"/>
    </w:pPr>
    <w:rPr>
      <w:rFonts w:ascii="Arial" w:hAnsi="Arial" w:eastAsia="黑体" w:cs="Arial"/>
      <w:b/>
      <w:bCs/>
      <w:sz w:val="32"/>
      <w:szCs w:val="32"/>
    </w:rPr>
  </w:style>
  <w:style w:type="character" w:customStyle="1" w:styleId="54">
    <w:name w:val="NormalCharacter"/>
    <w:autoRedefine/>
    <w:semiHidden/>
    <w:qFormat/>
    <w:uiPriority w:val="99"/>
    <w:rPr>
      <w:rFonts w:ascii="Calibri" w:hAnsi="Calibri" w:eastAsia="宋体" w:cs="Calibri"/>
      <w:kern w:val="2"/>
      <w:sz w:val="24"/>
      <w:szCs w:val="24"/>
      <w:lang w:val="en-US" w:eastAsia="zh-CN"/>
    </w:rPr>
  </w:style>
  <w:style w:type="paragraph" w:customStyle="1" w:styleId="55">
    <w:name w:val="正文_11"/>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56">
    <w:name w:val="Table Paragraph"/>
    <w:basedOn w:val="1"/>
    <w:autoRedefine/>
    <w:qFormat/>
    <w:uiPriority w:val="1"/>
    <w:pPr>
      <w:ind w:left="8"/>
      <w:jc w:val="center"/>
    </w:pPr>
    <w:rPr>
      <w:rFonts w:ascii="宋体" w:hAnsi="宋体" w:eastAsia="宋体" w:cs="宋体"/>
      <w:lang w:val="en-US" w:eastAsia="zh-CN" w:bidi="ar-SA"/>
    </w:rPr>
  </w:style>
  <w:style w:type="character" w:customStyle="1" w:styleId="57">
    <w:name w:val="hover17"/>
    <w:basedOn w:val="24"/>
    <w:autoRedefine/>
    <w:qFormat/>
    <w:uiPriority w:val="0"/>
  </w:style>
  <w:style w:type="character" w:customStyle="1" w:styleId="58">
    <w:name w:val="font21"/>
    <w:basedOn w:val="24"/>
    <w:autoRedefine/>
    <w:qFormat/>
    <w:uiPriority w:val="0"/>
    <w:rPr>
      <w:rFonts w:ascii="宋体" w:hAnsi="宋体" w:eastAsia="宋体" w:cs="宋体"/>
      <w:color w:val="000000"/>
      <w:sz w:val="20"/>
      <w:szCs w:val="20"/>
      <w:u w:val="none"/>
    </w:rPr>
  </w:style>
  <w:style w:type="character" w:customStyle="1" w:styleId="59">
    <w:name w:val="font31"/>
    <w:basedOn w:val="24"/>
    <w:autoRedefine/>
    <w:qFormat/>
    <w:uiPriority w:val="0"/>
    <w:rPr>
      <w:rFonts w:ascii="宋体" w:hAnsi="宋体" w:eastAsia="宋体" w:cs="宋体"/>
      <w:color w:val="000000"/>
      <w:sz w:val="22"/>
      <w:szCs w:val="22"/>
      <w:u w:val="none"/>
    </w:rPr>
  </w:style>
  <w:style w:type="character" w:customStyle="1" w:styleId="60">
    <w:name w:val="font41"/>
    <w:basedOn w:val="24"/>
    <w:autoRedefine/>
    <w:qFormat/>
    <w:uiPriority w:val="0"/>
    <w:rPr>
      <w:rFonts w:ascii="宋体" w:hAnsi="宋体" w:eastAsia="宋体" w:cs="宋体"/>
      <w:color w:val="000000"/>
      <w:sz w:val="14"/>
      <w:szCs w:val="14"/>
      <w:u w:val="none"/>
    </w:rPr>
  </w:style>
  <w:style w:type="character" w:customStyle="1" w:styleId="61">
    <w:name w:val="font11"/>
    <w:basedOn w:val="24"/>
    <w:autoRedefine/>
    <w:qFormat/>
    <w:uiPriority w:val="0"/>
    <w:rPr>
      <w:rFonts w:hint="default" w:ascii="Calibri" w:hAnsi="Calibri" w:cs="Calibri"/>
      <w:color w:val="000000"/>
      <w:sz w:val="24"/>
      <w:szCs w:val="24"/>
      <w:u w:val="none"/>
    </w:rPr>
  </w:style>
  <w:style w:type="paragraph" w:styleId="62">
    <w:name w:val="No Spacing"/>
    <w:autoRedefine/>
    <w:qFormat/>
    <w:uiPriority w:val="1"/>
    <w:rPr>
      <w:rFonts w:ascii="Calibri" w:hAnsi="Calibri" w:eastAsia="宋体" w:cs="Times New Roman"/>
      <w:sz w:val="22"/>
      <w:szCs w:val="22"/>
      <w:lang w:val="en-US" w:eastAsia="zh-CN" w:bidi="ar-SA"/>
    </w:rPr>
  </w:style>
  <w:style w:type="table" w:customStyle="1" w:styleId="63">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40</Pages>
  <Words>13584</Words>
  <Characters>14276</Characters>
  <Lines>151</Lines>
  <Paragraphs>42</Paragraphs>
  <TotalTime>8</TotalTime>
  <ScaleCrop>false</ScaleCrop>
  <LinksUpToDate>false</LinksUpToDate>
  <CharactersWithSpaces>14924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夜半笛声</dc:creator>
  <cp:lastModifiedBy>潘艳红</cp:lastModifiedBy>
  <cp:lastPrinted>2020-07-13T08:33:00Z</cp:lastPrinted>
  <dcterms:modified xsi:type="dcterms:W3CDTF">2026-01-23T06:52:05Z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49F58B98E0B24461952E3C72AB4A907A_13</vt:lpwstr>
  </property>
  <property fmtid="{D5CDD505-2E9C-101B-9397-08002B2CF9AE}" pid="4" name="KSOTemplateDocerSaveRecord">
    <vt:lpwstr>eyJoZGlkIjoiMzU0MTZjMjFkMjFjOGMwYTIzNWEzZDljNjYxZWI0MmYiLCJ1c2VySWQiOiIxNjg0NTc5MjM2In0=</vt:lpwstr>
  </property>
</Properties>
</file>