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735D1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both"/>
        <w:textAlignment w:val="auto"/>
        <w:rPr>
          <w:rFonts w:hint="eastAsia" w:ascii="宋体" w:hAnsi="宋体" w:eastAsia="宋体" w:cs="宋体"/>
          <w:b/>
          <w:bCs/>
          <w:color w:val="auto"/>
          <w:sz w:val="44"/>
          <w:szCs w:val="44"/>
          <w:highlight w:val="none"/>
          <w:lang w:val="en-US" w:eastAsia="zh-CN"/>
        </w:rPr>
      </w:pPr>
      <w:bookmarkStart w:id="0" w:name="_Toc22953395"/>
      <w:bookmarkEnd w:id="0"/>
      <w:bookmarkStart w:id="1" w:name="_Toc22804073"/>
      <w:bookmarkEnd w:id="1"/>
    </w:p>
    <w:p w14:paraId="0610F71D">
      <w:pPr>
        <w:pStyle w:val="19"/>
        <w:bidi w:val="0"/>
        <w:jc w:val="center"/>
        <w:rPr>
          <w:rStyle w:val="44"/>
          <w:rFonts w:hint="eastAsia" w:ascii="宋体" w:hAnsi="宋体" w:eastAsia="宋体" w:cs="宋体"/>
          <w:b/>
          <w:bCs/>
          <w:color w:val="auto"/>
          <w:sz w:val="48"/>
          <w:szCs w:val="48"/>
          <w:highlight w:val="none"/>
          <w:lang w:val="en-US" w:eastAsia="zh-CN"/>
        </w:rPr>
      </w:pPr>
      <w:bookmarkStart w:id="101" w:name="_GoBack"/>
      <w:r>
        <w:rPr>
          <w:rStyle w:val="44"/>
          <w:rFonts w:hint="eastAsia" w:ascii="宋体" w:hAnsi="宋体" w:eastAsia="宋体" w:cs="宋体"/>
          <w:b/>
          <w:bCs/>
          <w:color w:val="auto"/>
          <w:sz w:val="48"/>
          <w:szCs w:val="48"/>
          <w:highlight w:val="none"/>
        </w:rPr>
        <w:t>驻马店市中心医院瓦里安23EX直线加速器全保（除加速管磁控管）</w:t>
      </w:r>
      <w:r>
        <w:rPr>
          <w:rStyle w:val="44"/>
          <w:rFonts w:hint="eastAsia" w:cs="宋体"/>
          <w:b/>
          <w:bCs/>
          <w:color w:val="auto"/>
          <w:sz w:val="48"/>
          <w:szCs w:val="48"/>
          <w:highlight w:val="none"/>
          <w:lang w:val="en-US" w:eastAsia="zh-CN"/>
        </w:rPr>
        <w:t>项目</w:t>
      </w:r>
    </w:p>
    <w:bookmarkEnd w:id="101"/>
    <w:p w14:paraId="158E927F">
      <w:pPr>
        <w:pStyle w:val="19"/>
        <w:bidi w:val="0"/>
        <w:jc w:val="center"/>
        <w:rPr>
          <w:rStyle w:val="44"/>
          <w:rFonts w:hint="eastAsia" w:ascii="宋体" w:hAnsi="宋体" w:eastAsia="宋体" w:cs="宋体"/>
          <w:b/>
          <w:bCs/>
          <w:color w:val="auto"/>
          <w:sz w:val="48"/>
          <w:szCs w:val="48"/>
          <w:highlight w:val="none"/>
        </w:rPr>
      </w:pPr>
    </w:p>
    <w:p w14:paraId="5ABC8E99">
      <w:pPr>
        <w:pStyle w:val="19"/>
        <w:bidi w:val="0"/>
        <w:jc w:val="center"/>
        <w:rPr>
          <w:rStyle w:val="44"/>
          <w:rFonts w:hint="eastAsia" w:ascii="宋体" w:hAnsi="宋体" w:eastAsia="宋体" w:cs="宋体"/>
          <w:b/>
          <w:bCs/>
          <w:color w:val="auto"/>
          <w:sz w:val="48"/>
          <w:szCs w:val="48"/>
          <w:highlight w:val="none"/>
        </w:rPr>
      </w:pPr>
    </w:p>
    <w:p w14:paraId="20826E73">
      <w:pPr>
        <w:pStyle w:val="19"/>
        <w:bidi w:val="0"/>
        <w:jc w:val="center"/>
        <w:rPr>
          <w:rStyle w:val="44"/>
          <w:rFonts w:hint="eastAsia" w:ascii="宋体" w:hAnsi="宋体" w:eastAsia="宋体" w:cs="宋体"/>
          <w:b/>
          <w:bCs/>
          <w:color w:val="auto"/>
          <w:sz w:val="48"/>
          <w:szCs w:val="48"/>
          <w:highlight w:val="none"/>
        </w:rPr>
      </w:pPr>
    </w:p>
    <w:p w14:paraId="12179BBF">
      <w:pPr>
        <w:pStyle w:val="19"/>
        <w:bidi w:val="0"/>
        <w:jc w:val="center"/>
        <w:rPr>
          <w:rStyle w:val="44"/>
          <w:rFonts w:hint="eastAsia" w:ascii="宋体" w:hAnsi="宋体" w:eastAsia="宋体" w:cs="宋体"/>
          <w:b/>
          <w:bCs/>
          <w:color w:val="auto"/>
          <w:szCs w:val="44"/>
          <w:highlight w:val="none"/>
        </w:rPr>
      </w:pPr>
      <w:r>
        <w:rPr>
          <w:rStyle w:val="44"/>
          <w:rFonts w:hint="eastAsia" w:ascii="宋体" w:hAnsi="宋体" w:eastAsia="宋体" w:cs="宋体"/>
          <w:b/>
          <w:bCs/>
          <w:color w:val="auto"/>
          <w:sz w:val="72"/>
          <w:szCs w:val="72"/>
          <w:highlight w:val="none"/>
          <w:lang w:val="en-US" w:eastAsia="zh-CN"/>
        </w:rPr>
        <w:t>采购</w:t>
      </w:r>
      <w:r>
        <w:rPr>
          <w:rStyle w:val="44"/>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 xml:space="preserve"> 06 </w:t>
      </w:r>
      <w:r>
        <w:rPr>
          <w:rFonts w:hint="eastAsia" w:ascii="宋体" w:hAnsi="宋体" w:eastAsia="宋体" w:cs="宋体"/>
          <w:b/>
          <w:bCs/>
          <w:color w:val="auto"/>
          <w:spacing w:val="40"/>
          <w:sz w:val="34"/>
          <w:szCs w:val="34"/>
          <w:highlight w:val="none"/>
        </w:rPr>
        <w:t>月</w:t>
      </w: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_Toc26528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_Toc26528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_Toc19124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_Toc19124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_Toc8501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_Toc8501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_Toc31399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_Toc31399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_Toc11904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_Toc11904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_Toc18702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_Toc18702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eastAsia="宋体" w:cs="宋体"/>
          <w:b/>
          <w:bCs w:val="0"/>
          <w:color w:val="auto"/>
          <w:kern w:val="0"/>
          <w:sz w:val="28"/>
          <w:szCs w:val="28"/>
          <w:u w:val="none"/>
          <w:lang w:val="en-US" w:eastAsia="zh-CN"/>
        </w:rPr>
        <w:t>驻马店市中心医院瓦里安23EX直线加速器全保（除加速管磁控管）项目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驻马店市中心医院瓦里安23EX直线加速器全保（除加速管磁控管）项目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驻马店市中心医院瓦里安23EX直线加速器全保（除加速管磁控管）</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：具体要求详见附件</w:t>
      </w:r>
      <w:r>
        <w:rPr>
          <w:rFonts w:hint="eastAsia" w:ascii="宋体" w:hAnsi="宋体" w:cs="宋体"/>
          <w:color w:val="auto"/>
          <w:szCs w:val="21"/>
          <w:highlight w:val="none"/>
          <w:shd w:val="clear" w:color="auto" w:fill="FFFFFF"/>
          <w:lang w:eastAsia="zh-CN"/>
        </w:rPr>
        <w:t>；</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24万元；</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1年；</w:t>
      </w:r>
    </w:p>
    <w:p w14:paraId="3A1F96F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、质量要求：符合国家现行标准要求</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3626"/>
      <w:bookmarkStart w:id="5" w:name="_Toc27704"/>
      <w:bookmarkStart w:id="6" w:name="_Toc18607"/>
      <w:bookmarkStart w:id="7" w:name="_Toc16639"/>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021FB4C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7823"/>
      <w:bookmarkStart w:id="9" w:name="_Toc30643"/>
      <w:bookmarkStart w:id="10" w:name="_Toc23395"/>
      <w:bookmarkStart w:id="11" w:name="_Toc9562"/>
      <w:bookmarkStart w:id="12" w:name="_Toc30971"/>
      <w:r>
        <w:rPr>
          <w:rFonts w:hint="eastAsia" w:ascii="宋体" w:hAnsi="宋体" w:eastAsia="宋体" w:cs="宋体"/>
          <w:color w:val="auto"/>
          <w:szCs w:val="21"/>
          <w:highlight w:val="none"/>
          <w:shd w:val="clear" w:color="auto" w:fill="FFFFFF"/>
          <w:lang w:val="en-US" w:eastAsia="zh-CN"/>
        </w:rPr>
        <w:t>1、供应商应为注册在中华人民共和国境内的，且具有独立承担民事责任能力，提供营业执照或其他证明材料。</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2、供应商应提供2023年</w:t>
      </w:r>
      <w:r>
        <w:rPr>
          <w:rFonts w:hint="eastAsia" w:ascii="宋体" w:hAnsi="宋体" w:cs="宋体"/>
          <w:color w:val="auto"/>
          <w:szCs w:val="21"/>
          <w:highlight w:val="none"/>
          <w:shd w:val="clear" w:color="auto" w:fill="FFFFFF"/>
          <w:lang w:val="en-US" w:eastAsia="zh-CN"/>
        </w:rPr>
        <w:t>或2024年</w:t>
      </w:r>
      <w:r>
        <w:rPr>
          <w:rFonts w:hint="eastAsia" w:ascii="宋体" w:hAnsi="宋体" w:eastAsia="宋体" w:cs="宋体"/>
          <w:color w:val="auto"/>
          <w:szCs w:val="21"/>
          <w:highlight w:val="none"/>
          <w:shd w:val="clear" w:color="auto" w:fill="FFFFFF"/>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2AFD340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3、具有履行合同所必需的设备和专业技术能力（提供书面声明函）；</w:t>
      </w:r>
    </w:p>
    <w:p w14:paraId="211E62A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4、参加本采购活动前三年内，在经营活动中没有重大违法记录（提供书面声明函）；</w:t>
      </w:r>
    </w:p>
    <w:p w14:paraId="758453B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5、符合法律、行政法规规定的其他条件；</w:t>
      </w:r>
    </w:p>
    <w:p w14:paraId="5848FDB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6、特定资格要求：</w:t>
      </w:r>
      <w:r>
        <w:rPr>
          <w:rFonts w:hint="eastAsia" w:ascii="宋体" w:hAnsi="宋体" w:eastAsia="宋体" w:cs="宋体"/>
          <w:color w:val="auto"/>
          <w:kern w:val="2"/>
          <w:sz w:val="21"/>
          <w:szCs w:val="21"/>
          <w:highlight w:val="none"/>
          <w:shd w:val="clear" w:color="auto" w:fill="FFFFFF"/>
          <w:lang w:val="en-US" w:eastAsia="zh-CN" w:bidi="ar-SA"/>
        </w:rPr>
        <w:t>供应商须具有医疗器械经营许可证，是在中华人民共和国境内注册的设备原制造厂商或原制造厂商授权的单位或具备相关设备维修能力的单位（提供证明文件）</w:t>
      </w:r>
      <w:r>
        <w:rPr>
          <w:rFonts w:hint="eastAsia" w:ascii="宋体" w:hAnsi="宋体" w:cs="宋体"/>
          <w:color w:val="auto"/>
          <w:kern w:val="2"/>
          <w:sz w:val="21"/>
          <w:szCs w:val="21"/>
          <w:highlight w:val="none"/>
          <w:shd w:val="clear" w:color="auto" w:fill="FFFFFF"/>
          <w:lang w:val="en-US" w:eastAsia="zh-CN" w:bidi="ar-SA"/>
        </w:rPr>
        <w:t>；</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、单位负责人为同一人或者存在直接控股、管理关系的不同供应商，不得参加同一合同项下的磋商（提供书面声明函）。一经发现，将导致投标同时被拒绝。</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w:t>
      </w:r>
      <w:r>
        <w:rPr>
          <w:rFonts w:hint="eastAsia" w:ascii="宋体" w:hAnsi="宋体" w:eastAsia="宋体" w:cs="宋体"/>
          <w:color w:val="FF0000"/>
          <w:szCs w:val="21"/>
          <w:highlight w:val="none"/>
          <w:shd w:val="clear" w:color="auto" w:fill="FFFFFF"/>
        </w:rPr>
        <w:t>202</w:t>
      </w:r>
      <w:r>
        <w:rPr>
          <w:rFonts w:hint="eastAsia" w:ascii="宋体" w:hAnsi="宋体" w:eastAsia="宋体" w:cs="宋体"/>
          <w:color w:val="FF0000"/>
          <w:szCs w:val="21"/>
          <w:highlight w:val="none"/>
          <w:shd w:val="clear" w:color="auto" w:fill="FFFFFF"/>
          <w:lang w:val="en-US" w:eastAsia="zh-CN"/>
        </w:rPr>
        <w:t>5</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6</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16</w:t>
      </w:r>
      <w:r>
        <w:rPr>
          <w:rFonts w:hint="eastAsia" w:ascii="宋体" w:hAnsi="宋体" w:eastAsia="宋体" w:cs="宋体"/>
          <w:color w:val="FF0000"/>
          <w:szCs w:val="21"/>
          <w:highlight w:val="none"/>
          <w:shd w:val="clear" w:color="auto" w:fill="FFFFFF"/>
        </w:rPr>
        <w:t>日-202</w:t>
      </w:r>
      <w:r>
        <w:rPr>
          <w:rFonts w:hint="eastAsia" w:ascii="宋体" w:hAnsi="宋体" w:eastAsia="宋体" w:cs="宋体"/>
          <w:color w:val="FF0000"/>
          <w:szCs w:val="21"/>
          <w:highlight w:val="none"/>
          <w:shd w:val="clear" w:color="auto" w:fill="FFFFFF"/>
          <w:lang w:val="en-US" w:eastAsia="zh-CN"/>
        </w:rPr>
        <w:t>5</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6</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18</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000000" w:themeColor="text1"/>
          <w:szCs w:val="21"/>
          <w:highlight w:val="none"/>
          <w:shd w:val="clear" w:color="auto" w:fill="FFFFFF"/>
          <w14:textFill>
            <w14:solidFill>
              <w14:schemeClr w14:val="tx1"/>
            </w14:solidFill>
          </w14:textFill>
        </w:rPr>
        <w:t>，上午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8：30-11:30，下午14:30-17:30（北京时间，法定节假日除外）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单，一年内不得参与我院任何采购活动。成交供应商缴纳相应服务费。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663068801@qq.com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35"/>
      <w:bookmarkStart w:id="14" w:name="_Toc25869"/>
      <w:bookmarkStart w:id="15" w:name="_Toc10738"/>
      <w:bookmarkStart w:id="16" w:name="_Toc27480"/>
      <w:bookmarkStart w:id="17"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29784"/>
      <w:bookmarkStart w:id="20" w:name="_Toc6523"/>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16291"/>
      <w:bookmarkStart w:id="26" w:name="_Toc24274"/>
      <w:bookmarkStart w:id="27" w:name="_Toc31928"/>
      <w:bookmarkStart w:id="28" w:name="_Toc360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采购代理机构：河南华明工程造价咨询有限公司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地址：郑州高新技术产业开发区西三环路283号18号楼14层39号</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：李先生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w:t>
      </w:r>
      <w:r>
        <w:rPr>
          <w:rFonts w:hint="eastAsia" w:ascii="宋体" w:hAnsi="宋体" w:cs="宋体"/>
          <w:color w:val="auto"/>
          <w:kern w:val="0"/>
          <w:sz w:val="21"/>
          <w:szCs w:val="21"/>
          <w:highlight w:val="none"/>
          <w:shd w:val="clear" w:color="auto" w:fill="FFFFFF"/>
          <w:lang w:val="en-US" w:eastAsia="zh-CN" w:bidi="ar-SA"/>
        </w:rPr>
        <w:t>15638382111</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13</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驻马店市中心医院瓦里安23EX直线加速器全保（除加速管磁控管）项目</w:t>
      </w:r>
    </w:p>
    <w:p w14:paraId="774013EF">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90"/>
        <w:gridCol w:w="2139"/>
        <w:gridCol w:w="850"/>
        <w:gridCol w:w="967"/>
        <w:gridCol w:w="1384"/>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52256E">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990" w:type="dxa"/>
            <w:vAlign w:val="center"/>
          </w:tcPr>
          <w:p w14:paraId="7BB03108">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2139" w:type="dxa"/>
            <w:vAlign w:val="center"/>
          </w:tcPr>
          <w:p w14:paraId="1C818719">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850" w:type="dxa"/>
            <w:vAlign w:val="center"/>
          </w:tcPr>
          <w:p w14:paraId="2AF52A7A">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967" w:type="dxa"/>
            <w:vAlign w:val="center"/>
          </w:tcPr>
          <w:p w14:paraId="78A9F1D6">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384" w:type="dxa"/>
            <w:vAlign w:val="center"/>
          </w:tcPr>
          <w:p w14:paraId="665A7C5C">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资金</w:t>
            </w:r>
          </w:p>
          <w:p w14:paraId="2259F43F">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预算</w:t>
            </w:r>
          </w:p>
        </w:tc>
        <w:tc>
          <w:tcPr>
            <w:tcW w:w="1110" w:type="dxa"/>
            <w:vAlign w:val="center"/>
          </w:tcPr>
          <w:p w14:paraId="0C32BA6B">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资金</w:t>
            </w:r>
          </w:p>
          <w:p w14:paraId="0F2FBFFE">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性质</w:t>
            </w:r>
          </w:p>
        </w:tc>
        <w:tc>
          <w:tcPr>
            <w:tcW w:w="1245" w:type="dxa"/>
            <w:vAlign w:val="center"/>
          </w:tcPr>
          <w:p w14:paraId="0D5173FD">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国产/</w:t>
            </w:r>
          </w:p>
          <w:p w14:paraId="5E8880A2">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A5EC0F">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bCs/>
                <w:sz w:val="21"/>
                <w:szCs w:val="21"/>
                <w:lang w:val="en-US" w:eastAsia="zh-CN"/>
              </w:rPr>
            </w:pPr>
          </w:p>
        </w:tc>
        <w:tc>
          <w:tcPr>
            <w:tcW w:w="990" w:type="dxa"/>
            <w:shd w:val="clear" w:color="auto" w:fill="auto"/>
            <w:vAlign w:val="center"/>
          </w:tcPr>
          <w:p w14:paraId="7E2267BB">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1</w:t>
            </w:r>
          </w:p>
        </w:tc>
        <w:tc>
          <w:tcPr>
            <w:tcW w:w="2139" w:type="dxa"/>
            <w:shd w:val="clear" w:color="auto" w:fill="auto"/>
            <w:vAlign w:val="center"/>
          </w:tcPr>
          <w:p w14:paraId="32751584">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驻马店市中心医院瓦里安23EX直线加速器全保（除加速管磁控管）</w:t>
            </w:r>
          </w:p>
        </w:tc>
        <w:tc>
          <w:tcPr>
            <w:tcW w:w="850" w:type="dxa"/>
            <w:shd w:val="clear" w:color="auto" w:fill="auto"/>
            <w:vAlign w:val="center"/>
          </w:tcPr>
          <w:p w14:paraId="2D610A1B">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年</w:t>
            </w:r>
          </w:p>
        </w:tc>
        <w:tc>
          <w:tcPr>
            <w:tcW w:w="967" w:type="dxa"/>
            <w:shd w:val="clear" w:color="auto" w:fill="auto"/>
            <w:vAlign w:val="center"/>
          </w:tcPr>
          <w:p w14:paraId="6E5A7B3B">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w:t>
            </w:r>
          </w:p>
        </w:tc>
        <w:tc>
          <w:tcPr>
            <w:tcW w:w="1384" w:type="dxa"/>
            <w:shd w:val="clear" w:color="auto" w:fill="auto"/>
            <w:vAlign w:val="center"/>
          </w:tcPr>
          <w:p w14:paraId="3326862B">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24万元</w:t>
            </w:r>
          </w:p>
        </w:tc>
        <w:tc>
          <w:tcPr>
            <w:tcW w:w="1110" w:type="dxa"/>
            <w:shd w:val="clear" w:color="auto" w:fill="auto"/>
            <w:vAlign w:val="center"/>
          </w:tcPr>
          <w:p w14:paraId="18BFE3E9">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自筹</w:t>
            </w:r>
          </w:p>
        </w:tc>
        <w:tc>
          <w:tcPr>
            <w:tcW w:w="1245" w:type="dxa"/>
            <w:shd w:val="clear" w:color="auto" w:fill="auto"/>
            <w:vAlign w:val="center"/>
          </w:tcPr>
          <w:p w14:paraId="1F5FAC60">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7695"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r>
    </w:tbl>
    <w:p w14:paraId="32B66115">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34097E7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i w:val="0"/>
          <w:iCs/>
          <w:color w:val="auto"/>
          <w:sz w:val="21"/>
          <w:szCs w:val="21"/>
          <w:highlight w:val="none"/>
          <w:u w:val="none"/>
          <w:lang w:val="zh-CN" w:eastAsia="zh-CN"/>
        </w:rPr>
      </w:pPr>
      <w:r>
        <w:rPr>
          <w:rFonts w:hint="eastAsia" w:ascii="宋体" w:hAnsi="宋体" w:eastAsia="宋体" w:cs="宋体"/>
          <w:b w:val="0"/>
          <w:bCs w:val="0"/>
          <w:i w:val="0"/>
          <w:iCs/>
          <w:color w:val="auto"/>
          <w:sz w:val="21"/>
          <w:szCs w:val="21"/>
          <w:highlight w:val="none"/>
          <w:u w:val="none"/>
          <w:lang w:val="zh-CN" w:eastAsia="zh-CN"/>
        </w:rPr>
        <w:t>1)保修期内每年至少提供4次设备维护保养，包含但不限于如下项目：设备清洁、性能测试及校准、必要的电气环境检测等，使之保持原厂QC标准或国家质量监督部门的标准，并提供保养清单。</w:t>
      </w:r>
    </w:p>
    <w:p w14:paraId="458AFEA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i w:val="0"/>
          <w:iCs/>
          <w:color w:val="auto"/>
          <w:sz w:val="21"/>
          <w:szCs w:val="21"/>
          <w:highlight w:val="none"/>
          <w:u w:val="none"/>
          <w:lang w:val="zh-CN" w:eastAsia="zh-CN"/>
        </w:rPr>
      </w:pPr>
      <w:r>
        <w:rPr>
          <w:rFonts w:hint="eastAsia" w:ascii="宋体" w:hAnsi="宋体" w:eastAsia="宋体" w:cs="宋体"/>
          <w:b w:val="0"/>
          <w:bCs w:val="0"/>
          <w:i w:val="0"/>
          <w:iCs/>
          <w:color w:val="auto"/>
          <w:sz w:val="21"/>
          <w:szCs w:val="21"/>
          <w:highlight w:val="none"/>
          <w:u w:val="none"/>
          <w:lang w:val="zh-CN" w:eastAsia="zh-CN"/>
        </w:rPr>
        <w:t>2)每次维修保养</w:t>
      </w:r>
      <w:r>
        <w:rPr>
          <w:rFonts w:hint="eastAsia" w:ascii="宋体" w:hAnsi="宋体" w:eastAsia="宋体" w:cs="宋体"/>
          <w:b w:val="0"/>
          <w:bCs w:val="0"/>
          <w:i w:val="0"/>
          <w:iCs/>
          <w:color w:val="auto"/>
          <w:sz w:val="21"/>
          <w:szCs w:val="21"/>
          <w:highlight w:val="none"/>
          <w:u w:val="none"/>
          <w:lang w:val="en-US" w:eastAsia="zh-CN"/>
        </w:rPr>
        <w:t>更换配件</w:t>
      </w:r>
      <w:r>
        <w:rPr>
          <w:rFonts w:hint="eastAsia" w:ascii="宋体" w:hAnsi="宋体" w:eastAsia="宋体" w:cs="宋体"/>
          <w:b w:val="0"/>
          <w:bCs w:val="0"/>
          <w:i w:val="0"/>
          <w:iCs/>
          <w:color w:val="auto"/>
          <w:sz w:val="21"/>
          <w:szCs w:val="21"/>
          <w:highlight w:val="none"/>
          <w:u w:val="none"/>
          <w:lang w:val="zh-CN" w:eastAsia="zh-CN"/>
        </w:rPr>
        <w:t>时需通知科室及医学装备部，且保修期最后一个月需三方人员（投标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14:paraId="6A886A5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i w:val="0"/>
          <w:iCs/>
          <w:color w:val="auto"/>
          <w:sz w:val="21"/>
          <w:szCs w:val="21"/>
          <w:highlight w:val="none"/>
          <w:u w:val="none"/>
          <w:lang w:val="zh-CN" w:eastAsia="zh-CN"/>
        </w:rPr>
      </w:pPr>
      <w:r>
        <w:rPr>
          <w:rFonts w:hint="eastAsia" w:ascii="宋体" w:hAnsi="宋体" w:eastAsia="宋体" w:cs="宋体"/>
          <w:b w:val="0"/>
          <w:bCs w:val="0"/>
          <w:i w:val="0"/>
          <w:iCs/>
          <w:color w:val="auto"/>
          <w:sz w:val="21"/>
          <w:szCs w:val="21"/>
          <w:highlight w:val="none"/>
          <w:u w:val="none"/>
          <w:lang w:val="zh-CN" w:eastAsia="zh-CN"/>
        </w:rPr>
        <w:t>3)为本医院配置具备维修资质的固定工程师不少于2人，本设备维修经验不少于2年，需提供证明材料（培训证书）和承诺函</w:t>
      </w:r>
    </w:p>
    <w:p w14:paraId="6D19F1D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i w:val="0"/>
          <w:iCs/>
          <w:color w:val="auto"/>
          <w:sz w:val="21"/>
          <w:szCs w:val="21"/>
          <w:highlight w:val="none"/>
          <w:u w:val="none"/>
          <w:lang w:val="zh-CN" w:eastAsia="zh-CN"/>
        </w:rPr>
      </w:pPr>
      <w:r>
        <w:rPr>
          <w:rFonts w:hint="eastAsia" w:ascii="宋体" w:hAnsi="宋体" w:eastAsia="宋体" w:cs="宋体"/>
          <w:b w:val="0"/>
          <w:bCs w:val="0"/>
          <w:i w:val="0"/>
          <w:iCs/>
          <w:color w:val="auto"/>
          <w:sz w:val="21"/>
          <w:szCs w:val="21"/>
          <w:highlight w:val="none"/>
          <w:u w:val="none"/>
          <w:lang w:val="zh-CN" w:eastAsia="zh-CN"/>
        </w:rPr>
        <w:t>4)</w:t>
      </w:r>
      <w:r>
        <w:rPr>
          <w:rFonts w:hint="eastAsia" w:ascii="宋体" w:hAnsi="宋体" w:eastAsia="宋体" w:cs="宋体"/>
          <w:b w:val="0"/>
          <w:bCs w:val="0"/>
          <w:i w:val="0"/>
          <w:iCs/>
          <w:color w:val="auto"/>
          <w:sz w:val="21"/>
          <w:szCs w:val="21"/>
          <w:highlight w:val="none"/>
          <w:u w:val="none"/>
          <w:lang w:val="en-US" w:eastAsia="zh-CN"/>
        </w:rPr>
        <w:t>配件（</w:t>
      </w:r>
      <w:r>
        <w:rPr>
          <w:rFonts w:hint="eastAsia" w:ascii="宋体" w:hAnsi="宋体" w:eastAsia="宋体" w:cs="宋体"/>
          <w:b w:val="0"/>
          <w:bCs w:val="0"/>
          <w:i w:val="0"/>
          <w:iCs/>
          <w:color w:val="auto"/>
          <w:sz w:val="21"/>
          <w:szCs w:val="21"/>
          <w:highlight w:val="none"/>
          <w:u w:val="none"/>
          <w:lang w:val="zh-CN" w:eastAsia="zh-CN"/>
        </w:rPr>
        <w:t>除加速管磁控管）</w:t>
      </w:r>
      <w:r>
        <w:rPr>
          <w:rFonts w:hint="eastAsia" w:ascii="宋体" w:hAnsi="宋体" w:eastAsia="宋体" w:cs="宋体"/>
          <w:b w:val="0"/>
          <w:bCs w:val="0"/>
          <w:i w:val="0"/>
          <w:iCs/>
          <w:color w:val="auto"/>
          <w:sz w:val="21"/>
          <w:szCs w:val="21"/>
          <w:highlight w:val="none"/>
          <w:u w:val="none"/>
          <w:lang w:val="en-US" w:eastAsia="zh-CN"/>
        </w:rPr>
        <w:t>故障时不维修，直接更换备件且备件无限次更换。</w:t>
      </w:r>
      <w:r>
        <w:rPr>
          <w:rFonts w:hint="eastAsia" w:ascii="宋体" w:hAnsi="宋体" w:eastAsia="宋体" w:cs="宋体"/>
          <w:b w:val="0"/>
          <w:bCs w:val="0"/>
          <w:i w:val="0"/>
          <w:iCs/>
          <w:color w:val="auto"/>
          <w:sz w:val="21"/>
          <w:szCs w:val="21"/>
          <w:highlight w:val="none"/>
          <w:u w:val="none"/>
          <w:lang w:val="zh-CN" w:eastAsia="zh-CN"/>
        </w:rPr>
        <w:t>所换备件必须是</w:t>
      </w:r>
      <w:r>
        <w:rPr>
          <w:rFonts w:hint="eastAsia" w:ascii="宋体" w:hAnsi="宋体" w:eastAsia="宋体" w:cs="宋体"/>
          <w:b w:val="0"/>
          <w:bCs w:val="0"/>
          <w:i w:val="0"/>
          <w:iCs/>
          <w:color w:val="auto"/>
          <w:sz w:val="21"/>
          <w:szCs w:val="21"/>
          <w:highlight w:val="none"/>
          <w:u w:val="none"/>
          <w:lang w:val="en-US" w:eastAsia="zh-CN"/>
        </w:rPr>
        <w:t>原厂</w:t>
      </w:r>
      <w:r>
        <w:rPr>
          <w:rFonts w:hint="eastAsia" w:ascii="宋体" w:hAnsi="宋体" w:eastAsia="宋体" w:cs="宋体"/>
          <w:b w:val="0"/>
          <w:bCs w:val="0"/>
          <w:i w:val="0"/>
          <w:iCs/>
          <w:color w:val="auto"/>
          <w:sz w:val="21"/>
          <w:szCs w:val="21"/>
          <w:highlight w:val="none"/>
          <w:u w:val="none"/>
          <w:lang w:val="zh-CN" w:eastAsia="zh-CN"/>
        </w:rPr>
        <w:t>合格的产品，并满足设备运行要求, 进口配件需提供商检及海关报关单等材料。因所换备件造成的设备故障及医院损失，由投标人全权负责</w:t>
      </w:r>
    </w:p>
    <w:p w14:paraId="2916B52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i w:val="0"/>
          <w:iCs/>
          <w:color w:val="auto"/>
          <w:sz w:val="21"/>
          <w:szCs w:val="21"/>
          <w:highlight w:val="none"/>
          <w:u w:val="none"/>
          <w:lang w:val="zh-CN" w:eastAsia="zh-CN"/>
        </w:rPr>
      </w:pPr>
      <w:r>
        <w:rPr>
          <w:rFonts w:hint="eastAsia" w:ascii="宋体" w:hAnsi="宋体" w:eastAsia="宋体" w:cs="宋体"/>
          <w:b w:val="0"/>
          <w:bCs w:val="0"/>
          <w:i w:val="0"/>
          <w:iCs/>
          <w:color w:val="auto"/>
          <w:sz w:val="21"/>
          <w:szCs w:val="21"/>
          <w:highlight w:val="none"/>
          <w:u w:val="none"/>
          <w:lang w:val="zh-CN" w:eastAsia="zh-CN"/>
        </w:rPr>
        <w:t>5)软硬件及工作站免费安全升级，并开放维修密码等</w:t>
      </w:r>
    </w:p>
    <w:p w14:paraId="4DC7140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i w:val="0"/>
          <w:iCs/>
          <w:color w:val="auto"/>
          <w:sz w:val="21"/>
          <w:szCs w:val="21"/>
          <w:highlight w:val="none"/>
          <w:u w:val="none"/>
          <w:lang w:val="zh-CN" w:eastAsia="zh-CN"/>
        </w:rPr>
      </w:pPr>
      <w:r>
        <w:rPr>
          <w:rFonts w:hint="eastAsia" w:ascii="宋体" w:hAnsi="宋体" w:eastAsia="宋体" w:cs="宋体"/>
          <w:b w:val="0"/>
          <w:bCs w:val="0"/>
          <w:i w:val="0"/>
          <w:iCs/>
          <w:color w:val="auto"/>
          <w:sz w:val="21"/>
          <w:szCs w:val="21"/>
          <w:highlight w:val="none"/>
          <w:u w:val="none"/>
          <w:lang w:val="zh-CN" w:eastAsia="zh-CN"/>
        </w:rPr>
        <w:t>6)提供24小时远程技术支持及临床应用支持，签署由招标人提供的信息系统数据安全保密承诺书</w:t>
      </w:r>
    </w:p>
    <w:p w14:paraId="731BF0DB">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i w:val="0"/>
          <w:iCs/>
          <w:color w:val="auto"/>
          <w:sz w:val="21"/>
          <w:szCs w:val="21"/>
          <w:highlight w:val="none"/>
          <w:u w:val="none"/>
          <w:lang w:val="zh-CN" w:eastAsia="zh-CN"/>
        </w:rPr>
      </w:pPr>
      <w:r>
        <w:rPr>
          <w:rFonts w:hint="eastAsia" w:ascii="宋体" w:hAnsi="宋体" w:eastAsia="宋体" w:cs="宋体"/>
          <w:b w:val="0"/>
          <w:bCs w:val="0"/>
          <w:i w:val="0"/>
          <w:iCs/>
          <w:color w:val="auto"/>
          <w:sz w:val="21"/>
          <w:szCs w:val="21"/>
          <w:highlight w:val="none"/>
          <w:u w:val="none"/>
          <w:lang w:val="en-US" w:eastAsia="zh-CN"/>
        </w:rPr>
        <w:t>7</w:t>
      </w:r>
      <w:r>
        <w:rPr>
          <w:rFonts w:hint="eastAsia" w:ascii="宋体" w:hAnsi="宋体" w:eastAsia="宋体" w:cs="宋体"/>
          <w:b w:val="0"/>
          <w:bCs w:val="0"/>
          <w:i w:val="0"/>
          <w:iCs/>
          <w:color w:val="auto"/>
          <w:sz w:val="21"/>
          <w:szCs w:val="21"/>
          <w:highlight w:val="none"/>
          <w:u w:val="none"/>
          <w:lang w:val="zh-CN" w:eastAsia="zh-CN"/>
        </w:rPr>
        <w:t>）如需更换备件，国内备件仓库有货的备件在2个工作日内送达医院，进口配件5个工作日送达；非标件和不可抗力除外</w:t>
      </w:r>
    </w:p>
    <w:p w14:paraId="146B82C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i w:val="0"/>
          <w:iCs/>
          <w:color w:val="auto"/>
          <w:sz w:val="21"/>
          <w:szCs w:val="21"/>
          <w:highlight w:val="none"/>
          <w:u w:val="none"/>
          <w:lang w:val="zh-CN" w:eastAsia="zh-CN"/>
        </w:rPr>
      </w:pPr>
      <w:r>
        <w:rPr>
          <w:rFonts w:hint="eastAsia" w:ascii="宋体" w:hAnsi="宋体" w:eastAsia="宋体" w:cs="宋体"/>
          <w:b w:val="0"/>
          <w:bCs w:val="0"/>
          <w:i w:val="0"/>
          <w:iCs/>
          <w:color w:val="auto"/>
          <w:sz w:val="21"/>
          <w:szCs w:val="21"/>
          <w:highlight w:val="none"/>
          <w:u w:val="none"/>
          <w:lang w:val="en-US" w:eastAsia="zh-CN"/>
        </w:rPr>
        <w:t>8</w:t>
      </w:r>
      <w:r>
        <w:rPr>
          <w:rFonts w:hint="eastAsia" w:ascii="宋体" w:hAnsi="宋体" w:eastAsia="宋体" w:cs="宋体"/>
          <w:b w:val="0"/>
          <w:bCs w:val="0"/>
          <w:i w:val="0"/>
          <w:iCs/>
          <w:color w:val="auto"/>
          <w:sz w:val="21"/>
          <w:szCs w:val="21"/>
          <w:highlight w:val="none"/>
          <w:u w:val="none"/>
          <w:lang w:val="zh-CN" w:eastAsia="zh-CN"/>
        </w:rPr>
        <w:t>）定期进行安全检查及质量保障，保证24h*365天维修热线连接；提供全国400热线服务电话</w:t>
      </w:r>
    </w:p>
    <w:p w14:paraId="3E47572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i w:val="0"/>
          <w:iCs/>
          <w:color w:val="auto"/>
          <w:sz w:val="21"/>
          <w:szCs w:val="21"/>
          <w:highlight w:val="none"/>
          <w:u w:val="none"/>
          <w:lang w:val="zh-CN" w:eastAsia="zh-CN"/>
        </w:rPr>
      </w:pPr>
      <w:r>
        <w:rPr>
          <w:rFonts w:hint="eastAsia" w:ascii="宋体" w:hAnsi="宋体" w:eastAsia="宋体" w:cs="宋体"/>
          <w:b w:val="0"/>
          <w:bCs w:val="0"/>
          <w:i w:val="0"/>
          <w:iCs/>
          <w:color w:val="auto"/>
          <w:sz w:val="21"/>
          <w:szCs w:val="21"/>
          <w:highlight w:val="none"/>
          <w:u w:val="none"/>
          <w:lang w:val="en-US" w:eastAsia="zh-CN"/>
        </w:rPr>
        <w:t>9</w:t>
      </w:r>
      <w:r>
        <w:rPr>
          <w:rFonts w:hint="eastAsia" w:ascii="宋体" w:hAnsi="宋体" w:eastAsia="宋体" w:cs="宋体"/>
          <w:b w:val="0"/>
          <w:bCs w:val="0"/>
          <w:i w:val="0"/>
          <w:iCs/>
          <w:color w:val="auto"/>
          <w:sz w:val="21"/>
          <w:szCs w:val="21"/>
          <w:highlight w:val="none"/>
          <w:u w:val="none"/>
          <w:lang w:val="zh-CN" w:eastAsia="zh-CN"/>
        </w:rPr>
        <w:t>）紧急人工和工程师现场紧急维修服务</w:t>
      </w:r>
    </w:p>
    <w:p w14:paraId="5079D59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i w:val="0"/>
          <w:iCs/>
          <w:color w:val="auto"/>
          <w:sz w:val="21"/>
          <w:szCs w:val="21"/>
          <w:highlight w:val="none"/>
          <w:u w:val="none"/>
          <w:lang w:val="zh-CN" w:eastAsia="zh-CN"/>
        </w:rPr>
      </w:pPr>
      <w:r>
        <w:rPr>
          <w:rFonts w:hint="eastAsia" w:ascii="宋体" w:hAnsi="宋体" w:eastAsia="宋体" w:cs="宋体"/>
          <w:b w:val="0"/>
          <w:bCs w:val="0"/>
          <w:i w:val="0"/>
          <w:iCs/>
          <w:color w:val="auto"/>
          <w:sz w:val="21"/>
          <w:szCs w:val="21"/>
          <w:highlight w:val="none"/>
          <w:u w:val="none"/>
          <w:lang w:val="zh-CN" w:eastAsia="zh-CN"/>
        </w:rPr>
        <w:t>1</w:t>
      </w:r>
      <w:r>
        <w:rPr>
          <w:rFonts w:hint="eastAsia" w:ascii="宋体" w:hAnsi="宋体" w:eastAsia="宋体" w:cs="宋体"/>
          <w:b w:val="0"/>
          <w:bCs w:val="0"/>
          <w:i w:val="0"/>
          <w:iCs/>
          <w:color w:val="auto"/>
          <w:sz w:val="21"/>
          <w:szCs w:val="21"/>
          <w:highlight w:val="none"/>
          <w:u w:val="none"/>
          <w:lang w:val="en-US" w:eastAsia="zh-CN"/>
        </w:rPr>
        <w:t>0</w:t>
      </w:r>
      <w:r>
        <w:rPr>
          <w:rFonts w:hint="eastAsia" w:ascii="宋体" w:hAnsi="宋体" w:eastAsia="宋体" w:cs="宋体"/>
          <w:b w:val="0"/>
          <w:bCs w:val="0"/>
          <w:i w:val="0"/>
          <w:iCs/>
          <w:color w:val="auto"/>
          <w:sz w:val="21"/>
          <w:szCs w:val="21"/>
          <w:highlight w:val="none"/>
          <w:u w:val="none"/>
          <w:lang w:val="zh-CN" w:eastAsia="zh-CN"/>
        </w:rPr>
        <w:t>）工程师需配备有专用工具，工程师的工具符合国家检测和校准的规定（提供相关校准证明）</w:t>
      </w:r>
    </w:p>
    <w:p w14:paraId="4DA8BC5C">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i w:val="0"/>
          <w:iCs/>
          <w:color w:val="auto"/>
          <w:sz w:val="21"/>
          <w:szCs w:val="21"/>
          <w:highlight w:val="none"/>
          <w:u w:val="none"/>
          <w:lang w:val="zh-CN" w:eastAsia="zh-CN"/>
        </w:rPr>
      </w:pPr>
      <w:r>
        <w:rPr>
          <w:rFonts w:hint="eastAsia" w:ascii="宋体" w:hAnsi="宋体" w:eastAsia="宋体" w:cs="宋体"/>
          <w:b w:val="0"/>
          <w:bCs w:val="0"/>
          <w:i w:val="0"/>
          <w:iCs/>
          <w:color w:val="auto"/>
          <w:sz w:val="21"/>
          <w:szCs w:val="21"/>
          <w:highlight w:val="none"/>
          <w:u w:val="none"/>
          <w:lang w:val="zh-CN" w:eastAsia="zh-CN"/>
        </w:rPr>
        <w:t>1</w:t>
      </w:r>
      <w:r>
        <w:rPr>
          <w:rFonts w:hint="eastAsia" w:ascii="宋体" w:hAnsi="宋体" w:eastAsia="宋体" w:cs="宋体"/>
          <w:b w:val="0"/>
          <w:bCs w:val="0"/>
          <w:i w:val="0"/>
          <w:iCs/>
          <w:color w:val="auto"/>
          <w:sz w:val="21"/>
          <w:szCs w:val="21"/>
          <w:highlight w:val="none"/>
          <w:u w:val="none"/>
          <w:lang w:val="en-US" w:eastAsia="zh-CN"/>
        </w:rPr>
        <w:t>1</w:t>
      </w:r>
      <w:r>
        <w:rPr>
          <w:rFonts w:hint="eastAsia" w:ascii="宋体" w:hAnsi="宋体" w:eastAsia="宋体" w:cs="宋体"/>
          <w:b w:val="0"/>
          <w:bCs w:val="0"/>
          <w:i w:val="0"/>
          <w:iCs/>
          <w:color w:val="auto"/>
          <w:sz w:val="21"/>
          <w:szCs w:val="21"/>
          <w:highlight w:val="none"/>
          <w:u w:val="none"/>
          <w:lang w:val="zh-CN" w:eastAsia="zh-CN"/>
        </w:rPr>
        <w:t>）保修期最后一个月内更换的配件，中标公司应保证自更换之日起三个月内正常使用，如三个月内出现故障，由中标公司承担维修费用。</w:t>
      </w:r>
    </w:p>
    <w:p w14:paraId="11D7220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i w:val="0"/>
          <w:iCs/>
          <w:color w:val="auto"/>
          <w:sz w:val="21"/>
          <w:szCs w:val="21"/>
          <w:highlight w:val="none"/>
          <w:u w:val="none"/>
          <w:lang w:val="zh-CN" w:eastAsia="zh-CN"/>
        </w:rPr>
      </w:pPr>
      <w:r>
        <w:rPr>
          <w:rFonts w:hint="eastAsia" w:ascii="宋体" w:hAnsi="宋体" w:eastAsia="宋体" w:cs="宋体"/>
          <w:b w:val="0"/>
          <w:bCs w:val="0"/>
          <w:i w:val="0"/>
          <w:iCs/>
          <w:color w:val="auto"/>
          <w:sz w:val="21"/>
          <w:szCs w:val="21"/>
          <w:highlight w:val="none"/>
          <w:u w:val="none"/>
          <w:lang w:val="en-US" w:eastAsia="zh-CN"/>
        </w:rPr>
        <w:t>12</w:t>
      </w:r>
      <w:r>
        <w:rPr>
          <w:rFonts w:hint="eastAsia" w:ascii="宋体" w:hAnsi="宋体" w:eastAsia="宋体" w:cs="宋体"/>
          <w:b w:val="0"/>
          <w:bCs w:val="0"/>
          <w:i w:val="0"/>
          <w:iCs/>
          <w:color w:val="auto"/>
          <w:sz w:val="21"/>
          <w:szCs w:val="21"/>
          <w:highlight w:val="none"/>
          <w:u w:val="none"/>
          <w:lang w:val="zh-CN" w:eastAsia="zh-CN"/>
        </w:rPr>
        <w:t>）须有具备应用培训工程师且提供原厂认证的培训证书。</w:t>
      </w:r>
    </w:p>
    <w:p w14:paraId="5059B4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i w:val="0"/>
          <w:iCs/>
          <w:color w:val="auto"/>
          <w:sz w:val="21"/>
          <w:szCs w:val="21"/>
          <w:highlight w:val="none"/>
          <w:u w:val="none"/>
          <w:lang w:val="zh-CN" w:eastAsia="zh-CN"/>
        </w:rPr>
      </w:pPr>
      <w:r>
        <w:rPr>
          <w:rFonts w:hint="eastAsia" w:ascii="宋体" w:hAnsi="宋体" w:eastAsia="宋体" w:cs="宋体"/>
          <w:b w:val="0"/>
          <w:bCs w:val="0"/>
          <w:i w:val="0"/>
          <w:iCs/>
          <w:color w:val="auto"/>
          <w:sz w:val="21"/>
          <w:szCs w:val="21"/>
          <w:highlight w:val="none"/>
          <w:u w:val="none"/>
          <w:lang w:val="zh-CN" w:eastAsia="zh-CN"/>
        </w:rPr>
        <w:t>1</w:t>
      </w:r>
      <w:r>
        <w:rPr>
          <w:rFonts w:hint="eastAsia" w:ascii="宋体" w:hAnsi="宋体" w:eastAsia="宋体" w:cs="宋体"/>
          <w:b w:val="0"/>
          <w:bCs w:val="0"/>
          <w:i w:val="0"/>
          <w:iCs/>
          <w:color w:val="auto"/>
          <w:sz w:val="21"/>
          <w:szCs w:val="21"/>
          <w:highlight w:val="none"/>
          <w:u w:val="none"/>
          <w:lang w:val="en-US" w:eastAsia="zh-CN"/>
        </w:rPr>
        <w:t>3</w:t>
      </w:r>
      <w:r>
        <w:rPr>
          <w:rFonts w:hint="eastAsia" w:ascii="宋体" w:hAnsi="宋体" w:eastAsia="宋体" w:cs="宋体"/>
          <w:b w:val="0"/>
          <w:bCs w:val="0"/>
          <w:i w:val="0"/>
          <w:iCs/>
          <w:color w:val="auto"/>
          <w:sz w:val="21"/>
          <w:szCs w:val="21"/>
          <w:highlight w:val="none"/>
          <w:u w:val="none"/>
          <w:lang w:val="zh-CN" w:eastAsia="zh-CN"/>
        </w:rPr>
        <w:t>）对我院的维修工程师提供每年至少2人次的专业培训，并提供培训证明材料。</w:t>
      </w:r>
    </w:p>
    <w:p w14:paraId="1A57D7B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i w:val="0"/>
          <w:iCs/>
          <w:color w:val="auto"/>
          <w:sz w:val="21"/>
          <w:szCs w:val="21"/>
          <w:highlight w:val="none"/>
          <w:u w:val="none"/>
          <w:lang w:val="zh-CN" w:eastAsia="zh-CN"/>
        </w:rPr>
      </w:pPr>
      <w:r>
        <w:rPr>
          <w:rFonts w:hint="eastAsia" w:ascii="宋体" w:hAnsi="宋体" w:eastAsia="宋体" w:cs="宋体"/>
          <w:b w:val="0"/>
          <w:bCs w:val="0"/>
          <w:i w:val="0"/>
          <w:iCs/>
          <w:color w:val="auto"/>
          <w:sz w:val="21"/>
          <w:szCs w:val="21"/>
          <w:highlight w:val="none"/>
          <w:u w:val="none"/>
          <w:lang w:val="zh-CN" w:eastAsia="zh-CN"/>
        </w:rPr>
        <w:t>1</w:t>
      </w:r>
      <w:r>
        <w:rPr>
          <w:rFonts w:hint="eastAsia" w:ascii="宋体" w:hAnsi="宋体" w:eastAsia="宋体" w:cs="宋体"/>
          <w:b w:val="0"/>
          <w:bCs w:val="0"/>
          <w:i w:val="0"/>
          <w:iCs/>
          <w:color w:val="auto"/>
          <w:sz w:val="21"/>
          <w:szCs w:val="21"/>
          <w:highlight w:val="none"/>
          <w:u w:val="none"/>
          <w:lang w:val="en-US" w:eastAsia="zh-CN"/>
        </w:rPr>
        <w:t>4</w:t>
      </w:r>
      <w:r>
        <w:rPr>
          <w:rFonts w:hint="eastAsia" w:ascii="宋体" w:hAnsi="宋体" w:eastAsia="宋体" w:cs="宋体"/>
          <w:b w:val="0"/>
          <w:bCs w:val="0"/>
          <w:i w:val="0"/>
          <w:iCs/>
          <w:color w:val="auto"/>
          <w:sz w:val="21"/>
          <w:szCs w:val="21"/>
          <w:highlight w:val="none"/>
          <w:u w:val="none"/>
          <w:lang w:val="zh-CN" w:eastAsia="zh-CN"/>
        </w:rPr>
        <w:t>）每年制定临床使用人员的使用维护培训计划，按计划进行培训并提供记录。</w:t>
      </w:r>
    </w:p>
    <w:p w14:paraId="7FF8C3C2">
      <w:pPr>
        <w:pStyle w:val="50"/>
        <w:rPr>
          <w:rFonts w:hint="eastAsia" w:ascii="宋体" w:hAnsi="宋体" w:eastAsia="宋体" w:cs="宋体"/>
          <w:b/>
          <w:bCs/>
          <w:color w:val="auto"/>
          <w:kern w:val="2"/>
          <w:sz w:val="21"/>
          <w:szCs w:val="24"/>
          <w:highlight w:val="none"/>
          <w:lang w:val="en-US" w:eastAsia="zh-CN" w:bidi="ar-SA"/>
        </w:rPr>
      </w:pPr>
    </w:p>
    <w:p w14:paraId="5C70B08A">
      <w:pPr>
        <w:jc w:val="center"/>
        <w:rPr>
          <w:rFonts w:hint="eastAsia" w:ascii="宋体" w:hAnsi="宋体" w:eastAsia="宋体" w:cs="宋体"/>
          <w:b/>
          <w:bCs/>
          <w:color w:val="auto"/>
          <w:sz w:val="30"/>
          <w:szCs w:val="30"/>
          <w:highlight w:val="none"/>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4"/>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399FF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9E94F26">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7B0CCF3">
            <w:pPr>
              <w:pStyle w:val="14"/>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14"/>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4"/>
              <w:ind w:left="0" w:leftChars="0"/>
              <w:jc w:val="left"/>
              <w:rPr>
                <w:rFonts w:hint="default"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1年</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14"/>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14"/>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符合国家现行标准要求。</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14"/>
              <w:ind w:left="0" w:left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维修响应时间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14"/>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周一至周日，7天24小时包括法定节假日</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20分钟内电话响应，2小时内工程师到达现场，一般故障24小时内维修完毕。如需外地专家支持，4小时内响应，24小时内到达现场。</w:t>
            </w:r>
          </w:p>
        </w:tc>
      </w:tr>
      <w:tr w14:paraId="453A3F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FCD0086">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053F7651">
            <w:pPr>
              <w:pStyle w:val="14"/>
              <w:ind w:left="0" w:leftChars="0"/>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投标人保证我院保修的设备正常开机率大于95% （一年按365天计算），且单次维修不能超过1天，否则设备维修占用日期每增加一天，保修时间往后顺延七天。</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14"/>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先服务后付款，服务六个月之后支付50%合同款，服务期满后支付余下50%合同款。</w:t>
            </w:r>
          </w:p>
        </w:tc>
      </w:tr>
    </w:tbl>
    <w:p w14:paraId="40505672">
      <w:pPr>
        <w:pStyle w:val="23"/>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lang w:val="en-US" w:eastAsia="zh-CN"/>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27817"/>
            <w:bookmarkStart w:id="37" w:name="_Toc30169"/>
            <w:bookmarkStart w:id="38" w:name="_Toc9566"/>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驻马店市中心医院瓦里安23EX直线加速器全保（除加速管磁控管）项目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9400"/>
            <w:bookmarkStart w:id="40" w:name="_Toc2832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24541"/>
            <w:bookmarkStart w:id="44"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24万元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24</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4F8DA15F">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7DC9C2C2">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435A747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77A81F5B">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4202E3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F588BA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097576B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6164D78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“服务”系指供应商按采购文件规定向采购人提供的一切工作内容。</w:t>
      </w:r>
    </w:p>
    <w:p w14:paraId="2B43457C">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24万元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24万元</w:t>
      </w:r>
      <w:r>
        <w:rPr>
          <w:rFonts w:hint="eastAsia" w:ascii="宋体" w:hAnsi="宋体" w:eastAsia="宋体" w:cs="宋体"/>
          <w:b/>
          <w:bCs/>
          <w:color w:val="auto"/>
          <w:kern w:val="0"/>
          <w:szCs w:val="21"/>
          <w:highlight w:val="none"/>
          <w:lang w:eastAsia="zh-CN"/>
        </w:rPr>
        <w:t>；</w:t>
      </w:r>
    </w:p>
    <w:p w14:paraId="00FE0F4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19C86C5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供应商应为注册在中华人民共和国境内的，且具有独立承担民事责任能力，提供营业执照或其他证明材料。</w:t>
      </w:r>
    </w:p>
    <w:p w14:paraId="58802A8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4.2 </w:t>
      </w:r>
      <w:r>
        <w:rPr>
          <w:rFonts w:hint="eastAsia" w:ascii="宋体" w:hAnsi="宋体" w:eastAsia="宋体" w:cs="宋体"/>
          <w:color w:val="auto"/>
          <w:highlight w:val="none"/>
          <w:lang w:val="en-US" w:eastAsia="zh-CN"/>
        </w:rPr>
        <w:t>供应商应提供2023年</w:t>
      </w:r>
      <w:r>
        <w:rPr>
          <w:rFonts w:hint="eastAsia" w:ascii="宋体" w:hAnsi="宋体" w:cs="宋体"/>
          <w:color w:val="auto"/>
          <w:highlight w:val="none"/>
          <w:lang w:val="en-US" w:eastAsia="zh-CN"/>
        </w:rPr>
        <w:t>或2024年</w:t>
      </w:r>
      <w:r>
        <w:rPr>
          <w:rFonts w:hint="eastAsia" w:ascii="宋体" w:hAnsi="宋体" w:eastAsia="宋体" w:cs="宋体"/>
          <w:color w:val="auto"/>
          <w:highlight w:val="none"/>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D6F05F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具有履行合同所必需的设备和专业技术能力（提供书面声明函）；</w:t>
      </w:r>
    </w:p>
    <w:p w14:paraId="29EA037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参加本采购活动前三年内，在经营活动中没有重大违法记录（提供书面声明函）；</w:t>
      </w:r>
    </w:p>
    <w:p w14:paraId="1D94511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4.5 </w:t>
      </w:r>
      <w:r>
        <w:rPr>
          <w:rFonts w:hint="eastAsia" w:ascii="宋体" w:hAnsi="宋体" w:eastAsia="宋体" w:cs="宋体"/>
          <w:color w:val="auto"/>
          <w:highlight w:val="none"/>
          <w:lang w:val="en-US" w:eastAsia="zh-CN"/>
        </w:rPr>
        <w:t>特定资格要求：供应商须具有医疗器械经营许可证，是在中华人民共和国境内注册的设备原制造厂商或原制造厂商授权的单位或具备相关设备维修能力的单位（提供证明文件）</w:t>
      </w:r>
      <w:r>
        <w:rPr>
          <w:rFonts w:hint="eastAsia" w:ascii="宋体" w:hAnsi="宋体" w:cs="宋体"/>
          <w:color w:val="auto"/>
          <w:highlight w:val="none"/>
          <w:lang w:val="en-US" w:eastAsia="zh-CN"/>
        </w:rPr>
        <w:t>；</w:t>
      </w:r>
    </w:p>
    <w:p w14:paraId="75715F2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4.6 </w:t>
      </w:r>
      <w:r>
        <w:rPr>
          <w:rFonts w:hint="eastAsia" w:ascii="宋体" w:hAnsi="宋体" w:eastAsia="宋体" w:cs="宋体"/>
          <w:color w:val="auto"/>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3D3B5B34">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4.7 </w:t>
      </w:r>
      <w:r>
        <w:rPr>
          <w:rFonts w:hint="eastAsia" w:ascii="宋体" w:hAnsi="宋体" w:eastAsia="宋体" w:cs="宋体"/>
          <w:color w:val="auto"/>
          <w:highlight w:val="none"/>
          <w:lang w:val="en-US" w:eastAsia="zh-CN"/>
        </w:rPr>
        <w:t>单位负责人为同一人或者存在直接控股、管理关系的不同供应商，不得参加同一合同项下的磋商（提供书面声明函）。一经发现，将导致投标同时被拒绝。</w:t>
      </w:r>
    </w:p>
    <w:p w14:paraId="24C9545E">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46861BDF">
      <w:pPr>
        <w:keepNext w:val="0"/>
        <w:keepLines w:val="0"/>
        <w:pageBreakBefore w:val="0"/>
        <w:widowControl/>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236EBBF2">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6AABC43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4732FE9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7C91C9E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39BDC3B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5F92A55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4B9EEE6A">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69C0C2E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49F7664F">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5279C41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3FFD5AF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500AF1D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4B293B5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475F42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67F90B24">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703C477">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14:paraId="0D0A6C6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62D38B5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4E127A4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4347A51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660425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497941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544D4B9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4106BF8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56F023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3232DE3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2E30833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09338CC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0B46D5A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E0FAEED">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44B2FFC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0F8C391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004540C">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683EEFD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0F677CD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C38236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7C3B813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7621E530">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445165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6160AC5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6F18F22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投标</w:t>
      </w:r>
      <w:r>
        <w:rPr>
          <w:rFonts w:hint="eastAsia" w:ascii="宋体" w:hAnsi="宋体" w:eastAsia="宋体" w:cs="宋体"/>
          <w:color w:val="auto"/>
          <w:kern w:val="0"/>
          <w:szCs w:val="21"/>
          <w:highlight w:val="none"/>
        </w:rPr>
        <w:t>书及开标一览表</w:t>
      </w:r>
    </w:p>
    <w:p w14:paraId="21277FF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4DB851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60EF7CE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0B275C27">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6A3B0E9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22F348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1B8AB2DF">
      <w:pPr>
        <w:keepNext w:val="0"/>
        <w:keepLines w:val="0"/>
        <w:pageBreakBefore w:val="0"/>
        <w:widowControl/>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0ACA2955">
      <w:pPr>
        <w:pStyle w:val="15"/>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4604E75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20F6F45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4E7360E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00A3228F">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09D2E5C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748543C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14:paraId="660F648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14:paraId="202C821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5346BF3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3698E18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266E26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31D701CB">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08FA7F6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06CA5ED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705FCC70">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373EED5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34F44DB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0968E51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3C140CBD">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1260FA0E">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05AA0E6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22BFAEA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230162DA">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5D0F7FD6">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2C17CA9C">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7859BBE8">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33163D3">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4BDB04A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6FFEBDD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0B1B798B">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01D45B0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08C9D3F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2F37401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7D256252">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50CA12E8">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4D21098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710CC8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68570D51">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rPr>
        <w:t>开标一览表（报价表）内容与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中相应内容不一致的，以开标一览表（报价表）为准；</w:t>
      </w:r>
    </w:p>
    <w:p w14:paraId="1ADAAFA0">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6C7DF07D">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14:paraId="1F9FF374">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7C4CB3D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59EED92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7D0E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52F59A1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35C9684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1249BC3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0779D1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5FFCB89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3095CDC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41FCC42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769460D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1E471BD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247E7DF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6DD6D00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6873DFD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2D6BBCC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028A03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87F8DD5">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6EB3F1E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520E1417">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6E5F537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5056B6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09540E23">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7943C61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2B7774B7">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0F52AFC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6FF5DF3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7CFE49D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17ABD18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37B0689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7821AE00">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106BCFA2">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2C46633B">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0B80D9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53547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669DACB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3822DA9A">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5D87B3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17BB06DE">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69E09493">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4E6DB8B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16BFE14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5CA390FB">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5"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5"/>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A61DC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7AF870CF">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2278CA8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10A72DB">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及中标公告</w:t>
      </w:r>
    </w:p>
    <w:p w14:paraId="08AED6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40C07A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的，视为中标后自动放弃中标资格；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在有效报价中报价最低,非不可抗力放弃中标资格的。发生上述情况的承担由此引起的一切后果。</w:t>
      </w:r>
    </w:p>
    <w:p w14:paraId="5DBDF9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发出后，采购人改变中标结果，或者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放弃中标，应按相关法律、规章、规范性文件的要求承担相应的法律责任。</w:t>
      </w:r>
    </w:p>
    <w:p w14:paraId="0CDA854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13955CA9">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48D3DF2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7D00E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1CD420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505C44E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7BC6B729">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E364545">
      <w:pPr>
        <w:keepNext w:val="0"/>
        <w:keepLines w:val="0"/>
        <w:pageBreakBefore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2682B28F">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40C8FBD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2A4EC1">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01282E1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6"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58608B8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5C559A6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6"/>
    <w:p w14:paraId="5EC13C81">
      <w:pPr>
        <w:rPr>
          <w:rFonts w:hint="eastAsia" w:ascii="宋体" w:hAnsi="宋体" w:eastAsia="宋体" w:cs="宋体"/>
          <w:color w:val="auto"/>
          <w:highlight w:val="none"/>
        </w:rPr>
      </w:pPr>
      <w:bookmarkStart w:id="47" w:name="_Toc4700"/>
      <w:bookmarkStart w:id="48" w:name="_Toc16669"/>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7"/>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74FF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7016CBB7">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4022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4C432E0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w:t>
            </w:r>
            <w:r>
              <w:rPr>
                <w:rFonts w:hint="eastAsia" w:ascii="宋体" w:hAnsi="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 xml:space="preserve"> (</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464999ED">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hAnsi="宋体" w:cs="宋体"/>
                <w:b w:val="0"/>
                <w:bCs w:val="0"/>
                <w:color w:val="auto"/>
                <w:sz w:val="21"/>
                <w:szCs w:val="21"/>
                <w:highlight w:val="none"/>
                <w:u w:val="none"/>
                <w:lang w:val="en-US" w:eastAsia="zh-CN"/>
              </w:rPr>
              <w:t>供应商</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760C4C85">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28DF4937">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17D779AB">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14:paraId="750D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1239" w:type="dxa"/>
            <w:vMerge w:val="restart"/>
            <w:noWrap w:val="0"/>
            <w:vAlign w:val="center"/>
          </w:tcPr>
          <w:p w14:paraId="02029ED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w:t>
            </w:r>
            <w:r>
              <w:rPr>
                <w:rFonts w:hint="eastAsia" w:ascii="宋体" w:hAnsi="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69</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512FE3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4E662DC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三、技术要求”响应，全部满足磋商文件要求得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分，一项不满足扣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扣完为止；如得分为0，则磋商无效。</w:t>
            </w:r>
          </w:p>
          <w:p w14:paraId="0FE0C4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177F727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2）提供相关证明文件，并对响应技术参数部分做出明显标注。</w:t>
            </w:r>
          </w:p>
        </w:tc>
      </w:tr>
      <w:tr w14:paraId="51DD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239" w:type="dxa"/>
            <w:vMerge w:val="continue"/>
            <w:noWrap w:val="0"/>
            <w:vAlign w:val="center"/>
          </w:tcPr>
          <w:p w14:paraId="5BF828C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56BA51FB">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2.年度服务计划（</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2972CC49">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根据</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000000" w:themeColor="text1"/>
                <w:highlight w:val="none"/>
                <w:lang w:val="en-US" w:eastAsia="zh-CN"/>
                <w14:textFill>
                  <w14:solidFill>
                    <w14:schemeClr w14:val="tx1"/>
                  </w14:solidFill>
                </w14:textFill>
              </w:rPr>
              <w:t>制定的年度服务</w:t>
            </w:r>
            <w:r>
              <w:rPr>
                <w:rFonts w:hint="eastAsia" w:ascii="宋体" w:hAnsi="宋体" w:cs="宋体"/>
                <w:color w:val="000000" w:themeColor="text1"/>
                <w:highlight w:val="none"/>
                <w:lang w:val="en-US" w:eastAsia="zh-CN"/>
                <w14:textFill>
                  <w14:solidFill>
                    <w14:schemeClr w14:val="tx1"/>
                  </w14:solidFill>
                </w14:textFill>
              </w:rPr>
              <w:t>计划、日常</w:t>
            </w:r>
            <w:r>
              <w:rPr>
                <w:rFonts w:hint="eastAsia" w:ascii="宋体" w:hAnsi="宋体" w:eastAsia="宋体" w:cs="宋体"/>
                <w:color w:val="000000" w:themeColor="text1"/>
                <w:highlight w:val="none"/>
                <w:lang w:val="en-US" w:eastAsia="zh-CN"/>
                <w14:textFill>
                  <w14:solidFill>
                    <w14:schemeClr w14:val="tx1"/>
                  </w14:solidFill>
                </w14:textFill>
              </w:rPr>
              <w:t>巡检</w:t>
            </w:r>
            <w:r>
              <w:rPr>
                <w:rFonts w:hint="eastAsia" w:ascii="宋体" w:hAnsi="宋体" w:cs="宋体"/>
                <w:color w:val="000000" w:themeColor="text1"/>
                <w:highlight w:val="none"/>
                <w:lang w:val="en-US" w:eastAsia="zh-CN"/>
                <w14:textFill>
                  <w14:solidFill>
                    <w14:schemeClr w14:val="tx1"/>
                  </w14:solidFill>
                </w14:textFill>
              </w:rPr>
              <w:t>计划和内容、维保质量保障措施、</w:t>
            </w:r>
            <w:r>
              <w:rPr>
                <w:rFonts w:hint="eastAsia" w:ascii="宋体" w:hAnsi="宋体" w:eastAsia="宋体" w:cs="宋体"/>
                <w:color w:val="000000" w:themeColor="text1"/>
                <w:highlight w:val="none"/>
                <w:lang w:val="en-US" w:eastAsia="zh-CN"/>
                <w14:textFill>
                  <w14:solidFill>
                    <w14:schemeClr w14:val="tx1"/>
                  </w14:solidFill>
                </w14:textFill>
              </w:rPr>
              <w:t>维修报告</w:t>
            </w:r>
            <w:r>
              <w:rPr>
                <w:rFonts w:hint="eastAsia" w:ascii="宋体" w:hAnsi="宋体" w:cs="宋体"/>
                <w:color w:val="000000" w:themeColor="text1"/>
                <w:highlight w:val="none"/>
                <w:lang w:val="en-US" w:eastAsia="zh-CN"/>
                <w14:textFill>
                  <w14:solidFill>
                    <w14:schemeClr w14:val="tx1"/>
                  </w14:solidFill>
                </w14:textFill>
              </w:rPr>
              <w:t>、现场维修响应时间等进行</w:t>
            </w:r>
            <w:r>
              <w:rPr>
                <w:rFonts w:hint="eastAsia" w:ascii="宋体" w:hAnsi="宋体" w:eastAsia="宋体" w:cs="宋体"/>
                <w:color w:val="000000" w:themeColor="text1"/>
                <w:highlight w:val="none"/>
                <w:lang w:val="en-US" w:eastAsia="zh-CN"/>
                <w14:textFill>
                  <w14:solidFill>
                    <w14:schemeClr w14:val="tx1"/>
                  </w14:solidFill>
                </w14:textFill>
              </w:rPr>
              <w:t>评分</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服务</w:t>
            </w:r>
            <w:r>
              <w:rPr>
                <w:rFonts w:hint="eastAsia" w:ascii="宋体" w:hAnsi="宋体" w:cs="宋体"/>
                <w:color w:val="000000" w:themeColor="text1"/>
                <w:highlight w:val="none"/>
                <w:lang w:val="en-US" w:eastAsia="zh-CN"/>
                <w14:textFill>
                  <w14:solidFill>
                    <w14:schemeClr w14:val="tx1"/>
                  </w14:solidFill>
                </w14:textFill>
              </w:rPr>
              <w:t>计划</w:t>
            </w:r>
            <w:r>
              <w:rPr>
                <w:rFonts w:hint="eastAsia" w:ascii="宋体" w:hAnsi="宋体" w:eastAsia="宋体" w:cs="宋体"/>
                <w:color w:val="000000" w:themeColor="text1"/>
                <w:highlight w:val="none"/>
                <w:lang w:val="en-US" w:eastAsia="zh-CN"/>
                <w14:textFill>
                  <w14:solidFill>
                    <w14:schemeClr w14:val="tx1"/>
                  </w14:solidFill>
                </w14:textFill>
              </w:rPr>
              <w:t>完全满足采购需求的得</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lang w:val="en-US" w:eastAsia="zh-CN"/>
                <w14:textFill>
                  <w14:solidFill>
                    <w14:schemeClr w14:val="tx1"/>
                  </w14:solidFill>
                </w14:textFill>
              </w:rPr>
              <w:t>分；服务</w:t>
            </w:r>
            <w:r>
              <w:rPr>
                <w:rFonts w:hint="eastAsia" w:ascii="宋体" w:hAnsi="宋体" w:cs="宋体"/>
                <w:color w:val="000000" w:themeColor="text1"/>
                <w:highlight w:val="none"/>
                <w:lang w:val="en-US" w:eastAsia="zh-CN"/>
                <w14:textFill>
                  <w14:solidFill>
                    <w14:schemeClr w14:val="tx1"/>
                  </w14:solidFill>
                </w14:textFill>
              </w:rPr>
              <w:t>计划</w:t>
            </w:r>
            <w:r>
              <w:rPr>
                <w:rFonts w:hint="eastAsia" w:ascii="宋体" w:hAnsi="宋体" w:eastAsia="宋体" w:cs="宋体"/>
                <w:color w:val="000000" w:themeColor="text1"/>
                <w:highlight w:val="none"/>
                <w:lang w:val="en-US" w:eastAsia="zh-CN"/>
                <w14:textFill>
                  <w14:solidFill>
                    <w14:schemeClr w14:val="tx1"/>
                  </w14:solidFill>
                </w14:textFill>
              </w:rPr>
              <w:t>基本完整的</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分；服务</w:t>
            </w:r>
            <w:r>
              <w:rPr>
                <w:rFonts w:hint="eastAsia" w:ascii="宋体" w:hAnsi="宋体" w:cs="宋体"/>
                <w:color w:val="000000" w:themeColor="text1"/>
                <w:highlight w:val="none"/>
                <w:lang w:val="en-US" w:eastAsia="zh-CN"/>
                <w14:textFill>
                  <w14:solidFill>
                    <w14:schemeClr w14:val="tx1"/>
                  </w14:solidFill>
                </w14:textFill>
              </w:rPr>
              <w:t>计划</w:t>
            </w:r>
            <w:r>
              <w:rPr>
                <w:rFonts w:hint="eastAsia" w:ascii="宋体" w:hAnsi="宋体" w:eastAsia="宋体" w:cs="宋体"/>
                <w:color w:val="000000" w:themeColor="text1"/>
                <w:highlight w:val="none"/>
                <w:lang w:val="en-US" w:eastAsia="zh-CN"/>
                <w14:textFill>
                  <w14:solidFill>
                    <w14:schemeClr w14:val="tx1"/>
                  </w14:solidFill>
                </w14:textFill>
              </w:rPr>
              <w:t>完整程度一般的得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分。未提供者不得分。</w:t>
            </w:r>
          </w:p>
        </w:tc>
      </w:tr>
      <w:tr w14:paraId="668E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239" w:type="dxa"/>
            <w:vMerge w:val="continue"/>
            <w:noWrap w:val="0"/>
            <w:vAlign w:val="center"/>
          </w:tcPr>
          <w:p w14:paraId="4228F0D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5B6A636">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.服务团队</w:t>
            </w:r>
          </w:p>
          <w:p w14:paraId="3FCECC39">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4C281D69">
            <w:pPr>
              <w:keepNext w:val="0"/>
              <w:keepLines w:val="0"/>
              <w:pageBreakBefore w:val="0"/>
              <w:widowControl/>
              <w:kinsoku/>
              <w:wordWrap/>
              <w:overflowPunct/>
              <w:topLinePunct w:val="0"/>
              <w:autoSpaceDE/>
              <w:autoSpaceDN/>
              <w:bidi w:val="0"/>
              <w:adjustRightInd/>
              <w:snapToGrid w:val="0"/>
              <w:spacing w:line="320" w:lineRule="exact"/>
              <w:jc w:val="both"/>
              <w:rPr>
                <w:rFonts w:hint="default"/>
                <w:highlight w:val="none"/>
                <w:lang w:val="en-US"/>
              </w:rPr>
            </w:pPr>
            <w:r>
              <w:rPr>
                <w:rFonts w:hint="eastAsia" w:ascii="宋体" w:hAnsi="宋体" w:eastAsia="宋体" w:cs="宋体"/>
                <w:color w:val="000000" w:themeColor="text1"/>
                <w:sz w:val="21"/>
                <w:szCs w:val="21"/>
                <w:highlight w:val="none"/>
                <w14:textFill>
                  <w14:solidFill>
                    <w14:schemeClr w14:val="tx1"/>
                  </w14:solidFill>
                </w14:textFill>
              </w:rPr>
              <w:t>根</w:t>
            </w:r>
            <w:r>
              <w:rPr>
                <w:rFonts w:hint="eastAsia" w:ascii="宋体" w:hAnsi="宋体" w:eastAsia="宋体" w:cs="宋体"/>
                <w:color w:val="000000" w:themeColor="text1"/>
                <w:highlight w:val="none"/>
                <w:lang w:val="en-US" w:eastAsia="zh-CN"/>
                <w14:textFill>
                  <w14:solidFill>
                    <w14:schemeClr w14:val="tx1"/>
                  </w14:solidFill>
                </w14:textFill>
              </w:rPr>
              <w:t>据供应商针对本项目提供的项目人员配备方案进行评分，人员配备安排合理、专业技术能力强、设备维护经验丰富且持证上岗，能完全满足采购需求的得</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lang w:val="en-US" w:eastAsia="zh-CN"/>
                <w14:textFill>
                  <w14:solidFill>
                    <w14:schemeClr w14:val="tx1"/>
                  </w14:solidFill>
                </w14:textFill>
              </w:rPr>
              <w:t>分；团队配备基本满足的得</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分；团队配备不能满足的得1分。缺项得0分。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0D59FB66">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.备品备件</w:t>
            </w:r>
          </w:p>
          <w:p w14:paraId="311C0657">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1BA4D03F">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针对本项目</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提供的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备件库</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距离</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、备件种类及数量情况</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、备件质量保证措施</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进行评分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备件库备件种类、数量及方便性完全满足采购人需求的，得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分；备件库备件种类、数量及方便性基本满足采购人需求的，得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分。备件库备件种类、数量及方便性能不满足采购人需求的，得1分；（需提供备件库租赁或买卖合同，详细备件报价清单</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等资料</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40EFBFC7">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.设备维保应急响应方案（</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0FE4919F">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highlight w:val="none"/>
                <w:lang w:val="en-US" w:eastAsia="zh-CN"/>
                <w14:textFill>
                  <w14:solidFill>
                    <w14:schemeClr w14:val="tx1"/>
                  </w14:solidFill>
                </w14:textFill>
              </w:rPr>
              <w:t>根据供应商提供的</w:t>
            </w:r>
            <w:r>
              <w:rPr>
                <w:rFonts w:hint="eastAsia" w:ascii="宋体" w:hAnsi="宋体" w:eastAsia="宋体" w:cs="宋体"/>
                <w:color w:val="000000" w:themeColor="text1"/>
                <w:highlight w:val="none"/>
                <w:lang w:val="en-US" w:eastAsia="zh-CN"/>
                <w14:textFill>
                  <w14:solidFill>
                    <w14:schemeClr w14:val="tx1"/>
                  </w14:solidFill>
                </w14:textFill>
              </w:rPr>
              <w:t>应急响应方案（包括但不限于故障、停机等相关措施）进行评分。应急响应方案全面详尽，应急处理流程、处置方法科学合理、可行的得5分；应急响应方案较为详尽，应急处理流程、处置方法基本合理的得3分；应急处理流程、处置方法不合理的得1分。未提供者不得分。</w:t>
            </w:r>
          </w:p>
        </w:tc>
      </w:tr>
      <w:tr w14:paraId="742A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7ADCB8D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w:t>
            </w:r>
            <w:r>
              <w:rPr>
                <w:rFonts w:hint="eastAsia" w:ascii="宋体" w:hAnsi="宋体" w:cs="宋体"/>
                <w:b w:val="0"/>
                <w:bCs w:val="0"/>
                <w:color w:val="auto"/>
                <w:sz w:val="21"/>
                <w:szCs w:val="21"/>
                <w:highlight w:val="none"/>
                <w:lang w:val="en-US" w:eastAsia="zh-CN"/>
              </w:rPr>
              <w:t>分</w:t>
            </w:r>
          </w:p>
          <w:p w14:paraId="6FA948A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16</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F950F21">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.类似业绩（</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2BD5CD8B">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highlight w:val="none"/>
                <w:lang w:val="en-US" w:eastAsia="zh-CN"/>
                <w14:textFill>
                  <w14:solidFill>
                    <w14:schemeClr w14:val="tx1"/>
                  </w14:solidFill>
                </w14:textFill>
              </w:rPr>
              <w:t>供应商2022年01月01日具有的类似服务业绩(以合同文件为准），每提供一份得2分，最多得</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分。</w:t>
            </w:r>
          </w:p>
        </w:tc>
      </w:tr>
      <w:tr w14:paraId="3CAF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480CCC2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14B2692F">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2.售后服务</w:t>
            </w:r>
          </w:p>
          <w:p w14:paraId="37C1E208">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657FE80F">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highlight w:val="none"/>
                <w:lang w:val="en-US" w:eastAsia="zh-CN"/>
                <w14:textFill>
                  <w14:solidFill>
                    <w14:schemeClr w14:val="tx1"/>
                  </w14:solidFill>
                </w14:textFill>
              </w:rPr>
              <w:t>根据</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服务网点地址、</w:t>
            </w:r>
            <w:r>
              <w:rPr>
                <w:rFonts w:hint="eastAsia" w:ascii="宋体" w:hAnsi="宋体" w:cs="宋体"/>
                <w:color w:val="000000" w:themeColor="text1"/>
                <w:highlight w:val="none"/>
                <w:lang w:val="en-US" w:eastAsia="zh-CN"/>
                <w14:textFill>
                  <w14:solidFill>
                    <w14:schemeClr w14:val="tx1"/>
                  </w14:solidFill>
                </w14:textFill>
              </w:rPr>
              <w:t>售后服务流程</w:t>
            </w:r>
            <w:r>
              <w:rPr>
                <w:rFonts w:hint="eastAsia" w:ascii="宋体" w:hAnsi="宋体" w:eastAsia="宋体" w:cs="宋体"/>
                <w:color w:val="000000" w:themeColor="text1"/>
                <w:highlight w:val="none"/>
                <w14:textFill>
                  <w14:solidFill>
                    <w14:schemeClr w14:val="tx1"/>
                  </w14:solidFill>
                </w14:textFill>
              </w:rPr>
              <w:t>、服务及时率、</w:t>
            </w:r>
            <w:r>
              <w:rPr>
                <w:rFonts w:hint="eastAsia" w:ascii="宋体" w:hAnsi="宋体" w:cs="宋体"/>
                <w:color w:val="000000" w:themeColor="text1"/>
                <w:highlight w:val="none"/>
                <w:lang w:val="en-US" w:eastAsia="zh-CN"/>
                <w14:textFill>
                  <w14:solidFill>
                    <w14:schemeClr w14:val="tx1"/>
                  </w14:solidFill>
                </w14:textFill>
              </w:rPr>
              <w:t>投诉反馈与处理</w:t>
            </w:r>
            <w:r>
              <w:rPr>
                <w:rFonts w:hint="eastAsia" w:ascii="宋体" w:hAnsi="宋体" w:eastAsia="宋体" w:cs="宋体"/>
                <w:color w:val="000000" w:themeColor="text1"/>
                <w:highlight w:val="none"/>
                <w14:textFill>
                  <w14:solidFill>
                    <w14:schemeClr w14:val="tx1"/>
                  </w14:solidFill>
                </w14:textFill>
              </w:rPr>
              <w:t>等</w:t>
            </w:r>
            <w:r>
              <w:rPr>
                <w:rFonts w:hint="eastAsia" w:ascii="宋体" w:hAnsi="宋体" w:cs="宋体"/>
                <w:color w:val="000000" w:themeColor="text1"/>
                <w:highlight w:val="none"/>
                <w:lang w:val="en-US" w:eastAsia="zh-CN"/>
                <w14:textFill>
                  <w14:solidFill>
                    <w14:schemeClr w14:val="tx1"/>
                  </w14:solidFill>
                </w14:textFill>
              </w:rPr>
              <w:t>进行</w:t>
            </w:r>
            <w:r>
              <w:rPr>
                <w:rFonts w:hint="eastAsia" w:ascii="宋体" w:hAnsi="宋体" w:eastAsia="宋体" w:cs="宋体"/>
                <w:color w:val="000000" w:themeColor="text1"/>
                <w:highlight w:val="none"/>
                <w:lang w:val="en-US" w:eastAsia="zh-CN"/>
                <w14:textFill>
                  <w14:solidFill>
                    <w14:schemeClr w14:val="tx1"/>
                  </w14:solidFill>
                </w14:textFill>
              </w:rPr>
              <w:t>评分</w:t>
            </w:r>
            <w:r>
              <w:rPr>
                <w:rFonts w:hint="eastAsia" w:ascii="宋体" w:hAnsi="宋体" w:eastAsia="宋体" w:cs="宋体"/>
                <w:color w:val="000000" w:themeColor="text1"/>
                <w:highlight w:val="none"/>
                <w14:textFill>
                  <w14:solidFill>
                    <w14:schemeClr w14:val="tx1"/>
                  </w14:solidFill>
                </w14:textFill>
              </w:rPr>
              <w:t>；以上内容具体、完善、合理性程度强得</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具体、完善、合理性程度</w:t>
            </w:r>
            <w:r>
              <w:rPr>
                <w:rFonts w:hint="eastAsia" w:ascii="宋体" w:hAnsi="宋体" w:eastAsia="宋体" w:cs="宋体"/>
                <w:color w:val="000000" w:themeColor="text1"/>
                <w:highlight w:val="none"/>
                <w:lang w:val="en-US" w:eastAsia="zh-CN"/>
                <w14:textFill>
                  <w14:solidFill>
                    <w14:schemeClr w14:val="tx1"/>
                  </w14:solidFill>
                </w14:textFill>
              </w:rPr>
              <w:t>较强</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具体、完善、合理性程度</w:t>
            </w:r>
            <w:r>
              <w:rPr>
                <w:rFonts w:hint="eastAsia" w:ascii="宋体" w:hAnsi="宋体" w:eastAsia="宋体" w:cs="宋体"/>
                <w:color w:val="000000" w:themeColor="text1"/>
                <w:highlight w:val="none"/>
                <w:lang w:val="en-US" w:eastAsia="zh-CN"/>
                <w14:textFill>
                  <w14:solidFill>
                    <w14:schemeClr w14:val="tx1"/>
                  </w14:solidFill>
                </w14:textFill>
              </w:rPr>
              <w:t>一般</w:t>
            </w:r>
            <w:r>
              <w:rPr>
                <w:rFonts w:hint="eastAsia" w:ascii="宋体" w:hAnsi="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缺项得0分。</w:t>
            </w:r>
          </w:p>
        </w:tc>
      </w:tr>
      <w:tr w14:paraId="168C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3261EB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9934140">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3.培训方案</w:t>
            </w:r>
          </w:p>
          <w:p w14:paraId="0F9E060C">
            <w:pPr>
              <w:keepNext w:val="0"/>
              <w:keepLines w:val="0"/>
              <w:pageBreakBefore w:val="0"/>
              <w:widowControl/>
              <w:kinsoku/>
              <w:wordWrap/>
              <w:overflowPunct/>
              <w:topLinePunct w:val="0"/>
              <w:autoSpaceDE/>
              <w:autoSpaceDN/>
              <w:bidi w:val="0"/>
              <w:adjustRightInd/>
              <w:snapToGrid w:val="0"/>
              <w:spacing w:line="320" w:lineRule="exact"/>
              <w:jc w:val="center"/>
              <w:rPr>
                <w:rFonts w:hint="default" w:ascii="宋体" w:hAnsi="宋体" w:eastAsia="宋体" w:cs="宋体"/>
                <w:b w:val="0"/>
                <w:bCs w:val="0"/>
                <w:color w:val="auto"/>
                <w:kern w:val="2"/>
                <w:sz w:val="21"/>
                <w:szCs w:val="21"/>
                <w:highlight w:val="none"/>
                <w:lang w:val="en-US" w:eastAsia="zh-CN"/>
              </w:rPr>
            </w:pPr>
            <w:r>
              <w:rPr>
                <w:rFonts w:hint="eastAsia" w:ascii="宋体" w:hAnsi="宋体" w:eastAsia="宋体" w:cs="宋体"/>
                <w:color w:val="000000" w:themeColor="text1"/>
                <w:highlight w:val="none"/>
                <w:lang w:val="en-US" w:eastAsia="zh-CN"/>
                <w14:textFill>
                  <w14:solidFill>
                    <w14:schemeClr w14:val="tx1"/>
                  </w14:solidFill>
                </w14:textFill>
              </w:rPr>
              <w:t>（4分）</w:t>
            </w:r>
          </w:p>
        </w:tc>
        <w:tc>
          <w:tcPr>
            <w:tcW w:w="6770" w:type="dxa"/>
            <w:noWrap w:val="0"/>
            <w:vAlign w:val="center"/>
          </w:tcPr>
          <w:p w14:paraId="185F1A41">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针对本项目</w:t>
            </w:r>
            <w:r>
              <w:rPr>
                <w:rFonts w:hint="eastAsia" w:ascii="宋体" w:hAnsi="宋体" w:eastAsia="宋体" w:cs="宋体"/>
                <w:color w:val="000000" w:themeColor="text1"/>
                <w:highlight w:val="none"/>
                <w:lang w:eastAsia="zh-CN"/>
                <w14:textFill>
                  <w14:solidFill>
                    <w14:schemeClr w14:val="tx1"/>
                  </w14:solidFill>
                </w14:textFill>
              </w:rPr>
              <w:t>提供</w:t>
            </w:r>
            <w:r>
              <w:rPr>
                <w:rFonts w:hint="eastAsia" w:ascii="宋体" w:hAnsi="宋体" w:eastAsia="宋体" w:cs="宋体"/>
                <w:color w:val="000000" w:themeColor="text1"/>
                <w:highlight w:val="none"/>
                <w14:textFill>
                  <w14:solidFill>
                    <w14:schemeClr w14:val="tx1"/>
                  </w14:solidFill>
                </w14:textFill>
              </w:rPr>
              <w:t>的</w:t>
            </w:r>
            <w:r>
              <w:rPr>
                <w:rFonts w:hint="eastAsia" w:ascii="宋体" w:hAnsi="宋体" w:eastAsia="宋体" w:cs="宋体"/>
                <w:color w:val="000000" w:themeColor="text1"/>
                <w:highlight w:val="none"/>
                <w:lang w:val="en-US" w:eastAsia="zh-CN"/>
                <w14:textFill>
                  <w14:solidFill>
                    <w14:schemeClr w14:val="tx1"/>
                  </w14:solidFill>
                </w14:textFill>
              </w:rPr>
              <w:t>培训方案进行评分，方案中包括但不限于：</w:t>
            </w:r>
            <w:r>
              <w:rPr>
                <w:rFonts w:hint="eastAsia" w:ascii="宋体" w:hAnsi="宋体" w:eastAsia="宋体" w:cs="宋体"/>
                <w:color w:val="000000" w:themeColor="text1"/>
                <w:highlight w:val="none"/>
                <w14:textFill>
                  <w14:solidFill>
                    <w14:schemeClr w14:val="tx1"/>
                  </w14:solidFill>
                </w14:textFill>
              </w:rPr>
              <w:t>培训内容、培训人员</w:t>
            </w:r>
            <w:r>
              <w:rPr>
                <w:rFonts w:hint="eastAsia" w:ascii="宋体" w:hAnsi="宋体" w:eastAsia="宋体" w:cs="宋体"/>
                <w:color w:val="000000" w:themeColor="text1"/>
                <w:highlight w:val="none"/>
                <w:lang w:eastAsia="zh-CN"/>
                <w14:textFill>
                  <w14:solidFill>
                    <w14:schemeClr w14:val="tx1"/>
                  </w14:solidFill>
                </w14:textFill>
              </w:rPr>
              <w:t>安排</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培训计划</w:t>
            </w:r>
            <w:r>
              <w:rPr>
                <w:rFonts w:hint="eastAsia" w:ascii="宋体" w:hAnsi="宋体" w:eastAsia="宋体" w:cs="宋体"/>
                <w:color w:val="000000" w:themeColor="text1"/>
                <w:highlight w:val="none"/>
                <w:lang w:eastAsia="zh-CN"/>
                <w14:textFill>
                  <w14:solidFill>
                    <w14:schemeClr w14:val="tx1"/>
                  </w14:solidFill>
                </w14:textFill>
              </w:rPr>
              <w:t>；</w:t>
            </w:r>
          </w:p>
          <w:p w14:paraId="330FC742">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000000" w:themeColor="text1"/>
                <w:highlight w:val="none"/>
                <w:lang w:val="en-US" w:eastAsia="zh-CN"/>
                <w14:textFill>
                  <w14:solidFill>
                    <w14:schemeClr w14:val="tx1"/>
                  </w14:solidFill>
                </w14:textFill>
              </w:rPr>
              <w:t>培训方案具有针对性、完全满足需求的得4分；培训方案基本满足采购需求的得2分，培训方案一般的得1分。缺项得0分。</w:t>
            </w:r>
          </w:p>
        </w:tc>
      </w:tr>
      <w:tr w14:paraId="49A3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239" w:type="dxa"/>
            <w:vMerge w:val="continue"/>
            <w:noWrap w:val="0"/>
            <w:vAlign w:val="center"/>
          </w:tcPr>
          <w:p w14:paraId="27101F5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2EB5F76">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4.其他优惠承诺</w:t>
            </w:r>
          </w:p>
          <w:p w14:paraId="1A36CAEB">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61F21254">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根据供应商在满足采购文件要求的基础上另外提出的优惠承诺进行评比：每提供一项对采购人有利的、切实可行的实质性优惠承诺得</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分，最多得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分。未提供者不得分。</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tc>
      </w:tr>
      <w:tr w14:paraId="2580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4CE79A2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C13C0B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1B5C1D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5C581D0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8"/>
    <w:p w14:paraId="2CCD7513">
      <w:pPr>
        <w:rPr>
          <w:rFonts w:hint="eastAsia" w:ascii="宋体" w:hAnsi="宋体" w:eastAsia="宋体" w:cs="宋体"/>
          <w:color w:val="auto"/>
          <w:highlight w:val="none"/>
        </w:rPr>
      </w:pPr>
      <w:bookmarkStart w:id="50" w:name="_Toc1482"/>
      <w:bookmarkStart w:id="51" w:name="_Toc1947"/>
      <w:bookmarkStart w:id="52" w:name="_Toc256519703"/>
      <w:bookmarkStart w:id="53"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附件2 投标书（格式）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开标一览表（格式）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5"/>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5D8F552F">
      <w:pPr>
        <w:rPr>
          <w:rFonts w:hint="eastAsia" w:ascii="宋体" w:hAnsi="宋体" w:eastAsia="宋体" w:cs="宋体"/>
          <w:color w:val="auto"/>
          <w:highlight w:val="none"/>
        </w:rPr>
      </w:pPr>
    </w:p>
    <w:p w14:paraId="4F2DC55F">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投  标  书（格式）</w:t>
      </w:r>
      <w:bookmarkEnd w:id="69"/>
      <w:bookmarkEnd w:id="70"/>
    </w:p>
    <w:p w14:paraId="67AC1E72">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3EE7C5AA">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49F687D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14:paraId="00DA494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08E646E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B1B8706">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0E978E9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3FBE835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为便于贵方公正、择优地确定中标供应商及其投标产品和服务，我方就本次投标有关事项郑重声明并宣布同意如下：</w:t>
      </w:r>
    </w:p>
    <w:p w14:paraId="40C927B3">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60B57D12">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367A57E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585D308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215B5A7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37666F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5DDB71B9">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260130A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0986EED1">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40611F1D">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75E164B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32832C1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后自动放弃中标资格，承担由此引起的一切后果。</w:t>
      </w:r>
    </w:p>
    <w:p w14:paraId="3E427AB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9CD535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6E9B792B">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4F5F1F6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096D1A4D">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2CE1D3D1">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0CA59689">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60B92D58">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7EA0920E">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6A3FA220">
      <w:pPr>
        <w:widowControl/>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6540FD87">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3EEA7A31">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开标一览表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u w:val="single"/>
                <w:lang w:val="en-US" w:eastAsia="zh-CN"/>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u w:val="single"/>
                <w:lang w:val="en-US" w:eastAsia="zh-CN"/>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4A94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26D305D">
            <w:pPr>
              <w:widowControl/>
              <w:snapToGrid w:val="0"/>
              <w:spacing w:before="50" w:after="50"/>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服务</w:t>
            </w:r>
            <w:r>
              <w:rPr>
                <w:rFonts w:hint="eastAsia" w:ascii="宋体" w:hAnsi="宋体" w:eastAsia="宋体" w:cs="宋体"/>
                <w:color w:val="auto"/>
                <w:szCs w:val="21"/>
                <w:highlight w:val="none"/>
              </w:rPr>
              <w:t>地点</w:t>
            </w:r>
          </w:p>
        </w:tc>
        <w:tc>
          <w:tcPr>
            <w:tcW w:w="7708" w:type="dxa"/>
            <w:noWrap/>
            <w:vAlign w:val="bottom"/>
          </w:tcPr>
          <w:p w14:paraId="47FD65BE">
            <w:pPr>
              <w:spacing w:line="360" w:lineRule="auto"/>
              <w:ind w:firstLine="1155" w:firstLineChars="550"/>
              <w:rPr>
                <w:rFonts w:hint="eastAsia" w:ascii="宋体" w:hAnsi="宋体" w:eastAsia="宋体" w:cs="宋体"/>
                <w:color w:val="auto"/>
                <w:szCs w:val="21"/>
                <w:highlight w:val="none"/>
              </w:rPr>
            </w:pPr>
          </w:p>
        </w:tc>
      </w:tr>
      <w:tr w14:paraId="4EA9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3EB6551">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服务期限</w:t>
            </w:r>
          </w:p>
        </w:tc>
        <w:tc>
          <w:tcPr>
            <w:tcW w:w="7708" w:type="dxa"/>
            <w:noWrap/>
            <w:vAlign w:val="bottom"/>
          </w:tcPr>
          <w:p w14:paraId="073B5590">
            <w:pPr>
              <w:spacing w:line="360" w:lineRule="auto"/>
              <w:ind w:firstLine="1155" w:firstLineChars="550"/>
              <w:rPr>
                <w:rFonts w:hint="eastAsia" w:ascii="宋体" w:hAnsi="宋体" w:eastAsia="宋体" w:cs="宋体"/>
                <w:color w:val="auto"/>
                <w:szCs w:val="21"/>
                <w:highlight w:val="none"/>
                <w:u w:val="single"/>
              </w:rPr>
            </w:pPr>
          </w:p>
        </w:tc>
      </w:tr>
      <w:tr w14:paraId="1D87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F4DE8E1">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质量标准</w:t>
            </w:r>
          </w:p>
        </w:tc>
        <w:tc>
          <w:tcPr>
            <w:tcW w:w="7708" w:type="dxa"/>
            <w:noWrap/>
            <w:vAlign w:val="bottom"/>
          </w:tcPr>
          <w:p w14:paraId="4A1BCE5B">
            <w:pPr>
              <w:spacing w:line="360" w:lineRule="auto"/>
              <w:ind w:firstLine="1155" w:firstLineChars="550"/>
              <w:rPr>
                <w:rFonts w:hint="eastAsia" w:ascii="宋体" w:hAnsi="宋体" w:eastAsia="宋体" w:cs="宋体"/>
                <w:color w:val="auto"/>
                <w:szCs w:val="21"/>
                <w:highlight w:val="none"/>
                <w:u w:val="single"/>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0"/>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响应文件递交截止期结束后90日。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0"/>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63565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12222"/>
      <w:bookmarkStart w:id="75"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2004"/>
      <w:bookmarkStart w:id="79"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79C39A44">
      <w:pPr>
        <w:jc w:val="right"/>
        <w:rPr>
          <w:rFonts w:hint="eastAsia"/>
          <w:lang w:val="en-US" w:eastAsia="zh-CN"/>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3"/>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14:paraId="1CC2E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042F9A88">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14:paraId="0429A38F">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14:paraId="55B67F5E">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14:paraId="4A785C56">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14:paraId="452C0561">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14:paraId="0D592C49">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14:paraId="705B4AE3">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备注</w:t>
            </w:r>
          </w:p>
        </w:tc>
      </w:tr>
      <w:tr w14:paraId="6E6C80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49ACE487">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1B35349A">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381A2973">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73F55D03">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1B135B37">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03DA12B1">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2B594DA6">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1169A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BF50610">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4A80A9CC">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7D35C230">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7803F811">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12300C7D">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57D53AA2">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30379DA0">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04F2B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500FC976">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08EEEC49">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6A44CD47">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1C94FD04">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506E081A">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32EF9196">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7C4218BA">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146FA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324B7CB6">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6F77A51A">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ACA3E83">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364566E4">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594EA3B7">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7A3A17CE">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156268FB">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62247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F1314DC">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059CBB4B">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3A9CB1F4">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2016A458">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2CAA5B6E">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3DF68A5E">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30A3B6EB">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77844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6A23FE36">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2B847A9E">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r>
              <w:rPr>
                <w:rFonts w:hint="eastAsia" w:ascii="宋体" w:hAnsi="宋体" w:eastAsia="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14:paraId="55595C9A">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5AF76443">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35D3F7BC">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67D0BDF4">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543395D1">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78F69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14:paraId="76BA9DC0">
            <w:pPr>
              <w:widowControl/>
              <w:tabs>
                <w:tab w:val="left" w:pos="1418"/>
              </w:tabs>
              <w:snapToGrid w:val="0"/>
              <w:spacing w:before="50" w:after="50" w:line="360" w:lineRule="exact"/>
              <w:jc w:val="left"/>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4"/>
                <w:highlight w:val="none"/>
                <w14:textFill>
                  <w14:solidFill>
                    <w14:schemeClr w14:val="tx1"/>
                  </w14:solidFill>
                </w14:textFill>
              </w:rPr>
              <w:t>投标</w:t>
            </w: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eastAsia="宋体" w:cs="宋体"/>
                <w:color w:val="000000" w:themeColor="text1"/>
                <w:spacing w:val="20"/>
                <w:kern w:val="0"/>
                <w:sz w:val="24"/>
                <w:highlight w:val="none"/>
                <w14:textFill>
                  <w14:solidFill>
                    <w14:schemeClr w14:val="tx1"/>
                  </w14:solidFill>
                </w14:textFill>
              </w:rPr>
              <w:t>价(</w:t>
            </w:r>
            <w:r>
              <w:rPr>
                <w:rFonts w:hint="eastAsia" w:ascii="宋体" w:hAnsi="宋体" w:eastAsia="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6DD4CCBF">
            <w:pPr>
              <w:widowControl/>
              <w:tabs>
                <w:tab w:val="left" w:pos="1418"/>
              </w:tabs>
              <w:snapToGrid w:val="0"/>
              <w:spacing w:before="50" w:after="50" w:line="360" w:lineRule="exact"/>
              <w:jc w:val="left"/>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14:paraId="75A6F221">
            <w:pPr>
              <w:widowControl/>
              <w:tabs>
                <w:tab w:val="left" w:pos="1418"/>
              </w:tabs>
              <w:snapToGrid w:val="0"/>
              <w:spacing w:before="50" w:after="50" w:line="360" w:lineRule="exact"/>
              <w:jc w:val="left"/>
              <w:rPr>
                <w:rFonts w:hint="eastAsia" w:ascii="宋体" w:hAnsi="宋体" w:eastAsia="宋体" w:cs="宋体"/>
                <w:color w:val="000000" w:themeColor="text1"/>
                <w:kern w:val="0"/>
                <w:sz w:val="24"/>
                <w:szCs w:val="21"/>
                <w:highlight w:val="none"/>
                <w14:textFill>
                  <w14:solidFill>
                    <w14:schemeClr w14:val="tx1"/>
                  </w14:solidFill>
                </w14:textFill>
              </w:rPr>
            </w:pPr>
          </w:p>
        </w:tc>
      </w:tr>
    </w:tbl>
    <w:p w14:paraId="48F290DC">
      <w:pPr>
        <w:pStyle w:val="32"/>
        <w:ind w:firstLine="3990" w:firstLineChars="1900"/>
        <w:rPr>
          <w:rFonts w:hint="eastAsia" w:ascii="宋体" w:hAnsi="宋体" w:eastAsia="宋体" w:cs="宋体"/>
          <w:color w:val="auto"/>
          <w:sz w:val="21"/>
          <w:szCs w:val="21"/>
          <w:highlight w:val="none"/>
          <w:lang w:eastAsia="zh-CN"/>
        </w:rPr>
      </w:pPr>
    </w:p>
    <w:p w14:paraId="3C53A5A9">
      <w:pPr>
        <w:pStyle w:val="32"/>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3"/>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6DE512C9">
      <w:pPr>
        <w:pStyle w:val="23"/>
        <w:rPr>
          <w:rFonts w:hint="default" w:ascii="宋体" w:hAnsi="宋体" w:cs="宋体"/>
          <w:color w:val="000000" w:themeColor="text1"/>
          <w:kern w:val="0"/>
          <w:sz w:val="24"/>
          <w:highlight w:val="none"/>
          <w:lang w:val="en-US" w:eastAsia="zh-CN"/>
          <w14:textFill>
            <w14:solidFill>
              <w14:schemeClr w14:val="tx1"/>
            </w14:solidFill>
          </w14:textFill>
        </w:rPr>
      </w:pPr>
      <w:bookmarkStart w:id="80" w:name="_Toc226"/>
      <w:bookmarkStart w:id="81" w:name="_Toc15804"/>
    </w:p>
    <w:p w14:paraId="568848E2">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1"/>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0D361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3" w:type="dxa"/>
            <w:noWrap w:val="0"/>
            <w:vAlign w:val="center"/>
          </w:tcPr>
          <w:p w14:paraId="2D72A28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名称</w:t>
            </w:r>
          </w:p>
        </w:tc>
        <w:tc>
          <w:tcPr>
            <w:tcW w:w="2625"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379"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r>
      <w:tr w14:paraId="2D4D9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3" w:type="dxa"/>
            <w:noWrap w:val="0"/>
            <w:vAlign w:val="center"/>
          </w:tcPr>
          <w:p w14:paraId="4533500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48DA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3" w:type="dxa"/>
            <w:noWrap w:val="0"/>
            <w:vAlign w:val="center"/>
          </w:tcPr>
          <w:p w14:paraId="61E0DE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1E54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3" w:type="dxa"/>
            <w:noWrap w:val="0"/>
            <w:vAlign w:val="center"/>
          </w:tcPr>
          <w:p w14:paraId="25917D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0420"/>
      <w:bookmarkStart w:id="83" w:name="_Toc29960"/>
      <w:bookmarkStart w:id="84" w:name="_Toc24168"/>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82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517"/>
        <w:gridCol w:w="1410"/>
        <w:gridCol w:w="1251"/>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2133"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2517"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1410" w:type="dxa"/>
            <w:noWrap w:val="0"/>
            <w:vAlign w:val="center"/>
          </w:tcPr>
          <w:p w14:paraId="433E3ED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000000" w:themeColor="text1"/>
                <w:sz w:val="21"/>
                <w:szCs w:val="21"/>
                <w:highlight w:val="none"/>
                <w:lang w:val="en-US" w:eastAsia="zh-CN"/>
                <w14:textFill>
                  <w14:solidFill>
                    <w14:schemeClr w14:val="tx1"/>
                  </w14:solidFill>
                </w14:textFill>
              </w:rPr>
              <w:t>是否响应</w:t>
            </w:r>
          </w:p>
        </w:tc>
        <w:tc>
          <w:tcPr>
            <w:tcW w:w="1251"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33" w:type="dxa"/>
            <w:noWrap w:val="0"/>
            <w:vAlign w:val="center"/>
          </w:tcPr>
          <w:p w14:paraId="7A24A9AD">
            <w:pPr>
              <w:pStyle w:val="14"/>
              <w:ind w:left="0" w:leftChars="0"/>
              <w:jc w:val="center"/>
              <w:rPr>
                <w:rFonts w:hint="eastAsia" w:ascii="宋体" w:hAnsi="宋体" w:eastAsia="宋体" w:cs="宋体"/>
                <w:color w:val="auto"/>
                <w:sz w:val="21"/>
                <w:szCs w:val="21"/>
                <w:highlight w:val="none"/>
              </w:rPr>
            </w:pPr>
          </w:p>
        </w:tc>
        <w:tc>
          <w:tcPr>
            <w:tcW w:w="2517"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94B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32D265A2">
            <w:pPr>
              <w:pStyle w:val="14"/>
              <w:ind w:left="0" w:leftChars="0"/>
              <w:jc w:val="center"/>
              <w:rPr>
                <w:rFonts w:hint="eastAsia" w:ascii="宋体" w:hAnsi="宋体" w:eastAsia="宋体" w:cs="宋体"/>
                <w:color w:val="auto"/>
                <w:sz w:val="21"/>
                <w:szCs w:val="21"/>
                <w:highlight w:val="none"/>
                <w:lang w:val="en-US" w:eastAsia="zh-CN"/>
              </w:rPr>
            </w:pPr>
          </w:p>
        </w:tc>
        <w:tc>
          <w:tcPr>
            <w:tcW w:w="2517"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133" w:type="dxa"/>
            <w:noWrap w:val="0"/>
            <w:vAlign w:val="center"/>
          </w:tcPr>
          <w:p w14:paraId="5FBC217B">
            <w:pPr>
              <w:pStyle w:val="14"/>
              <w:ind w:left="0" w:leftChars="0"/>
              <w:jc w:val="center"/>
              <w:rPr>
                <w:rFonts w:hint="eastAsia" w:ascii="宋体" w:hAnsi="宋体" w:eastAsia="宋体" w:cs="宋体"/>
                <w:color w:val="auto"/>
                <w:sz w:val="21"/>
                <w:szCs w:val="21"/>
                <w:highlight w:val="none"/>
              </w:rPr>
            </w:pPr>
          </w:p>
        </w:tc>
        <w:tc>
          <w:tcPr>
            <w:tcW w:w="2517"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72B55C4B">
            <w:pPr>
              <w:pStyle w:val="14"/>
              <w:ind w:left="0" w:leftChars="0"/>
              <w:jc w:val="center"/>
              <w:rPr>
                <w:rFonts w:hint="eastAsia" w:ascii="宋体" w:hAnsi="宋体" w:eastAsia="宋体" w:cs="宋体"/>
                <w:color w:val="auto"/>
                <w:sz w:val="21"/>
                <w:szCs w:val="21"/>
                <w:highlight w:val="none"/>
              </w:rPr>
            </w:pPr>
          </w:p>
        </w:tc>
        <w:tc>
          <w:tcPr>
            <w:tcW w:w="2517"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446CD0C">
            <w:pPr>
              <w:pStyle w:val="14"/>
              <w:ind w:left="0" w:leftChars="0"/>
              <w:jc w:val="center"/>
              <w:rPr>
                <w:rFonts w:hint="eastAsia" w:ascii="宋体" w:hAnsi="宋体" w:eastAsia="宋体" w:cs="宋体"/>
                <w:color w:val="auto"/>
                <w:sz w:val="21"/>
                <w:szCs w:val="21"/>
                <w:highlight w:val="none"/>
              </w:rPr>
            </w:pPr>
          </w:p>
        </w:tc>
        <w:tc>
          <w:tcPr>
            <w:tcW w:w="2517"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07D6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AAABEAA">
            <w:pPr>
              <w:pStyle w:val="14"/>
              <w:ind w:left="0" w:leftChars="0"/>
              <w:jc w:val="center"/>
              <w:rPr>
                <w:rFonts w:hint="eastAsia" w:ascii="宋体" w:hAnsi="宋体" w:eastAsia="宋体" w:cs="宋体"/>
                <w:color w:val="auto"/>
                <w:sz w:val="21"/>
                <w:szCs w:val="21"/>
                <w:highlight w:val="none"/>
              </w:rPr>
            </w:pPr>
          </w:p>
        </w:tc>
        <w:tc>
          <w:tcPr>
            <w:tcW w:w="2517"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28621"/>
      <w:bookmarkStart w:id="86" w:name="_Toc31526"/>
      <w:r>
        <w:rPr>
          <w:rFonts w:hint="eastAsia" w:ascii="宋体" w:hAnsi="宋体" w:eastAsia="宋体" w:cs="宋体"/>
          <w:b/>
          <w:color w:val="auto"/>
          <w:sz w:val="28"/>
          <w:highlight w:val="none"/>
        </w:rPr>
        <w:br w:type="page"/>
      </w:r>
    </w:p>
    <w:p w14:paraId="40257B96">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13976"/>
      <w:bookmarkStart w:id="89" w:name="_Toc12939"/>
      <w:bookmarkStart w:id="90" w:name="_Toc3051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24693"/>
      <w:bookmarkStart w:id="92" w:name="_Toc18105"/>
      <w:bookmarkStart w:id="93" w:name="_Toc3342"/>
      <w:r>
        <w:rPr>
          <w:rFonts w:hint="eastAsia" w:ascii="宋体" w:hAnsi="宋体" w:eastAsia="宋体" w:cs="宋体"/>
          <w:color w:val="auto"/>
          <w:sz w:val="28"/>
          <w:szCs w:val="28"/>
          <w:highlight w:val="none"/>
          <w:lang w:val="en-US" w:eastAsia="zh-CN"/>
        </w:rPr>
        <w:t>附件9          证明文件</w:t>
      </w:r>
      <w:bookmarkEnd w:id="91"/>
      <w:bookmarkEnd w:id="92"/>
      <w:bookmarkEnd w:id="93"/>
    </w:p>
    <w:p w14:paraId="644D293B">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4813F031">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9.2</w:t>
      </w:r>
      <w:r>
        <w:rPr>
          <w:rFonts w:hint="eastAsia"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en-US" w:eastAsia="zh-CN"/>
        </w:rPr>
        <w:t>技术</w:t>
      </w:r>
      <w:r>
        <w:rPr>
          <w:rFonts w:hint="eastAsia" w:cs="宋体"/>
          <w:bCs/>
          <w:color w:val="auto"/>
          <w:sz w:val="21"/>
          <w:szCs w:val="21"/>
          <w:highlight w:val="none"/>
          <w:lang w:val="en-US" w:eastAsia="zh-CN"/>
        </w:rPr>
        <w:t>要求</w:t>
      </w:r>
      <w:r>
        <w:rPr>
          <w:rFonts w:hint="eastAsia" w:ascii="宋体" w:hAnsi="宋体" w:eastAsia="宋体" w:cs="宋体"/>
          <w:bCs/>
          <w:color w:val="auto"/>
          <w:sz w:val="21"/>
          <w:szCs w:val="21"/>
          <w:highlight w:val="none"/>
          <w:lang w:val="en-US" w:eastAsia="zh-CN"/>
        </w:rPr>
        <w:t>支持资料</w:t>
      </w:r>
    </w:p>
    <w:p w14:paraId="00828F39">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94" w:name="_Toc17966"/>
      <w:r>
        <w:rPr>
          <w:rFonts w:hint="eastAsia" w:ascii="宋体" w:hAnsi="宋体" w:eastAsia="宋体" w:cs="宋体"/>
          <w:bCs/>
          <w:color w:val="auto"/>
          <w:sz w:val="21"/>
          <w:szCs w:val="21"/>
          <w:highlight w:val="none"/>
          <w:lang w:val="en-US" w:eastAsia="zh-CN"/>
        </w:rPr>
        <w:t>评分标准中需提供的证明材料</w:t>
      </w:r>
    </w:p>
    <w:p w14:paraId="401A2B52">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38997C3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11E6D3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2761FA2">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3C0135E1">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2888"/>
      <w:bookmarkStart w:id="96" w:name="_Toc16083"/>
      <w:bookmarkStart w:id="97" w:name="_Toc13726"/>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5"/>
        <w:rPr>
          <w:rFonts w:hint="eastAsia" w:ascii="宋体" w:hAnsi="宋体" w:eastAsia="宋体" w:cs="宋体"/>
          <w:color w:val="auto"/>
          <w:kern w:val="0"/>
          <w:szCs w:val="21"/>
          <w:highlight w:val="none"/>
        </w:rPr>
      </w:pPr>
    </w:p>
    <w:p w14:paraId="7CC90B0D">
      <w:pPr>
        <w:pStyle w:val="10"/>
        <w:rPr>
          <w:rFonts w:hint="eastAsia" w:ascii="宋体" w:hAnsi="宋体" w:eastAsia="宋体" w:cs="宋体"/>
          <w:color w:val="auto"/>
          <w:highlight w:val="none"/>
        </w:rPr>
      </w:pPr>
    </w:p>
    <w:p w14:paraId="5CAC53F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0"/>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23394"/>
      <w:bookmarkStart w:id="99" w:name="_Toc25094"/>
      <w:bookmarkStart w:id="100" w:name="_Toc31685"/>
    </w:p>
    <w:p w14:paraId="24DE6E54">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rPr>
      </w:pPr>
      <w:r>
        <w:rPr>
          <w:rFonts w:hint="eastAsia" w:ascii="宋体" w:hAnsi="宋体" w:eastAsia="宋体" w:cs="宋体"/>
          <w:lang w:eastAsia="zh-CN"/>
        </w:rPr>
        <w:t>供应商</w:t>
      </w:r>
      <w:r>
        <w:rPr>
          <w:rFonts w:hint="eastAsia" w:ascii="宋体" w:hAnsi="宋体" w:eastAsia="宋体" w:cs="宋体"/>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0"/>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驻马店市中心医院瓦里安23EX直线加速器全保（除加速管磁控管）项目采购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C5514"/>
    <w:rsid w:val="0737768A"/>
    <w:rsid w:val="074A5B92"/>
    <w:rsid w:val="075D0147"/>
    <w:rsid w:val="075E3193"/>
    <w:rsid w:val="07881F85"/>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E42BE4"/>
    <w:rsid w:val="08EF0201"/>
    <w:rsid w:val="08F41DE8"/>
    <w:rsid w:val="093D1475"/>
    <w:rsid w:val="094840A2"/>
    <w:rsid w:val="09644C54"/>
    <w:rsid w:val="09737462"/>
    <w:rsid w:val="099156C3"/>
    <w:rsid w:val="09A33F5B"/>
    <w:rsid w:val="09A53F39"/>
    <w:rsid w:val="09A60E13"/>
    <w:rsid w:val="09A82D92"/>
    <w:rsid w:val="09AB2883"/>
    <w:rsid w:val="09CD0A4B"/>
    <w:rsid w:val="09D206F0"/>
    <w:rsid w:val="0A321AC2"/>
    <w:rsid w:val="0A343D4E"/>
    <w:rsid w:val="0A344626"/>
    <w:rsid w:val="0A3E6D2E"/>
    <w:rsid w:val="0A4232E4"/>
    <w:rsid w:val="0A4F145F"/>
    <w:rsid w:val="0A8455AD"/>
    <w:rsid w:val="0A8729A8"/>
    <w:rsid w:val="0AD13A85"/>
    <w:rsid w:val="0AE0655C"/>
    <w:rsid w:val="0B091954"/>
    <w:rsid w:val="0B195776"/>
    <w:rsid w:val="0B34773E"/>
    <w:rsid w:val="0B3B7D65"/>
    <w:rsid w:val="0B434C20"/>
    <w:rsid w:val="0B5F0822"/>
    <w:rsid w:val="0B637D77"/>
    <w:rsid w:val="0B7006C4"/>
    <w:rsid w:val="0B726646"/>
    <w:rsid w:val="0B7606E8"/>
    <w:rsid w:val="0B8B471A"/>
    <w:rsid w:val="0B924545"/>
    <w:rsid w:val="0BAC324F"/>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EE5A72"/>
    <w:rsid w:val="0DFE4F67"/>
    <w:rsid w:val="0E0C0D4C"/>
    <w:rsid w:val="0E115DA1"/>
    <w:rsid w:val="0E1409F6"/>
    <w:rsid w:val="0E162D6D"/>
    <w:rsid w:val="0E460DCC"/>
    <w:rsid w:val="0E541CA2"/>
    <w:rsid w:val="0E594756"/>
    <w:rsid w:val="0E95596D"/>
    <w:rsid w:val="0EAE6205"/>
    <w:rsid w:val="0EAE6579"/>
    <w:rsid w:val="0EAF71BF"/>
    <w:rsid w:val="0EBA6D69"/>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C5A2D"/>
    <w:rsid w:val="169F7296"/>
    <w:rsid w:val="16A060BA"/>
    <w:rsid w:val="16A57EAF"/>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EE5BFF"/>
    <w:rsid w:val="18097740"/>
    <w:rsid w:val="18136133"/>
    <w:rsid w:val="184055B9"/>
    <w:rsid w:val="184A2082"/>
    <w:rsid w:val="185D3C42"/>
    <w:rsid w:val="185F38AF"/>
    <w:rsid w:val="188F0211"/>
    <w:rsid w:val="18AD1BEB"/>
    <w:rsid w:val="18B3004A"/>
    <w:rsid w:val="18B31B6D"/>
    <w:rsid w:val="18B96080"/>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555978"/>
    <w:rsid w:val="1C6554A1"/>
    <w:rsid w:val="1C7971B7"/>
    <w:rsid w:val="1C8036FB"/>
    <w:rsid w:val="1C917D91"/>
    <w:rsid w:val="1CAB2820"/>
    <w:rsid w:val="1CD402EC"/>
    <w:rsid w:val="1CED16EF"/>
    <w:rsid w:val="1CF02333"/>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40DA4"/>
    <w:rsid w:val="1EA5444C"/>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66F4C"/>
    <w:rsid w:val="221F2D96"/>
    <w:rsid w:val="22246DB1"/>
    <w:rsid w:val="222A65E3"/>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843EE"/>
    <w:rsid w:val="2CA25191"/>
    <w:rsid w:val="2CAC022C"/>
    <w:rsid w:val="2CC11807"/>
    <w:rsid w:val="2CC66CD6"/>
    <w:rsid w:val="2CE327BC"/>
    <w:rsid w:val="2CF16074"/>
    <w:rsid w:val="2CF81D1B"/>
    <w:rsid w:val="2D3F2453"/>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DB7162"/>
    <w:rsid w:val="2FEE6EA1"/>
    <w:rsid w:val="2FFE7D49"/>
    <w:rsid w:val="3002294D"/>
    <w:rsid w:val="3011153D"/>
    <w:rsid w:val="30142680"/>
    <w:rsid w:val="302567CF"/>
    <w:rsid w:val="302A11B1"/>
    <w:rsid w:val="302A5C42"/>
    <w:rsid w:val="30662043"/>
    <w:rsid w:val="306D3B35"/>
    <w:rsid w:val="307153DD"/>
    <w:rsid w:val="3083092C"/>
    <w:rsid w:val="30930D2E"/>
    <w:rsid w:val="30B8125D"/>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5E0DA6"/>
    <w:rsid w:val="377639AE"/>
    <w:rsid w:val="378142CB"/>
    <w:rsid w:val="378B61A6"/>
    <w:rsid w:val="37B90F0B"/>
    <w:rsid w:val="37CD3F98"/>
    <w:rsid w:val="37DF75BA"/>
    <w:rsid w:val="37E148E2"/>
    <w:rsid w:val="37F848EE"/>
    <w:rsid w:val="37F912FC"/>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D27231"/>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B312338"/>
    <w:rsid w:val="3B3C5B77"/>
    <w:rsid w:val="3B3D0FF2"/>
    <w:rsid w:val="3B501351"/>
    <w:rsid w:val="3B521A18"/>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3B200A"/>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BF7E28"/>
    <w:rsid w:val="46C3037C"/>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91107"/>
    <w:rsid w:val="48895289"/>
    <w:rsid w:val="48A16B62"/>
    <w:rsid w:val="48AE0D54"/>
    <w:rsid w:val="48BC6222"/>
    <w:rsid w:val="48C245E9"/>
    <w:rsid w:val="48DB312A"/>
    <w:rsid w:val="48DF49D9"/>
    <w:rsid w:val="492108CC"/>
    <w:rsid w:val="49413F52"/>
    <w:rsid w:val="494F630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24708"/>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237D2E"/>
    <w:rsid w:val="515B06D0"/>
    <w:rsid w:val="51764AF1"/>
    <w:rsid w:val="51996737"/>
    <w:rsid w:val="51B408B8"/>
    <w:rsid w:val="51B80848"/>
    <w:rsid w:val="51CC0868"/>
    <w:rsid w:val="51D5340F"/>
    <w:rsid w:val="52287B99"/>
    <w:rsid w:val="52382F2A"/>
    <w:rsid w:val="52386E3D"/>
    <w:rsid w:val="523A7DD1"/>
    <w:rsid w:val="523B7711"/>
    <w:rsid w:val="5271774C"/>
    <w:rsid w:val="52784844"/>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758A1"/>
    <w:rsid w:val="540D5A7F"/>
    <w:rsid w:val="542E2BC2"/>
    <w:rsid w:val="54352A96"/>
    <w:rsid w:val="54447390"/>
    <w:rsid w:val="544B514D"/>
    <w:rsid w:val="545E1D01"/>
    <w:rsid w:val="54674051"/>
    <w:rsid w:val="54935B8F"/>
    <w:rsid w:val="549D3677"/>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B7F6F"/>
    <w:rsid w:val="5CC248CE"/>
    <w:rsid w:val="5D042FB1"/>
    <w:rsid w:val="5D442CB4"/>
    <w:rsid w:val="5D7C3F11"/>
    <w:rsid w:val="5D971C5A"/>
    <w:rsid w:val="5D9D49E0"/>
    <w:rsid w:val="5DA01E9E"/>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2065A1D"/>
    <w:rsid w:val="6213792C"/>
    <w:rsid w:val="621775E2"/>
    <w:rsid w:val="621C0D9D"/>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8F4798"/>
    <w:rsid w:val="659B1EBA"/>
    <w:rsid w:val="65A11CE5"/>
    <w:rsid w:val="65A83379"/>
    <w:rsid w:val="65B461E9"/>
    <w:rsid w:val="65BE39A8"/>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E1363"/>
    <w:rsid w:val="687731D1"/>
    <w:rsid w:val="6878475E"/>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8A5EE4"/>
    <w:rsid w:val="69C811ED"/>
    <w:rsid w:val="69D33070"/>
    <w:rsid w:val="69E97E75"/>
    <w:rsid w:val="69FB5D9E"/>
    <w:rsid w:val="69FF6FDA"/>
    <w:rsid w:val="6A1A3007"/>
    <w:rsid w:val="6A1E645E"/>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5093A"/>
    <w:rsid w:val="72AD7197"/>
    <w:rsid w:val="72AF6F7E"/>
    <w:rsid w:val="72CD226C"/>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074649"/>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5432E1"/>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7"/>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5"/>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5"/>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3"/>
    <w:autoRedefine/>
    <w:qFormat/>
    <w:uiPriority w:val="0"/>
  </w:style>
  <w:style w:type="character" w:customStyle="1" w:styleId="76">
    <w:name w:val="apple-converted-space"/>
    <w:basedOn w:val="35"/>
    <w:autoRedefine/>
    <w:qFormat/>
    <w:uiPriority w:val="0"/>
  </w:style>
  <w:style w:type="character" w:customStyle="1" w:styleId="77">
    <w:name w:val="文档结构图 Char"/>
    <w:link w:val="11"/>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16176</Words>
  <Characters>16928</Characters>
  <Lines>50</Lines>
  <Paragraphs>68</Paragraphs>
  <TotalTime>0</TotalTime>
  <ScaleCrop>false</ScaleCrop>
  <LinksUpToDate>false</LinksUpToDate>
  <CharactersWithSpaces>17884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2026-01-19T02:36:29Z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1E5D6091D364451AB8EA1A052E6A45BF_13</vt:lpwstr>
  </property>
  <property fmtid="{D5CDD505-2E9C-101B-9397-08002B2CF9AE}" pid="4" name="KSOTemplateDocerSaveRecord">
    <vt:lpwstr>eyJoZGlkIjoiYzIwMjRmYTY4OTJhZjc1NTA1MGQwNDc0NzZhNTkwMmUiLCJ1c2VySWQiOiIxNjg0NTc5MjM2In0=</vt:lpwstr>
  </property>
</Properties>
</file>