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7" w:name="_GoBack"/>
      <w:r>
        <w:rPr>
          <w:rFonts w:hint="eastAsia" w:cs="宋体"/>
          <w:b/>
          <w:bCs/>
          <w:color w:val="auto"/>
          <w:sz w:val="44"/>
          <w:szCs w:val="44"/>
          <w:highlight w:val="none"/>
          <w:lang w:val="en-US" w:eastAsia="zh-CN"/>
        </w:rPr>
        <w:t>驻马店市中心医院无创血流动力学采购项目</w:t>
      </w:r>
    </w:p>
    <w:bookmarkEnd w:id="107"/>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03BA0FC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_Toc2587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5CE162C">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_Toc19435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_Toc19435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3ACDDA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_Toc10952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_Toc10952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F9B1A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_Toc31450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_Toc31450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7209FB">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_Toc1295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D8878F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_Toc30609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_Toc30609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6835FD8">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58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驻马店市中心医院无创血流动力学采购项目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无创血流动力学</w:t>
      </w:r>
      <w:r>
        <w:rPr>
          <w:rFonts w:hint="eastAsia" w:ascii="宋体" w:hAnsi="宋体" w:cs="宋体"/>
          <w:color w:val="auto"/>
          <w:u w:val="single"/>
          <w:lang w:val="en-US" w:eastAsia="zh-CN"/>
        </w:rPr>
        <w:t>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0453616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bookmarkStart w:id="3" w:name="_Toc26725"/>
      <w:bookmarkStart w:id="4" w:name="_Toc18607"/>
      <w:bookmarkStart w:id="5" w:name="_Toc27704"/>
      <w:bookmarkStart w:id="6" w:name="_Toc23626"/>
      <w:bookmarkStart w:id="7" w:name="_Toc16639"/>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驻马店市中心医院无创血流动力学采购项目</w:t>
      </w:r>
      <w:r>
        <w:rPr>
          <w:rFonts w:hint="eastAsia" w:ascii="宋体" w:hAnsi="宋体" w:eastAsia="宋体" w:cs="宋体"/>
          <w:color w:val="auto"/>
          <w:szCs w:val="21"/>
          <w:highlight w:val="none"/>
          <w:shd w:val="clear" w:color="auto" w:fill="FFFFFF"/>
          <w:lang w:eastAsia="zh-CN"/>
        </w:rPr>
        <w:t>；</w:t>
      </w:r>
    </w:p>
    <w:p w14:paraId="201FCF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7F045F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32</w:t>
      </w:r>
      <w:r>
        <w:rPr>
          <w:rFonts w:hint="eastAsia" w:ascii="宋体" w:hAnsi="宋体" w:eastAsia="宋体" w:cs="宋体"/>
          <w:color w:val="auto"/>
          <w:szCs w:val="21"/>
          <w:highlight w:val="none"/>
          <w:shd w:val="clear" w:color="auto" w:fill="FFFFFF"/>
          <w:lang w:val="en-US" w:eastAsia="zh-CN"/>
        </w:rPr>
        <w:t>万元；</w:t>
      </w:r>
    </w:p>
    <w:p w14:paraId="4E4DCF1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6AEFFB0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30971"/>
      <w:bookmarkStart w:id="10" w:name="_Toc30643"/>
      <w:bookmarkStart w:id="11" w:name="_Toc7823"/>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5848FDB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24</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26</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zz200209206019@163.com,并标明XX公司XX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5135"/>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60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E97C9D8">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w:t>
      </w:r>
      <w:r>
        <w:rPr>
          <w:rFonts w:hint="eastAsia" w:ascii="宋体" w:hAnsi="宋体" w:cs="宋体"/>
          <w:color w:val="auto"/>
          <w:kern w:val="0"/>
          <w:sz w:val="21"/>
          <w:szCs w:val="21"/>
          <w:highlight w:val="none"/>
          <w:shd w:val="clear" w:color="auto" w:fill="FFFFFF"/>
          <w:lang w:val="en-US" w:eastAsia="zh-CN" w:bidi="ar-SA"/>
        </w:rPr>
        <w:t>中岐能工程项目管理有限公司</w:t>
      </w:r>
    </w:p>
    <w:p w14:paraId="2C6C3BE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驻马店市泰山路与骏马路交叉口广泰大厦22楼</w:t>
      </w:r>
    </w:p>
    <w:p w14:paraId="022B286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w:t>
      </w:r>
      <w:r>
        <w:rPr>
          <w:rFonts w:hint="eastAsia" w:ascii="宋体" w:hAnsi="宋体" w:eastAsia="宋体" w:cs="宋体"/>
          <w:color w:val="auto"/>
          <w:kern w:val="0"/>
          <w:sz w:val="21"/>
          <w:szCs w:val="21"/>
          <w:highlight w:val="none"/>
          <w:shd w:val="clear" w:color="auto" w:fill="FFFFFF"/>
          <w:lang w:val="en-US" w:eastAsia="zh-CN" w:bidi="ar-SA"/>
        </w:rPr>
        <w:t>先生</w:t>
      </w:r>
    </w:p>
    <w:p w14:paraId="494F446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15518315656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43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驻马店市中心医院无创血流动力学采购项目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110" w:type="dxa"/>
            <w:vAlign w:val="center"/>
          </w:tcPr>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8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144"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无创血流动力学</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32</w:t>
            </w:r>
            <w:r>
              <w:rPr>
                <w:rFonts w:hint="eastAsia" w:ascii="宋体" w:hAnsi="宋体" w:eastAsia="宋体" w:cs="宋体"/>
                <w:sz w:val="21"/>
                <w:szCs w:val="21"/>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0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22B279A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BE340B0">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无创血流动力学</w:t>
      </w:r>
      <w:r>
        <w:rPr>
          <w:rFonts w:hint="eastAsia" w:ascii="宋体" w:hAnsi="宋体" w:eastAsia="宋体" w:cs="宋体"/>
          <w:b/>
          <w:bCs/>
          <w:sz w:val="21"/>
          <w:szCs w:val="21"/>
          <w:lang w:eastAsia="zh-CN"/>
        </w:rPr>
        <w:t>技术参数</w:t>
      </w:r>
    </w:p>
    <w:p w14:paraId="283E7EF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*1.采用阻抗法原理，床旁无创血液动力学实时监测系统</w:t>
      </w:r>
    </w:p>
    <w:p w14:paraId="55931EF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2.彩色触摸屏，屏幕可显示参数正常范围</w:t>
      </w:r>
    </w:p>
    <w:p w14:paraId="014981C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3.便携式设计，有内置电池，待机时间大≥2小时</w:t>
      </w:r>
    </w:p>
    <w:p w14:paraId="5F3AC2E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4.监护模式≥2种独立单屏监护模式</w:t>
      </w:r>
    </w:p>
    <w:p w14:paraId="66F40A8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*5.要具备智能化血流动力学状态报告分析功能，可提示自动分析报告</w:t>
      </w:r>
    </w:p>
    <w:p w14:paraId="72F912F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6.具有专业独立的动态测量模块（被动抬腿实验模块）</w:t>
      </w:r>
    </w:p>
    <w:p w14:paraId="16624A3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7.报告功能可打印注有相应时间和日期的标准A4打印的血流动力学报告</w:t>
      </w:r>
    </w:p>
    <w:p w14:paraId="12C372A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8.流量参数:心输出量CO、心脏指数CI、每搏输出量SV、每搏指数SVI</w:t>
      </w:r>
    </w:p>
    <w:p w14:paraId="11A0EF3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9.容量负荷参数:胸液水平TFC</w:t>
      </w:r>
    </w:p>
    <w:p w14:paraId="49BCABE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10.阻力负荷参数:每搏外周血管阻力SSVR、每搏外周阻力指数SSVRI</w:t>
      </w:r>
    </w:p>
    <w:p w14:paraId="5AA2599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lang w:val="en-US" w:eastAsia="zh-CN"/>
        </w:rPr>
      </w:pPr>
      <w:r>
        <w:rPr>
          <w:rFonts w:hint="eastAsia" w:ascii="宋体" w:hAnsi="宋体" w:eastAsia="宋体" w:cs="宋体"/>
          <w:lang w:val="en-US" w:eastAsia="zh-CN"/>
        </w:rPr>
        <w:t>11.心肌收缩力参数:左心做功LSW、左心做功指数LSWI、射血前期PEP、射血时间LVET</w:t>
      </w:r>
    </w:p>
    <w:p w14:paraId="7B56D5B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cs="宋体"/>
          <w:lang w:val="en-US" w:eastAsia="zh-CN"/>
        </w:rPr>
      </w:pPr>
      <w:r>
        <w:rPr>
          <w:rFonts w:hint="eastAsia" w:ascii="宋体" w:hAnsi="宋体" w:cs="宋体"/>
          <w:lang w:val="en-US" w:eastAsia="zh-CN"/>
        </w:rPr>
        <w:t>12.要求设备为最新出厂设备，出厂日期不得早于招标日期6个月</w:t>
      </w:r>
    </w:p>
    <w:p w14:paraId="144C4D3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ascii="宋体" w:hAnsi="宋体" w:cs="宋体"/>
          <w:lang w:val="en-US" w:eastAsia="zh-CN"/>
        </w:rPr>
      </w:pPr>
      <w:r>
        <w:rPr>
          <w:rFonts w:hint="eastAsia" w:ascii="宋体" w:hAnsi="宋体" w:cs="宋体"/>
          <w:lang w:val="en-US" w:eastAsia="zh-CN"/>
        </w:rPr>
        <w:t>13.所有设备按照医院实际要求免费开放端口，免费为医院对接院内信息系统。质保期内免费进行软件升级</w:t>
      </w:r>
    </w:p>
    <w:p w14:paraId="55354EC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需报价耗材：电极片</w:t>
      </w:r>
    </w:p>
    <w:p w14:paraId="4392D5D9">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其他要求：</w:t>
      </w:r>
    </w:p>
    <w:p w14:paraId="59091C37">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86E3D2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须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323D4F8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3.采购人使用</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成交的货物、技术、资料、服务或其他任何一部分时，享有无偿使用权。免受第三方提出的侵犯其专利权、著作权、商标权或其它知识产权的起诉。如果第三方提出侵权指控，</w:t>
      </w:r>
      <w:r>
        <w:rPr>
          <w:rFonts w:hint="eastAsia" w:ascii="宋体" w:hAnsi="宋体" w:cs="宋体"/>
          <w:sz w:val="21"/>
          <w:szCs w:val="21"/>
          <w:lang w:val="en-US" w:eastAsia="zh-CN"/>
        </w:rPr>
        <w:t>成交供应商</w:t>
      </w:r>
      <w:r>
        <w:rPr>
          <w:rFonts w:hint="eastAsia" w:ascii="宋体" w:hAnsi="宋体" w:eastAsia="宋体" w:cs="宋体"/>
          <w:sz w:val="21"/>
          <w:szCs w:val="21"/>
          <w:lang w:val="en-US" w:eastAsia="zh-CN"/>
        </w:rPr>
        <w:t>应承担由此而引起的一切法律责任和费用。</w:t>
      </w:r>
    </w:p>
    <w:p w14:paraId="440265F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.商品包装和快递包装应符合《商品包装政府采购需求标准（试行）》和《快递包装政府采购需求标准（试行）》规定。</w:t>
      </w:r>
    </w:p>
    <w:p w14:paraId="137403C6">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28A4B31A">
      <w:pPr>
        <w:pStyle w:val="2"/>
        <w:rPr>
          <w:rFonts w:hint="eastAsia"/>
          <w:lang w:val="en-US" w:eastAsia="zh-CN"/>
        </w:rPr>
      </w:pPr>
    </w:p>
    <w:p w14:paraId="43D05592">
      <w:pPr>
        <w:pStyle w:val="5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592F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3149C48">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质保期内应当为采购人提供以下技术支持和服务：</w:t>
            </w:r>
          </w:p>
          <w:p w14:paraId="0FEBA2C8">
            <w:pPr>
              <w:pStyle w:val="8"/>
              <w:keepNext w:val="0"/>
              <w:keepLines w:val="0"/>
              <w:pageBreakBefore w:val="0"/>
              <w:widowControl/>
              <w:numPr>
                <w:ilvl w:val="0"/>
                <w:numId w:val="2"/>
              </w:numPr>
              <w:kinsoku/>
              <w:wordWrap/>
              <w:overflowPunct/>
              <w:topLinePunct w:val="0"/>
              <w:autoSpaceDE/>
              <w:autoSpaceDN/>
              <w:bidi w:val="0"/>
              <w:adjustRightInd/>
              <w:snapToGrid/>
              <w:spacing w:before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现场响应:供应商应保证在12小时内对用户提出的问题或故障予以响应及处理。可提供备用设备或核心部件应急使用。</w:t>
            </w:r>
          </w:p>
          <w:p w14:paraId="213F9F9D">
            <w:pPr>
              <w:pStyle w:val="8"/>
              <w:keepNext w:val="0"/>
              <w:keepLines w:val="0"/>
              <w:pageBreakBefore w:val="0"/>
              <w:widowControl/>
              <w:numPr>
                <w:ilvl w:val="0"/>
                <w:numId w:val="2"/>
              </w:numPr>
              <w:kinsoku/>
              <w:wordWrap/>
              <w:overflowPunct/>
              <w:topLinePunct w:val="0"/>
              <w:autoSpaceDE/>
              <w:autoSpaceDN/>
              <w:bidi w:val="0"/>
              <w:adjustRightInd/>
              <w:snapToGrid/>
              <w:spacing w:before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r>
              <w:rPr>
                <w:rFonts w:hint="eastAsia" w:cs="宋体"/>
                <w:color w:val="auto"/>
                <w:sz w:val="21"/>
                <w:szCs w:val="21"/>
                <w:highlight w:val="none"/>
                <w:lang w:val="en-US" w:eastAsia="zh-CN"/>
              </w:rPr>
              <w:t>。</w:t>
            </w:r>
          </w:p>
          <w:p w14:paraId="522E84A9">
            <w:pPr>
              <w:pStyle w:val="8"/>
              <w:keepNext w:val="0"/>
              <w:keepLines w:val="0"/>
              <w:pageBreakBefore w:val="0"/>
              <w:widowControl/>
              <w:numPr>
                <w:ilvl w:val="0"/>
                <w:numId w:val="2"/>
              </w:numPr>
              <w:kinsoku/>
              <w:wordWrap/>
              <w:overflowPunct/>
              <w:topLinePunct w:val="0"/>
              <w:autoSpaceDE/>
              <w:autoSpaceDN/>
              <w:bidi w:val="0"/>
              <w:adjustRightInd/>
              <w:snapToGrid/>
              <w:spacing w:before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质保期内该设备应保证大于95%(含)的开机率，如达不到要求，每少于一天质保期顺延7天，如造成严重损失需赔偿用户经济损失或换货或退货。</w:t>
            </w:r>
          </w:p>
          <w:p w14:paraId="5CE88F0F">
            <w:pPr>
              <w:pStyle w:val="8"/>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6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66A31B">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1331B4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f、</w:t>
            </w:r>
            <w:r>
              <w:rPr>
                <w:rFonts w:hint="eastAsia" w:ascii="宋体" w:hAnsi="宋体" w:eastAsia="宋体" w:cs="宋体"/>
                <w:sz w:val="21"/>
                <w:szCs w:val="21"/>
                <w:lang w:val="en-US" w:eastAsia="zh-CN"/>
              </w:rPr>
              <w:t>培训：免费提供操作培训和维修培训。</w:t>
            </w:r>
          </w:p>
          <w:p w14:paraId="3573A3F9">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60" w:lineRule="exact"/>
              <w:ind w:leftChars="0"/>
              <w:jc w:val="left"/>
              <w:textAlignment w:val="auto"/>
              <w:rPr>
                <w:rFonts w:hint="eastAsia"/>
                <w:lang w:val="en-US" w:eastAsia="zh-CN"/>
              </w:rPr>
            </w:pPr>
            <w:r>
              <w:rPr>
                <w:rFonts w:hint="eastAsia" w:cs="宋体"/>
                <w:color w:val="auto"/>
                <w:sz w:val="21"/>
                <w:szCs w:val="21"/>
                <w:highlight w:val="none"/>
                <w:lang w:val="en-US" w:eastAsia="zh-CN"/>
              </w:rPr>
              <w:t>g</w:t>
            </w:r>
            <w:r>
              <w:rPr>
                <w:rFonts w:hint="eastAsia" w:ascii="宋体" w:hAnsi="宋体" w:eastAsia="宋体" w:cs="宋体"/>
                <w:color w:val="auto"/>
                <w:sz w:val="21"/>
                <w:szCs w:val="21"/>
                <w:highlight w:val="none"/>
                <w:lang w:val="en-US" w:eastAsia="zh-CN"/>
              </w:rPr>
              <w:t>、除火灾、洪水、地震等天灾外，在保修期内，由于货物故障所产生的所有费用均由成交供应商负责。</w:t>
            </w:r>
          </w:p>
        </w:tc>
      </w:tr>
    </w:tbl>
    <w:p w14:paraId="31DD0A7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0952"/>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bookmarkStart w:id="39" w:name="_Toc4791"/>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驻马店市中心医院无创血流动力学采购项目</w:t>
            </w:r>
            <w:bookmarkEnd w:id="39"/>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3424"/>
            <w:bookmarkStart w:id="41" w:name="_Toc28320"/>
            <w:bookmarkStart w:id="42" w:name="_Toc29400"/>
            <w:bookmarkStart w:id="43" w:name="_Toc14596"/>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6199"/>
            <w:bookmarkStart w:id="45" w:name="_Toc24541"/>
            <w:bookmarkStart w:id="46" w:name="_Toc3148"/>
            <w:bookmarkStart w:id="47" w:name="_Toc1043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32万元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32万元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32万元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:32万元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31450"/>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100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FB8AF0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038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C5FBCF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08E481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7B2510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D121D1C">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5881486">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469A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1239" w:type="dxa"/>
            <w:vMerge w:val="restart"/>
            <w:noWrap w:val="0"/>
            <w:vAlign w:val="center"/>
          </w:tcPr>
          <w:p w14:paraId="4C30CC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4CD23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3EF3E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”号的技术参数为关键性技术参数，有一项不满足的扣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分，扣完为止；不带“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”号的技术参数为一般性技术参数，有一项不满足的扣2分，扣完为止；如得分为0，则磋商无效。 </w:t>
            </w:r>
          </w:p>
          <w:p w14:paraId="66B6585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w:t>
            </w:r>
          </w:p>
          <w:p w14:paraId="20CBFB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2）提供产品注册检验报告</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响应技术参数条款的技术白皮书和彩页等相关文件，并对响应技术参数部分做出明显标注。</w:t>
            </w:r>
          </w:p>
          <w:p w14:paraId="4A67007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所投产品需提供完整版的医疗器械注册证（含附件：产品技术要求）。</w:t>
            </w:r>
          </w:p>
        </w:tc>
      </w:tr>
      <w:tr w14:paraId="4ABA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B9219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2CFFBCEB">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3C1F378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根根据投标产品的制造工艺、稳定性进行打分：</w:t>
            </w:r>
          </w:p>
          <w:p w14:paraId="42920AA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投标产品制造工艺、稳定性好、安全性高的得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分；投标产品制造工艺、稳定性较好、安全性较高的得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分；投标产品制造工艺、稳定性、安全性一般的得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r>
      <w:tr w14:paraId="4343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1235D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9F4D70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8F759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根据各投标产品操控性、性能及技术先 进性等进行打分：</w:t>
            </w:r>
          </w:p>
          <w:p w14:paraId="63D130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所投产品优秀，操控性强、性能好、技术先进的得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分；所投产品较好，操控性较强、性能较好、技术较先进的得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分；所投产品一般，操控性一般、性能一般、技术保守的得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r>
      <w:tr w14:paraId="4AB8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24DEB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EB1154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285DF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4E7CF47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分；有较具体的供货保障措施，基本满足采购需求的得2分；供货保障措施</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满足采购需求的得1分；</w:t>
            </w:r>
            <w:r>
              <w:rPr>
                <w:rFonts w:hint="eastAsia" w:ascii="宋体" w:hAnsi="宋体" w:cs="宋体"/>
                <w:color w:val="auto"/>
                <w:sz w:val="21"/>
                <w:szCs w:val="21"/>
                <w:highlight w:val="none"/>
                <w:lang w:val="en-US" w:eastAsia="zh-CN"/>
              </w:rPr>
              <w:t>不满足或</w:t>
            </w:r>
            <w:r>
              <w:rPr>
                <w:rFonts w:hint="eastAsia" w:ascii="宋体" w:hAnsi="宋体" w:eastAsia="宋体" w:cs="宋体"/>
                <w:color w:val="auto"/>
                <w:sz w:val="21"/>
                <w:szCs w:val="21"/>
                <w:highlight w:val="none"/>
                <w:lang w:val="en-US" w:eastAsia="zh-CN"/>
              </w:rPr>
              <w:t>缺项得0分。</w:t>
            </w:r>
          </w:p>
        </w:tc>
      </w:tr>
      <w:tr w14:paraId="7311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5F8D4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E890671">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68374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根据供应商提供的供货方案，包含（但不限于）以下内容：供货、安装调试的方案（人员及工具配备、实施进度与保障措施）等进行打分。</w:t>
            </w:r>
          </w:p>
          <w:p w14:paraId="2DC7A82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分；有较具体的安装调试方案，内容较详实，基本满足项目需求的得2分；安装调试方案</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满足需求的得1分，</w:t>
            </w:r>
            <w:r>
              <w:rPr>
                <w:rFonts w:hint="eastAsia" w:ascii="宋体" w:hAnsi="宋体" w:cs="宋体"/>
                <w:color w:val="auto"/>
                <w:sz w:val="21"/>
                <w:szCs w:val="21"/>
                <w:highlight w:val="none"/>
                <w:lang w:val="en-US" w:eastAsia="zh-CN"/>
              </w:rPr>
              <w:t>不满足需求或</w:t>
            </w:r>
            <w:r>
              <w:rPr>
                <w:rFonts w:hint="eastAsia" w:ascii="宋体" w:hAnsi="宋体" w:eastAsia="宋体" w:cs="宋体"/>
                <w:color w:val="auto"/>
                <w:sz w:val="21"/>
                <w:szCs w:val="21"/>
                <w:highlight w:val="none"/>
                <w:lang w:val="en-US" w:eastAsia="zh-CN"/>
              </w:rPr>
              <w:t>缺项得0分。</w:t>
            </w:r>
          </w:p>
        </w:tc>
      </w:tr>
      <w:tr w14:paraId="740A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239" w:type="dxa"/>
            <w:vMerge w:val="continue"/>
            <w:noWrap w:val="0"/>
            <w:vAlign w:val="center"/>
          </w:tcPr>
          <w:p w14:paraId="0F07B52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41D5CD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D6821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3971EDA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分；应急响应时间时间长、应急保障不充分的得1分；缺项得0分。</w:t>
            </w:r>
          </w:p>
        </w:tc>
      </w:tr>
      <w:tr w14:paraId="1872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4F61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8297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07AEB79">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73E3524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D61B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F91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39" w:type="dxa"/>
            <w:vMerge w:val="continue"/>
            <w:noWrap w:val="0"/>
            <w:vAlign w:val="center"/>
          </w:tcPr>
          <w:p w14:paraId="7BEFC3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8F2C07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C7392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14:paraId="6EB3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39" w:type="dxa"/>
            <w:vMerge w:val="continue"/>
            <w:noWrap w:val="0"/>
            <w:vAlign w:val="center"/>
          </w:tcPr>
          <w:p w14:paraId="4BBCBE2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A118120">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w:t>
            </w:r>
            <w:r>
              <w:rPr>
                <w:rFonts w:hint="eastAsia" w:ascii="宋体" w:hAnsi="宋体" w:cs="宋体"/>
                <w:b w:val="0"/>
                <w:bCs w:val="0"/>
                <w:color w:val="auto"/>
                <w:kern w:val="2"/>
                <w:sz w:val="21"/>
                <w:szCs w:val="21"/>
                <w:highlight w:val="none"/>
                <w:lang w:val="en-US" w:eastAsia="zh-CN"/>
              </w:rPr>
              <w:t>耗材优惠（8分）</w:t>
            </w:r>
          </w:p>
        </w:tc>
        <w:tc>
          <w:tcPr>
            <w:tcW w:w="6770" w:type="dxa"/>
            <w:noWrap w:val="0"/>
            <w:vAlign w:val="center"/>
          </w:tcPr>
          <w:p w14:paraId="4C5772CE">
            <w:pPr>
              <w:pStyle w:val="50"/>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w:t>
            </w:r>
            <w:r>
              <w:rPr>
                <w:rFonts w:hint="eastAsia" w:ascii="宋体" w:hAnsi="宋体" w:cs="宋体"/>
                <w:b w:val="0"/>
                <w:bCs w:val="0"/>
                <w:color w:val="auto"/>
                <w:kern w:val="2"/>
                <w:sz w:val="21"/>
                <w:szCs w:val="21"/>
                <w:highlight w:val="none"/>
                <w:lang w:val="en-US" w:eastAsia="zh-CN"/>
              </w:rPr>
              <w:t>配套耗材的价格优惠承诺进行综合对比打分，价格优惠幅度最高的得4分，其他价格优惠情况依次递减0.5分。不优惠不得分。</w:t>
            </w:r>
          </w:p>
        </w:tc>
      </w:tr>
      <w:tr w14:paraId="5F61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239" w:type="dxa"/>
            <w:vMerge w:val="continue"/>
            <w:noWrap w:val="0"/>
            <w:vAlign w:val="center"/>
          </w:tcPr>
          <w:p w14:paraId="1C693EB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353847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8311C98">
            <w:pPr>
              <w:pStyle w:val="5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w:t>
            </w:r>
            <w:r>
              <w:rPr>
                <w:rFonts w:hint="eastAsia" w:ascii="宋体" w:hAnsi="宋体" w:cs="宋体"/>
                <w:b w:val="0"/>
                <w:bCs w:val="0"/>
                <w:color w:val="auto"/>
                <w:kern w:val="2"/>
                <w:sz w:val="21"/>
                <w:szCs w:val="21"/>
                <w:highlight w:val="none"/>
                <w:lang w:val="en-US" w:eastAsia="zh-CN"/>
              </w:rPr>
              <w:t>耗材的其他优惠服务或承诺进行综合对比打分，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b w:val="0"/>
                <w:bCs w:val="0"/>
                <w:color w:val="auto"/>
                <w:kern w:val="2"/>
                <w:sz w:val="21"/>
                <w:szCs w:val="21"/>
                <w:highlight w:val="none"/>
                <w:lang w:val="en-US" w:eastAsia="zh-CN"/>
              </w:rPr>
              <w:t>（因耗材质量问题造成医疗事故或机器损坏的赔偿服务承诺、为医院提供过期或废弃耗材的回收服务承诺、医院急需耗材时的应急供应保障服务承诺、能为医院提供更多的免费增值服务等）。其他优惠服务或承诺幅度高的得4分；其他优惠服务或承诺较高的得3分；其他优惠服务或承诺幅度一般的得2分；其他优惠服务或承诺力度差的得1分。不优惠或不提供不得分。</w:t>
            </w:r>
            <w:r>
              <w:rPr>
                <w:rFonts w:hint="eastAsia" w:ascii="宋体" w:hAnsi="宋体" w:eastAsia="宋体" w:cs="宋体"/>
                <w:color w:val="auto"/>
                <w:sz w:val="21"/>
                <w:szCs w:val="21"/>
                <w:highlight w:val="none"/>
                <w:lang w:val="en-US" w:eastAsia="zh-CN"/>
              </w:rPr>
              <w:t>（出具相关服务承诺书）。</w:t>
            </w:r>
          </w:p>
        </w:tc>
      </w:tr>
      <w:tr w14:paraId="4EB0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583A1E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2FD1269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8分</w:t>
            </w:r>
            <w:r>
              <w:rPr>
                <w:rFonts w:hint="eastAsia" w:ascii="宋体" w:hAnsi="宋体" w:eastAsia="宋体" w:cs="宋体"/>
                <w:b w:val="0"/>
                <w:bCs w:val="0"/>
                <w:color w:val="auto"/>
                <w:kern w:val="2"/>
                <w:sz w:val="21"/>
                <w:szCs w:val="21"/>
                <w:highlight w:val="none"/>
                <w:lang w:val="en-US" w:eastAsia="zh-CN"/>
              </w:rPr>
              <w:t>）</w:t>
            </w:r>
          </w:p>
        </w:tc>
        <w:tc>
          <w:tcPr>
            <w:tcW w:w="6770" w:type="dxa"/>
            <w:noWrap w:val="0"/>
            <w:vAlign w:val="center"/>
          </w:tcPr>
          <w:p w14:paraId="099EB18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w:t>
            </w:r>
            <w:r>
              <w:rPr>
                <w:rFonts w:hint="eastAsia" w:ascii="宋体" w:hAnsi="宋体" w:cs="宋体"/>
                <w:b w:val="0"/>
                <w:bCs w:val="0"/>
                <w:color w:val="auto"/>
                <w:kern w:val="2"/>
                <w:sz w:val="21"/>
                <w:szCs w:val="21"/>
                <w:highlight w:val="none"/>
                <w:lang w:val="en-US" w:eastAsia="zh-CN"/>
              </w:rPr>
              <w:t>性</w:t>
            </w:r>
            <w:r>
              <w:rPr>
                <w:rFonts w:hint="eastAsia" w:ascii="宋体" w:hAnsi="宋体" w:eastAsia="宋体" w:cs="宋体"/>
                <w:b w:val="0"/>
                <w:bCs w:val="0"/>
                <w:color w:val="auto"/>
                <w:kern w:val="2"/>
                <w:sz w:val="21"/>
                <w:szCs w:val="21"/>
                <w:highlight w:val="none"/>
                <w:lang w:val="en-US" w:eastAsia="zh-CN"/>
              </w:rPr>
              <w:t>、服务方式、服务地点等</w:t>
            </w:r>
            <w:r>
              <w:rPr>
                <w:rFonts w:hint="eastAsia" w:ascii="宋体" w:hAnsi="宋体" w:eastAsia="宋体" w:cs="宋体"/>
                <w:b w:val="0"/>
                <w:bCs w:val="0"/>
                <w:color w:val="auto"/>
                <w:sz w:val="21"/>
                <w:szCs w:val="21"/>
                <w:highlight w:val="none"/>
                <w:lang w:val="en-US" w:eastAsia="zh-CN"/>
              </w:rPr>
              <w:t>进行打分。</w:t>
            </w:r>
          </w:p>
          <w:p w14:paraId="157DC4F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771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39" w:type="dxa"/>
            <w:vMerge w:val="continue"/>
            <w:noWrap w:val="0"/>
            <w:vAlign w:val="center"/>
          </w:tcPr>
          <w:p w14:paraId="268C87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4FC43BE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6FEE569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磋商小组根据供应商提供的售后服务保障措施，包括企业提供本地化服务的措施、售后人员数量、专业性等进行打分。</w:t>
            </w:r>
          </w:p>
          <w:p w14:paraId="13897C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保障措施详细，合理性、可行性强的得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分；服务体系较详细，合理性、可行性较强的得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分；服务体系较详细，合理性、可行性一般的得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分；缺项得0分。</w:t>
            </w:r>
          </w:p>
        </w:tc>
      </w:tr>
      <w:tr w14:paraId="51DB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C3EC08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FA5B7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49416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F680A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947"/>
      <w:bookmarkStart w:id="54" w:name="_Toc1482"/>
      <w:bookmarkStart w:id="55" w:name="_Toc326786897"/>
      <w:bookmarkStart w:id="56"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7" w:name="_Toc1295"/>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8" w:name="_Toc30609"/>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3"/>
      <w:bookmarkEnd w:id="54"/>
      <w:bookmarkEnd w:id="58"/>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0"/>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2"/>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3" w:name="_Toc9579"/>
      <w:r>
        <w:rPr>
          <w:rFonts w:hint="eastAsia" w:ascii="宋体" w:hAnsi="宋体" w:eastAsia="宋体" w:cs="宋体"/>
          <w:color w:val="auto"/>
          <w:sz w:val="24"/>
          <w:highlight w:val="none"/>
        </w:rPr>
        <w:t xml:space="preserve">附件4 </w:t>
      </w:r>
      <w:bookmarkEnd w:id="63"/>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4"/>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31798"/>
      <w:bookmarkStart w:id="71"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竞争性磋商响应书（格式）</w:t>
      </w:r>
      <w:bookmarkEnd w:id="72"/>
      <w:bookmarkEnd w:id="73"/>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附件3            初次报价一览表</w:t>
      </w:r>
      <w:bookmarkEnd w:id="74"/>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75AF52ED">
      <w:pPr>
        <w:rPr>
          <w:rFonts w:hint="eastAsia" w:ascii="宋体" w:hAnsi="宋体" w:eastAsia="宋体" w:cs="宋体"/>
          <w:color w:val="auto"/>
          <w:highlight w:val="none"/>
        </w:rPr>
      </w:pPr>
    </w:p>
    <w:bookmarkEnd w:id="55"/>
    <w:bookmarkEnd w:id="56"/>
    <w:p w14:paraId="32162F70">
      <w:pPr>
        <w:spacing w:before="20" w:after="20"/>
        <w:outlineLvl w:val="9"/>
        <w:rPr>
          <w:rFonts w:hint="eastAsia" w:ascii="宋体" w:hAnsi="宋体" w:eastAsia="宋体" w:cs="宋体"/>
          <w:color w:val="auto"/>
          <w:highlight w:val="none"/>
          <w:lang w:eastAsia="zh-CN"/>
        </w:rPr>
      </w:pPr>
      <w:bookmarkStart w:id="81" w:name="_Toc24984"/>
      <w:bookmarkStart w:id="82"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1"/>
      <w:bookmarkEnd w:id="82"/>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bookmarkStart w:id="85" w:name="_Toc29847"/>
            <w:r>
              <w:rPr>
                <w:rFonts w:hint="eastAsia" w:ascii="宋体" w:hAnsi="宋体" w:eastAsia="宋体" w:cs="宋体"/>
                <w:b/>
                <w:sz w:val="21"/>
                <w:szCs w:val="21"/>
              </w:rPr>
              <w:t>省、市、县</w:t>
            </w:r>
            <w:bookmarkEnd w:id="85"/>
          </w:p>
          <w:p w14:paraId="1EA388BB">
            <w:pPr>
              <w:widowControl w:val="0"/>
              <w:spacing w:line="320" w:lineRule="exact"/>
              <w:jc w:val="center"/>
              <w:outlineLvl w:val="0"/>
              <w:rPr>
                <w:rFonts w:hint="eastAsia" w:ascii="宋体" w:hAnsi="宋体" w:eastAsia="宋体" w:cs="宋体"/>
                <w:b/>
                <w:sz w:val="21"/>
                <w:szCs w:val="21"/>
              </w:rPr>
            </w:pPr>
            <w:bookmarkStart w:id="86" w:name="_Toc10257"/>
            <w:r>
              <w:rPr>
                <w:rFonts w:hint="eastAsia" w:ascii="宋体" w:hAnsi="宋体" w:eastAsia="宋体" w:cs="宋体"/>
                <w:b/>
                <w:sz w:val="21"/>
                <w:szCs w:val="21"/>
              </w:rPr>
              <w:t>收费编码</w:t>
            </w:r>
            <w:bookmarkEnd w:id="86"/>
          </w:p>
          <w:p w14:paraId="0E7218A7">
            <w:pPr>
              <w:widowControl w:val="0"/>
              <w:spacing w:line="320" w:lineRule="exact"/>
              <w:jc w:val="center"/>
              <w:outlineLvl w:val="0"/>
              <w:rPr>
                <w:sz w:val="21"/>
                <w:szCs w:val="21"/>
                <w:vertAlign w:val="baseline"/>
              </w:rPr>
            </w:pPr>
            <w:bookmarkStart w:id="87" w:name="_Toc21873"/>
            <w:r>
              <w:rPr>
                <w:rFonts w:hint="eastAsia" w:ascii="宋体" w:hAnsi="宋体" w:eastAsia="宋体" w:cs="宋体"/>
                <w:b/>
                <w:sz w:val="21"/>
                <w:szCs w:val="21"/>
              </w:rPr>
              <w:t>收费标准</w:t>
            </w:r>
            <w:bookmarkEnd w:id="8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pPr>
      <w:r>
        <w:rPr>
          <w:rFonts w:hint="eastAsia" w:ascii="宋体" w:hAnsi="宋体" w:eastAsia="宋体" w:cs="宋体"/>
          <w:b/>
          <w:bCs/>
          <w:snapToGrid w:val="0"/>
          <w:color w:val="000000"/>
          <w:kern w:val="0"/>
          <w:sz w:val="24"/>
          <w:szCs w:val="24"/>
          <w:lang w:val="en-US" w:eastAsia="zh-CN" w:bidi="ar"/>
        </w:rPr>
        <w:t>备注: 此表为产品配套试剂报价表，如没有，无需制作。</w:t>
      </w:r>
    </w:p>
    <w:p w14:paraId="3C312762">
      <w:pPr>
        <w:pStyle w:val="24"/>
        <w:rPr>
          <w:rFonts w:hint="eastAsia" w:ascii="宋体" w:hAnsi="宋体" w:cs="宋体"/>
          <w:color w:val="000000" w:themeColor="text1"/>
          <w:kern w:val="0"/>
          <w:sz w:val="24"/>
          <w:highlight w:val="none"/>
          <w14:textFill>
            <w14:solidFill>
              <w14:schemeClr w14:val="tx1"/>
            </w14:solidFill>
          </w14:textFill>
        </w:rPr>
      </w:pPr>
    </w:p>
    <w:p w14:paraId="5E4799AD">
      <w:pPr>
        <w:pStyle w:val="24"/>
        <w:rPr>
          <w:rFonts w:hint="eastAsia" w:ascii="宋体" w:hAnsi="宋体" w:cs="宋体"/>
          <w:color w:val="000000" w:themeColor="text1"/>
          <w:kern w:val="0"/>
          <w:sz w:val="24"/>
          <w:highlight w:val="none"/>
          <w14:textFill>
            <w14:solidFill>
              <w14:schemeClr w14:val="tx1"/>
            </w14:solidFill>
          </w14:textFill>
        </w:rPr>
      </w:pPr>
    </w:p>
    <w:p w14:paraId="152C8C36">
      <w:pPr>
        <w:pStyle w:val="24"/>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p>
    <w:p w14:paraId="66DBF250">
      <w:pPr>
        <w:pStyle w:val="24"/>
        <w:rPr>
          <w:rFonts w:hint="eastAsia" w:ascii="宋体" w:hAnsi="宋体" w:cs="宋体"/>
          <w:color w:val="000000" w:themeColor="text1"/>
          <w:kern w:val="0"/>
          <w:sz w:val="24"/>
          <w:highlight w:val="none"/>
          <w14:textFill>
            <w14:solidFill>
              <w14:schemeClr w14:val="tx1"/>
            </w14:solidFill>
          </w14:textFill>
        </w:rPr>
      </w:pPr>
    </w:p>
    <w:p w14:paraId="02699B8D">
      <w:pPr>
        <w:pStyle w:val="24"/>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3"/>
      <w:bookmarkEnd w:id="84"/>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4168"/>
      <w:bookmarkStart w:id="89" w:name="_Toc29960"/>
      <w:bookmarkStart w:id="90" w:name="_Toc20420"/>
      <w:r>
        <w:rPr>
          <w:rFonts w:hint="eastAsia" w:ascii="宋体" w:hAnsi="宋体" w:eastAsia="宋体" w:cs="宋体"/>
          <w:color w:val="auto"/>
          <w:sz w:val="28"/>
          <w:szCs w:val="28"/>
          <w:highlight w:val="none"/>
          <w:lang w:val="en-US" w:eastAsia="zh-CN"/>
        </w:rPr>
        <w:t>附件6            商务响应</w:t>
      </w:r>
      <w:bookmarkEnd w:id="88"/>
      <w:bookmarkEnd w:id="89"/>
      <w:bookmarkEnd w:id="90"/>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1" w:name="_Toc28621"/>
      <w:bookmarkStart w:id="92" w:name="_Toc31526"/>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29406"/>
      <w:r>
        <w:rPr>
          <w:rFonts w:hint="eastAsia" w:ascii="宋体" w:hAnsi="宋体" w:eastAsia="宋体" w:cs="宋体"/>
          <w:color w:val="auto"/>
          <w:sz w:val="28"/>
          <w:szCs w:val="28"/>
          <w:highlight w:val="none"/>
          <w:lang w:val="en-US" w:eastAsia="zh-CN"/>
        </w:rPr>
        <w:t>附件7         法定代表人身份证明（格式）</w:t>
      </w:r>
      <w:bookmarkEnd w:id="91"/>
      <w:bookmarkEnd w:id="92"/>
      <w:bookmarkEnd w:id="9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2939"/>
      <w:bookmarkStart w:id="95" w:name="_Toc13976"/>
      <w:bookmarkStart w:id="96" w:name="_Toc30519"/>
      <w:r>
        <w:rPr>
          <w:rFonts w:hint="eastAsia" w:ascii="宋体" w:hAnsi="宋体" w:eastAsia="宋体" w:cs="宋体"/>
          <w:color w:val="auto"/>
          <w:sz w:val="28"/>
          <w:szCs w:val="28"/>
          <w:highlight w:val="none"/>
          <w:lang w:val="en-US" w:eastAsia="zh-CN"/>
        </w:rPr>
        <w:t>附件8         法定代表人授权书（格式）</w:t>
      </w:r>
      <w:bookmarkEnd w:id="94"/>
      <w:bookmarkEnd w:id="95"/>
      <w:bookmarkEnd w:id="96"/>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24693"/>
      <w:bookmarkStart w:id="98" w:name="_Toc3342"/>
      <w:bookmarkStart w:id="99" w:name="_Toc18105"/>
      <w:r>
        <w:rPr>
          <w:rFonts w:hint="eastAsia" w:ascii="宋体" w:hAnsi="宋体" w:eastAsia="宋体" w:cs="宋体"/>
          <w:color w:val="auto"/>
          <w:sz w:val="28"/>
          <w:szCs w:val="28"/>
          <w:highlight w:val="none"/>
          <w:lang w:val="en-US" w:eastAsia="zh-CN"/>
        </w:rPr>
        <w:t>附件9          证明文件</w:t>
      </w:r>
      <w:bookmarkEnd w:id="97"/>
      <w:bookmarkEnd w:id="98"/>
      <w:bookmarkEnd w:id="99"/>
    </w:p>
    <w:p w14:paraId="644D293B">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100"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3726"/>
      <w:bookmarkStart w:id="102" w:name="_Toc16083"/>
      <w:bookmarkStart w:id="103" w:name="_Toc12888"/>
      <w:r>
        <w:rPr>
          <w:rFonts w:hint="eastAsia" w:ascii="宋体" w:hAnsi="宋体" w:eastAsia="宋体" w:cs="宋体"/>
          <w:color w:val="auto"/>
          <w:sz w:val="28"/>
          <w:szCs w:val="28"/>
          <w:highlight w:val="none"/>
          <w:lang w:val="en-US" w:eastAsia="zh-CN"/>
        </w:rPr>
        <w:t xml:space="preserve">附件10      </w:t>
      </w:r>
      <w:bookmarkEnd w:id="100"/>
      <w:r>
        <w:rPr>
          <w:rFonts w:hint="eastAsia" w:ascii="宋体" w:hAnsi="宋体" w:eastAsia="宋体" w:cs="宋体"/>
          <w:color w:val="auto"/>
          <w:sz w:val="28"/>
          <w:szCs w:val="28"/>
          <w:highlight w:val="none"/>
          <w:lang w:val="en-US" w:eastAsia="zh-CN"/>
        </w:rPr>
        <w:t>供 应 商 承 诺 书 （格式）</w:t>
      </w:r>
      <w:bookmarkEnd w:id="101"/>
      <w:bookmarkEnd w:id="102"/>
      <w:bookmarkEnd w:id="10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2"/>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04" w:name="_Toc31685"/>
      <w:bookmarkStart w:id="105" w:name="_Toc23394"/>
      <w:bookmarkStart w:id="106" w:name="_Toc250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104"/>
      <w:bookmarkEnd w:id="105"/>
      <w:bookmarkEnd w:id="10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驻马店市中心医院无创血流动力学采购项目采购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4FD8"/>
    <w:multiLevelType w:val="singleLevel"/>
    <w:tmpl w:val="85D94FD8"/>
    <w:lvl w:ilvl="0" w:tentative="0">
      <w:start w:val="1"/>
      <w:numFmt w:val="lowerLetter"/>
      <w:suff w:val="nothing"/>
      <w:lvlText w:val="%1、"/>
      <w:lvlJc w:val="left"/>
    </w:lvl>
  </w:abstractNum>
  <w:abstractNum w:abstractNumId="1">
    <w:nsid w:val="8911B427"/>
    <w:multiLevelType w:val="singleLevel"/>
    <w:tmpl w:val="8911B427"/>
    <w:lvl w:ilvl="0" w:tentative="0">
      <w:start w:val="3"/>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13B3"/>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EB4DF8"/>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E1145"/>
    <w:rsid w:val="02B97DFD"/>
    <w:rsid w:val="02C866AB"/>
    <w:rsid w:val="02D92EF7"/>
    <w:rsid w:val="02DA4665"/>
    <w:rsid w:val="02E35293"/>
    <w:rsid w:val="02E42DB9"/>
    <w:rsid w:val="02F40325"/>
    <w:rsid w:val="02FA082F"/>
    <w:rsid w:val="031126C4"/>
    <w:rsid w:val="03217B69"/>
    <w:rsid w:val="03290C67"/>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C2A3B"/>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0F6B2A"/>
    <w:rsid w:val="081B727D"/>
    <w:rsid w:val="081D2FF5"/>
    <w:rsid w:val="08321601"/>
    <w:rsid w:val="08326375"/>
    <w:rsid w:val="083D5C91"/>
    <w:rsid w:val="0847191F"/>
    <w:rsid w:val="08591DC3"/>
    <w:rsid w:val="085B58CB"/>
    <w:rsid w:val="08672793"/>
    <w:rsid w:val="08695E80"/>
    <w:rsid w:val="087B7D1C"/>
    <w:rsid w:val="087C4541"/>
    <w:rsid w:val="087E5595"/>
    <w:rsid w:val="08BC0A60"/>
    <w:rsid w:val="08C52D6F"/>
    <w:rsid w:val="08DB07BA"/>
    <w:rsid w:val="08E42BE4"/>
    <w:rsid w:val="08EF0201"/>
    <w:rsid w:val="08F41DE8"/>
    <w:rsid w:val="08F76416"/>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6F565E"/>
    <w:rsid w:val="0A8455AD"/>
    <w:rsid w:val="0A8729A8"/>
    <w:rsid w:val="0A8C6210"/>
    <w:rsid w:val="0AB52667"/>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91287"/>
    <w:rsid w:val="0BC11EE9"/>
    <w:rsid w:val="0BF16C73"/>
    <w:rsid w:val="0BF72F1E"/>
    <w:rsid w:val="0BFC1173"/>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31B2"/>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8D1B30"/>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CB4905"/>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71B81"/>
    <w:rsid w:val="11B36778"/>
    <w:rsid w:val="11B85B3D"/>
    <w:rsid w:val="11CD20A0"/>
    <w:rsid w:val="11D34654"/>
    <w:rsid w:val="12010480"/>
    <w:rsid w:val="120E707F"/>
    <w:rsid w:val="121D0051"/>
    <w:rsid w:val="12245AF8"/>
    <w:rsid w:val="12413D84"/>
    <w:rsid w:val="127A7D1C"/>
    <w:rsid w:val="12836D8B"/>
    <w:rsid w:val="1292339A"/>
    <w:rsid w:val="12993BC0"/>
    <w:rsid w:val="12AB0349"/>
    <w:rsid w:val="12B66520"/>
    <w:rsid w:val="12CD57F1"/>
    <w:rsid w:val="12CE5941"/>
    <w:rsid w:val="12CE7AFA"/>
    <w:rsid w:val="12D67466"/>
    <w:rsid w:val="13036052"/>
    <w:rsid w:val="13272A5D"/>
    <w:rsid w:val="132A2A6A"/>
    <w:rsid w:val="133C40E3"/>
    <w:rsid w:val="13410069"/>
    <w:rsid w:val="13411EEC"/>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6B7621"/>
    <w:rsid w:val="1677211D"/>
    <w:rsid w:val="16774218"/>
    <w:rsid w:val="167954F9"/>
    <w:rsid w:val="169C5A2D"/>
    <w:rsid w:val="169C77DB"/>
    <w:rsid w:val="169F7296"/>
    <w:rsid w:val="16A060BA"/>
    <w:rsid w:val="16A57EAF"/>
    <w:rsid w:val="16A918E4"/>
    <w:rsid w:val="16AC6E3F"/>
    <w:rsid w:val="16B56AEF"/>
    <w:rsid w:val="16C872D5"/>
    <w:rsid w:val="16D01B7A"/>
    <w:rsid w:val="16D54FA3"/>
    <w:rsid w:val="16D84D9F"/>
    <w:rsid w:val="16E94D3E"/>
    <w:rsid w:val="170D06E0"/>
    <w:rsid w:val="171E2259"/>
    <w:rsid w:val="17233E03"/>
    <w:rsid w:val="17332185"/>
    <w:rsid w:val="17475951"/>
    <w:rsid w:val="175C542D"/>
    <w:rsid w:val="175D0ED4"/>
    <w:rsid w:val="17793FC0"/>
    <w:rsid w:val="179D33A9"/>
    <w:rsid w:val="179F2E61"/>
    <w:rsid w:val="17A06264"/>
    <w:rsid w:val="17BE19D3"/>
    <w:rsid w:val="17C227C0"/>
    <w:rsid w:val="17C5512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C239FC"/>
    <w:rsid w:val="1A125525"/>
    <w:rsid w:val="1A5F4342"/>
    <w:rsid w:val="1A616E2C"/>
    <w:rsid w:val="1A715D02"/>
    <w:rsid w:val="1A7D378A"/>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3473D"/>
    <w:rsid w:val="1C3861F8"/>
    <w:rsid w:val="1C4032FE"/>
    <w:rsid w:val="1C555978"/>
    <w:rsid w:val="1C6554A1"/>
    <w:rsid w:val="1C7971B7"/>
    <w:rsid w:val="1C8036FB"/>
    <w:rsid w:val="1C917D91"/>
    <w:rsid w:val="1CAB2820"/>
    <w:rsid w:val="1CC950A2"/>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215AC"/>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2142D"/>
    <w:rsid w:val="21D10545"/>
    <w:rsid w:val="21E72B0B"/>
    <w:rsid w:val="21E76A4A"/>
    <w:rsid w:val="21EE607E"/>
    <w:rsid w:val="21EF43E7"/>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B90077"/>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40B72"/>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BC6851"/>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A95D87"/>
    <w:rsid w:val="28C2534B"/>
    <w:rsid w:val="28C5525A"/>
    <w:rsid w:val="28D14B96"/>
    <w:rsid w:val="29020C46"/>
    <w:rsid w:val="290240C7"/>
    <w:rsid w:val="291713AF"/>
    <w:rsid w:val="291A2B97"/>
    <w:rsid w:val="29274EE0"/>
    <w:rsid w:val="294F692F"/>
    <w:rsid w:val="295029E3"/>
    <w:rsid w:val="29543A59"/>
    <w:rsid w:val="29670ED3"/>
    <w:rsid w:val="2969197F"/>
    <w:rsid w:val="29746395"/>
    <w:rsid w:val="29746E87"/>
    <w:rsid w:val="297939AC"/>
    <w:rsid w:val="297C03C2"/>
    <w:rsid w:val="299573AB"/>
    <w:rsid w:val="29B05804"/>
    <w:rsid w:val="29BE5BD0"/>
    <w:rsid w:val="29C01572"/>
    <w:rsid w:val="29C25353"/>
    <w:rsid w:val="29CA4207"/>
    <w:rsid w:val="29D82DC8"/>
    <w:rsid w:val="29DA08EE"/>
    <w:rsid w:val="29DB6414"/>
    <w:rsid w:val="29E74CE2"/>
    <w:rsid w:val="2A133E00"/>
    <w:rsid w:val="2A187669"/>
    <w:rsid w:val="2A241B69"/>
    <w:rsid w:val="2A306A36"/>
    <w:rsid w:val="2A457300"/>
    <w:rsid w:val="2A5372C6"/>
    <w:rsid w:val="2A5A558B"/>
    <w:rsid w:val="2A5B03D8"/>
    <w:rsid w:val="2A6F6D07"/>
    <w:rsid w:val="2A852253"/>
    <w:rsid w:val="2A882500"/>
    <w:rsid w:val="2AA075F4"/>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77216D"/>
    <w:rsid w:val="2B8D373E"/>
    <w:rsid w:val="2B9E4F56"/>
    <w:rsid w:val="2BD96984"/>
    <w:rsid w:val="2BDB5A88"/>
    <w:rsid w:val="2BDB6BA0"/>
    <w:rsid w:val="2BE826A2"/>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11F94"/>
    <w:rsid w:val="2CE327BC"/>
    <w:rsid w:val="2CE51A84"/>
    <w:rsid w:val="2CED03ED"/>
    <w:rsid w:val="2CF16074"/>
    <w:rsid w:val="2CF81D1B"/>
    <w:rsid w:val="2D3F2453"/>
    <w:rsid w:val="2D6F134E"/>
    <w:rsid w:val="2D835174"/>
    <w:rsid w:val="2D9331F9"/>
    <w:rsid w:val="2DBF294B"/>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DF69A7"/>
    <w:rsid w:val="2EFD7DB9"/>
    <w:rsid w:val="2F1A081D"/>
    <w:rsid w:val="2F1C72B3"/>
    <w:rsid w:val="2F1E3DC0"/>
    <w:rsid w:val="2F2D326E"/>
    <w:rsid w:val="2F3112DE"/>
    <w:rsid w:val="2F3B6922"/>
    <w:rsid w:val="2F3D7B25"/>
    <w:rsid w:val="2F3E024F"/>
    <w:rsid w:val="2F480119"/>
    <w:rsid w:val="2F506C6D"/>
    <w:rsid w:val="2F512253"/>
    <w:rsid w:val="2F51291F"/>
    <w:rsid w:val="2F55758A"/>
    <w:rsid w:val="2F68074A"/>
    <w:rsid w:val="2F7F15AE"/>
    <w:rsid w:val="2F912594"/>
    <w:rsid w:val="2FA54796"/>
    <w:rsid w:val="2FA674E2"/>
    <w:rsid w:val="2FBD0A96"/>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36C1F"/>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4F053F7"/>
    <w:rsid w:val="351C4931"/>
    <w:rsid w:val="351C4EAC"/>
    <w:rsid w:val="351D4C26"/>
    <w:rsid w:val="352B46F4"/>
    <w:rsid w:val="352E7D40"/>
    <w:rsid w:val="35361A77"/>
    <w:rsid w:val="35461A22"/>
    <w:rsid w:val="35483CC9"/>
    <w:rsid w:val="35487054"/>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42274"/>
    <w:rsid w:val="3876113B"/>
    <w:rsid w:val="38A53DB7"/>
    <w:rsid w:val="38BF3388"/>
    <w:rsid w:val="38CC268D"/>
    <w:rsid w:val="38D155B2"/>
    <w:rsid w:val="38DF1FDA"/>
    <w:rsid w:val="38EC2960"/>
    <w:rsid w:val="390069DD"/>
    <w:rsid w:val="39030CF9"/>
    <w:rsid w:val="39091F35"/>
    <w:rsid w:val="392536E2"/>
    <w:rsid w:val="39465F15"/>
    <w:rsid w:val="394A3A4C"/>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25BDD"/>
    <w:rsid w:val="3A393FA7"/>
    <w:rsid w:val="3A3A5A22"/>
    <w:rsid w:val="3A524858"/>
    <w:rsid w:val="3A52627F"/>
    <w:rsid w:val="3A5E2E76"/>
    <w:rsid w:val="3A64203E"/>
    <w:rsid w:val="3A663D00"/>
    <w:rsid w:val="3A7428D0"/>
    <w:rsid w:val="3A747EDD"/>
    <w:rsid w:val="3A923AE4"/>
    <w:rsid w:val="3AA50E25"/>
    <w:rsid w:val="3AC566E3"/>
    <w:rsid w:val="3AD60C5E"/>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921E9"/>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22F35"/>
    <w:rsid w:val="3D7B4622"/>
    <w:rsid w:val="3D8E5820"/>
    <w:rsid w:val="3D942E29"/>
    <w:rsid w:val="3DA53531"/>
    <w:rsid w:val="3DB54E0C"/>
    <w:rsid w:val="3DB900C1"/>
    <w:rsid w:val="3DE51866"/>
    <w:rsid w:val="3DE91725"/>
    <w:rsid w:val="3DF159B1"/>
    <w:rsid w:val="3E135D25"/>
    <w:rsid w:val="3E1A106E"/>
    <w:rsid w:val="3E2B23AB"/>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88710C"/>
    <w:rsid w:val="40920B61"/>
    <w:rsid w:val="40953369"/>
    <w:rsid w:val="40991379"/>
    <w:rsid w:val="409B3C3D"/>
    <w:rsid w:val="409F1D81"/>
    <w:rsid w:val="40F701DF"/>
    <w:rsid w:val="40FD480A"/>
    <w:rsid w:val="41006A35"/>
    <w:rsid w:val="411B59C4"/>
    <w:rsid w:val="412A32F8"/>
    <w:rsid w:val="415C2E07"/>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86769"/>
    <w:rsid w:val="43486FC5"/>
    <w:rsid w:val="43591DDA"/>
    <w:rsid w:val="435A0DF2"/>
    <w:rsid w:val="436C42E1"/>
    <w:rsid w:val="436C4A94"/>
    <w:rsid w:val="437102E7"/>
    <w:rsid w:val="43761230"/>
    <w:rsid w:val="437C210F"/>
    <w:rsid w:val="43847F02"/>
    <w:rsid w:val="438F113C"/>
    <w:rsid w:val="439E7EFB"/>
    <w:rsid w:val="43B1568A"/>
    <w:rsid w:val="43B64E08"/>
    <w:rsid w:val="43BD7F58"/>
    <w:rsid w:val="43D43ECA"/>
    <w:rsid w:val="43DD12AF"/>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12D85"/>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A55988"/>
    <w:rsid w:val="46BF7E28"/>
    <w:rsid w:val="46C3037C"/>
    <w:rsid w:val="46EF26BD"/>
    <w:rsid w:val="46FF15E0"/>
    <w:rsid w:val="4700581C"/>
    <w:rsid w:val="4702516A"/>
    <w:rsid w:val="4724600B"/>
    <w:rsid w:val="472E597E"/>
    <w:rsid w:val="474A4B33"/>
    <w:rsid w:val="47665A15"/>
    <w:rsid w:val="47677941"/>
    <w:rsid w:val="477F1660"/>
    <w:rsid w:val="477F32DF"/>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C52312"/>
    <w:rsid w:val="48DB312A"/>
    <w:rsid w:val="48DF49D9"/>
    <w:rsid w:val="492108CC"/>
    <w:rsid w:val="49276B29"/>
    <w:rsid w:val="49413F52"/>
    <w:rsid w:val="494F6304"/>
    <w:rsid w:val="49792B95"/>
    <w:rsid w:val="49F11610"/>
    <w:rsid w:val="4A05334F"/>
    <w:rsid w:val="4A060864"/>
    <w:rsid w:val="4A244932"/>
    <w:rsid w:val="4A2922C8"/>
    <w:rsid w:val="4A4117B2"/>
    <w:rsid w:val="4A4A6F73"/>
    <w:rsid w:val="4A7A4350"/>
    <w:rsid w:val="4A7B1703"/>
    <w:rsid w:val="4A7E2497"/>
    <w:rsid w:val="4A896826"/>
    <w:rsid w:val="4A8E3303"/>
    <w:rsid w:val="4ABF5E17"/>
    <w:rsid w:val="4ACB00B3"/>
    <w:rsid w:val="4ACF7478"/>
    <w:rsid w:val="4AD52CE0"/>
    <w:rsid w:val="4ADD3943"/>
    <w:rsid w:val="4AE01A66"/>
    <w:rsid w:val="4AE104D6"/>
    <w:rsid w:val="4AE724D1"/>
    <w:rsid w:val="4AE77140"/>
    <w:rsid w:val="4AEA4061"/>
    <w:rsid w:val="4AEB3612"/>
    <w:rsid w:val="4AED707B"/>
    <w:rsid w:val="4AFA2F07"/>
    <w:rsid w:val="4B015D61"/>
    <w:rsid w:val="4B0B7979"/>
    <w:rsid w:val="4B1530DD"/>
    <w:rsid w:val="4B520DF4"/>
    <w:rsid w:val="4B5D6832"/>
    <w:rsid w:val="4B603107"/>
    <w:rsid w:val="4B7A5635"/>
    <w:rsid w:val="4B8E10E1"/>
    <w:rsid w:val="4B9802B0"/>
    <w:rsid w:val="4B9E65BE"/>
    <w:rsid w:val="4B9F33A8"/>
    <w:rsid w:val="4BA80AFD"/>
    <w:rsid w:val="4BB033BA"/>
    <w:rsid w:val="4BB469AD"/>
    <w:rsid w:val="4BC06040"/>
    <w:rsid w:val="4BC66ACD"/>
    <w:rsid w:val="4BCF5981"/>
    <w:rsid w:val="4BD846DB"/>
    <w:rsid w:val="4BDA4326"/>
    <w:rsid w:val="4BF441D2"/>
    <w:rsid w:val="4C1C2A09"/>
    <w:rsid w:val="4C284AD9"/>
    <w:rsid w:val="4C423098"/>
    <w:rsid w:val="4C694192"/>
    <w:rsid w:val="4C7964D9"/>
    <w:rsid w:val="4C8C5620"/>
    <w:rsid w:val="4C9269F6"/>
    <w:rsid w:val="4C983FC5"/>
    <w:rsid w:val="4CAA6E24"/>
    <w:rsid w:val="4CB75F07"/>
    <w:rsid w:val="4CC84335"/>
    <w:rsid w:val="4CDA3E72"/>
    <w:rsid w:val="4CE4545C"/>
    <w:rsid w:val="4CE9350A"/>
    <w:rsid w:val="4D014937"/>
    <w:rsid w:val="4D1E2466"/>
    <w:rsid w:val="4D225F85"/>
    <w:rsid w:val="4D267823"/>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447E9"/>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D21A70"/>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8D0188"/>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684EDC"/>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753D7"/>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05F4A"/>
    <w:rsid w:val="59AC3C86"/>
    <w:rsid w:val="59B817D3"/>
    <w:rsid w:val="59C11856"/>
    <w:rsid w:val="59C153AB"/>
    <w:rsid w:val="59D42FDA"/>
    <w:rsid w:val="59DA4E01"/>
    <w:rsid w:val="59F64E82"/>
    <w:rsid w:val="5A0A5DD6"/>
    <w:rsid w:val="5A10435C"/>
    <w:rsid w:val="5A2654CC"/>
    <w:rsid w:val="5A323A44"/>
    <w:rsid w:val="5A33357F"/>
    <w:rsid w:val="5A3572F7"/>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7616C"/>
    <w:rsid w:val="5C1A6BB2"/>
    <w:rsid w:val="5C1D6DB7"/>
    <w:rsid w:val="5C306D31"/>
    <w:rsid w:val="5C37233A"/>
    <w:rsid w:val="5C5355FE"/>
    <w:rsid w:val="5C5A49A5"/>
    <w:rsid w:val="5C6519EA"/>
    <w:rsid w:val="5C6715FE"/>
    <w:rsid w:val="5C6F4105"/>
    <w:rsid w:val="5CBB7F6F"/>
    <w:rsid w:val="5CC248CE"/>
    <w:rsid w:val="5D042FB1"/>
    <w:rsid w:val="5D1D4073"/>
    <w:rsid w:val="5D442CB4"/>
    <w:rsid w:val="5D7C3F11"/>
    <w:rsid w:val="5D8440F2"/>
    <w:rsid w:val="5D971C5A"/>
    <w:rsid w:val="5D974FA7"/>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7F3237"/>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5062D6"/>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221085"/>
    <w:rsid w:val="65365B2B"/>
    <w:rsid w:val="653F447E"/>
    <w:rsid w:val="65542778"/>
    <w:rsid w:val="655829AF"/>
    <w:rsid w:val="656B70C3"/>
    <w:rsid w:val="658F4798"/>
    <w:rsid w:val="659B1EBA"/>
    <w:rsid w:val="65A11CE5"/>
    <w:rsid w:val="65A83379"/>
    <w:rsid w:val="65B461E9"/>
    <w:rsid w:val="65BE39A8"/>
    <w:rsid w:val="65C23A09"/>
    <w:rsid w:val="65C55D3B"/>
    <w:rsid w:val="65FB3FBE"/>
    <w:rsid w:val="66101A71"/>
    <w:rsid w:val="66171FA7"/>
    <w:rsid w:val="66247D11"/>
    <w:rsid w:val="663B3EC9"/>
    <w:rsid w:val="665A1E94"/>
    <w:rsid w:val="666A0329"/>
    <w:rsid w:val="66736112"/>
    <w:rsid w:val="667F5B5B"/>
    <w:rsid w:val="6694262A"/>
    <w:rsid w:val="66990381"/>
    <w:rsid w:val="66B31B01"/>
    <w:rsid w:val="66CE1E80"/>
    <w:rsid w:val="66D80C6D"/>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0150"/>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3417"/>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AEB1137"/>
    <w:rsid w:val="6B0A3E88"/>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BFF647F"/>
    <w:rsid w:val="6C044EAC"/>
    <w:rsid w:val="6C053C7D"/>
    <w:rsid w:val="6C0D357A"/>
    <w:rsid w:val="6C2076DB"/>
    <w:rsid w:val="6C234DED"/>
    <w:rsid w:val="6C29198B"/>
    <w:rsid w:val="6C3A67D1"/>
    <w:rsid w:val="6C3D2D5C"/>
    <w:rsid w:val="6C4800AA"/>
    <w:rsid w:val="6C4D28F8"/>
    <w:rsid w:val="6C573E9C"/>
    <w:rsid w:val="6C5C23DC"/>
    <w:rsid w:val="6C6D1126"/>
    <w:rsid w:val="6C8163CC"/>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6261FE"/>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3B1C6E"/>
    <w:rsid w:val="6F4147D9"/>
    <w:rsid w:val="6F581F47"/>
    <w:rsid w:val="6F5B0D5A"/>
    <w:rsid w:val="6F5C35EA"/>
    <w:rsid w:val="6F6B6A15"/>
    <w:rsid w:val="6F947E4B"/>
    <w:rsid w:val="6FA30BDA"/>
    <w:rsid w:val="6FB21D4C"/>
    <w:rsid w:val="6FB80698"/>
    <w:rsid w:val="6FFD5E0F"/>
    <w:rsid w:val="700C3FBC"/>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97518"/>
    <w:rsid w:val="734C1A6A"/>
    <w:rsid w:val="735663B7"/>
    <w:rsid w:val="735C5949"/>
    <w:rsid w:val="73671287"/>
    <w:rsid w:val="73737DA5"/>
    <w:rsid w:val="73740A39"/>
    <w:rsid w:val="73783823"/>
    <w:rsid w:val="73887B3E"/>
    <w:rsid w:val="73892412"/>
    <w:rsid w:val="73AF2114"/>
    <w:rsid w:val="73AF381F"/>
    <w:rsid w:val="73E96BCA"/>
    <w:rsid w:val="73EE4A6E"/>
    <w:rsid w:val="740C4268"/>
    <w:rsid w:val="741048BC"/>
    <w:rsid w:val="742E78D4"/>
    <w:rsid w:val="74317498"/>
    <w:rsid w:val="74335A84"/>
    <w:rsid w:val="743A6A13"/>
    <w:rsid w:val="7453787F"/>
    <w:rsid w:val="74676A28"/>
    <w:rsid w:val="747E40B6"/>
    <w:rsid w:val="749F7D37"/>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32780"/>
    <w:rsid w:val="75E8633A"/>
    <w:rsid w:val="76360227"/>
    <w:rsid w:val="76393874"/>
    <w:rsid w:val="763F09AA"/>
    <w:rsid w:val="764F3FCC"/>
    <w:rsid w:val="7650339F"/>
    <w:rsid w:val="76592168"/>
    <w:rsid w:val="76603C9A"/>
    <w:rsid w:val="766B00E5"/>
    <w:rsid w:val="76832D41"/>
    <w:rsid w:val="768B2C28"/>
    <w:rsid w:val="76AE6010"/>
    <w:rsid w:val="76BB1CAB"/>
    <w:rsid w:val="76C04050"/>
    <w:rsid w:val="76C27D0D"/>
    <w:rsid w:val="76CD65D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A20C9"/>
    <w:rsid w:val="78250553"/>
    <w:rsid w:val="782F3180"/>
    <w:rsid w:val="783B17B1"/>
    <w:rsid w:val="784E2046"/>
    <w:rsid w:val="78546F0C"/>
    <w:rsid w:val="786778FE"/>
    <w:rsid w:val="7887678E"/>
    <w:rsid w:val="789D588A"/>
    <w:rsid w:val="78B65E3A"/>
    <w:rsid w:val="78E0091E"/>
    <w:rsid w:val="78EE1C79"/>
    <w:rsid w:val="78F85605"/>
    <w:rsid w:val="78FA66FA"/>
    <w:rsid w:val="790A599B"/>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DE6E0B"/>
    <w:rsid w:val="7AE66B99"/>
    <w:rsid w:val="7AF34646"/>
    <w:rsid w:val="7AFE508C"/>
    <w:rsid w:val="7B0A3BCA"/>
    <w:rsid w:val="7B1C0EF4"/>
    <w:rsid w:val="7B345AA9"/>
    <w:rsid w:val="7B4048C1"/>
    <w:rsid w:val="7B4C5DF7"/>
    <w:rsid w:val="7B73082F"/>
    <w:rsid w:val="7B7B492E"/>
    <w:rsid w:val="7B9A3D1D"/>
    <w:rsid w:val="7BB340C8"/>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04E61"/>
    <w:rsid w:val="7CE26EBF"/>
    <w:rsid w:val="7CEE3130"/>
    <w:rsid w:val="7CFC08E8"/>
    <w:rsid w:val="7D1E1A15"/>
    <w:rsid w:val="7D1F6674"/>
    <w:rsid w:val="7D475E29"/>
    <w:rsid w:val="7D480B34"/>
    <w:rsid w:val="7D777A3E"/>
    <w:rsid w:val="7D9005BC"/>
    <w:rsid w:val="7D9F0AD0"/>
    <w:rsid w:val="7DB22BDF"/>
    <w:rsid w:val="7DC205F3"/>
    <w:rsid w:val="7DD12BB7"/>
    <w:rsid w:val="7DF223A2"/>
    <w:rsid w:val="7DFF0955"/>
    <w:rsid w:val="7E096221"/>
    <w:rsid w:val="7E0B750E"/>
    <w:rsid w:val="7E1939E8"/>
    <w:rsid w:val="7E2400E7"/>
    <w:rsid w:val="7E2822EA"/>
    <w:rsid w:val="7E2A20CE"/>
    <w:rsid w:val="7E355A7B"/>
    <w:rsid w:val="7E455322"/>
    <w:rsid w:val="7E682F48"/>
    <w:rsid w:val="7E6E3E85"/>
    <w:rsid w:val="7E7318ED"/>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17885</Words>
  <Characters>18659</Characters>
  <Lines>50</Lines>
  <Paragraphs>68</Paragraphs>
  <TotalTime>0</TotalTime>
  <ScaleCrop>false</ScaleCrop>
  <LinksUpToDate>false</LinksUpToDate>
  <CharactersWithSpaces>19829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2026-01-19T03:03:28Z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6A1AF0EEA5F342ACA2891978592CC23D_13</vt:lpwstr>
  </property>
  <property fmtid="{D5CDD505-2E9C-101B-9397-08002B2CF9AE}" pid="4" name="KSOTemplateDocerSaveRecord">
    <vt:lpwstr>eyJoZGlkIjoiYzIwMjRmYTY4OTJhZjc1NTA1MGQwNDc0NzZhNTkwMmUiLCJ1c2VySWQiOiIxNjg0NTc5MjM2In0=</vt:lpwstr>
  </property>
</Properties>
</file>