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cs="宋体"/>
          <w:b/>
          <w:bCs/>
          <w:color w:val="auto"/>
          <w:sz w:val="44"/>
          <w:szCs w:val="44"/>
          <w:highlight w:val="none"/>
          <w:lang w:val="en-US" w:eastAsia="zh-CN"/>
        </w:rPr>
        <w:t>驻马店市中心医院医科达直线加速器配件一批采购项目</w:t>
      </w:r>
    </w:p>
    <w:bookmarkEnd w:id="101"/>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_Toc26528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_Toc19124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_Toc8501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_Toc31399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_Toc11904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_Toc18702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驻马店市中心医院医科达直线加速器配件一批采购项目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驻马店市中心医院医科达直线加速器配件一批采购项目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驻马店市中心医院医科达直线加速器配件一批采购项目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r>
        <w:rPr>
          <w:rFonts w:hint="eastAsia" w:ascii="宋体" w:hAnsi="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22.8万元</w:t>
      </w:r>
      <w:r>
        <w:rPr>
          <w:rFonts w:hint="eastAsia" w:ascii="宋体" w:hAnsi="宋体" w:cs="宋体"/>
          <w:color w:val="auto"/>
          <w:szCs w:val="21"/>
          <w:highlight w:val="none"/>
          <w:shd w:val="clear" w:color="auto" w:fill="FFFFFF"/>
          <w:lang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：按照合同约定执行</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符合国家法规规定和检测合格</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8607"/>
      <w:bookmarkStart w:id="5" w:name="_Toc27704"/>
      <w:bookmarkStart w:id="6" w:name="_Toc23626"/>
      <w:bookmarkStart w:id="7" w:name="_Toc16639"/>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9562"/>
      <w:bookmarkStart w:id="9" w:name="_Toc7823"/>
      <w:bookmarkStart w:id="10" w:name="_Toc3064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1FEBC05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w:t>
      </w:r>
      <w:r>
        <w:rPr>
          <w:rFonts w:hint="eastAsia" w:ascii="宋体" w:hAnsi="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26</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2569739997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25869"/>
      <w:bookmarkStart w:id="16" w:name="_Toc10738"/>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31928"/>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6</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23</w:t>
      </w:r>
      <w:r>
        <w:rPr>
          <w:rFonts w:hint="eastAsia" w:ascii="宋体" w:hAnsi="宋体" w:eastAsia="宋体" w:cs="宋体"/>
          <w:color w:val="FF0000"/>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驻马店市中心医院医科达直线加速器配件一批采购项目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u w:val="none"/>
                <w:vertAlign w:val="baseline"/>
                <w:lang w:val="en-US" w:eastAsia="zh-CN"/>
              </w:rPr>
              <w:t>医科达直线加速器配件一批采购</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1</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批</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22.8万元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8"/>
                <w:szCs w:val="28"/>
                <w:highlight w:val="none"/>
                <w:vertAlign w:val="baseline"/>
                <w:lang w:val="en-US" w:eastAsia="zh-CN" w:bidi="ar-SA"/>
              </w:rPr>
            </w:pPr>
            <w:r>
              <w:rPr>
                <w:rFonts w:hint="eastAsia" w:ascii="宋体" w:hAnsi="宋体" w:eastAsia="宋体" w:cs="宋体"/>
                <w:sz w:val="28"/>
                <w:szCs w:val="28"/>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sz w:val="28"/>
                <w:szCs w:val="28"/>
                <w:highlight w:val="none"/>
                <w:vertAlign w:val="baseline"/>
                <w:lang w:val="en-US" w:eastAsia="zh-CN"/>
              </w:rPr>
              <w:t>22.8万元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color w:val="auto"/>
                <w:sz w:val="21"/>
                <w:szCs w:val="21"/>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适用设备型号为医科达直线加速器Infinity，详情见附件</w:t>
            </w:r>
          </w:p>
        </w:tc>
      </w:tr>
    </w:tbl>
    <w:p w14:paraId="6509F58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987830C">
      <w:pPr>
        <w:pStyle w:val="89"/>
        <w:numPr>
          <w:ilvl w:val="0"/>
          <w:numId w:val="0"/>
        </w:numPr>
        <w:spacing w:line="360" w:lineRule="auto"/>
        <w:ind w:leftChars="0"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1.参数要求</w:t>
      </w:r>
    </w:p>
    <w:tbl>
      <w:tblPr>
        <w:tblStyle w:val="34"/>
        <w:tblW w:w="9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037"/>
        <w:gridCol w:w="5025"/>
        <w:gridCol w:w="1075"/>
        <w:gridCol w:w="684"/>
      </w:tblGrid>
      <w:tr w14:paraId="1351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DA7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A1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u w:val="none"/>
                <w:vertAlign w:val="baseline"/>
                <w:lang w:val="en-US" w:eastAsia="zh-CN"/>
              </w:rPr>
              <w:t>配</w:t>
            </w:r>
            <w:r>
              <w:rPr>
                <w:rFonts w:hint="eastAsia" w:ascii="宋体" w:hAnsi="宋体" w:eastAsia="宋体" w:cs="宋体"/>
                <w:i w:val="0"/>
                <w:iCs w:val="0"/>
                <w:color w:val="000000"/>
                <w:kern w:val="0"/>
                <w:sz w:val="20"/>
                <w:szCs w:val="20"/>
                <w:highlight w:val="none"/>
                <w:u w:val="none"/>
                <w:lang w:val="en-US" w:eastAsia="zh-CN" w:bidi="ar"/>
              </w:rPr>
              <w:t>件名称</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6AC83895">
            <w:pPr>
              <w:pStyle w:val="92"/>
              <w:spacing w:before="199" w:line="203" w:lineRule="auto"/>
              <w:ind w:left="131" w:leftChars="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参数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036">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单价控制价（元）</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3498">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数量</w:t>
            </w:r>
          </w:p>
        </w:tc>
      </w:tr>
      <w:tr w14:paraId="3557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9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5A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光矩尺灯组件</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03BF3582">
            <w:pPr>
              <w:pStyle w:val="92"/>
              <w:spacing w:before="199"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显示刻度范围-75mm至150mm。100mm误差小于2mm。加速器专用接口。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605">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21000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20BD">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072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3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CD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电压转换板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B5F72">
            <w:pPr>
              <w:pStyle w:val="92"/>
              <w:spacing w:before="199"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12V至5V稳定电压转换。配合光距尺接口使用。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B4D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12000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080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6144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B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4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DLG</w:t>
            </w:r>
            <w:r>
              <w:rPr>
                <w:rStyle w:val="80"/>
                <w:rFonts w:hint="eastAsia" w:ascii="宋体" w:hAnsi="宋体" w:eastAsia="宋体" w:cs="宋体"/>
                <w:sz w:val="20"/>
                <w:szCs w:val="20"/>
                <w:highlight w:val="none"/>
                <w:lang w:val="en-US" w:eastAsia="zh-CN" w:bidi="ar"/>
              </w:rPr>
              <w:t>驱动板</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3F9C47F7">
            <w:pPr>
              <w:pStyle w:val="92"/>
              <w:spacing w:before="198"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满足DLG刹车随时变化的驱动电压稳定供电。满足DLG刹车驱动电流。满足agility专用接口。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BF2">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26000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4757">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425B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0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91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Mirror</w:t>
            </w:r>
            <w:r>
              <w:rPr>
                <w:rStyle w:val="80"/>
                <w:rFonts w:hint="eastAsia" w:ascii="宋体" w:hAnsi="宋体" w:eastAsia="宋体" w:cs="宋体"/>
                <w:sz w:val="20"/>
                <w:szCs w:val="20"/>
                <w:highlight w:val="none"/>
                <w:lang w:val="en-US" w:eastAsia="zh-CN" w:bidi="ar"/>
              </w:rPr>
              <w:t>（反光镜）</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6876FF8F">
            <w:pPr>
              <w:pStyle w:val="92"/>
              <w:spacing w:before="197"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满足红宝石反光效果。不影响束流方向。不影响射线质量。保证MLC精度。</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F8C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17000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B79">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388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1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9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Fine </w:t>
            </w:r>
            <w:r>
              <w:rPr>
                <w:rStyle w:val="80"/>
                <w:rFonts w:hint="eastAsia" w:ascii="宋体" w:hAnsi="宋体" w:eastAsia="宋体" w:cs="宋体"/>
                <w:sz w:val="20"/>
                <w:szCs w:val="20"/>
                <w:highlight w:val="none"/>
                <w:lang w:val="en-US" w:eastAsia="zh-CN" w:bidi="ar"/>
              </w:rPr>
              <w:t>电位器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98947DC">
            <w:pPr>
              <w:pStyle w:val="92"/>
              <w:spacing w:before="199" w:line="203" w:lineRule="auto"/>
              <w:ind w:left="114"/>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20K阻值。阻值实现线性变化。可以实现无限圈数变化。</w:t>
            </w:r>
          </w:p>
          <w:p w14:paraId="4FCDBD3B">
            <w:pPr>
              <w:pStyle w:val="92"/>
              <w:spacing w:before="199" w:line="203" w:lineRule="auto"/>
              <w:ind w:left="114" w:leftChars="0"/>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配合infinity机器接口。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F10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2700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258">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r>
      <w:tr w14:paraId="680B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7F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5D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黑色电位器</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5DC0E7AF">
            <w:pPr>
              <w:pStyle w:val="92"/>
              <w:spacing w:before="199" w:line="203" w:lineRule="auto"/>
              <w:ind w:left="131"/>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lang w:val="en-US" w:eastAsia="zh-CN"/>
              </w:rPr>
              <w:t>20K阻值。阻值实现线性变化。保证10圈旋转。配合infinity机器接口。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6BB3">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2500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BC28">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3</w:t>
            </w:r>
          </w:p>
        </w:tc>
      </w:tr>
      <w:tr w14:paraId="59E1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B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Leaf motor spares kit </w:t>
            </w:r>
            <w:r>
              <w:rPr>
                <w:rStyle w:val="80"/>
                <w:rFonts w:hint="eastAsia" w:ascii="宋体" w:hAnsi="宋体" w:eastAsia="宋体" w:cs="宋体"/>
                <w:sz w:val="20"/>
                <w:szCs w:val="20"/>
                <w:highlight w:val="none"/>
                <w:lang w:val="en-US" w:eastAsia="zh-CN" w:bidi="ar"/>
              </w:rPr>
              <w:t>（叶片丝杆套件）</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9D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逻辑控制单元，用于治疗床各个方向运动的逻辑控制</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170C">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8F8">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3</w:t>
            </w:r>
          </w:p>
        </w:tc>
      </w:tr>
      <w:tr w14:paraId="68EC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76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6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LCU</w:t>
            </w:r>
            <w:r>
              <w:rPr>
                <w:rStyle w:val="80"/>
                <w:rFonts w:hint="eastAsia" w:ascii="宋体" w:hAnsi="宋体" w:eastAsia="宋体" w:cs="宋体"/>
                <w:sz w:val="20"/>
                <w:szCs w:val="20"/>
                <w:highlight w:val="none"/>
                <w:lang w:val="en-US" w:eastAsia="zh-CN" w:bidi="ar"/>
              </w:rPr>
              <w:t>板</w:t>
            </w:r>
            <w:r>
              <w:rPr>
                <w:rStyle w:val="93"/>
                <w:rFonts w:hint="eastAsia" w:ascii="宋体" w:hAnsi="宋体" w:eastAsia="宋体" w:cs="宋体"/>
                <w:sz w:val="20"/>
                <w:szCs w:val="20"/>
                <w:highlight w:val="none"/>
                <w:lang w:val="en-US" w:eastAsia="zh-CN" w:bidi="ar"/>
              </w:rPr>
              <w:t>REV.02</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BE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逻辑控制单元，用于治疗床各个方向运动的逻辑控制</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FA90">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8700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2E5E">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6E80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1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C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Gasket FC </w:t>
            </w:r>
            <w:r>
              <w:rPr>
                <w:rStyle w:val="93"/>
                <w:rFonts w:hint="eastAsia" w:ascii="宋体" w:hAnsi="宋体" w:eastAsia="宋体" w:cs="宋体"/>
                <w:sz w:val="20"/>
                <w:szCs w:val="20"/>
                <w:highlight w:val="none"/>
                <w:lang w:val="en-US" w:eastAsia="zh-CN" w:bidi="ar"/>
              </w:rPr>
              <w:t xml:space="preserve"> flange</w:t>
            </w:r>
            <w:r>
              <w:rPr>
                <w:rStyle w:val="80"/>
                <w:rFonts w:hint="eastAsia" w:ascii="宋体" w:hAnsi="宋体" w:eastAsia="宋体" w:cs="宋体"/>
                <w:sz w:val="20"/>
                <w:szCs w:val="20"/>
                <w:highlight w:val="none"/>
                <w:lang w:val="en-US" w:eastAsia="zh-CN" w:bidi="ar"/>
              </w:rPr>
              <w:t>（铜密封圈</w:t>
            </w:r>
            <w:r>
              <w:rPr>
                <w:rStyle w:val="93"/>
                <w:rFonts w:hint="eastAsia" w:ascii="宋体" w:hAnsi="宋体" w:eastAsia="宋体" w:cs="宋体"/>
                <w:sz w:val="20"/>
                <w:szCs w:val="20"/>
                <w:highlight w:val="none"/>
                <w:lang w:val="en-US" w:eastAsia="zh-CN" w:bidi="ar"/>
              </w:rPr>
              <w:t>/</w:t>
            </w:r>
            <w:r>
              <w:rPr>
                <w:rStyle w:val="80"/>
                <w:rFonts w:hint="eastAsia" w:ascii="宋体" w:hAnsi="宋体" w:eastAsia="宋体" w:cs="宋体"/>
                <w:sz w:val="20"/>
                <w:szCs w:val="20"/>
                <w:highlight w:val="none"/>
                <w:lang w:val="en-US" w:eastAsia="zh-CN" w:bidi="ar"/>
              </w:rPr>
              <w:t>橡胶密封圈）</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1515">
            <w:pPr>
              <w:pStyle w:val="92"/>
              <w:spacing w:before="57" w:line="203" w:lineRule="auto"/>
              <w:ind w:left="114"/>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满足10负7真空环境密封。满足真空环境下弹性要求。</w:t>
            </w:r>
          </w:p>
          <w:p w14:paraId="67294208">
            <w:pPr>
              <w:pStyle w:val="92"/>
              <w:spacing w:before="57" w:line="203" w:lineRule="auto"/>
              <w:ind w:left="114"/>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配合阿皮松使用。真空专用接口。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8E89">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C85">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r>
      <w:tr w14:paraId="65FD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6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Seal</w:t>
            </w:r>
            <w:r>
              <w:rPr>
                <w:rStyle w:val="80"/>
                <w:rFonts w:hint="eastAsia" w:ascii="宋体" w:hAnsi="宋体" w:eastAsia="宋体" w:cs="宋体"/>
                <w:sz w:val="20"/>
                <w:szCs w:val="20"/>
                <w:highlight w:val="none"/>
                <w:lang w:val="en-US" w:eastAsia="zh-CN" w:bidi="ar"/>
              </w:rPr>
              <w:t>（橡胶圈）</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68B1">
            <w:pPr>
              <w:pStyle w:val="92"/>
              <w:spacing w:before="57" w:line="203" w:lineRule="auto"/>
              <w:ind w:left="114"/>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满足10负7真空环境密封。满足真空环境下弹性要求。</w:t>
            </w:r>
          </w:p>
          <w:p w14:paraId="2CA17FE4">
            <w:pPr>
              <w:pStyle w:val="92"/>
              <w:spacing w:before="57" w:line="203" w:lineRule="auto"/>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配合阿皮松使用。真空专用接口。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290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526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4</w:t>
            </w:r>
          </w:p>
        </w:tc>
      </w:tr>
      <w:tr w14:paraId="0EBC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B1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阿皮松密封胶</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AA8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真空专用密封胶。</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67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500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B17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2E48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F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A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target drive assembly</w:t>
            </w:r>
            <w:r>
              <w:rPr>
                <w:rStyle w:val="80"/>
                <w:rFonts w:hint="eastAsia" w:ascii="宋体" w:hAnsi="宋体" w:eastAsia="宋体" w:cs="宋体"/>
                <w:sz w:val="20"/>
                <w:szCs w:val="20"/>
                <w:highlight w:val="none"/>
                <w:lang w:val="en-US" w:eastAsia="zh-CN" w:bidi="ar"/>
              </w:rPr>
              <w:t>（机械传动机构）</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1EF8">
            <w:pPr>
              <w:pStyle w:val="92"/>
              <w:spacing w:before="58" w:line="203" w:lineRule="auto"/>
              <w:ind w:left="131"/>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提供飞行管运动动力。满足飞行管运动行程。</w:t>
            </w:r>
          </w:p>
          <w:p w14:paraId="63055980">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满足infinity机器专用接口。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4D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24000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3F7C">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924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4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Slitless flight tube kit</w:t>
            </w:r>
            <w:r>
              <w:rPr>
                <w:rStyle w:val="80"/>
                <w:rFonts w:hint="eastAsia" w:ascii="宋体" w:hAnsi="宋体" w:eastAsia="宋体" w:cs="宋体"/>
                <w:sz w:val="20"/>
                <w:szCs w:val="20"/>
                <w:highlight w:val="none"/>
                <w:lang w:val="en-US" w:eastAsia="zh-CN" w:bidi="ar"/>
              </w:rPr>
              <w:t>（飞行管）</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D67C">
            <w:pPr>
              <w:pStyle w:val="92"/>
              <w:spacing w:before="203" w:line="203" w:lineRule="auto"/>
              <w:ind w:left="131"/>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具有X线功能。具备电子线功能。具备10负7真空工作环境。具备水路降温功能。具备机器专用接口。</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6184">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68000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19B">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w:t>
            </w:r>
          </w:p>
        </w:tc>
      </w:tr>
      <w:tr w14:paraId="1005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17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F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filter element </w:t>
            </w:r>
            <w:r>
              <w:rPr>
                <w:rStyle w:val="93"/>
                <w:rFonts w:hint="eastAsia" w:ascii="宋体" w:hAnsi="宋体" w:eastAsia="宋体" w:cs="宋体"/>
                <w:sz w:val="20"/>
                <w:szCs w:val="20"/>
                <w:highlight w:val="none"/>
                <w:lang w:val="en-US" w:eastAsia="zh-CN" w:bidi="ar"/>
              </w:rPr>
              <w:t xml:space="preserve"> 5 micron</w:t>
            </w:r>
            <w:r>
              <w:rPr>
                <w:rStyle w:val="80"/>
                <w:rFonts w:hint="eastAsia" w:ascii="宋体" w:hAnsi="宋体" w:eastAsia="宋体" w:cs="宋体"/>
                <w:sz w:val="20"/>
                <w:szCs w:val="20"/>
                <w:highlight w:val="none"/>
                <w:lang w:val="en-US" w:eastAsia="zh-CN" w:bidi="ar"/>
              </w:rPr>
              <w:t>（滤芯）</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385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lang w:val="en-US" w:eastAsia="zh-CN"/>
              </w:rPr>
              <w:t>达到内循环水过滤功能。</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E0F">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1500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40A6">
            <w:pPr>
              <w:keepNext w:val="0"/>
              <w:keepLines w:val="0"/>
              <w:widowControl/>
              <w:suppressLineNumbers w:val="0"/>
              <w:jc w:val="center"/>
              <w:textAlignment w:val="center"/>
              <w:rPr>
                <w:rFonts w:hint="eastAsia" w:ascii="宋体" w:hAnsi="宋体" w:eastAsia="宋体" w:cs="宋体"/>
                <w:sz w:val="20"/>
                <w:szCs w:val="20"/>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2</w:t>
            </w:r>
          </w:p>
        </w:tc>
      </w:tr>
      <w:tr w14:paraId="7017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F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Drift tube assembly</w:t>
            </w:r>
            <w:r>
              <w:rPr>
                <w:rStyle w:val="80"/>
                <w:rFonts w:hint="eastAsia" w:ascii="宋体" w:hAnsi="宋体" w:eastAsia="宋体" w:cs="宋体"/>
                <w:sz w:val="20"/>
                <w:szCs w:val="20"/>
                <w:highlight w:val="none"/>
                <w:lang w:val="en-US" w:eastAsia="zh-CN" w:bidi="ar"/>
              </w:rPr>
              <w:t>（波纹管）</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664605CC">
            <w:pPr>
              <w:pStyle w:val="92"/>
              <w:spacing w:line="370" w:lineRule="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具备真空环境下可伸缩超过2CM。具备10负7真空工作环境。满足加速管接口。配合专用密封圈使用。</w:t>
            </w:r>
          </w:p>
          <w:p w14:paraId="36112254">
            <w:pPr>
              <w:pStyle w:val="92"/>
              <w:spacing w:before="58" w:line="203" w:lineRule="auto"/>
              <w:rPr>
                <w:rFonts w:hint="eastAsia" w:ascii="宋体" w:hAnsi="宋体" w:eastAsia="宋体" w:cs="宋体"/>
                <w:kern w:val="2"/>
                <w:sz w:val="20"/>
                <w:szCs w:val="20"/>
                <w:highlight w:val="none"/>
                <w:lang w:val="en-US" w:eastAsia="zh-CN" w:bidi="ar-SA"/>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8FC">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25000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40D1">
            <w:pPr>
              <w:keepNext w:val="0"/>
              <w:keepLines w:val="0"/>
              <w:widowControl/>
              <w:suppressLineNumbers w:val="0"/>
              <w:jc w:val="center"/>
              <w:textAlignment w:val="center"/>
              <w:rPr>
                <w:rFonts w:hint="eastAsia" w:ascii="宋体" w:hAnsi="宋体" w:eastAsia="宋体" w:cs="宋体"/>
                <w:kern w:val="2"/>
                <w:sz w:val="20"/>
                <w:szCs w:val="20"/>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r>
      <w:tr w14:paraId="141E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4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治疗头内部风扇（</w:t>
            </w:r>
            <w:r>
              <w:rPr>
                <w:rStyle w:val="93"/>
                <w:rFonts w:hint="eastAsia" w:ascii="宋体" w:hAnsi="宋体" w:eastAsia="宋体" w:cs="宋体"/>
                <w:sz w:val="20"/>
                <w:szCs w:val="20"/>
                <w:highlight w:val="none"/>
                <w:lang w:val="en-US" w:eastAsia="zh-CN" w:bidi="ar"/>
              </w:rPr>
              <w:t>ledprojector fan</w:t>
            </w:r>
            <w:r>
              <w:rPr>
                <w:rStyle w:val="80"/>
                <w:rFonts w:hint="eastAsia" w:ascii="宋体" w:hAnsi="宋体" w:eastAsia="宋体" w:cs="宋体"/>
                <w:sz w:val="20"/>
                <w:szCs w:val="20"/>
                <w:highlight w:val="none"/>
                <w:lang w:val="en-US" w:eastAsia="zh-CN" w:bidi="ar"/>
              </w:rPr>
              <w:t>，）</w:t>
            </w: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B11F8">
            <w:pPr>
              <w:pStyle w:val="92"/>
              <w:spacing w:before="58" w:line="203" w:lineRule="auto"/>
              <w:rPr>
                <w:rFonts w:hint="eastAsia" w:ascii="宋体" w:hAnsi="宋体" w:eastAsia="宋体" w:cs="宋体"/>
                <w:kern w:val="2"/>
                <w:sz w:val="20"/>
                <w:szCs w:val="20"/>
                <w:highlight w:val="none"/>
                <w:lang w:val="en-US" w:eastAsia="zh-CN" w:bidi="ar-SA"/>
              </w:rPr>
            </w:pPr>
            <w:r>
              <w:rPr>
                <w:rFonts w:hint="eastAsia" w:ascii="宋体" w:hAnsi="宋体" w:eastAsia="宋体" w:cs="宋体"/>
                <w:sz w:val="20"/>
                <w:szCs w:val="20"/>
                <w:highlight w:val="none"/>
              </w:rPr>
              <w:t xml:space="preserve"> DC 5V  0.95W 用于马达驱动板及LED projector散热</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3690">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430A">
            <w:pPr>
              <w:keepNext w:val="0"/>
              <w:keepLines w:val="0"/>
              <w:widowControl/>
              <w:suppressLineNumbers w:val="0"/>
              <w:jc w:val="center"/>
              <w:textAlignment w:val="center"/>
              <w:rPr>
                <w:rFonts w:hint="eastAsia" w:ascii="宋体" w:hAnsi="宋体" w:eastAsia="宋体" w:cs="宋体"/>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6</w:t>
            </w:r>
          </w:p>
        </w:tc>
      </w:tr>
      <w:tr w14:paraId="0D35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92A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备注</w:t>
            </w:r>
          </w:p>
        </w:tc>
        <w:tc>
          <w:tcPr>
            <w:tcW w:w="678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9EB2F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满足</w:t>
            </w:r>
            <w:r>
              <w:rPr>
                <w:rFonts w:hint="eastAsia" w:ascii="宋体" w:hAnsi="宋体" w:eastAsia="宋体" w:cs="宋体"/>
                <w:b/>
                <w:bCs/>
                <w:i w:val="0"/>
                <w:iCs w:val="0"/>
                <w:color w:val="000000"/>
                <w:kern w:val="0"/>
                <w:sz w:val="21"/>
                <w:szCs w:val="21"/>
                <w:highlight w:val="none"/>
                <w:u w:val="none"/>
                <w:lang w:val="en-US" w:eastAsia="zh-CN" w:bidi="ar"/>
              </w:rPr>
              <w:t>特定技术要求,为保证病人治疗的精准度，DLG驱动板;光矩尺灯组件为进口备件。</w:t>
            </w:r>
          </w:p>
        </w:tc>
      </w:tr>
    </w:tbl>
    <w:p w14:paraId="11F35DF3">
      <w:pPr>
        <w:widowControl/>
        <w:adjustRightInd w:val="0"/>
        <w:snapToGrid w:val="0"/>
        <w:spacing w:line="560" w:lineRule="exact"/>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.按要求达到原机质量要求，符合国家法规规定和检测合格。</w:t>
      </w:r>
    </w:p>
    <w:p w14:paraId="6F9EFBC8">
      <w:pPr>
        <w:widowControl/>
        <w:adjustRightInd w:val="0"/>
        <w:snapToGrid w:val="0"/>
        <w:spacing w:line="560" w:lineRule="exact"/>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zh-CN"/>
        </w:rPr>
        <w:t>安装</w:t>
      </w:r>
      <w:r>
        <w:rPr>
          <w:rFonts w:hint="eastAsia" w:ascii="宋体" w:hAnsi="宋体" w:eastAsia="宋体" w:cs="宋体"/>
          <w:kern w:val="0"/>
          <w:sz w:val="21"/>
          <w:szCs w:val="21"/>
          <w:highlight w:val="none"/>
          <w:lang w:val="en-US" w:eastAsia="zh-CN"/>
        </w:rPr>
        <w:t>配件</w:t>
      </w:r>
      <w:r>
        <w:rPr>
          <w:rFonts w:hint="eastAsia" w:ascii="宋体" w:hAnsi="宋体" w:eastAsia="宋体" w:cs="宋体"/>
          <w:kern w:val="0"/>
          <w:sz w:val="21"/>
          <w:szCs w:val="21"/>
          <w:highlight w:val="none"/>
          <w:lang w:val="zh-CN"/>
        </w:rPr>
        <w:t>后要完成校准调试，需提供安装工程师原厂培训认证证书。</w:t>
      </w:r>
    </w:p>
    <w:p w14:paraId="5C70B08A">
      <w:pPr>
        <w:widowControl/>
        <w:adjustRightInd w:val="0"/>
        <w:snapToGrid w:val="0"/>
        <w:spacing w:line="560" w:lineRule="exact"/>
        <w:ind w:firstLine="420" w:firstLineChars="200"/>
        <w:jc w:val="left"/>
        <w:rPr>
          <w:rFonts w:hint="eastAsia" w:ascii="宋体" w:hAnsi="宋体" w:eastAsia="宋体" w:cs="宋体"/>
          <w:b/>
          <w:bCs/>
          <w:color w:val="auto"/>
          <w:sz w:val="30"/>
          <w:szCs w:val="30"/>
          <w:highlight w:val="none"/>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zh-CN"/>
        </w:rPr>
        <w:t>备件的供应渠道必须符合国家相关法律法规，不会给设备和操作人员带来危害。</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FF0000"/>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按照合同约定执行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kern w:val="0"/>
                <w:sz w:val="21"/>
                <w:szCs w:val="21"/>
                <w:highlight w:val="none"/>
                <w:lang w:val="en-US" w:eastAsia="zh-CN"/>
              </w:rPr>
              <w:t>3个月</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zh-CN"/>
              </w:rPr>
              <w:t>符合国家法规规定和检测合格</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zh-CN"/>
              </w:rPr>
              <w:t>安装验收完成后付款 90%，合同履行完毕后付款 10%。</w:t>
            </w:r>
          </w:p>
        </w:tc>
      </w:tr>
      <w:tr w14:paraId="37C5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E3B652">
            <w:pPr>
              <w:pStyle w:val="8"/>
              <w:ind w:left="0" w:leftChars="0"/>
              <w:jc w:val="center"/>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val="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E9FB6C5">
            <w:pPr>
              <w:pStyle w:val="8"/>
              <w:ind w:left="0" w:leftChars="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医院指定地点</w:t>
            </w:r>
          </w:p>
        </w:tc>
      </w:tr>
      <w:tr w14:paraId="429CE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8E2952E">
            <w:pPr>
              <w:pStyle w:val="8"/>
              <w:ind w:left="0" w:left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保险</w:t>
            </w:r>
          </w:p>
        </w:tc>
        <w:tc>
          <w:tcPr>
            <w:tcW w:w="7354" w:type="dxa"/>
            <w:tcBorders>
              <w:top w:val="single" w:color="auto" w:sz="4" w:space="0"/>
              <w:left w:val="single" w:color="auto" w:sz="4" w:space="0"/>
              <w:bottom w:val="single" w:color="auto" w:sz="4" w:space="0"/>
              <w:right w:val="single" w:color="auto" w:sz="4" w:space="0"/>
            </w:tcBorders>
            <w:noWrap/>
            <w:vAlign w:val="center"/>
          </w:tcPr>
          <w:p w14:paraId="3BB6B1A3">
            <w:pPr>
              <w:pStyle w:val="8"/>
              <w:ind w:left="0" w:leftChars="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中标方承担</w:t>
            </w:r>
          </w:p>
        </w:tc>
      </w:tr>
      <w:tr w14:paraId="3C721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A84A04">
            <w:pPr>
              <w:pStyle w:val="8"/>
              <w:ind w:left="0" w:left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包装和运输</w:t>
            </w:r>
          </w:p>
        </w:tc>
        <w:tc>
          <w:tcPr>
            <w:tcW w:w="7354" w:type="dxa"/>
            <w:tcBorders>
              <w:top w:val="single" w:color="auto" w:sz="4" w:space="0"/>
              <w:left w:val="single" w:color="auto" w:sz="4" w:space="0"/>
              <w:bottom w:val="single" w:color="auto" w:sz="4" w:space="0"/>
              <w:right w:val="single" w:color="auto" w:sz="4" w:space="0"/>
            </w:tcBorders>
            <w:noWrap/>
            <w:vAlign w:val="center"/>
          </w:tcPr>
          <w:p w14:paraId="050DFF09">
            <w:pPr>
              <w:pStyle w:val="8"/>
              <w:ind w:left="0" w:leftChars="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中标方承担包装和运输费用</w:t>
            </w:r>
          </w:p>
        </w:tc>
      </w:tr>
    </w:tbl>
    <w:p w14:paraId="38673D0D">
      <w:pPr>
        <w:pStyle w:val="24"/>
        <w:rPr>
          <w:rFonts w:hint="eastAsia" w:ascii="宋体" w:hAnsi="宋体" w:eastAsia="宋体" w:cs="宋体"/>
          <w:color w:val="auto"/>
          <w:highlight w:val="none"/>
        </w:rPr>
      </w:pPr>
    </w:p>
    <w:p w14:paraId="4D4318C1">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驻马店市中心医院医科达直线加速器配件一批采购项目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22.8万元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:22.8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22.8万元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388671C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w:t>
      </w:r>
    </w:p>
    <w:p w14:paraId="19B0016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2）提供相关证明文件，并对响应技术参数部分做出明显标注。</w:t>
            </w:r>
          </w:p>
        </w:tc>
      </w:tr>
      <w:tr w14:paraId="420D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D07BECE">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2BA281C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4043CAE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投标产品制造工艺、稳定性较好、安全性较高的得 2 分；投标产品制造工艺、稳定性、安全性一般的得 1 分。</w:t>
            </w:r>
          </w:p>
        </w:tc>
      </w:tr>
      <w:tr w14:paraId="0FFF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6FD9F1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381B87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6F17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1E07A1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20B2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12</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具体详实，完全满足采购需求的得4分；有较具体的供货保障措施，基本满足采购需求的得2分；供货保障措施不完备，不能满足采购需求的得1分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三个月</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757EF6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0BA69046">
      <w:pPr>
        <w:pStyle w:val="33"/>
        <w:ind w:left="0" w:leftChars="0" w:firstLine="0" w:firstLineChars="0"/>
        <w:jc w:val="left"/>
        <w:rPr>
          <w:rFonts w:hint="default"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注：二轮/最终报价需对标的物逐一报单价。</w:t>
      </w: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3342"/>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产品技术参数支持资料</w:t>
      </w:r>
    </w:p>
    <w:p w14:paraId="00828F39">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2"/>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驻马店市中心医院医科达直线加速器配件一批采购项目采购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4E0D66"/>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3760FC"/>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DF21846"/>
    <w:rsid w:val="1E0345E3"/>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11C46"/>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95359C"/>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190438"/>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20395"/>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8A5C8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605EE"/>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4316E6"/>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6E1A6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1DD50CD"/>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57259"/>
    <w:rsid w:val="65BE39A8"/>
    <w:rsid w:val="65C23A09"/>
    <w:rsid w:val="65FB3FBE"/>
    <w:rsid w:val="66101A71"/>
    <w:rsid w:val="66171FA7"/>
    <w:rsid w:val="66247D11"/>
    <w:rsid w:val="663B3EC9"/>
    <w:rsid w:val="665A1E94"/>
    <w:rsid w:val="66703E53"/>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basedOn w:val="36"/>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16453</Words>
  <Characters>17436</Characters>
  <Lines>50</Lines>
  <Paragraphs>68</Paragraphs>
  <TotalTime>13</TotalTime>
  <ScaleCrop>false</ScaleCrop>
  <LinksUpToDate>false</LinksUpToDate>
  <CharactersWithSpaces>18420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2026-01-19T03:03:47Z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79DDBB427E5A4AE2B0AF690894A7E2CB_13</vt:lpwstr>
  </property>
  <property fmtid="{D5CDD505-2E9C-101B-9397-08002B2CF9AE}" pid="4" name="KSOTemplateDocerSaveRecord">
    <vt:lpwstr>eyJoZGlkIjoiYzIwMjRmYTY4OTJhZjc1NTA1MGQwNDc0NzZhNTkwMmUiLCJ1c2VySWQiOiIxNjg0NTc5MjM2In0=</vt:lpwstr>
  </property>
</Properties>
</file>