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独立集中供液系统采购项目采购项目</w:t>
      </w:r>
    </w:p>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独立集中供液系统采购项目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独立集中供液系统采购项目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独立集中供液系统采购项目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34万元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w:t>
      </w:r>
      <w:bookmarkStart w:id="101" w:name="_GoBack"/>
      <w:bookmarkEnd w:id="101"/>
      <w:r>
        <w:rPr>
          <w:rFonts w:hint="eastAsia" w:ascii="宋体" w:hAnsi="宋体" w:eastAsia="宋体" w:cs="宋体"/>
          <w:color w:val="auto"/>
          <w:szCs w:val="21"/>
          <w:highlight w:val="none"/>
          <w:shd w:val="clear" w:color="auto" w:fill="FFFFFF"/>
          <w:lang w:val="en-US" w:eastAsia="zh-CN"/>
        </w:rPr>
        <w:t>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03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zxcxmglyxgs@163.com</w:t>
      </w:r>
      <w:r>
        <w:rPr>
          <w:rFonts w:hint="eastAsia" w:ascii="宋体" w:hAnsi="宋体" w:eastAsia="宋体" w:cs="宋体"/>
          <w:color w:val="auto"/>
          <w:kern w:val="0"/>
          <w:sz w:val="21"/>
          <w:szCs w:val="21"/>
          <w:highlight w:val="none"/>
          <w:shd w:val="clear" w:color="auto" w:fill="FFFFFF"/>
          <w:lang w:val="en-US" w:eastAsia="zh-CN" w:bidi="ar-SA"/>
        </w:rPr>
        <w:t>,并标明</w:t>
      </w:r>
      <w:r>
        <w:rPr>
          <w:rFonts w:hint="eastAsia" w:ascii="宋体" w:hAnsi="宋体" w:cs="宋体"/>
          <w:color w:val="auto"/>
          <w:kern w:val="0"/>
          <w:sz w:val="21"/>
          <w:szCs w:val="21"/>
          <w:highlight w:val="none"/>
          <w:shd w:val="clear" w:color="auto" w:fill="FFFFFF"/>
          <w:lang w:val="en-US" w:eastAsia="zh-CN" w:bidi="ar-SA"/>
        </w:rPr>
        <w:t>XX</w:t>
      </w:r>
      <w:r>
        <w:rPr>
          <w:rFonts w:hint="eastAsia" w:ascii="宋体" w:hAnsi="宋体" w:eastAsia="宋体" w:cs="宋体"/>
          <w:color w:val="auto"/>
          <w:kern w:val="0"/>
          <w:sz w:val="21"/>
          <w:szCs w:val="21"/>
          <w:highlight w:val="none"/>
          <w:shd w:val="clear" w:color="auto" w:fill="FFFFFF"/>
          <w:lang w:val="en-US" w:eastAsia="zh-CN" w:bidi="ar-SA"/>
        </w:rPr>
        <w:t>公司</w:t>
      </w:r>
      <w:r>
        <w:rPr>
          <w:rFonts w:hint="eastAsia" w:ascii="宋体" w:hAnsi="宋体" w:cs="宋体"/>
          <w:color w:val="auto"/>
          <w:kern w:val="0"/>
          <w:sz w:val="21"/>
          <w:szCs w:val="21"/>
          <w:highlight w:val="none"/>
          <w:shd w:val="clear" w:color="auto" w:fill="FFFFFF"/>
          <w:lang w:val="en-US" w:eastAsia="zh-CN" w:bidi="ar-SA"/>
        </w:rPr>
        <w:t>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kern w:val="0"/>
          <w:sz w:val="21"/>
          <w:szCs w:val="21"/>
          <w:highlight w:val="none"/>
          <w:shd w:val="clear" w:color="auto" w:fill="FFFFFF"/>
          <w:lang w:val="en-US" w:eastAsia="zh-CN" w:bidi="ar-SA"/>
        </w:rPr>
        <w:t>X</w:t>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独立集中供液系统采购项目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1"/>
                <w:szCs w:val="21"/>
                <w:vertAlign w:val="baseline"/>
                <w:lang w:val="en-US" w:eastAsia="zh-CN"/>
              </w:rPr>
            </w:pPr>
            <w:r>
              <w:rPr>
                <w:rFonts w:hint="default" w:ascii="仿宋" w:hAnsi="仿宋" w:eastAsia="仿宋" w:cs="仿宋"/>
                <w:sz w:val="28"/>
                <w:szCs w:val="28"/>
                <w:vertAlign w:val="baseline"/>
                <w:lang w:val="en-US" w:eastAsia="zh-CN"/>
              </w:rPr>
              <w:t>独立集中供液系统</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34万元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eastAsia" w:ascii="仿宋" w:hAnsi="仿宋" w:eastAsia="仿宋" w:cs="仿宋"/>
                <w:sz w:val="28"/>
                <w:szCs w:val="28"/>
                <w:vertAlign w:val="baseline"/>
                <w:lang w:val="en-US" w:eastAsia="zh-CN"/>
              </w:rPr>
              <w:t>34万元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02974DF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3820FF6">
      <w:pPr>
        <w:numPr>
          <w:ilvl w:val="0"/>
          <w:numId w:val="0"/>
        </w:numPr>
        <w:shd w:val="clear" w:color="auto" w:fill="auto"/>
        <w:spacing w:line="360" w:lineRule="auto"/>
        <w:ind w:firstLine="422" w:firstLineChars="20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color w:val="auto"/>
          <w:sz w:val="21"/>
          <w:szCs w:val="21"/>
          <w:highlight w:val="none"/>
          <w:lang w:val="en-US" w:eastAsia="zh-CN"/>
        </w:rPr>
        <w:t>（一）技术参数</w:t>
      </w:r>
    </w:p>
    <w:p w14:paraId="6B53F4BE">
      <w:pPr>
        <w:numPr>
          <w:ilvl w:val="0"/>
          <w:numId w:val="0"/>
        </w:numPr>
        <w:spacing w:line="192" w:lineRule="auto"/>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独立集中供液系统技术参数</w:t>
      </w:r>
    </w:p>
    <w:p w14:paraId="3F5E92F3">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1.技术指标：供应的成品指标符合YY0598-2015规定要求，并且大于10微米的微粒数量不大于3个/mL。最终透析液内毒素小于0.3EU/mL . </w:t>
      </w:r>
    </w:p>
    <w:p w14:paraId="4C218BDA">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 xml:space="preserve">2.主要工艺：水流式搅拌溶解，电导检测后转运至供液模块，大循环无死腔管道供应至透析机旁，密闭式供液，无需插拔。 </w:t>
      </w:r>
    </w:p>
    <w:p w14:paraId="6EC88FF1">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3.单次可配制人份A液</w:t>
      </w:r>
      <w:r>
        <w:rPr>
          <w:rFonts w:hint="default" w:ascii="Arial" w:hAnsi="Arial" w:cs="Arial"/>
          <w:sz w:val="21"/>
          <w:szCs w:val="21"/>
        </w:rPr>
        <w:t>≥</w:t>
      </w:r>
      <w:r>
        <w:rPr>
          <w:rFonts w:hint="eastAsia"/>
          <w:sz w:val="21"/>
          <w:szCs w:val="21"/>
        </w:rPr>
        <w:t>40人份 B液</w:t>
      </w:r>
      <w:r>
        <w:rPr>
          <w:rFonts w:hint="default" w:ascii="Arial" w:hAnsi="Arial" w:cs="Arial"/>
          <w:sz w:val="21"/>
          <w:szCs w:val="21"/>
        </w:rPr>
        <w:t>≥</w:t>
      </w:r>
      <w:r>
        <w:rPr>
          <w:rFonts w:hint="eastAsia"/>
          <w:sz w:val="21"/>
          <w:szCs w:val="21"/>
        </w:rPr>
        <w:t>30人份，供应系统可储存A液</w:t>
      </w:r>
      <w:r>
        <w:rPr>
          <w:rFonts w:hint="default" w:ascii="Arial" w:hAnsi="Arial" w:cs="Arial"/>
          <w:sz w:val="21"/>
          <w:szCs w:val="21"/>
        </w:rPr>
        <w:t>≥</w:t>
      </w:r>
      <w:r>
        <w:rPr>
          <w:rFonts w:hint="eastAsia"/>
          <w:sz w:val="21"/>
          <w:szCs w:val="21"/>
        </w:rPr>
        <w:t>80人份。B</w:t>
      </w:r>
      <w:r>
        <w:rPr>
          <w:rFonts w:hint="eastAsia"/>
          <w:sz w:val="21"/>
          <w:szCs w:val="21"/>
          <w:lang w:val="en-US" w:eastAsia="zh-CN"/>
        </w:rPr>
        <w:t>液</w:t>
      </w:r>
      <w:r>
        <w:rPr>
          <w:rFonts w:hint="default" w:ascii="Arial" w:hAnsi="Arial" w:cs="Arial"/>
          <w:sz w:val="21"/>
          <w:szCs w:val="21"/>
        </w:rPr>
        <w:t>≥</w:t>
      </w:r>
      <w:r>
        <w:rPr>
          <w:rFonts w:hint="eastAsia"/>
          <w:sz w:val="21"/>
          <w:szCs w:val="21"/>
        </w:rPr>
        <w:t>60人份。可至少满足</w:t>
      </w:r>
      <w:r>
        <w:rPr>
          <w:rFonts w:hint="eastAsia"/>
          <w:sz w:val="21"/>
          <w:szCs w:val="21"/>
          <w:lang w:val="en-US" w:eastAsia="zh-CN"/>
        </w:rPr>
        <w:t>80</w:t>
      </w:r>
      <w:r>
        <w:rPr>
          <w:rFonts w:hint="eastAsia"/>
          <w:sz w:val="21"/>
          <w:szCs w:val="21"/>
        </w:rPr>
        <w:t>床透析机同时供液需要</w:t>
      </w:r>
      <w:r>
        <w:rPr>
          <w:rFonts w:hint="eastAsia"/>
          <w:sz w:val="21"/>
          <w:szCs w:val="21"/>
          <w:lang w:eastAsia="zh-CN"/>
        </w:rPr>
        <w:t>。</w:t>
      </w:r>
      <w:r>
        <w:rPr>
          <w:rFonts w:hint="eastAsia"/>
          <w:sz w:val="21"/>
          <w:szCs w:val="21"/>
        </w:rPr>
        <w:t xml:space="preserve"> </w:t>
      </w:r>
    </w:p>
    <w:p w14:paraId="7E39D022">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 xml:space="preserve">4.溶解时间 ＜30min </w:t>
      </w:r>
    </w:p>
    <w:p w14:paraId="51697CEE">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 xml:space="preserve">5.配制误差 ＜0.4% </w:t>
      </w:r>
    </w:p>
    <w:p w14:paraId="6C6949E3">
      <w:pPr>
        <w:pageBreakBefore w:val="0"/>
        <w:widowControl w:val="0"/>
        <w:kinsoku/>
        <w:wordWrap/>
        <w:overflowPunct/>
        <w:topLinePunct w:val="0"/>
        <w:autoSpaceDE/>
        <w:autoSpaceDN/>
        <w:bidi w:val="0"/>
        <w:adjustRightInd/>
        <w:spacing w:line="360" w:lineRule="auto"/>
        <w:textAlignment w:val="auto"/>
        <w:rPr>
          <w:rFonts w:hint="eastAsia" w:eastAsia="宋体"/>
          <w:sz w:val="21"/>
          <w:szCs w:val="21"/>
          <w:lang w:eastAsia="zh-CN"/>
        </w:rPr>
      </w:pPr>
      <w:r>
        <w:rPr>
          <w:rFonts w:hint="eastAsia"/>
          <w:sz w:val="21"/>
          <w:szCs w:val="21"/>
          <w:lang w:val="en-US" w:eastAsia="zh-CN"/>
        </w:rPr>
        <w:t>6</w:t>
      </w:r>
      <w:r>
        <w:rPr>
          <w:rFonts w:hint="eastAsia"/>
          <w:sz w:val="21"/>
          <w:szCs w:val="21"/>
        </w:rPr>
        <w:t xml:space="preserve">.水源及干粉要求：符合YY0572-2015要求的透析用水（供水压力大于等于0.1MPa）和符合YY0598-2015的透析干粉 </w:t>
      </w:r>
      <w:r>
        <w:rPr>
          <w:rFonts w:hint="eastAsia"/>
          <w:sz w:val="21"/>
          <w:szCs w:val="21"/>
          <w:lang w:eastAsia="zh-CN"/>
        </w:rPr>
        <w:t>。</w:t>
      </w:r>
    </w:p>
    <w:p w14:paraId="1C3F9269">
      <w:pPr>
        <w:pageBreakBefore w:val="0"/>
        <w:widowControl w:val="0"/>
        <w:kinsoku/>
        <w:wordWrap/>
        <w:overflowPunct/>
        <w:topLinePunct w:val="0"/>
        <w:autoSpaceDE/>
        <w:autoSpaceDN/>
        <w:bidi w:val="0"/>
        <w:adjustRightInd/>
        <w:snapToGrid w:val="0"/>
        <w:spacing w:line="360" w:lineRule="auto"/>
        <w:textAlignment w:val="auto"/>
        <w:rPr>
          <w:rFonts w:hint="eastAsia"/>
          <w:sz w:val="21"/>
          <w:szCs w:val="21"/>
        </w:rPr>
      </w:pPr>
      <w:r>
        <w:rPr>
          <w:rStyle w:val="97"/>
          <w:rFonts w:hint="eastAsia"/>
          <w:sz w:val="21"/>
          <w:szCs w:val="21"/>
        </w:rPr>
        <w:t xml:space="preserve">二、 功能 </w:t>
      </w:r>
      <w:r>
        <w:rPr>
          <w:rFonts w:hint="eastAsia"/>
          <w:sz w:val="21"/>
          <w:szCs w:val="21"/>
        </w:rPr>
        <w:t> </w:t>
      </w:r>
    </w:p>
    <w:p w14:paraId="6C03B2E8">
      <w:pPr>
        <w:pageBreakBefore w:val="0"/>
        <w:widowControl w:val="0"/>
        <w:kinsoku/>
        <w:wordWrap/>
        <w:overflowPunct/>
        <w:topLinePunct w:val="0"/>
        <w:autoSpaceDE/>
        <w:autoSpaceDN/>
        <w:bidi w:val="0"/>
        <w:adjustRightInd/>
        <w:spacing w:line="360" w:lineRule="auto"/>
        <w:textAlignment w:val="auto"/>
        <w:rPr>
          <w:rFonts w:hint="eastAsia"/>
          <w:sz w:val="21"/>
          <w:szCs w:val="21"/>
          <w:lang w:eastAsia="zh-CN"/>
        </w:rPr>
      </w:pPr>
      <w:r>
        <w:rPr>
          <w:rFonts w:hint="eastAsia"/>
          <w:sz w:val="21"/>
          <w:szCs w:val="21"/>
        </w:rPr>
        <w:t>1.全触摸屏一键式操作，可5~40人份中任意选择。并具有应急手动模式</w:t>
      </w:r>
      <w:r>
        <w:rPr>
          <w:rFonts w:hint="eastAsia"/>
          <w:sz w:val="21"/>
          <w:szCs w:val="21"/>
          <w:lang w:eastAsia="zh-CN"/>
        </w:rPr>
        <w:t>。</w:t>
      </w:r>
    </w:p>
    <w:p w14:paraId="63E2C316">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2.自动进水和标定，误差小于0.4%。具有液位复核功能，可手动调整进水量。可随时中断配液动作进行应急处理。</w:t>
      </w:r>
    </w:p>
    <w:p w14:paraId="2CE158AA">
      <w:pPr>
        <w:pageBreakBefore w:val="0"/>
        <w:widowControl w:val="0"/>
        <w:kinsoku/>
        <w:wordWrap/>
        <w:overflowPunct/>
        <w:topLinePunct w:val="0"/>
        <w:autoSpaceDE/>
        <w:autoSpaceDN/>
        <w:bidi w:val="0"/>
        <w:adjustRightInd/>
        <w:spacing w:line="360" w:lineRule="auto"/>
        <w:textAlignment w:val="auto"/>
        <w:rPr>
          <w:rFonts w:hint="eastAsia"/>
          <w:sz w:val="21"/>
          <w:szCs w:val="21"/>
          <w:lang w:eastAsia="zh-CN"/>
        </w:rPr>
      </w:pPr>
      <w:r>
        <w:rPr>
          <w:rFonts w:hint="eastAsia"/>
          <w:sz w:val="21"/>
          <w:szCs w:val="21"/>
        </w:rPr>
        <w:t>3.每次配液结束后自动清洗杀菌。</w:t>
      </w:r>
    </w:p>
    <w:p w14:paraId="7639CB65">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4.</w:t>
      </w:r>
      <w:r>
        <w:rPr>
          <w:rFonts w:hint="eastAsia"/>
          <w:sz w:val="21"/>
          <w:szCs w:val="21"/>
        </w:rPr>
        <w:t>具有缺水报警和进水防溢功能</w:t>
      </w:r>
      <w:r>
        <w:rPr>
          <w:rFonts w:hint="eastAsia"/>
          <w:sz w:val="21"/>
          <w:szCs w:val="21"/>
          <w:lang w:val="en-US" w:eastAsia="zh-CN"/>
        </w:rPr>
        <w:t>,</w:t>
      </w:r>
      <w:r>
        <w:rPr>
          <w:rFonts w:hint="eastAsia"/>
          <w:sz w:val="21"/>
          <w:szCs w:val="21"/>
        </w:rPr>
        <w:t>提醒和报警均为声光报警。</w:t>
      </w:r>
    </w:p>
    <w:p w14:paraId="1F7E87DB">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5</w:t>
      </w:r>
      <w:r>
        <w:rPr>
          <w:rFonts w:hint="eastAsia"/>
          <w:sz w:val="21"/>
          <w:szCs w:val="21"/>
        </w:rPr>
        <w:t>.消毒状态供液管路返回透析机消毒循环，不存在任何消毒死腔。</w:t>
      </w:r>
    </w:p>
    <w:p w14:paraId="171C8F3A">
      <w:pPr>
        <w:pageBreakBefore w:val="0"/>
        <w:widowControl w:val="0"/>
        <w:kinsoku/>
        <w:wordWrap/>
        <w:overflowPunct/>
        <w:topLinePunct w:val="0"/>
        <w:autoSpaceDE/>
        <w:autoSpaceDN/>
        <w:bidi w:val="0"/>
        <w:adjustRightInd/>
        <w:spacing w:line="360" w:lineRule="auto"/>
        <w:textAlignment w:val="auto"/>
        <w:rPr>
          <w:rFonts w:hint="eastAsia"/>
          <w:sz w:val="21"/>
          <w:szCs w:val="21"/>
          <w:lang w:eastAsia="zh-CN"/>
        </w:rPr>
      </w:pPr>
      <w:r>
        <w:rPr>
          <w:rFonts w:hint="eastAsia"/>
          <w:sz w:val="21"/>
          <w:szCs w:val="21"/>
          <w:lang w:val="en-US" w:eastAsia="zh-CN"/>
        </w:rPr>
        <w:t>6.</w:t>
      </w:r>
      <w:r>
        <w:rPr>
          <w:rFonts w:hint="eastAsia"/>
          <w:sz w:val="21"/>
          <w:szCs w:val="21"/>
        </w:rPr>
        <w:t>滤器自动清洗：B液系统配液输送完成后，自动对过滤器进行清洗</w:t>
      </w:r>
      <w:r>
        <w:rPr>
          <w:rFonts w:hint="eastAsia"/>
          <w:sz w:val="21"/>
          <w:szCs w:val="21"/>
          <w:lang w:eastAsia="zh-CN"/>
        </w:rPr>
        <w:t>。</w:t>
      </w:r>
    </w:p>
    <w:p w14:paraId="018177AE">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7</w:t>
      </w:r>
      <w:r>
        <w:rPr>
          <w:rFonts w:hint="eastAsia"/>
          <w:sz w:val="21"/>
          <w:szCs w:val="21"/>
        </w:rPr>
        <w:t>.可设置每天的供液时段及班前定时清洗时间。</w:t>
      </w:r>
    </w:p>
    <w:p w14:paraId="3930E82E">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8</w:t>
      </w:r>
      <w:r>
        <w:rPr>
          <w:rFonts w:hint="eastAsia"/>
          <w:sz w:val="21"/>
          <w:szCs w:val="21"/>
        </w:rPr>
        <w:t>.夜晚脉动功能，防止液体静止。</w:t>
      </w:r>
    </w:p>
    <w:p w14:paraId="006256A9">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9</w:t>
      </w:r>
      <w:r>
        <w:rPr>
          <w:rFonts w:hint="eastAsia"/>
          <w:sz w:val="21"/>
          <w:szCs w:val="21"/>
        </w:rPr>
        <w:t>.配液完成后经多重微粒过滤后进入储液系统，确保供液超纯。</w:t>
      </w:r>
    </w:p>
    <w:p w14:paraId="43BF3628">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10</w:t>
      </w:r>
      <w:r>
        <w:rPr>
          <w:rFonts w:hint="eastAsia"/>
          <w:sz w:val="21"/>
          <w:szCs w:val="21"/>
        </w:rPr>
        <w:t>.拍断式切断总电源，确保发生紧急情况时最短时间断电。</w:t>
      </w:r>
    </w:p>
    <w:p w14:paraId="353454A7">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11.具有储液不足提醒配液的功能。</w:t>
      </w:r>
    </w:p>
    <w:p w14:paraId="7E1C42F1">
      <w:pPr>
        <w:pageBreakBefore w:val="0"/>
        <w:widowControl w:val="0"/>
        <w:numPr>
          <w:ilvl w:val="0"/>
          <w:numId w:val="0"/>
        </w:numPr>
        <w:kinsoku/>
        <w:wordWrap/>
        <w:overflowPunct/>
        <w:topLinePunct w:val="0"/>
        <w:autoSpaceDE/>
        <w:autoSpaceDN/>
        <w:bidi w:val="0"/>
        <w:adjustRightInd/>
        <w:spacing w:line="360" w:lineRule="auto"/>
        <w:textAlignment w:val="auto"/>
        <w:rPr>
          <w:sz w:val="21"/>
          <w:szCs w:val="21"/>
        </w:rPr>
      </w:pPr>
      <w:r>
        <w:rPr>
          <w:rFonts w:hint="eastAsia"/>
          <w:sz w:val="21"/>
          <w:szCs w:val="21"/>
          <w:lang w:val="en-US" w:eastAsia="zh-CN"/>
        </w:rPr>
        <w:t>12.</w:t>
      </w:r>
      <w:r>
        <w:rPr>
          <w:rFonts w:hint="eastAsia"/>
          <w:sz w:val="21"/>
          <w:szCs w:val="21"/>
        </w:rPr>
        <w:t>具有配液、储液双重喷淋及杀菌功能，并都具有防止空气污染的细菌过滤器。</w:t>
      </w:r>
      <w:r>
        <w:rPr>
          <w:rFonts w:hint="eastAsia"/>
          <w:sz w:val="21"/>
          <w:szCs w:val="21"/>
          <w:lang w:val="en-US" w:eastAsia="zh-CN"/>
        </w:rPr>
        <w:t xml:space="preserve">  </w:t>
      </w:r>
    </w:p>
    <w:p w14:paraId="6E2F2C0C">
      <w:pPr>
        <w:pageBreakBefore w:val="0"/>
        <w:widowControl w:val="0"/>
        <w:numPr>
          <w:ilvl w:val="0"/>
          <w:numId w:val="2"/>
        </w:numPr>
        <w:kinsoku/>
        <w:wordWrap/>
        <w:overflowPunct/>
        <w:topLinePunct w:val="0"/>
        <w:autoSpaceDE/>
        <w:autoSpaceDN/>
        <w:bidi w:val="0"/>
        <w:adjustRightInd/>
        <w:spacing w:line="360" w:lineRule="auto"/>
        <w:textAlignment w:val="auto"/>
        <w:rPr>
          <w:sz w:val="21"/>
          <w:szCs w:val="21"/>
        </w:rPr>
      </w:pPr>
      <w:r>
        <w:rPr>
          <w:rFonts w:hint="eastAsia"/>
          <w:sz w:val="21"/>
          <w:szCs w:val="21"/>
        </w:rPr>
        <w:t>B系统设置在线式进水升温模块，确保冬季溶解迅速，碱基充分。</w:t>
      </w:r>
    </w:p>
    <w:p w14:paraId="55C5CFA8">
      <w:pPr>
        <w:pageBreakBefore w:val="0"/>
        <w:widowControl w:val="0"/>
        <w:numPr>
          <w:ilvl w:val="0"/>
          <w:numId w:val="2"/>
        </w:numPr>
        <w:kinsoku/>
        <w:wordWrap/>
        <w:overflowPunct/>
        <w:topLinePunct w:val="0"/>
        <w:autoSpaceDE/>
        <w:autoSpaceDN/>
        <w:bidi w:val="0"/>
        <w:adjustRightInd/>
        <w:spacing w:line="360" w:lineRule="auto"/>
        <w:textAlignment w:val="auto"/>
        <w:rPr>
          <w:sz w:val="21"/>
          <w:szCs w:val="21"/>
        </w:rPr>
      </w:pPr>
      <w:r>
        <w:rPr>
          <w:rFonts w:hint="eastAsia"/>
          <w:sz w:val="21"/>
          <w:szCs w:val="21"/>
        </w:rPr>
        <w:t>B系统支持每天进行一键式全系统排空水洗功能,符合最新版SOP要求。</w:t>
      </w:r>
    </w:p>
    <w:p w14:paraId="6E86D0A3">
      <w:pPr>
        <w:pageBreakBefore w:val="0"/>
        <w:widowControl w:val="0"/>
        <w:numPr>
          <w:ilvl w:val="0"/>
          <w:numId w:val="2"/>
        </w:numPr>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B液系统热消毒功能和热化学消毒功能：温度不低于85℃，持续时间大于20min，满足《血液净化标准操作规程》2020版要求</w:t>
      </w:r>
      <w:r>
        <w:rPr>
          <w:rFonts w:hint="eastAsia"/>
          <w:sz w:val="21"/>
          <w:szCs w:val="21"/>
          <w:lang w:eastAsia="zh-CN"/>
        </w:rPr>
        <w:t>。</w:t>
      </w:r>
      <w:r>
        <w:rPr>
          <w:rFonts w:hint="eastAsia"/>
          <w:color w:val="0000FF"/>
          <w:sz w:val="21"/>
          <w:szCs w:val="21"/>
        </w:rPr>
        <w:t xml:space="preserve">  </w:t>
      </w:r>
      <w:r>
        <w:rPr>
          <w:rFonts w:hint="eastAsia"/>
          <w:color w:val="0000FF"/>
          <w:sz w:val="21"/>
          <w:szCs w:val="21"/>
          <w:lang w:val="en-US" w:eastAsia="zh-CN"/>
        </w:rPr>
        <w:t xml:space="preserve"> </w:t>
      </w:r>
    </w:p>
    <w:p w14:paraId="5A477F64">
      <w:pPr>
        <w:pageBreakBefore w:val="0"/>
        <w:widowControl w:val="0"/>
        <w:numPr>
          <w:ilvl w:val="0"/>
          <w:numId w:val="2"/>
        </w:numPr>
        <w:kinsoku/>
        <w:wordWrap/>
        <w:overflowPunct/>
        <w:topLinePunct w:val="0"/>
        <w:autoSpaceDE/>
        <w:autoSpaceDN/>
        <w:bidi w:val="0"/>
        <w:adjustRightInd/>
        <w:spacing w:line="360" w:lineRule="auto"/>
        <w:textAlignment w:val="auto"/>
        <w:rPr>
          <w:sz w:val="21"/>
          <w:szCs w:val="21"/>
        </w:rPr>
      </w:pPr>
      <w:r>
        <w:rPr>
          <w:rFonts w:hint="eastAsia"/>
          <w:sz w:val="21"/>
          <w:szCs w:val="21"/>
        </w:rPr>
        <w:t>采用零压式供液，供液时管路压力为零。精确模拟桶装液使用情形，避免损坏透析机。</w:t>
      </w:r>
    </w:p>
    <w:p w14:paraId="20A1F289">
      <w:pPr>
        <w:pageBreakBefore w:val="0"/>
        <w:widowControl w:val="0"/>
        <w:numPr>
          <w:ilvl w:val="0"/>
          <w:numId w:val="2"/>
        </w:numPr>
        <w:kinsoku/>
        <w:wordWrap/>
        <w:overflowPunct/>
        <w:topLinePunct w:val="0"/>
        <w:autoSpaceDE/>
        <w:autoSpaceDN/>
        <w:bidi w:val="0"/>
        <w:adjustRightInd/>
        <w:spacing w:line="360" w:lineRule="auto"/>
        <w:textAlignment w:val="auto"/>
        <w:rPr>
          <w:sz w:val="21"/>
          <w:szCs w:val="21"/>
        </w:rPr>
      </w:pPr>
      <w:r>
        <w:rPr>
          <w:rFonts w:hint="eastAsia"/>
          <w:sz w:val="21"/>
          <w:szCs w:val="21"/>
        </w:rPr>
        <w:t>有省级以上医疗器械检验中心出具的电磁兼容EMC检测报告</w:t>
      </w:r>
      <w:r>
        <w:rPr>
          <w:rFonts w:hint="eastAsia"/>
          <w:sz w:val="21"/>
          <w:szCs w:val="21"/>
          <w:lang w:eastAsia="zh-CN"/>
        </w:rPr>
        <w:t>。</w:t>
      </w:r>
    </w:p>
    <w:p w14:paraId="57E55923">
      <w:pPr>
        <w:pStyle w:val="11"/>
        <w:pageBreakBefore w:val="0"/>
        <w:widowControl w:val="0"/>
        <w:kinsoku/>
        <w:wordWrap/>
        <w:overflowPunct/>
        <w:topLinePunct w:val="0"/>
        <w:autoSpaceDE/>
        <w:autoSpaceDN/>
        <w:bidi w:val="0"/>
        <w:adjustRightInd/>
        <w:snapToGrid w:val="0"/>
        <w:spacing w:before="0" w:after="0" w:line="240" w:lineRule="auto"/>
        <w:textAlignment w:val="auto"/>
        <w:rPr>
          <w:rFonts w:hint="eastAsia"/>
          <w:sz w:val="21"/>
          <w:szCs w:val="21"/>
        </w:rPr>
      </w:pPr>
      <w:r>
        <w:rPr>
          <w:rFonts w:hint="eastAsia"/>
          <w:sz w:val="21"/>
          <w:szCs w:val="21"/>
        </w:rPr>
        <w:t>三、产品组成</w:t>
      </w:r>
    </w:p>
    <w:p w14:paraId="1BA0EB66">
      <w:pPr>
        <w:pageBreakBefore w:val="0"/>
        <w:widowControl w:val="0"/>
        <w:kinsoku/>
        <w:wordWrap/>
        <w:overflowPunct/>
        <w:topLinePunct w:val="0"/>
        <w:autoSpaceDE/>
        <w:autoSpaceDN/>
        <w:bidi w:val="0"/>
        <w:adjustRightInd/>
        <w:spacing w:line="360" w:lineRule="auto"/>
        <w:textAlignment w:val="auto"/>
        <w:rPr>
          <w:rFonts w:hint="eastAsia" w:eastAsia="宋体"/>
          <w:sz w:val="21"/>
          <w:szCs w:val="21"/>
          <w:lang w:eastAsia="zh-CN"/>
        </w:rPr>
      </w:pPr>
      <w:r>
        <w:rPr>
          <w:rFonts w:hint="eastAsia"/>
          <w:sz w:val="21"/>
          <w:szCs w:val="21"/>
        </w:rPr>
        <w:t>1</w:t>
      </w:r>
      <w:r>
        <w:rPr>
          <w:rFonts w:hint="eastAsia"/>
          <w:sz w:val="21"/>
          <w:szCs w:val="21"/>
          <w:lang w:eastAsia="zh-CN"/>
        </w:rPr>
        <w:t>.</w:t>
      </w:r>
      <w:r>
        <w:rPr>
          <w:rFonts w:hint="eastAsia"/>
          <w:sz w:val="21"/>
          <w:szCs w:val="21"/>
        </w:rPr>
        <w:t>A液、B液主机分体式密闭机柜2台，2套智能控制系统独立运行互不影响；配液桶、储液桶采用PP材质，全密闭结构，配备</w:t>
      </w:r>
      <w:r>
        <w:rPr>
          <w:rFonts w:hint="default" w:ascii="Arial" w:hAnsi="Arial" w:cs="Arial"/>
          <w:sz w:val="21"/>
          <w:szCs w:val="21"/>
        </w:rPr>
        <w:t>≤</w:t>
      </w:r>
      <w:r>
        <w:rPr>
          <w:rFonts w:hint="eastAsia"/>
          <w:sz w:val="21"/>
          <w:szCs w:val="21"/>
        </w:rPr>
        <w:t>0.22μm空气过滤器，防止外部细菌进入</w:t>
      </w:r>
      <w:r>
        <w:rPr>
          <w:rFonts w:hint="eastAsia"/>
          <w:sz w:val="21"/>
          <w:szCs w:val="21"/>
          <w:lang w:eastAsia="zh-CN"/>
        </w:rPr>
        <w:t>。</w:t>
      </w:r>
    </w:p>
    <w:p w14:paraId="724F4251">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2</w:t>
      </w:r>
      <w:r>
        <w:rPr>
          <w:rFonts w:hint="eastAsia"/>
          <w:sz w:val="21"/>
          <w:szCs w:val="21"/>
        </w:rPr>
        <w:t>.带密封圈的投料口，密闭式供液部及管道。</w:t>
      </w:r>
    </w:p>
    <w:p w14:paraId="130373A0">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3</w:t>
      </w:r>
      <w:r>
        <w:rPr>
          <w:rFonts w:hint="eastAsia"/>
          <w:sz w:val="21"/>
          <w:szCs w:val="21"/>
        </w:rPr>
        <w:t>.配液桶和储液桶半透明并可视液位。</w:t>
      </w:r>
    </w:p>
    <w:p w14:paraId="5ECA53E3">
      <w:pPr>
        <w:pageBreakBefore w:val="0"/>
        <w:widowControl w:val="0"/>
        <w:kinsoku/>
        <w:wordWrap/>
        <w:overflowPunct/>
        <w:topLinePunct w:val="0"/>
        <w:autoSpaceDE/>
        <w:autoSpaceDN/>
        <w:bidi w:val="0"/>
        <w:adjustRightInd/>
        <w:spacing w:line="360" w:lineRule="auto"/>
        <w:textAlignment w:val="auto"/>
        <w:rPr>
          <w:rFonts w:hint="eastAsia" w:eastAsia="宋体"/>
          <w:sz w:val="21"/>
          <w:szCs w:val="21"/>
          <w:highlight w:val="yellow"/>
          <w:lang w:eastAsia="zh-CN"/>
        </w:rPr>
      </w:pPr>
      <w:r>
        <w:rPr>
          <w:rFonts w:hint="eastAsia"/>
          <w:sz w:val="21"/>
          <w:szCs w:val="21"/>
          <w:lang w:val="en-US" w:eastAsia="zh-CN"/>
        </w:rPr>
        <w:t>4</w:t>
      </w:r>
      <w:r>
        <w:rPr>
          <w:rFonts w:hint="eastAsia"/>
          <w:sz w:val="21"/>
          <w:szCs w:val="21"/>
        </w:rPr>
        <w:t>.供液管路安装进行天花板布管</w:t>
      </w:r>
      <w:r>
        <w:rPr>
          <w:rFonts w:hint="eastAsia"/>
          <w:sz w:val="21"/>
          <w:szCs w:val="21"/>
          <w:lang w:eastAsia="zh-CN"/>
        </w:rPr>
        <w:t>，</w:t>
      </w:r>
      <w:r>
        <w:rPr>
          <w:rFonts w:hint="eastAsia"/>
          <w:sz w:val="21"/>
          <w:szCs w:val="21"/>
        </w:rPr>
        <w:t>不使用插拔式接头</w:t>
      </w:r>
      <w:r>
        <w:rPr>
          <w:rFonts w:hint="eastAsia"/>
          <w:sz w:val="21"/>
          <w:szCs w:val="21"/>
          <w:lang w:eastAsia="zh-CN"/>
        </w:rPr>
        <w:t>。</w:t>
      </w:r>
    </w:p>
    <w:p w14:paraId="3DF03573">
      <w:pPr>
        <w:pStyle w:val="11"/>
        <w:pageBreakBefore w:val="0"/>
        <w:widowControl w:val="0"/>
        <w:kinsoku/>
        <w:wordWrap/>
        <w:overflowPunct/>
        <w:topLinePunct w:val="0"/>
        <w:autoSpaceDE/>
        <w:autoSpaceDN/>
        <w:bidi w:val="0"/>
        <w:adjustRightInd/>
        <w:snapToGrid w:val="0"/>
        <w:spacing w:before="0" w:after="0" w:line="240" w:lineRule="auto"/>
        <w:textAlignment w:val="auto"/>
        <w:rPr>
          <w:rFonts w:hint="eastAsia"/>
          <w:sz w:val="21"/>
          <w:szCs w:val="21"/>
        </w:rPr>
      </w:pPr>
      <w:r>
        <w:rPr>
          <w:rFonts w:hint="eastAsia"/>
          <w:sz w:val="21"/>
          <w:szCs w:val="21"/>
        </w:rPr>
        <w:t>四、配置</w:t>
      </w:r>
    </w:p>
    <w:p w14:paraId="667F0174">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 xml:space="preserve">1.所有与液接触的零部件（包括但不限于液桶、水泵叶轮、阀门、管道）材质为耐腐蚀的非金属材质。 </w:t>
      </w:r>
    </w:p>
    <w:p w14:paraId="0F2E1A58">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2</w:t>
      </w:r>
      <w:r>
        <w:rPr>
          <w:rFonts w:hint="eastAsia"/>
          <w:sz w:val="21"/>
          <w:szCs w:val="21"/>
        </w:rPr>
        <w:t>.液桶内壁光滑</w:t>
      </w:r>
      <w:r>
        <w:rPr>
          <w:rFonts w:hint="eastAsia"/>
          <w:sz w:val="21"/>
          <w:szCs w:val="21"/>
          <w:lang w:eastAsia="zh-CN"/>
        </w:rPr>
        <w:t>、</w:t>
      </w:r>
      <w:r>
        <w:rPr>
          <w:rFonts w:hint="eastAsia"/>
          <w:sz w:val="21"/>
          <w:szCs w:val="21"/>
        </w:rPr>
        <w:t>可以排放彻底，可喷淋清洗。</w:t>
      </w:r>
    </w:p>
    <w:p w14:paraId="27649674">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3</w:t>
      </w:r>
      <w:r>
        <w:rPr>
          <w:rFonts w:hint="eastAsia"/>
          <w:sz w:val="21"/>
          <w:szCs w:val="21"/>
        </w:rPr>
        <w:t>.液桶</w:t>
      </w:r>
      <w:r>
        <w:rPr>
          <w:rFonts w:hint="eastAsia"/>
          <w:sz w:val="21"/>
          <w:szCs w:val="21"/>
          <w:lang w:val="en-US" w:eastAsia="zh-CN"/>
        </w:rPr>
        <w:t>为PP材质，</w:t>
      </w:r>
      <w:r>
        <w:rPr>
          <w:rFonts w:hint="eastAsia"/>
          <w:sz w:val="21"/>
          <w:szCs w:val="21"/>
        </w:rPr>
        <w:t xml:space="preserve">不采用内喷涂方案。 </w:t>
      </w:r>
    </w:p>
    <w:p w14:paraId="1FF8AFC8">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4</w:t>
      </w:r>
      <w:r>
        <w:rPr>
          <w:rFonts w:hint="eastAsia"/>
          <w:sz w:val="21"/>
          <w:szCs w:val="21"/>
        </w:rPr>
        <w:t>.</w:t>
      </w:r>
      <w:r>
        <w:rPr>
          <w:rFonts w:hint="eastAsia"/>
          <w:sz w:val="21"/>
          <w:szCs w:val="21"/>
          <w:lang w:val="en-US" w:eastAsia="zh-CN"/>
        </w:rPr>
        <w:t>进水</w:t>
      </w:r>
      <w:r>
        <w:rPr>
          <w:rFonts w:hint="eastAsia"/>
          <w:sz w:val="21"/>
          <w:szCs w:val="21"/>
        </w:rPr>
        <w:t>采用误差</w:t>
      </w:r>
      <w:r>
        <w:rPr>
          <w:rFonts w:hint="default" w:ascii="Arial" w:hAnsi="Arial" w:cs="Arial"/>
          <w:sz w:val="21"/>
          <w:szCs w:val="21"/>
        </w:rPr>
        <w:t>≤</w:t>
      </w:r>
      <w:r>
        <w:rPr>
          <w:rFonts w:hint="eastAsia"/>
          <w:sz w:val="21"/>
          <w:szCs w:val="21"/>
        </w:rPr>
        <w:t xml:space="preserve">0.4%以下的液位检测方式。 </w:t>
      </w:r>
    </w:p>
    <w:p w14:paraId="54B411F9">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5</w:t>
      </w:r>
      <w:r>
        <w:rPr>
          <w:rFonts w:hint="eastAsia"/>
          <w:sz w:val="21"/>
          <w:szCs w:val="21"/>
        </w:rPr>
        <w:t xml:space="preserve">.连接管道和阀门采用耐腐蚀的非金属材质。采用24V电控阀门。 </w:t>
      </w:r>
    </w:p>
    <w:p w14:paraId="59B3DBB8">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6</w:t>
      </w:r>
      <w:r>
        <w:rPr>
          <w:rFonts w:hint="eastAsia"/>
          <w:sz w:val="21"/>
          <w:szCs w:val="21"/>
        </w:rPr>
        <w:t>.</w:t>
      </w:r>
      <w:r>
        <w:rPr>
          <w:rFonts w:hint="default" w:ascii="Arial" w:hAnsi="Arial" w:cs="Arial"/>
          <w:sz w:val="21"/>
          <w:szCs w:val="21"/>
        </w:rPr>
        <w:t>≥</w:t>
      </w:r>
      <w:r>
        <w:rPr>
          <w:rFonts w:hint="eastAsia"/>
          <w:sz w:val="21"/>
          <w:szCs w:val="21"/>
        </w:rPr>
        <w:t>10寸彩色液晶触摸屏控制</w:t>
      </w:r>
      <w:r>
        <w:rPr>
          <w:rFonts w:hint="eastAsia"/>
          <w:sz w:val="21"/>
          <w:szCs w:val="21"/>
          <w:lang w:eastAsia="zh-CN"/>
        </w:rPr>
        <w:t>。</w:t>
      </w:r>
      <w:r>
        <w:rPr>
          <w:rFonts w:hint="eastAsia"/>
          <w:sz w:val="21"/>
          <w:szCs w:val="21"/>
        </w:rPr>
        <w:t xml:space="preserve"> A\B系统各自1套。</w:t>
      </w:r>
    </w:p>
    <w:p w14:paraId="2D04C959">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7</w:t>
      </w:r>
      <w:r>
        <w:rPr>
          <w:rFonts w:hint="eastAsia"/>
          <w:sz w:val="21"/>
          <w:szCs w:val="21"/>
        </w:rPr>
        <w:t>. 透析机处为U型结构防止死腔。</w:t>
      </w:r>
    </w:p>
    <w:p w14:paraId="24216624">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8</w:t>
      </w:r>
      <w:r>
        <w:rPr>
          <w:rFonts w:hint="eastAsia"/>
          <w:sz w:val="21"/>
          <w:szCs w:val="21"/>
        </w:rPr>
        <w:t>.透析机在进行消毒/供液状态切换时，吸液管内壁不接触空气。</w:t>
      </w:r>
    </w:p>
    <w:p w14:paraId="6FAB111F">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lang w:val="en-US" w:eastAsia="zh-CN"/>
        </w:rPr>
        <w:t>9</w:t>
      </w:r>
      <w:r>
        <w:rPr>
          <w:rFonts w:hint="eastAsia"/>
          <w:sz w:val="21"/>
          <w:szCs w:val="21"/>
        </w:rPr>
        <w:t>.供液管路安装在透析机侧，不</w:t>
      </w:r>
      <w:r>
        <w:rPr>
          <w:rFonts w:hint="eastAsia"/>
          <w:sz w:val="21"/>
          <w:szCs w:val="21"/>
          <w:lang w:val="en-US" w:eastAsia="zh-CN"/>
        </w:rPr>
        <w:t>得</w:t>
      </w:r>
      <w:r>
        <w:rPr>
          <w:rFonts w:hint="eastAsia"/>
          <w:sz w:val="21"/>
          <w:szCs w:val="21"/>
        </w:rPr>
        <w:t>使用金属面板，不</w:t>
      </w:r>
      <w:r>
        <w:rPr>
          <w:rFonts w:hint="eastAsia"/>
          <w:sz w:val="21"/>
          <w:szCs w:val="21"/>
          <w:lang w:val="en-US" w:eastAsia="zh-CN"/>
        </w:rPr>
        <w:t>得</w:t>
      </w:r>
      <w:r>
        <w:rPr>
          <w:rFonts w:hint="eastAsia"/>
          <w:sz w:val="21"/>
          <w:szCs w:val="21"/>
        </w:rPr>
        <w:t>使用钉子固定在透析机侧面。</w:t>
      </w:r>
    </w:p>
    <w:p w14:paraId="14A7C121">
      <w:pPr>
        <w:pageBreakBefore w:val="0"/>
        <w:widowControl w:val="0"/>
        <w:kinsoku/>
        <w:wordWrap/>
        <w:overflowPunct/>
        <w:topLinePunct w:val="0"/>
        <w:autoSpaceDE/>
        <w:autoSpaceDN/>
        <w:bidi w:val="0"/>
        <w:adjustRightInd/>
        <w:spacing w:line="360" w:lineRule="auto"/>
        <w:textAlignment w:val="auto"/>
        <w:rPr>
          <w:rFonts w:hint="eastAsia"/>
          <w:sz w:val="21"/>
          <w:szCs w:val="21"/>
        </w:rPr>
      </w:pPr>
      <w:r>
        <w:rPr>
          <w:rFonts w:hint="eastAsia"/>
          <w:sz w:val="21"/>
          <w:szCs w:val="21"/>
        </w:rPr>
        <w:t>1</w:t>
      </w:r>
      <w:r>
        <w:rPr>
          <w:rFonts w:hint="eastAsia"/>
          <w:sz w:val="21"/>
          <w:szCs w:val="21"/>
          <w:lang w:val="en-US" w:eastAsia="zh-CN"/>
        </w:rPr>
        <w:t>0</w:t>
      </w:r>
      <w:r>
        <w:rPr>
          <w:rFonts w:hint="eastAsia"/>
          <w:sz w:val="21"/>
          <w:szCs w:val="21"/>
        </w:rPr>
        <w:t xml:space="preserve">.设备底座及底板为塑料材质。 </w:t>
      </w:r>
    </w:p>
    <w:p w14:paraId="5D486BF1">
      <w:pPr>
        <w:pageBreakBefore w:val="0"/>
        <w:widowControl w:val="0"/>
        <w:kinsoku/>
        <w:wordWrap/>
        <w:overflowPunct/>
        <w:topLinePunct w:val="0"/>
        <w:autoSpaceDE/>
        <w:autoSpaceDN/>
        <w:bidi w:val="0"/>
        <w:adjustRightInd/>
        <w:spacing w:line="360" w:lineRule="auto"/>
        <w:textAlignment w:val="auto"/>
        <w:rPr>
          <w:rFonts w:hint="eastAsia" w:eastAsia="宋体"/>
          <w:sz w:val="21"/>
          <w:szCs w:val="21"/>
          <w:lang w:eastAsia="zh-CN"/>
        </w:rPr>
      </w:pPr>
      <w:r>
        <w:rPr>
          <w:rFonts w:hint="eastAsia"/>
          <w:sz w:val="21"/>
          <w:szCs w:val="21"/>
          <w:lang w:val="en-US" w:eastAsia="zh-CN"/>
        </w:rPr>
        <w:t>11.</w:t>
      </w:r>
      <w:r>
        <w:rPr>
          <w:rFonts w:hint="eastAsia"/>
          <w:sz w:val="21"/>
          <w:szCs w:val="21"/>
        </w:rPr>
        <w:t>搅拌泵采用进口知名品牌电机，316L不锈钢材质，A液循环泵采用双磁力泵设计，B液循环泵采用卫生级SUS316L离心泵，防空转三重保护</w:t>
      </w:r>
      <w:r>
        <w:rPr>
          <w:rFonts w:hint="eastAsia"/>
          <w:sz w:val="21"/>
          <w:szCs w:val="21"/>
          <w:lang w:eastAsia="zh-CN"/>
        </w:rPr>
        <w:t>。</w:t>
      </w:r>
    </w:p>
    <w:p w14:paraId="6E9F8912">
      <w:pPr>
        <w:pageBreakBefore w:val="0"/>
        <w:widowControl w:val="0"/>
        <w:kinsoku/>
        <w:wordWrap/>
        <w:overflowPunct/>
        <w:topLinePunct w:val="0"/>
        <w:autoSpaceDE/>
        <w:autoSpaceDN/>
        <w:bidi w:val="0"/>
        <w:adjustRightInd/>
        <w:spacing w:line="360" w:lineRule="auto"/>
        <w:textAlignment w:val="auto"/>
        <w:rPr>
          <w:rFonts w:hint="eastAsia" w:eastAsia="宋体"/>
          <w:sz w:val="21"/>
          <w:szCs w:val="21"/>
          <w:lang w:eastAsia="zh-CN"/>
        </w:rPr>
      </w:pPr>
      <w:r>
        <w:rPr>
          <w:rFonts w:hint="eastAsia"/>
          <w:sz w:val="21"/>
          <w:szCs w:val="21"/>
          <w:lang w:val="en-US" w:eastAsia="zh-CN"/>
        </w:rPr>
        <w:t>12.</w:t>
      </w:r>
      <w:r>
        <w:rPr>
          <w:rFonts w:hint="eastAsia"/>
          <w:sz w:val="21"/>
          <w:szCs w:val="21"/>
        </w:rPr>
        <w:t>双向差分供液方式，采用主管路+次管路静态双路供液，可以在线维修。差分供液装置模具成型产品，B液要求采用耐温抑菌的材质；符合FDA认证的红蓝硅胶管和原装进口品牌的PEX管</w:t>
      </w:r>
      <w:r>
        <w:rPr>
          <w:rFonts w:hint="eastAsia"/>
          <w:sz w:val="21"/>
          <w:szCs w:val="21"/>
          <w:lang w:eastAsia="zh-CN"/>
        </w:rPr>
        <w:t>。</w:t>
      </w:r>
    </w:p>
    <w:p w14:paraId="77AE80AB">
      <w:pPr>
        <w:pStyle w:val="25"/>
        <w:rPr>
          <w:rFonts w:hint="eastAsia"/>
          <w:sz w:val="24"/>
          <w:szCs w:val="24"/>
          <w:lang w:val="en-US" w:eastAsia="zh-CN"/>
        </w:rPr>
      </w:pPr>
      <w:r>
        <w:rPr>
          <w:rFonts w:hint="eastAsia"/>
          <w:sz w:val="21"/>
          <w:szCs w:val="21"/>
          <w:lang w:val="en-US" w:eastAsia="zh-CN"/>
        </w:rPr>
        <w:t>13.专用接口：与透析机原有供液AB管路密闭式固定连接，采用耐腐、抑菌材质阀门，不得采用插拔方式连接。</w:t>
      </w:r>
    </w:p>
    <w:p w14:paraId="2ABD016A">
      <w:pPr>
        <w:pStyle w:val="25"/>
        <w:numPr>
          <w:ilvl w:val="0"/>
          <w:numId w:val="0"/>
        </w:numPr>
        <w:rPr>
          <w:rFonts w:hint="eastAsia"/>
          <w:b/>
          <w:bCs/>
          <w:sz w:val="21"/>
          <w:szCs w:val="21"/>
          <w:lang w:val="en-US" w:eastAsia="zh-CN"/>
        </w:rPr>
      </w:pPr>
      <w:r>
        <w:rPr>
          <w:rFonts w:hint="eastAsia" w:ascii="Arial" w:hAnsi="Arial" w:eastAsia="宋体" w:cs="Times New Roman"/>
          <w:b/>
          <w:bCs/>
          <w:kern w:val="2"/>
          <w:sz w:val="21"/>
          <w:szCs w:val="21"/>
          <w:lang w:val="en-US" w:eastAsia="zh-CN" w:bidi="ar-SA"/>
        </w:rPr>
        <w:t>（二）</w:t>
      </w:r>
      <w:r>
        <w:rPr>
          <w:rFonts w:hint="eastAsia"/>
          <w:b/>
          <w:bCs/>
          <w:sz w:val="21"/>
          <w:szCs w:val="21"/>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质量要求：</w:t>
      </w:r>
      <w:r>
        <w:rPr>
          <w:rFonts w:hint="eastAsia"/>
          <w:sz w:val="21"/>
          <w:szCs w:val="21"/>
          <w:lang w:val="en-US" w:eastAsia="zh-CN"/>
        </w:rPr>
        <w:t>供应商</w:t>
      </w:r>
      <w:r>
        <w:rPr>
          <w:rFonts w:hint="default"/>
          <w:sz w:val="21"/>
          <w:szCs w:val="21"/>
          <w:lang w:val="en-US" w:eastAsia="zh-CN"/>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79F55ACA">
      <w:pPr>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lang w:val="en-US" w:eastAsia="zh-CN"/>
        </w:rPr>
      </w:pPr>
      <w:r>
        <w:rPr>
          <w:rFonts w:hint="default"/>
          <w:sz w:val="21"/>
          <w:szCs w:val="21"/>
          <w:lang w:val="en-US" w:eastAsia="zh-CN"/>
        </w:rPr>
        <w:t>2、采购人使用</w:t>
      </w:r>
      <w:r>
        <w:rPr>
          <w:rFonts w:hint="eastAsia"/>
          <w:sz w:val="21"/>
          <w:szCs w:val="21"/>
          <w:lang w:val="en-US" w:eastAsia="zh-CN"/>
        </w:rPr>
        <w:t>成交供应商成交</w:t>
      </w:r>
      <w:r>
        <w:rPr>
          <w:rFonts w:hint="default"/>
          <w:sz w:val="21"/>
          <w:szCs w:val="21"/>
          <w:lang w:val="en-US" w:eastAsia="zh-CN"/>
        </w:rPr>
        <w:t>的货物、技术、资料、服务或其他任何一部分时，享有无偿使用权。免受第三方提出的侵犯其专利权、著作权、商标权或其它知识产权的起诉。如果第三方提出侵权指控，</w:t>
      </w:r>
      <w:r>
        <w:rPr>
          <w:rFonts w:hint="eastAsia"/>
          <w:sz w:val="21"/>
          <w:szCs w:val="21"/>
          <w:lang w:val="en-US" w:eastAsia="zh-CN"/>
        </w:rPr>
        <w:t>成交供应商</w:t>
      </w:r>
      <w:r>
        <w:rPr>
          <w:rFonts w:hint="default"/>
          <w:sz w:val="21"/>
          <w:szCs w:val="21"/>
          <w:lang w:val="en-US" w:eastAsia="zh-CN"/>
        </w:rPr>
        <w:t>应承担由此而引起的一切法律责任和费用。</w:t>
      </w:r>
    </w:p>
    <w:p w14:paraId="50D41C8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sz w:val="21"/>
          <w:szCs w:val="21"/>
          <w:lang w:val="en-US" w:eastAsia="zh-CN"/>
        </w:rPr>
      </w:pPr>
      <w:r>
        <w:rPr>
          <w:rFonts w:hint="default"/>
          <w:sz w:val="21"/>
          <w:szCs w:val="21"/>
          <w:lang w:val="en-US" w:eastAsia="zh-CN"/>
        </w:rPr>
        <w:t xml:space="preserve"> </w:t>
      </w:r>
      <w:r>
        <w:rPr>
          <w:rFonts w:hint="eastAsia"/>
          <w:sz w:val="21"/>
          <w:szCs w:val="21"/>
          <w:lang w:val="en-US" w:eastAsia="zh-CN"/>
        </w:rPr>
        <w:t>3.所有设备按照医院实际要求免费开放端口，免费为医院对接院内信息系统。质保期内免费进行软件升级。</w:t>
      </w:r>
    </w:p>
    <w:p w14:paraId="3D2AA49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sz w:val="21"/>
          <w:szCs w:val="21"/>
          <w:lang w:val="en-US" w:eastAsia="zh-CN"/>
        </w:rPr>
      </w:pPr>
      <w:r>
        <w:rPr>
          <w:rFonts w:hint="eastAsia"/>
          <w:sz w:val="21"/>
          <w:szCs w:val="21"/>
          <w:lang w:val="en-US" w:eastAsia="zh-CN"/>
        </w:rPr>
        <w:t xml:space="preserve"> 4.商品包装和快递包装应符合《商品包装政府采购需求标准（试行）》和《快递包装政府采购需求标准（试行）》规定。</w:t>
      </w:r>
    </w:p>
    <w:p w14:paraId="380F481A">
      <w:pPr>
        <w:jc w:val="center"/>
        <w:rPr>
          <w:rFonts w:hint="eastAsia" w:ascii="宋体" w:hAnsi="宋体" w:eastAsia="宋体" w:cs="宋体"/>
          <w:b/>
          <w:bCs/>
          <w:color w:val="auto"/>
          <w:sz w:val="30"/>
          <w:szCs w:val="30"/>
          <w:highlight w:val="none"/>
        </w:rPr>
      </w:pPr>
    </w:p>
    <w:p w14:paraId="4C61E0EF">
      <w:pPr>
        <w:jc w:val="center"/>
        <w:rPr>
          <w:rFonts w:hint="eastAsia" w:ascii="宋体" w:hAnsi="宋体" w:eastAsia="宋体" w:cs="宋体"/>
          <w:b/>
          <w:bCs/>
          <w:color w:val="auto"/>
          <w:sz w:val="30"/>
          <w:szCs w:val="30"/>
          <w:highlight w:val="none"/>
        </w:rPr>
      </w:pPr>
    </w:p>
    <w:p w14:paraId="73F08A10">
      <w:pPr>
        <w:jc w:val="center"/>
        <w:rPr>
          <w:rFonts w:hint="eastAsia" w:ascii="宋体" w:hAnsi="宋体" w:eastAsia="宋体" w:cs="宋体"/>
          <w:b/>
          <w:bCs/>
          <w:color w:val="auto"/>
          <w:sz w:val="30"/>
          <w:szCs w:val="30"/>
          <w:highlight w:val="none"/>
        </w:rPr>
      </w:pPr>
    </w:p>
    <w:p w14:paraId="54ED9D65">
      <w:pPr>
        <w:jc w:val="center"/>
        <w:rPr>
          <w:rFonts w:hint="eastAsia" w:ascii="宋体" w:hAnsi="宋体" w:eastAsia="宋体" w:cs="宋体"/>
          <w:b/>
          <w:bCs/>
          <w:color w:val="auto"/>
          <w:sz w:val="30"/>
          <w:szCs w:val="30"/>
          <w:highlight w:val="none"/>
        </w:rPr>
      </w:pPr>
    </w:p>
    <w:p w14:paraId="5651807D">
      <w:pPr>
        <w:jc w:val="center"/>
        <w:rPr>
          <w:rFonts w:hint="eastAsia" w:ascii="宋体" w:hAnsi="宋体" w:eastAsia="宋体" w:cs="宋体"/>
          <w:b/>
          <w:bCs/>
          <w:color w:val="auto"/>
          <w:sz w:val="30"/>
          <w:szCs w:val="30"/>
          <w:highlight w:val="none"/>
        </w:rPr>
      </w:pPr>
    </w:p>
    <w:p w14:paraId="0AD93191">
      <w:pPr>
        <w:jc w:val="center"/>
        <w:rPr>
          <w:rFonts w:hint="eastAsia" w:ascii="宋体" w:hAnsi="宋体" w:eastAsia="宋体" w:cs="宋体"/>
          <w:b/>
          <w:bCs/>
          <w:color w:val="auto"/>
          <w:sz w:val="30"/>
          <w:szCs w:val="30"/>
          <w:highlight w:val="none"/>
        </w:rPr>
      </w:pPr>
    </w:p>
    <w:p w14:paraId="3FFA0FF7">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6CE4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E650A7D">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872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584B5CF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ighlight w:val="none"/>
                <w:lang w:val="en-US" w:eastAsia="zh-CN"/>
              </w:rPr>
            </w:pPr>
            <w:r>
              <w:rPr>
                <w:rFonts w:hint="eastAsia"/>
                <w:sz w:val="21"/>
                <w:szCs w:val="21"/>
                <w:highlight w:val="none"/>
                <w:lang w:val="en-US" w:eastAsia="zh-CN"/>
              </w:rPr>
              <w:t xml:space="preserve">2.培训：免费提供操作培训和维修培训。                         </w:t>
            </w:r>
          </w:p>
        </w:tc>
      </w:tr>
      <w:tr w14:paraId="1B2CD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9088824">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B863232">
            <w:pPr>
              <w:pageBreakBefore w:val="0"/>
              <w:widowControl w:val="0"/>
              <w:kinsoku/>
              <w:wordWrap/>
              <w:overflowPunct/>
              <w:topLinePunct w:val="0"/>
              <w:autoSpaceDE/>
              <w:autoSpaceDN/>
              <w:bidi w:val="0"/>
              <w:adjustRightInd/>
              <w:spacing w:line="360" w:lineRule="auto"/>
              <w:textAlignment w:val="auto"/>
              <w:rPr>
                <w:rFonts w:hint="eastAsia"/>
                <w:sz w:val="21"/>
                <w:szCs w:val="21"/>
                <w:highlight w:val="none"/>
                <w:lang w:val="en-US" w:eastAsia="zh-CN"/>
              </w:rPr>
            </w:pPr>
            <w:r>
              <w:rPr>
                <w:rFonts w:hint="eastAsia"/>
                <w:sz w:val="21"/>
                <w:szCs w:val="21"/>
                <w:highlight w:val="none"/>
                <w:lang w:val="en-US" w:eastAsia="zh-CN"/>
              </w:rPr>
              <w:t xml:space="preserve">1.要求设备为最新出厂设备，出厂日期不得早于招标日期6个月。 </w:t>
            </w:r>
          </w:p>
        </w:tc>
      </w:tr>
    </w:tbl>
    <w:p w14:paraId="16BC1588">
      <w:pPr>
        <w:pStyle w:val="25"/>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numPr>
                <w:ilvl w:val="0"/>
                <w:numId w:val="3"/>
              </w:numPr>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keepNext w:val="0"/>
              <w:keepLines w:val="0"/>
              <w:pageBreakBefore w:val="0"/>
              <w:widowControl/>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keepNext w:val="0"/>
              <w:keepLines w:val="0"/>
              <w:pageBreakBefore w:val="0"/>
              <w:widowControl/>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keepNext w:val="0"/>
              <w:keepLines w:val="0"/>
              <w:pageBreakBefore w:val="0"/>
              <w:widowControl/>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独立集中供液系统采购项目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34万元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34</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34 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34万元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书证明材料）</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66B6585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w:t>
            </w:r>
          </w:p>
          <w:p w14:paraId="366B42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1"/>
                <w:szCs w:val="21"/>
                <w:highlight w:val="none"/>
              </w:rPr>
              <w:t>投标产品制造工艺、稳定性较好</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 xml:space="preserve">安全性较高的得 </w:t>
            </w:r>
            <w:r>
              <w:rPr>
                <w:rFonts w:hint="eastAsia" w:ascii="宋体"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具体详实，完全满足采购需求的得4分；有较具体的供货保障措施，基本满足采购需求的得2分；供货保障措施有待完善，一般满足采购需求的得1分；不能满足需求或</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安装调试方案有待完善，一般满足需求</w:t>
            </w:r>
            <w:r>
              <w:rPr>
                <w:rFonts w:hint="eastAsia" w:ascii="宋体" w:hAnsi="宋体" w:eastAsia="宋体" w:cs="宋体"/>
                <w:color w:val="auto"/>
                <w:sz w:val="21"/>
                <w:szCs w:val="21"/>
                <w:highlight w:val="none"/>
                <w:lang w:val="en-US" w:eastAsia="zh-CN"/>
              </w:rPr>
              <w:t>的得1分</w:t>
            </w:r>
            <w:r>
              <w:rPr>
                <w:rFonts w:hint="eastAsia" w:ascii="宋体" w:hAnsi="宋体" w:cs="宋体"/>
                <w:color w:val="auto"/>
                <w:sz w:val="21"/>
                <w:szCs w:val="21"/>
                <w:highlight w:val="none"/>
                <w:lang w:val="en-US" w:eastAsia="zh-CN"/>
              </w:rPr>
              <w:t>；不能满足需求或</w:t>
            </w:r>
            <w:r>
              <w:rPr>
                <w:rFonts w:hint="eastAsia" w:ascii="宋体" w:hAnsi="宋体" w:eastAsia="宋体" w:cs="宋体"/>
                <w:color w:val="auto"/>
                <w:sz w:val="21"/>
                <w:szCs w:val="21"/>
                <w:highlight w:val="none"/>
                <w:lang w:val="en-US" w:eastAsia="zh-CN"/>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应急响应时间时间长、应急保障一般</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；不能满足需求或</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2"/>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3DDA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82A385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根据供应商提供的售后服务保障措施，包括企业提供本地化服务的措施、</w:t>
            </w:r>
            <w:r>
              <w:rPr>
                <w:rFonts w:hint="eastAsia" w:ascii="宋体" w:hAnsi="宋体" w:eastAsia="宋体" w:cs="宋体"/>
                <w:b w:val="0"/>
                <w:bCs w:val="0"/>
                <w:color w:val="auto"/>
                <w:sz w:val="21"/>
                <w:szCs w:val="21"/>
                <w:highlight w:val="none"/>
                <w:lang w:val="en-US" w:eastAsia="zh-CN"/>
              </w:rPr>
              <w:t>售后服务人员</w:t>
            </w:r>
            <w:r>
              <w:rPr>
                <w:rFonts w:hint="eastAsia" w:ascii="宋体" w:hAnsi="宋体" w:cs="宋体"/>
                <w:b w:val="0"/>
                <w:bCs w:val="0"/>
                <w:color w:val="auto"/>
                <w:sz w:val="21"/>
                <w:szCs w:val="21"/>
                <w:highlight w:val="none"/>
                <w:lang w:val="en-US" w:eastAsia="zh-CN"/>
              </w:rPr>
              <w:t>配备、专业技术能力说明</w:t>
            </w:r>
            <w:r>
              <w:rPr>
                <w:rFonts w:hint="eastAsia" w:ascii="宋体" w:hAnsi="宋体" w:eastAsia="宋体" w:cs="宋体"/>
                <w:b w:val="0"/>
                <w:bCs w:val="0"/>
                <w:color w:val="auto"/>
                <w:kern w:val="2"/>
                <w:sz w:val="21"/>
                <w:szCs w:val="21"/>
                <w:highlight w:val="none"/>
                <w:lang w:val="en-US" w:eastAsia="zh-CN"/>
              </w:rPr>
              <w:t>等进行打分。</w:t>
            </w:r>
          </w:p>
          <w:p w14:paraId="1559E69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能够提供本地化服务、人员专业性强的得4分；人员专业性较强的得2分；人员专业性一般的得1分；不能满足采购需求或缺项得0分。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06B22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w:t>
            </w:r>
            <w:r>
              <w:rPr>
                <w:rFonts w:hint="eastAsia" w:ascii="宋体" w:hAnsi="宋体" w:eastAsia="宋体" w:cs="宋体"/>
                <w:b w:val="0"/>
                <w:bCs w:val="0"/>
                <w:color w:val="auto"/>
                <w:kern w:val="2"/>
                <w:sz w:val="21"/>
                <w:szCs w:val="21"/>
                <w:highlight w:val="none"/>
                <w:lang w:val="en-US" w:eastAsia="zh-CN"/>
              </w:rPr>
              <w:t>售后响应流程、</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服务承诺符合本项目特点，故障响应时间快、应急维修措施预案较合理，有较具体的培训方案的得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服务承诺符合本项目特点，故障响应时间、应急维修措施预案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培训方案</w:t>
            </w:r>
            <w:r>
              <w:rPr>
                <w:rFonts w:hint="eastAsia" w:ascii="宋体" w:hAnsi="宋体" w:cs="宋体"/>
                <w:b w:val="0"/>
                <w:bCs w:val="0"/>
                <w:color w:val="auto"/>
                <w:sz w:val="21"/>
                <w:szCs w:val="21"/>
                <w:highlight w:val="none"/>
                <w:lang w:val="en-US" w:eastAsia="zh-CN"/>
              </w:rPr>
              <w:t>有待完善</w:t>
            </w:r>
            <w:r>
              <w:rPr>
                <w:rFonts w:hint="eastAsia" w:ascii="宋体" w:hAnsi="宋体" w:eastAsia="宋体" w:cs="宋体"/>
                <w:b w:val="0"/>
                <w:bCs w:val="0"/>
                <w:color w:val="auto"/>
                <w:sz w:val="21"/>
                <w:szCs w:val="21"/>
                <w:highlight w:val="none"/>
                <w:lang w:val="en-US" w:eastAsia="zh-CN"/>
              </w:rPr>
              <w:t xml:space="preserve">的得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不能满足采购需求或缺项得0分。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226"/>
      <w:bookmarkStart w:id="81"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1EA388BB">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0E7218A7">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pPr>
      <w:r>
        <w:rPr>
          <w:rFonts w:hint="eastAsia" w:ascii="宋体" w:hAnsi="宋体" w:eastAsia="宋体" w:cs="宋体"/>
          <w:b/>
          <w:bCs/>
          <w:snapToGrid w:val="0"/>
          <w:color w:val="000000"/>
          <w:kern w:val="0"/>
          <w:sz w:val="24"/>
          <w:szCs w:val="24"/>
          <w:lang w:val="en-US" w:eastAsia="zh-CN" w:bidi="ar"/>
        </w:rPr>
        <w:t>备注: 此表为产品配套试剂报价表，如没有，无需制作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3C312762">
      <w:pPr>
        <w:pStyle w:val="25"/>
        <w:rPr>
          <w:rFonts w:hint="eastAsia" w:ascii="宋体" w:hAnsi="宋体" w:cs="宋体"/>
          <w:color w:val="000000" w:themeColor="text1"/>
          <w:kern w:val="0"/>
          <w:sz w:val="24"/>
          <w:highlight w:val="none"/>
          <w14:textFill>
            <w14:solidFill>
              <w14:schemeClr w14:val="tx1"/>
            </w14:solidFill>
          </w14:textFill>
        </w:rPr>
      </w:pPr>
    </w:p>
    <w:p w14:paraId="5E4799AD">
      <w:pPr>
        <w:pStyle w:val="25"/>
        <w:rPr>
          <w:rFonts w:hint="eastAsia" w:ascii="宋体" w:hAnsi="宋体" w:cs="宋体"/>
          <w:color w:val="000000" w:themeColor="text1"/>
          <w:kern w:val="0"/>
          <w:sz w:val="24"/>
          <w:highlight w:val="none"/>
          <w14:textFill>
            <w14:solidFill>
              <w14:schemeClr w14:val="tx1"/>
            </w14:solidFill>
          </w14:textFill>
        </w:rPr>
      </w:pPr>
    </w:p>
    <w:p w14:paraId="152C8C36">
      <w:pPr>
        <w:pStyle w:val="25"/>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66DBF250">
      <w:pPr>
        <w:pStyle w:val="25"/>
        <w:rPr>
          <w:rFonts w:hint="eastAsia" w:ascii="宋体" w:hAnsi="宋体" w:cs="宋体"/>
          <w:color w:val="000000" w:themeColor="text1"/>
          <w:kern w:val="0"/>
          <w:sz w:val="24"/>
          <w:highlight w:val="none"/>
          <w14:textFill>
            <w14:solidFill>
              <w14:schemeClr w14:val="tx1"/>
            </w14:solidFill>
          </w14:textFill>
        </w:rPr>
      </w:pPr>
    </w:p>
    <w:p w14:paraId="02699B8D">
      <w:pPr>
        <w:pStyle w:val="25"/>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驻马店市中心医院独立集中供液系统采购项目采购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0000001"/>
    <w:multiLevelType w:val="singleLevel"/>
    <w:tmpl w:val="00000001"/>
    <w:lvl w:ilvl="0" w:tentative="0">
      <w:start w:val="13"/>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EE18EFA"/>
    <w:multiLevelType w:val="singleLevel"/>
    <w:tmpl w:val="5EE18EFA"/>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940758"/>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12E71"/>
    <w:rsid w:val="0C230DF6"/>
    <w:rsid w:val="0C2C3B6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9580E"/>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B5C73"/>
    <w:rsid w:val="1B4F2450"/>
    <w:rsid w:val="1B50619C"/>
    <w:rsid w:val="1B530868"/>
    <w:rsid w:val="1B6573E8"/>
    <w:rsid w:val="1B6922A5"/>
    <w:rsid w:val="1B721452"/>
    <w:rsid w:val="1B8C18B7"/>
    <w:rsid w:val="1BB73AE1"/>
    <w:rsid w:val="1BDA6D68"/>
    <w:rsid w:val="1BE91714"/>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A3515"/>
    <w:rsid w:val="1D5144F7"/>
    <w:rsid w:val="1D583653"/>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485E60"/>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A35B4"/>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56DB9"/>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14523D"/>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1947B5"/>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2C2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3A17EE"/>
    <w:rsid w:val="49413F52"/>
    <w:rsid w:val="494F6304"/>
    <w:rsid w:val="49792B95"/>
    <w:rsid w:val="49F11610"/>
    <w:rsid w:val="4A05334F"/>
    <w:rsid w:val="4A060864"/>
    <w:rsid w:val="4A244932"/>
    <w:rsid w:val="4A280725"/>
    <w:rsid w:val="4A2922C8"/>
    <w:rsid w:val="4A4117B2"/>
    <w:rsid w:val="4A4A6F73"/>
    <w:rsid w:val="4A7A4350"/>
    <w:rsid w:val="4A7B1703"/>
    <w:rsid w:val="4A7B712C"/>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A27D7"/>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1C432A"/>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66149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C5DFB"/>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link w:val="97"/>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 w:type="character" w:customStyle="1" w:styleId="97">
    <w:name w:val="标题 4 字符"/>
    <w:link w:val="11"/>
    <w:qFormat/>
    <w:uiPriority w:val="0"/>
    <w:rPr>
      <w:rFonts w:ascii="Arial" w:hAnsi="Arial"/>
      <w:b/>
      <w:bCs/>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16195</Words>
  <Characters>17045</Characters>
  <Lines>50</Lines>
  <Paragraphs>68</Paragraphs>
  <TotalTime>2</TotalTime>
  <ScaleCrop>false</ScaleCrop>
  <LinksUpToDate>false</LinksUpToDate>
  <CharactersWithSpaces>17567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2025-06-30T02:38:16Z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B4C2E3B561244F99AE3B797BE4A136BC_13</vt:lpwstr>
  </property>
  <property fmtid="{D5CDD505-2E9C-101B-9397-08002B2CF9AE}" pid="4" name="KSOTemplateDocerSaveRecord">
    <vt:lpwstr>eyJoZGlkIjoiMzU0MTZjMjFkMjFjOGMwYTIzNWEzZDljNjYxZWI0MmYiLCJ1c2VySWQiOiIxNjg0NTc5MjM2In0=</vt:lpwstr>
  </property>
</Properties>
</file>