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驻马店市中心医院飞利浦16排CT2全保（除球管与第三方产品）</w:t>
      </w:r>
      <w:r>
        <w:rPr>
          <w:rFonts w:hint="eastAsia" w:cs="宋体"/>
          <w:b/>
          <w:bCs/>
          <w:color w:val="auto"/>
          <w:sz w:val="44"/>
          <w:szCs w:val="44"/>
          <w:highlight w:val="none"/>
          <w:lang w:val="en-US" w:eastAsia="zh-CN"/>
        </w:rPr>
        <w:t>项目</w:t>
      </w:r>
    </w:p>
    <w:p w14:paraId="0610F71D">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驻马店市中心医院飞利浦16排CT2全保（除球管与第三方产品）项目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驻马店市中心医院飞利浦16排CT2全保（除球管与第三方产品）项目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驻马店市中心医院飞利浦16排CT2全保（除球管与第三方产品）项目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服务期限：1年；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971"/>
      <w:bookmarkStart w:id="10" w:name="_Toc23395"/>
      <w:bookmarkStart w:id="11" w:name="_Toc9562"/>
      <w:bookmarkStart w:id="12" w:name="_Toc3064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C53F87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highlight w:val="none"/>
          <w:lang w:val="en-US" w:eastAsia="zh-CN"/>
        </w:rPr>
        <w:t>）。一经发现，将导致投标同时被拒绝</w:t>
      </w:r>
      <w:r>
        <w:rPr>
          <w:rFonts w:hint="eastAsia" w:ascii="宋体" w:hAnsi="宋体" w:cs="宋体"/>
          <w:color w:val="auto"/>
          <w:highlight w:val="none"/>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0-下午17:30（北京时间，法定节假日除外）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w:t>
      </w:r>
      <w:bookmarkStart w:id="101" w:name="_GoBack"/>
      <w:bookmarkEnd w:id="101"/>
      <w:r>
        <w:rPr>
          <w:rFonts w:hint="eastAsia" w:ascii="宋体" w:hAnsi="宋体" w:eastAsia="宋体" w:cs="宋体"/>
          <w:color w:val="auto"/>
          <w:kern w:val="0"/>
          <w:sz w:val="21"/>
          <w:szCs w:val="21"/>
          <w:highlight w:val="none"/>
          <w:shd w:val="clear" w:color="auto" w:fill="FFFFFF"/>
          <w:lang w:val="en-US" w:eastAsia="zh-CN" w:bidi="ar-SA"/>
        </w:rPr>
        <w:t xml:space="preserve">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25869"/>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2.采购代理机构：河南博库工程咨询有限公司</w:t>
      </w:r>
    </w:p>
    <w:p w14:paraId="223DEFB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6560E3E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08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驻马店市中心医院飞利浦16排CT2全保（除球管与第三方产品）项目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979"/>
        <w:gridCol w:w="2529"/>
        <w:gridCol w:w="933"/>
        <w:gridCol w:w="867"/>
        <w:gridCol w:w="1091"/>
        <w:gridCol w:w="1086"/>
        <w:gridCol w:w="1217"/>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79"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529"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3"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8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91"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86"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17" w:type="dxa"/>
            <w:vAlign w:val="center"/>
          </w:tcPr>
          <w:p w14:paraId="0D5173F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w:t>
            </w:r>
          </w:p>
        </w:tc>
        <w:tc>
          <w:tcPr>
            <w:tcW w:w="97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252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u w:val="none"/>
                <w:lang w:val="en-US" w:eastAsia="zh-CN"/>
              </w:rPr>
              <w:t>飞利浦16排CT2全保（除球管与第三方产品）</w:t>
            </w:r>
          </w:p>
        </w:tc>
        <w:tc>
          <w:tcPr>
            <w:tcW w:w="933"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年</w:t>
            </w:r>
          </w:p>
        </w:tc>
        <w:tc>
          <w:tcPr>
            <w:tcW w:w="8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1</w:t>
            </w:r>
          </w:p>
        </w:tc>
        <w:tc>
          <w:tcPr>
            <w:tcW w:w="109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28万元</w:t>
            </w:r>
          </w:p>
        </w:tc>
        <w:tc>
          <w:tcPr>
            <w:tcW w:w="108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自筹</w:t>
            </w:r>
          </w:p>
        </w:tc>
        <w:tc>
          <w:tcPr>
            <w:tcW w:w="1217"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72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28万元</w:t>
            </w:r>
          </w:p>
        </w:tc>
      </w:tr>
      <w:tr w14:paraId="6F3F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62" w:type="dxa"/>
            <w:gridSpan w:val="2"/>
            <w:vAlign w:val="center"/>
          </w:tcPr>
          <w:p w14:paraId="7E38E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color w:val="auto"/>
                <w:highlight w:val="none"/>
              </w:rPr>
            </w:pPr>
            <w:r>
              <w:rPr>
                <w:rFonts w:hint="eastAsia" w:ascii="宋体" w:hAnsi="宋体" w:eastAsia="宋体" w:cs="宋体"/>
                <w:b/>
                <w:bCs/>
                <w:color w:val="auto"/>
                <w:sz w:val="21"/>
                <w:szCs w:val="21"/>
                <w:highlight w:val="none"/>
                <w:vertAlign w:val="baseline"/>
                <w:lang w:val="en-US" w:eastAsia="zh-CN"/>
              </w:rPr>
              <w:t>备注</w:t>
            </w:r>
          </w:p>
        </w:tc>
        <w:tc>
          <w:tcPr>
            <w:tcW w:w="7723" w:type="dxa"/>
            <w:gridSpan w:val="6"/>
            <w:vAlign w:val="center"/>
          </w:tcPr>
          <w:p w14:paraId="14005A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w:t>
            </w:r>
          </w:p>
        </w:tc>
      </w:tr>
    </w:tbl>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5B52F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1)保修期内每年至少提供4次设备维护保养，包含但不限于如下项目：设备清洁、性能测试及校准、必要的电气环境检测等，使之保持原厂QC标准或国家质量监督部门的标准，并提供保养清单</w:t>
      </w:r>
      <w:r>
        <w:rPr>
          <w:rFonts w:hint="eastAsia" w:ascii="宋体" w:hAnsi="宋体" w:cs="宋体"/>
          <w:b w:val="0"/>
          <w:bCs w:val="0"/>
          <w:color w:val="auto"/>
          <w:kern w:val="2"/>
          <w:sz w:val="21"/>
          <w:szCs w:val="24"/>
          <w:highlight w:val="none"/>
          <w:lang w:val="en-US" w:eastAsia="zh-CN" w:bidi="ar-SA"/>
        </w:rPr>
        <w:t>。</w:t>
      </w:r>
    </w:p>
    <w:p w14:paraId="45823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2)每次维修保养更换配件时需通知科室及医学装备部，且保修期最后一个月需三方人员（</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768AB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3)为本医院配置具备维修资质的固定工程师不少于2人，本设备维修经验不少于2年，需提供证明材料（培训证书）和承诺函</w:t>
      </w:r>
      <w:r>
        <w:rPr>
          <w:rFonts w:hint="eastAsia" w:ascii="宋体" w:hAnsi="宋体" w:cs="宋体"/>
          <w:b w:val="0"/>
          <w:bCs w:val="0"/>
          <w:color w:val="auto"/>
          <w:kern w:val="2"/>
          <w:sz w:val="21"/>
          <w:szCs w:val="24"/>
          <w:highlight w:val="none"/>
          <w:lang w:val="en-US" w:eastAsia="zh-CN" w:bidi="ar-SA"/>
        </w:rPr>
        <w:t>。</w:t>
      </w:r>
    </w:p>
    <w:p w14:paraId="7FEF80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4)所换备件必须是全新合格的产品，并满足设备运行要求, 进口配件需提供商检及海关报关单等材料。因所换备件造成的设备故障及医院损失，由</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全权负责</w:t>
      </w:r>
      <w:r>
        <w:rPr>
          <w:rFonts w:hint="eastAsia" w:ascii="宋体" w:hAnsi="宋体" w:cs="宋体"/>
          <w:b w:val="0"/>
          <w:bCs w:val="0"/>
          <w:color w:val="auto"/>
          <w:kern w:val="2"/>
          <w:sz w:val="21"/>
          <w:szCs w:val="24"/>
          <w:highlight w:val="none"/>
          <w:lang w:val="en-US" w:eastAsia="zh-CN" w:bidi="ar-SA"/>
        </w:rPr>
        <w:t>。</w:t>
      </w:r>
    </w:p>
    <w:p w14:paraId="661E4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5)软硬件及工作站免费安全升级，并开放维修密码等</w:t>
      </w:r>
      <w:r>
        <w:rPr>
          <w:rFonts w:hint="eastAsia" w:ascii="宋体" w:hAnsi="宋体" w:cs="宋体"/>
          <w:b w:val="0"/>
          <w:bCs w:val="0"/>
          <w:color w:val="auto"/>
          <w:kern w:val="2"/>
          <w:sz w:val="21"/>
          <w:szCs w:val="24"/>
          <w:highlight w:val="none"/>
          <w:lang w:val="en-US" w:eastAsia="zh-CN" w:bidi="ar-SA"/>
        </w:rPr>
        <w:t>。</w:t>
      </w:r>
    </w:p>
    <w:p w14:paraId="79F95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6)提供24小时远程技术支持及临床应用支持，签署由招标人提供的信息系统数据安全保密承诺书</w:t>
      </w:r>
      <w:r>
        <w:rPr>
          <w:rFonts w:hint="eastAsia" w:ascii="宋体" w:hAnsi="宋体" w:cs="宋体"/>
          <w:b w:val="0"/>
          <w:bCs w:val="0"/>
          <w:color w:val="auto"/>
          <w:kern w:val="2"/>
          <w:sz w:val="21"/>
          <w:szCs w:val="24"/>
          <w:highlight w:val="none"/>
          <w:lang w:val="en-US" w:eastAsia="zh-CN" w:bidi="ar-SA"/>
        </w:rPr>
        <w:t>。</w:t>
      </w:r>
    </w:p>
    <w:p w14:paraId="6EC2D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7）更换维修备件需要院内工程师及科室主任在场拍照，更换维修备件超过三万元需要先招标后更换，特殊情况除外</w:t>
      </w:r>
      <w:r>
        <w:rPr>
          <w:rFonts w:hint="eastAsia" w:ascii="宋体" w:hAnsi="宋体" w:cs="宋体"/>
          <w:b w:val="0"/>
          <w:bCs w:val="0"/>
          <w:color w:val="auto"/>
          <w:kern w:val="2"/>
          <w:sz w:val="21"/>
          <w:szCs w:val="24"/>
          <w:highlight w:val="none"/>
          <w:lang w:val="en-US" w:eastAsia="zh-CN" w:bidi="ar-SA"/>
        </w:rPr>
        <w:t>。</w:t>
      </w:r>
    </w:p>
    <w:p w14:paraId="11588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8）如需更换备件，国内备件仓库有货的备件在2个工作日内送达医院，进口配件5个工作日送达；非标件和不可抗力除外</w:t>
      </w:r>
      <w:r>
        <w:rPr>
          <w:rFonts w:hint="eastAsia" w:ascii="宋体" w:hAnsi="宋体" w:cs="宋体"/>
          <w:b w:val="0"/>
          <w:bCs w:val="0"/>
          <w:color w:val="auto"/>
          <w:kern w:val="2"/>
          <w:sz w:val="21"/>
          <w:szCs w:val="24"/>
          <w:highlight w:val="none"/>
          <w:lang w:val="en-US" w:eastAsia="zh-CN" w:bidi="ar-SA"/>
        </w:rPr>
        <w:t>。</w:t>
      </w:r>
    </w:p>
    <w:p w14:paraId="33A82C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9）定期进行安全检查及质量保障，保证24h*365天维修热线连接；提供全国400热线服务电话</w:t>
      </w:r>
      <w:r>
        <w:rPr>
          <w:rFonts w:hint="eastAsia" w:ascii="宋体" w:hAnsi="宋体" w:cs="宋体"/>
          <w:b w:val="0"/>
          <w:bCs w:val="0"/>
          <w:color w:val="auto"/>
          <w:kern w:val="2"/>
          <w:sz w:val="21"/>
          <w:szCs w:val="24"/>
          <w:highlight w:val="none"/>
          <w:lang w:val="en-US" w:eastAsia="zh-CN" w:bidi="ar-SA"/>
        </w:rPr>
        <w:t>。</w:t>
      </w:r>
    </w:p>
    <w:p w14:paraId="2452E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10）紧急人工和工程师现场紧急维修服务</w:t>
      </w:r>
      <w:r>
        <w:rPr>
          <w:rFonts w:hint="eastAsia" w:ascii="宋体" w:hAnsi="宋体" w:cs="宋体"/>
          <w:b w:val="0"/>
          <w:bCs w:val="0"/>
          <w:color w:val="auto"/>
          <w:kern w:val="2"/>
          <w:sz w:val="21"/>
          <w:szCs w:val="24"/>
          <w:highlight w:val="none"/>
          <w:lang w:val="en-US" w:eastAsia="zh-CN" w:bidi="ar-SA"/>
        </w:rPr>
        <w:t>。</w:t>
      </w:r>
    </w:p>
    <w:p w14:paraId="4A895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11）提供ISO9001和13485质量认证证书</w:t>
      </w:r>
      <w:r>
        <w:rPr>
          <w:rFonts w:hint="eastAsia" w:ascii="宋体" w:hAnsi="宋体" w:cs="宋体"/>
          <w:b w:val="0"/>
          <w:bCs w:val="0"/>
          <w:color w:val="auto"/>
          <w:kern w:val="2"/>
          <w:sz w:val="21"/>
          <w:szCs w:val="24"/>
          <w:highlight w:val="none"/>
          <w:lang w:val="en-US" w:eastAsia="zh-CN" w:bidi="ar-SA"/>
        </w:rPr>
        <w:t>。</w:t>
      </w:r>
    </w:p>
    <w:p w14:paraId="7D2B6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12）工程师需配备有专用工具，工程师的工具符合国家检测和校准的规定（提供相关校准证明）</w:t>
      </w:r>
      <w:r>
        <w:rPr>
          <w:rFonts w:hint="eastAsia" w:ascii="宋体" w:hAnsi="宋体" w:cs="宋体"/>
          <w:b w:val="0"/>
          <w:bCs w:val="0"/>
          <w:color w:val="auto"/>
          <w:kern w:val="2"/>
          <w:sz w:val="21"/>
          <w:szCs w:val="24"/>
          <w:highlight w:val="none"/>
          <w:lang w:val="en-US" w:eastAsia="zh-CN" w:bidi="ar-SA"/>
        </w:rPr>
        <w:t>。</w:t>
      </w:r>
    </w:p>
    <w:p w14:paraId="3442B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13）保修期最后一个月内更换的配件，中标公司应保证自更换之日起三个月内正常使用，如三个月内出现故障，由中标公司承担维修费用。</w:t>
      </w:r>
    </w:p>
    <w:p w14:paraId="4D1FB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14）须有具备应用培训工程师且提供原厂认证的培训证书。</w:t>
      </w:r>
    </w:p>
    <w:p w14:paraId="10EFB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15）对我院的维修工程师提供每年至少2人次的专业培训，并提供培训证明材料。</w:t>
      </w:r>
    </w:p>
    <w:p w14:paraId="73177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16）每年制定临床使用人员的使用维护培训计划，按计划进行培训并提供记录。</w:t>
      </w:r>
    </w:p>
    <w:p w14:paraId="4235F853">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766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noWrap/>
            <w:vAlign w:val="center"/>
          </w:tcPr>
          <w:p w14:paraId="6E0195EC">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66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noWrap/>
            <w:vAlign w:val="center"/>
          </w:tcPr>
          <w:p w14:paraId="701C2F15">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66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服务安排</w:t>
            </w:r>
          </w:p>
        </w:tc>
        <w:tc>
          <w:tcPr>
            <w:tcW w:w="7664" w:type="dxa"/>
            <w:tcBorders>
              <w:top w:val="single" w:color="auto" w:sz="4" w:space="0"/>
              <w:left w:val="single" w:color="auto" w:sz="4" w:space="0"/>
              <w:bottom w:val="single" w:color="auto" w:sz="4" w:space="0"/>
              <w:right w:val="single" w:color="auto" w:sz="4" w:space="0"/>
            </w:tcBorders>
            <w:noWrap/>
            <w:vAlign w:val="center"/>
          </w:tcPr>
          <w:p w14:paraId="52A20435">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周一至周日，7天24小时包括法定节假日</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维修响应时间</w:t>
            </w:r>
          </w:p>
        </w:tc>
        <w:tc>
          <w:tcPr>
            <w:tcW w:w="766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20分钟内电话响应，2小时内工程师到达现场，一般故障24小时内维修完毕。如需外地专家支持，4小时内响应，24小时内到达现场。</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noWrap/>
            <w:vAlign w:val="center"/>
          </w:tcPr>
          <w:p w14:paraId="481E1749">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维修要求</w:t>
            </w:r>
          </w:p>
        </w:tc>
        <w:tc>
          <w:tcPr>
            <w:tcW w:w="7664" w:type="dxa"/>
            <w:tcBorders>
              <w:top w:val="single" w:color="auto" w:sz="4" w:space="0"/>
              <w:left w:val="single" w:color="auto" w:sz="4" w:space="0"/>
              <w:bottom w:val="single" w:color="auto" w:sz="4" w:space="0"/>
              <w:right w:val="single" w:color="auto" w:sz="4" w:space="0"/>
            </w:tcBorders>
            <w:noWrap/>
            <w:vAlign w:val="center"/>
          </w:tcPr>
          <w:p w14:paraId="0DADD2FF">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保证我院保修的设备正常开机率大于95% （一年按365天计算），且单次维修不能超过1天，否则设备维修占用日期每增加一天，保修时间往后顺延七天。</w:t>
            </w:r>
          </w:p>
        </w:tc>
      </w:tr>
      <w:tr w14:paraId="0E703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A8E2D">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664" w:type="dxa"/>
            <w:tcBorders>
              <w:top w:val="single" w:color="auto" w:sz="4" w:space="0"/>
              <w:left w:val="single" w:color="auto" w:sz="4" w:space="0"/>
              <w:bottom w:val="single" w:color="auto" w:sz="4" w:space="0"/>
              <w:right w:val="single" w:color="auto" w:sz="4" w:space="0"/>
            </w:tcBorders>
            <w:noWrap/>
            <w:vAlign w:val="center"/>
          </w:tcPr>
          <w:p w14:paraId="7BAD0064">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先服务后付款，服务六个月之后支付50%合同款，服务期满后支付余下50%合同款。</w:t>
            </w:r>
          </w:p>
        </w:tc>
      </w:tr>
      <w:tr w14:paraId="41E87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22" w:type="dxa"/>
            <w:tcBorders>
              <w:top w:val="single" w:color="auto" w:sz="4" w:space="0"/>
              <w:right w:val="single" w:color="auto" w:sz="4" w:space="0"/>
            </w:tcBorders>
            <w:shd w:val="clear" w:color="auto" w:fill="auto"/>
            <w:vAlign w:val="center"/>
          </w:tcPr>
          <w:p w14:paraId="0AFA626A">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664" w:type="dxa"/>
            <w:tcBorders>
              <w:top w:val="single" w:color="auto" w:sz="4" w:space="0"/>
              <w:left w:val="single" w:color="auto" w:sz="4" w:space="0"/>
            </w:tcBorders>
            <w:vAlign w:val="center"/>
          </w:tcPr>
          <w:p w14:paraId="4A15C72D">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p>
        </w:tc>
      </w:tr>
    </w:tbl>
    <w:p w14:paraId="6DD7E018">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驻马店市中心医院飞利浦16排CT2全保（除球管与第三方产品）项目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：28 </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74A402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BF287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D66A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3071D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B49935F">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651"/>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061"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421"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061"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59</w:t>
            </w:r>
            <w:r>
              <w:rPr>
                <w:rFonts w:hint="eastAsia" w:ascii="宋体" w:hAnsi="宋体" w:eastAsia="宋体" w:cs="宋体"/>
                <w:b w:val="0"/>
                <w:bCs w:val="0"/>
                <w:color w:val="auto"/>
                <w:sz w:val="21"/>
                <w:szCs w:val="21"/>
                <w:highlight w:val="none"/>
                <w:lang w:eastAsia="zh-CN"/>
              </w:rPr>
              <w:t>分）</w:t>
            </w:r>
          </w:p>
        </w:tc>
        <w:tc>
          <w:tcPr>
            <w:tcW w:w="1651" w:type="dxa"/>
            <w:noWrap w:val="0"/>
            <w:vAlign w:val="center"/>
          </w:tcPr>
          <w:p w14:paraId="7D9064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1.服务能力响应程度</w:t>
            </w:r>
          </w:p>
          <w:p w14:paraId="7F53797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000E5A7">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文件第二章 采购需求</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每有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若</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响应表</w:t>
            </w:r>
            <w:r>
              <w:rPr>
                <w:rFonts w:hint="eastAsia" w:ascii="宋体" w:hAnsi="宋体" w:eastAsia="宋体" w:cs="宋体"/>
                <w:color w:val="auto"/>
                <w:sz w:val="21"/>
                <w:szCs w:val="21"/>
                <w:highlight w:val="none"/>
                <w:lang w:val="en-US" w:eastAsia="zh-CN"/>
              </w:rPr>
              <w:t>，并标注偏离情况。</w:t>
            </w:r>
          </w:p>
          <w:p w14:paraId="39C6F6E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061"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651" w:type="dxa"/>
            <w:noWrap w:val="0"/>
            <w:vAlign w:val="center"/>
          </w:tcPr>
          <w:p w14:paraId="23117383">
            <w:pPr>
              <w:keepNext w:val="0"/>
              <w:keepLines w:val="0"/>
              <w:pageBreakBefore w:val="0"/>
              <w:kinsoku/>
              <w:wordWrap/>
              <w:overflowPunct/>
              <w:topLinePunct w:val="0"/>
              <w:bidi w:val="0"/>
              <w:snapToGrid w:val="0"/>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p>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32CFE05">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lang w:val="en-US" w:eastAsia="zh-CN"/>
              </w:rPr>
              <w:t>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w:t>
            </w:r>
            <w:r>
              <w:rPr>
                <w:rFonts w:hint="eastAsia" w:ascii="宋体" w:hAnsi="宋体" w:cs="宋体"/>
                <w:b w:val="0"/>
                <w:bCs w:val="0"/>
                <w:color w:val="auto"/>
                <w:sz w:val="21"/>
                <w:szCs w:val="21"/>
                <w:highlight w:val="none"/>
                <w:lang w:val="en-US" w:eastAsia="zh-CN"/>
              </w:rPr>
              <w:t>）进行评审</w:t>
            </w:r>
            <w:r>
              <w:rPr>
                <w:rFonts w:hint="eastAsia" w:ascii="宋体" w:hAnsi="宋体" w:cs="宋体"/>
                <w:color w:val="auto"/>
                <w:highlight w:val="none"/>
                <w:lang w:val="en-US" w:eastAsia="zh-CN"/>
              </w:rPr>
              <w:t>：</w:t>
            </w:r>
          </w:p>
          <w:p w14:paraId="5EDE243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123035D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66B6C4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31945492">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061" w:type="dxa"/>
            <w:vMerge w:val="continue"/>
            <w:noWrap w:val="0"/>
            <w:vAlign w:val="center"/>
          </w:tcPr>
          <w:p w14:paraId="47E598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651" w:type="dxa"/>
            <w:noWrap w:val="0"/>
            <w:vAlign w:val="center"/>
          </w:tcPr>
          <w:p w14:paraId="064A0CA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.备品备件</w:t>
            </w:r>
          </w:p>
          <w:p w14:paraId="3C0560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C281D69">
            <w:pPr>
              <w:keepNext w:val="0"/>
              <w:keepLines w:val="0"/>
              <w:widowControl/>
              <w:suppressLineNumbers w:val="0"/>
              <w:jc w:val="left"/>
              <w:rPr>
                <w:rFonts w:hint="default"/>
                <w:color w:val="auto"/>
                <w:highlight w:val="none"/>
                <w:lang w:val="en-US"/>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5A80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061" w:type="dxa"/>
            <w:vMerge w:val="continue"/>
            <w:noWrap w:val="0"/>
            <w:vAlign w:val="center"/>
          </w:tcPr>
          <w:p w14:paraId="55B0BF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651" w:type="dxa"/>
            <w:noWrap w:val="0"/>
            <w:vAlign w:val="center"/>
          </w:tcPr>
          <w:p w14:paraId="6DAD2F4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6B72AF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61"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651" w:type="dxa"/>
            <w:tcBorders>
              <w:top w:val="single" w:color="auto" w:sz="4" w:space="0"/>
            </w:tcBorders>
            <w:noWrap w:val="0"/>
            <w:vAlign w:val="center"/>
          </w:tcPr>
          <w:p w14:paraId="4AB63F8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p>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061"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651"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r>
              <w:rPr>
                <w:rFonts w:hint="eastAsia" w:ascii="宋体" w:hAnsi="宋体" w:cs="宋体"/>
                <w:b w:val="0"/>
                <w:bCs w:val="0"/>
                <w:color w:val="auto"/>
                <w:sz w:val="21"/>
                <w:szCs w:val="21"/>
                <w:highlight w:val="none"/>
                <w:lang w:val="en-US" w:eastAsia="zh-CN"/>
              </w:rPr>
              <w:t>方案</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A972FA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b w:val="0"/>
                <w:bCs w:val="0"/>
                <w:color w:val="auto"/>
                <w:sz w:val="21"/>
                <w:szCs w:val="21"/>
                <w:highlight w:val="none"/>
                <w:lang w:val="en-US" w:eastAsia="zh-CN"/>
              </w:rPr>
              <w:t>）</w:t>
            </w:r>
            <w:r>
              <w:rPr>
                <w:rFonts w:hint="eastAsia" w:ascii="宋体" w:hAnsi="宋体" w:cs="宋体"/>
                <w:color w:val="auto"/>
                <w:highlight w:val="none"/>
                <w:lang w:val="en-US" w:eastAsia="zh-CN"/>
              </w:rPr>
              <w:t>进行评审</w:t>
            </w:r>
            <w:r>
              <w:rPr>
                <w:rFonts w:hint="eastAsia" w:ascii="宋体" w:hAnsi="宋体" w:eastAsia="宋体" w:cs="宋体"/>
                <w:color w:val="auto"/>
                <w:highlight w:val="none"/>
              </w:rPr>
              <w:t>；</w:t>
            </w:r>
          </w:p>
          <w:p w14:paraId="6C725A2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1320D6D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1A75CED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43D33C2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61"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651" w:type="dxa"/>
            <w:noWrap w:val="0"/>
            <w:vAlign w:val="center"/>
          </w:tcPr>
          <w:p w14:paraId="4299B1E3">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3.项目人员配备方案</w:t>
            </w:r>
          </w:p>
          <w:p w14:paraId="330948A9">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（10分）</w:t>
            </w:r>
          </w:p>
        </w:tc>
        <w:tc>
          <w:tcPr>
            <w:tcW w:w="6770" w:type="dxa"/>
            <w:noWrap w:val="0"/>
            <w:vAlign w:val="center"/>
          </w:tcPr>
          <w:p w14:paraId="57DABFF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根据供应商针对本项目提供的项目人员配备方案进行评审：</w:t>
            </w:r>
          </w:p>
          <w:p w14:paraId="3DC5A52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1）人员配备安排合理、专业技术能力强、设备维护经验丰富且持证上岗，能完全满足采购需求的得10分；</w:t>
            </w:r>
          </w:p>
          <w:p w14:paraId="2E41D8E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2）人员配备基本满足采购需求的得5分；</w:t>
            </w:r>
          </w:p>
          <w:p w14:paraId="317D1A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3）人员配备不能满足采购需求的得1分；</w:t>
            </w:r>
          </w:p>
          <w:p w14:paraId="0E13103C">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183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61" w:type="dxa"/>
            <w:vMerge w:val="continue"/>
            <w:noWrap w:val="0"/>
            <w:vAlign w:val="center"/>
          </w:tcPr>
          <w:p w14:paraId="43268B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651" w:type="dxa"/>
            <w:noWrap w:val="0"/>
            <w:vAlign w:val="center"/>
          </w:tcPr>
          <w:p w14:paraId="1830229F">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4.培训方案</w:t>
            </w:r>
          </w:p>
          <w:p w14:paraId="3774495E">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49FCBF8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47166F4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61" w:type="dxa"/>
            <w:vMerge w:val="continue"/>
            <w:noWrap w:val="0"/>
            <w:vAlign w:val="center"/>
          </w:tcPr>
          <w:p w14:paraId="120357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651"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未提供不得分。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61"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421"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731CB8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E703431">
      <w:pPr>
        <w:rPr>
          <w:rFonts w:hint="eastAsia" w:ascii="宋体" w:hAnsi="宋体" w:eastAsia="宋体" w:cs="宋体"/>
          <w:b/>
          <w:color w:val="auto"/>
          <w:highlight w:val="none"/>
        </w:rPr>
      </w:pPr>
    </w:p>
    <w:p w14:paraId="344DE191">
      <w:pPr>
        <w:rPr>
          <w:rFonts w:hint="eastAsia" w:ascii="宋体" w:hAnsi="宋体" w:eastAsia="宋体" w:cs="宋体"/>
          <w:b/>
          <w:color w:val="auto"/>
          <w:highlight w:val="none"/>
        </w:rPr>
      </w:pP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 xml:space="preserve">     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202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eastAsia="宋体" w:cs="宋体"/>
                <w:color w:val="auto"/>
                <w:kern w:val="0"/>
                <w:sz w:val="21"/>
                <w:szCs w:val="21"/>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widowControl/>
              <w:tabs>
                <w:tab w:val="left" w:pos="1418"/>
              </w:tabs>
              <w:snapToGrid w:val="0"/>
              <w:spacing w:before="50" w:after="50" w:line="360" w:lineRule="exact"/>
              <w:jc w:val="center"/>
              <w:rPr>
                <w:rFonts w:hint="default" w:ascii="宋体" w:hAnsi="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424" w:type="dxa"/>
            <w:tcBorders>
              <w:top w:val="single" w:color="auto" w:sz="4" w:space="0"/>
              <w:left w:val="single" w:color="auto" w:sz="4" w:space="0"/>
              <w:bottom w:val="nil"/>
              <w:right w:val="single" w:color="auto" w:sz="4" w:space="0"/>
            </w:tcBorders>
            <w:vAlign w:val="center"/>
          </w:tcPr>
          <w:p w14:paraId="09AB027E">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1"/>
                <w:szCs w:val="21"/>
                <w:highlight w:val="none"/>
              </w:rPr>
              <w:t>数量</w:t>
            </w:r>
          </w:p>
        </w:tc>
        <w:tc>
          <w:tcPr>
            <w:tcW w:w="1447" w:type="dxa"/>
            <w:tcBorders>
              <w:top w:val="single" w:color="auto" w:sz="4" w:space="0"/>
              <w:left w:val="single" w:color="auto" w:sz="4" w:space="0"/>
              <w:bottom w:val="nil"/>
              <w:right w:val="single" w:color="auto" w:sz="4" w:space="0"/>
            </w:tcBorders>
            <w:vAlign w:val="center"/>
          </w:tcPr>
          <w:p w14:paraId="274110E9">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1"/>
                <w:szCs w:val="21"/>
                <w:highlight w:val="none"/>
              </w:rPr>
              <w:t>单价</w:t>
            </w:r>
          </w:p>
        </w:tc>
        <w:tc>
          <w:tcPr>
            <w:tcW w:w="822" w:type="dxa"/>
            <w:tcBorders>
              <w:top w:val="single" w:color="auto" w:sz="4" w:space="0"/>
              <w:left w:val="single" w:color="auto" w:sz="4" w:space="0"/>
              <w:bottom w:val="nil"/>
              <w:right w:val="single" w:color="auto" w:sz="4" w:space="0"/>
            </w:tcBorders>
            <w:vAlign w:val="center"/>
          </w:tcPr>
          <w:p w14:paraId="2CF70D41">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2023" w:type="dxa"/>
            <w:tcBorders>
              <w:top w:val="single" w:color="auto" w:sz="4" w:space="0"/>
              <w:left w:val="single" w:color="auto" w:sz="4" w:space="0"/>
              <w:bottom w:val="nil"/>
              <w:right w:val="single" w:color="auto" w:sz="4" w:space="0"/>
            </w:tcBorders>
            <w:vAlign w:val="center"/>
          </w:tcPr>
          <w:p w14:paraId="63A42D63">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1"/>
                <w:szCs w:val="21"/>
                <w:highlight w:val="none"/>
                <w:lang w:val="en-US" w:eastAsia="zh-CN"/>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6"/>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1C7266F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2CD8F572">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DE512C9">
      <w:pPr>
        <w:pStyle w:val="23"/>
        <w:rPr>
          <w:rFonts w:hint="default" w:ascii="宋体" w:hAnsi="宋体" w:cs="宋体"/>
          <w:color w:val="auto"/>
          <w:kern w:val="0"/>
          <w:sz w:val="24"/>
          <w:highlight w:val="none"/>
          <w:lang w:val="en-US" w:eastAsia="zh-CN"/>
        </w:rPr>
      </w:pPr>
      <w:bookmarkStart w:id="80" w:name="_Toc15804"/>
      <w:bookmarkStart w:id="81" w:name="_Toc226"/>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7F3EB9F">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4B2F0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要求</w:t>
      </w:r>
      <w:r>
        <w:rPr>
          <w:rFonts w:hint="eastAsia" w:ascii="宋体" w:hAnsi="宋体" w:eastAsia="宋体" w:cs="宋体"/>
          <w:bCs/>
          <w:color w:val="auto"/>
          <w:sz w:val="21"/>
          <w:szCs w:val="21"/>
          <w:highlight w:val="none"/>
          <w:lang w:val="en-US" w:eastAsia="zh-CN"/>
        </w:rPr>
        <w:t>支持资料</w:t>
      </w:r>
    </w:p>
    <w:p w14:paraId="00828F39">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pPr>
    </w:p>
    <w:p w14:paraId="7CC90B0D">
      <w:pPr>
        <w:pStyle w:val="10"/>
        <w:rPr>
          <w:rFonts w:hint="eastAsia" w:ascii="宋体" w:hAnsi="宋体" w:eastAsia="宋体" w:cs="宋体"/>
          <w:color w:val="auto"/>
          <w:highlight w:val="none"/>
        </w:r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驻马店市中心医院飞利浦16排CT2全保（除球管与第三方产品）项目采购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B5688"/>
    <w:rsid w:val="017E6D95"/>
    <w:rsid w:val="018D0058"/>
    <w:rsid w:val="01976717"/>
    <w:rsid w:val="01D715BE"/>
    <w:rsid w:val="01EB45BC"/>
    <w:rsid w:val="01F04981"/>
    <w:rsid w:val="01F30184"/>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50726"/>
    <w:rsid w:val="02B97DFD"/>
    <w:rsid w:val="02C866AB"/>
    <w:rsid w:val="02D92EF7"/>
    <w:rsid w:val="02DA4665"/>
    <w:rsid w:val="02F40325"/>
    <w:rsid w:val="02FA082F"/>
    <w:rsid w:val="031126C4"/>
    <w:rsid w:val="03195159"/>
    <w:rsid w:val="03217B69"/>
    <w:rsid w:val="033755DF"/>
    <w:rsid w:val="034733B8"/>
    <w:rsid w:val="03475E56"/>
    <w:rsid w:val="034B2E38"/>
    <w:rsid w:val="0353518A"/>
    <w:rsid w:val="035E4919"/>
    <w:rsid w:val="03675F31"/>
    <w:rsid w:val="036A009A"/>
    <w:rsid w:val="037A734D"/>
    <w:rsid w:val="03844805"/>
    <w:rsid w:val="03845791"/>
    <w:rsid w:val="03A011E9"/>
    <w:rsid w:val="03AE7F27"/>
    <w:rsid w:val="03BD2BCD"/>
    <w:rsid w:val="03C76963"/>
    <w:rsid w:val="03CC058D"/>
    <w:rsid w:val="03E017D2"/>
    <w:rsid w:val="03F447E2"/>
    <w:rsid w:val="03F77068"/>
    <w:rsid w:val="03FB660C"/>
    <w:rsid w:val="042518DB"/>
    <w:rsid w:val="042E37DB"/>
    <w:rsid w:val="04416C20"/>
    <w:rsid w:val="04732647"/>
    <w:rsid w:val="047968B1"/>
    <w:rsid w:val="04870542"/>
    <w:rsid w:val="04B2316F"/>
    <w:rsid w:val="04B30F7A"/>
    <w:rsid w:val="04FB5533"/>
    <w:rsid w:val="050E236F"/>
    <w:rsid w:val="054C0111"/>
    <w:rsid w:val="05545DD3"/>
    <w:rsid w:val="056A1C9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493D"/>
    <w:rsid w:val="066469C9"/>
    <w:rsid w:val="066646A1"/>
    <w:rsid w:val="066E164D"/>
    <w:rsid w:val="067508F8"/>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77FFE"/>
    <w:rsid w:val="075D0147"/>
    <w:rsid w:val="075E3193"/>
    <w:rsid w:val="07822663"/>
    <w:rsid w:val="078E18EB"/>
    <w:rsid w:val="07995D19"/>
    <w:rsid w:val="07AA2823"/>
    <w:rsid w:val="07B02D9F"/>
    <w:rsid w:val="07B10EA5"/>
    <w:rsid w:val="07C510CB"/>
    <w:rsid w:val="07CD6512"/>
    <w:rsid w:val="07CE3FA1"/>
    <w:rsid w:val="07EC2ECB"/>
    <w:rsid w:val="07FE66CB"/>
    <w:rsid w:val="080B4D47"/>
    <w:rsid w:val="081B727D"/>
    <w:rsid w:val="081D2FF5"/>
    <w:rsid w:val="0822060B"/>
    <w:rsid w:val="08321601"/>
    <w:rsid w:val="08326375"/>
    <w:rsid w:val="083D5C91"/>
    <w:rsid w:val="0847191F"/>
    <w:rsid w:val="08576ED9"/>
    <w:rsid w:val="08591DC3"/>
    <w:rsid w:val="085B58CB"/>
    <w:rsid w:val="08672793"/>
    <w:rsid w:val="08695E80"/>
    <w:rsid w:val="087C4541"/>
    <w:rsid w:val="087E5595"/>
    <w:rsid w:val="08BA0844"/>
    <w:rsid w:val="08BC0A60"/>
    <w:rsid w:val="08C52D6F"/>
    <w:rsid w:val="08E42BE4"/>
    <w:rsid w:val="08EF0201"/>
    <w:rsid w:val="08F41DE8"/>
    <w:rsid w:val="093D1475"/>
    <w:rsid w:val="094840A2"/>
    <w:rsid w:val="09644C54"/>
    <w:rsid w:val="09737462"/>
    <w:rsid w:val="097906FF"/>
    <w:rsid w:val="098470A4"/>
    <w:rsid w:val="099156C3"/>
    <w:rsid w:val="09A33F5B"/>
    <w:rsid w:val="09A53F39"/>
    <w:rsid w:val="09A60E13"/>
    <w:rsid w:val="09A82D92"/>
    <w:rsid w:val="09AB2883"/>
    <w:rsid w:val="09CD0A4B"/>
    <w:rsid w:val="09D206F0"/>
    <w:rsid w:val="0A2727C7"/>
    <w:rsid w:val="0A321AC2"/>
    <w:rsid w:val="0A343D4E"/>
    <w:rsid w:val="0A344626"/>
    <w:rsid w:val="0A3E6D2E"/>
    <w:rsid w:val="0A4232E4"/>
    <w:rsid w:val="0A4F145F"/>
    <w:rsid w:val="0A8455AD"/>
    <w:rsid w:val="0A8729A8"/>
    <w:rsid w:val="0AD13A85"/>
    <w:rsid w:val="0AE0655C"/>
    <w:rsid w:val="0B091954"/>
    <w:rsid w:val="0B195776"/>
    <w:rsid w:val="0B197F9A"/>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A3DB4"/>
    <w:rsid w:val="0BF00A21"/>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A4C4B"/>
    <w:rsid w:val="0DFE4F67"/>
    <w:rsid w:val="0E0C0D4C"/>
    <w:rsid w:val="0E115DA1"/>
    <w:rsid w:val="0E1409F6"/>
    <w:rsid w:val="0E162D6D"/>
    <w:rsid w:val="0E460DCC"/>
    <w:rsid w:val="0E541CA2"/>
    <w:rsid w:val="0E594756"/>
    <w:rsid w:val="0E7771D7"/>
    <w:rsid w:val="0E95596D"/>
    <w:rsid w:val="0EAE6205"/>
    <w:rsid w:val="0EAE6579"/>
    <w:rsid w:val="0EAF71BF"/>
    <w:rsid w:val="0ECE6257"/>
    <w:rsid w:val="0ED13166"/>
    <w:rsid w:val="0EE4129D"/>
    <w:rsid w:val="0F171032"/>
    <w:rsid w:val="0F335E69"/>
    <w:rsid w:val="0F372614"/>
    <w:rsid w:val="0F3D59C9"/>
    <w:rsid w:val="0F516D5A"/>
    <w:rsid w:val="0F565B36"/>
    <w:rsid w:val="0F684933"/>
    <w:rsid w:val="0F6E2388"/>
    <w:rsid w:val="0F753717"/>
    <w:rsid w:val="0F821E7D"/>
    <w:rsid w:val="0FC91CB4"/>
    <w:rsid w:val="0FCA42ED"/>
    <w:rsid w:val="0FDB5F4F"/>
    <w:rsid w:val="0FE7592C"/>
    <w:rsid w:val="0FFC17A5"/>
    <w:rsid w:val="0FFD20F0"/>
    <w:rsid w:val="10142F30"/>
    <w:rsid w:val="10352857"/>
    <w:rsid w:val="103E6E57"/>
    <w:rsid w:val="1041184B"/>
    <w:rsid w:val="1041497B"/>
    <w:rsid w:val="10425FF6"/>
    <w:rsid w:val="10466E61"/>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9E6026"/>
    <w:rsid w:val="11B85B3D"/>
    <w:rsid w:val="11CD20A0"/>
    <w:rsid w:val="11D34654"/>
    <w:rsid w:val="11F254F3"/>
    <w:rsid w:val="12010480"/>
    <w:rsid w:val="120B036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A548D"/>
    <w:rsid w:val="13DF575E"/>
    <w:rsid w:val="13E470BD"/>
    <w:rsid w:val="13EE1CEA"/>
    <w:rsid w:val="13EE3A98"/>
    <w:rsid w:val="13F3280A"/>
    <w:rsid w:val="142123F7"/>
    <w:rsid w:val="142A11D8"/>
    <w:rsid w:val="14431F1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47FCD"/>
    <w:rsid w:val="15785B3E"/>
    <w:rsid w:val="15811F1B"/>
    <w:rsid w:val="15A30135"/>
    <w:rsid w:val="15A34015"/>
    <w:rsid w:val="15BB487B"/>
    <w:rsid w:val="15CE086D"/>
    <w:rsid w:val="15E2236F"/>
    <w:rsid w:val="16005D04"/>
    <w:rsid w:val="161D09ED"/>
    <w:rsid w:val="162323A3"/>
    <w:rsid w:val="162F30B1"/>
    <w:rsid w:val="16493207"/>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92EF4"/>
    <w:rsid w:val="17EE5BFF"/>
    <w:rsid w:val="18097740"/>
    <w:rsid w:val="18133ACD"/>
    <w:rsid w:val="18136133"/>
    <w:rsid w:val="184055B9"/>
    <w:rsid w:val="18477C1A"/>
    <w:rsid w:val="184A2082"/>
    <w:rsid w:val="185D3C42"/>
    <w:rsid w:val="185F38AF"/>
    <w:rsid w:val="188F0211"/>
    <w:rsid w:val="18AD1BEB"/>
    <w:rsid w:val="18B3004A"/>
    <w:rsid w:val="18B31B6D"/>
    <w:rsid w:val="18B96080"/>
    <w:rsid w:val="18C15C1F"/>
    <w:rsid w:val="18CE20EA"/>
    <w:rsid w:val="18DB2CD8"/>
    <w:rsid w:val="18F67868"/>
    <w:rsid w:val="19055D00"/>
    <w:rsid w:val="190B2D88"/>
    <w:rsid w:val="190E6B63"/>
    <w:rsid w:val="19123928"/>
    <w:rsid w:val="19194264"/>
    <w:rsid w:val="191F46F3"/>
    <w:rsid w:val="19283048"/>
    <w:rsid w:val="19420786"/>
    <w:rsid w:val="19427EC0"/>
    <w:rsid w:val="195711D7"/>
    <w:rsid w:val="195D2A3F"/>
    <w:rsid w:val="198310E9"/>
    <w:rsid w:val="198D747A"/>
    <w:rsid w:val="19A15638"/>
    <w:rsid w:val="19A74DFE"/>
    <w:rsid w:val="19A753EF"/>
    <w:rsid w:val="19C332D1"/>
    <w:rsid w:val="1A125525"/>
    <w:rsid w:val="1A136006"/>
    <w:rsid w:val="1A5F4342"/>
    <w:rsid w:val="1A616E2C"/>
    <w:rsid w:val="1A715D02"/>
    <w:rsid w:val="1A7F369B"/>
    <w:rsid w:val="1A8C5D82"/>
    <w:rsid w:val="1A994988"/>
    <w:rsid w:val="1A9B546C"/>
    <w:rsid w:val="1A9E141F"/>
    <w:rsid w:val="1AA3511F"/>
    <w:rsid w:val="1AAE3B54"/>
    <w:rsid w:val="1AC10987"/>
    <w:rsid w:val="1AE9320B"/>
    <w:rsid w:val="1AEB6F83"/>
    <w:rsid w:val="1AF423FA"/>
    <w:rsid w:val="1B0C5B32"/>
    <w:rsid w:val="1B0D3E82"/>
    <w:rsid w:val="1B1464DA"/>
    <w:rsid w:val="1B1652AB"/>
    <w:rsid w:val="1B181CD5"/>
    <w:rsid w:val="1B2501AF"/>
    <w:rsid w:val="1B265306"/>
    <w:rsid w:val="1B4346C9"/>
    <w:rsid w:val="1B486183"/>
    <w:rsid w:val="1B4F2450"/>
    <w:rsid w:val="1B50619C"/>
    <w:rsid w:val="1B530868"/>
    <w:rsid w:val="1B6573E8"/>
    <w:rsid w:val="1B6922A5"/>
    <w:rsid w:val="1B721452"/>
    <w:rsid w:val="1B8C18B7"/>
    <w:rsid w:val="1BB2184F"/>
    <w:rsid w:val="1BB27AA1"/>
    <w:rsid w:val="1BB73AE1"/>
    <w:rsid w:val="1BD9327F"/>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00C7D"/>
    <w:rsid w:val="1D5144F7"/>
    <w:rsid w:val="1D5B3CDE"/>
    <w:rsid w:val="1D5D0701"/>
    <w:rsid w:val="1D6E2950"/>
    <w:rsid w:val="1D79298C"/>
    <w:rsid w:val="1D98209B"/>
    <w:rsid w:val="1DA23746"/>
    <w:rsid w:val="1DAA14B9"/>
    <w:rsid w:val="1DCD2970"/>
    <w:rsid w:val="1DD04513"/>
    <w:rsid w:val="1DD8524D"/>
    <w:rsid w:val="1DDD2BCB"/>
    <w:rsid w:val="1E0345E3"/>
    <w:rsid w:val="1E1B7B7F"/>
    <w:rsid w:val="1E443370"/>
    <w:rsid w:val="1E4A0464"/>
    <w:rsid w:val="1E656063"/>
    <w:rsid w:val="1E6B06A5"/>
    <w:rsid w:val="1E7554E1"/>
    <w:rsid w:val="1E7F7D9E"/>
    <w:rsid w:val="1E840DA4"/>
    <w:rsid w:val="1E890F8D"/>
    <w:rsid w:val="1EA5444C"/>
    <w:rsid w:val="1EB350EF"/>
    <w:rsid w:val="1EC21749"/>
    <w:rsid w:val="1EEB7C4E"/>
    <w:rsid w:val="1F072441"/>
    <w:rsid w:val="1F171B83"/>
    <w:rsid w:val="1F2D4691"/>
    <w:rsid w:val="1F2D491A"/>
    <w:rsid w:val="1F3F789D"/>
    <w:rsid w:val="1F4E5D32"/>
    <w:rsid w:val="1F66355F"/>
    <w:rsid w:val="1F730E35"/>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029BA"/>
    <w:rsid w:val="20EA3839"/>
    <w:rsid w:val="2100305C"/>
    <w:rsid w:val="210F579E"/>
    <w:rsid w:val="21163FF0"/>
    <w:rsid w:val="211B39F2"/>
    <w:rsid w:val="212550B5"/>
    <w:rsid w:val="21592B62"/>
    <w:rsid w:val="2172049B"/>
    <w:rsid w:val="21747CD2"/>
    <w:rsid w:val="217F0425"/>
    <w:rsid w:val="218705A7"/>
    <w:rsid w:val="219263AA"/>
    <w:rsid w:val="219E5782"/>
    <w:rsid w:val="21CB5418"/>
    <w:rsid w:val="21D10545"/>
    <w:rsid w:val="21E72B0B"/>
    <w:rsid w:val="21E76A4A"/>
    <w:rsid w:val="21EE607E"/>
    <w:rsid w:val="21F66F4C"/>
    <w:rsid w:val="221F2D96"/>
    <w:rsid w:val="22246DB1"/>
    <w:rsid w:val="22440067"/>
    <w:rsid w:val="224F429B"/>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20241"/>
    <w:rsid w:val="2377331D"/>
    <w:rsid w:val="237D43DE"/>
    <w:rsid w:val="238E3603"/>
    <w:rsid w:val="23940114"/>
    <w:rsid w:val="239A1546"/>
    <w:rsid w:val="239C706C"/>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66FD8"/>
    <w:rsid w:val="244A2F6C"/>
    <w:rsid w:val="24607F91"/>
    <w:rsid w:val="246262EF"/>
    <w:rsid w:val="246C581B"/>
    <w:rsid w:val="247C52A2"/>
    <w:rsid w:val="24942917"/>
    <w:rsid w:val="24AE34FB"/>
    <w:rsid w:val="24CC106B"/>
    <w:rsid w:val="24D00598"/>
    <w:rsid w:val="24D725E9"/>
    <w:rsid w:val="24EC31CF"/>
    <w:rsid w:val="24EC5DD1"/>
    <w:rsid w:val="25045F70"/>
    <w:rsid w:val="250474F1"/>
    <w:rsid w:val="25056E93"/>
    <w:rsid w:val="25092EBA"/>
    <w:rsid w:val="250E5D48"/>
    <w:rsid w:val="25241020"/>
    <w:rsid w:val="25302410"/>
    <w:rsid w:val="257572C3"/>
    <w:rsid w:val="25790E85"/>
    <w:rsid w:val="2584425C"/>
    <w:rsid w:val="25950217"/>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10AA1"/>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81B9E"/>
    <w:rsid w:val="277E30D2"/>
    <w:rsid w:val="27803F2A"/>
    <w:rsid w:val="278A18D2"/>
    <w:rsid w:val="27983FEE"/>
    <w:rsid w:val="27A34941"/>
    <w:rsid w:val="27A97FAA"/>
    <w:rsid w:val="27E66EBF"/>
    <w:rsid w:val="27EE3A7B"/>
    <w:rsid w:val="27FA25B3"/>
    <w:rsid w:val="28033B5E"/>
    <w:rsid w:val="28100029"/>
    <w:rsid w:val="282B09BF"/>
    <w:rsid w:val="282E4F00"/>
    <w:rsid w:val="283C23DF"/>
    <w:rsid w:val="283D69F1"/>
    <w:rsid w:val="283F090E"/>
    <w:rsid w:val="284C16F5"/>
    <w:rsid w:val="28570AB5"/>
    <w:rsid w:val="285F2CDC"/>
    <w:rsid w:val="285F51D0"/>
    <w:rsid w:val="28622C36"/>
    <w:rsid w:val="2869172C"/>
    <w:rsid w:val="288C2D07"/>
    <w:rsid w:val="289E7E22"/>
    <w:rsid w:val="28B5472C"/>
    <w:rsid w:val="28C2534B"/>
    <w:rsid w:val="28C5525A"/>
    <w:rsid w:val="28D14B96"/>
    <w:rsid w:val="28FC235B"/>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532D8"/>
    <w:rsid w:val="29D82DC8"/>
    <w:rsid w:val="29DA08EE"/>
    <w:rsid w:val="29DB6414"/>
    <w:rsid w:val="29E74CE2"/>
    <w:rsid w:val="2A133E00"/>
    <w:rsid w:val="2A241B69"/>
    <w:rsid w:val="2A306A36"/>
    <w:rsid w:val="2A3C5105"/>
    <w:rsid w:val="2A457300"/>
    <w:rsid w:val="2A5372C6"/>
    <w:rsid w:val="2A5A558B"/>
    <w:rsid w:val="2A5B03D8"/>
    <w:rsid w:val="2A6F6D07"/>
    <w:rsid w:val="2A852253"/>
    <w:rsid w:val="2A882500"/>
    <w:rsid w:val="2AA35184"/>
    <w:rsid w:val="2AA86705"/>
    <w:rsid w:val="2AAB4E76"/>
    <w:rsid w:val="2AB63ABC"/>
    <w:rsid w:val="2AB63D0A"/>
    <w:rsid w:val="2ABE5B1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772F2"/>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329A9"/>
    <w:rsid w:val="2D6F134E"/>
    <w:rsid w:val="2D6F35DC"/>
    <w:rsid w:val="2D835174"/>
    <w:rsid w:val="2D9331F9"/>
    <w:rsid w:val="2DD90B7B"/>
    <w:rsid w:val="2DD92C6B"/>
    <w:rsid w:val="2DDD3FC1"/>
    <w:rsid w:val="2DE531B8"/>
    <w:rsid w:val="2DE955A4"/>
    <w:rsid w:val="2DEA131C"/>
    <w:rsid w:val="2DF701D8"/>
    <w:rsid w:val="2DF970A1"/>
    <w:rsid w:val="2E0665A9"/>
    <w:rsid w:val="2E085834"/>
    <w:rsid w:val="2E1034F8"/>
    <w:rsid w:val="2E112405"/>
    <w:rsid w:val="2E120D8E"/>
    <w:rsid w:val="2E310CF9"/>
    <w:rsid w:val="2E3D769E"/>
    <w:rsid w:val="2E443652"/>
    <w:rsid w:val="2E505773"/>
    <w:rsid w:val="2E5C0A3D"/>
    <w:rsid w:val="2E742F70"/>
    <w:rsid w:val="2E9077CD"/>
    <w:rsid w:val="2E9574DA"/>
    <w:rsid w:val="2E9A689E"/>
    <w:rsid w:val="2ED61D9E"/>
    <w:rsid w:val="2EDC2A13"/>
    <w:rsid w:val="2EF35FAE"/>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74B8C"/>
    <w:rsid w:val="2FA54796"/>
    <w:rsid w:val="2FA674E2"/>
    <w:rsid w:val="2FCF07C9"/>
    <w:rsid w:val="2FEE6EA1"/>
    <w:rsid w:val="2FFB336C"/>
    <w:rsid w:val="2FFE7D49"/>
    <w:rsid w:val="3002294D"/>
    <w:rsid w:val="3011153D"/>
    <w:rsid w:val="30142680"/>
    <w:rsid w:val="302567CF"/>
    <w:rsid w:val="302A11B1"/>
    <w:rsid w:val="302A5C42"/>
    <w:rsid w:val="30662043"/>
    <w:rsid w:val="306D3B35"/>
    <w:rsid w:val="307153DD"/>
    <w:rsid w:val="3083092C"/>
    <w:rsid w:val="30930D2E"/>
    <w:rsid w:val="30B8125D"/>
    <w:rsid w:val="30B87D63"/>
    <w:rsid w:val="30BF439A"/>
    <w:rsid w:val="30CF6A37"/>
    <w:rsid w:val="30D250CF"/>
    <w:rsid w:val="30E7260A"/>
    <w:rsid w:val="30F54260"/>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31704"/>
    <w:rsid w:val="340B09C5"/>
    <w:rsid w:val="341233A4"/>
    <w:rsid w:val="341E4CAB"/>
    <w:rsid w:val="344F012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32012"/>
    <w:rsid w:val="35461A22"/>
    <w:rsid w:val="35483CC9"/>
    <w:rsid w:val="354B08F2"/>
    <w:rsid w:val="35571045"/>
    <w:rsid w:val="356E46AA"/>
    <w:rsid w:val="357235B0"/>
    <w:rsid w:val="3578502D"/>
    <w:rsid w:val="35812566"/>
    <w:rsid w:val="3586192A"/>
    <w:rsid w:val="358625C7"/>
    <w:rsid w:val="35A815CB"/>
    <w:rsid w:val="35A85BD0"/>
    <w:rsid w:val="35AA1B9C"/>
    <w:rsid w:val="35C506A4"/>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8F66DC7"/>
    <w:rsid w:val="390069DD"/>
    <w:rsid w:val="39030CF9"/>
    <w:rsid w:val="39091F35"/>
    <w:rsid w:val="392536E2"/>
    <w:rsid w:val="39465F15"/>
    <w:rsid w:val="39505209"/>
    <w:rsid w:val="396453C5"/>
    <w:rsid w:val="39922CCF"/>
    <w:rsid w:val="399565E0"/>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1874C8"/>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BB45A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67E92"/>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50249"/>
    <w:rsid w:val="412A32F8"/>
    <w:rsid w:val="417E204F"/>
    <w:rsid w:val="417F433E"/>
    <w:rsid w:val="418A1D66"/>
    <w:rsid w:val="419C4043"/>
    <w:rsid w:val="41B7239D"/>
    <w:rsid w:val="41C95079"/>
    <w:rsid w:val="41D852BC"/>
    <w:rsid w:val="41FF3845"/>
    <w:rsid w:val="4202058A"/>
    <w:rsid w:val="42044303"/>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216CB"/>
    <w:rsid w:val="428E62C2"/>
    <w:rsid w:val="42A06B6C"/>
    <w:rsid w:val="42A27996"/>
    <w:rsid w:val="42A45E72"/>
    <w:rsid w:val="42AA04E2"/>
    <w:rsid w:val="42EA5650"/>
    <w:rsid w:val="431408DA"/>
    <w:rsid w:val="431B7C78"/>
    <w:rsid w:val="431C1B20"/>
    <w:rsid w:val="4331401E"/>
    <w:rsid w:val="43486FC5"/>
    <w:rsid w:val="43591DDA"/>
    <w:rsid w:val="435A0DF2"/>
    <w:rsid w:val="436C42E1"/>
    <w:rsid w:val="437102E7"/>
    <w:rsid w:val="437C210F"/>
    <w:rsid w:val="43847F02"/>
    <w:rsid w:val="438F113C"/>
    <w:rsid w:val="439E7EFB"/>
    <w:rsid w:val="43B1568A"/>
    <w:rsid w:val="43B64E08"/>
    <w:rsid w:val="43BD7F58"/>
    <w:rsid w:val="43C53F65"/>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1408B"/>
    <w:rsid w:val="44A90BAA"/>
    <w:rsid w:val="44B24A20"/>
    <w:rsid w:val="44BC0BEE"/>
    <w:rsid w:val="44BF6C07"/>
    <w:rsid w:val="44C24001"/>
    <w:rsid w:val="44C55A88"/>
    <w:rsid w:val="44FB1C9C"/>
    <w:rsid w:val="451F1453"/>
    <w:rsid w:val="452D3B70"/>
    <w:rsid w:val="45392A13"/>
    <w:rsid w:val="453E3FCF"/>
    <w:rsid w:val="454F1836"/>
    <w:rsid w:val="45887B45"/>
    <w:rsid w:val="458B66DF"/>
    <w:rsid w:val="45940F0E"/>
    <w:rsid w:val="45AC5DBA"/>
    <w:rsid w:val="45C647AF"/>
    <w:rsid w:val="45DD529D"/>
    <w:rsid w:val="45E57886"/>
    <w:rsid w:val="45E945CC"/>
    <w:rsid w:val="45F66658"/>
    <w:rsid w:val="46003076"/>
    <w:rsid w:val="46026F63"/>
    <w:rsid w:val="46113492"/>
    <w:rsid w:val="46177E29"/>
    <w:rsid w:val="46205B7F"/>
    <w:rsid w:val="462A6010"/>
    <w:rsid w:val="465C029D"/>
    <w:rsid w:val="465D501C"/>
    <w:rsid w:val="466367DB"/>
    <w:rsid w:val="46686D18"/>
    <w:rsid w:val="466D15DA"/>
    <w:rsid w:val="46B67B95"/>
    <w:rsid w:val="46BF7E28"/>
    <w:rsid w:val="46C3037C"/>
    <w:rsid w:val="46EF26BD"/>
    <w:rsid w:val="46FF153C"/>
    <w:rsid w:val="46FF15E0"/>
    <w:rsid w:val="4700581C"/>
    <w:rsid w:val="4702516A"/>
    <w:rsid w:val="47217705"/>
    <w:rsid w:val="4724600B"/>
    <w:rsid w:val="472E597E"/>
    <w:rsid w:val="47376F28"/>
    <w:rsid w:val="47460F19"/>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405ED"/>
    <w:rsid w:val="48AE0D54"/>
    <w:rsid w:val="48BC6222"/>
    <w:rsid w:val="48C245E9"/>
    <w:rsid w:val="48DB312A"/>
    <w:rsid w:val="48DF49D9"/>
    <w:rsid w:val="49137521"/>
    <w:rsid w:val="492108CC"/>
    <w:rsid w:val="49413F52"/>
    <w:rsid w:val="494F6304"/>
    <w:rsid w:val="49792B95"/>
    <w:rsid w:val="498521CD"/>
    <w:rsid w:val="49F11610"/>
    <w:rsid w:val="4A05334F"/>
    <w:rsid w:val="4A060864"/>
    <w:rsid w:val="4A244932"/>
    <w:rsid w:val="4A280DAA"/>
    <w:rsid w:val="4A2922C8"/>
    <w:rsid w:val="4A2C3E72"/>
    <w:rsid w:val="4A4117B2"/>
    <w:rsid w:val="4A4A6F73"/>
    <w:rsid w:val="4A4D25BF"/>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8326F"/>
    <w:rsid w:val="4B3F45FD"/>
    <w:rsid w:val="4B520DF4"/>
    <w:rsid w:val="4B603107"/>
    <w:rsid w:val="4B7A5635"/>
    <w:rsid w:val="4B8E10E1"/>
    <w:rsid w:val="4B9802B0"/>
    <w:rsid w:val="4B9E65BE"/>
    <w:rsid w:val="4B9F33A8"/>
    <w:rsid w:val="4BA80AFD"/>
    <w:rsid w:val="4BB033BA"/>
    <w:rsid w:val="4BB469AD"/>
    <w:rsid w:val="4BBD5522"/>
    <w:rsid w:val="4BC06040"/>
    <w:rsid w:val="4BC66ACD"/>
    <w:rsid w:val="4BCF5981"/>
    <w:rsid w:val="4BD846DB"/>
    <w:rsid w:val="4BF441D2"/>
    <w:rsid w:val="4C1C2A09"/>
    <w:rsid w:val="4C284AD9"/>
    <w:rsid w:val="4C423098"/>
    <w:rsid w:val="4C694192"/>
    <w:rsid w:val="4C6E5600"/>
    <w:rsid w:val="4C7964D9"/>
    <w:rsid w:val="4C8C5620"/>
    <w:rsid w:val="4C910E89"/>
    <w:rsid w:val="4C9269F6"/>
    <w:rsid w:val="4CB75F07"/>
    <w:rsid w:val="4CC84335"/>
    <w:rsid w:val="4CD22B0F"/>
    <w:rsid w:val="4CDA3E72"/>
    <w:rsid w:val="4CE4545C"/>
    <w:rsid w:val="4CE9350A"/>
    <w:rsid w:val="4D014937"/>
    <w:rsid w:val="4D1E2466"/>
    <w:rsid w:val="4D225F85"/>
    <w:rsid w:val="4D297BF3"/>
    <w:rsid w:val="4D2D0EAF"/>
    <w:rsid w:val="4D6D5452"/>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5403C0"/>
    <w:rsid w:val="4E611B8B"/>
    <w:rsid w:val="4E6279D7"/>
    <w:rsid w:val="4E682F8C"/>
    <w:rsid w:val="4E6A7BB7"/>
    <w:rsid w:val="4E6C5D89"/>
    <w:rsid w:val="4E9133C2"/>
    <w:rsid w:val="4EB23220"/>
    <w:rsid w:val="4EE661F8"/>
    <w:rsid w:val="4EF27A04"/>
    <w:rsid w:val="4F0516BA"/>
    <w:rsid w:val="4F0773B4"/>
    <w:rsid w:val="4F241019"/>
    <w:rsid w:val="4F30498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4F0E3F"/>
    <w:rsid w:val="50550E55"/>
    <w:rsid w:val="50901457"/>
    <w:rsid w:val="509F43E4"/>
    <w:rsid w:val="50A54D3E"/>
    <w:rsid w:val="50B82E88"/>
    <w:rsid w:val="50BB32A7"/>
    <w:rsid w:val="50C86E43"/>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1A40CD"/>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3A1E06"/>
    <w:rsid w:val="54447390"/>
    <w:rsid w:val="544B514D"/>
    <w:rsid w:val="545E1D01"/>
    <w:rsid w:val="54674051"/>
    <w:rsid w:val="5479292E"/>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9E08FE"/>
    <w:rsid w:val="57CC4BC2"/>
    <w:rsid w:val="57D10760"/>
    <w:rsid w:val="57D1153D"/>
    <w:rsid w:val="57D77297"/>
    <w:rsid w:val="57FA3774"/>
    <w:rsid w:val="58084A3C"/>
    <w:rsid w:val="582772A7"/>
    <w:rsid w:val="58337298"/>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F3861"/>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4C2893"/>
    <w:rsid w:val="5A5321A5"/>
    <w:rsid w:val="5A783688"/>
    <w:rsid w:val="5A8734AF"/>
    <w:rsid w:val="5A9D3E45"/>
    <w:rsid w:val="5AA4101D"/>
    <w:rsid w:val="5AB17576"/>
    <w:rsid w:val="5ABA59C8"/>
    <w:rsid w:val="5ABD68E6"/>
    <w:rsid w:val="5ABF73D2"/>
    <w:rsid w:val="5ACB3D8A"/>
    <w:rsid w:val="5ACE32A8"/>
    <w:rsid w:val="5ADC3248"/>
    <w:rsid w:val="5AE12FDB"/>
    <w:rsid w:val="5AE1508F"/>
    <w:rsid w:val="5AF80256"/>
    <w:rsid w:val="5B110CC9"/>
    <w:rsid w:val="5B136165"/>
    <w:rsid w:val="5B1851F5"/>
    <w:rsid w:val="5B1F7B5D"/>
    <w:rsid w:val="5B572428"/>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5F68AD"/>
    <w:rsid w:val="5C6519EA"/>
    <w:rsid w:val="5C6715FE"/>
    <w:rsid w:val="5C6F4105"/>
    <w:rsid w:val="5CA249EC"/>
    <w:rsid w:val="5CBB7F6F"/>
    <w:rsid w:val="5CC248CE"/>
    <w:rsid w:val="5D042FB1"/>
    <w:rsid w:val="5D072AA1"/>
    <w:rsid w:val="5D442CB4"/>
    <w:rsid w:val="5D7C3F11"/>
    <w:rsid w:val="5D7E0FB5"/>
    <w:rsid w:val="5D971C5A"/>
    <w:rsid w:val="5D9D49E0"/>
    <w:rsid w:val="5DA01E9E"/>
    <w:rsid w:val="5DA7230C"/>
    <w:rsid w:val="5DAD189A"/>
    <w:rsid w:val="5DAD3649"/>
    <w:rsid w:val="5DC310BE"/>
    <w:rsid w:val="5DDF1821"/>
    <w:rsid w:val="5DE2656A"/>
    <w:rsid w:val="5DEA2F91"/>
    <w:rsid w:val="5DF94AE0"/>
    <w:rsid w:val="5DFA5883"/>
    <w:rsid w:val="5E224037"/>
    <w:rsid w:val="5E277F84"/>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34231"/>
    <w:rsid w:val="5F1544E7"/>
    <w:rsid w:val="5F197EE8"/>
    <w:rsid w:val="5F312D8D"/>
    <w:rsid w:val="5F3C4923"/>
    <w:rsid w:val="5F4160B0"/>
    <w:rsid w:val="5F5A7800"/>
    <w:rsid w:val="5F6368E9"/>
    <w:rsid w:val="5F767B7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31618"/>
    <w:rsid w:val="60EE432E"/>
    <w:rsid w:val="60FF21D9"/>
    <w:rsid w:val="610C0686"/>
    <w:rsid w:val="611E37D0"/>
    <w:rsid w:val="613021B3"/>
    <w:rsid w:val="61306A6A"/>
    <w:rsid w:val="613253FD"/>
    <w:rsid w:val="61421F29"/>
    <w:rsid w:val="61637D56"/>
    <w:rsid w:val="61712185"/>
    <w:rsid w:val="6174733E"/>
    <w:rsid w:val="618B7207"/>
    <w:rsid w:val="61907E69"/>
    <w:rsid w:val="61A90D68"/>
    <w:rsid w:val="61B43A15"/>
    <w:rsid w:val="61DA0425"/>
    <w:rsid w:val="62065A1D"/>
    <w:rsid w:val="6213792C"/>
    <w:rsid w:val="621775E2"/>
    <w:rsid w:val="621C0D9D"/>
    <w:rsid w:val="622F7552"/>
    <w:rsid w:val="62347E94"/>
    <w:rsid w:val="6250406E"/>
    <w:rsid w:val="6267666C"/>
    <w:rsid w:val="627D6831"/>
    <w:rsid w:val="62811B1C"/>
    <w:rsid w:val="62832BCA"/>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80CF3"/>
    <w:rsid w:val="63EA73A4"/>
    <w:rsid w:val="63EE4692"/>
    <w:rsid w:val="63FD622D"/>
    <w:rsid w:val="64177A6E"/>
    <w:rsid w:val="642F41D5"/>
    <w:rsid w:val="643F32F9"/>
    <w:rsid w:val="64582686"/>
    <w:rsid w:val="64673C87"/>
    <w:rsid w:val="64877733"/>
    <w:rsid w:val="64925346"/>
    <w:rsid w:val="64A170D2"/>
    <w:rsid w:val="64A251DD"/>
    <w:rsid w:val="64BC182A"/>
    <w:rsid w:val="64F25DE5"/>
    <w:rsid w:val="650242F0"/>
    <w:rsid w:val="65365B2B"/>
    <w:rsid w:val="653F447E"/>
    <w:rsid w:val="65542778"/>
    <w:rsid w:val="655829AF"/>
    <w:rsid w:val="656B70C3"/>
    <w:rsid w:val="658F4798"/>
    <w:rsid w:val="659B1EBA"/>
    <w:rsid w:val="65A11CE5"/>
    <w:rsid w:val="65A83379"/>
    <w:rsid w:val="65B461E9"/>
    <w:rsid w:val="65BE39A8"/>
    <w:rsid w:val="65C23A09"/>
    <w:rsid w:val="65DF0A5F"/>
    <w:rsid w:val="65FB3FBE"/>
    <w:rsid w:val="66101A71"/>
    <w:rsid w:val="66171FA7"/>
    <w:rsid w:val="66247D11"/>
    <w:rsid w:val="663B3EC9"/>
    <w:rsid w:val="665A1E94"/>
    <w:rsid w:val="66736112"/>
    <w:rsid w:val="667F5B5B"/>
    <w:rsid w:val="6694262A"/>
    <w:rsid w:val="66990381"/>
    <w:rsid w:val="66A23F66"/>
    <w:rsid w:val="66B31B01"/>
    <w:rsid w:val="66B42230"/>
    <w:rsid w:val="66CE1E80"/>
    <w:rsid w:val="66E321C6"/>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6676F6"/>
    <w:rsid w:val="687731D1"/>
    <w:rsid w:val="68774668"/>
    <w:rsid w:val="6878475E"/>
    <w:rsid w:val="688E1089"/>
    <w:rsid w:val="68993219"/>
    <w:rsid w:val="689E42BA"/>
    <w:rsid w:val="68A026F3"/>
    <w:rsid w:val="68AF6C13"/>
    <w:rsid w:val="68C83A2C"/>
    <w:rsid w:val="68DC1286"/>
    <w:rsid w:val="68F25680"/>
    <w:rsid w:val="69074555"/>
    <w:rsid w:val="690E07C7"/>
    <w:rsid w:val="69140A20"/>
    <w:rsid w:val="69236A65"/>
    <w:rsid w:val="692D1AE1"/>
    <w:rsid w:val="692E469B"/>
    <w:rsid w:val="69315C48"/>
    <w:rsid w:val="694019EC"/>
    <w:rsid w:val="694841AF"/>
    <w:rsid w:val="694A0D42"/>
    <w:rsid w:val="69561038"/>
    <w:rsid w:val="69584DB4"/>
    <w:rsid w:val="695B5B89"/>
    <w:rsid w:val="69622AF9"/>
    <w:rsid w:val="696C3D80"/>
    <w:rsid w:val="698A5EE4"/>
    <w:rsid w:val="69B55D5F"/>
    <w:rsid w:val="69C811ED"/>
    <w:rsid w:val="69C9180A"/>
    <w:rsid w:val="69D33070"/>
    <w:rsid w:val="69E97E75"/>
    <w:rsid w:val="69FB5D9E"/>
    <w:rsid w:val="69FF6FDA"/>
    <w:rsid w:val="6A1A3007"/>
    <w:rsid w:val="6A1E645E"/>
    <w:rsid w:val="6A211646"/>
    <w:rsid w:val="6A350C4E"/>
    <w:rsid w:val="6A417049"/>
    <w:rsid w:val="6A576E16"/>
    <w:rsid w:val="6A7903E5"/>
    <w:rsid w:val="6A8219B9"/>
    <w:rsid w:val="6A8641F2"/>
    <w:rsid w:val="6A9701A5"/>
    <w:rsid w:val="6AA03032"/>
    <w:rsid w:val="6AA86FEC"/>
    <w:rsid w:val="6AC10733"/>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54B38"/>
    <w:rsid w:val="6C053C7D"/>
    <w:rsid w:val="6C0D357A"/>
    <w:rsid w:val="6C2076DB"/>
    <w:rsid w:val="6C234DED"/>
    <w:rsid w:val="6C29198B"/>
    <w:rsid w:val="6C2B67AC"/>
    <w:rsid w:val="6C382C77"/>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C299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126B3"/>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742218"/>
    <w:rsid w:val="6F947E4B"/>
    <w:rsid w:val="6FA30BDA"/>
    <w:rsid w:val="6FB21D4C"/>
    <w:rsid w:val="6FB80698"/>
    <w:rsid w:val="6FFD5E0F"/>
    <w:rsid w:val="701021F4"/>
    <w:rsid w:val="701C29A6"/>
    <w:rsid w:val="7024611F"/>
    <w:rsid w:val="7038498C"/>
    <w:rsid w:val="70637B96"/>
    <w:rsid w:val="70757FF6"/>
    <w:rsid w:val="70797317"/>
    <w:rsid w:val="707E201F"/>
    <w:rsid w:val="7099044B"/>
    <w:rsid w:val="709A06E1"/>
    <w:rsid w:val="709D518F"/>
    <w:rsid w:val="70B76860"/>
    <w:rsid w:val="70C759D3"/>
    <w:rsid w:val="70CD7E32"/>
    <w:rsid w:val="70CF2B23"/>
    <w:rsid w:val="70D70CB1"/>
    <w:rsid w:val="70D80585"/>
    <w:rsid w:val="70E60EF4"/>
    <w:rsid w:val="70FA674D"/>
    <w:rsid w:val="710952C1"/>
    <w:rsid w:val="713954C7"/>
    <w:rsid w:val="713F70AB"/>
    <w:rsid w:val="71452CD8"/>
    <w:rsid w:val="71583F2D"/>
    <w:rsid w:val="7158683A"/>
    <w:rsid w:val="715B2F52"/>
    <w:rsid w:val="7167680B"/>
    <w:rsid w:val="71764F23"/>
    <w:rsid w:val="718030F6"/>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2D27981"/>
    <w:rsid w:val="73047407"/>
    <w:rsid w:val="73047904"/>
    <w:rsid w:val="731A4E85"/>
    <w:rsid w:val="73253EFA"/>
    <w:rsid w:val="73353A6C"/>
    <w:rsid w:val="734C1A6A"/>
    <w:rsid w:val="73532145"/>
    <w:rsid w:val="735663B7"/>
    <w:rsid w:val="735C5949"/>
    <w:rsid w:val="73671287"/>
    <w:rsid w:val="73737DA5"/>
    <w:rsid w:val="73740A39"/>
    <w:rsid w:val="73774085"/>
    <w:rsid w:val="73783823"/>
    <w:rsid w:val="73887B3E"/>
    <w:rsid w:val="73892412"/>
    <w:rsid w:val="73AF2114"/>
    <w:rsid w:val="73AF381F"/>
    <w:rsid w:val="73DA4614"/>
    <w:rsid w:val="73E96BCA"/>
    <w:rsid w:val="73EE4A6E"/>
    <w:rsid w:val="740F250F"/>
    <w:rsid w:val="741048BC"/>
    <w:rsid w:val="742E78D4"/>
    <w:rsid w:val="74317498"/>
    <w:rsid w:val="74335A84"/>
    <w:rsid w:val="743A6A13"/>
    <w:rsid w:val="74676A28"/>
    <w:rsid w:val="747E40B6"/>
    <w:rsid w:val="74AA2238"/>
    <w:rsid w:val="74AC3224"/>
    <w:rsid w:val="74B21065"/>
    <w:rsid w:val="74BB2C83"/>
    <w:rsid w:val="74C33758"/>
    <w:rsid w:val="74D476FB"/>
    <w:rsid w:val="74D6302D"/>
    <w:rsid w:val="74D72451"/>
    <w:rsid w:val="74DE4E5F"/>
    <w:rsid w:val="74E4574A"/>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2215D"/>
    <w:rsid w:val="76E65049"/>
    <w:rsid w:val="76FA74A7"/>
    <w:rsid w:val="77076007"/>
    <w:rsid w:val="771A36A5"/>
    <w:rsid w:val="77413F7E"/>
    <w:rsid w:val="77464076"/>
    <w:rsid w:val="7758241F"/>
    <w:rsid w:val="77770AF7"/>
    <w:rsid w:val="777A7D22"/>
    <w:rsid w:val="777E28EC"/>
    <w:rsid w:val="77835654"/>
    <w:rsid w:val="7797109C"/>
    <w:rsid w:val="779A2A38"/>
    <w:rsid w:val="77B4450A"/>
    <w:rsid w:val="77B46E73"/>
    <w:rsid w:val="77E37A12"/>
    <w:rsid w:val="77F42148"/>
    <w:rsid w:val="77FE3468"/>
    <w:rsid w:val="780D6D66"/>
    <w:rsid w:val="78250553"/>
    <w:rsid w:val="783B17B1"/>
    <w:rsid w:val="784E2046"/>
    <w:rsid w:val="78546F0C"/>
    <w:rsid w:val="786778FE"/>
    <w:rsid w:val="787E7C64"/>
    <w:rsid w:val="78957319"/>
    <w:rsid w:val="789D588A"/>
    <w:rsid w:val="78A376CA"/>
    <w:rsid w:val="78B418D7"/>
    <w:rsid w:val="78B65E3A"/>
    <w:rsid w:val="78C26E11"/>
    <w:rsid w:val="78E0091E"/>
    <w:rsid w:val="78EE1C79"/>
    <w:rsid w:val="78F85605"/>
    <w:rsid w:val="78FA66FA"/>
    <w:rsid w:val="79345B6A"/>
    <w:rsid w:val="79424F6E"/>
    <w:rsid w:val="795F3706"/>
    <w:rsid w:val="797239CC"/>
    <w:rsid w:val="797F54AB"/>
    <w:rsid w:val="79831473"/>
    <w:rsid w:val="79907C4E"/>
    <w:rsid w:val="79983E9C"/>
    <w:rsid w:val="7999527A"/>
    <w:rsid w:val="79AF76C5"/>
    <w:rsid w:val="79C25EE1"/>
    <w:rsid w:val="79CE2967"/>
    <w:rsid w:val="79E30EE8"/>
    <w:rsid w:val="79E34934"/>
    <w:rsid w:val="79EA664C"/>
    <w:rsid w:val="79F9627A"/>
    <w:rsid w:val="79FF6948"/>
    <w:rsid w:val="7A0348C4"/>
    <w:rsid w:val="7A044199"/>
    <w:rsid w:val="7A0657CF"/>
    <w:rsid w:val="7A2F3BBF"/>
    <w:rsid w:val="7A2F459A"/>
    <w:rsid w:val="7A322A39"/>
    <w:rsid w:val="7A517022"/>
    <w:rsid w:val="7A6F5001"/>
    <w:rsid w:val="7A7720A0"/>
    <w:rsid w:val="7A8157E9"/>
    <w:rsid w:val="7A9635B3"/>
    <w:rsid w:val="7AA2343E"/>
    <w:rsid w:val="7AD60EB8"/>
    <w:rsid w:val="7ADA73A4"/>
    <w:rsid w:val="7AE66B99"/>
    <w:rsid w:val="7AF34646"/>
    <w:rsid w:val="7AFE508C"/>
    <w:rsid w:val="7B0A3BCA"/>
    <w:rsid w:val="7B1C0EF4"/>
    <w:rsid w:val="7B345AA9"/>
    <w:rsid w:val="7B4048C1"/>
    <w:rsid w:val="7B4119C9"/>
    <w:rsid w:val="7B4C5DF7"/>
    <w:rsid w:val="7B4F58E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3544C"/>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E74F0"/>
    <w:rsid w:val="7D1F6674"/>
    <w:rsid w:val="7D475E29"/>
    <w:rsid w:val="7D480B34"/>
    <w:rsid w:val="7D777A3E"/>
    <w:rsid w:val="7D8C2DC5"/>
    <w:rsid w:val="7D9005BC"/>
    <w:rsid w:val="7D9F0AD0"/>
    <w:rsid w:val="7DAE0FEB"/>
    <w:rsid w:val="7DB22BDF"/>
    <w:rsid w:val="7DC73E5B"/>
    <w:rsid w:val="7DD12BB7"/>
    <w:rsid w:val="7DE14F1D"/>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02B41"/>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16368</Words>
  <Characters>17133</Characters>
  <Lines>50</Lines>
  <Paragraphs>68</Paragraphs>
  <TotalTime>0</TotalTime>
  <ScaleCrop>false</ScaleCrop>
  <LinksUpToDate>false</LinksUpToDate>
  <CharactersWithSpaces>18139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2025-07-08T01:13:58Z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