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67318D48">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驻马店市中心医院双靶点经颅刺激仪治疗仪</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采购项目</w:t>
      </w:r>
    </w:p>
    <w:p w14:paraId="0610F71D">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12179BBF">
      <w:pPr>
        <w:pStyle w:val="20"/>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7</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驻马店市中心医院双靶点经颅刺激仪治疗仪</w:t>
      </w:r>
      <w:r>
        <w:rPr>
          <w:rFonts w:hint="eastAsia" w:ascii="宋体" w:hAnsi="宋体" w:cs="宋体"/>
          <w:b/>
          <w:bCs w:val="0"/>
          <w:color w:val="auto"/>
          <w:kern w:val="0"/>
          <w:sz w:val="28"/>
          <w:szCs w:val="28"/>
          <w:u w:val="none"/>
          <w:lang w:val="en-US" w:eastAsia="zh-CN"/>
        </w:rPr>
        <w:t>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驻马店市中心医院现对双靶点经颅刺激仪治疗仪</w:t>
      </w:r>
      <w:r>
        <w:rPr>
          <w:rFonts w:hint="eastAsia" w:ascii="宋体" w:hAnsi="宋体" w:cs="宋体"/>
          <w:color w:val="auto"/>
          <w:u w:val="none"/>
          <w:lang w:val="en-US" w:eastAsia="zh-CN"/>
        </w:rPr>
        <w:t>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驻马店市中心医院双靶点经颅刺激仪治疗仪</w:t>
      </w:r>
      <w:r>
        <w:rPr>
          <w:rFonts w:hint="eastAsia" w:ascii="宋体" w:hAnsi="宋体" w:cs="宋体"/>
          <w:color w:val="auto"/>
          <w:szCs w:val="21"/>
          <w:highlight w:val="none"/>
          <w:shd w:val="clear" w:color="auto" w:fill="FFFFFF"/>
          <w:lang w:val="en-US" w:eastAsia="zh-CN"/>
        </w:rPr>
        <w:t>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详见采购文件第二章“采购需求”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28万元；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cs="宋体"/>
          <w:color w:val="auto"/>
          <w:szCs w:val="21"/>
          <w:highlight w:val="none"/>
          <w:shd w:val="clear" w:color="auto" w:fill="FFFFFF"/>
          <w:lang w:val="en-US" w:eastAsia="zh-CN"/>
        </w:rPr>
        <w:t>；</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cs="宋体"/>
          <w:color w:val="auto"/>
          <w:szCs w:val="21"/>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16639"/>
      <w:bookmarkStart w:id="6" w:name="_Toc23626"/>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7823"/>
      <w:bookmarkStart w:id="10" w:name="_Toc9562"/>
      <w:bookmarkStart w:id="11" w:name="_Toc30643"/>
      <w:bookmarkStart w:id="12" w:name="_Toc30971"/>
      <w:r>
        <w:rPr>
          <w:rFonts w:hint="eastAsia" w:ascii="宋体" w:hAnsi="宋体" w:eastAsia="宋体" w:cs="宋体"/>
          <w:color w:val="auto"/>
          <w:szCs w:val="21"/>
          <w:highlight w:val="none"/>
          <w:shd w:val="clear" w:color="auto" w:fill="FFFFFF"/>
          <w:lang w:val="en-US" w:eastAsia="zh-CN"/>
        </w:rPr>
        <w:t>1、供应商具有独立承担民事责任能力，提供营业执照或其他证明材料。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highlight w:val="none"/>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4F164FA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、特定资格要求：</w:t>
      </w:r>
    </w:p>
    <w:p w14:paraId="781758B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highlight w:val="none"/>
          <w:lang w:val="en-US" w:eastAsia="zh-CN"/>
          <w14:textFill>
            <w14:solidFill>
              <w14:schemeClr w14:val="tx1"/>
            </w14:solidFill>
          </w14:textFill>
        </w:rPr>
        <w:t>并加盖公章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17</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21</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00</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下午</w:t>
      </w:r>
      <w:r>
        <w:rPr>
          <w:rFonts w:hint="eastAsia" w:ascii="宋体" w:hAnsi="宋体" w:eastAsia="宋体" w:cs="宋体"/>
          <w:color w:val="000000" w:themeColor="text1"/>
          <w:szCs w:val="21"/>
          <w:highlight w:val="none"/>
          <w:shd w:val="clear" w:color="auto" w:fill="FFFFFF"/>
          <w14:textFill>
            <w14:solidFill>
              <w14:schemeClr w14:val="tx1"/>
            </w14:solidFill>
          </w14:textFill>
        </w:rPr>
        <w:t>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891222845@qq.com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27480"/>
      <w:bookmarkStart w:id="15" w:name="_Toc10738"/>
      <w:bookmarkStart w:id="16" w:name="_Toc15111"/>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24274"/>
      <w:bookmarkStart w:id="27" w:name="_Toc27370"/>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中豫建设工程咨询有限公司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地址：河南省郑州市高新高新技术产业开发区西三环路283号国家大学科技园东区17号楼-4号</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13087087783</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驻马店市中心医院双靶点经颅刺激仪治疗仪</w:t>
      </w:r>
      <w:r>
        <w:rPr>
          <w:rFonts w:hint="eastAsia" w:ascii="宋体" w:hAnsi="宋体" w:cs="宋体"/>
          <w:b w:val="0"/>
          <w:bCs w:val="0"/>
          <w:i w:val="0"/>
          <w:iCs/>
          <w:color w:val="auto"/>
          <w:sz w:val="21"/>
          <w:szCs w:val="21"/>
          <w:highlight w:val="none"/>
          <w:u w:val="none"/>
          <w:lang w:val="en-US" w:eastAsia="zh-CN"/>
        </w:rPr>
        <w:t>采购项目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90"/>
        <w:gridCol w:w="5"/>
        <w:gridCol w:w="213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90"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39" w:type="dxa"/>
            <w:gridSpan w:val="2"/>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10"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99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2139" w:type="dxa"/>
            <w:gridSpan w:val="2"/>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sz w:val="24"/>
              </w:rPr>
              <w:t>双靶点经颅刺激仪治疗仪</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套</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28万元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自筹</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3"/>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690"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28万元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695" w:type="dxa"/>
            <w:gridSpan w:val="7"/>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bl>
    <w:p w14:paraId="075F9113">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00A9EBED">
      <w:pPr>
        <w:numPr>
          <w:ilvl w:val="0"/>
          <w:numId w:val="1"/>
        </w:numPr>
        <w:spacing w:line="192" w:lineRule="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b/>
          <w:bCs/>
          <w:color w:val="auto"/>
          <w:kern w:val="2"/>
          <w:sz w:val="21"/>
          <w:szCs w:val="24"/>
          <w:highlight w:val="none"/>
          <w:lang w:val="en-US" w:eastAsia="zh-CN" w:bidi="ar-SA"/>
        </w:rPr>
        <w:t>技术要求：</w:t>
      </w:r>
    </w:p>
    <w:p w14:paraId="1ABFFDCD">
      <w:pPr>
        <w:numPr>
          <w:ilvl w:val="0"/>
          <w:numId w:val="0"/>
        </w:numPr>
        <w:spacing w:line="192" w:lineRule="auto"/>
        <w:ind w:firstLine="211" w:firstLineChars="100"/>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b/>
          <w:bCs/>
          <w:color w:val="auto"/>
          <w:kern w:val="2"/>
          <w:sz w:val="21"/>
          <w:szCs w:val="24"/>
          <w:highlight w:val="none"/>
          <w:lang w:val="en-US" w:eastAsia="zh-CN" w:bidi="ar-SA"/>
        </w:rPr>
        <w:t>（一）技术参数</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p>
    <w:p w14:paraId="739B5CB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 适用范围：刺激人体中枢神经和外周神经，用于人体中枢神经和外周神经功能的检测、改善，对脑神经及神经损伤性疾病的辅助治疗。</w:t>
      </w:r>
    </w:p>
    <w:p w14:paraId="1115792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主机</w:t>
      </w:r>
    </w:p>
    <w:p w14:paraId="2798FDB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2.1 冷却系统：双路独立循环温控液冷，保证24小时连续工作线圈不发热。冷却液无损耗，可视化。 设备面板实时温度指示。</w:t>
      </w:r>
    </w:p>
    <w:p w14:paraId="762DC81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*2.2支持双部位或双人同时治疗：A线圈和B线圈可以实现不同处方、不同刺激强度同时治疗两个部位或病人。A线圈治疗过程中可以随时开启B线圈治疗，两线圈无强制关联关系。</w:t>
      </w:r>
    </w:p>
    <w:p w14:paraId="08853AE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*2.3磁感应强度：1.5T～7T。</w:t>
      </w:r>
    </w:p>
    <w:p w14:paraId="099F6F8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2.4输出频率：0Hz～50Hz。</w:t>
      </w:r>
    </w:p>
    <w:p w14:paraId="5F76264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2.5步长：输出脉冲频率1Hz 以下，脉冲频率设置步长为 0.1Hz，超过 1Hz 时步长为1Hz。</w:t>
      </w:r>
    </w:p>
    <w:p w14:paraId="541E726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*2.6脉冲上升时间：80μs，允差±10μs。</w:t>
      </w:r>
    </w:p>
    <w:p w14:paraId="547AE3B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2.7脉冲宽度：300μs～400μs，允差±10%。</w:t>
      </w:r>
    </w:p>
    <w:p w14:paraId="2191556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2.8磁感应强度的最大变化率：50kT/s～100kT/s，允差±20%。</w:t>
      </w:r>
    </w:p>
    <w:p w14:paraId="3D6D130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2.9拍同步刺激时间间隔：10ms～220ms（单脉冲刺激），允差：±1ms。可实施单拍毫秒级同步刺激。</w:t>
      </w:r>
    </w:p>
    <w:p w14:paraId="0F87C95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2.10 A-B 同步刺激时间间隔：0～50000ms（单脉冲刺激），0～5000ms，允差：±1ms。5001ms～50000ms，允差：±1s；0～220ms（重复刺激），允差：±1ms。可实施双拍毫秒级同步刺激。</w:t>
      </w:r>
    </w:p>
    <w:p w14:paraId="106052A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2.11使用期限：</w:t>
      </w:r>
      <w:r>
        <w:rPr>
          <w:rFonts w:hint="default"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10年。</w:t>
      </w:r>
    </w:p>
    <w:p w14:paraId="30A9685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 安全保障</w:t>
      </w:r>
    </w:p>
    <w:p w14:paraId="474DAC3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3.1 在设备连续工作中，可通过急停开关，立即停止磁场输出。</w:t>
      </w:r>
    </w:p>
    <w:p w14:paraId="60C126C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3.2 当液冷系统发生故障时，磁刺激仪可以自动停止磁场输出并作出提示。</w:t>
      </w:r>
    </w:p>
    <w:p w14:paraId="6B55C3A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3.3 线圈具有独立的保护装置，当线圈发生故障时（线圈断路或超温时），应停止磁场输出并有视觉或听觉提示。</w:t>
      </w:r>
    </w:p>
    <w:p w14:paraId="0BEC3CF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3.4刺激线圈温度≥41℃，立即停机保护。</w:t>
      </w:r>
    </w:p>
    <w:p w14:paraId="53897C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3.5主机、液冷机独立分开，保证安全。</w:t>
      </w:r>
    </w:p>
    <w:p w14:paraId="609E2D9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3.6具备双硬盘安装双系统，即使由于任何原因导致设备停止工作，均可通过启动备用硬盘和备用系统，恢复与原来系统完全相同的患者诊疗信息。</w:t>
      </w:r>
    </w:p>
    <w:p w14:paraId="11138C4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 刺激线圈</w:t>
      </w:r>
    </w:p>
    <w:p w14:paraId="2BF52BE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4.1 配备圆形和8字形线圈，可实现双面双向刺激，适合儿童使用。</w:t>
      </w:r>
    </w:p>
    <w:p w14:paraId="6A8E359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4.2 线圈一体成型，可防尘防水。</w:t>
      </w:r>
    </w:p>
    <w:p w14:paraId="667A369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4.3 可扩展临床用线圈拍包括：圆形，8字形、双锥（蝶）形、儿童型。</w:t>
      </w:r>
    </w:p>
    <w:p w14:paraId="52C13E8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4.4阈值测定≥3种触发方式，至少包括软件点击触发、线圈控制按键触发、脚踏板触发等，线圈控制按键触发可实现单手快速触发刺激，脚踏板触发可实现单脚快速触发刺激等。</w:t>
      </w:r>
    </w:p>
    <w:p w14:paraId="5E076E2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5 软件功能</w:t>
      </w:r>
    </w:p>
    <w:p w14:paraId="48A992F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5.1 操作系统：人机交互系统，液晶显示屏非触摸屏，能实现设备开机自检、故障报警与自锁等功能。</w:t>
      </w:r>
    </w:p>
    <w:p w14:paraId="0125C20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5.2患者管理：可新建、储存、编辑、删除及检索患者一般信息，具有患者信息管理、治疗历史记录、治疗历史爆发模式脉冲刺激（TBS）记录、患者信息统计、多维度出具报告打印等功能。智能保存治疗方案，方便二次一键治疗。</w:t>
      </w:r>
    </w:p>
    <w:p w14:paraId="3FD9F02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5.3 治疗方案：内置治疗方案可选，并可免费更新及扩展，具有采集部位、刺激部位、神经传导测定（NCS）项、经颅磁刺激（TMS）治疗指南、标准方案库、爆发模式脉冲刺激（TBS）方案库功能，可增加自定义方案并储存免费更新治疗方案。</w:t>
      </w:r>
    </w:p>
    <w:p w14:paraId="231E2BE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5.4靶点位置具有3D显示功能，提示大脑皮层靶点刺激区及头部治疗区准确位置。</w:t>
      </w:r>
    </w:p>
    <w:p w14:paraId="2E9032E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 检测模式</w:t>
      </w:r>
    </w:p>
    <w:p w14:paraId="291BA4D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6.1 具备运动诱发电位（MEP）检测功能，可采集肌电信号（EMG），显示器显示相应波形。</w:t>
      </w:r>
    </w:p>
    <w:p w14:paraId="7768E2D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6.2 通道数：2通道。</w:t>
      </w:r>
    </w:p>
    <w:p w14:paraId="15F0A4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6.3 传输方式：有线传输，非无线传输。</w:t>
      </w:r>
    </w:p>
    <w:p w14:paraId="63E39BD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6.4 采样率：≥4KHz。</w:t>
      </w:r>
    </w:p>
    <w:p w14:paraId="3E14E90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6.5检测项目：至少包含运动阈值（MT）、运动诱发电位（MEP）、中枢神经传导时间（CMCT）、皮质静息期（CSP）、同侧静息期（ISP）、长时间隔皮质内抑制（LICL）、半球间抑制(IHI)、皮质-皮质配对关联刺激（ccPAS）等检测功能。</w:t>
      </w:r>
    </w:p>
    <w:p w14:paraId="2312984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6.6具备自动计算神经传导时间功能。</w:t>
      </w:r>
    </w:p>
    <w:p w14:paraId="6766412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*7 刺激模式：具有单脉冲刺激、重复刺激、序列刺激、爆发模式脉冲刺激（TBS）刺激等。</w:t>
      </w:r>
    </w:p>
    <w:p w14:paraId="0D8BDB0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8支持扩展经颅磁刺激随动装置；兼容多种设备触发接口，可与国内外任何品牌电刺激、肌电诱发电位仪、脑电图、近红外、导航系统、事件相关电位（ERP）等设备兼容。</w:t>
      </w:r>
    </w:p>
    <w:p w14:paraId="411FE6CF">
      <w:pPr>
        <w:ind w:firstLine="420" w:firstLineChars="200"/>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配置</w:t>
      </w:r>
      <w:r>
        <w:rPr>
          <w:rFonts w:hint="eastAsia" w:asciiTheme="majorEastAsia" w:hAnsiTheme="majorEastAsia" w:eastAsiaTheme="majorEastAsia" w:cstheme="majorEastAsia"/>
          <w:sz w:val="21"/>
          <w:szCs w:val="21"/>
          <w:lang w:eastAsia="zh-CN"/>
        </w:rPr>
        <w:t>清单（包含但不限于）</w:t>
      </w:r>
    </w:p>
    <w:tbl>
      <w:tblPr>
        <w:tblStyle w:val="35"/>
        <w:tblW w:w="0" w:type="auto"/>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3330"/>
        <w:gridCol w:w="1920"/>
        <w:gridCol w:w="2040"/>
      </w:tblGrid>
      <w:tr w14:paraId="5A88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00" w:type="dxa"/>
          </w:tcPr>
          <w:p w14:paraId="142D512C">
            <w:pPr>
              <w:jc w:val="center"/>
              <w:rPr>
                <w:rFonts w:hint="eastAsia" w:eastAsia="宋体"/>
                <w:vertAlign w:val="baseline"/>
                <w:lang w:val="en-US" w:eastAsia="zh-CN"/>
              </w:rPr>
            </w:pPr>
            <w:r>
              <w:rPr>
                <w:rFonts w:hint="eastAsia"/>
                <w:vertAlign w:val="baseline"/>
                <w:lang w:val="en-US" w:eastAsia="zh-CN"/>
              </w:rPr>
              <w:t>序号</w:t>
            </w:r>
          </w:p>
        </w:tc>
        <w:tc>
          <w:tcPr>
            <w:tcW w:w="3330" w:type="dxa"/>
          </w:tcPr>
          <w:p w14:paraId="404D02F5">
            <w:pPr>
              <w:jc w:val="center"/>
              <w:rPr>
                <w:rFonts w:hint="eastAsia" w:eastAsia="宋体"/>
                <w:vertAlign w:val="baseline"/>
                <w:lang w:val="en-US" w:eastAsia="zh-CN"/>
              </w:rPr>
            </w:pPr>
            <w:r>
              <w:rPr>
                <w:rFonts w:hint="eastAsia"/>
                <w:vertAlign w:val="baseline"/>
                <w:lang w:val="en-US" w:eastAsia="zh-CN"/>
              </w:rPr>
              <w:t>名称</w:t>
            </w:r>
          </w:p>
        </w:tc>
        <w:tc>
          <w:tcPr>
            <w:tcW w:w="1920" w:type="dxa"/>
          </w:tcPr>
          <w:p w14:paraId="0A4E4F38">
            <w:pPr>
              <w:jc w:val="center"/>
              <w:rPr>
                <w:rFonts w:hint="eastAsia" w:eastAsia="宋体"/>
                <w:vertAlign w:val="baseline"/>
                <w:lang w:val="en-US" w:eastAsia="zh-CN"/>
              </w:rPr>
            </w:pPr>
            <w:r>
              <w:rPr>
                <w:rFonts w:hint="eastAsia"/>
                <w:vertAlign w:val="baseline"/>
                <w:lang w:val="en-US" w:eastAsia="zh-CN"/>
              </w:rPr>
              <w:t>单位</w:t>
            </w:r>
          </w:p>
        </w:tc>
        <w:tc>
          <w:tcPr>
            <w:tcW w:w="2040" w:type="dxa"/>
          </w:tcPr>
          <w:p w14:paraId="4CE9B0CB">
            <w:pPr>
              <w:jc w:val="center"/>
              <w:rPr>
                <w:rFonts w:hint="eastAsia" w:eastAsia="宋体"/>
                <w:vertAlign w:val="baseline"/>
                <w:lang w:val="en-US" w:eastAsia="zh-CN"/>
              </w:rPr>
            </w:pPr>
            <w:r>
              <w:rPr>
                <w:rFonts w:hint="eastAsia"/>
                <w:vertAlign w:val="baseline"/>
                <w:lang w:val="en-US" w:eastAsia="zh-CN"/>
              </w:rPr>
              <w:t>数量</w:t>
            </w:r>
          </w:p>
        </w:tc>
      </w:tr>
      <w:tr w14:paraId="491B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00" w:type="dxa"/>
          </w:tcPr>
          <w:p w14:paraId="564D4B13">
            <w:pPr>
              <w:jc w:val="center"/>
              <w:rPr>
                <w:rFonts w:hint="eastAsia" w:eastAsia="宋体"/>
                <w:vertAlign w:val="baseline"/>
                <w:lang w:val="en-US" w:eastAsia="zh-CN"/>
              </w:rPr>
            </w:pPr>
            <w:r>
              <w:rPr>
                <w:rFonts w:hint="eastAsia"/>
                <w:vertAlign w:val="baseline"/>
                <w:lang w:val="en-US" w:eastAsia="zh-CN"/>
              </w:rPr>
              <w:t>1</w:t>
            </w:r>
          </w:p>
        </w:tc>
        <w:tc>
          <w:tcPr>
            <w:tcW w:w="3330" w:type="dxa"/>
          </w:tcPr>
          <w:p w14:paraId="179243C3">
            <w:pPr>
              <w:jc w:val="center"/>
              <w:rPr>
                <w:rFonts w:hint="eastAsia"/>
                <w:vertAlign w:val="baseline"/>
              </w:rPr>
            </w:pPr>
            <w:r>
              <w:rPr>
                <w:rFonts w:hint="eastAsia"/>
              </w:rPr>
              <w:t>磁刺激仪主机</w:t>
            </w:r>
          </w:p>
        </w:tc>
        <w:tc>
          <w:tcPr>
            <w:tcW w:w="1920" w:type="dxa"/>
          </w:tcPr>
          <w:p w14:paraId="08631E90">
            <w:pPr>
              <w:jc w:val="center"/>
              <w:rPr>
                <w:rFonts w:hint="eastAsia"/>
                <w:vertAlign w:val="baseline"/>
              </w:rPr>
            </w:pPr>
            <w:r>
              <w:rPr>
                <w:rFonts w:hint="eastAsia"/>
              </w:rPr>
              <w:t>台</w:t>
            </w:r>
          </w:p>
        </w:tc>
        <w:tc>
          <w:tcPr>
            <w:tcW w:w="2040" w:type="dxa"/>
          </w:tcPr>
          <w:p w14:paraId="3CDEC2BE">
            <w:pPr>
              <w:jc w:val="center"/>
              <w:rPr>
                <w:rFonts w:hint="eastAsia" w:eastAsia="宋体"/>
                <w:vertAlign w:val="baseline"/>
                <w:lang w:val="en-US" w:eastAsia="zh-CN"/>
              </w:rPr>
            </w:pPr>
            <w:r>
              <w:rPr>
                <w:rFonts w:hint="eastAsia"/>
                <w:vertAlign w:val="baseline"/>
                <w:lang w:val="en-US" w:eastAsia="zh-CN"/>
              </w:rPr>
              <w:t>1</w:t>
            </w:r>
          </w:p>
        </w:tc>
      </w:tr>
      <w:tr w14:paraId="5E73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00" w:type="dxa"/>
          </w:tcPr>
          <w:p w14:paraId="33339528">
            <w:pPr>
              <w:jc w:val="center"/>
              <w:rPr>
                <w:rFonts w:hint="eastAsia" w:eastAsia="宋体"/>
                <w:vertAlign w:val="baseline"/>
                <w:lang w:val="en-US" w:eastAsia="zh-CN"/>
              </w:rPr>
            </w:pPr>
            <w:r>
              <w:rPr>
                <w:rFonts w:hint="eastAsia"/>
                <w:vertAlign w:val="baseline"/>
                <w:lang w:val="en-US" w:eastAsia="zh-CN"/>
              </w:rPr>
              <w:t>2</w:t>
            </w:r>
          </w:p>
        </w:tc>
        <w:tc>
          <w:tcPr>
            <w:tcW w:w="3330" w:type="dxa"/>
          </w:tcPr>
          <w:p w14:paraId="00F02DB2">
            <w:pPr>
              <w:jc w:val="center"/>
              <w:rPr>
                <w:rFonts w:hint="eastAsia"/>
                <w:vertAlign w:val="baseline"/>
              </w:rPr>
            </w:pPr>
            <w:r>
              <w:rPr>
                <w:rFonts w:hint="eastAsia"/>
              </w:rPr>
              <w:t>磁刺激仪副机</w:t>
            </w:r>
          </w:p>
        </w:tc>
        <w:tc>
          <w:tcPr>
            <w:tcW w:w="1920" w:type="dxa"/>
          </w:tcPr>
          <w:p w14:paraId="25AAF2B0">
            <w:pPr>
              <w:jc w:val="center"/>
              <w:rPr>
                <w:rFonts w:hint="eastAsia"/>
                <w:vertAlign w:val="baseline"/>
              </w:rPr>
            </w:pPr>
            <w:r>
              <w:rPr>
                <w:rFonts w:hint="eastAsia"/>
              </w:rPr>
              <w:t>台</w:t>
            </w:r>
          </w:p>
        </w:tc>
        <w:tc>
          <w:tcPr>
            <w:tcW w:w="2040" w:type="dxa"/>
          </w:tcPr>
          <w:p w14:paraId="1386A411">
            <w:pPr>
              <w:jc w:val="center"/>
              <w:rPr>
                <w:rFonts w:hint="eastAsia" w:eastAsia="宋体"/>
                <w:vertAlign w:val="baseline"/>
                <w:lang w:val="en-US" w:eastAsia="zh-CN"/>
              </w:rPr>
            </w:pPr>
            <w:r>
              <w:rPr>
                <w:rFonts w:hint="eastAsia"/>
                <w:vertAlign w:val="baseline"/>
                <w:lang w:val="en-US" w:eastAsia="zh-CN"/>
              </w:rPr>
              <w:t>1</w:t>
            </w:r>
          </w:p>
        </w:tc>
      </w:tr>
      <w:tr w14:paraId="46DC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00" w:type="dxa"/>
          </w:tcPr>
          <w:p w14:paraId="7D6EE0F1">
            <w:pPr>
              <w:jc w:val="center"/>
              <w:rPr>
                <w:rFonts w:hint="eastAsia" w:eastAsia="宋体"/>
                <w:vertAlign w:val="baseline"/>
                <w:lang w:val="en-US" w:eastAsia="zh-CN"/>
              </w:rPr>
            </w:pPr>
            <w:r>
              <w:rPr>
                <w:rFonts w:hint="eastAsia"/>
                <w:vertAlign w:val="baseline"/>
                <w:lang w:val="en-US" w:eastAsia="zh-CN"/>
              </w:rPr>
              <w:t>3</w:t>
            </w:r>
          </w:p>
        </w:tc>
        <w:tc>
          <w:tcPr>
            <w:tcW w:w="3330" w:type="dxa"/>
          </w:tcPr>
          <w:p w14:paraId="443CAC54">
            <w:pPr>
              <w:jc w:val="center"/>
              <w:rPr>
                <w:rFonts w:hint="eastAsia"/>
                <w:vertAlign w:val="baseline"/>
              </w:rPr>
            </w:pPr>
            <w:r>
              <w:rPr>
                <w:rFonts w:hint="eastAsia"/>
              </w:rPr>
              <w:t>液冷机</w:t>
            </w:r>
          </w:p>
        </w:tc>
        <w:tc>
          <w:tcPr>
            <w:tcW w:w="1920" w:type="dxa"/>
          </w:tcPr>
          <w:p w14:paraId="49AFE575">
            <w:pPr>
              <w:jc w:val="center"/>
              <w:rPr>
                <w:rFonts w:hint="default" w:eastAsia="宋体"/>
                <w:vertAlign w:val="baseline"/>
                <w:lang w:val="en-US" w:eastAsia="zh-CN"/>
              </w:rPr>
            </w:pPr>
            <w:r>
              <w:rPr>
                <w:rFonts w:hint="eastAsia"/>
                <w:vertAlign w:val="baseline"/>
                <w:lang w:val="en-US" w:eastAsia="zh-CN"/>
              </w:rPr>
              <w:t>台</w:t>
            </w:r>
          </w:p>
        </w:tc>
        <w:tc>
          <w:tcPr>
            <w:tcW w:w="2040" w:type="dxa"/>
          </w:tcPr>
          <w:p w14:paraId="0C52FD35">
            <w:pPr>
              <w:jc w:val="center"/>
              <w:rPr>
                <w:rFonts w:hint="eastAsia" w:eastAsia="宋体"/>
                <w:vertAlign w:val="baseline"/>
                <w:lang w:val="en-US" w:eastAsia="zh-CN"/>
              </w:rPr>
            </w:pPr>
            <w:r>
              <w:rPr>
                <w:rFonts w:hint="eastAsia"/>
                <w:vertAlign w:val="baseline"/>
                <w:lang w:val="en-US" w:eastAsia="zh-CN"/>
              </w:rPr>
              <w:t>1</w:t>
            </w:r>
          </w:p>
        </w:tc>
      </w:tr>
      <w:tr w14:paraId="6F03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00" w:type="dxa"/>
          </w:tcPr>
          <w:p w14:paraId="1DD8DA2D">
            <w:pPr>
              <w:jc w:val="center"/>
              <w:rPr>
                <w:rFonts w:hint="eastAsia" w:eastAsia="宋体"/>
                <w:vertAlign w:val="baseline"/>
                <w:lang w:val="en-US" w:eastAsia="zh-CN"/>
              </w:rPr>
            </w:pPr>
            <w:r>
              <w:rPr>
                <w:rFonts w:hint="eastAsia"/>
                <w:vertAlign w:val="baseline"/>
                <w:lang w:val="en-US" w:eastAsia="zh-CN"/>
              </w:rPr>
              <w:t>4</w:t>
            </w:r>
          </w:p>
        </w:tc>
        <w:tc>
          <w:tcPr>
            <w:tcW w:w="3330" w:type="dxa"/>
          </w:tcPr>
          <w:p w14:paraId="67B7DA97">
            <w:pPr>
              <w:jc w:val="center"/>
              <w:rPr>
                <w:rFonts w:hint="eastAsia"/>
                <w:vertAlign w:val="baseline"/>
              </w:rPr>
            </w:pPr>
            <w:r>
              <w:rPr>
                <w:rFonts w:hint="eastAsia"/>
              </w:rPr>
              <w:t>磁刺激仪定位帽</w:t>
            </w:r>
          </w:p>
        </w:tc>
        <w:tc>
          <w:tcPr>
            <w:tcW w:w="1920" w:type="dxa"/>
          </w:tcPr>
          <w:p w14:paraId="41CE72A1">
            <w:pPr>
              <w:jc w:val="center"/>
              <w:rPr>
                <w:rFonts w:hint="eastAsia" w:eastAsia="宋体"/>
                <w:vertAlign w:val="baseline"/>
                <w:lang w:val="en-US" w:eastAsia="zh-CN"/>
              </w:rPr>
            </w:pPr>
            <w:r>
              <w:rPr>
                <w:rFonts w:hint="eastAsia"/>
                <w:vertAlign w:val="baseline"/>
                <w:lang w:val="en-US" w:eastAsia="zh-CN"/>
              </w:rPr>
              <w:t>顶</w:t>
            </w:r>
          </w:p>
        </w:tc>
        <w:tc>
          <w:tcPr>
            <w:tcW w:w="2040" w:type="dxa"/>
          </w:tcPr>
          <w:p w14:paraId="6E5C049B">
            <w:pPr>
              <w:jc w:val="center"/>
              <w:rPr>
                <w:rFonts w:hint="default" w:eastAsia="宋体"/>
                <w:vertAlign w:val="baseline"/>
                <w:lang w:val="en-US" w:eastAsia="zh-CN"/>
              </w:rPr>
            </w:pPr>
            <w:r>
              <w:rPr>
                <w:rFonts w:hint="eastAsia"/>
                <w:vertAlign w:val="baseline"/>
                <w:lang w:val="en-US" w:eastAsia="zh-CN"/>
              </w:rPr>
              <w:t>5</w:t>
            </w:r>
          </w:p>
        </w:tc>
      </w:tr>
      <w:tr w14:paraId="6DEA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00" w:type="dxa"/>
          </w:tcPr>
          <w:p w14:paraId="7086913C">
            <w:pPr>
              <w:jc w:val="center"/>
              <w:rPr>
                <w:rFonts w:hint="eastAsia" w:eastAsia="宋体"/>
                <w:vertAlign w:val="baseline"/>
                <w:lang w:val="en-US" w:eastAsia="zh-CN"/>
              </w:rPr>
            </w:pPr>
            <w:r>
              <w:rPr>
                <w:rFonts w:hint="eastAsia"/>
                <w:vertAlign w:val="baseline"/>
                <w:lang w:val="en-US" w:eastAsia="zh-CN"/>
              </w:rPr>
              <w:t>5</w:t>
            </w:r>
          </w:p>
        </w:tc>
        <w:tc>
          <w:tcPr>
            <w:tcW w:w="3330" w:type="dxa"/>
          </w:tcPr>
          <w:p w14:paraId="1A9F03D9">
            <w:pPr>
              <w:jc w:val="center"/>
              <w:rPr>
                <w:rFonts w:hint="eastAsia"/>
                <w:vertAlign w:val="baseline"/>
              </w:rPr>
            </w:pPr>
            <w:r>
              <w:rPr>
                <w:rFonts w:hint="eastAsia"/>
              </w:rPr>
              <w:t>电源线</w:t>
            </w:r>
          </w:p>
        </w:tc>
        <w:tc>
          <w:tcPr>
            <w:tcW w:w="1920" w:type="dxa"/>
          </w:tcPr>
          <w:p w14:paraId="7FAB6327">
            <w:pPr>
              <w:jc w:val="center"/>
              <w:rPr>
                <w:rFonts w:hint="eastAsia" w:eastAsia="宋体"/>
                <w:vertAlign w:val="baseline"/>
                <w:lang w:val="en-US" w:eastAsia="zh-CN"/>
              </w:rPr>
            </w:pPr>
            <w:r>
              <w:rPr>
                <w:rFonts w:hint="eastAsia"/>
                <w:vertAlign w:val="baseline"/>
                <w:lang w:val="en-US" w:eastAsia="zh-CN"/>
              </w:rPr>
              <w:t>根</w:t>
            </w:r>
          </w:p>
        </w:tc>
        <w:tc>
          <w:tcPr>
            <w:tcW w:w="2040" w:type="dxa"/>
          </w:tcPr>
          <w:p w14:paraId="346F1452">
            <w:pPr>
              <w:jc w:val="center"/>
              <w:rPr>
                <w:rFonts w:hint="eastAsia" w:eastAsia="宋体"/>
                <w:vertAlign w:val="baseline"/>
                <w:lang w:val="en-US" w:eastAsia="zh-CN"/>
              </w:rPr>
            </w:pPr>
            <w:r>
              <w:rPr>
                <w:rFonts w:hint="eastAsia"/>
                <w:vertAlign w:val="baseline"/>
                <w:lang w:val="en-US" w:eastAsia="zh-CN"/>
              </w:rPr>
              <w:t>1</w:t>
            </w:r>
          </w:p>
        </w:tc>
      </w:tr>
      <w:tr w14:paraId="52E2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3B4862D8">
            <w:pPr>
              <w:jc w:val="center"/>
              <w:rPr>
                <w:rFonts w:hint="eastAsia" w:eastAsia="宋体"/>
                <w:vertAlign w:val="baseline"/>
                <w:lang w:val="en-US" w:eastAsia="zh-CN"/>
              </w:rPr>
            </w:pPr>
            <w:r>
              <w:rPr>
                <w:rFonts w:hint="eastAsia"/>
                <w:vertAlign w:val="baseline"/>
                <w:lang w:val="en-US" w:eastAsia="zh-CN"/>
              </w:rPr>
              <w:t>6</w:t>
            </w:r>
          </w:p>
        </w:tc>
        <w:tc>
          <w:tcPr>
            <w:tcW w:w="3330" w:type="dxa"/>
          </w:tcPr>
          <w:p w14:paraId="3D7F7E7B">
            <w:pPr>
              <w:jc w:val="center"/>
              <w:rPr>
                <w:rFonts w:hint="eastAsia"/>
                <w:vertAlign w:val="baseline"/>
              </w:rPr>
            </w:pPr>
            <w:r>
              <w:rPr>
                <w:rFonts w:hint="eastAsia"/>
              </w:rPr>
              <w:t>脚踏开关</w:t>
            </w:r>
          </w:p>
        </w:tc>
        <w:tc>
          <w:tcPr>
            <w:tcW w:w="1920" w:type="dxa"/>
          </w:tcPr>
          <w:p w14:paraId="0E55E7BE">
            <w:pPr>
              <w:jc w:val="center"/>
              <w:rPr>
                <w:rFonts w:hint="eastAsia" w:eastAsia="宋体"/>
                <w:vertAlign w:val="baseline"/>
                <w:lang w:val="en-US" w:eastAsia="zh-CN"/>
              </w:rPr>
            </w:pPr>
            <w:r>
              <w:rPr>
                <w:rFonts w:hint="eastAsia"/>
                <w:vertAlign w:val="baseline"/>
                <w:lang w:val="en-US" w:eastAsia="zh-CN"/>
              </w:rPr>
              <w:t>个</w:t>
            </w:r>
          </w:p>
        </w:tc>
        <w:tc>
          <w:tcPr>
            <w:tcW w:w="2040" w:type="dxa"/>
          </w:tcPr>
          <w:p w14:paraId="7DD92997">
            <w:pPr>
              <w:jc w:val="center"/>
              <w:rPr>
                <w:rFonts w:hint="eastAsia" w:eastAsia="宋体"/>
                <w:vertAlign w:val="baseline"/>
                <w:lang w:val="en-US" w:eastAsia="zh-CN"/>
              </w:rPr>
            </w:pPr>
            <w:r>
              <w:rPr>
                <w:rFonts w:hint="eastAsia"/>
                <w:vertAlign w:val="baseline"/>
                <w:lang w:val="en-US" w:eastAsia="zh-CN"/>
              </w:rPr>
              <w:t>1</w:t>
            </w:r>
          </w:p>
        </w:tc>
      </w:tr>
      <w:tr w14:paraId="2CE0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F7D3A47">
            <w:pPr>
              <w:jc w:val="center"/>
              <w:rPr>
                <w:rFonts w:hint="eastAsia" w:eastAsia="宋体"/>
                <w:vertAlign w:val="baseline"/>
                <w:lang w:val="en-US" w:eastAsia="zh-CN"/>
              </w:rPr>
            </w:pPr>
            <w:r>
              <w:rPr>
                <w:rFonts w:hint="eastAsia"/>
                <w:vertAlign w:val="baseline"/>
                <w:lang w:val="en-US" w:eastAsia="zh-CN"/>
              </w:rPr>
              <w:t>7</w:t>
            </w:r>
          </w:p>
        </w:tc>
        <w:tc>
          <w:tcPr>
            <w:tcW w:w="3330" w:type="dxa"/>
          </w:tcPr>
          <w:p w14:paraId="1CA94EEB">
            <w:pPr>
              <w:jc w:val="center"/>
              <w:rPr>
                <w:rFonts w:hint="eastAsia" w:eastAsia="宋体"/>
                <w:lang w:val="en-US" w:eastAsia="zh-CN"/>
              </w:rPr>
            </w:pPr>
            <w:r>
              <w:rPr>
                <w:rFonts w:hint="eastAsia"/>
              </w:rPr>
              <w:t>运动诱发电位监测模块及附件</w:t>
            </w:r>
          </w:p>
        </w:tc>
        <w:tc>
          <w:tcPr>
            <w:tcW w:w="1920" w:type="dxa"/>
          </w:tcPr>
          <w:p w14:paraId="20E62AC4">
            <w:pPr>
              <w:jc w:val="center"/>
              <w:rPr>
                <w:rFonts w:hint="default"/>
                <w:vertAlign w:val="baseline"/>
                <w:lang w:val="en-US" w:eastAsia="zh-CN"/>
              </w:rPr>
            </w:pPr>
            <w:r>
              <w:rPr>
                <w:rFonts w:hint="eastAsia"/>
                <w:vertAlign w:val="baseline"/>
                <w:lang w:val="en-US" w:eastAsia="zh-CN"/>
              </w:rPr>
              <w:t>套</w:t>
            </w:r>
          </w:p>
        </w:tc>
        <w:tc>
          <w:tcPr>
            <w:tcW w:w="2040" w:type="dxa"/>
          </w:tcPr>
          <w:p w14:paraId="0FFF2666">
            <w:pPr>
              <w:jc w:val="center"/>
              <w:rPr>
                <w:rFonts w:hint="default"/>
                <w:vertAlign w:val="baseline"/>
                <w:lang w:val="en-US" w:eastAsia="zh-CN"/>
              </w:rPr>
            </w:pPr>
            <w:r>
              <w:rPr>
                <w:rFonts w:hint="eastAsia"/>
                <w:vertAlign w:val="baseline"/>
                <w:lang w:val="en-US" w:eastAsia="zh-CN"/>
              </w:rPr>
              <w:t>1</w:t>
            </w:r>
          </w:p>
        </w:tc>
      </w:tr>
      <w:tr w14:paraId="65C8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66D2EE48">
            <w:pPr>
              <w:jc w:val="center"/>
              <w:rPr>
                <w:rFonts w:hint="eastAsia" w:eastAsia="宋体"/>
                <w:vertAlign w:val="baseline"/>
                <w:lang w:val="en-US" w:eastAsia="zh-CN"/>
              </w:rPr>
            </w:pPr>
            <w:r>
              <w:rPr>
                <w:rFonts w:hint="eastAsia"/>
                <w:vertAlign w:val="baseline"/>
                <w:lang w:val="en-US" w:eastAsia="zh-CN"/>
              </w:rPr>
              <w:t>8</w:t>
            </w:r>
          </w:p>
        </w:tc>
        <w:tc>
          <w:tcPr>
            <w:tcW w:w="3330" w:type="dxa"/>
          </w:tcPr>
          <w:p w14:paraId="7BE07956">
            <w:pPr>
              <w:jc w:val="center"/>
              <w:rPr>
                <w:rFonts w:hint="eastAsia"/>
              </w:rPr>
            </w:pPr>
            <w:r>
              <w:rPr>
                <w:rFonts w:hint="eastAsia"/>
              </w:rPr>
              <w:t>肌电电极线</w:t>
            </w:r>
          </w:p>
        </w:tc>
        <w:tc>
          <w:tcPr>
            <w:tcW w:w="1920" w:type="dxa"/>
          </w:tcPr>
          <w:p w14:paraId="6DA3BB06">
            <w:pPr>
              <w:jc w:val="center"/>
              <w:rPr>
                <w:rFonts w:hint="default"/>
                <w:vertAlign w:val="baseline"/>
                <w:lang w:val="en-US" w:eastAsia="zh-CN"/>
              </w:rPr>
            </w:pPr>
            <w:r>
              <w:rPr>
                <w:rFonts w:hint="eastAsia"/>
                <w:vertAlign w:val="baseline"/>
                <w:lang w:val="en-US" w:eastAsia="zh-CN"/>
              </w:rPr>
              <w:t>根</w:t>
            </w:r>
          </w:p>
        </w:tc>
        <w:tc>
          <w:tcPr>
            <w:tcW w:w="2040" w:type="dxa"/>
          </w:tcPr>
          <w:p w14:paraId="35C2A54F">
            <w:pPr>
              <w:jc w:val="center"/>
              <w:rPr>
                <w:rFonts w:hint="default"/>
                <w:vertAlign w:val="baseline"/>
                <w:lang w:val="en-US" w:eastAsia="zh-CN"/>
              </w:rPr>
            </w:pPr>
            <w:r>
              <w:rPr>
                <w:rFonts w:hint="eastAsia"/>
                <w:vertAlign w:val="baseline"/>
                <w:lang w:val="en-US" w:eastAsia="zh-CN"/>
              </w:rPr>
              <w:t>2</w:t>
            </w:r>
          </w:p>
        </w:tc>
      </w:tr>
      <w:tr w14:paraId="55CA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28369CAC">
            <w:pPr>
              <w:jc w:val="center"/>
              <w:rPr>
                <w:rFonts w:hint="eastAsia" w:eastAsia="宋体"/>
                <w:vertAlign w:val="baseline"/>
                <w:lang w:val="en-US" w:eastAsia="zh-CN"/>
              </w:rPr>
            </w:pPr>
            <w:r>
              <w:rPr>
                <w:rFonts w:hint="eastAsia"/>
                <w:vertAlign w:val="baseline"/>
                <w:lang w:val="en-US" w:eastAsia="zh-CN"/>
              </w:rPr>
              <w:t>9</w:t>
            </w:r>
          </w:p>
        </w:tc>
        <w:tc>
          <w:tcPr>
            <w:tcW w:w="3330" w:type="dxa"/>
          </w:tcPr>
          <w:p w14:paraId="2EA21EB9">
            <w:pPr>
              <w:jc w:val="center"/>
              <w:rPr>
                <w:rFonts w:hint="eastAsia"/>
              </w:rPr>
            </w:pPr>
            <w:r>
              <w:rPr>
                <w:rFonts w:hint="eastAsia"/>
              </w:rPr>
              <w:t>磁刺激仪刺激线圈</w:t>
            </w:r>
          </w:p>
        </w:tc>
        <w:tc>
          <w:tcPr>
            <w:tcW w:w="1920" w:type="dxa"/>
          </w:tcPr>
          <w:p w14:paraId="71BBFA65">
            <w:pPr>
              <w:jc w:val="center"/>
              <w:rPr>
                <w:rFonts w:hint="default"/>
                <w:vertAlign w:val="baseline"/>
                <w:lang w:val="en-US" w:eastAsia="zh-CN"/>
              </w:rPr>
            </w:pPr>
            <w:r>
              <w:rPr>
                <w:rFonts w:hint="eastAsia"/>
                <w:vertAlign w:val="baseline"/>
                <w:lang w:val="en-US" w:eastAsia="zh-CN"/>
              </w:rPr>
              <w:t>套</w:t>
            </w:r>
          </w:p>
        </w:tc>
        <w:tc>
          <w:tcPr>
            <w:tcW w:w="2040" w:type="dxa"/>
          </w:tcPr>
          <w:p w14:paraId="0B05AAF3">
            <w:pPr>
              <w:jc w:val="center"/>
              <w:rPr>
                <w:rFonts w:hint="default"/>
                <w:vertAlign w:val="baseline"/>
                <w:lang w:val="en-US" w:eastAsia="zh-CN"/>
              </w:rPr>
            </w:pPr>
            <w:r>
              <w:rPr>
                <w:rFonts w:hint="eastAsia"/>
                <w:vertAlign w:val="baseline"/>
                <w:lang w:val="en-US" w:eastAsia="zh-CN"/>
              </w:rPr>
              <w:t>2</w:t>
            </w:r>
          </w:p>
        </w:tc>
      </w:tr>
      <w:tr w14:paraId="39F0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6C7B86DA">
            <w:pPr>
              <w:jc w:val="center"/>
              <w:rPr>
                <w:rFonts w:hint="default" w:eastAsia="宋体"/>
                <w:vertAlign w:val="baseline"/>
                <w:lang w:val="en-US" w:eastAsia="zh-CN"/>
              </w:rPr>
            </w:pPr>
            <w:r>
              <w:rPr>
                <w:rFonts w:hint="eastAsia"/>
                <w:vertAlign w:val="baseline"/>
                <w:lang w:val="en-US" w:eastAsia="zh-CN"/>
              </w:rPr>
              <w:t>10</w:t>
            </w:r>
          </w:p>
        </w:tc>
        <w:tc>
          <w:tcPr>
            <w:tcW w:w="3330" w:type="dxa"/>
          </w:tcPr>
          <w:p w14:paraId="45A3843F">
            <w:pPr>
              <w:jc w:val="center"/>
              <w:rPr>
                <w:rFonts w:hint="eastAsia"/>
              </w:rPr>
            </w:pPr>
            <w:r>
              <w:rPr>
                <w:rFonts w:hint="eastAsia"/>
              </w:rPr>
              <w:t>刺激线圈支架</w:t>
            </w:r>
          </w:p>
        </w:tc>
        <w:tc>
          <w:tcPr>
            <w:tcW w:w="1920" w:type="dxa"/>
          </w:tcPr>
          <w:p w14:paraId="0A51A47B">
            <w:pPr>
              <w:jc w:val="center"/>
              <w:rPr>
                <w:rFonts w:hint="default"/>
                <w:vertAlign w:val="baseline"/>
                <w:lang w:val="en-US" w:eastAsia="zh-CN"/>
              </w:rPr>
            </w:pPr>
            <w:r>
              <w:rPr>
                <w:rFonts w:hint="eastAsia"/>
                <w:vertAlign w:val="baseline"/>
                <w:lang w:val="en-US" w:eastAsia="zh-CN"/>
              </w:rPr>
              <w:t>套</w:t>
            </w:r>
          </w:p>
        </w:tc>
        <w:tc>
          <w:tcPr>
            <w:tcW w:w="2040" w:type="dxa"/>
          </w:tcPr>
          <w:p w14:paraId="1336FDFC">
            <w:pPr>
              <w:jc w:val="center"/>
              <w:rPr>
                <w:rFonts w:hint="default"/>
                <w:vertAlign w:val="baseline"/>
                <w:lang w:val="en-US" w:eastAsia="zh-CN"/>
              </w:rPr>
            </w:pPr>
            <w:r>
              <w:rPr>
                <w:rFonts w:hint="eastAsia"/>
                <w:vertAlign w:val="baseline"/>
                <w:lang w:val="en-US" w:eastAsia="zh-CN"/>
              </w:rPr>
              <w:t>2</w:t>
            </w:r>
          </w:p>
        </w:tc>
      </w:tr>
      <w:tr w14:paraId="7533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0753B46C">
            <w:pPr>
              <w:jc w:val="center"/>
              <w:rPr>
                <w:rFonts w:hint="default" w:eastAsia="宋体"/>
                <w:vertAlign w:val="baseline"/>
                <w:lang w:val="en-US" w:eastAsia="zh-CN"/>
              </w:rPr>
            </w:pPr>
            <w:r>
              <w:rPr>
                <w:rFonts w:hint="eastAsia"/>
                <w:vertAlign w:val="baseline"/>
                <w:lang w:val="en-US" w:eastAsia="zh-CN"/>
              </w:rPr>
              <w:t>11</w:t>
            </w:r>
          </w:p>
        </w:tc>
        <w:tc>
          <w:tcPr>
            <w:tcW w:w="3330" w:type="dxa"/>
          </w:tcPr>
          <w:p w14:paraId="3A9287E5">
            <w:pPr>
              <w:jc w:val="center"/>
              <w:rPr>
                <w:rFonts w:hint="eastAsia"/>
              </w:rPr>
            </w:pPr>
            <w:r>
              <w:rPr>
                <w:rFonts w:hint="eastAsia"/>
              </w:rPr>
              <w:t>PC机</w:t>
            </w:r>
          </w:p>
        </w:tc>
        <w:tc>
          <w:tcPr>
            <w:tcW w:w="1920" w:type="dxa"/>
          </w:tcPr>
          <w:p w14:paraId="5BA93303">
            <w:pPr>
              <w:jc w:val="center"/>
              <w:rPr>
                <w:rFonts w:hint="default"/>
                <w:vertAlign w:val="baseline"/>
                <w:lang w:val="en-US" w:eastAsia="zh-CN"/>
              </w:rPr>
            </w:pPr>
            <w:r>
              <w:rPr>
                <w:rFonts w:hint="eastAsia"/>
                <w:vertAlign w:val="baseline"/>
                <w:lang w:val="en-US" w:eastAsia="zh-CN"/>
              </w:rPr>
              <w:t>台</w:t>
            </w:r>
          </w:p>
        </w:tc>
        <w:tc>
          <w:tcPr>
            <w:tcW w:w="2040" w:type="dxa"/>
          </w:tcPr>
          <w:p w14:paraId="2129375A">
            <w:pPr>
              <w:jc w:val="center"/>
              <w:rPr>
                <w:rFonts w:hint="default"/>
                <w:vertAlign w:val="baseline"/>
                <w:lang w:val="en-US" w:eastAsia="zh-CN"/>
              </w:rPr>
            </w:pPr>
            <w:r>
              <w:rPr>
                <w:rFonts w:hint="eastAsia"/>
                <w:vertAlign w:val="baseline"/>
                <w:lang w:val="en-US" w:eastAsia="zh-CN"/>
              </w:rPr>
              <w:t>1</w:t>
            </w:r>
          </w:p>
        </w:tc>
      </w:tr>
      <w:tr w14:paraId="102E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588BC4F3">
            <w:pPr>
              <w:jc w:val="center"/>
              <w:rPr>
                <w:rFonts w:hint="default" w:eastAsia="宋体"/>
                <w:vertAlign w:val="baseline"/>
                <w:lang w:val="en-US" w:eastAsia="zh-CN"/>
              </w:rPr>
            </w:pPr>
            <w:r>
              <w:rPr>
                <w:rFonts w:hint="eastAsia"/>
                <w:vertAlign w:val="baseline"/>
                <w:lang w:val="en-US" w:eastAsia="zh-CN"/>
              </w:rPr>
              <w:t>12</w:t>
            </w:r>
          </w:p>
        </w:tc>
        <w:tc>
          <w:tcPr>
            <w:tcW w:w="3330" w:type="dxa"/>
          </w:tcPr>
          <w:p w14:paraId="66A417B8">
            <w:pPr>
              <w:jc w:val="center"/>
              <w:rPr>
                <w:rFonts w:hint="eastAsia"/>
              </w:rPr>
            </w:pPr>
            <w:r>
              <w:rPr>
                <w:rFonts w:hint="eastAsia"/>
              </w:rPr>
              <w:t>软件系统</w:t>
            </w:r>
          </w:p>
        </w:tc>
        <w:tc>
          <w:tcPr>
            <w:tcW w:w="1920" w:type="dxa"/>
          </w:tcPr>
          <w:p w14:paraId="664E9996">
            <w:pPr>
              <w:jc w:val="center"/>
              <w:rPr>
                <w:rFonts w:hint="default"/>
                <w:vertAlign w:val="baseline"/>
                <w:lang w:val="en-US" w:eastAsia="zh-CN"/>
              </w:rPr>
            </w:pPr>
            <w:r>
              <w:rPr>
                <w:rFonts w:hint="eastAsia"/>
                <w:vertAlign w:val="baseline"/>
                <w:lang w:val="en-US" w:eastAsia="zh-CN"/>
              </w:rPr>
              <w:t>套</w:t>
            </w:r>
          </w:p>
        </w:tc>
        <w:tc>
          <w:tcPr>
            <w:tcW w:w="2040" w:type="dxa"/>
          </w:tcPr>
          <w:p w14:paraId="05610396">
            <w:pPr>
              <w:jc w:val="center"/>
              <w:rPr>
                <w:rFonts w:hint="default"/>
                <w:vertAlign w:val="baseline"/>
                <w:lang w:val="en-US" w:eastAsia="zh-CN"/>
              </w:rPr>
            </w:pPr>
            <w:r>
              <w:rPr>
                <w:rFonts w:hint="eastAsia"/>
                <w:vertAlign w:val="baseline"/>
                <w:lang w:val="en-US" w:eastAsia="zh-CN"/>
              </w:rPr>
              <w:t>1</w:t>
            </w:r>
          </w:p>
        </w:tc>
      </w:tr>
      <w:tr w14:paraId="064D7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43F6EA7F">
            <w:pPr>
              <w:jc w:val="center"/>
              <w:rPr>
                <w:rFonts w:hint="default" w:eastAsia="宋体"/>
                <w:vertAlign w:val="baseline"/>
                <w:lang w:val="en-US" w:eastAsia="zh-CN"/>
              </w:rPr>
            </w:pPr>
            <w:r>
              <w:rPr>
                <w:rFonts w:hint="eastAsia"/>
                <w:vertAlign w:val="baseline"/>
                <w:lang w:val="en-US" w:eastAsia="zh-CN"/>
              </w:rPr>
              <w:t>13</w:t>
            </w:r>
          </w:p>
        </w:tc>
        <w:tc>
          <w:tcPr>
            <w:tcW w:w="3330" w:type="dxa"/>
          </w:tcPr>
          <w:p w14:paraId="3ADF97BF">
            <w:pPr>
              <w:jc w:val="center"/>
              <w:rPr>
                <w:rFonts w:hint="eastAsia"/>
              </w:rPr>
            </w:pPr>
            <w:r>
              <w:rPr>
                <w:rFonts w:hint="eastAsia"/>
              </w:rPr>
              <w:t>键盘鼠标套装</w:t>
            </w:r>
          </w:p>
        </w:tc>
        <w:tc>
          <w:tcPr>
            <w:tcW w:w="1920" w:type="dxa"/>
          </w:tcPr>
          <w:p w14:paraId="634A7FDD">
            <w:pPr>
              <w:jc w:val="center"/>
              <w:rPr>
                <w:rFonts w:hint="default"/>
                <w:vertAlign w:val="baseline"/>
                <w:lang w:val="en-US" w:eastAsia="zh-CN"/>
              </w:rPr>
            </w:pPr>
            <w:r>
              <w:rPr>
                <w:rFonts w:hint="eastAsia"/>
                <w:vertAlign w:val="baseline"/>
                <w:lang w:val="en-US" w:eastAsia="zh-CN"/>
              </w:rPr>
              <w:t>套</w:t>
            </w:r>
          </w:p>
        </w:tc>
        <w:tc>
          <w:tcPr>
            <w:tcW w:w="2040" w:type="dxa"/>
          </w:tcPr>
          <w:p w14:paraId="40EC81F7">
            <w:pPr>
              <w:jc w:val="center"/>
              <w:rPr>
                <w:rFonts w:hint="default"/>
                <w:vertAlign w:val="baseline"/>
                <w:lang w:val="en-US" w:eastAsia="zh-CN"/>
              </w:rPr>
            </w:pPr>
            <w:r>
              <w:rPr>
                <w:rFonts w:hint="eastAsia"/>
                <w:vertAlign w:val="baseline"/>
                <w:lang w:val="en-US" w:eastAsia="zh-CN"/>
              </w:rPr>
              <w:t>1</w:t>
            </w:r>
          </w:p>
        </w:tc>
      </w:tr>
      <w:tr w14:paraId="0682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0" w:type="dxa"/>
          </w:tcPr>
          <w:p w14:paraId="6757050E">
            <w:pPr>
              <w:jc w:val="center"/>
              <w:rPr>
                <w:rFonts w:hint="default" w:eastAsia="宋体"/>
                <w:vertAlign w:val="baseline"/>
                <w:lang w:val="en-US" w:eastAsia="zh-CN"/>
              </w:rPr>
            </w:pPr>
            <w:r>
              <w:rPr>
                <w:rFonts w:hint="eastAsia"/>
                <w:vertAlign w:val="baseline"/>
                <w:lang w:val="en-US" w:eastAsia="zh-CN"/>
              </w:rPr>
              <w:t>14</w:t>
            </w:r>
          </w:p>
        </w:tc>
        <w:tc>
          <w:tcPr>
            <w:tcW w:w="3330" w:type="dxa"/>
          </w:tcPr>
          <w:p w14:paraId="6B586006">
            <w:pPr>
              <w:jc w:val="center"/>
              <w:rPr>
                <w:rFonts w:hint="eastAsia"/>
              </w:rPr>
            </w:pPr>
            <w:r>
              <w:rPr>
                <w:rFonts w:hint="eastAsia"/>
              </w:rPr>
              <w:t>台车</w:t>
            </w:r>
          </w:p>
        </w:tc>
        <w:tc>
          <w:tcPr>
            <w:tcW w:w="1920" w:type="dxa"/>
          </w:tcPr>
          <w:p w14:paraId="53D669FF">
            <w:pPr>
              <w:jc w:val="center"/>
              <w:rPr>
                <w:rFonts w:hint="default"/>
                <w:vertAlign w:val="baseline"/>
                <w:lang w:val="en-US" w:eastAsia="zh-CN"/>
              </w:rPr>
            </w:pPr>
            <w:r>
              <w:rPr>
                <w:rFonts w:hint="eastAsia"/>
                <w:vertAlign w:val="baseline"/>
                <w:lang w:val="en-US" w:eastAsia="zh-CN"/>
              </w:rPr>
              <w:t>个</w:t>
            </w:r>
          </w:p>
        </w:tc>
        <w:tc>
          <w:tcPr>
            <w:tcW w:w="2040" w:type="dxa"/>
          </w:tcPr>
          <w:p w14:paraId="7C28125C">
            <w:pPr>
              <w:jc w:val="center"/>
              <w:rPr>
                <w:rFonts w:hint="default"/>
                <w:vertAlign w:val="baseline"/>
                <w:lang w:val="en-US" w:eastAsia="zh-CN"/>
              </w:rPr>
            </w:pPr>
            <w:r>
              <w:rPr>
                <w:rFonts w:hint="eastAsia"/>
                <w:vertAlign w:val="baseline"/>
                <w:lang w:val="en-US" w:eastAsia="zh-CN"/>
              </w:rPr>
              <w:t>1</w:t>
            </w:r>
          </w:p>
        </w:tc>
      </w:tr>
    </w:tbl>
    <w:p w14:paraId="1B827F60">
      <w:pPr>
        <w:numPr>
          <w:ilvl w:val="0"/>
          <w:numId w:val="0"/>
        </w:numPr>
        <w:spacing w:line="192" w:lineRule="auto"/>
        <w:ind w:firstLine="211" w:firstLineChars="100"/>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（二）其他</w:t>
      </w:r>
      <w:r>
        <w:rPr>
          <w:rFonts w:hint="eastAsia" w:ascii="宋体" w:hAnsi="宋体" w:eastAsia="宋体" w:cs="宋体"/>
          <w:b/>
          <w:bCs/>
          <w:color w:val="auto"/>
          <w:kern w:val="2"/>
          <w:sz w:val="21"/>
          <w:szCs w:val="24"/>
          <w:highlight w:val="none"/>
          <w:lang w:val="en-US" w:eastAsia="zh-CN" w:bidi="ar-SA"/>
        </w:rPr>
        <w:t>要求：</w:t>
      </w:r>
    </w:p>
    <w:p w14:paraId="3158E5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1、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2B2B3AB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AD191C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商品包装和快递包装应符合《商品包装政府采购需求标准（试行）》和《快递包装政府采购需求标准（试行）》规定。</w:t>
      </w:r>
    </w:p>
    <w:p w14:paraId="40A4DB50">
      <w:pPr>
        <w:jc w:val="both"/>
        <w:rPr>
          <w:rFonts w:hint="default" w:ascii="宋体" w:hAnsi="宋体" w:eastAsia="宋体" w:cs="宋体"/>
          <w:b/>
          <w:bCs/>
          <w:color w:val="auto"/>
          <w:sz w:val="30"/>
          <w:szCs w:val="30"/>
          <w:highlight w:val="none"/>
          <w:lang w:val="en-US" w:eastAsia="zh-CN"/>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62AC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22111DC">
            <w:pPr>
              <w:pStyle w:val="8"/>
              <w:ind w:left="0" w:left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签订合同时间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351FF0D8">
            <w:pPr>
              <w:pStyle w:val="8"/>
              <w:ind w:left="0"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0202D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0801C68">
            <w:pPr>
              <w:pStyle w:val="8"/>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49CFD9D">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从产品入库之日起，整机保修五年，出具相关服务承诺书</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采购人指定地点</w:t>
            </w:r>
          </w:p>
        </w:tc>
      </w:tr>
      <w:tr w14:paraId="52443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4AEBFA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338582DE">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17D6BE6">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质保期内应当为采购人提供以下技术支持和服务：</w:t>
            </w:r>
          </w:p>
          <w:p w14:paraId="62D90186">
            <w:pPr>
              <w:pStyle w:val="8"/>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g、所有设备按照医院实际要求免费开放端口，免费为医院对接院内信息系统。质保期内免费进行软件升级。</w:t>
            </w:r>
          </w:p>
        </w:tc>
      </w:tr>
      <w:tr w14:paraId="34DE6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72A2C1E">
            <w:pPr>
              <w:pStyle w:val="8"/>
              <w:ind w:left="0" w:left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21E8933C">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免费提供操作培训和维修培训。                         </w:t>
            </w:r>
          </w:p>
        </w:tc>
      </w:tr>
      <w:tr w14:paraId="637D5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6C39C57">
            <w:pPr>
              <w:pStyle w:val="8"/>
              <w:ind w:left="0" w:left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其他</w:t>
            </w:r>
          </w:p>
        </w:tc>
        <w:tc>
          <w:tcPr>
            <w:tcW w:w="7354" w:type="dxa"/>
            <w:tcBorders>
              <w:top w:val="single" w:color="auto" w:sz="4" w:space="0"/>
              <w:left w:val="single" w:color="auto" w:sz="4" w:space="0"/>
              <w:bottom w:val="single" w:color="auto" w:sz="4" w:space="0"/>
              <w:right w:val="single" w:color="auto" w:sz="4" w:space="0"/>
            </w:tcBorders>
            <w:noWrap/>
            <w:vAlign w:val="center"/>
          </w:tcPr>
          <w:p w14:paraId="0EDF3248">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 xml:space="preserve">要求设备为最新出厂设备，出厂日期不得早于招标日期6个月。 </w:t>
            </w:r>
          </w:p>
        </w:tc>
      </w:tr>
    </w:tbl>
    <w:p w14:paraId="65DE617A">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驻马店市中心医院双靶点经颅刺激仪治疗仪</w:t>
            </w:r>
            <w:r>
              <w:rPr>
                <w:rFonts w:hint="eastAsia" w:ascii="宋体" w:hAnsi="宋体" w:cs="宋体"/>
                <w:color w:val="auto"/>
                <w:highlight w:val="none"/>
                <w:lang w:val="en-US" w:eastAsia="zh-CN"/>
              </w:rPr>
              <w:t>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8320"/>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28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28万元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28 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7533DAC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4.1</w:t>
      </w:r>
      <w:r>
        <w:rPr>
          <w:rFonts w:hint="eastAsia" w:ascii="宋体" w:hAnsi="宋体" w:eastAsia="宋体" w:cs="宋体"/>
          <w:color w:val="auto"/>
          <w:szCs w:val="21"/>
          <w:highlight w:val="none"/>
          <w:shd w:val="clear" w:color="auto" w:fill="FFFFFF"/>
          <w:lang w:val="en-US" w:eastAsia="zh-CN"/>
        </w:rPr>
        <w:t>供应商具有独立承担民事责任能力，提供营业执照或其他证明材料。</w:t>
      </w:r>
    </w:p>
    <w:p w14:paraId="16FDCB0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4.2</w:t>
      </w:r>
      <w:r>
        <w:rPr>
          <w:rFonts w:hint="eastAsia" w:ascii="宋体" w:hAnsi="宋体" w:eastAsia="宋体" w:cs="宋体"/>
          <w:color w:val="auto"/>
          <w:szCs w:val="21"/>
          <w:highlight w:val="none"/>
          <w:shd w:val="clear" w:color="auto" w:fill="FFFFFF"/>
          <w:lang w:val="en-US" w:eastAsia="zh-CN"/>
        </w:rPr>
        <w:t>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02F18EF">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1A893053">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highlight w:val="none"/>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19DFF20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特定资格要求：</w:t>
      </w:r>
    </w:p>
    <w:p w14:paraId="7F90807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5B25BD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7DECE2F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000000" w:themeColor="text1"/>
          <w:kern w:val="0"/>
          <w:szCs w:val="21"/>
          <w:highlight w:val="none"/>
          <w:lang w:val="en-US" w:eastAsia="zh-CN"/>
          <w14:textFill>
            <w14:solidFill>
              <w14:schemeClr w14:val="tx1"/>
            </w14:solidFill>
          </w14:textFill>
        </w:rPr>
        <w:t>提供在“国家企业信用信息公示系统”中查询的相关材料</w:t>
      </w:r>
      <w:r>
        <w:rPr>
          <w:rFonts w:hint="eastAsia" w:ascii="宋体" w:hAnsi="宋体" w:cs="宋体"/>
          <w:color w:val="000000" w:themeColor="text1"/>
          <w:kern w:val="0"/>
          <w:szCs w:val="21"/>
          <w:highlight w:val="none"/>
          <w:lang w:val="en-US" w:eastAsia="zh-CN"/>
          <w14:textFill>
            <w14:solidFill>
              <w14:schemeClr w14:val="tx1"/>
            </w14:solidFill>
          </w14:textFill>
        </w:rPr>
        <w:t>并加盖公章</w:t>
      </w:r>
      <w:r>
        <w:rPr>
          <w:rFonts w:hint="eastAsia" w:ascii="宋体" w:hAnsi="宋体" w:eastAsia="宋体" w:cs="宋体"/>
          <w:color w:val="000000" w:themeColor="text1"/>
          <w:kern w:val="0"/>
          <w:szCs w:val="21"/>
          <w:highlight w:val="none"/>
          <w:lang w:val="en-US" w:eastAsia="zh-CN"/>
          <w14:textFill>
            <w14:solidFill>
              <w14:schemeClr w14:val="tx1"/>
            </w14:solidFill>
          </w14:textFill>
        </w:rPr>
        <w:t>（需包含公司基本信息、股东信息及股权变更信息）或提供承诺</w:t>
      </w:r>
      <w:r>
        <w:rPr>
          <w:rFonts w:hint="eastAsia" w:ascii="宋体" w:hAnsi="宋体" w:cs="宋体"/>
          <w:color w:val="000000" w:themeColor="text1"/>
          <w:kern w:val="0"/>
          <w:szCs w:val="21"/>
          <w:highlight w:val="none"/>
          <w:lang w:val="en-US" w:eastAsia="zh-CN"/>
          <w14:textFill>
            <w14:solidFill>
              <w14:schemeClr w14:val="tx1"/>
            </w14:solidFill>
          </w14:textFill>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分，带“*”号的技术参数为关键性技术参数，有一项不满足的扣5分，扣完为止；不带“*”号的技术参数为一般性技术参数，有一项不满足的扣3分，扣完为止；如得分为0，则磋商无效。 </w:t>
            </w:r>
          </w:p>
          <w:p w14:paraId="6BFC25CF">
            <w:pPr>
              <w:keepNext w:val="0"/>
              <w:keepLines w:val="0"/>
              <w:pageBreakBefore w:val="0"/>
              <w:widowControl/>
              <w:numPr>
                <w:ilvl w:val="0"/>
                <w:numId w:val="4"/>
              </w:numPr>
              <w:kinsoku/>
              <w:wordWrap/>
              <w:overflowPunct/>
              <w:topLinePunct w:val="0"/>
              <w:autoSpaceDE/>
              <w:autoSpaceDN/>
              <w:bidi w:val="0"/>
              <w:adjustRightInd/>
              <w:snapToGrid w:val="0"/>
              <w:spacing w:line="360" w:lineRule="exact"/>
              <w:jc w:val="both"/>
              <w:textAlignment w:val="auto"/>
              <w:rPr>
                <w:rFonts w:hint="eastAsia"/>
                <w:highlight w:val="none"/>
                <w:lang w:val="en-US" w:eastAsia="zh-CN"/>
              </w:rPr>
            </w:pPr>
            <w:r>
              <w:rPr>
                <w:rFonts w:hint="eastAsia" w:ascii="宋体" w:hAnsi="宋体" w:eastAsia="宋体" w:cs="宋体"/>
                <w:color w:val="auto"/>
                <w:sz w:val="21"/>
                <w:szCs w:val="21"/>
                <w:highlight w:val="none"/>
                <w:lang w:val="en-US" w:eastAsia="zh-CN"/>
              </w:rPr>
              <w:t>供应商需如实填写技术偏离表，并标注偏离情况。</w:t>
            </w:r>
          </w:p>
          <w:p w14:paraId="4BC0163D">
            <w:pPr>
              <w:keepNext w:val="0"/>
              <w:keepLines w:val="0"/>
              <w:pageBreakBefore w:val="0"/>
              <w:widowControl/>
              <w:numPr>
                <w:ilvl w:val="0"/>
                <w:numId w:val="4"/>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供应商所投产品需提供医疗器械注册证【含附件：产品技术要求（如有）】</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）需提供产品注册检验报告及响应技术参数条款的技术白皮书和彩页等相关文件，并对响应技术参数部分做出明显标注。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w:t>
            </w:r>
            <w:r>
              <w:rPr>
                <w:rFonts w:hint="eastAsia" w:ascii="宋体" w:hAnsi="宋体" w:cs="宋体"/>
                <w:color w:val="auto"/>
                <w:sz w:val="21"/>
                <w:szCs w:val="21"/>
                <w:highlight w:val="none"/>
                <w:lang w:val="en-US" w:eastAsia="zh-CN"/>
              </w:rPr>
              <w:t>投标产品</w:t>
            </w:r>
            <w:r>
              <w:rPr>
                <w:rFonts w:hint="eastAsia" w:ascii="宋体" w:hAnsi="宋体" w:eastAsia="宋体" w:cs="宋体"/>
                <w:color w:val="auto"/>
                <w:sz w:val="21"/>
                <w:szCs w:val="21"/>
                <w:highlight w:val="none"/>
                <w:lang w:val="en-US" w:eastAsia="zh-CN"/>
              </w:rPr>
              <w:t>的制造工艺、稳定性进行打分</w:t>
            </w:r>
            <w:r>
              <w:rPr>
                <w:rFonts w:hint="eastAsia" w:ascii="宋体" w:hAnsi="宋体" w:cs="宋体"/>
                <w:color w:val="auto"/>
                <w:sz w:val="21"/>
                <w:szCs w:val="21"/>
                <w:highlight w:val="none"/>
                <w:lang w:val="en-US" w:eastAsia="zh-CN"/>
              </w:rPr>
              <w:t>：</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产品制造工艺、稳定性好、</w:t>
            </w:r>
            <w:r>
              <w:rPr>
                <w:rFonts w:hint="eastAsia" w:ascii="宋体" w:hAnsi="宋体" w:cs="宋体"/>
                <w:color w:val="auto"/>
                <w:sz w:val="21"/>
                <w:szCs w:val="21"/>
                <w:highlight w:val="none"/>
                <w:lang w:val="en-US" w:eastAsia="zh-CN"/>
              </w:rPr>
              <w:t>安全性高的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000000"/>
                <w:sz w:val="24"/>
                <w:szCs w:val="24"/>
              </w:rPr>
              <w:t>投标产品制造工艺、稳定性较好</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 xml:space="preserve">安全性较高的得 </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rPr>
              <w:t xml:space="preserve"> 分；投标产品制造工艺、稳定性、安全性一般的得 1 分。</w:t>
            </w:r>
          </w:p>
        </w:tc>
      </w:tr>
      <w:tr w14:paraId="657B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05276B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736D3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9E720C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 xml:space="preserve">所投产品优秀，操控性强、性能好、技术先进的得 </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分；所投产品较好，操控性较强、性能较好、技术较先进的得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分；所投产品一般，操控性一般、性能一般、技术保守的得 1 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w:t>
            </w:r>
            <w:r>
              <w:rPr>
                <w:rFonts w:hint="eastAsia" w:ascii="宋体" w:hAnsi="宋体" w:cs="宋体"/>
                <w:b w:val="0"/>
                <w:bCs w:val="0"/>
                <w:color w:val="auto"/>
                <w:kern w:val="0"/>
                <w:sz w:val="21"/>
                <w:szCs w:val="21"/>
                <w:highlight w:val="none"/>
                <w:lang w:val="en-US" w:eastAsia="zh-CN"/>
              </w:rPr>
              <w:t>9</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09361BF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1BA4D03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w:t>
            </w:r>
            <w:r>
              <w:rPr>
                <w:rFonts w:hint="eastAsia" w:ascii="宋体" w:hAnsi="宋体" w:cs="宋体"/>
                <w:color w:val="auto"/>
                <w:sz w:val="21"/>
                <w:szCs w:val="21"/>
                <w:highlight w:val="none"/>
                <w:lang w:val="en-US" w:eastAsia="zh-CN"/>
              </w:rPr>
              <w:t>具体详实，完全满足采购需求的得3分；有较具体的供货保障措施，基本满足采购需求的得2分；供货保障措施不完备，不能满足采购需求的得1分</w:t>
            </w:r>
            <w:r>
              <w:rPr>
                <w:rFonts w:hint="eastAsia" w:ascii="宋体" w:hAnsi="宋体" w:eastAsia="宋体" w:cs="宋体"/>
                <w:color w:val="auto"/>
                <w:sz w:val="21"/>
                <w:szCs w:val="21"/>
                <w:highlight w:val="none"/>
                <w:lang w:val="en-US" w:eastAsia="zh-CN"/>
              </w:rPr>
              <w:t>；缺项得0分。</w:t>
            </w:r>
          </w:p>
        </w:tc>
      </w:tr>
      <w:tr w14:paraId="3896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FBFC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64B9FE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0FE4919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w:t>
            </w:r>
            <w:r>
              <w:rPr>
                <w:rFonts w:hint="eastAsia" w:ascii="宋体" w:hAnsi="宋体" w:cs="宋体"/>
                <w:color w:val="auto"/>
                <w:sz w:val="21"/>
                <w:szCs w:val="21"/>
                <w:highlight w:val="none"/>
                <w:lang w:val="en-US" w:eastAsia="zh-CN"/>
              </w:rPr>
              <w:t>具体详实、人员及工具配备合理、保障措施可操作性强的</w:t>
            </w:r>
            <w:r>
              <w:rPr>
                <w:rFonts w:hint="eastAsia" w:ascii="宋体" w:hAnsi="宋体" w:eastAsia="宋体" w:cs="宋体"/>
                <w:color w:val="auto"/>
                <w:sz w:val="21"/>
                <w:szCs w:val="21"/>
                <w:highlight w:val="none"/>
                <w:lang w:val="en-US" w:eastAsia="zh-CN"/>
              </w:rPr>
              <w:t>得3分；</w:t>
            </w:r>
            <w:r>
              <w:rPr>
                <w:rFonts w:hint="eastAsia" w:ascii="宋体" w:hAnsi="宋体" w:cs="宋体"/>
                <w:color w:val="auto"/>
                <w:sz w:val="21"/>
                <w:szCs w:val="21"/>
                <w:highlight w:val="none"/>
                <w:lang w:val="en-US" w:eastAsia="zh-CN"/>
              </w:rPr>
              <w:t>有较具体的安装调试方案，内容较详实，基本满足项目需求</w:t>
            </w:r>
            <w:r>
              <w:rPr>
                <w:rFonts w:hint="eastAsia" w:ascii="宋体" w:hAnsi="宋体" w:eastAsia="宋体" w:cs="宋体"/>
                <w:color w:val="auto"/>
                <w:sz w:val="21"/>
                <w:szCs w:val="21"/>
                <w:highlight w:val="none"/>
                <w:lang w:val="en-US" w:eastAsia="zh-CN"/>
              </w:rPr>
              <w:t>的得2分；</w:t>
            </w:r>
            <w:r>
              <w:rPr>
                <w:rFonts w:hint="eastAsia" w:ascii="宋体" w:hAnsi="宋体" w:cs="宋体"/>
                <w:color w:val="auto"/>
                <w:sz w:val="21"/>
                <w:szCs w:val="21"/>
                <w:highlight w:val="none"/>
                <w:lang w:val="en-US" w:eastAsia="zh-CN"/>
              </w:rPr>
              <w:t>安装调试方案不完备，不能满足需求</w:t>
            </w:r>
            <w:r>
              <w:rPr>
                <w:rFonts w:hint="eastAsia" w:ascii="宋体" w:hAnsi="宋体" w:eastAsia="宋体" w:cs="宋体"/>
                <w:color w:val="auto"/>
                <w:sz w:val="21"/>
                <w:szCs w:val="21"/>
                <w:highlight w:val="none"/>
                <w:lang w:val="en-US" w:eastAsia="zh-CN"/>
              </w:rPr>
              <w:t>的得1分，缺项得0分。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E37B00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应急响应时间极快、应急保障充分</w:t>
            </w:r>
            <w:r>
              <w:rPr>
                <w:rFonts w:hint="eastAsia" w:ascii="宋体" w:hAnsi="宋体" w:eastAsia="宋体" w:cs="宋体"/>
                <w:color w:val="auto"/>
                <w:sz w:val="21"/>
                <w:szCs w:val="21"/>
                <w:highlight w:val="none"/>
                <w:lang w:val="en-US" w:eastAsia="zh-CN"/>
              </w:rPr>
              <w:t>的得3分；</w:t>
            </w:r>
            <w:r>
              <w:rPr>
                <w:rFonts w:hint="eastAsia" w:ascii="宋体" w:hAnsi="宋体" w:cs="宋体"/>
                <w:color w:val="auto"/>
                <w:sz w:val="21"/>
                <w:szCs w:val="21"/>
                <w:highlight w:val="none"/>
                <w:lang w:val="en-US" w:eastAsia="zh-CN"/>
              </w:rPr>
              <w:t>应急响应时间快、应急保障较充分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应急响应时间时间长、应急保障不充分</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质保期</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A730A71">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分，最多得</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分。缺项得0分。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w:t>
            </w:r>
            <w:r>
              <w:rPr>
                <w:rFonts w:hint="eastAsia" w:ascii="宋体" w:hAnsi="宋体" w:cs="宋体"/>
                <w:b w:val="0"/>
                <w:bCs w:val="0"/>
                <w:color w:val="auto"/>
                <w:kern w:val="2"/>
                <w:sz w:val="21"/>
                <w:szCs w:val="21"/>
                <w:highlight w:val="none"/>
                <w:lang w:val="en-US" w:eastAsia="zh-CN"/>
              </w:rPr>
              <w:t>8</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3354910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w:t>
            </w:r>
            <w:r>
              <w:rPr>
                <w:rFonts w:hint="eastAsia" w:ascii="宋体" w:hAnsi="宋体" w:cs="宋体"/>
                <w:b w:val="0"/>
                <w:bCs w:val="0"/>
                <w:color w:val="auto"/>
                <w:sz w:val="21"/>
                <w:szCs w:val="21"/>
                <w:highlight w:val="none"/>
                <w:lang w:val="en-US" w:eastAsia="zh-CN"/>
              </w:rPr>
              <w:t>配备及专业技术能力说明、</w:t>
            </w:r>
            <w:r>
              <w:rPr>
                <w:rFonts w:hint="eastAsia" w:ascii="宋体" w:hAnsi="宋体" w:eastAsia="宋体" w:cs="宋体"/>
                <w:b w:val="0"/>
                <w:bCs w:val="0"/>
                <w:color w:val="auto"/>
                <w:sz w:val="21"/>
                <w:szCs w:val="21"/>
                <w:highlight w:val="none"/>
                <w:lang w:val="en-US" w:eastAsia="zh-CN"/>
              </w:rPr>
              <w:t>故障响应时间、应急维修措施预案、培训方案等</w:t>
            </w:r>
            <w:r>
              <w:rPr>
                <w:rFonts w:hint="eastAsia" w:ascii="宋体" w:hAnsi="宋体" w:cs="宋体"/>
                <w:b w:val="0"/>
                <w:bCs w:val="0"/>
                <w:color w:val="auto"/>
                <w:sz w:val="21"/>
                <w:szCs w:val="21"/>
                <w:highlight w:val="none"/>
                <w:lang w:val="en-US" w:eastAsia="zh-CN"/>
              </w:rPr>
              <w:t>进行打分；</w:t>
            </w:r>
          </w:p>
          <w:p w14:paraId="7021B8FA">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w:t>
            </w:r>
            <w:r>
              <w:rPr>
                <w:rFonts w:hint="eastAsia" w:ascii="宋体" w:hAnsi="宋体" w:cs="宋体"/>
                <w:b w:val="0"/>
                <w:bCs w:val="0"/>
                <w:color w:val="auto"/>
                <w:sz w:val="21"/>
                <w:szCs w:val="21"/>
                <w:highlight w:val="none"/>
                <w:lang w:val="en-US" w:eastAsia="zh-CN"/>
              </w:rPr>
              <w:t>措施详尽、</w:t>
            </w:r>
            <w:r>
              <w:rPr>
                <w:rFonts w:hint="eastAsia" w:ascii="宋体" w:hAnsi="宋体" w:eastAsia="宋体" w:cs="宋体"/>
                <w:b w:val="0"/>
                <w:bCs w:val="0"/>
                <w:color w:val="auto"/>
                <w:sz w:val="21"/>
                <w:szCs w:val="21"/>
                <w:highlight w:val="none"/>
                <w:lang w:val="en-US" w:eastAsia="zh-CN"/>
              </w:rPr>
              <w:t>故障响应时间极快、应急维修措施预案合理且可行，有具体的培训方案，得8分</w:t>
            </w:r>
            <w:r>
              <w:rPr>
                <w:rFonts w:hint="eastAsia" w:ascii="宋体" w:hAnsi="宋体" w:cs="宋体"/>
                <w:b w:val="0"/>
                <w:bCs w:val="0"/>
                <w:color w:val="auto"/>
                <w:sz w:val="21"/>
                <w:szCs w:val="21"/>
                <w:highlight w:val="none"/>
                <w:lang w:val="en-US" w:eastAsia="zh-CN"/>
              </w:rPr>
              <w:t>；</w:t>
            </w:r>
          </w:p>
          <w:p w14:paraId="71C16E4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服务承诺符合本项目特点，故障响应时间快、应急维修措施预案较合理，有较具体的培训方案的得 5 分；</w:t>
            </w:r>
          </w:p>
          <w:p w14:paraId="396DD1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服务承诺符合本项目特点，故障响应时间较长、应急维修措施预案不完备，培训方案不完备的得 2 分；</w:t>
            </w:r>
          </w:p>
          <w:p w14:paraId="7C694A3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7F9A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78" w:type="dxa"/>
            <w:noWrap/>
            <w:vAlign w:val="center"/>
          </w:tcPr>
          <w:p w14:paraId="2AB1F9A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质量要求</w:t>
            </w:r>
          </w:p>
        </w:tc>
        <w:tc>
          <w:tcPr>
            <w:tcW w:w="7708" w:type="dxa"/>
            <w:noWrap/>
            <w:vAlign w:val="center"/>
          </w:tcPr>
          <w:p w14:paraId="3BDEDDEC">
            <w:pPr>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0" w:name="_Toc226"/>
      <w:bookmarkStart w:id="81"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sz w:val="21"/>
                <w:szCs w:val="21"/>
                <w:vertAlign w:val="baseline"/>
                <w:lang w:val="en-US" w:eastAsia="zh-CN"/>
              </w:rPr>
            </w:pPr>
            <w:r>
              <w:rPr>
                <w:rFonts w:hint="eastAsia" w:eastAsia="宋体"/>
                <w:b/>
                <w:bCs/>
                <w:sz w:val="21"/>
                <w:szCs w:val="21"/>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商品名称</w:t>
            </w:r>
          </w:p>
        </w:tc>
        <w:tc>
          <w:tcPr>
            <w:tcW w:w="1046" w:type="dxa"/>
            <w:vAlign w:val="center"/>
          </w:tcPr>
          <w:p w14:paraId="7B88569B">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注册</w:t>
            </w:r>
          </w:p>
          <w:p w14:paraId="5A7F3778">
            <w:pPr>
              <w:keepNext w:val="0"/>
              <w:keepLines w:val="0"/>
              <w:widowControl/>
              <w:suppressLineNumbers w:val="0"/>
              <w:jc w:val="center"/>
              <w:rPr>
                <w:sz w:val="21"/>
                <w:szCs w:val="21"/>
                <w:vertAlign w:val="baseline"/>
              </w:rPr>
            </w:pPr>
            <w:r>
              <w:rPr>
                <w:rFonts w:hint="eastAsia" w:ascii="宋体" w:hAnsi="宋体" w:eastAsia="宋体" w:cs="宋体"/>
                <w:b/>
                <w:bCs/>
                <w:snapToGrid w:val="0"/>
                <w:color w:val="000000"/>
                <w:kern w:val="0"/>
                <w:sz w:val="21"/>
                <w:szCs w:val="21"/>
                <w:lang w:val="en-US" w:eastAsia="zh-CN" w:bidi="ar"/>
              </w:rPr>
              <w:t>证名称及注册证号</w:t>
            </w:r>
          </w:p>
        </w:tc>
        <w:tc>
          <w:tcPr>
            <w:tcW w:w="1046" w:type="dxa"/>
            <w:vAlign w:val="center"/>
          </w:tcPr>
          <w:p w14:paraId="13975975">
            <w:pPr>
              <w:keepNext w:val="0"/>
              <w:keepLines w:val="0"/>
              <w:widowControl/>
              <w:suppressLineNumbers w:val="0"/>
              <w:jc w:val="center"/>
              <w:rPr>
                <w:sz w:val="21"/>
                <w:szCs w:val="21"/>
              </w:rPr>
            </w:pPr>
            <w:r>
              <w:rPr>
                <w:rFonts w:hint="eastAsia" w:ascii="宋体" w:hAnsi="宋体" w:eastAsia="宋体" w:cs="宋体"/>
                <w:b/>
                <w:bCs/>
                <w:snapToGrid w:val="0"/>
                <w:color w:val="000000"/>
                <w:kern w:val="0"/>
                <w:sz w:val="21"/>
                <w:szCs w:val="21"/>
                <w:lang w:val="en-US" w:eastAsia="zh-CN" w:bidi="ar"/>
              </w:rPr>
              <w:t>品牌</w:t>
            </w:r>
          </w:p>
          <w:p w14:paraId="715FBD17">
            <w:pPr>
              <w:keepNext w:val="0"/>
              <w:keepLines w:val="0"/>
              <w:widowControl/>
              <w:suppressLineNumbers w:val="0"/>
              <w:jc w:val="center"/>
              <w:rPr>
                <w:sz w:val="21"/>
                <w:szCs w:val="21"/>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省、市、县</w:t>
            </w:r>
          </w:p>
          <w:p w14:paraId="1EA388BB">
            <w:pPr>
              <w:widowControl w:val="0"/>
              <w:spacing w:line="320" w:lineRule="exact"/>
              <w:jc w:val="center"/>
              <w:outlineLvl w:val="0"/>
              <w:rPr>
                <w:rFonts w:hint="eastAsia" w:ascii="宋体" w:hAnsi="宋体" w:eastAsia="宋体" w:cs="宋体"/>
                <w:b/>
                <w:sz w:val="21"/>
                <w:szCs w:val="21"/>
              </w:rPr>
            </w:pPr>
            <w:r>
              <w:rPr>
                <w:rFonts w:hint="eastAsia" w:ascii="宋体" w:hAnsi="宋体" w:eastAsia="宋体" w:cs="宋体"/>
                <w:b/>
                <w:sz w:val="21"/>
                <w:szCs w:val="21"/>
              </w:rPr>
              <w:t>收费编码</w:t>
            </w:r>
          </w:p>
          <w:p w14:paraId="0E7218A7">
            <w:pPr>
              <w:widowControl w:val="0"/>
              <w:spacing w:line="320" w:lineRule="exact"/>
              <w:jc w:val="center"/>
              <w:outlineLvl w:val="0"/>
              <w:rPr>
                <w:sz w:val="21"/>
                <w:szCs w:val="21"/>
                <w:vertAlign w:val="baseline"/>
              </w:rPr>
            </w:pPr>
            <w:r>
              <w:rPr>
                <w:rFonts w:hint="eastAsia" w:ascii="宋体" w:hAnsi="宋体" w:eastAsia="宋体" w:cs="宋体"/>
                <w:b/>
                <w:sz w:val="21"/>
                <w:szCs w:val="21"/>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vertAlign w:val="baseline"/>
              </w:rPr>
            </w:pPr>
          </w:p>
        </w:tc>
        <w:tc>
          <w:tcPr>
            <w:tcW w:w="1447" w:type="dxa"/>
            <w:vMerge w:val="restart"/>
          </w:tcPr>
          <w:p w14:paraId="1411B170">
            <w:pPr>
              <w:widowControl w:val="0"/>
              <w:rPr>
                <w:vertAlign w:val="baseline"/>
              </w:rPr>
            </w:pPr>
          </w:p>
        </w:tc>
        <w:tc>
          <w:tcPr>
            <w:tcW w:w="1447" w:type="dxa"/>
          </w:tcPr>
          <w:p w14:paraId="538C956D">
            <w:pPr>
              <w:widowControl w:val="0"/>
              <w:rPr>
                <w:vertAlign w:val="baseline"/>
              </w:rPr>
            </w:pPr>
          </w:p>
        </w:tc>
        <w:tc>
          <w:tcPr>
            <w:tcW w:w="1046" w:type="dxa"/>
          </w:tcPr>
          <w:p w14:paraId="74877ABD">
            <w:pPr>
              <w:widowControl w:val="0"/>
              <w:rPr>
                <w:vertAlign w:val="baseline"/>
              </w:rPr>
            </w:pPr>
          </w:p>
        </w:tc>
        <w:tc>
          <w:tcPr>
            <w:tcW w:w="1046" w:type="dxa"/>
          </w:tcPr>
          <w:p w14:paraId="46285D21">
            <w:pPr>
              <w:widowControl w:val="0"/>
              <w:rPr>
                <w:vertAlign w:val="baseline"/>
              </w:rPr>
            </w:pPr>
          </w:p>
        </w:tc>
        <w:tc>
          <w:tcPr>
            <w:tcW w:w="1046" w:type="dxa"/>
          </w:tcPr>
          <w:p w14:paraId="30AA1993">
            <w:pPr>
              <w:widowControl w:val="0"/>
              <w:rPr>
                <w:vertAlign w:val="baseline"/>
              </w:rPr>
            </w:pPr>
          </w:p>
        </w:tc>
        <w:tc>
          <w:tcPr>
            <w:tcW w:w="1164" w:type="dxa"/>
          </w:tcPr>
          <w:p w14:paraId="3FDE21BE">
            <w:pPr>
              <w:widowControl w:val="0"/>
              <w:rPr>
                <w:vertAlign w:val="baseline"/>
              </w:rPr>
            </w:pPr>
          </w:p>
        </w:tc>
        <w:tc>
          <w:tcPr>
            <w:tcW w:w="929" w:type="dxa"/>
          </w:tcPr>
          <w:p w14:paraId="4E71EAFD">
            <w:pPr>
              <w:widowControl w:val="0"/>
              <w:rPr>
                <w:vertAlign w:val="baseline"/>
              </w:rPr>
            </w:pPr>
          </w:p>
        </w:tc>
        <w:tc>
          <w:tcPr>
            <w:tcW w:w="929" w:type="dxa"/>
          </w:tcPr>
          <w:p w14:paraId="2A5C917F">
            <w:pPr>
              <w:widowControl w:val="0"/>
              <w:rPr>
                <w:vertAlign w:val="baseline"/>
              </w:rPr>
            </w:pPr>
          </w:p>
        </w:tc>
        <w:tc>
          <w:tcPr>
            <w:tcW w:w="1046" w:type="dxa"/>
          </w:tcPr>
          <w:p w14:paraId="2BC032BB">
            <w:pPr>
              <w:widowControl w:val="0"/>
              <w:rPr>
                <w:vertAlign w:val="baseline"/>
              </w:rPr>
            </w:pPr>
          </w:p>
        </w:tc>
        <w:tc>
          <w:tcPr>
            <w:tcW w:w="1609" w:type="dxa"/>
          </w:tcPr>
          <w:p w14:paraId="43AF7AB5">
            <w:pPr>
              <w:widowControl w:val="0"/>
              <w:rPr>
                <w:vertAlign w:val="baseline"/>
              </w:rPr>
            </w:pPr>
          </w:p>
        </w:tc>
        <w:tc>
          <w:tcPr>
            <w:tcW w:w="1908" w:type="dxa"/>
          </w:tcPr>
          <w:p w14:paraId="351E7283">
            <w:pPr>
              <w:widowControl w:val="0"/>
              <w:rPr>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vertAlign w:val="baseline"/>
              </w:rPr>
            </w:pPr>
          </w:p>
        </w:tc>
        <w:tc>
          <w:tcPr>
            <w:tcW w:w="1447" w:type="dxa"/>
            <w:vMerge w:val="continue"/>
          </w:tcPr>
          <w:p w14:paraId="040A03DA">
            <w:pPr>
              <w:widowControl w:val="0"/>
              <w:rPr>
                <w:vertAlign w:val="baseline"/>
              </w:rPr>
            </w:pPr>
          </w:p>
        </w:tc>
        <w:tc>
          <w:tcPr>
            <w:tcW w:w="1447" w:type="dxa"/>
          </w:tcPr>
          <w:p w14:paraId="6D655FCD">
            <w:pPr>
              <w:widowControl w:val="0"/>
              <w:rPr>
                <w:vertAlign w:val="baseline"/>
              </w:rPr>
            </w:pPr>
          </w:p>
        </w:tc>
        <w:tc>
          <w:tcPr>
            <w:tcW w:w="1046" w:type="dxa"/>
          </w:tcPr>
          <w:p w14:paraId="5E1CE5CD">
            <w:pPr>
              <w:widowControl w:val="0"/>
              <w:rPr>
                <w:vertAlign w:val="baseline"/>
              </w:rPr>
            </w:pPr>
          </w:p>
        </w:tc>
        <w:tc>
          <w:tcPr>
            <w:tcW w:w="1046" w:type="dxa"/>
          </w:tcPr>
          <w:p w14:paraId="6FFF8D39">
            <w:pPr>
              <w:widowControl w:val="0"/>
              <w:rPr>
                <w:vertAlign w:val="baseline"/>
              </w:rPr>
            </w:pPr>
          </w:p>
        </w:tc>
        <w:tc>
          <w:tcPr>
            <w:tcW w:w="1046" w:type="dxa"/>
          </w:tcPr>
          <w:p w14:paraId="69EFFFF9">
            <w:pPr>
              <w:widowControl w:val="0"/>
              <w:rPr>
                <w:vertAlign w:val="baseline"/>
              </w:rPr>
            </w:pPr>
          </w:p>
        </w:tc>
        <w:tc>
          <w:tcPr>
            <w:tcW w:w="1164" w:type="dxa"/>
          </w:tcPr>
          <w:p w14:paraId="0D9181D5">
            <w:pPr>
              <w:widowControl w:val="0"/>
              <w:rPr>
                <w:vertAlign w:val="baseline"/>
              </w:rPr>
            </w:pPr>
          </w:p>
        </w:tc>
        <w:tc>
          <w:tcPr>
            <w:tcW w:w="929" w:type="dxa"/>
          </w:tcPr>
          <w:p w14:paraId="13E08F75">
            <w:pPr>
              <w:widowControl w:val="0"/>
              <w:rPr>
                <w:vertAlign w:val="baseline"/>
              </w:rPr>
            </w:pPr>
          </w:p>
        </w:tc>
        <w:tc>
          <w:tcPr>
            <w:tcW w:w="929" w:type="dxa"/>
          </w:tcPr>
          <w:p w14:paraId="55638291">
            <w:pPr>
              <w:widowControl w:val="0"/>
              <w:rPr>
                <w:vertAlign w:val="baseline"/>
              </w:rPr>
            </w:pPr>
          </w:p>
        </w:tc>
        <w:tc>
          <w:tcPr>
            <w:tcW w:w="1046" w:type="dxa"/>
          </w:tcPr>
          <w:p w14:paraId="18AD76A8">
            <w:pPr>
              <w:widowControl w:val="0"/>
              <w:rPr>
                <w:vertAlign w:val="baseline"/>
              </w:rPr>
            </w:pPr>
          </w:p>
        </w:tc>
        <w:tc>
          <w:tcPr>
            <w:tcW w:w="1609" w:type="dxa"/>
          </w:tcPr>
          <w:p w14:paraId="3E848191">
            <w:pPr>
              <w:widowControl w:val="0"/>
              <w:rPr>
                <w:vertAlign w:val="baseline"/>
              </w:rPr>
            </w:pPr>
          </w:p>
        </w:tc>
        <w:tc>
          <w:tcPr>
            <w:tcW w:w="1908" w:type="dxa"/>
          </w:tcPr>
          <w:p w14:paraId="4A951FB8">
            <w:pPr>
              <w:widowControl w:val="0"/>
              <w:rPr>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vertAlign w:val="baseline"/>
              </w:rPr>
            </w:pPr>
          </w:p>
        </w:tc>
        <w:tc>
          <w:tcPr>
            <w:tcW w:w="1447" w:type="dxa"/>
            <w:vMerge w:val="restart"/>
          </w:tcPr>
          <w:p w14:paraId="0D9E80CF">
            <w:pPr>
              <w:widowControl w:val="0"/>
              <w:rPr>
                <w:vertAlign w:val="baseline"/>
              </w:rPr>
            </w:pPr>
          </w:p>
        </w:tc>
        <w:tc>
          <w:tcPr>
            <w:tcW w:w="1447" w:type="dxa"/>
          </w:tcPr>
          <w:p w14:paraId="1E7399C3">
            <w:pPr>
              <w:widowControl w:val="0"/>
              <w:rPr>
                <w:vertAlign w:val="baseline"/>
              </w:rPr>
            </w:pPr>
          </w:p>
        </w:tc>
        <w:tc>
          <w:tcPr>
            <w:tcW w:w="1046" w:type="dxa"/>
          </w:tcPr>
          <w:p w14:paraId="3F37E071">
            <w:pPr>
              <w:widowControl w:val="0"/>
              <w:rPr>
                <w:vertAlign w:val="baseline"/>
              </w:rPr>
            </w:pPr>
          </w:p>
        </w:tc>
        <w:tc>
          <w:tcPr>
            <w:tcW w:w="1046" w:type="dxa"/>
          </w:tcPr>
          <w:p w14:paraId="3C6E9A35">
            <w:pPr>
              <w:widowControl w:val="0"/>
              <w:rPr>
                <w:vertAlign w:val="baseline"/>
              </w:rPr>
            </w:pPr>
          </w:p>
        </w:tc>
        <w:tc>
          <w:tcPr>
            <w:tcW w:w="1046" w:type="dxa"/>
          </w:tcPr>
          <w:p w14:paraId="439A493E">
            <w:pPr>
              <w:widowControl w:val="0"/>
              <w:rPr>
                <w:vertAlign w:val="baseline"/>
              </w:rPr>
            </w:pPr>
          </w:p>
        </w:tc>
        <w:tc>
          <w:tcPr>
            <w:tcW w:w="1164" w:type="dxa"/>
          </w:tcPr>
          <w:p w14:paraId="6DA472CA">
            <w:pPr>
              <w:widowControl w:val="0"/>
              <w:rPr>
                <w:vertAlign w:val="baseline"/>
              </w:rPr>
            </w:pPr>
          </w:p>
        </w:tc>
        <w:tc>
          <w:tcPr>
            <w:tcW w:w="929" w:type="dxa"/>
          </w:tcPr>
          <w:p w14:paraId="7A944B46">
            <w:pPr>
              <w:widowControl w:val="0"/>
              <w:rPr>
                <w:vertAlign w:val="baseline"/>
              </w:rPr>
            </w:pPr>
          </w:p>
        </w:tc>
        <w:tc>
          <w:tcPr>
            <w:tcW w:w="929" w:type="dxa"/>
          </w:tcPr>
          <w:p w14:paraId="4B709168">
            <w:pPr>
              <w:widowControl w:val="0"/>
              <w:rPr>
                <w:vertAlign w:val="baseline"/>
              </w:rPr>
            </w:pPr>
          </w:p>
        </w:tc>
        <w:tc>
          <w:tcPr>
            <w:tcW w:w="1046" w:type="dxa"/>
          </w:tcPr>
          <w:p w14:paraId="0406CE2F">
            <w:pPr>
              <w:widowControl w:val="0"/>
              <w:rPr>
                <w:vertAlign w:val="baseline"/>
              </w:rPr>
            </w:pPr>
          </w:p>
        </w:tc>
        <w:tc>
          <w:tcPr>
            <w:tcW w:w="1609" w:type="dxa"/>
          </w:tcPr>
          <w:p w14:paraId="51830342">
            <w:pPr>
              <w:widowControl w:val="0"/>
              <w:rPr>
                <w:vertAlign w:val="baseline"/>
              </w:rPr>
            </w:pPr>
          </w:p>
        </w:tc>
        <w:tc>
          <w:tcPr>
            <w:tcW w:w="1908" w:type="dxa"/>
          </w:tcPr>
          <w:p w14:paraId="3E3FE638">
            <w:pPr>
              <w:widowControl w:val="0"/>
              <w:rPr>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vertAlign w:val="baseline"/>
              </w:rPr>
            </w:pPr>
          </w:p>
        </w:tc>
        <w:tc>
          <w:tcPr>
            <w:tcW w:w="1447" w:type="dxa"/>
            <w:vMerge w:val="continue"/>
          </w:tcPr>
          <w:p w14:paraId="321CC1BD">
            <w:pPr>
              <w:widowControl w:val="0"/>
              <w:rPr>
                <w:vertAlign w:val="baseline"/>
              </w:rPr>
            </w:pPr>
          </w:p>
        </w:tc>
        <w:tc>
          <w:tcPr>
            <w:tcW w:w="1447" w:type="dxa"/>
          </w:tcPr>
          <w:p w14:paraId="177DB5E9">
            <w:pPr>
              <w:widowControl w:val="0"/>
              <w:rPr>
                <w:vertAlign w:val="baseline"/>
              </w:rPr>
            </w:pPr>
          </w:p>
        </w:tc>
        <w:tc>
          <w:tcPr>
            <w:tcW w:w="1046" w:type="dxa"/>
          </w:tcPr>
          <w:p w14:paraId="74208401">
            <w:pPr>
              <w:widowControl w:val="0"/>
              <w:rPr>
                <w:vertAlign w:val="baseline"/>
              </w:rPr>
            </w:pPr>
          </w:p>
        </w:tc>
        <w:tc>
          <w:tcPr>
            <w:tcW w:w="1046" w:type="dxa"/>
          </w:tcPr>
          <w:p w14:paraId="1C3E1A61">
            <w:pPr>
              <w:widowControl w:val="0"/>
              <w:rPr>
                <w:vertAlign w:val="baseline"/>
              </w:rPr>
            </w:pPr>
          </w:p>
        </w:tc>
        <w:tc>
          <w:tcPr>
            <w:tcW w:w="1046" w:type="dxa"/>
          </w:tcPr>
          <w:p w14:paraId="045B7522">
            <w:pPr>
              <w:widowControl w:val="0"/>
              <w:rPr>
                <w:vertAlign w:val="baseline"/>
              </w:rPr>
            </w:pPr>
          </w:p>
        </w:tc>
        <w:tc>
          <w:tcPr>
            <w:tcW w:w="1164" w:type="dxa"/>
          </w:tcPr>
          <w:p w14:paraId="495D32C7">
            <w:pPr>
              <w:widowControl w:val="0"/>
              <w:rPr>
                <w:vertAlign w:val="baseline"/>
              </w:rPr>
            </w:pPr>
          </w:p>
        </w:tc>
        <w:tc>
          <w:tcPr>
            <w:tcW w:w="929" w:type="dxa"/>
          </w:tcPr>
          <w:p w14:paraId="2C00F716">
            <w:pPr>
              <w:widowControl w:val="0"/>
              <w:rPr>
                <w:vertAlign w:val="baseline"/>
              </w:rPr>
            </w:pPr>
          </w:p>
        </w:tc>
        <w:tc>
          <w:tcPr>
            <w:tcW w:w="929" w:type="dxa"/>
          </w:tcPr>
          <w:p w14:paraId="6707E9BC">
            <w:pPr>
              <w:widowControl w:val="0"/>
              <w:rPr>
                <w:vertAlign w:val="baseline"/>
              </w:rPr>
            </w:pPr>
          </w:p>
        </w:tc>
        <w:tc>
          <w:tcPr>
            <w:tcW w:w="1046" w:type="dxa"/>
          </w:tcPr>
          <w:p w14:paraId="3D0459B3">
            <w:pPr>
              <w:widowControl w:val="0"/>
              <w:rPr>
                <w:vertAlign w:val="baseline"/>
              </w:rPr>
            </w:pPr>
          </w:p>
        </w:tc>
        <w:tc>
          <w:tcPr>
            <w:tcW w:w="1609" w:type="dxa"/>
          </w:tcPr>
          <w:p w14:paraId="079689F5">
            <w:pPr>
              <w:widowControl w:val="0"/>
              <w:rPr>
                <w:vertAlign w:val="baseline"/>
              </w:rPr>
            </w:pPr>
          </w:p>
        </w:tc>
        <w:tc>
          <w:tcPr>
            <w:tcW w:w="1908" w:type="dxa"/>
          </w:tcPr>
          <w:p w14:paraId="60DE824B">
            <w:pPr>
              <w:widowControl w:val="0"/>
              <w:rPr>
                <w:vertAlign w:val="baseline"/>
              </w:rPr>
            </w:pPr>
          </w:p>
        </w:tc>
      </w:tr>
    </w:tbl>
    <w:p w14:paraId="5C36BDA2"/>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pPr>
      <w:r>
        <w:rPr>
          <w:rFonts w:hint="eastAsia" w:ascii="宋体" w:hAnsi="宋体" w:eastAsia="宋体" w:cs="宋体"/>
          <w:b/>
          <w:bCs/>
          <w:snapToGrid w:val="0"/>
          <w:color w:val="000000"/>
          <w:kern w:val="0"/>
          <w:sz w:val="24"/>
          <w:szCs w:val="24"/>
          <w:lang w:val="en-US" w:eastAsia="zh-CN" w:bidi="ar"/>
        </w:rPr>
        <w:t>备注: 此表为产品配套试剂报价表，如没有，无需制作</w:t>
      </w:r>
      <w:r>
        <w:rPr>
          <w:rFonts w:hint="eastAsia" w:ascii="宋体" w:hAnsi="宋体" w:cs="宋体"/>
          <w:b/>
          <w:bCs/>
          <w:snapToGrid w:val="0"/>
          <w:color w:val="000000"/>
          <w:kern w:val="0"/>
          <w:sz w:val="24"/>
          <w:szCs w:val="24"/>
          <w:lang w:val="en-US" w:eastAsia="zh-CN" w:bidi="ar"/>
        </w:rPr>
        <w:t>，可自行删除</w:t>
      </w:r>
      <w:r>
        <w:rPr>
          <w:rFonts w:hint="eastAsia" w:ascii="宋体" w:hAnsi="宋体" w:eastAsia="宋体" w:cs="宋体"/>
          <w:b/>
          <w:bCs/>
          <w:snapToGrid w:val="0"/>
          <w:color w:val="000000"/>
          <w:kern w:val="0"/>
          <w:sz w:val="24"/>
          <w:szCs w:val="24"/>
          <w:lang w:val="en-US" w:eastAsia="zh-CN" w:bidi="ar"/>
        </w:rPr>
        <w:t>。</w:t>
      </w:r>
    </w:p>
    <w:p w14:paraId="3C312762">
      <w:pPr>
        <w:pStyle w:val="24"/>
        <w:rPr>
          <w:rFonts w:hint="eastAsia" w:ascii="宋体" w:hAnsi="宋体" w:cs="宋体"/>
          <w:color w:val="000000" w:themeColor="text1"/>
          <w:kern w:val="0"/>
          <w:sz w:val="24"/>
          <w:highlight w:val="none"/>
          <w14:textFill>
            <w14:solidFill>
              <w14:schemeClr w14:val="tx1"/>
            </w14:solidFill>
          </w14:textFill>
        </w:rPr>
      </w:pPr>
    </w:p>
    <w:p w14:paraId="5E4799AD">
      <w:pPr>
        <w:pStyle w:val="24"/>
        <w:rPr>
          <w:rFonts w:hint="eastAsia" w:ascii="宋体" w:hAnsi="宋体" w:cs="宋体"/>
          <w:color w:val="000000" w:themeColor="text1"/>
          <w:kern w:val="0"/>
          <w:sz w:val="24"/>
          <w:highlight w:val="none"/>
          <w14:textFill>
            <w14:solidFill>
              <w14:schemeClr w14:val="tx1"/>
            </w14:solidFill>
          </w14:textFill>
        </w:rPr>
      </w:pPr>
    </w:p>
    <w:p w14:paraId="152C8C36">
      <w:pPr>
        <w:pStyle w:val="24"/>
        <w:rPr>
          <w:rFonts w:hint="eastAsia" w:ascii="宋体" w:hAnsi="宋体" w:cs="宋体"/>
          <w:color w:val="000000" w:themeColor="text1"/>
          <w:kern w:val="0"/>
          <w:sz w:val="24"/>
          <w:highlight w:val="none"/>
          <w14:textFill>
            <w14:solidFill>
              <w14:schemeClr w14:val="tx1"/>
            </w14:solidFill>
          </w14:textFill>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商品名（通用名）</w:t>
            </w:r>
          </w:p>
        </w:tc>
        <w:tc>
          <w:tcPr>
            <w:tcW w:w="1060" w:type="dxa"/>
            <w:vAlign w:val="center"/>
          </w:tcPr>
          <w:p w14:paraId="32F79E07">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投标产</w:t>
            </w:r>
          </w:p>
          <w:p w14:paraId="451D1B1F">
            <w:pPr>
              <w:keepNext w:val="0"/>
              <w:keepLines w:val="0"/>
              <w:widowControl/>
              <w:suppressLineNumbers w:val="0"/>
              <w:jc w:val="center"/>
              <w:rPr>
                <w:b/>
                <w:bCs/>
                <w:sz w:val="21"/>
                <w:szCs w:val="21"/>
              </w:rPr>
            </w:pPr>
            <w:r>
              <w:rPr>
                <w:rFonts w:hint="eastAsia" w:ascii="宋体" w:hAnsi="宋体" w:eastAsia="宋体" w:cs="宋体"/>
                <w:b/>
                <w:bCs/>
                <w:snapToGrid w:val="0"/>
                <w:color w:val="000000"/>
                <w:kern w:val="0"/>
                <w:sz w:val="21"/>
                <w:szCs w:val="21"/>
                <w:lang w:val="en-US" w:eastAsia="zh-CN" w:bidi="ar"/>
              </w:rPr>
              <w:t>品注册</w:t>
            </w:r>
          </w:p>
          <w:p w14:paraId="2F5AB844">
            <w:pPr>
              <w:keepNext w:val="0"/>
              <w:keepLines w:val="0"/>
              <w:widowControl/>
              <w:suppressLineNumbers w:val="0"/>
              <w:jc w:val="center"/>
              <w:rPr>
                <w:b/>
                <w:bCs/>
                <w:sz w:val="21"/>
                <w:szCs w:val="21"/>
                <w:vertAlign w:val="baseline"/>
              </w:rPr>
            </w:pPr>
            <w:r>
              <w:rPr>
                <w:rFonts w:hint="eastAsia" w:ascii="宋体" w:hAnsi="宋体" w:eastAsia="宋体" w:cs="宋体"/>
                <w:b/>
                <w:bCs/>
                <w:snapToGrid w:val="0"/>
                <w:color w:val="000000"/>
                <w:kern w:val="0"/>
                <w:sz w:val="21"/>
                <w:szCs w:val="21"/>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sz w:val="21"/>
                <w:szCs w:val="21"/>
                <w:vertAlign w:val="baseline"/>
                <w:lang w:val="en-US" w:eastAsia="zh-CN"/>
              </w:rPr>
            </w:pPr>
            <w:r>
              <w:rPr>
                <w:rFonts w:hint="eastAsia" w:ascii="Times New Roman" w:hAnsi="Times New Roman" w:eastAsia="宋体" w:cs="Times New Roman"/>
                <w:b/>
                <w:bCs/>
                <w:sz w:val="21"/>
                <w:szCs w:val="21"/>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sz w:val="21"/>
                <w:szCs w:val="21"/>
                <w:vertAlign w:val="baseline"/>
                <w:lang w:val="en-US" w:eastAsia="zh-CN"/>
              </w:rPr>
            </w:pPr>
            <w:r>
              <w:rPr>
                <w:rFonts w:hint="eastAsia" w:eastAsia="宋体"/>
                <w:b/>
                <w:bCs/>
                <w:sz w:val="21"/>
                <w:szCs w:val="21"/>
                <w:vertAlign w:val="baseline"/>
                <w:lang w:val="en-US" w:eastAsia="zh-CN"/>
              </w:rPr>
              <w:t>投标单价</w:t>
            </w:r>
          </w:p>
          <w:p w14:paraId="59672E7B">
            <w:pPr>
              <w:keepNext w:val="0"/>
              <w:keepLines w:val="0"/>
              <w:widowControl/>
              <w:suppressLineNumbers w:val="0"/>
              <w:jc w:val="center"/>
              <w:rPr>
                <w:rFonts w:hint="default" w:eastAsia="宋体"/>
                <w:b/>
                <w:bCs/>
                <w:sz w:val="21"/>
                <w:szCs w:val="21"/>
                <w:vertAlign w:val="baseline"/>
                <w:lang w:val="en-US" w:eastAsia="zh-CN"/>
              </w:rPr>
            </w:pPr>
            <w:r>
              <w:rPr>
                <w:rFonts w:hint="eastAsia" w:eastAsia="宋体"/>
                <w:b/>
                <w:bCs/>
                <w:sz w:val="21"/>
                <w:szCs w:val="21"/>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投标产品</w:t>
            </w:r>
          </w:p>
          <w:p w14:paraId="5AC485E5">
            <w:pPr>
              <w:keepNext w:val="0"/>
              <w:keepLines w:val="0"/>
              <w:widowControl/>
              <w:suppressLineNumbers w:val="0"/>
              <w:jc w:val="center"/>
              <w:rPr>
                <w:rFonts w:hint="eastAsia" w:eastAsia="宋体"/>
                <w:b/>
                <w:bCs/>
                <w:sz w:val="21"/>
                <w:szCs w:val="21"/>
                <w:vertAlign w:val="baseline"/>
                <w:lang w:val="en-US" w:eastAsia="zh-CN"/>
              </w:rPr>
            </w:pPr>
            <w:r>
              <w:rPr>
                <w:rFonts w:hint="eastAsia" w:ascii="宋体" w:hAnsi="宋体" w:eastAsia="宋体" w:cs="宋体"/>
                <w:b/>
                <w:bCs/>
                <w:snapToGrid w:val="0"/>
                <w:color w:val="000000"/>
                <w:kern w:val="0"/>
                <w:sz w:val="21"/>
                <w:szCs w:val="21"/>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000000"/>
                <w:kern w:val="0"/>
                <w:sz w:val="21"/>
                <w:szCs w:val="21"/>
                <w:lang w:val="en-US" w:eastAsia="zh-CN" w:bidi="ar"/>
              </w:rPr>
            </w:pPr>
            <w:r>
              <w:rPr>
                <w:rFonts w:hint="eastAsia" w:ascii="宋体" w:hAnsi="宋体" w:eastAsia="宋体" w:cs="宋体"/>
                <w:b/>
                <w:bCs/>
                <w:snapToGrid w:val="0"/>
                <w:color w:val="000000"/>
                <w:kern w:val="0"/>
                <w:sz w:val="21"/>
                <w:szCs w:val="21"/>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543" w:type="dxa"/>
            <w:vMerge w:val="restart"/>
          </w:tcPr>
          <w:p w14:paraId="2078D575">
            <w:pPr>
              <w:widowControl w:val="0"/>
              <w:rPr>
                <w:vertAlign w:val="baseline"/>
              </w:rPr>
            </w:pPr>
          </w:p>
        </w:tc>
        <w:tc>
          <w:tcPr>
            <w:tcW w:w="1393" w:type="dxa"/>
          </w:tcPr>
          <w:p w14:paraId="0F341263">
            <w:pPr>
              <w:widowControl w:val="0"/>
              <w:rPr>
                <w:vertAlign w:val="baseline"/>
              </w:rPr>
            </w:pPr>
          </w:p>
        </w:tc>
        <w:tc>
          <w:tcPr>
            <w:tcW w:w="1060" w:type="dxa"/>
          </w:tcPr>
          <w:p w14:paraId="5E2811FC">
            <w:pPr>
              <w:widowControl w:val="0"/>
              <w:rPr>
                <w:vertAlign w:val="baseline"/>
              </w:rPr>
            </w:pPr>
          </w:p>
        </w:tc>
        <w:tc>
          <w:tcPr>
            <w:tcW w:w="1060" w:type="dxa"/>
          </w:tcPr>
          <w:p w14:paraId="4138DDFD">
            <w:pPr>
              <w:widowControl w:val="0"/>
              <w:rPr>
                <w:vertAlign w:val="baseline"/>
              </w:rPr>
            </w:pPr>
          </w:p>
        </w:tc>
        <w:tc>
          <w:tcPr>
            <w:tcW w:w="1060" w:type="dxa"/>
          </w:tcPr>
          <w:p w14:paraId="23110391">
            <w:pPr>
              <w:widowControl w:val="0"/>
              <w:rPr>
                <w:vertAlign w:val="baseline"/>
              </w:rPr>
            </w:pPr>
          </w:p>
        </w:tc>
        <w:tc>
          <w:tcPr>
            <w:tcW w:w="1060" w:type="dxa"/>
          </w:tcPr>
          <w:p w14:paraId="403934A1">
            <w:pPr>
              <w:widowControl w:val="0"/>
              <w:rPr>
                <w:vertAlign w:val="baseline"/>
              </w:rPr>
            </w:pPr>
          </w:p>
        </w:tc>
        <w:tc>
          <w:tcPr>
            <w:tcW w:w="1060" w:type="dxa"/>
          </w:tcPr>
          <w:p w14:paraId="542CE9FA">
            <w:pPr>
              <w:widowControl w:val="0"/>
              <w:rPr>
                <w:vertAlign w:val="baseline"/>
              </w:rPr>
            </w:pPr>
          </w:p>
        </w:tc>
        <w:tc>
          <w:tcPr>
            <w:tcW w:w="1277" w:type="dxa"/>
          </w:tcPr>
          <w:p w14:paraId="1C229079">
            <w:pPr>
              <w:widowControl w:val="0"/>
              <w:rPr>
                <w:vertAlign w:val="baseline"/>
              </w:rPr>
            </w:pPr>
          </w:p>
        </w:tc>
        <w:tc>
          <w:tcPr>
            <w:tcW w:w="1486" w:type="dxa"/>
          </w:tcPr>
          <w:p w14:paraId="0535F847">
            <w:pPr>
              <w:widowControl w:val="0"/>
              <w:rPr>
                <w:vertAlign w:val="baseline"/>
              </w:rPr>
            </w:pPr>
          </w:p>
        </w:tc>
        <w:tc>
          <w:tcPr>
            <w:tcW w:w="1560" w:type="dxa"/>
          </w:tcPr>
          <w:p w14:paraId="2034F975">
            <w:pPr>
              <w:widowControl w:val="0"/>
              <w:rPr>
                <w:vertAlign w:val="baseline"/>
              </w:rPr>
            </w:pPr>
          </w:p>
        </w:tc>
        <w:tc>
          <w:tcPr>
            <w:tcW w:w="1080" w:type="dxa"/>
          </w:tcPr>
          <w:p w14:paraId="04DE4CC0">
            <w:pPr>
              <w:widowControl w:val="0"/>
              <w:rPr>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vertAlign w:val="baseline"/>
              </w:rPr>
            </w:pPr>
          </w:p>
        </w:tc>
        <w:tc>
          <w:tcPr>
            <w:tcW w:w="1543" w:type="dxa"/>
            <w:vMerge w:val="continue"/>
          </w:tcPr>
          <w:p w14:paraId="1629D171">
            <w:pPr>
              <w:widowControl w:val="0"/>
              <w:rPr>
                <w:vertAlign w:val="baseline"/>
              </w:rPr>
            </w:pPr>
          </w:p>
        </w:tc>
        <w:tc>
          <w:tcPr>
            <w:tcW w:w="1393" w:type="dxa"/>
          </w:tcPr>
          <w:p w14:paraId="6F728AC8">
            <w:pPr>
              <w:widowControl w:val="0"/>
              <w:rPr>
                <w:vertAlign w:val="baseline"/>
              </w:rPr>
            </w:pPr>
          </w:p>
        </w:tc>
        <w:tc>
          <w:tcPr>
            <w:tcW w:w="1060" w:type="dxa"/>
          </w:tcPr>
          <w:p w14:paraId="5DC1D47F">
            <w:pPr>
              <w:widowControl w:val="0"/>
              <w:rPr>
                <w:vertAlign w:val="baseline"/>
              </w:rPr>
            </w:pPr>
          </w:p>
        </w:tc>
        <w:tc>
          <w:tcPr>
            <w:tcW w:w="1060" w:type="dxa"/>
          </w:tcPr>
          <w:p w14:paraId="0736C76F">
            <w:pPr>
              <w:widowControl w:val="0"/>
              <w:rPr>
                <w:vertAlign w:val="baseline"/>
              </w:rPr>
            </w:pPr>
          </w:p>
        </w:tc>
        <w:tc>
          <w:tcPr>
            <w:tcW w:w="1060" w:type="dxa"/>
          </w:tcPr>
          <w:p w14:paraId="41FF43D8">
            <w:pPr>
              <w:widowControl w:val="0"/>
              <w:rPr>
                <w:vertAlign w:val="baseline"/>
              </w:rPr>
            </w:pPr>
          </w:p>
        </w:tc>
        <w:tc>
          <w:tcPr>
            <w:tcW w:w="1060" w:type="dxa"/>
          </w:tcPr>
          <w:p w14:paraId="739BF70B">
            <w:pPr>
              <w:widowControl w:val="0"/>
              <w:rPr>
                <w:vertAlign w:val="baseline"/>
              </w:rPr>
            </w:pPr>
          </w:p>
        </w:tc>
        <w:tc>
          <w:tcPr>
            <w:tcW w:w="1060" w:type="dxa"/>
          </w:tcPr>
          <w:p w14:paraId="21217D12">
            <w:pPr>
              <w:widowControl w:val="0"/>
              <w:rPr>
                <w:vertAlign w:val="baseline"/>
              </w:rPr>
            </w:pPr>
          </w:p>
        </w:tc>
        <w:tc>
          <w:tcPr>
            <w:tcW w:w="1277" w:type="dxa"/>
          </w:tcPr>
          <w:p w14:paraId="2D25857A">
            <w:pPr>
              <w:widowControl w:val="0"/>
              <w:rPr>
                <w:vertAlign w:val="baseline"/>
              </w:rPr>
            </w:pPr>
          </w:p>
        </w:tc>
        <w:tc>
          <w:tcPr>
            <w:tcW w:w="1486" w:type="dxa"/>
          </w:tcPr>
          <w:p w14:paraId="4976030C">
            <w:pPr>
              <w:widowControl w:val="0"/>
              <w:rPr>
                <w:vertAlign w:val="baseline"/>
              </w:rPr>
            </w:pPr>
          </w:p>
        </w:tc>
        <w:tc>
          <w:tcPr>
            <w:tcW w:w="1560" w:type="dxa"/>
          </w:tcPr>
          <w:p w14:paraId="5664F5DB">
            <w:pPr>
              <w:widowControl w:val="0"/>
              <w:rPr>
                <w:vertAlign w:val="baseline"/>
              </w:rPr>
            </w:pPr>
          </w:p>
        </w:tc>
        <w:tc>
          <w:tcPr>
            <w:tcW w:w="1080" w:type="dxa"/>
          </w:tcPr>
          <w:p w14:paraId="366DE966">
            <w:pPr>
              <w:widowControl w:val="0"/>
              <w:rPr>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543" w:type="dxa"/>
            <w:vMerge w:val="restart"/>
          </w:tcPr>
          <w:p w14:paraId="5F7F009A">
            <w:pPr>
              <w:widowControl w:val="0"/>
              <w:rPr>
                <w:vertAlign w:val="baseline"/>
              </w:rPr>
            </w:pPr>
          </w:p>
        </w:tc>
        <w:tc>
          <w:tcPr>
            <w:tcW w:w="1393" w:type="dxa"/>
          </w:tcPr>
          <w:p w14:paraId="0D8A01B7">
            <w:pPr>
              <w:widowControl w:val="0"/>
              <w:rPr>
                <w:vertAlign w:val="baseline"/>
              </w:rPr>
            </w:pPr>
          </w:p>
        </w:tc>
        <w:tc>
          <w:tcPr>
            <w:tcW w:w="1060" w:type="dxa"/>
          </w:tcPr>
          <w:p w14:paraId="5D2869C6">
            <w:pPr>
              <w:widowControl w:val="0"/>
              <w:rPr>
                <w:vertAlign w:val="baseline"/>
              </w:rPr>
            </w:pPr>
          </w:p>
        </w:tc>
        <w:tc>
          <w:tcPr>
            <w:tcW w:w="1060" w:type="dxa"/>
          </w:tcPr>
          <w:p w14:paraId="1AA351AF">
            <w:pPr>
              <w:widowControl w:val="0"/>
              <w:rPr>
                <w:vertAlign w:val="baseline"/>
              </w:rPr>
            </w:pPr>
          </w:p>
        </w:tc>
        <w:tc>
          <w:tcPr>
            <w:tcW w:w="1060" w:type="dxa"/>
          </w:tcPr>
          <w:p w14:paraId="140B3B78">
            <w:pPr>
              <w:widowControl w:val="0"/>
              <w:rPr>
                <w:vertAlign w:val="baseline"/>
              </w:rPr>
            </w:pPr>
          </w:p>
        </w:tc>
        <w:tc>
          <w:tcPr>
            <w:tcW w:w="1060" w:type="dxa"/>
          </w:tcPr>
          <w:p w14:paraId="7187B6F3">
            <w:pPr>
              <w:widowControl w:val="0"/>
              <w:rPr>
                <w:vertAlign w:val="baseline"/>
              </w:rPr>
            </w:pPr>
          </w:p>
        </w:tc>
        <w:tc>
          <w:tcPr>
            <w:tcW w:w="1060" w:type="dxa"/>
          </w:tcPr>
          <w:p w14:paraId="782C0C79">
            <w:pPr>
              <w:widowControl w:val="0"/>
              <w:rPr>
                <w:vertAlign w:val="baseline"/>
              </w:rPr>
            </w:pPr>
          </w:p>
        </w:tc>
        <w:tc>
          <w:tcPr>
            <w:tcW w:w="1277" w:type="dxa"/>
          </w:tcPr>
          <w:p w14:paraId="3BA3AD13">
            <w:pPr>
              <w:widowControl w:val="0"/>
              <w:rPr>
                <w:vertAlign w:val="baseline"/>
              </w:rPr>
            </w:pPr>
          </w:p>
        </w:tc>
        <w:tc>
          <w:tcPr>
            <w:tcW w:w="1486" w:type="dxa"/>
          </w:tcPr>
          <w:p w14:paraId="3F864AE3">
            <w:pPr>
              <w:widowControl w:val="0"/>
              <w:rPr>
                <w:vertAlign w:val="baseline"/>
              </w:rPr>
            </w:pPr>
          </w:p>
        </w:tc>
        <w:tc>
          <w:tcPr>
            <w:tcW w:w="1560" w:type="dxa"/>
          </w:tcPr>
          <w:p w14:paraId="6D48088E">
            <w:pPr>
              <w:widowControl w:val="0"/>
              <w:rPr>
                <w:vertAlign w:val="baseline"/>
              </w:rPr>
            </w:pPr>
          </w:p>
        </w:tc>
        <w:tc>
          <w:tcPr>
            <w:tcW w:w="1080" w:type="dxa"/>
          </w:tcPr>
          <w:p w14:paraId="09F3E95E">
            <w:pPr>
              <w:widowControl w:val="0"/>
              <w:rPr>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vertAlign w:val="baseline"/>
              </w:rPr>
            </w:pPr>
          </w:p>
        </w:tc>
        <w:tc>
          <w:tcPr>
            <w:tcW w:w="1543" w:type="dxa"/>
            <w:vMerge w:val="continue"/>
          </w:tcPr>
          <w:p w14:paraId="4D0CA1FD">
            <w:pPr>
              <w:widowControl w:val="0"/>
              <w:rPr>
                <w:vertAlign w:val="baseline"/>
              </w:rPr>
            </w:pPr>
          </w:p>
        </w:tc>
        <w:tc>
          <w:tcPr>
            <w:tcW w:w="1393" w:type="dxa"/>
          </w:tcPr>
          <w:p w14:paraId="23AB6B66">
            <w:pPr>
              <w:widowControl w:val="0"/>
              <w:rPr>
                <w:vertAlign w:val="baseline"/>
              </w:rPr>
            </w:pPr>
          </w:p>
        </w:tc>
        <w:tc>
          <w:tcPr>
            <w:tcW w:w="1060" w:type="dxa"/>
          </w:tcPr>
          <w:p w14:paraId="6B29D694">
            <w:pPr>
              <w:widowControl w:val="0"/>
              <w:rPr>
                <w:vertAlign w:val="baseline"/>
              </w:rPr>
            </w:pPr>
          </w:p>
        </w:tc>
        <w:tc>
          <w:tcPr>
            <w:tcW w:w="1060" w:type="dxa"/>
          </w:tcPr>
          <w:p w14:paraId="424656BF">
            <w:pPr>
              <w:widowControl w:val="0"/>
              <w:rPr>
                <w:vertAlign w:val="baseline"/>
              </w:rPr>
            </w:pPr>
          </w:p>
        </w:tc>
        <w:tc>
          <w:tcPr>
            <w:tcW w:w="1060" w:type="dxa"/>
          </w:tcPr>
          <w:p w14:paraId="747DFEFE">
            <w:pPr>
              <w:widowControl w:val="0"/>
              <w:rPr>
                <w:vertAlign w:val="baseline"/>
              </w:rPr>
            </w:pPr>
          </w:p>
        </w:tc>
        <w:tc>
          <w:tcPr>
            <w:tcW w:w="1060" w:type="dxa"/>
          </w:tcPr>
          <w:p w14:paraId="3CDE67A2">
            <w:pPr>
              <w:widowControl w:val="0"/>
              <w:rPr>
                <w:vertAlign w:val="baseline"/>
              </w:rPr>
            </w:pPr>
          </w:p>
        </w:tc>
        <w:tc>
          <w:tcPr>
            <w:tcW w:w="1060" w:type="dxa"/>
          </w:tcPr>
          <w:p w14:paraId="5D8AC925">
            <w:pPr>
              <w:widowControl w:val="0"/>
              <w:rPr>
                <w:vertAlign w:val="baseline"/>
              </w:rPr>
            </w:pPr>
          </w:p>
        </w:tc>
        <w:tc>
          <w:tcPr>
            <w:tcW w:w="1277" w:type="dxa"/>
          </w:tcPr>
          <w:p w14:paraId="3D2C7340">
            <w:pPr>
              <w:widowControl w:val="0"/>
              <w:rPr>
                <w:vertAlign w:val="baseline"/>
              </w:rPr>
            </w:pPr>
          </w:p>
        </w:tc>
        <w:tc>
          <w:tcPr>
            <w:tcW w:w="1486" w:type="dxa"/>
          </w:tcPr>
          <w:p w14:paraId="4A016A1F">
            <w:pPr>
              <w:widowControl w:val="0"/>
              <w:rPr>
                <w:vertAlign w:val="baseline"/>
              </w:rPr>
            </w:pPr>
          </w:p>
        </w:tc>
        <w:tc>
          <w:tcPr>
            <w:tcW w:w="1560" w:type="dxa"/>
          </w:tcPr>
          <w:p w14:paraId="6AA74C35">
            <w:pPr>
              <w:widowControl w:val="0"/>
              <w:rPr>
                <w:vertAlign w:val="baseline"/>
              </w:rPr>
            </w:pPr>
          </w:p>
        </w:tc>
        <w:tc>
          <w:tcPr>
            <w:tcW w:w="1080" w:type="dxa"/>
          </w:tcPr>
          <w:p w14:paraId="091E8271">
            <w:pPr>
              <w:widowControl w:val="0"/>
              <w:rPr>
                <w:vertAlign w:val="baseline"/>
              </w:rPr>
            </w:pPr>
          </w:p>
        </w:tc>
      </w:tr>
    </w:tbl>
    <w:p w14:paraId="22CB90DF"/>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000000"/>
          <w:kern w:val="0"/>
          <w:sz w:val="24"/>
          <w:szCs w:val="24"/>
          <w:lang w:val="en-US" w:eastAsia="zh-CN" w:bidi="ar"/>
        </w:rPr>
      </w:pPr>
    </w:p>
    <w:p w14:paraId="5A6344A3">
      <w:pPr>
        <w:keepNext w:val="0"/>
        <w:keepLines w:val="0"/>
        <w:widowControl/>
        <w:suppressLineNumbers w:val="0"/>
        <w:ind w:firstLine="482" w:firstLineChars="200"/>
        <w:jc w:val="left"/>
      </w:pPr>
      <w:r>
        <w:rPr>
          <w:rFonts w:hint="eastAsia" w:ascii="宋体" w:hAnsi="宋体" w:eastAsia="宋体" w:cs="宋体"/>
          <w:b/>
          <w:bCs/>
          <w:snapToGrid w:val="0"/>
          <w:color w:val="000000"/>
          <w:kern w:val="0"/>
          <w:sz w:val="24"/>
          <w:szCs w:val="24"/>
          <w:lang w:val="en-US" w:eastAsia="zh-CN" w:bidi="ar"/>
        </w:rPr>
        <w:t>备注: 此表为产品配套耗材报价表，如没有，无需制作</w:t>
      </w:r>
      <w:r>
        <w:rPr>
          <w:rFonts w:hint="eastAsia" w:ascii="宋体" w:hAnsi="宋体" w:cs="宋体"/>
          <w:b/>
          <w:bCs/>
          <w:snapToGrid w:val="0"/>
          <w:color w:val="000000"/>
          <w:kern w:val="0"/>
          <w:sz w:val="24"/>
          <w:szCs w:val="24"/>
          <w:lang w:val="en-US" w:eastAsia="zh-CN" w:bidi="ar"/>
        </w:rPr>
        <w:t>，可自行删除</w:t>
      </w:r>
      <w:r>
        <w:rPr>
          <w:rFonts w:hint="eastAsia" w:ascii="宋体" w:hAnsi="宋体" w:eastAsia="宋体" w:cs="宋体"/>
          <w:b/>
          <w:bCs/>
          <w:snapToGrid w:val="0"/>
          <w:color w:val="000000"/>
          <w:kern w:val="0"/>
          <w:sz w:val="24"/>
          <w:szCs w:val="24"/>
          <w:lang w:val="en-US" w:eastAsia="zh-CN" w:bidi="ar"/>
        </w:rPr>
        <w:t>。</w:t>
      </w:r>
    </w:p>
    <w:p w14:paraId="66DBF250">
      <w:pPr>
        <w:pStyle w:val="24"/>
        <w:rPr>
          <w:rFonts w:hint="eastAsia" w:ascii="宋体" w:hAnsi="宋体" w:cs="宋体"/>
          <w:color w:val="000000" w:themeColor="text1"/>
          <w:kern w:val="0"/>
          <w:sz w:val="24"/>
          <w:highlight w:val="none"/>
          <w14:textFill>
            <w14:solidFill>
              <w14:schemeClr w14:val="tx1"/>
            </w14:solidFill>
          </w14:textFill>
        </w:rPr>
      </w:pPr>
    </w:p>
    <w:p w14:paraId="02699B8D">
      <w:pPr>
        <w:pStyle w:val="24"/>
        <w:rPr>
          <w:rFonts w:hint="eastAsia" w:ascii="宋体" w:hAnsi="宋体" w:cs="宋体"/>
          <w:color w:val="000000" w:themeColor="text1"/>
          <w:kern w:val="0"/>
          <w:sz w:val="24"/>
          <w:highlight w:val="none"/>
          <w14:textFill>
            <w14:solidFill>
              <w14:schemeClr w14:val="tx1"/>
            </w14:solidFill>
          </w14:textFill>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sz w:val="24"/>
                <w:szCs w:val="24"/>
                <w:vertAlign w:val="baseline"/>
                <w:lang w:val="en-US" w:eastAsia="zh-CN"/>
              </w:rPr>
            </w:pPr>
            <w:r>
              <w:rPr>
                <w:rFonts w:hint="eastAsia" w:asciiTheme="majorEastAsia" w:hAnsiTheme="majorEastAsia" w:eastAsiaTheme="majorEastAsia" w:cstheme="majorEastAsia"/>
                <w:b/>
                <w:bCs/>
                <w:sz w:val="24"/>
                <w:szCs w:val="24"/>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vertAlign w:val="baseline"/>
                <w:lang w:val="en-US" w:eastAsia="zh-CN"/>
              </w:rPr>
            </w:pPr>
          </w:p>
        </w:tc>
        <w:tc>
          <w:tcPr>
            <w:tcW w:w="1676" w:type="dxa"/>
            <w:vAlign w:val="center"/>
          </w:tcPr>
          <w:p w14:paraId="2B2FB324">
            <w:pPr>
              <w:widowControl w:val="0"/>
              <w:jc w:val="center"/>
              <w:rPr>
                <w:rFonts w:hint="default"/>
                <w:vertAlign w:val="baseline"/>
                <w:lang w:val="en-US" w:eastAsia="zh-CN"/>
              </w:rPr>
            </w:pPr>
          </w:p>
        </w:tc>
        <w:tc>
          <w:tcPr>
            <w:tcW w:w="1238" w:type="dxa"/>
            <w:vAlign w:val="center"/>
          </w:tcPr>
          <w:p w14:paraId="3FFED3C5">
            <w:pPr>
              <w:widowControl w:val="0"/>
              <w:jc w:val="center"/>
              <w:rPr>
                <w:rFonts w:hint="default"/>
                <w:vertAlign w:val="baseline"/>
                <w:lang w:val="en-US" w:eastAsia="zh-CN"/>
              </w:rPr>
            </w:pPr>
          </w:p>
        </w:tc>
        <w:tc>
          <w:tcPr>
            <w:tcW w:w="1238" w:type="dxa"/>
            <w:vAlign w:val="center"/>
          </w:tcPr>
          <w:p w14:paraId="1FC676C2">
            <w:pPr>
              <w:widowControl w:val="0"/>
              <w:jc w:val="center"/>
              <w:rPr>
                <w:rFonts w:hint="default"/>
                <w:vertAlign w:val="baseline"/>
                <w:lang w:val="en-US" w:eastAsia="zh-CN"/>
              </w:rPr>
            </w:pPr>
          </w:p>
        </w:tc>
        <w:tc>
          <w:tcPr>
            <w:tcW w:w="1238" w:type="dxa"/>
            <w:vAlign w:val="center"/>
          </w:tcPr>
          <w:p w14:paraId="25AACED3">
            <w:pPr>
              <w:widowControl w:val="0"/>
              <w:jc w:val="center"/>
              <w:rPr>
                <w:rFonts w:hint="default"/>
                <w:vertAlign w:val="baseline"/>
                <w:lang w:val="en-US" w:eastAsia="zh-CN"/>
              </w:rPr>
            </w:pPr>
          </w:p>
        </w:tc>
        <w:tc>
          <w:tcPr>
            <w:tcW w:w="1023" w:type="dxa"/>
            <w:vAlign w:val="center"/>
          </w:tcPr>
          <w:p w14:paraId="749D014C">
            <w:pPr>
              <w:widowControl w:val="0"/>
              <w:jc w:val="center"/>
              <w:rPr>
                <w:rFonts w:hint="default"/>
                <w:vertAlign w:val="baseline"/>
                <w:lang w:val="en-US" w:eastAsia="zh-CN"/>
              </w:rPr>
            </w:pPr>
          </w:p>
        </w:tc>
        <w:tc>
          <w:tcPr>
            <w:tcW w:w="1800" w:type="dxa"/>
            <w:vAlign w:val="center"/>
          </w:tcPr>
          <w:p w14:paraId="05134611">
            <w:pPr>
              <w:widowControl w:val="0"/>
              <w:jc w:val="center"/>
              <w:rPr>
                <w:rFonts w:hint="default"/>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vertAlign w:val="baseline"/>
                <w:lang w:val="en-US" w:eastAsia="zh-CN"/>
              </w:rPr>
            </w:pPr>
          </w:p>
        </w:tc>
        <w:tc>
          <w:tcPr>
            <w:tcW w:w="1676" w:type="dxa"/>
            <w:vAlign w:val="center"/>
          </w:tcPr>
          <w:p w14:paraId="31FB795C">
            <w:pPr>
              <w:widowControl w:val="0"/>
              <w:jc w:val="center"/>
              <w:rPr>
                <w:rFonts w:hint="default"/>
                <w:vertAlign w:val="baseline"/>
                <w:lang w:val="en-US" w:eastAsia="zh-CN"/>
              </w:rPr>
            </w:pPr>
          </w:p>
        </w:tc>
        <w:tc>
          <w:tcPr>
            <w:tcW w:w="1238" w:type="dxa"/>
            <w:vAlign w:val="center"/>
          </w:tcPr>
          <w:p w14:paraId="3DDF1F3E">
            <w:pPr>
              <w:widowControl w:val="0"/>
              <w:jc w:val="center"/>
              <w:rPr>
                <w:rFonts w:hint="default"/>
                <w:vertAlign w:val="baseline"/>
                <w:lang w:val="en-US" w:eastAsia="zh-CN"/>
              </w:rPr>
            </w:pPr>
          </w:p>
        </w:tc>
        <w:tc>
          <w:tcPr>
            <w:tcW w:w="1238" w:type="dxa"/>
            <w:vAlign w:val="center"/>
          </w:tcPr>
          <w:p w14:paraId="1AE826AF">
            <w:pPr>
              <w:widowControl w:val="0"/>
              <w:jc w:val="center"/>
              <w:rPr>
                <w:rFonts w:hint="default"/>
                <w:vertAlign w:val="baseline"/>
                <w:lang w:val="en-US" w:eastAsia="zh-CN"/>
              </w:rPr>
            </w:pPr>
          </w:p>
        </w:tc>
        <w:tc>
          <w:tcPr>
            <w:tcW w:w="1238" w:type="dxa"/>
            <w:vAlign w:val="center"/>
          </w:tcPr>
          <w:p w14:paraId="439C5F96">
            <w:pPr>
              <w:widowControl w:val="0"/>
              <w:jc w:val="center"/>
              <w:rPr>
                <w:rFonts w:hint="default"/>
                <w:vertAlign w:val="baseline"/>
                <w:lang w:val="en-US" w:eastAsia="zh-CN"/>
              </w:rPr>
            </w:pPr>
          </w:p>
        </w:tc>
        <w:tc>
          <w:tcPr>
            <w:tcW w:w="1023" w:type="dxa"/>
            <w:vAlign w:val="center"/>
          </w:tcPr>
          <w:p w14:paraId="674CDC80">
            <w:pPr>
              <w:widowControl w:val="0"/>
              <w:jc w:val="center"/>
              <w:rPr>
                <w:rFonts w:hint="default"/>
                <w:vertAlign w:val="baseline"/>
                <w:lang w:val="en-US" w:eastAsia="zh-CN"/>
              </w:rPr>
            </w:pPr>
          </w:p>
        </w:tc>
        <w:tc>
          <w:tcPr>
            <w:tcW w:w="1800" w:type="dxa"/>
            <w:vAlign w:val="center"/>
          </w:tcPr>
          <w:p w14:paraId="1CB5057F">
            <w:pPr>
              <w:widowControl w:val="0"/>
              <w:jc w:val="center"/>
              <w:rPr>
                <w:rFonts w:hint="default"/>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vertAlign w:val="baseline"/>
                <w:lang w:val="en-US" w:eastAsia="zh-CN"/>
              </w:rPr>
            </w:pPr>
          </w:p>
        </w:tc>
        <w:tc>
          <w:tcPr>
            <w:tcW w:w="1676" w:type="dxa"/>
            <w:vAlign w:val="center"/>
          </w:tcPr>
          <w:p w14:paraId="4953F941">
            <w:pPr>
              <w:widowControl w:val="0"/>
              <w:jc w:val="center"/>
              <w:rPr>
                <w:rFonts w:hint="default"/>
                <w:vertAlign w:val="baseline"/>
                <w:lang w:val="en-US" w:eastAsia="zh-CN"/>
              </w:rPr>
            </w:pPr>
          </w:p>
        </w:tc>
        <w:tc>
          <w:tcPr>
            <w:tcW w:w="1238" w:type="dxa"/>
            <w:vAlign w:val="center"/>
          </w:tcPr>
          <w:p w14:paraId="60D4163C">
            <w:pPr>
              <w:widowControl w:val="0"/>
              <w:jc w:val="center"/>
              <w:rPr>
                <w:rFonts w:hint="default"/>
                <w:vertAlign w:val="baseline"/>
                <w:lang w:val="en-US" w:eastAsia="zh-CN"/>
              </w:rPr>
            </w:pPr>
          </w:p>
        </w:tc>
        <w:tc>
          <w:tcPr>
            <w:tcW w:w="1238" w:type="dxa"/>
            <w:vAlign w:val="center"/>
          </w:tcPr>
          <w:p w14:paraId="7F5D0506">
            <w:pPr>
              <w:widowControl w:val="0"/>
              <w:jc w:val="center"/>
              <w:rPr>
                <w:rFonts w:hint="default"/>
                <w:vertAlign w:val="baseline"/>
                <w:lang w:val="en-US" w:eastAsia="zh-CN"/>
              </w:rPr>
            </w:pPr>
          </w:p>
        </w:tc>
        <w:tc>
          <w:tcPr>
            <w:tcW w:w="1238" w:type="dxa"/>
            <w:vAlign w:val="center"/>
          </w:tcPr>
          <w:p w14:paraId="72E86AD5">
            <w:pPr>
              <w:widowControl w:val="0"/>
              <w:jc w:val="center"/>
              <w:rPr>
                <w:rFonts w:hint="default"/>
                <w:vertAlign w:val="baseline"/>
                <w:lang w:val="en-US" w:eastAsia="zh-CN"/>
              </w:rPr>
            </w:pPr>
          </w:p>
        </w:tc>
        <w:tc>
          <w:tcPr>
            <w:tcW w:w="1023" w:type="dxa"/>
            <w:vAlign w:val="center"/>
          </w:tcPr>
          <w:p w14:paraId="7134BF0D">
            <w:pPr>
              <w:widowControl w:val="0"/>
              <w:jc w:val="center"/>
              <w:rPr>
                <w:rFonts w:hint="default"/>
                <w:vertAlign w:val="baseline"/>
                <w:lang w:val="en-US" w:eastAsia="zh-CN"/>
              </w:rPr>
            </w:pPr>
          </w:p>
        </w:tc>
        <w:tc>
          <w:tcPr>
            <w:tcW w:w="1800" w:type="dxa"/>
            <w:vAlign w:val="center"/>
          </w:tcPr>
          <w:p w14:paraId="0EB3CD05">
            <w:pPr>
              <w:widowControl w:val="0"/>
              <w:jc w:val="center"/>
              <w:rPr>
                <w:rFonts w:hint="default"/>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vertAlign w:val="baseline"/>
                <w:lang w:val="en-US" w:eastAsia="zh-CN"/>
              </w:rPr>
            </w:pPr>
          </w:p>
        </w:tc>
        <w:tc>
          <w:tcPr>
            <w:tcW w:w="1676" w:type="dxa"/>
            <w:vAlign w:val="center"/>
          </w:tcPr>
          <w:p w14:paraId="3A245A35">
            <w:pPr>
              <w:widowControl w:val="0"/>
              <w:jc w:val="center"/>
              <w:rPr>
                <w:rFonts w:hint="default"/>
                <w:vertAlign w:val="baseline"/>
                <w:lang w:val="en-US" w:eastAsia="zh-CN"/>
              </w:rPr>
            </w:pPr>
          </w:p>
        </w:tc>
        <w:tc>
          <w:tcPr>
            <w:tcW w:w="1238" w:type="dxa"/>
            <w:vAlign w:val="center"/>
          </w:tcPr>
          <w:p w14:paraId="6D057E85">
            <w:pPr>
              <w:widowControl w:val="0"/>
              <w:jc w:val="center"/>
              <w:rPr>
                <w:rFonts w:hint="default"/>
                <w:vertAlign w:val="baseline"/>
                <w:lang w:val="en-US" w:eastAsia="zh-CN"/>
              </w:rPr>
            </w:pPr>
          </w:p>
        </w:tc>
        <w:tc>
          <w:tcPr>
            <w:tcW w:w="1238" w:type="dxa"/>
            <w:vAlign w:val="center"/>
          </w:tcPr>
          <w:p w14:paraId="515422B7">
            <w:pPr>
              <w:widowControl w:val="0"/>
              <w:jc w:val="center"/>
              <w:rPr>
                <w:rFonts w:hint="default"/>
                <w:vertAlign w:val="baseline"/>
                <w:lang w:val="en-US" w:eastAsia="zh-CN"/>
              </w:rPr>
            </w:pPr>
          </w:p>
        </w:tc>
        <w:tc>
          <w:tcPr>
            <w:tcW w:w="1238" w:type="dxa"/>
            <w:vAlign w:val="center"/>
          </w:tcPr>
          <w:p w14:paraId="161FB83F">
            <w:pPr>
              <w:widowControl w:val="0"/>
              <w:jc w:val="center"/>
              <w:rPr>
                <w:rFonts w:hint="default"/>
                <w:vertAlign w:val="baseline"/>
                <w:lang w:val="en-US" w:eastAsia="zh-CN"/>
              </w:rPr>
            </w:pPr>
          </w:p>
        </w:tc>
        <w:tc>
          <w:tcPr>
            <w:tcW w:w="1023" w:type="dxa"/>
            <w:vAlign w:val="center"/>
          </w:tcPr>
          <w:p w14:paraId="77DF5323">
            <w:pPr>
              <w:widowControl w:val="0"/>
              <w:jc w:val="center"/>
              <w:rPr>
                <w:rFonts w:hint="default"/>
                <w:vertAlign w:val="baseline"/>
                <w:lang w:val="en-US" w:eastAsia="zh-CN"/>
              </w:rPr>
            </w:pPr>
          </w:p>
        </w:tc>
        <w:tc>
          <w:tcPr>
            <w:tcW w:w="1800" w:type="dxa"/>
            <w:vAlign w:val="center"/>
          </w:tcPr>
          <w:p w14:paraId="1D8AAC89">
            <w:pPr>
              <w:widowControl w:val="0"/>
              <w:jc w:val="center"/>
              <w:rPr>
                <w:rFonts w:hint="default"/>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vertAlign w:val="baseline"/>
                <w:lang w:val="en-US" w:eastAsia="zh-CN"/>
              </w:rPr>
            </w:pPr>
          </w:p>
        </w:tc>
        <w:tc>
          <w:tcPr>
            <w:tcW w:w="1676" w:type="dxa"/>
            <w:vAlign w:val="center"/>
          </w:tcPr>
          <w:p w14:paraId="6E777249">
            <w:pPr>
              <w:widowControl w:val="0"/>
              <w:jc w:val="center"/>
              <w:rPr>
                <w:rFonts w:hint="default"/>
                <w:vertAlign w:val="baseline"/>
                <w:lang w:val="en-US" w:eastAsia="zh-CN"/>
              </w:rPr>
            </w:pPr>
          </w:p>
        </w:tc>
        <w:tc>
          <w:tcPr>
            <w:tcW w:w="1238" w:type="dxa"/>
            <w:vAlign w:val="center"/>
          </w:tcPr>
          <w:p w14:paraId="4DE2A82B">
            <w:pPr>
              <w:widowControl w:val="0"/>
              <w:jc w:val="center"/>
              <w:rPr>
                <w:rFonts w:hint="default"/>
                <w:vertAlign w:val="baseline"/>
                <w:lang w:val="en-US" w:eastAsia="zh-CN"/>
              </w:rPr>
            </w:pPr>
          </w:p>
        </w:tc>
        <w:tc>
          <w:tcPr>
            <w:tcW w:w="1238" w:type="dxa"/>
            <w:vAlign w:val="center"/>
          </w:tcPr>
          <w:p w14:paraId="7C5B0392">
            <w:pPr>
              <w:widowControl w:val="0"/>
              <w:jc w:val="center"/>
              <w:rPr>
                <w:rFonts w:hint="default"/>
                <w:vertAlign w:val="baseline"/>
                <w:lang w:val="en-US" w:eastAsia="zh-CN"/>
              </w:rPr>
            </w:pPr>
          </w:p>
        </w:tc>
        <w:tc>
          <w:tcPr>
            <w:tcW w:w="1238" w:type="dxa"/>
            <w:vAlign w:val="center"/>
          </w:tcPr>
          <w:p w14:paraId="17137530">
            <w:pPr>
              <w:widowControl w:val="0"/>
              <w:jc w:val="center"/>
              <w:rPr>
                <w:rFonts w:hint="default"/>
                <w:vertAlign w:val="baseline"/>
                <w:lang w:val="en-US" w:eastAsia="zh-CN"/>
              </w:rPr>
            </w:pPr>
          </w:p>
        </w:tc>
        <w:tc>
          <w:tcPr>
            <w:tcW w:w="1023" w:type="dxa"/>
            <w:vAlign w:val="center"/>
          </w:tcPr>
          <w:p w14:paraId="1138018C">
            <w:pPr>
              <w:widowControl w:val="0"/>
              <w:jc w:val="center"/>
              <w:rPr>
                <w:rFonts w:hint="default"/>
                <w:vertAlign w:val="baseline"/>
                <w:lang w:val="en-US" w:eastAsia="zh-CN"/>
              </w:rPr>
            </w:pPr>
          </w:p>
        </w:tc>
        <w:tc>
          <w:tcPr>
            <w:tcW w:w="1800" w:type="dxa"/>
            <w:vAlign w:val="center"/>
          </w:tcPr>
          <w:p w14:paraId="4CA32857">
            <w:pPr>
              <w:widowControl w:val="0"/>
              <w:jc w:val="center"/>
              <w:rPr>
                <w:rFonts w:hint="default"/>
                <w:vertAlign w:val="baseline"/>
                <w:lang w:val="en-US" w:eastAsia="zh-CN"/>
              </w:rPr>
            </w:pPr>
          </w:p>
        </w:tc>
      </w:tr>
    </w:tbl>
    <w:p w14:paraId="4690C867">
      <w:pPr>
        <w:rPr>
          <w:rFonts w:hint="default"/>
          <w:lang w:val="en-US" w:eastAsia="zh-CN"/>
        </w:rPr>
      </w:pPr>
    </w:p>
    <w:p w14:paraId="3F22E3BC">
      <w:pPr>
        <w:keepNext w:val="0"/>
        <w:keepLines w:val="0"/>
        <w:widowControl/>
        <w:suppressLineNumbers w:val="0"/>
        <w:jc w:val="left"/>
        <w:rPr>
          <w:rFonts w:hint="default"/>
          <w:lang w:val="en-US" w:eastAsia="zh-CN"/>
        </w:rPr>
      </w:pPr>
      <w:r>
        <w:rPr>
          <w:rFonts w:hint="eastAsia" w:ascii="宋体" w:hAnsi="宋体" w:eastAsia="宋体" w:cs="宋体"/>
          <w:b/>
          <w:bCs/>
          <w:snapToGrid w:val="0"/>
          <w:color w:val="000000"/>
          <w:kern w:val="0"/>
          <w:sz w:val="24"/>
          <w:szCs w:val="24"/>
          <w:lang w:val="en-US" w:eastAsia="zh-CN" w:bidi="ar"/>
        </w:rPr>
        <w:t>备注：</w:t>
      </w:r>
    </w:p>
    <w:p w14:paraId="57F16B7F">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1、若投标产品配置清单中含第三方产品，请填写第三方品牌、型号、产地，以铭 </w:t>
      </w:r>
    </w:p>
    <w:p w14:paraId="671DBB59">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牌为准； </w:t>
      </w:r>
    </w:p>
    <w:p w14:paraId="71CBFEA7">
      <w:pPr>
        <w:keepNext w:val="0"/>
        <w:keepLines w:val="0"/>
        <w:widowControl/>
        <w:suppressLineNumbers w:val="0"/>
        <w:jc w:val="left"/>
      </w:pPr>
      <w:r>
        <w:rPr>
          <w:rFonts w:hint="eastAsia" w:ascii="宋体" w:hAnsi="宋体" w:eastAsia="宋体" w:cs="宋体"/>
          <w:b/>
          <w:bCs/>
          <w:snapToGrid w:val="0"/>
          <w:color w:val="000000"/>
          <w:kern w:val="0"/>
          <w:sz w:val="24"/>
          <w:szCs w:val="24"/>
          <w:lang w:val="en-US" w:eastAsia="zh-CN" w:bidi="ar"/>
        </w:rPr>
        <w:t xml:space="preserve">2、所投产品若有注册证，投标开标一览表中规格或型号、产地等信息若与注册证不一致，以投标产品注册证信息为准。 </w:t>
      </w:r>
    </w:p>
    <w:p w14:paraId="708C5B50">
      <w:pPr>
        <w:bidi w:val="0"/>
        <w:rPr>
          <w:rFonts w:hint="default"/>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2480310">
      <w:pPr>
        <w:bidi w:val="0"/>
        <w:rPr>
          <w:rFonts w:hint="eastAsia"/>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lang w:val="en-US" w:eastAsia="zh-CN"/>
        </w:rPr>
      </w:pPr>
    </w:p>
    <w:p w14:paraId="591F39DF">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0C409640">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1C9EAA97">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21B00144">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2A74BFB0">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3EF3AB43">
      <w:pPr>
        <w:pStyle w:val="24"/>
        <w:rPr>
          <w:rFonts w:hint="eastAsia" w:ascii="宋体" w:hAnsi="宋体" w:cs="宋体"/>
          <w:color w:val="000000" w:themeColor="text1"/>
          <w:kern w:val="0"/>
          <w:sz w:val="24"/>
          <w:highlight w:val="none"/>
          <w:lang w:val="en-US" w:eastAsia="zh-CN"/>
          <w14:textFill>
            <w14:solidFill>
              <w14:schemeClr w14:val="tx1"/>
            </w14:solidFill>
          </w14:textFill>
        </w:rPr>
      </w:pPr>
    </w:p>
    <w:p w14:paraId="4AAC2649">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C2F6EB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1FCD9D6">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E63C69E">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4084F2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000000" w:themeColor="text1"/>
          <w:kern w:val="0"/>
          <w:sz w:val="24"/>
          <w:highlight w:val="none"/>
          <w:lang w:val="en-US" w:eastAsia="zh-CN"/>
          <w14:textFill>
            <w14:solidFill>
              <w14:schemeClr w14:val="tx1"/>
            </w14:solidFill>
          </w14:textFill>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u w:val="singl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法人代表或委托代理人（签字或盖章）： </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52"/>
          <w:szCs w:val="52"/>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w:t>
      </w:r>
      <w:r>
        <w:rPr>
          <w:rFonts w:hint="eastAsia" w:ascii="宋体" w:hAnsi="宋体" w:eastAsia="宋体" w:cs="宋体"/>
          <w:color w:val="000000" w:themeColor="text1"/>
          <w:kern w:val="0"/>
          <w:sz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日期：   </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bCs/>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14:textFill>
            <w14:solidFill>
              <w14:schemeClr w14:val="tx1"/>
            </w14:solidFill>
          </w14:textFill>
        </w:rPr>
        <w:t>年    月    日</w:t>
      </w:r>
    </w:p>
    <w:p w14:paraId="64E1A15E">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C27DB8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3E68354">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647EFB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A5A959A">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50115A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A35950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0B7289D">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1B505EE5">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4CA18EF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E07BAF">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38E426CC">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03EB9A28">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2424AE27">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6DE512C9">
      <w:pPr>
        <w:pStyle w:val="24"/>
        <w:rPr>
          <w:rFonts w:hint="default" w:ascii="宋体" w:hAnsi="宋体" w:cs="宋体"/>
          <w:color w:val="000000" w:themeColor="text1"/>
          <w:kern w:val="0"/>
          <w:sz w:val="24"/>
          <w:highlight w:val="none"/>
          <w:lang w:val="en-US" w:eastAsia="zh-CN"/>
          <w14:textFill>
            <w14:solidFill>
              <w14:schemeClr w14:val="tx1"/>
            </w14:solidFill>
          </w14:textFill>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9960"/>
      <w:bookmarkStart w:id="84" w:name="_Toc24168"/>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5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540"/>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widowControl/>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lang w:val="en-US" w:eastAsia="zh-CN"/>
                <w14:textFill>
                  <w14:solidFill>
                    <w14:schemeClr w14:val="tx1"/>
                  </w14:solidFill>
                </w14:textFill>
              </w:rPr>
              <w:t>响应情况</w:t>
            </w:r>
          </w:p>
        </w:tc>
        <w:tc>
          <w:tcPr>
            <w:tcW w:w="1540" w:type="dxa"/>
            <w:noWrap w:val="0"/>
            <w:vAlign w:val="center"/>
          </w:tcPr>
          <w:p w14:paraId="76FA13D4">
            <w:pPr>
              <w:widowControl/>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2"/>
                <w:szCs w:val="22"/>
                <w:highlight w:val="none"/>
              </w:rPr>
              <w:t>投标人的承诺或说</w:t>
            </w:r>
            <w:bookmarkStart w:id="101" w:name="_GoBack"/>
            <w:bookmarkEnd w:id="101"/>
            <w:r>
              <w:rPr>
                <w:rFonts w:hint="eastAsia" w:ascii="宋体" w:hAnsi="宋体" w:eastAsia="宋体" w:cs="宋体"/>
                <w:kern w:val="0"/>
                <w:sz w:val="22"/>
                <w:szCs w:val="22"/>
                <w:highlight w:val="none"/>
              </w:rPr>
              <w:t>明</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40"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40"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40"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40"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40"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40"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60C8A4DE">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30519"/>
      <w:bookmarkStart w:id="89" w:name="_Toc13976"/>
      <w:bookmarkStart w:id="90" w:name="_Toc1293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3342"/>
      <w:bookmarkStart w:id="93" w:name="_Toc18105"/>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产品技术参数</w:t>
      </w:r>
      <w:r>
        <w:rPr>
          <w:rFonts w:hint="eastAsia" w:cs="宋体"/>
          <w:bCs/>
          <w:color w:val="auto"/>
          <w:sz w:val="21"/>
          <w:szCs w:val="21"/>
          <w:highlight w:val="none"/>
          <w:lang w:val="en-US" w:eastAsia="zh-CN"/>
        </w:rPr>
        <w:t>证明</w:t>
      </w:r>
      <w:r>
        <w:rPr>
          <w:rFonts w:hint="eastAsia" w:ascii="宋体" w:hAnsi="宋体" w:eastAsia="宋体" w:cs="宋体"/>
          <w:bCs/>
          <w:color w:val="auto"/>
          <w:sz w:val="21"/>
          <w:szCs w:val="21"/>
          <w:highlight w:val="none"/>
          <w:lang w:val="en-US" w:eastAsia="zh-CN"/>
        </w:rPr>
        <w:t>资料</w:t>
      </w:r>
    </w:p>
    <w:p w14:paraId="00828F39">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2888"/>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13"/>
        <w:rPr>
          <w:rFonts w:hint="eastAsia" w:ascii="宋体" w:hAnsi="宋体" w:eastAsia="宋体" w:cs="宋体"/>
          <w:color w:val="auto"/>
          <w:highlight w:val="none"/>
        </w:r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5094"/>
      <w:bookmarkStart w:id="100"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驻马店市中心医院双靶点经颅刺激仪治疗仪采购项目采购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AB26125A"/>
    <w:multiLevelType w:val="singleLevel"/>
    <w:tmpl w:val="AB26125A"/>
    <w:lvl w:ilvl="0" w:tentative="0">
      <w:start w:val="1"/>
      <w:numFmt w:val="decimal"/>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3F28CB"/>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B83603"/>
    <w:rsid w:val="0FC91CB4"/>
    <w:rsid w:val="0FCA42ED"/>
    <w:rsid w:val="0FDB5F4F"/>
    <w:rsid w:val="0FE7592C"/>
    <w:rsid w:val="0FFC17A5"/>
    <w:rsid w:val="0FFD20F0"/>
    <w:rsid w:val="10142F30"/>
    <w:rsid w:val="103435D2"/>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3F6DDD"/>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EC266B"/>
    <w:rsid w:val="1BF14125"/>
    <w:rsid w:val="1C002CEE"/>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532FD5"/>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D81BE6"/>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564F7"/>
    <w:rsid w:val="37B90F0B"/>
    <w:rsid w:val="37CD3F98"/>
    <w:rsid w:val="37DF75BA"/>
    <w:rsid w:val="37E148E2"/>
    <w:rsid w:val="37F848EE"/>
    <w:rsid w:val="37F912FC"/>
    <w:rsid w:val="38045550"/>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847F2"/>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B3AFC"/>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8D1F9F"/>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654692"/>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1E86"/>
    <w:rsid w:val="53EC4BF7"/>
    <w:rsid w:val="53F671DE"/>
    <w:rsid w:val="53F758A1"/>
    <w:rsid w:val="540D5A7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32226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0E2ACB"/>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8A5EE4"/>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270AE8"/>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5708B"/>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16507</Words>
  <Characters>17393</Characters>
  <Lines>50</Lines>
  <Paragraphs>68</Paragraphs>
  <TotalTime>0</TotalTime>
  <ScaleCrop>false</ScaleCrop>
  <LinksUpToDate>false</LinksUpToDate>
  <CharactersWithSpaces>17946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2025-07-16T09:47:58Z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