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26DAB0AE">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驻马店市中心医院放射介入诊疗设备</w:t>
      </w:r>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采购项目</w:t>
      </w:r>
      <w:r>
        <w:rPr>
          <w:rFonts w:hint="eastAsia" w:cs="宋体"/>
          <w:b/>
          <w:bCs/>
          <w:color w:val="auto"/>
          <w:sz w:val="44"/>
          <w:szCs w:val="44"/>
          <w:highlight w:val="none"/>
          <w:lang w:val="en-US" w:eastAsia="zh-CN"/>
        </w:rPr>
        <w:t>（二次）</w:t>
      </w:r>
    </w:p>
    <w:p w14:paraId="0610F71D">
      <w:pPr>
        <w:pStyle w:val="21"/>
        <w:bidi w:val="0"/>
        <w:jc w:val="center"/>
        <w:rPr>
          <w:rStyle w:val="46"/>
          <w:rFonts w:hint="eastAsia" w:ascii="宋体" w:hAnsi="宋体" w:eastAsia="宋体" w:cs="宋体"/>
          <w:b/>
          <w:bCs/>
          <w:color w:val="auto"/>
          <w:sz w:val="48"/>
          <w:szCs w:val="48"/>
          <w:highlight w:val="none"/>
        </w:rPr>
      </w:pPr>
    </w:p>
    <w:p w14:paraId="158E927F">
      <w:pPr>
        <w:pStyle w:val="21"/>
        <w:bidi w:val="0"/>
        <w:jc w:val="center"/>
        <w:rPr>
          <w:rStyle w:val="46"/>
          <w:rFonts w:hint="eastAsia" w:ascii="宋体" w:hAnsi="宋体" w:eastAsia="宋体" w:cs="宋体"/>
          <w:b/>
          <w:bCs/>
          <w:color w:val="auto"/>
          <w:sz w:val="48"/>
          <w:szCs w:val="48"/>
          <w:highlight w:val="none"/>
        </w:rPr>
      </w:pPr>
    </w:p>
    <w:p w14:paraId="5ABC8E99">
      <w:pPr>
        <w:pStyle w:val="21"/>
        <w:bidi w:val="0"/>
        <w:jc w:val="center"/>
        <w:rPr>
          <w:rStyle w:val="46"/>
          <w:rFonts w:hint="eastAsia" w:ascii="宋体" w:hAnsi="宋体" w:eastAsia="宋体" w:cs="宋体"/>
          <w:b/>
          <w:bCs/>
          <w:color w:val="auto"/>
          <w:sz w:val="48"/>
          <w:szCs w:val="48"/>
          <w:highlight w:val="none"/>
        </w:rPr>
      </w:pPr>
    </w:p>
    <w:p w14:paraId="20826E73">
      <w:pPr>
        <w:pStyle w:val="21"/>
        <w:bidi w:val="0"/>
        <w:jc w:val="center"/>
        <w:rPr>
          <w:rStyle w:val="46"/>
          <w:rFonts w:hint="eastAsia" w:ascii="宋体" w:hAnsi="宋体" w:eastAsia="宋体" w:cs="宋体"/>
          <w:b/>
          <w:bCs/>
          <w:color w:val="auto"/>
          <w:sz w:val="48"/>
          <w:szCs w:val="48"/>
          <w:highlight w:val="none"/>
        </w:rPr>
      </w:pPr>
    </w:p>
    <w:p w14:paraId="12179BBF">
      <w:pPr>
        <w:pStyle w:val="21"/>
        <w:bidi w:val="0"/>
        <w:jc w:val="center"/>
        <w:rPr>
          <w:rStyle w:val="46"/>
          <w:rFonts w:hint="eastAsia" w:ascii="宋体" w:hAnsi="宋体" w:eastAsia="宋体" w:cs="宋体"/>
          <w:b/>
          <w:bCs/>
          <w:color w:val="auto"/>
          <w:szCs w:val="44"/>
          <w:highlight w:val="none"/>
        </w:rPr>
      </w:pPr>
      <w:r>
        <w:rPr>
          <w:rStyle w:val="46"/>
          <w:rFonts w:hint="eastAsia" w:ascii="宋体" w:hAnsi="宋体" w:eastAsia="宋体" w:cs="宋体"/>
          <w:b/>
          <w:bCs/>
          <w:color w:val="auto"/>
          <w:sz w:val="72"/>
          <w:szCs w:val="72"/>
          <w:highlight w:val="none"/>
          <w:lang w:val="en-US" w:eastAsia="zh-CN"/>
        </w:rPr>
        <w:t>采购</w:t>
      </w:r>
      <w:r>
        <w:rPr>
          <w:rStyle w:val="46"/>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7</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_Toc26528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_Toc26528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8C5A8E5">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_Toc19124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_Toc19124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B55758C">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_Toc8501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_Toc8501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1D52CE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_Toc31399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_Toc31399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C59EEF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_Toc11904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_Toc11904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99D6560">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_Toc18702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驻马店市中心医院放射介入诊疗设备采购项目（二次）</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eastAsia="zh-CN"/>
        </w:rPr>
        <w:t>驻马店市中心医院放射介入诊疗设备采购项目（二次）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驻马店市中心医院放射介入诊疗设备采购项目（二次）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详见采购需求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35万元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 xml:space="preserve">：合同签订后30日内交货，最终以合同约定内容为准。  </w:t>
      </w:r>
    </w:p>
    <w:p w14:paraId="3A1F96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16639"/>
      <w:bookmarkStart w:id="6" w:name="_Toc27704"/>
      <w:bookmarkStart w:id="7" w:name="_Toc1860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30971"/>
      <w:bookmarkStart w:id="9" w:name="_Toc23395"/>
      <w:bookmarkStart w:id="10" w:name="_Toc7823"/>
      <w:bookmarkStart w:id="11" w:name="_Toc30643"/>
      <w:bookmarkStart w:id="12" w:name="_Toc9562"/>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758453B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w:t>
      </w:r>
    </w:p>
    <w:p w14:paraId="5848FDB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、单位负责人为同一人或者存在直接控股、管理关系的不同供应商，不得参加同一合同项下的磋商（提供书面声明函）。一经发现，将导致投标同时被拒绝。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bookmarkEnd w:id="8"/>
    <w:bookmarkEnd w:id="9"/>
    <w:bookmarkEnd w:id="10"/>
    <w:bookmarkEnd w:id="11"/>
    <w:bookmarkEnd w:id="12"/>
    <w:p w14:paraId="2F4C04EE">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bookmarkStart w:id="13" w:name="_Toc23793"/>
      <w:bookmarkStart w:id="14" w:name="_Toc29890"/>
      <w:r>
        <w:rPr>
          <w:rFonts w:hint="eastAsia" w:ascii="宋体" w:hAnsi="宋体" w:eastAsia="宋体" w:cs="宋体"/>
          <w:b/>
          <w:bCs/>
          <w:color w:val="auto"/>
          <w:kern w:val="2"/>
          <w:sz w:val="21"/>
          <w:szCs w:val="24"/>
          <w:highlight w:val="none"/>
          <w:lang w:val="en-US" w:eastAsia="zh-CN" w:bidi="ar-SA"/>
        </w:rPr>
        <w:t>三、获取采购文件</w:t>
      </w:r>
    </w:p>
    <w:p w14:paraId="75FBFE42">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szCs w:val="21"/>
          <w:highlight w:val="yellow"/>
          <w:shd w:val="clear" w:color="auto" w:fill="FFFFFF"/>
          <w:lang w:val="en-US"/>
        </w:rPr>
      </w:pPr>
      <w:r>
        <w:rPr>
          <w:rFonts w:hint="eastAsia" w:ascii="宋体" w:hAnsi="宋体" w:eastAsia="宋体" w:cs="宋体"/>
          <w:color w:val="auto"/>
          <w:szCs w:val="21"/>
          <w:highlight w:val="yellow"/>
          <w:shd w:val="clear" w:color="auto" w:fill="FFFFFF"/>
        </w:rPr>
        <w:t>1</w:t>
      </w:r>
      <w:r>
        <w:rPr>
          <w:rFonts w:hint="eastAsia" w:ascii="宋体" w:hAnsi="宋体" w:eastAsia="宋体" w:cs="宋体"/>
          <w:color w:val="auto"/>
          <w:szCs w:val="21"/>
          <w:highlight w:val="yellow"/>
          <w:shd w:val="clear" w:color="auto" w:fill="FFFFFF"/>
          <w:lang w:val="en-US" w:eastAsia="zh-CN"/>
        </w:rPr>
        <w:t xml:space="preserve">. </w:t>
      </w:r>
      <w:r>
        <w:rPr>
          <w:rFonts w:hint="eastAsia" w:ascii="宋体" w:hAnsi="宋体" w:eastAsia="宋体" w:cs="宋体"/>
          <w:color w:val="000000"/>
          <w:szCs w:val="21"/>
          <w:highlight w:val="yellow"/>
          <w:shd w:val="clear" w:color="auto" w:fill="FFFFFF"/>
          <w:lang w:val="en-US" w:eastAsia="zh-CN"/>
        </w:rPr>
        <w:t>报名</w:t>
      </w:r>
      <w:r>
        <w:rPr>
          <w:rFonts w:hint="eastAsia" w:ascii="宋体" w:hAnsi="宋体" w:eastAsia="宋体" w:cs="宋体"/>
          <w:color w:val="000000"/>
          <w:szCs w:val="21"/>
          <w:highlight w:val="yellow"/>
          <w:shd w:val="clear" w:color="auto" w:fill="FFFFFF"/>
        </w:rPr>
        <w:t>时间：202</w:t>
      </w:r>
      <w:r>
        <w:rPr>
          <w:rFonts w:hint="eastAsia" w:ascii="宋体" w:hAnsi="宋体" w:eastAsia="宋体" w:cs="宋体"/>
          <w:color w:val="000000"/>
          <w:szCs w:val="21"/>
          <w:highlight w:val="yellow"/>
          <w:shd w:val="clear" w:color="auto" w:fill="FFFFFF"/>
          <w:lang w:val="en-US" w:eastAsia="zh-CN"/>
        </w:rPr>
        <w:t>5</w:t>
      </w:r>
      <w:r>
        <w:rPr>
          <w:rFonts w:hint="eastAsia" w:ascii="宋体" w:hAnsi="宋体" w:eastAsia="宋体" w:cs="宋体"/>
          <w:color w:val="000000"/>
          <w:szCs w:val="21"/>
          <w:highlight w:val="yellow"/>
          <w:shd w:val="clear" w:color="auto" w:fill="FFFFFF"/>
        </w:rPr>
        <w:t>年</w:t>
      </w:r>
      <w:r>
        <w:rPr>
          <w:rFonts w:hint="eastAsia" w:ascii="宋体" w:hAnsi="宋体" w:cs="宋体"/>
          <w:color w:val="000000"/>
          <w:szCs w:val="21"/>
          <w:highlight w:val="yellow"/>
          <w:shd w:val="clear" w:color="auto" w:fill="FFFFFF"/>
          <w:lang w:val="en-US" w:eastAsia="zh-CN"/>
        </w:rPr>
        <w:t>07</w:t>
      </w:r>
      <w:r>
        <w:rPr>
          <w:rFonts w:hint="eastAsia" w:ascii="宋体" w:hAnsi="宋体" w:eastAsia="宋体" w:cs="宋体"/>
          <w:color w:val="000000"/>
          <w:szCs w:val="21"/>
          <w:highlight w:val="yellow"/>
          <w:shd w:val="clear" w:color="auto" w:fill="FFFFFF"/>
        </w:rPr>
        <w:t>月</w:t>
      </w:r>
      <w:r>
        <w:rPr>
          <w:rFonts w:hint="eastAsia" w:ascii="宋体" w:hAnsi="宋体" w:cs="宋体"/>
          <w:color w:val="000000"/>
          <w:szCs w:val="21"/>
          <w:highlight w:val="yellow"/>
          <w:shd w:val="clear" w:color="auto" w:fill="FFFFFF"/>
          <w:lang w:val="en-US" w:eastAsia="zh-CN"/>
        </w:rPr>
        <w:t>22</w:t>
      </w:r>
      <w:r>
        <w:rPr>
          <w:rFonts w:hint="eastAsia" w:ascii="宋体" w:hAnsi="宋体" w:eastAsia="宋体" w:cs="宋体"/>
          <w:color w:val="000000"/>
          <w:szCs w:val="21"/>
          <w:highlight w:val="yellow"/>
          <w:shd w:val="clear" w:color="auto" w:fill="FFFFFF"/>
        </w:rPr>
        <w:t>日-202</w:t>
      </w:r>
      <w:r>
        <w:rPr>
          <w:rFonts w:hint="eastAsia" w:ascii="宋体" w:hAnsi="宋体" w:eastAsia="宋体" w:cs="宋体"/>
          <w:color w:val="000000"/>
          <w:szCs w:val="21"/>
          <w:highlight w:val="yellow"/>
          <w:shd w:val="clear" w:color="auto" w:fill="FFFFFF"/>
          <w:lang w:val="en-US" w:eastAsia="zh-CN"/>
        </w:rPr>
        <w:t>5</w:t>
      </w:r>
      <w:r>
        <w:rPr>
          <w:rFonts w:hint="eastAsia" w:ascii="宋体" w:hAnsi="宋体" w:eastAsia="宋体" w:cs="宋体"/>
          <w:color w:val="000000"/>
          <w:szCs w:val="21"/>
          <w:highlight w:val="yellow"/>
          <w:shd w:val="clear" w:color="auto" w:fill="FFFFFF"/>
        </w:rPr>
        <w:t>年</w:t>
      </w:r>
      <w:r>
        <w:rPr>
          <w:rFonts w:hint="eastAsia" w:ascii="宋体" w:hAnsi="宋体" w:cs="宋体"/>
          <w:color w:val="000000"/>
          <w:szCs w:val="21"/>
          <w:highlight w:val="yellow"/>
          <w:shd w:val="clear" w:color="auto" w:fill="FFFFFF"/>
          <w:lang w:val="en-US" w:eastAsia="zh-CN"/>
        </w:rPr>
        <w:t>07</w:t>
      </w:r>
      <w:r>
        <w:rPr>
          <w:rFonts w:hint="eastAsia" w:ascii="宋体" w:hAnsi="宋体" w:eastAsia="宋体" w:cs="宋体"/>
          <w:color w:val="000000"/>
          <w:szCs w:val="21"/>
          <w:highlight w:val="yellow"/>
          <w:shd w:val="clear" w:color="auto" w:fill="FFFFFF"/>
        </w:rPr>
        <w:t>月</w:t>
      </w:r>
      <w:r>
        <w:rPr>
          <w:rFonts w:hint="eastAsia" w:ascii="宋体" w:hAnsi="宋体" w:cs="宋体"/>
          <w:color w:val="000000"/>
          <w:szCs w:val="21"/>
          <w:highlight w:val="yellow"/>
          <w:shd w:val="clear" w:color="auto" w:fill="FFFFFF"/>
          <w:lang w:val="en-US" w:eastAsia="zh-CN"/>
        </w:rPr>
        <w:t>24</w:t>
      </w:r>
      <w:r>
        <w:rPr>
          <w:rFonts w:hint="eastAsia" w:ascii="宋体" w:hAnsi="宋体" w:eastAsia="宋体" w:cs="宋体"/>
          <w:color w:val="000000"/>
          <w:szCs w:val="21"/>
          <w:highlight w:val="yellow"/>
          <w:shd w:val="clear" w:color="auto" w:fill="FFFFFF"/>
        </w:rPr>
        <w:t>日，上午</w:t>
      </w:r>
      <w:r>
        <w:rPr>
          <w:rFonts w:hint="eastAsia" w:ascii="宋体" w:hAnsi="宋体" w:eastAsia="宋体" w:cs="宋体"/>
          <w:color w:val="000000"/>
          <w:szCs w:val="21"/>
          <w:highlight w:val="yellow"/>
          <w:shd w:val="clear" w:color="auto" w:fill="FFFFFF"/>
          <w:lang w:val="en-US" w:eastAsia="zh-CN"/>
        </w:rPr>
        <w:t>0</w:t>
      </w:r>
      <w:r>
        <w:rPr>
          <w:rFonts w:hint="eastAsia" w:ascii="宋体" w:hAnsi="宋体" w:eastAsia="宋体" w:cs="宋体"/>
          <w:color w:val="000000"/>
          <w:szCs w:val="21"/>
          <w:highlight w:val="yellow"/>
          <w:shd w:val="clear" w:color="auto" w:fill="FFFFFF"/>
        </w:rPr>
        <w:t>8：30-11:30，下午14:30-17:30（北京时间，法定节假日除外）</w:t>
      </w:r>
      <w:r>
        <w:rPr>
          <w:rFonts w:hint="eastAsia" w:ascii="宋体" w:hAnsi="宋体" w:eastAsia="宋体" w:cs="宋体"/>
          <w:color w:val="000000"/>
          <w:szCs w:val="21"/>
          <w:highlight w:val="yellow"/>
          <w:shd w:val="clear" w:color="auto" w:fill="FFFFFF"/>
          <w:lang w:val="en-US" w:eastAsia="zh-CN"/>
        </w:rPr>
        <w:t>。</w:t>
      </w:r>
    </w:p>
    <w:p w14:paraId="62FA4A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highlight w:val="none"/>
          <w:shd w:val="clear" w:color="auto" w:fill="FFFFFF"/>
          <w:lang w:val="en-US" w:eastAsia="zh-CN" w:bidi="ar-SA"/>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1B7FCA8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hnlxjssyyxgs@163.com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项目资料。</w:t>
      </w:r>
    </w:p>
    <w:p w14:paraId="4AB74BD8">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6B6FB8F5">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5" w:name="_Toc27480"/>
      <w:bookmarkStart w:id="16" w:name="_Toc15135"/>
      <w:bookmarkStart w:id="17" w:name="_Toc15111"/>
      <w:bookmarkStart w:id="18" w:name="_Toc25869"/>
      <w:bookmarkStart w:id="19"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5"/>
      <w:bookmarkEnd w:id="16"/>
      <w:bookmarkEnd w:id="17"/>
      <w:bookmarkEnd w:id="18"/>
      <w:bookmarkEnd w:id="19"/>
    </w:p>
    <w:p w14:paraId="0C496FF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659A99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63A50D9E">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8AE836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9986E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05EBCFC">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0" w:name="_Toc30918"/>
      <w:bookmarkStart w:id="21" w:name="_Toc6523"/>
      <w:bookmarkStart w:id="22" w:name="_Toc20287"/>
      <w:bookmarkStart w:id="23"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20"/>
      <w:bookmarkEnd w:id="21"/>
      <w:bookmarkEnd w:id="22"/>
      <w:bookmarkEnd w:id="23"/>
    </w:p>
    <w:p w14:paraId="2051C0F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4" w:name="_Toc35393795"/>
      <w:bookmarkStart w:id="25" w:name="_Toc35393626"/>
    </w:p>
    <w:bookmarkEnd w:id="24"/>
    <w:bookmarkEnd w:id="25"/>
    <w:p w14:paraId="51559F2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6" w:name="_Toc31928"/>
      <w:bookmarkStart w:id="27" w:name="_Toc3604"/>
      <w:bookmarkStart w:id="28" w:name="_Toc27370"/>
      <w:bookmarkStart w:id="29" w:name="_Toc24274"/>
      <w:bookmarkStart w:id="30"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6"/>
      <w:bookmarkEnd w:id="27"/>
      <w:bookmarkEnd w:id="28"/>
      <w:bookmarkEnd w:id="29"/>
      <w:bookmarkEnd w:id="30"/>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05CD477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39B0FE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39A1C79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5D6F47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51CD469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河南隆祥建设实业有限公司</w:t>
      </w:r>
    </w:p>
    <w:p w14:paraId="4F6AF10E">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地址：驻马店市置地华庭B座</w:t>
      </w:r>
    </w:p>
    <w:p w14:paraId="28ADFB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：胡女士</w:t>
      </w:r>
    </w:p>
    <w:p w14:paraId="498F4B1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0396-3209190</w:t>
      </w:r>
    </w:p>
    <w:p w14:paraId="0A8D91B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0DFB018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2B7AA60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4821503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2F717F7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kern w:val="0"/>
          <w:sz w:val="21"/>
          <w:szCs w:val="21"/>
          <w:highlight w:val="none"/>
          <w:shd w:val="clear" w:color="auto" w:fill="FFFFFF"/>
          <w:lang w:val="en-US" w:eastAsia="zh-CN" w:bidi="ar-SA"/>
        </w:rPr>
        <w:t>店市中心医院采购科</w:t>
      </w:r>
    </w:p>
    <w:p w14:paraId="3C649B62">
      <w:pPr>
        <w:pStyle w:val="32"/>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 xml:space="preserve">     </w:t>
      </w:r>
      <w:r>
        <w:rPr>
          <w:rFonts w:hint="eastAsia" w:ascii="宋体" w:hAnsi="宋体" w:eastAsia="宋体" w:cs="宋体"/>
          <w:color w:val="000000"/>
          <w:sz w:val="21"/>
          <w:szCs w:val="21"/>
          <w:highlight w:val="yellow"/>
          <w:shd w:val="clear" w:color="auto" w:fill="FFFFFF"/>
        </w:rPr>
        <w:t>202</w:t>
      </w:r>
      <w:r>
        <w:rPr>
          <w:rFonts w:hint="eastAsia" w:ascii="宋体" w:hAnsi="宋体" w:eastAsia="宋体" w:cs="宋体"/>
          <w:color w:val="000000"/>
          <w:sz w:val="21"/>
          <w:szCs w:val="21"/>
          <w:highlight w:val="yellow"/>
          <w:shd w:val="clear" w:color="auto" w:fill="FFFFFF"/>
          <w:lang w:val="en-US" w:eastAsia="zh-CN"/>
        </w:rPr>
        <w:t>5</w:t>
      </w:r>
      <w:r>
        <w:rPr>
          <w:rFonts w:hint="eastAsia" w:ascii="宋体" w:hAnsi="宋体" w:eastAsia="宋体" w:cs="宋体"/>
          <w:color w:val="000000"/>
          <w:sz w:val="21"/>
          <w:szCs w:val="21"/>
          <w:highlight w:val="yellow"/>
          <w:shd w:val="clear" w:color="auto" w:fill="FFFFFF"/>
        </w:rPr>
        <w:t>年</w:t>
      </w:r>
      <w:r>
        <w:rPr>
          <w:rFonts w:hint="eastAsia" w:ascii="宋体" w:hAnsi="宋体" w:cs="宋体"/>
          <w:color w:val="000000"/>
          <w:sz w:val="21"/>
          <w:szCs w:val="21"/>
          <w:highlight w:val="yellow"/>
          <w:shd w:val="clear" w:color="auto" w:fill="FFFFFF"/>
          <w:lang w:val="en-US" w:eastAsia="zh-CN"/>
        </w:rPr>
        <w:t>07</w:t>
      </w:r>
      <w:r>
        <w:rPr>
          <w:rFonts w:hint="eastAsia" w:ascii="宋体" w:hAnsi="宋体" w:eastAsia="宋体" w:cs="宋体"/>
          <w:color w:val="000000"/>
          <w:sz w:val="21"/>
          <w:szCs w:val="21"/>
          <w:highlight w:val="yellow"/>
          <w:shd w:val="clear" w:color="auto" w:fill="FFFFFF"/>
        </w:rPr>
        <w:t>月</w:t>
      </w:r>
      <w:r>
        <w:rPr>
          <w:rFonts w:hint="eastAsia" w:ascii="宋体" w:hAnsi="宋体" w:cs="宋体"/>
          <w:color w:val="000000"/>
          <w:sz w:val="21"/>
          <w:szCs w:val="21"/>
          <w:highlight w:val="yellow"/>
          <w:shd w:val="clear" w:color="auto" w:fill="FFFFFF"/>
          <w:lang w:val="en-US" w:eastAsia="zh-CN"/>
        </w:rPr>
        <w:t>21</w:t>
      </w:r>
      <w:r>
        <w:rPr>
          <w:rFonts w:hint="eastAsia" w:ascii="宋体" w:hAnsi="宋体" w:eastAsia="宋体" w:cs="宋体"/>
          <w:color w:val="000000"/>
          <w:sz w:val="21"/>
          <w:szCs w:val="21"/>
          <w:highlight w:val="yellow"/>
          <w:shd w:val="clear" w:color="auto" w:fill="FFFFFF"/>
        </w:rPr>
        <w:t>日</w:t>
      </w:r>
    </w:p>
    <w:p w14:paraId="1C0E0222">
      <w:pPr>
        <w:rPr>
          <w:rFonts w:hint="eastAsia" w:ascii="宋体" w:hAnsi="宋体" w:eastAsia="宋体" w:cs="宋体"/>
          <w:b/>
          <w:color w:val="auto"/>
          <w:sz w:val="32"/>
          <w:szCs w:val="32"/>
          <w:highlight w:val="none"/>
        </w:rPr>
      </w:pPr>
      <w:bookmarkStart w:id="101" w:name="_GoBack"/>
      <w:bookmarkEnd w:id="101"/>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13"/>
    <w:bookmarkEnd w:id="14"/>
    <w:bookmarkEnd w:id="32"/>
    <w:bookmarkEnd w:id="33"/>
    <w:bookmarkEnd w:id="34"/>
    <w:p w14:paraId="645144CA">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驻马店市中心医院放射介入诊疗设备采购项目（二次）</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6"/>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highlight w:val="none"/>
                <w:lang w:val="en-US" w:eastAsia="zh-CN"/>
              </w:rPr>
              <w:t>包号</w:t>
            </w:r>
          </w:p>
        </w:tc>
        <w:tc>
          <w:tcPr>
            <w:tcW w:w="990"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39" w:type="dxa"/>
            <w:gridSpan w:val="2"/>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50"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84" w:type="dxa"/>
            <w:vAlign w:val="center"/>
          </w:tcPr>
          <w:p w14:paraId="665A7C5C">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预算</w:t>
            </w:r>
          </w:p>
        </w:tc>
        <w:tc>
          <w:tcPr>
            <w:tcW w:w="1110" w:type="dxa"/>
            <w:vAlign w:val="center"/>
          </w:tcPr>
          <w:p w14:paraId="0C32BA6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245" w:type="dxa"/>
            <w:vAlign w:val="center"/>
          </w:tcPr>
          <w:p w14:paraId="0D5173F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仿宋" w:hAnsi="仿宋" w:eastAsia="仿宋" w:cs="仿宋"/>
                <w:sz w:val="28"/>
                <w:szCs w:val="28"/>
                <w:vertAlign w:val="baseline"/>
                <w:lang w:val="en-US" w:eastAsia="zh-CN"/>
              </w:rPr>
              <w:t>1</w:t>
            </w:r>
          </w:p>
        </w:tc>
        <w:tc>
          <w:tcPr>
            <w:tcW w:w="99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仿宋" w:hAnsi="仿宋" w:eastAsia="仿宋" w:cs="仿宋"/>
                <w:sz w:val="28"/>
                <w:szCs w:val="28"/>
                <w:vertAlign w:val="baseline"/>
                <w:lang w:val="en-US" w:eastAsia="zh-CN"/>
              </w:rPr>
              <w:t>1</w:t>
            </w:r>
          </w:p>
        </w:tc>
        <w:tc>
          <w:tcPr>
            <w:tcW w:w="2139" w:type="dxa"/>
            <w:gridSpan w:val="2"/>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both"/>
              <w:textAlignment w:val="auto"/>
              <w:rPr>
                <w:rFonts w:hint="eastAsia" w:ascii="宋体" w:hAnsi="宋体" w:eastAsia="宋体" w:cs="宋体"/>
                <w:sz w:val="21"/>
                <w:szCs w:val="21"/>
                <w:vertAlign w:val="baseline"/>
                <w:lang w:val="en-US" w:eastAsia="zh-CN"/>
              </w:rPr>
            </w:pPr>
            <w:r>
              <w:rPr>
                <w:rFonts w:hint="default" w:ascii="仿宋" w:hAnsi="仿宋" w:eastAsia="仿宋" w:cs="仿宋"/>
                <w:sz w:val="28"/>
                <w:szCs w:val="28"/>
                <w:vertAlign w:val="baseline"/>
                <w:lang w:val="en-US" w:eastAsia="zh-CN"/>
              </w:rPr>
              <w:t>放射介入诊疗设备</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仿宋" w:hAnsi="仿宋" w:eastAsia="仿宋" w:cs="仿宋"/>
                <w:sz w:val="28"/>
                <w:szCs w:val="28"/>
                <w:vertAlign w:val="baseline"/>
                <w:lang w:val="en-US" w:eastAsia="zh-CN"/>
              </w:rPr>
              <w:t>套</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仿宋" w:hAnsi="仿宋" w:eastAsia="仿宋" w:cs="仿宋"/>
                <w:sz w:val="28"/>
                <w:szCs w:val="28"/>
                <w:vertAlign w:val="baseline"/>
                <w:lang w:val="en-US" w:eastAsia="zh-CN"/>
              </w:rPr>
              <w:t>1</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仿宋" w:hAnsi="仿宋" w:eastAsia="仿宋" w:cs="仿宋"/>
                <w:sz w:val="28"/>
                <w:szCs w:val="28"/>
                <w:vertAlign w:val="baseline"/>
                <w:lang w:val="en-US" w:eastAsia="zh-CN"/>
              </w:rPr>
              <w:t>35万元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仿宋" w:hAnsi="仿宋" w:eastAsia="仿宋" w:cs="仿宋"/>
                <w:sz w:val="28"/>
                <w:szCs w:val="28"/>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仿宋" w:hAnsi="仿宋" w:eastAsia="仿宋" w:cs="仿宋"/>
                <w:sz w:val="28"/>
                <w:szCs w:val="28"/>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769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35万元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695" w:type="dxa"/>
            <w:gridSpan w:val="7"/>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bl>
    <w:p w14:paraId="5817CDAC">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0ABA96CD">
      <w:pPr>
        <w:bidi w:val="0"/>
        <w:spacing w:line="360" w:lineRule="auto"/>
        <w:rPr>
          <w:rFonts w:hint="eastAsia"/>
          <w:lang w:val="en-US" w:eastAsia="zh-CN"/>
        </w:rPr>
      </w:pPr>
      <w:r>
        <w:rPr>
          <w:rFonts w:hint="eastAsia"/>
          <w:lang w:val="en-US" w:eastAsia="zh-CN"/>
        </w:rPr>
        <w:t>一、产品用途</w:t>
      </w:r>
    </w:p>
    <w:p w14:paraId="5E985BD9">
      <w:pPr>
        <w:bidi w:val="0"/>
        <w:spacing w:line="360" w:lineRule="auto"/>
        <w:ind w:firstLine="420" w:firstLineChars="200"/>
        <w:rPr>
          <w:rFonts w:hint="eastAsia"/>
          <w:lang w:val="en-US" w:eastAsia="zh-CN"/>
        </w:rPr>
      </w:pPr>
      <w:r>
        <w:rPr>
          <w:rFonts w:hint="eastAsia"/>
          <w:lang w:val="en-US" w:eastAsia="zh-CN"/>
        </w:rPr>
        <w:t>具有头颈部、体部肿瘤近距离治疗的术前计划设计、术中计划设计和术后剂量验证。前列腺放肿瘤近距离治疗的术前计划设计、术中计划设计和术后剂量验证。食管、胆管支架携带肿瘤近距离治疗的术前计划设计和术后剂量验证。</w:t>
      </w:r>
    </w:p>
    <w:p w14:paraId="50192A4A">
      <w:pPr>
        <w:bidi w:val="0"/>
        <w:spacing w:line="360" w:lineRule="auto"/>
        <w:rPr>
          <w:rFonts w:hint="eastAsia"/>
          <w:lang w:val="en-US" w:eastAsia="zh-CN"/>
        </w:rPr>
      </w:pPr>
      <w:r>
        <w:rPr>
          <w:rFonts w:hint="eastAsia"/>
          <w:lang w:val="en-US" w:eastAsia="zh-CN"/>
        </w:rPr>
        <w:t>二、放射介入诊疗设备软件系统</w:t>
      </w:r>
    </w:p>
    <w:p w14:paraId="4464C1F2">
      <w:pPr>
        <w:bidi w:val="0"/>
        <w:spacing w:line="360" w:lineRule="auto"/>
        <w:rPr>
          <w:rFonts w:hint="eastAsia"/>
          <w:lang w:val="en-US" w:eastAsia="zh-CN"/>
        </w:rPr>
      </w:pPr>
      <w:r>
        <w:rPr>
          <w:rFonts w:hint="eastAsia"/>
          <w:lang w:val="en-US" w:eastAsia="zh-CN"/>
        </w:rPr>
        <w:t>（一）图像数据输入</w:t>
      </w:r>
    </w:p>
    <w:p w14:paraId="02E1E8A4">
      <w:pPr>
        <w:bidi w:val="0"/>
        <w:spacing w:line="360" w:lineRule="auto"/>
        <w:ind w:firstLine="210" w:firstLineChars="100"/>
        <w:rPr>
          <w:rFonts w:hint="eastAsia"/>
          <w:lang w:val="en-US" w:eastAsia="zh-CN"/>
        </w:rPr>
      </w:pPr>
      <w:r>
        <w:rPr>
          <w:rFonts w:hint="eastAsia"/>
          <w:lang w:val="en-US" w:eastAsia="zh-CN"/>
        </w:rPr>
        <w:t>1.具备DICOM 3.0标准和多种图像数据输入方法，包括网络联接电子数据传输,磁介质传输，视频采集和扫描输入等；</w:t>
      </w:r>
    </w:p>
    <w:p w14:paraId="4306AA91">
      <w:pPr>
        <w:bidi w:val="0"/>
        <w:spacing w:line="360" w:lineRule="auto"/>
        <w:ind w:firstLine="210" w:firstLineChars="100"/>
        <w:rPr>
          <w:rFonts w:hint="eastAsia"/>
          <w:lang w:val="en-US" w:eastAsia="zh-CN"/>
        </w:rPr>
      </w:pPr>
      <w:r>
        <w:rPr>
          <w:rFonts w:hint="eastAsia"/>
          <w:lang w:val="en-US" w:eastAsia="zh-CN"/>
        </w:rPr>
        <w:t>2.具备电子数据图像和扫描图像并存，CT、B超和MRI等图象并存；</w:t>
      </w:r>
    </w:p>
    <w:p w14:paraId="543FE947">
      <w:pPr>
        <w:bidi w:val="0"/>
        <w:spacing w:line="360" w:lineRule="auto"/>
        <w:ind w:firstLine="210" w:firstLineChars="100"/>
        <w:rPr>
          <w:rFonts w:hint="eastAsia"/>
          <w:lang w:val="en-US" w:eastAsia="zh-CN"/>
        </w:rPr>
      </w:pPr>
      <w:r>
        <w:rPr>
          <w:rFonts w:hint="eastAsia"/>
          <w:lang w:val="en-US" w:eastAsia="zh-CN"/>
        </w:rPr>
        <w:t>3.具备引入图像序列的功能，可同时或分阶段输入不同检查设备的不同序列图像，为精确制定计划和术后病人的随访提供了足够的保障（例如：术前、术中、术后的图象），便于不同时期计划的比较。</w:t>
      </w:r>
    </w:p>
    <w:p w14:paraId="66CD022C">
      <w:pPr>
        <w:bidi w:val="0"/>
        <w:spacing w:line="360" w:lineRule="auto"/>
        <w:rPr>
          <w:rFonts w:hint="eastAsia"/>
          <w:lang w:val="en-US" w:eastAsia="zh-CN"/>
        </w:rPr>
      </w:pPr>
      <w:r>
        <w:rPr>
          <w:rFonts w:hint="eastAsia"/>
          <w:lang w:val="en-US" w:eastAsia="zh-CN"/>
        </w:rPr>
        <w:t>（二）图像数据处理模块</w:t>
      </w:r>
    </w:p>
    <w:p w14:paraId="74BA2FF8">
      <w:pPr>
        <w:bidi w:val="0"/>
        <w:spacing w:line="360" w:lineRule="auto"/>
        <w:ind w:firstLine="210" w:firstLineChars="100"/>
        <w:rPr>
          <w:rFonts w:hint="eastAsia"/>
          <w:lang w:val="en-US" w:eastAsia="zh-CN"/>
        </w:rPr>
      </w:pPr>
      <w:r>
        <w:rPr>
          <w:rFonts w:hint="eastAsia"/>
          <w:lang w:val="en-US" w:eastAsia="zh-CN"/>
        </w:rPr>
        <w:t>1.具有图像缩放、平移、翻转、漫游、窗宽和窗位调节；</w:t>
      </w:r>
    </w:p>
    <w:p w14:paraId="1FAFE0A2">
      <w:pPr>
        <w:bidi w:val="0"/>
        <w:spacing w:line="360" w:lineRule="auto"/>
        <w:ind w:firstLine="210" w:firstLineChars="100"/>
        <w:rPr>
          <w:rFonts w:hint="eastAsia"/>
          <w:lang w:val="en-US" w:eastAsia="zh-CN"/>
        </w:rPr>
      </w:pPr>
      <w:r>
        <w:rPr>
          <w:rFonts w:hint="eastAsia"/>
          <w:lang w:val="en-US" w:eastAsia="zh-CN"/>
        </w:rPr>
        <w:t>2.具有图像的多窗口显示及多模式显示功能；</w:t>
      </w:r>
    </w:p>
    <w:p w14:paraId="59EB9506">
      <w:pPr>
        <w:bidi w:val="0"/>
        <w:spacing w:line="360" w:lineRule="auto"/>
        <w:ind w:firstLine="210" w:firstLineChars="100"/>
        <w:rPr>
          <w:rFonts w:hint="eastAsia"/>
          <w:lang w:val="en-US" w:eastAsia="zh-CN"/>
        </w:rPr>
      </w:pPr>
      <w:r>
        <w:rPr>
          <w:rFonts w:hint="eastAsia"/>
          <w:lang w:val="en-US" w:eastAsia="zh-CN"/>
        </w:rPr>
        <w:t>3.肺组织轮廓线自动探测，脊髓及骨组织的自动探测；</w:t>
      </w:r>
    </w:p>
    <w:p w14:paraId="68A5ACFB">
      <w:pPr>
        <w:bidi w:val="0"/>
        <w:spacing w:line="360" w:lineRule="auto"/>
        <w:ind w:firstLine="210" w:firstLineChars="100"/>
        <w:rPr>
          <w:rFonts w:hint="eastAsia"/>
          <w:lang w:val="en-US" w:eastAsia="zh-CN"/>
        </w:rPr>
      </w:pPr>
      <w:r>
        <w:rPr>
          <w:rFonts w:hint="eastAsia"/>
          <w:lang w:val="en-US" w:eastAsia="zh-CN"/>
        </w:rPr>
        <w:t>4.食管胆管及其管壁轮廓线的自动探测；</w:t>
      </w:r>
    </w:p>
    <w:p w14:paraId="49C109CD">
      <w:pPr>
        <w:bidi w:val="0"/>
        <w:spacing w:line="360" w:lineRule="auto"/>
        <w:ind w:firstLine="210" w:firstLineChars="100"/>
        <w:rPr>
          <w:rFonts w:hint="eastAsia"/>
          <w:lang w:val="en-US" w:eastAsia="zh-CN"/>
        </w:rPr>
      </w:pPr>
      <w:r>
        <w:rPr>
          <w:rFonts w:hint="eastAsia"/>
          <w:lang w:val="en-US" w:eastAsia="zh-CN"/>
        </w:rPr>
        <w:t>5.自动探测体表轮廓线；</w:t>
      </w:r>
    </w:p>
    <w:p w14:paraId="048252F1">
      <w:pPr>
        <w:bidi w:val="0"/>
        <w:spacing w:line="360" w:lineRule="auto"/>
        <w:ind w:firstLine="210" w:firstLineChars="100"/>
        <w:rPr>
          <w:rFonts w:hint="eastAsia"/>
          <w:lang w:val="en-US" w:eastAsia="zh-CN"/>
        </w:rPr>
      </w:pPr>
      <w:r>
        <w:rPr>
          <w:rFonts w:hint="eastAsia"/>
          <w:lang w:val="en-US" w:eastAsia="zh-CN"/>
        </w:rPr>
        <w:t>6.轮廓线项目的自定义，不限项（肿瘤、敏感组织等）；</w:t>
      </w:r>
    </w:p>
    <w:p w14:paraId="74CB43AE">
      <w:pPr>
        <w:bidi w:val="0"/>
        <w:spacing w:line="360" w:lineRule="auto"/>
        <w:ind w:firstLine="210" w:firstLineChars="100"/>
        <w:rPr>
          <w:rFonts w:hint="eastAsia"/>
          <w:lang w:val="en-US" w:eastAsia="zh-CN"/>
        </w:rPr>
      </w:pPr>
      <w:r>
        <w:rPr>
          <w:rFonts w:hint="eastAsia"/>
          <w:lang w:val="en-US" w:eastAsia="zh-CN"/>
        </w:rPr>
        <w:t>7.靶区和重要器官等目标轮廓的自动或交互提取，具有轮廓线缩放、插值功能；</w:t>
      </w:r>
    </w:p>
    <w:p w14:paraId="009D8CAC">
      <w:pPr>
        <w:bidi w:val="0"/>
        <w:spacing w:line="360" w:lineRule="auto"/>
        <w:rPr>
          <w:rFonts w:hint="eastAsia"/>
          <w:lang w:val="en-US" w:eastAsia="zh-CN"/>
        </w:rPr>
      </w:pPr>
      <w:r>
        <w:rPr>
          <w:rFonts w:hint="eastAsia"/>
          <w:lang w:val="en-US" w:eastAsia="zh-CN"/>
        </w:rPr>
        <w:t>（三）三维图像重建及显示</w:t>
      </w:r>
    </w:p>
    <w:p w14:paraId="7DDFEC31">
      <w:pPr>
        <w:bidi w:val="0"/>
        <w:spacing w:line="360" w:lineRule="auto"/>
        <w:ind w:firstLine="210" w:firstLineChars="100"/>
        <w:rPr>
          <w:rFonts w:hint="eastAsia"/>
          <w:lang w:val="en-US" w:eastAsia="zh-CN"/>
        </w:rPr>
      </w:pPr>
      <w:r>
        <w:rPr>
          <w:rFonts w:hint="eastAsia"/>
          <w:lang w:val="en-US" w:eastAsia="zh-CN"/>
        </w:rPr>
        <w:t>1.实时显示B超图像定标，通过数据线与B超连接，实时现实B超图像、实时计划、实时验证；</w:t>
      </w:r>
    </w:p>
    <w:p w14:paraId="6D3C912B">
      <w:pPr>
        <w:bidi w:val="0"/>
        <w:spacing w:line="360" w:lineRule="auto"/>
        <w:ind w:firstLine="210" w:firstLineChars="100"/>
        <w:rPr>
          <w:rFonts w:hint="eastAsia"/>
          <w:lang w:val="en-US" w:eastAsia="zh-CN"/>
        </w:rPr>
      </w:pPr>
      <w:r>
        <w:rPr>
          <w:rFonts w:hint="eastAsia"/>
          <w:lang w:val="en-US" w:eastAsia="zh-CN"/>
        </w:rPr>
        <w:t>2.同一断层图像序列的重新分层重建；</w:t>
      </w:r>
    </w:p>
    <w:p w14:paraId="225A7E51">
      <w:pPr>
        <w:bidi w:val="0"/>
        <w:spacing w:line="360" w:lineRule="auto"/>
        <w:ind w:firstLine="210" w:firstLineChars="100"/>
        <w:rPr>
          <w:rFonts w:hint="eastAsia"/>
          <w:lang w:val="en-US" w:eastAsia="zh-CN"/>
        </w:rPr>
      </w:pPr>
      <w:r>
        <w:rPr>
          <w:rFonts w:hint="eastAsia"/>
          <w:lang w:val="en-US" w:eastAsia="zh-CN"/>
        </w:rPr>
        <w:t>3.断层图像序列的交互重建和剖切显示，横断面、冠状面、失状面、针道面；</w:t>
      </w:r>
    </w:p>
    <w:p w14:paraId="505F1767">
      <w:pPr>
        <w:bidi w:val="0"/>
        <w:spacing w:line="360" w:lineRule="auto"/>
        <w:ind w:firstLine="210" w:firstLineChars="100"/>
        <w:rPr>
          <w:rFonts w:hint="eastAsia"/>
          <w:lang w:val="en-US" w:eastAsia="zh-CN"/>
        </w:rPr>
      </w:pPr>
      <w:r>
        <w:rPr>
          <w:rFonts w:hint="eastAsia"/>
          <w:lang w:val="en-US" w:eastAsia="zh-CN"/>
        </w:rPr>
        <w:t>4.体表、靶区和重要器官等多目标的三维重建与显示；</w:t>
      </w:r>
    </w:p>
    <w:p w14:paraId="1DBC0896">
      <w:pPr>
        <w:bidi w:val="0"/>
        <w:spacing w:line="360" w:lineRule="auto"/>
        <w:ind w:firstLine="210" w:firstLineChars="100"/>
        <w:rPr>
          <w:rFonts w:hint="eastAsia"/>
          <w:lang w:val="en-US" w:eastAsia="zh-CN"/>
        </w:rPr>
      </w:pPr>
      <w:r>
        <w:rPr>
          <w:rFonts w:hint="eastAsia"/>
          <w:lang w:val="en-US" w:eastAsia="zh-CN"/>
        </w:rPr>
        <w:t>5.三维数据的透明和半透明显示；</w:t>
      </w:r>
    </w:p>
    <w:p w14:paraId="0AAA4F57">
      <w:pPr>
        <w:bidi w:val="0"/>
        <w:spacing w:line="360" w:lineRule="auto"/>
        <w:rPr>
          <w:rFonts w:hint="eastAsia"/>
          <w:lang w:val="en-US" w:eastAsia="zh-CN"/>
        </w:rPr>
      </w:pPr>
      <w:r>
        <w:rPr>
          <w:rFonts w:hint="eastAsia"/>
          <w:lang w:val="en-US" w:eastAsia="zh-CN"/>
        </w:rPr>
        <w:t>（四）计划设计</w:t>
      </w:r>
    </w:p>
    <w:p w14:paraId="54B6FCA2">
      <w:pPr>
        <w:bidi w:val="0"/>
        <w:spacing w:line="360" w:lineRule="auto"/>
        <w:ind w:firstLine="210" w:firstLineChars="100"/>
        <w:rPr>
          <w:rFonts w:hint="eastAsia"/>
          <w:lang w:val="en-US" w:eastAsia="zh-CN"/>
        </w:rPr>
      </w:pPr>
      <w:r>
        <w:rPr>
          <w:rFonts w:hint="eastAsia"/>
          <w:lang w:val="en-US" w:eastAsia="zh-CN"/>
        </w:rPr>
        <w:t xml:space="preserve">1.源的当前活度修正及实时剂量计算、显示； </w:t>
      </w:r>
    </w:p>
    <w:p w14:paraId="5A328C39">
      <w:pPr>
        <w:bidi w:val="0"/>
        <w:spacing w:line="360" w:lineRule="auto"/>
        <w:ind w:firstLine="210" w:firstLineChars="100"/>
        <w:rPr>
          <w:rFonts w:hint="eastAsia"/>
          <w:lang w:val="en-US" w:eastAsia="zh-CN"/>
        </w:rPr>
      </w:pPr>
      <w:r>
        <w:rPr>
          <w:rFonts w:hint="eastAsia"/>
          <w:lang w:val="en-US" w:eastAsia="zh-CN"/>
        </w:rPr>
        <w:t>2.具备多种源（125I-6711，125I-6702、103Pd-200），严格按AAPMTG43/64/84标准计算放射剂量分布；</w:t>
      </w:r>
    </w:p>
    <w:p w14:paraId="6D1E72F5">
      <w:pPr>
        <w:bidi w:val="0"/>
        <w:spacing w:line="360" w:lineRule="auto"/>
        <w:ind w:firstLine="210" w:firstLineChars="100"/>
        <w:rPr>
          <w:rFonts w:hint="eastAsia"/>
          <w:lang w:val="en-US" w:eastAsia="zh-CN"/>
        </w:rPr>
      </w:pPr>
      <w:r>
        <w:rPr>
          <w:rFonts w:hint="eastAsia"/>
          <w:lang w:val="en-US" w:eastAsia="zh-CN"/>
        </w:rPr>
        <w:t>3.前列腺手术中针点与系统图像显示的标点和B超的虚拟模版完全重合；</w:t>
      </w:r>
    </w:p>
    <w:p w14:paraId="446BDAEC">
      <w:pPr>
        <w:bidi w:val="0"/>
        <w:spacing w:line="360" w:lineRule="auto"/>
        <w:ind w:firstLine="210" w:firstLineChars="100"/>
        <w:rPr>
          <w:rFonts w:hint="eastAsia"/>
          <w:lang w:val="en-US" w:eastAsia="zh-CN"/>
        </w:rPr>
      </w:pPr>
      <w:r>
        <w:rPr>
          <w:rFonts w:hint="eastAsia"/>
          <w:lang w:val="en-US" w:eastAsia="zh-CN"/>
        </w:rPr>
        <w:t>4.交互式设计计划，采用多窗口的断层图像显示方式，可以在同一图像序列的不同层面间自由移动或在不同图像序列上设计、修改计划参数；</w:t>
      </w:r>
    </w:p>
    <w:p w14:paraId="4B43E323">
      <w:pPr>
        <w:bidi w:val="0"/>
        <w:spacing w:line="360" w:lineRule="auto"/>
        <w:ind w:firstLine="210" w:firstLineChars="100"/>
        <w:rPr>
          <w:rFonts w:hint="eastAsia"/>
          <w:lang w:val="en-US" w:eastAsia="zh-CN"/>
        </w:rPr>
      </w:pPr>
      <w:r>
        <w:rPr>
          <w:rFonts w:hint="eastAsia"/>
          <w:lang w:val="en-US" w:eastAsia="zh-CN"/>
        </w:rPr>
        <w:t>5.具备多模板及多单针引导、空间任意方位交互式布针；</w:t>
      </w:r>
    </w:p>
    <w:p w14:paraId="4B07A684">
      <w:pPr>
        <w:bidi w:val="0"/>
        <w:spacing w:line="360" w:lineRule="auto"/>
        <w:ind w:firstLine="210" w:firstLineChars="100"/>
        <w:rPr>
          <w:rFonts w:hint="eastAsia"/>
          <w:lang w:val="en-US" w:eastAsia="zh-CN"/>
        </w:rPr>
      </w:pPr>
      <w:r>
        <w:rPr>
          <w:rFonts w:hint="eastAsia"/>
          <w:lang w:val="en-US" w:eastAsia="zh-CN"/>
        </w:rPr>
        <w:t>6.具备条件设定的全自动剂量布源功能；</w:t>
      </w:r>
    </w:p>
    <w:p w14:paraId="201DAED1">
      <w:pPr>
        <w:bidi w:val="0"/>
        <w:spacing w:line="360" w:lineRule="auto"/>
        <w:ind w:firstLine="210" w:firstLineChars="100"/>
        <w:rPr>
          <w:rFonts w:hint="eastAsia"/>
          <w:lang w:val="en-US" w:eastAsia="zh-CN"/>
        </w:rPr>
      </w:pPr>
      <w:r>
        <w:rPr>
          <w:rFonts w:hint="eastAsia"/>
          <w:lang w:val="en-US" w:eastAsia="zh-CN"/>
        </w:rPr>
        <w:t>7.专为前列腺设计的全自动布源功能；</w:t>
      </w:r>
    </w:p>
    <w:p w14:paraId="26FC21EA">
      <w:pPr>
        <w:bidi w:val="0"/>
        <w:spacing w:line="360" w:lineRule="auto"/>
        <w:ind w:firstLine="210" w:firstLineChars="100"/>
        <w:rPr>
          <w:rFonts w:hint="eastAsia"/>
          <w:lang w:val="en-US" w:eastAsia="zh-CN"/>
        </w:rPr>
      </w:pPr>
      <w:r>
        <w:rPr>
          <w:rFonts w:hint="eastAsia"/>
          <w:lang w:val="en-US" w:eastAsia="zh-CN"/>
        </w:rPr>
        <w:t>8.具备GPU快速剂量计算；</w:t>
      </w:r>
    </w:p>
    <w:p w14:paraId="5E415786">
      <w:pPr>
        <w:bidi w:val="0"/>
        <w:spacing w:line="360" w:lineRule="auto"/>
        <w:ind w:firstLine="210" w:firstLineChars="100"/>
        <w:rPr>
          <w:rFonts w:hint="eastAsia"/>
          <w:lang w:val="en-US" w:eastAsia="zh-CN"/>
        </w:rPr>
      </w:pPr>
      <w:r>
        <w:rPr>
          <w:rFonts w:hint="eastAsia"/>
          <w:lang w:val="en-US" w:eastAsia="zh-CN"/>
        </w:rPr>
        <w:t>9.具备同一计划多个模板设计、病人的多计划设计和计划数据的相互拷贝；</w:t>
      </w:r>
    </w:p>
    <w:p w14:paraId="3103D343">
      <w:pPr>
        <w:bidi w:val="0"/>
        <w:spacing w:line="360" w:lineRule="auto"/>
        <w:ind w:firstLine="210" w:firstLineChars="100"/>
        <w:rPr>
          <w:rFonts w:hint="eastAsia"/>
          <w:lang w:val="en-US" w:eastAsia="zh-CN"/>
        </w:rPr>
      </w:pPr>
      <w:r>
        <w:rPr>
          <w:rFonts w:hint="eastAsia"/>
          <w:lang w:val="en-US" w:eastAsia="zh-CN"/>
        </w:rPr>
        <w:t>10.为个性化模版设计制作所需数据的提取功能。</w:t>
      </w:r>
    </w:p>
    <w:p w14:paraId="74A38742">
      <w:pPr>
        <w:bidi w:val="0"/>
        <w:spacing w:line="360" w:lineRule="auto"/>
        <w:ind w:firstLine="210" w:firstLineChars="100"/>
        <w:rPr>
          <w:rFonts w:hint="eastAsia"/>
          <w:lang w:val="en-US" w:eastAsia="zh-CN"/>
        </w:rPr>
      </w:pPr>
      <w:r>
        <w:rPr>
          <w:rFonts w:hint="eastAsia"/>
          <w:lang w:val="en-US" w:eastAsia="zh-CN"/>
        </w:rPr>
        <w:t>11.自动判定针道铰链冲突功能。</w:t>
      </w:r>
    </w:p>
    <w:p w14:paraId="358897D2">
      <w:pPr>
        <w:bidi w:val="0"/>
        <w:spacing w:line="360" w:lineRule="auto"/>
        <w:rPr>
          <w:rFonts w:hint="eastAsia"/>
          <w:lang w:val="en-US" w:eastAsia="zh-CN"/>
        </w:rPr>
      </w:pPr>
      <w:r>
        <w:rPr>
          <w:rFonts w:hint="eastAsia"/>
          <w:lang w:val="en-US" w:eastAsia="zh-CN"/>
        </w:rPr>
        <w:t>(五）剂量评估和输出治疗报告</w:t>
      </w:r>
    </w:p>
    <w:p w14:paraId="2187B2B9">
      <w:pPr>
        <w:bidi w:val="0"/>
        <w:spacing w:line="360" w:lineRule="auto"/>
        <w:ind w:firstLine="210" w:firstLineChars="100"/>
        <w:rPr>
          <w:rFonts w:hint="eastAsia"/>
          <w:lang w:val="en-US" w:eastAsia="zh-CN"/>
        </w:rPr>
      </w:pPr>
      <w:r>
        <w:rPr>
          <w:rFonts w:hint="eastAsia"/>
          <w:lang w:val="en-US" w:eastAsia="zh-CN"/>
        </w:rPr>
        <w:t>1.可以在轴位、冠状位、矢状位图像上显示模板、针及源的分布；</w:t>
      </w:r>
    </w:p>
    <w:p w14:paraId="3AAE6487">
      <w:pPr>
        <w:bidi w:val="0"/>
        <w:spacing w:line="360" w:lineRule="auto"/>
        <w:ind w:firstLine="210" w:firstLineChars="100"/>
        <w:rPr>
          <w:rFonts w:hint="eastAsia"/>
          <w:lang w:val="en-US" w:eastAsia="zh-CN"/>
        </w:rPr>
      </w:pPr>
      <w:r>
        <w:rPr>
          <w:rFonts w:hint="eastAsia"/>
          <w:lang w:val="en-US" w:eastAsia="zh-CN"/>
        </w:rPr>
        <w:t xml:space="preserve">2.可以在不同的图像序列的断层图像和冠状位、矢状位图像上直观地显示等剂量分布； </w:t>
      </w:r>
    </w:p>
    <w:p w14:paraId="721F6DD2">
      <w:pPr>
        <w:bidi w:val="0"/>
        <w:spacing w:line="360" w:lineRule="auto"/>
        <w:ind w:firstLine="210" w:firstLineChars="100"/>
        <w:rPr>
          <w:rFonts w:hint="eastAsia"/>
          <w:lang w:val="en-US" w:eastAsia="zh-CN"/>
        </w:rPr>
      </w:pPr>
      <w:r>
        <w:rPr>
          <w:rFonts w:hint="eastAsia"/>
          <w:lang w:val="en-US" w:eastAsia="zh-CN"/>
        </w:rPr>
        <w:t>3.显示等剂量面与靶区及断层图像在三维空间中各个角度的吻合情况和相互关系；</w:t>
      </w:r>
    </w:p>
    <w:p w14:paraId="7D95794F">
      <w:pPr>
        <w:bidi w:val="0"/>
        <w:spacing w:line="360" w:lineRule="auto"/>
        <w:ind w:firstLine="210" w:firstLineChars="100"/>
        <w:rPr>
          <w:rFonts w:hint="eastAsia"/>
          <w:lang w:val="en-US" w:eastAsia="zh-CN"/>
        </w:rPr>
      </w:pPr>
      <w:r>
        <w:rPr>
          <w:rFonts w:hint="eastAsia"/>
          <w:lang w:val="en-US" w:eastAsia="zh-CN"/>
        </w:rPr>
        <w:t>4.三维剂量场的半透明、实体显示及交互旋转；</w:t>
      </w:r>
    </w:p>
    <w:p w14:paraId="275B9E7F">
      <w:pPr>
        <w:bidi w:val="0"/>
        <w:spacing w:line="360" w:lineRule="auto"/>
        <w:ind w:firstLine="210" w:firstLineChars="100"/>
        <w:rPr>
          <w:rFonts w:hint="eastAsia"/>
          <w:lang w:val="en-US" w:eastAsia="zh-CN"/>
        </w:rPr>
      </w:pPr>
      <w:r>
        <w:rPr>
          <w:rFonts w:hint="eastAsia"/>
          <w:lang w:val="en-US" w:eastAsia="zh-CN"/>
        </w:rPr>
        <w:t>5.绝对剂量与相对剂量的实时显示，计划空间任意点必须以绝对剂量实时显示；</w:t>
      </w:r>
    </w:p>
    <w:p w14:paraId="721FC3FE">
      <w:pPr>
        <w:bidi w:val="0"/>
        <w:spacing w:line="360" w:lineRule="auto"/>
        <w:ind w:firstLine="210" w:firstLineChars="100"/>
        <w:rPr>
          <w:rFonts w:hint="eastAsia"/>
          <w:lang w:val="en-US" w:eastAsia="zh-CN"/>
        </w:rPr>
      </w:pPr>
      <w:r>
        <w:rPr>
          <w:rFonts w:hint="eastAsia"/>
          <w:lang w:val="en-US" w:eastAsia="zh-CN"/>
        </w:rPr>
        <w:t>6.具备多种剂量评估方法，如P.O.I、Profile、DVH等；</w:t>
      </w:r>
    </w:p>
    <w:p w14:paraId="6265F2EC">
      <w:pPr>
        <w:bidi w:val="0"/>
        <w:spacing w:line="360" w:lineRule="auto"/>
        <w:ind w:firstLine="210" w:firstLineChars="100"/>
        <w:rPr>
          <w:rFonts w:hint="eastAsia"/>
          <w:lang w:val="en-US" w:eastAsia="zh-CN"/>
        </w:rPr>
      </w:pPr>
      <w:r>
        <w:rPr>
          <w:rFonts w:hint="eastAsia"/>
          <w:lang w:val="en-US" w:eastAsia="zh-CN"/>
        </w:rPr>
        <w:t>7.自定义靶区和重要器官的体积剂量分析及统计结果，包括：DVH图形，V300、V100、V90、D100、D90、D2cc、D5cc等参数；</w:t>
      </w:r>
    </w:p>
    <w:p w14:paraId="61CFC4F9">
      <w:pPr>
        <w:bidi w:val="0"/>
        <w:spacing w:line="360" w:lineRule="auto"/>
        <w:ind w:firstLine="210" w:firstLineChars="100"/>
        <w:rPr>
          <w:rFonts w:hint="eastAsia"/>
          <w:lang w:val="en-US" w:eastAsia="zh-CN"/>
        </w:rPr>
      </w:pPr>
      <w:r>
        <w:rPr>
          <w:rFonts w:hint="eastAsia"/>
          <w:lang w:val="en-US" w:eastAsia="zh-CN"/>
        </w:rPr>
        <w:t>8.配备打印输出所有的治疗计划数据、评估图形和图像的设备；</w:t>
      </w:r>
    </w:p>
    <w:p w14:paraId="5E73EDE3">
      <w:pPr>
        <w:bidi w:val="0"/>
        <w:spacing w:line="360" w:lineRule="auto"/>
        <w:rPr>
          <w:rFonts w:hint="eastAsia"/>
          <w:lang w:val="en-US" w:eastAsia="zh-CN"/>
        </w:rPr>
      </w:pPr>
      <w:r>
        <w:rPr>
          <w:rFonts w:hint="eastAsia"/>
          <w:lang w:val="en-US" w:eastAsia="zh-CN"/>
        </w:rPr>
        <w:t>（六）验证计划</w:t>
      </w:r>
    </w:p>
    <w:p w14:paraId="7FA5B6C1">
      <w:pPr>
        <w:bidi w:val="0"/>
        <w:spacing w:line="360" w:lineRule="auto"/>
        <w:ind w:firstLine="210" w:firstLineChars="100"/>
        <w:rPr>
          <w:rFonts w:hint="eastAsia"/>
          <w:lang w:val="en-US" w:eastAsia="zh-CN"/>
        </w:rPr>
      </w:pPr>
      <w:r>
        <w:rPr>
          <w:rFonts w:hint="eastAsia"/>
          <w:lang w:val="en-US" w:eastAsia="zh-CN"/>
        </w:rPr>
        <w:t>1.实时显示系统：实时显示剂量分布，可进行实时验证；</w:t>
      </w:r>
    </w:p>
    <w:p w14:paraId="7867EB77">
      <w:pPr>
        <w:bidi w:val="0"/>
        <w:spacing w:line="360" w:lineRule="auto"/>
        <w:ind w:firstLine="210" w:firstLineChars="100"/>
        <w:rPr>
          <w:rFonts w:hint="eastAsia"/>
          <w:lang w:val="en-US" w:eastAsia="zh-CN"/>
        </w:rPr>
      </w:pPr>
      <w:r>
        <w:rPr>
          <w:rFonts w:hint="eastAsia"/>
          <w:lang w:val="en-US" w:eastAsia="zh-CN"/>
        </w:rPr>
        <w:t xml:space="preserve">2.具备自动识别功能； </w:t>
      </w:r>
    </w:p>
    <w:p w14:paraId="26DD71FE">
      <w:pPr>
        <w:bidi w:val="0"/>
        <w:spacing w:line="360" w:lineRule="auto"/>
        <w:ind w:firstLine="210" w:firstLineChars="100"/>
        <w:rPr>
          <w:rFonts w:hint="eastAsia"/>
          <w:lang w:val="en-US" w:eastAsia="zh-CN"/>
        </w:rPr>
      </w:pPr>
      <w:r>
        <w:rPr>
          <w:rFonts w:hint="eastAsia"/>
          <w:lang w:val="en-US" w:eastAsia="zh-CN"/>
        </w:rPr>
        <w:t>3.具备基于模拟机（X光机）正位、侧位片的定位功能，自动识别空间分布；</w:t>
      </w:r>
    </w:p>
    <w:p w14:paraId="1FC0A170">
      <w:pPr>
        <w:bidi w:val="0"/>
        <w:spacing w:line="360" w:lineRule="auto"/>
        <w:ind w:firstLine="210" w:firstLineChars="100"/>
        <w:rPr>
          <w:rFonts w:hint="eastAsia"/>
          <w:lang w:val="en-US" w:eastAsia="zh-CN"/>
        </w:rPr>
      </w:pPr>
      <w:r>
        <w:rPr>
          <w:rFonts w:hint="eastAsia"/>
          <w:lang w:val="en-US" w:eastAsia="zh-CN"/>
        </w:rPr>
        <w:t>4.自动识别重复计数的源；</w:t>
      </w:r>
    </w:p>
    <w:p w14:paraId="4864634F">
      <w:pPr>
        <w:bidi w:val="0"/>
        <w:spacing w:line="360" w:lineRule="auto"/>
        <w:ind w:firstLine="210" w:firstLineChars="100"/>
        <w:rPr>
          <w:rFonts w:hint="eastAsia"/>
          <w:lang w:val="en-US" w:eastAsia="zh-CN"/>
        </w:rPr>
      </w:pPr>
      <w:r>
        <w:rPr>
          <w:rFonts w:hint="eastAsia"/>
          <w:lang w:val="en-US" w:eastAsia="zh-CN"/>
        </w:rPr>
        <w:t>5.具备当前活度的计算；</w:t>
      </w:r>
    </w:p>
    <w:p w14:paraId="62F2B0B6">
      <w:pPr>
        <w:bidi w:val="0"/>
        <w:spacing w:line="360" w:lineRule="auto"/>
        <w:ind w:firstLine="210" w:firstLineChars="100"/>
        <w:rPr>
          <w:rFonts w:hint="eastAsia"/>
          <w:lang w:val="en-US" w:eastAsia="zh-CN"/>
        </w:rPr>
      </w:pPr>
      <w:r>
        <w:rPr>
          <w:rFonts w:hint="eastAsia"/>
          <w:lang w:val="en-US" w:eastAsia="zh-CN"/>
        </w:rPr>
        <w:t>6.精确计算整体剂量分布；</w:t>
      </w:r>
    </w:p>
    <w:p w14:paraId="318979DC">
      <w:pPr>
        <w:bidi w:val="0"/>
        <w:spacing w:line="360" w:lineRule="auto"/>
        <w:ind w:firstLine="210" w:firstLineChars="100"/>
        <w:rPr>
          <w:rFonts w:hint="eastAsia"/>
          <w:lang w:val="en-US" w:eastAsia="zh-CN"/>
        </w:rPr>
      </w:pPr>
      <w:r>
        <w:rPr>
          <w:rFonts w:hint="eastAsia"/>
          <w:lang w:val="en-US" w:eastAsia="zh-CN"/>
        </w:rPr>
        <w:t>7.二维等剂量线和三维等剂量面的精确显示；</w:t>
      </w:r>
    </w:p>
    <w:p w14:paraId="4F5A0EDD">
      <w:pPr>
        <w:bidi w:val="0"/>
        <w:spacing w:line="360" w:lineRule="auto"/>
        <w:ind w:firstLine="210" w:firstLineChars="100"/>
        <w:rPr>
          <w:rFonts w:hint="eastAsia"/>
          <w:lang w:val="en-US" w:eastAsia="zh-CN"/>
        </w:rPr>
      </w:pPr>
      <w:r>
        <w:rPr>
          <w:rFonts w:hint="eastAsia"/>
          <w:lang w:val="en-US" w:eastAsia="zh-CN"/>
        </w:rPr>
        <w:t>8.验证计划与术中、术前计划的融合与比较；</w:t>
      </w:r>
    </w:p>
    <w:p w14:paraId="16328332">
      <w:pPr>
        <w:bidi w:val="0"/>
        <w:spacing w:line="360" w:lineRule="auto"/>
        <w:rPr>
          <w:rFonts w:hint="eastAsia"/>
          <w:lang w:val="en-US" w:eastAsia="zh-CN"/>
        </w:rPr>
      </w:pPr>
      <w:r>
        <w:rPr>
          <w:rFonts w:hint="eastAsia"/>
          <w:lang w:val="en-US" w:eastAsia="zh-CN"/>
        </w:rPr>
        <w:t>（七）数据资料管理</w:t>
      </w:r>
    </w:p>
    <w:p w14:paraId="34E48BF2">
      <w:pPr>
        <w:bidi w:val="0"/>
        <w:spacing w:line="360" w:lineRule="auto"/>
        <w:ind w:firstLine="210" w:firstLineChars="100"/>
        <w:rPr>
          <w:rFonts w:hint="eastAsia"/>
          <w:lang w:val="en-US" w:eastAsia="zh-CN"/>
        </w:rPr>
      </w:pPr>
      <w:r>
        <w:rPr>
          <w:rFonts w:hint="eastAsia"/>
          <w:lang w:val="en-US" w:eastAsia="zh-CN"/>
        </w:rPr>
        <w:t>1.具备完善的病例数据库管理,包括新建、编辑、修改、删除、查询等功能；</w:t>
      </w:r>
    </w:p>
    <w:p w14:paraId="7E86C76E">
      <w:pPr>
        <w:bidi w:val="0"/>
        <w:spacing w:line="360" w:lineRule="auto"/>
        <w:ind w:firstLine="210" w:firstLineChars="100"/>
        <w:rPr>
          <w:rFonts w:hint="eastAsia"/>
          <w:lang w:val="en-US" w:eastAsia="zh-CN"/>
        </w:rPr>
      </w:pPr>
      <w:r>
        <w:rPr>
          <w:rFonts w:hint="eastAsia"/>
          <w:lang w:val="en-US" w:eastAsia="zh-CN"/>
        </w:rPr>
        <w:t>2.计划数据的管理，包括新建、编辑、修改、删除等功能；</w:t>
      </w:r>
    </w:p>
    <w:p w14:paraId="37406BF9">
      <w:pPr>
        <w:bidi w:val="0"/>
        <w:spacing w:line="360" w:lineRule="auto"/>
        <w:ind w:firstLine="210" w:firstLineChars="100"/>
        <w:rPr>
          <w:rFonts w:hint="eastAsia"/>
          <w:lang w:val="en-US" w:eastAsia="zh-CN"/>
        </w:rPr>
      </w:pPr>
      <w:r>
        <w:rPr>
          <w:rFonts w:hint="eastAsia"/>
          <w:lang w:val="en-US" w:eastAsia="zh-CN"/>
        </w:rPr>
        <w:t>3.图像序列管理，包括新建、编辑、修改、删除等功能；</w:t>
      </w:r>
    </w:p>
    <w:p w14:paraId="0EF8627E">
      <w:pPr>
        <w:bidi w:val="0"/>
        <w:spacing w:line="360" w:lineRule="auto"/>
        <w:ind w:firstLine="210" w:firstLineChars="100"/>
        <w:rPr>
          <w:rFonts w:hint="eastAsia"/>
          <w:lang w:val="en-US" w:eastAsia="zh-CN"/>
        </w:rPr>
      </w:pPr>
      <w:r>
        <w:rPr>
          <w:rFonts w:hint="eastAsia"/>
          <w:lang w:val="en-US" w:eastAsia="zh-CN"/>
        </w:rPr>
        <w:t>4.轮廓线项目及物理参数数据的自动管理；</w:t>
      </w:r>
    </w:p>
    <w:p w14:paraId="13008BB1">
      <w:pPr>
        <w:bidi w:val="0"/>
        <w:spacing w:line="360" w:lineRule="auto"/>
        <w:ind w:firstLine="210" w:firstLineChars="100"/>
        <w:rPr>
          <w:rFonts w:hint="eastAsia"/>
          <w:lang w:val="en-US" w:eastAsia="zh-CN"/>
        </w:rPr>
      </w:pPr>
      <w:r>
        <w:rPr>
          <w:rFonts w:hint="eastAsia"/>
          <w:lang w:val="en-US" w:eastAsia="zh-CN"/>
        </w:rPr>
        <w:t>5.病例数据的备份与恢复；</w:t>
      </w:r>
    </w:p>
    <w:p w14:paraId="133DEC9A">
      <w:pPr>
        <w:bidi w:val="0"/>
        <w:spacing w:line="360" w:lineRule="auto"/>
        <w:ind w:firstLine="210" w:firstLineChars="100"/>
        <w:rPr>
          <w:rFonts w:hint="eastAsia"/>
          <w:lang w:val="en-US" w:eastAsia="zh-CN"/>
        </w:rPr>
      </w:pPr>
      <w:r>
        <w:rPr>
          <w:rFonts w:hint="eastAsia"/>
          <w:lang w:val="en-US" w:eastAsia="zh-CN"/>
        </w:rPr>
        <w:t>6.用户密码及权限的管理功能；</w:t>
      </w:r>
    </w:p>
    <w:p w14:paraId="7B8FBE42">
      <w:pPr>
        <w:bidi w:val="0"/>
        <w:spacing w:line="360" w:lineRule="auto"/>
        <w:ind w:firstLine="210" w:firstLineChars="100"/>
        <w:rPr>
          <w:rFonts w:hint="eastAsia"/>
          <w:lang w:val="en-US" w:eastAsia="zh-CN"/>
        </w:rPr>
      </w:pPr>
      <w:r>
        <w:rPr>
          <w:rFonts w:hint="eastAsia"/>
          <w:lang w:val="en-US" w:eastAsia="zh-CN"/>
        </w:rPr>
        <w:t>7.用户操作过程的自动记录功能。</w:t>
      </w:r>
    </w:p>
    <w:p w14:paraId="0A6D83E0">
      <w:pPr>
        <w:bidi w:val="0"/>
        <w:spacing w:line="360" w:lineRule="auto"/>
        <w:rPr>
          <w:rFonts w:hint="eastAsia"/>
          <w:lang w:val="en-US" w:eastAsia="zh-CN"/>
        </w:rPr>
      </w:pPr>
      <w:r>
        <w:rPr>
          <w:rFonts w:hint="eastAsia"/>
          <w:lang w:val="en-US" w:eastAsia="zh-CN"/>
        </w:rPr>
        <w:t>（八）计划系统必备功能</w:t>
      </w:r>
    </w:p>
    <w:p w14:paraId="4E6C25DD">
      <w:pPr>
        <w:bidi w:val="0"/>
        <w:spacing w:line="360" w:lineRule="auto"/>
        <w:ind w:firstLine="210" w:firstLineChars="100"/>
        <w:rPr>
          <w:rFonts w:hint="eastAsia"/>
          <w:lang w:val="en-US" w:eastAsia="zh-CN"/>
        </w:rPr>
      </w:pPr>
      <w:r>
        <w:rPr>
          <w:rFonts w:hint="eastAsia"/>
          <w:lang w:val="en-US" w:eastAsia="zh-CN"/>
        </w:rPr>
        <w:t>1.具备3D模板设计、制作、显示一体化系统；</w:t>
      </w:r>
    </w:p>
    <w:p w14:paraId="7BE2DB54">
      <w:pPr>
        <w:bidi w:val="0"/>
        <w:spacing w:line="360" w:lineRule="auto"/>
        <w:ind w:firstLine="210" w:firstLineChars="100"/>
        <w:rPr>
          <w:rFonts w:hint="eastAsia"/>
          <w:lang w:val="en-US" w:eastAsia="zh-CN"/>
        </w:rPr>
      </w:pPr>
      <w:r>
        <w:rPr>
          <w:rFonts w:hint="eastAsia"/>
          <w:lang w:val="en-US" w:eastAsia="zh-CN"/>
        </w:rPr>
        <w:t>2.具备与CT、核磁、B超实时连接、实时显示剂量的功能；</w:t>
      </w:r>
    </w:p>
    <w:p w14:paraId="1A9ACB6C">
      <w:pPr>
        <w:bidi w:val="0"/>
        <w:spacing w:line="360" w:lineRule="auto"/>
        <w:ind w:firstLine="210" w:firstLineChars="100"/>
        <w:rPr>
          <w:rFonts w:hint="eastAsia"/>
          <w:lang w:val="en-US" w:eastAsia="zh-CN"/>
        </w:rPr>
      </w:pPr>
      <w:r>
        <w:rPr>
          <w:rFonts w:hint="eastAsia"/>
          <w:lang w:val="en-US" w:eastAsia="zh-CN"/>
        </w:rPr>
        <w:t>3.具备CT图像、PET-CT图像和核磁图像自动融合功能；</w:t>
      </w:r>
    </w:p>
    <w:p w14:paraId="0B477FDD">
      <w:pPr>
        <w:bidi w:val="0"/>
        <w:spacing w:line="360" w:lineRule="auto"/>
        <w:ind w:firstLine="210" w:firstLineChars="100"/>
        <w:rPr>
          <w:rFonts w:hint="eastAsia"/>
          <w:lang w:val="en-US" w:eastAsia="zh-CN"/>
        </w:rPr>
      </w:pPr>
      <w:r>
        <w:rPr>
          <w:rFonts w:hint="eastAsia"/>
          <w:lang w:val="en-US" w:eastAsia="zh-CN"/>
        </w:rPr>
        <w:t>4.具备平行布源、扇形布源、圆形布源等设计功能；</w:t>
      </w:r>
    </w:p>
    <w:p w14:paraId="475704FC">
      <w:pPr>
        <w:bidi w:val="0"/>
        <w:spacing w:line="360" w:lineRule="auto"/>
        <w:ind w:firstLine="210" w:firstLineChars="100"/>
        <w:rPr>
          <w:rFonts w:hint="eastAsia"/>
          <w:lang w:val="en-US" w:eastAsia="zh-CN"/>
        </w:rPr>
      </w:pPr>
      <w:r>
        <w:rPr>
          <w:rFonts w:hint="eastAsia"/>
          <w:lang w:val="en-US" w:eastAsia="zh-CN"/>
        </w:rPr>
        <w:t>5.具备能实时显示剂量和穿刺针道信息功能；</w:t>
      </w:r>
    </w:p>
    <w:p w14:paraId="1A475209">
      <w:pPr>
        <w:bidi w:val="0"/>
        <w:spacing w:line="360" w:lineRule="auto"/>
        <w:ind w:firstLine="210" w:firstLineChars="100"/>
        <w:rPr>
          <w:rFonts w:hint="eastAsia"/>
          <w:lang w:val="en-US" w:eastAsia="zh-CN"/>
        </w:rPr>
      </w:pPr>
      <w:r>
        <w:rPr>
          <w:rFonts w:hint="eastAsia"/>
          <w:lang w:val="en-US" w:eastAsia="zh-CN"/>
        </w:rPr>
        <w:t>6.具备能显示剖面剂量功能；</w:t>
      </w:r>
    </w:p>
    <w:p w14:paraId="6733B910">
      <w:pPr>
        <w:bidi w:val="0"/>
        <w:spacing w:line="360" w:lineRule="auto"/>
        <w:ind w:firstLine="210" w:firstLineChars="100"/>
        <w:rPr>
          <w:rFonts w:hint="eastAsia"/>
          <w:lang w:val="en-US" w:eastAsia="zh-CN"/>
        </w:rPr>
      </w:pPr>
      <w:r>
        <w:rPr>
          <w:rFonts w:hint="eastAsia"/>
          <w:lang w:val="en-US" w:eastAsia="zh-CN"/>
        </w:rPr>
        <w:t>7.具备自动布源功能，实现中心自动布源和周边自动布源；</w:t>
      </w:r>
    </w:p>
    <w:p w14:paraId="001F1E48">
      <w:pPr>
        <w:bidi w:val="0"/>
        <w:spacing w:line="360" w:lineRule="auto"/>
        <w:ind w:firstLine="210" w:firstLineChars="100"/>
        <w:rPr>
          <w:rFonts w:hint="eastAsia"/>
          <w:lang w:val="en-US" w:eastAsia="zh-CN"/>
        </w:rPr>
      </w:pPr>
      <w:r>
        <w:rPr>
          <w:rFonts w:hint="eastAsia"/>
          <w:lang w:val="en-US" w:eastAsia="zh-CN"/>
        </w:rPr>
        <w:t>8.具备条件设定的全自动剂量布源功能；</w:t>
      </w:r>
    </w:p>
    <w:p w14:paraId="1BB8EB3A">
      <w:pPr>
        <w:bidi w:val="0"/>
        <w:spacing w:line="360" w:lineRule="auto"/>
        <w:ind w:firstLine="210" w:firstLineChars="100"/>
        <w:rPr>
          <w:rFonts w:hint="eastAsia"/>
          <w:lang w:val="en-US" w:eastAsia="zh-CN"/>
        </w:rPr>
      </w:pPr>
      <w:r>
        <w:rPr>
          <w:rFonts w:hint="eastAsia"/>
          <w:lang w:val="en-US" w:eastAsia="zh-CN"/>
        </w:rPr>
        <w:t>9.具备术中优化系统功能：实时补种、实时调整功能；</w:t>
      </w:r>
    </w:p>
    <w:p w14:paraId="5D80D8ED">
      <w:pPr>
        <w:bidi w:val="0"/>
        <w:spacing w:line="360" w:lineRule="auto"/>
        <w:ind w:firstLine="210" w:firstLineChars="100"/>
        <w:rPr>
          <w:rFonts w:hint="eastAsia"/>
          <w:lang w:val="en-US" w:eastAsia="zh-CN"/>
        </w:rPr>
      </w:pPr>
      <w:r>
        <w:rPr>
          <w:rFonts w:hint="eastAsia"/>
          <w:lang w:val="en-US" w:eastAsia="zh-CN"/>
        </w:rPr>
        <w:t>10.具备逆向设计功能；</w:t>
      </w:r>
    </w:p>
    <w:p w14:paraId="7649A353">
      <w:pPr>
        <w:bidi w:val="0"/>
        <w:spacing w:line="360" w:lineRule="auto"/>
        <w:ind w:firstLine="210" w:firstLineChars="100"/>
        <w:rPr>
          <w:rFonts w:hint="eastAsia"/>
          <w:lang w:val="en-US" w:eastAsia="zh-CN"/>
        </w:rPr>
      </w:pPr>
      <w:r>
        <w:rPr>
          <w:rFonts w:hint="eastAsia"/>
          <w:lang w:val="en-US" w:eastAsia="zh-CN"/>
        </w:rPr>
        <w:t>11.具备术后实时验证系统功能；</w:t>
      </w:r>
    </w:p>
    <w:p w14:paraId="0EA50F38">
      <w:pPr>
        <w:bidi w:val="0"/>
        <w:spacing w:line="360" w:lineRule="auto"/>
        <w:ind w:firstLine="210" w:firstLineChars="100"/>
        <w:rPr>
          <w:rFonts w:hint="eastAsia"/>
          <w:lang w:val="en-US" w:eastAsia="zh-CN"/>
        </w:rPr>
      </w:pPr>
      <w:r>
        <w:rPr>
          <w:rFonts w:hint="eastAsia"/>
          <w:lang w:val="en-US" w:eastAsia="zh-CN"/>
        </w:rPr>
        <w:t xml:space="preserve">12.具备三维空间核素自动识别验证功能；  </w:t>
      </w:r>
    </w:p>
    <w:p w14:paraId="5344A4F5">
      <w:pPr>
        <w:bidi w:val="0"/>
        <w:spacing w:line="360" w:lineRule="auto"/>
        <w:ind w:firstLine="210" w:firstLineChars="100"/>
        <w:rPr>
          <w:rFonts w:hint="eastAsia"/>
          <w:lang w:val="en-US" w:eastAsia="zh-CN"/>
        </w:rPr>
      </w:pPr>
      <w:r>
        <w:rPr>
          <w:rFonts w:hint="eastAsia"/>
          <w:lang w:val="en-US" w:eastAsia="zh-CN"/>
        </w:rPr>
        <w:t>13.具备任意角度方向进针、多模板设计的功能；</w:t>
      </w:r>
    </w:p>
    <w:p w14:paraId="06122D71">
      <w:pPr>
        <w:bidi w:val="0"/>
        <w:spacing w:line="360" w:lineRule="auto"/>
        <w:ind w:firstLine="210" w:firstLineChars="100"/>
        <w:rPr>
          <w:rFonts w:hint="eastAsia"/>
          <w:lang w:val="en-US" w:eastAsia="zh-CN"/>
        </w:rPr>
      </w:pPr>
      <w:r>
        <w:rPr>
          <w:rFonts w:hint="eastAsia"/>
          <w:lang w:val="en-US" w:eastAsia="zh-CN"/>
        </w:rPr>
        <w:t>14.具备CT MRI DICOM3.0、B超及扫描数据的功能；</w:t>
      </w:r>
    </w:p>
    <w:p w14:paraId="1C441D95">
      <w:pPr>
        <w:bidi w:val="0"/>
        <w:spacing w:line="360" w:lineRule="auto"/>
        <w:ind w:firstLine="210" w:firstLineChars="100"/>
        <w:rPr>
          <w:rFonts w:hint="eastAsia"/>
          <w:lang w:val="en-US" w:eastAsia="zh-CN"/>
        </w:rPr>
      </w:pPr>
      <w:r>
        <w:rPr>
          <w:rFonts w:hint="eastAsia"/>
          <w:lang w:val="en-US" w:eastAsia="zh-CN"/>
        </w:rPr>
        <w:t>15.具备各个部位独立的专项功能:头颈部肿瘤治疗系统，体部肿瘤治疗系统，前列腺肿瘤治疗系统，食管癌肿瘤治疗系统</w:t>
      </w:r>
    </w:p>
    <w:p w14:paraId="4C17131A">
      <w:pPr>
        <w:bidi w:val="0"/>
        <w:spacing w:line="360" w:lineRule="auto"/>
        <w:ind w:firstLine="210" w:firstLineChars="100"/>
        <w:rPr>
          <w:rFonts w:hint="eastAsia"/>
          <w:lang w:val="en-US" w:eastAsia="zh-CN"/>
        </w:rPr>
      </w:pPr>
      <w:r>
        <w:rPr>
          <w:rFonts w:hint="eastAsia"/>
          <w:lang w:val="en-US" w:eastAsia="zh-CN"/>
        </w:rPr>
        <w:t>16.兼容前列腺定位支架、体部定位支架</w:t>
      </w:r>
    </w:p>
    <w:p w14:paraId="7745F14C">
      <w:pPr>
        <w:bidi w:val="0"/>
        <w:spacing w:line="360" w:lineRule="auto"/>
        <w:ind w:firstLine="210" w:firstLineChars="100"/>
        <w:rPr>
          <w:rFonts w:hint="eastAsia"/>
          <w:lang w:val="en-US" w:eastAsia="zh-CN"/>
        </w:rPr>
      </w:pPr>
      <w:r>
        <w:rPr>
          <w:rFonts w:hint="eastAsia"/>
          <w:lang w:val="en-US" w:eastAsia="zh-CN"/>
        </w:rPr>
        <w:t>17.长度（尺寸）重建偏差（精度）：≤1mm；</w:t>
      </w:r>
    </w:p>
    <w:p w14:paraId="7810B233">
      <w:pPr>
        <w:bidi w:val="0"/>
        <w:spacing w:line="360" w:lineRule="auto"/>
        <w:ind w:firstLine="210" w:firstLineChars="100"/>
        <w:rPr>
          <w:rFonts w:hint="eastAsia"/>
          <w:lang w:val="en-US" w:eastAsia="zh-CN"/>
        </w:rPr>
      </w:pPr>
      <w:r>
        <w:rPr>
          <w:rFonts w:hint="eastAsia"/>
          <w:lang w:val="en-US" w:eastAsia="zh-CN"/>
        </w:rPr>
        <w:t>18.计量准确率偏差（精度）：≤±1%；</w:t>
      </w:r>
    </w:p>
    <w:p w14:paraId="3F51EDD0">
      <w:pPr>
        <w:bidi w:val="0"/>
        <w:spacing w:line="360" w:lineRule="auto"/>
        <w:ind w:firstLine="210" w:firstLineChars="100"/>
        <w:rPr>
          <w:rFonts w:hint="eastAsia"/>
          <w:lang w:val="en-US" w:eastAsia="zh-CN"/>
        </w:rPr>
      </w:pPr>
      <w:r>
        <w:rPr>
          <w:rFonts w:hint="eastAsia"/>
          <w:lang w:val="en-US" w:eastAsia="zh-CN"/>
        </w:rPr>
        <w:t>19.体积重建精度偏差（精度）：≤±1%；</w:t>
      </w:r>
    </w:p>
    <w:p w14:paraId="2792EEB4">
      <w:pPr>
        <w:bidi w:val="0"/>
        <w:spacing w:line="360" w:lineRule="auto"/>
        <w:ind w:firstLine="210" w:firstLineChars="100"/>
        <w:rPr>
          <w:rFonts w:hint="eastAsia"/>
          <w:lang w:val="en-US" w:eastAsia="zh-CN"/>
        </w:rPr>
      </w:pPr>
      <w:r>
        <w:rPr>
          <w:rFonts w:hint="eastAsia"/>
          <w:lang w:val="en-US" w:eastAsia="zh-CN"/>
        </w:rPr>
        <w:t>20.计量场分布准确性偏差（精度）：≤±3%</w:t>
      </w:r>
    </w:p>
    <w:p w14:paraId="4F5EDD45">
      <w:pPr>
        <w:bidi w:val="0"/>
        <w:spacing w:line="360" w:lineRule="auto"/>
        <w:rPr>
          <w:rFonts w:hint="eastAsia"/>
          <w:lang w:val="en-US" w:eastAsia="zh-CN"/>
        </w:rPr>
      </w:pPr>
      <w:r>
        <w:rPr>
          <w:rFonts w:hint="eastAsia"/>
          <w:lang w:val="en-US" w:eastAsia="zh-CN"/>
        </w:rPr>
        <w:t>三、工作站平台</w:t>
      </w:r>
    </w:p>
    <w:p w14:paraId="11919395">
      <w:pPr>
        <w:bidi w:val="0"/>
        <w:spacing w:line="360" w:lineRule="auto"/>
        <w:rPr>
          <w:rFonts w:hint="eastAsia"/>
          <w:lang w:val="en-US" w:eastAsia="zh-CN"/>
        </w:rPr>
      </w:pPr>
      <w:r>
        <w:rPr>
          <w:rFonts w:hint="eastAsia"/>
          <w:lang w:val="en-US" w:eastAsia="zh-CN"/>
        </w:rPr>
        <w:t>（一）主控主机：内存容量≥8GB，容量≥1T；</w:t>
      </w:r>
    </w:p>
    <w:p w14:paraId="7D4EBBB3">
      <w:pPr>
        <w:bidi w:val="0"/>
        <w:spacing w:line="360" w:lineRule="auto"/>
        <w:rPr>
          <w:rFonts w:hint="eastAsia"/>
          <w:lang w:val="en-US" w:eastAsia="zh-CN"/>
        </w:rPr>
      </w:pPr>
      <w:r>
        <w:rPr>
          <w:rFonts w:hint="eastAsia"/>
          <w:lang w:val="en-US" w:eastAsia="zh-CN"/>
        </w:rPr>
        <w:t>（二）液晶显示器≥19"。</w:t>
      </w:r>
    </w:p>
    <w:p w14:paraId="7BDEE34A">
      <w:pPr>
        <w:bidi w:val="0"/>
        <w:spacing w:line="360" w:lineRule="auto"/>
        <w:rPr>
          <w:rFonts w:hint="eastAsia"/>
          <w:lang w:val="en-US" w:eastAsia="zh-CN"/>
        </w:rPr>
      </w:pPr>
      <w:r>
        <w:rPr>
          <w:rFonts w:hint="eastAsia"/>
          <w:lang w:val="en-US" w:eastAsia="zh-CN"/>
        </w:rPr>
        <w:t>四、体部导航定位支架1套</w:t>
      </w:r>
    </w:p>
    <w:p w14:paraId="656D7692">
      <w:pPr>
        <w:bidi w:val="0"/>
        <w:spacing w:line="360" w:lineRule="auto"/>
        <w:rPr>
          <w:rFonts w:hint="eastAsia"/>
          <w:lang w:val="en-US" w:eastAsia="zh-CN"/>
        </w:rPr>
      </w:pPr>
      <w:r>
        <w:rPr>
          <w:rFonts w:hint="eastAsia"/>
          <w:lang w:val="en-US" w:eastAsia="zh-CN"/>
        </w:rPr>
        <w:t>（一）主要用于术中穿刺的精确定位。</w:t>
      </w:r>
    </w:p>
    <w:p w14:paraId="249816AF">
      <w:pPr>
        <w:bidi w:val="0"/>
        <w:spacing w:line="360" w:lineRule="auto"/>
        <w:rPr>
          <w:rFonts w:hint="eastAsia"/>
          <w:lang w:val="en-US" w:eastAsia="zh-CN"/>
        </w:rPr>
      </w:pPr>
      <w:r>
        <w:rPr>
          <w:rFonts w:hint="eastAsia"/>
          <w:lang w:val="en-US" w:eastAsia="zh-CN"/>
        </w:rPr>
        <w:t>（二）通过CT影像选择最佳的穿刺路径及模板的角度，通过穿刺模板导航定位系统的倾角仪调整模板角度并在倾角仪显示器上确认模板角度，穿刺模板结合导航定位系统，定位无误差。</w:t>
      </w:r>
    </w:p>
    <w:p w14:paraId="7281966C">
      <w:pPr>
        <w:bidi w:val="0"/>
        <w:spacing w:line="360" w:lineRule="auto"/>
        <w:rPr>
          <w:rFonts w:hint="eastAsia"/>
          <w:lang w:val="en-US" w:eastAsia="zh-CN"/>
        </w:rPr>
      </w:pPr>
      <w:r>
        <w:rPr>
          <w:rFonts w:hint="eastAsia"/>
          <w:lang w:val="en-US" w:eastAsia="zh-CN"/>
        </w:rPr>
        <w:t>（三）体部靶向定位支架底座固定到CT专用床板后，底座具有前后调节系统，前后调节范围:0mm-130mm。</w:t>
      </w:r>
    </w:p>
    <w:p w14:paraId="20E6B0C9">
      <w:pPr>
        <w:bidi w:val="0"/>
        <w:spacing w:line="360" w:lineRule="auto"/>
        <w:rPr>
          <w:rFonts w:hint="eastAsia"/>
          <w:lang w:val="en-US" w:eastAsia="zh-CN"/>
        </w:rPr>
      </w:pPr>
      <w:r>
        <w:rPr>
          <w:rFonts w:hint="eastAsia"/>
          <w:lang w:val="en-US" w:eastAsia="zh-CN"/>
        </w:rPr>
        <w:t>（四）体部靶向定位支架底座升降系统，可根据患者体位调节体部靶向定位支架的高度，升降范围：280mm-400mm。</w:t>
      </w:r>
    </w:p>
    <w:p w14:paraId="1901BC67">
      <w:pPr>
        <w:bidi w:val="0"/>
        <w:spacing w:line="360" w:lineRule="auto"/>
        <w:rPr>
          <w:rFonts w:hint="eastAsia"/>
          <w:lang w:val="en-US" w:eastAsia="zh-CN"/>
        </w:rPr>
      </w:pPr>
      <w:r>
        <w:rPr>
          <w:rFonts w:hint="eastAsia"/>
          <w:lang w:val="en-US" w:eastAsia="zh-CN"/>
        </w:rPr>
        <w:t>（五）体部靶向定位支架矢状面调节系统，可调节范围：0mm-210mm。</w:t>
      </w:r>
    </w:p>
    <w:p w14:paraId="56762FD6">
      <w:pPr>
        <w:bidi w:val="0"/>
        <w:spacing w:line="360" w:lineRule="auto"/>
        <w:rPr>
          <w:rFonts w:hint="eastAsia"/>
          <w:lang w:val="en-US" w:eastAsia="zh-CN"/>
        </w:rPr>
      </w:pPr>
      <w:r>
        <w:rPr>
          <w:rFonts w:hint="eastAsia"/>
          <w:lang w:val="en-US" w:eastAsia="zh-CN"/>
        </w:rPr>
        <w:t>（六）体部靶向定位支架具有前后微调系统，前后微调范围：0mm-70mm。通过底座前后调节将穿刺模板送至患者体表靶区，通过前后微调系统可将穿刺模板中心精准送至体表穿刺点。</w:t>
      </w:r>
    </w:p>
    <w:p w14:paraId="04D5A0AD">
      <w:pPr>
        <w:bidi w:val="0"/>
        <w:spacing w:line="360" w:lineRule="auto"/>
        <w:rPr>
          <w:rFonts w:hint="eastAsia"/>
          <w:lang w:val="en-US" w:eastAsia="zh-CN"/>
        </w:rPr>
      </w:pPr>
      <w:r>
        <w:rPr>
          <w:rFonts w:hint="eastAsia"/>
          <w:lang w:val="en-US" w:eastAsia="zh-CN"/>
        </w:rPr>
        <w:t>（七）体部靶向定位支架倾角仪系统，倾角仪系统连接穿刺模板，可将穿刺模板进行X、Y轴调节，X轴调节范围：-90°- 90°，Y轴调节范围-90°- 90°。</w:t>
      </w:r>
    </w:p>
    <w:p w14:paraId="4BF4E1E8">
      <w:pPr>
        <w:bidi w:val="0"/>
        <w:spacing w:line="360" w:lineRule="auto"/>
        <w:rPr>
          <w:rFonts w:hint="eastAsia"/>
          <w:lang w:val="en-US" w:eastAsia="zh-CN"/>
        </w:rPr>
      </w:pPr>
      <w:r>
        <w:rPr>
          <w:rFonts w:hint="eastAsia"/>
          <w:lang w:val="en-US" w:eastAsia="zh-CN"/>
        </w:rPr>
        <w:t>五、相关配套附件</w:t>
      </w:r>
    </w:p>
    <w:p w14:paraId="6A6768F3">
      <w:pPr>
        <w:bidi w:val="0"/>
        <w:spacing w:line="360" w:lineRule="auto"/>
        <w:rPr>
          <w:rFonts w:hint="eastAsia"/>
          <w:lang w:val="en-US" w:eastAsia="zh-CN"/>
        </w:rPr>
      </w:pPr>
      <w:r>
        <w:rPr>
          <w:rFonts w:hint="eastAsia"/>
          <w:lang w:val="en-US" w:eastAsia="zh-CN"/>
        </w:rPr>
        <w:t>（一）活度计1台</w:t>
      </w:r>
    </w:p>
    <w:p w14:paraId="43FAD7CD">
      <w:pPr>
        <w:bidi w:val="0"/>
        <w:spacing w:line="360" w:lineRule="auto"/>
        <w:rPr>
          <w:rFonts w:hint="eastAsia"/>
          <w:lang w:val="en-US" w:eastAsia="zh-CN"/>
        </w:rPr>
      </w:pPr>
      <w:r>
        <w:rPr>
          <w:rFonts w:hint="eastAsia"/>
          <w:lang w:val="en-US" w:eastAsia="zh-CN"/>
        </w:rPr>
        <w:t>（二）真空负压泵和真空负压垫 1套</w:t>
      </w:r>
    </w:p>
    <w:p w14:paraId="789E0556">
      <w:pPr>
        <w:bidi w:val="0"/>
        <w:spacing w:line="360" w:lineRule="auto"/>
        <w:rPr>
          <w:rFonts w:hint="eastAsia"/>
          <w:lang w:val="en-US" w:eastAsia="zh-CN"/>
        </w:rPr>
      </w:pPr>
      <w:r>
        <w:rPr>
          <w:rFonts w:hint="eastAsia"/>
          <w:lang w:val="en-US" w:eastAsia="zh-CN"/>
        </w:rPr>
        <w:t>（三）定位碳纤维板 1块</w:t>
      </w:r>
    </w:p>
    <w:p w14:paraId="3C6F38D2">
      <w:pPr>
        <w:bidi w:val="0"/>
        <w:spacing w:line="360" w:lineRule="auto"/>
        <w:rPr>
          <w:rFonts w:hint="eastAsia"/>
          <w:lang w:val="en-US" w:eastAsia="zh-CN"/>
        </w:rPr>
      </w:pPr>
      <w:r>
        <w:rPr>
          <w:rFonts w:hint="eastAsia"/>
          <w:lang w:val="en-US" w:eastAsia="zh-CN"/>
        </w:rPr>
        <w:t>（四）防护箱 1台</w:t>
      </w:r>
    </w:p>
    <w:p w14:paraId="4DA22248">
      <w:pPr>
        <w:bidi w:val="0"/>
        <w:spacing w:line="360" w:lineRule="auto"/>
        <w:rPr>
          <w:rFonts w:hint="eastAsia"/>
          <w:lang w:val="en-US" w:eastAsia="zh-CN"/>
        </w:rPr>
      </w:pPr>
      <w:r>
        <w:rPr>
          <w:rFonts w:hint="eastAsia"/>
          <w:lang w:val="en-US" w:eastAsia="zh-CN"/>
        </w:rPr>
        <w:t>（五）消毒盒 2个</w:t>
      </w:r>
    </w:p>
    <w:p w14:paraId="401FC41F">
      <w:pPr>
        <w:bidi w:val="0"/>
        <w:spacing w:line="360" w:lineRule="auto"/>
        <w:rPr>
          <w:rFonts w:hint="eastAsia"/>
          <w:lang w:val="en-US" w:eastAsia="zh-CN"/>
        </w:rPr>
      </w:pPr>
      <w:r>
        <w:rPr>
          <w:rFonts w:hint="eastAsia"/>
          <w:lang w:val="en-US" w:eastAsia="zh-CN"/>
        </w:rPr>
        <w:t>（六）铅罐 3个</w:t>
      </w:r>
    </w:p>
    <w:p w14:paraId="2B8A74AE">
      <w:pPr>
        <w:bidi w:val="0"/>
        <w:spacing w:line="360" w:lineRule="auto"/>
        <w:rPr>
          <w:rFonts w:hint="eastAsia"/>
          <w:lang w:val="en-US" w:eastAsia="zh-CN"/>
        </w:rPr>
      </w:pPr>
      <w:r>
        <w:rPr>
          <w:rFonts w:hint="eastAsia"/>
          <w:lang w:val="en-US" w:eastAsia="zh-CN"/>
        </w:rPr>
        <w:t>（七）粒子丢失探测仪1个</w:t>
      </w:r>
    </w:p>
    <w:p w14:paraId="5C70B08A">
      <w:pPr>
        <w:bidi w:val="0"/>
        <w:spacing w:line="360" w:lineRule="auto"/>
        <w:rPr>
          <w:rFonts w:hint="eastAsia"/>
          <w:lang w:val="en-US" w:eastAsia="zh-CN"/>
        </w:rPr>
      </w:pPr>
      <w:r>
        <w:rPr>
          <w:rFonts w:hint="eastAsia"/>
          <w:lang w:val="en-US" w:eastAsia="zh-CN"/>
        </w:rPr>
        <w:t>（八）表面污染仪1个</w:t>
      </w:r>
    </w:p>
    <w:p w14:paraId="338D8CBA">
      <w:pPr>
        <w:pStyle w:val="2"/>
        <w:rPr>
          <w:rFonts w:hint="eastAsia"/>
          <w:lang w:val="en-US" w:eastAsia="zh-CN"/>
        </w:rPr>
      </w:pPr>
    </w:p>
    <w:p w14:paraId="225FAA85">
      <w:pPr>
        <w:pStyle w:val="2"/>
        <w:rPr>
          <w:rFonts w:hint="eastAsia"/>
          <w:lang w:val="en-US" w:eastAsia="zh-CN"/>
        </w:rPr>
      </w:pPr>
    </w:p>
    <w:p w14:paraId="1ADE4FD6">
      <w:pPr>
        <w:pStyle w:val="2"/>
        <w:rPr>
          <w:rFonts w:hint="eastAsia"/>
          <w:lang w:val="en-US" w:eastAsia="zh-CN"/>
        </w:rPr>
      </w:pPr>
    </w:p>
    <w:p w14:paraId="43C308F4">
      <w:pPr>
        <w:pStyle w:val="2"/>
        <w:rPr>
          <w:rFonts w:hint="eastAsia"/>
          <w:lang w:val="en-US" w:eastAsia="zh-CN"/>
        </w:rPr>
      </w:pPr>
    </w:p>
    <w:p w14:paraId="0B743841">
      <w:pPr>
        <w:pStyle w:val="2"/>
        <w:rPr>
          <w:rFonts w:hint="eastAsia"/>
          <w:lang w:val="en-US" w:eastAsia="zh-CN"/>
        </w:rPr>
      </w:pPr>
    </w:p>
    <w:p w14:paraId="7EB38D0E">
      <w:pPr>
        <w:pStyle w:val="2"/>
        <w:rPr>
          <w:rFonts w:hint="eastAsia"/>
          <w:lang w:val="en-US" w:eastAsia="zh-CN"/>
        </w:rPr>
      </w:pPr>
    </w:p>
    <w:p w14:paraId="1BE48AE6">
      <w:pPr>
        <w:pStyle w:val="2"/>
        <w:rPr>
          <w:rFonts w:hint="eastAsia"/>
          <w:lang w:val="en-US" w:eastAsia="zh-CN"/>
        </w:rPr>
      </w:pPr>
    </w:p>
    <w:p w14:paraId="05734D20">
      <w:pPr>
        <w:pStyle w:val="2"/>
        <w:rPr>
          <w:rFonts w:hint="eastAsia"/>
          <w:lang w:val="en-US" w:eastAsia="zh-CN"/>
        </w:rPr>
      </w:pPr>
    </w:p>
    <w:p w14:paraId="6E4BE8E6">
      <w:pPr>
        <w:pStyle w:val="2"/>
        <w:rPr>
          <w:rFonts w:hint="eastAsia"/>
          <w:lang w:val="en-US" w:eastAsia="zh-CN"/>
        </w:rPr>
      </w:pPr>
    </w:p>
    <w:p w14:paraId="7B43392C">
      <w:pPr>
        <w:pStyle w:val="2"/>
        <w:rPr>
          <w:rFonts w:hint="eastAsia"/>
          <w:lang w:val="en-US" w:eastAsia="zh-CN"/>
        </w:rPr>
      </w:pPr>
    </w:p>
    <w:p w14:paraId="6740ABF0">
      <w:pPr>
        <w:pStyle w:val="2"/>
        <w:rPr>
          <w:rFonts w:hint="eastAsia"/>
          <w:lang w:val="en-US" w:eastAsia="zh-CN"/>
        </w:rPr>
      </w:pPr>
    </w:p>
    <w:p w14:paraId="61FA667B">
      <w:pPr>
        <w:pStyle w:val="2"/>
        <w:rPr>
          <w:rFonts w:hint="eastAsia"/>
          <w:lang w:val="en-US" w:eastAsia="zh-CN"/>
        </w:rPr>
      </w:pPr>
    </w:p>
    <w:p w14:paraId="133C3B12">
      <w:pPr>
        <w:pStyle w:val="2"/>
        <w:rPr>
          <w:rFonts w:hint="eastAsia"/>
          <w:lang w:val="en-US" w:eastAsia="zh-CN"/>
        </w:rPr>
      </w:pPr>
    </w:p>
    <w:p w14:paraId="5F68B8F9">
      <w:pPr>
        <w:pStyle w:val="2"/>
        <w:rPr>
          <w:rFonts w:hint="eastAsia"/>
          <w:lang w:val="en-US" w:eastAsia="zh-CN"/>
        </w:rPr>
      </w:pPr>
    </w:p>
    <w:p w14:paraId="61637D90">
      <w:pPr>
        <w:pStyle w:val="2"/>
        <w:rPr>
          <w:rFonts w:hint="eastAsia"/>
          <w:lang w:val="en-US" w:eastAsia="zh-CN"/>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5"/>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83"/>
        <w:gridCol w:w="7803"/>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3"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803"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3"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7803"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合同签订后30日内交货，最终以合同约定内容为准。  </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3"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803" w:type="dxa"/>
            <w:tcBorders>
              <w:top w:val="single" w:color="auto" w:sz="4" w:space="0"/>
              <w:left w:val="single" w:color="auto" w:sz="4" w:space="0"/>
              <w:bottom w:val="single" w:color="auto" w:sz="4" w:space="0"/>
              <w:right w:val="single" w:color="auto" w:sz="4" w:space="0"/>
            </w:tcBorders>
            <w:noWrap/>
            <w:vAlign w:val="center"/>
          </w:tcPr>
          <w:p w14:paraId="62D90186">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3"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803"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符合国家质量标准、部颁标准、行业标准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3"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803"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72054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2" w:hRule="atLeast"/>
          <w:jc w:val="center"/>
        </w:trPr>
        <w:tc>
          <w:tcPr>
            <w:tcW w:w="1683" w:type="dxa"/>
            <w:tcBorders>
              <w:top w:val="single" w:color="auto" w:sz="4" w:space="0"/>
              <w:left w:val="single" w:color="auto" w:sz="4" w:space="0"/>
              <w:bottom w:val="single" w:color="auto" w:sz="4" w:space="0"/>
              <w:right w:val="single" w:color="auto" w:sz="4" w:space="0"/>
            </w:tcBorders>
            <w:noWrap/>
            <w:vAlign w:val="center"/>
          </w:tcPr>
          <w:p w14:paraId="06D4C374">
            <w:pPr>
              <w:pStyle w:val="8"/>
              <w:ind w:left="0" w:leftChars="0"/>
              <w:jc w:val="center"/>
              <w:rPr>
                <w:rFonts w:hint="default" w:ascii="宋体" w:hAnsi="宋体" w:eastAsia="宋体" w:cs="宋体"/>
                <w:color w:val="auto"/>
                <w:sz w:val="21"/>
                <w:szCs w:val="21"/>
                <w:highlight w:val="none"/>
                <w:lang w:val="en-US"/>
              </w:rPr>
            </w:pPr>
            <w:r>
              <w:rPr>
                <w:rFonts w:hint="eastAsia" w:cs="宋体"/>
                <w:color w:val="auto"/>
                <w:sz w:val="21"/>
                <w:szCs w:val="21"/>
                <w:highlight w:val="none"/>
                <w:lang w:val="en-US" w:eastAsia="zh-CN"/>
              </w:rPr>
              <w:t>售后服务</w:t>
            </w:r>
          </w:p>
        </w:tc>
        <w:tc>
          <w:tcPr>
            <w:tcW w:w="7803" w:type="dxa"/>
            <w:tcBorders>
              <w:top w:val="single" w:color="auto" w:sz="4" w:space="0"/>
              <w:left w:val="single" w:color="auto" w:sz="4" w:space="0"/>
              <w:bottom w:val="single" w:color="auto" w:sz="4" w:space="0"/>
              <w:right w:val="single" w:color="auto" w:sz="4" w:space="0"/>
            </w:tcBorders>
            <w:noWrap/>
            <w:vAlign w:val="center"/>
          </w:tcPr>
          <w:p w14:paraId="2C4C7DF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sz w:val="21"/>
                <w:szCs w:val="21"/>
                <w:lang w:val="en-US" w:eastAsia="zh-CN"/>
              </w:rPr>
            </w:pPr>
            <w:r>
              <w:rPr>
                <w:rFonts w:hint="eastAsia"/>
                <w:sz w:val="21"/>
                <w:szCs w:val="21"/>
                <w:lang w:val="en-US" w:eastAsia="zh-CN"/>
              </w:rPr>
              <w:t>1.质保期内应当为采购人提供以下技术支持和服务：a、现场响应：供应商应保证在12小时内对用户提出的问题或故障予以响应及处理。可提供备用设备或核心部件应急使用。b、中标人应当应每季度对该设备进行保养不少于一次,并出具保养报告，具体保养内容见合同。c、质保期内该设备应保证大于95%（含）的开机率，如达不到要求，每少于一天质保期顺延7天，如造成严重损失需赔偿用户经济损失或换货或退货。d、技术升级，如果制造商的产品技术升级，中标人应及时通知采购人，如采购人有相应要求，中标人和制造商应对采购人购买的产品进行免费升级服务。e、投标人交付设备时，应按照《国家食品药品监督管理总局》第18号令第17条的要求提供相应的维护手册、维修手册、软件备份、故障代码表、备件清单、零部件、维修密码等维护维修必需的材料和信息。f、除火灾、洪水、地震等天灾外，在保修期内，由于货物故障所产生的所有费用均由供应商负责。</w:t>
            </w:r>
          </w:p>
          <w:p w14:paraId="522C626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sz w:val="21"/>
                <w:szCs w:val="21"/>
                <w:lang w:val="en-US" w:eastAsia="zh-CN"/>
              </w:rPr>
              <w:t xml:space="preserve">2.培训：免费提供操作培训和维修培训。                         </w:t>
            </w:r>
          </w:p>
        </w:tc>
      </w:tr>
      <w:tr w14:paraId="3F967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3" w:type="dxa"/>
            <w:tcBorders>
              <w:top w:val="single" w:color="auto" w:sz="4" w:space="0"/>
              <w:left w:val="single" w:color="auto" w:sz="4" w:space="0"/>
              <w:bottom w:val="single" w:color="auto" w:sz="4" w:space="0"/>
              <w:right w:val="single" w:color="auto" w:sz="4" w:space="0"/>
            </w:tcBorders>
            <w:noWrap/>
            <w:vAlign w:val="center"/>
          </w:tcPr>
          <w:p w14:paraId="4252FAD1">
            <w:pPr>
              <w:pStyle w:val="8"/>
              <w:ind w:left="0" w:lef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7803" w:type="dxa"/>
            <w:tcBorders>
              <w:top w:val="single" w:color="auto" w:sz="4" w:space="0"/>
              <w:left w:val="single" w:color="auto" w:sz="4" w:space="0"/>
              <w:bottom w:val="single" w:color="auto" w:sz="4" w:space="0"/>
              <w:right w:val="single" w:color="auto" w:sz="4" w:space="0"/>
            </w:tcBorders>
            <w:noWrap/>
            <w:vAlign w:val="center"/>
          </w:tcPr>
          <w:p w14:paraId="0BAAF13D">
            <w:pPr>
              <w:pageBreakBefore w:val="0"/>
              <w:widowControl w:val="0"/>
              <w:kinsoku/>
              <w:wordWrap/>
              <w:overflowPunct/>
              <w:topLinePunct w:val="0"/>
              <w:autoSpaceDE/>
              <w:autoSpaceDN/>
              <w:bidi w:val="0"/>
              <w:adjustRightInd/>
              <w:spacing w:line="360" w:lineRule="auto"/>
              <w:ind w:firstLine="420" w:firstLineChars="200"/>
              <w:textAlignment w:val="auto"/>
              <w:rPr>
                <w:rFonts w:hint="eastAsia"/>
                <w:sz w:val="21"/>
                <w:szCs w:val="21"/>
                <w:lang w:val="en-US" w:eastAsia="zh-CN"/>
              </w:rPr>
            </w:pPr>
            <w:r>
              <w:rPr>
                <w:rFonts w:hint="eastAsia"/>
                <w:sz w:val="21"/>
                <w:szCs w:val="21"/>
                <w:lang w:val="en-US" w:eastAsia="zh-CN"/>
              </w:rPr>
              <w:t xml:space="preserve">要求设备为最新出厂设备，出厂日期不得早于招标日期6个月。 </w:t>
            </w:r>
          </w:p>
        </w:tc>
      </w:tr>
    </w:tbl>
    <w:p w14:paraId="74DA57A6">
      <w:pPr>
        <w:pStyle w:val="25"/>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5"/>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AA172A5">
            <w:pPr>
              <w:widowControl/>
              <w:snapToGrid w:val="0"/>
              <w:spacing w:line="440" w:lineRule="exact"/>
              <w:jc w:val="left"/>
              <w:outlineLvl w:val="0"/>
              <w:rPr>
                <w:rFonts w:hint="eastAsia" w:ascii="宋体" w:hAnsi="宋体" w:cs="宋体"/>
                <w:color w:val="auto"/>
                <w:highlight w:val="none"/>
                <w:lang w:val="en-US" w:eastAsia="zh-CN"/>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bookmarkStart w:id="39" w:name="_Toc29400"/>
            <w:bookmarkStart w:id="40" w:name="_Toc28320"/>
            <w:bookmarkStart w:id="41" w:name="_Toc23424"/>
            <w:r>
              <w:rPr>
                <w:rFonts w:hint="eastAsia" w:ascii="宋体" w:hAnsi="宋体" w:cs="宋体"/>
                <w:color w:val="auto"/>
                <w:highlight w:val="none"/>
                <w:lang w:val="en-US" w:eastAsia="zh-CN"/>
              </w:rPr>
              <w:t>驻马店市中心医院放射介入诊疗设备采购项目（二次）</w:t>
            </w:r>
          </w:p>
          <w:p w14:paraId="710A5111">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35万元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35</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35万元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35万元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4C699D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供应商应为注册在中华人民共和国境内的，且具有独立承担民事责任能力，提供营业执照或其他证明材料。</w:t>
      </w:r>
    </w:p>
    <w:p w14:paraId="6008D38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2CC159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具有履行合同所必需的设备和专业技术能力（提供书面声明函）；</w:t>
      </w:r>
    </w:p>
    <w:p w14:paraId="3606904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参加本采购活动前三年内，在经营活动中没有重大违法记录（提供书面声明函）；</w:t>
      </w:r>
    </w:p>
    <w:p w14:paraId="6033D72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4.5 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证书证明材料）</w:t>
      </w:r>
    </w:p>
    <w:p w14:paraId="799132B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CA22E6A">
      <w:pPr>
        <w:keepNext w:val="0"/>
        <w:keepLines w:val="0"/>
        <w:pageBreakBefore w:val="0"/>
        <w:widowControl w:val="0"/>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单位负责人为同一人或者存在直接控股、管理关系的不同供应商，不得参加同一合同项下的磋商（提供书面声明函）。一经发现，将导致投标同时被拒绝。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shd w:val="clear"/>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2"/>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2"/>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2"/>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2"/>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200004">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30968F69">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lang w:val="en-US" w:eastAsia="zh-CN"/>
        </w:rPr>
      </w:pP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分，有一项不满足的扣3分，扣完为止；如得分为0，则磋商无效。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2）提供产品注册检验报告</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响应技术参数条款的技术白皮书和彩页等相关文件，并对响应技术参数部分做出明显标注。</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投标产品</w:t>
            </w:r>
            <w:r>
              <w:rPr>
                <w:rFonts w:hint="eastAsia" w:ascii="宋体" w:hAnsi="宋体" w:eastAsia="宋体" w:cs="宋体"/>
                <w:color w:val="auto"/>
                <w:sz w:val="21"/>
                <w:szCs w:val="21"/>
                <w:highlight w:val="none"/>
                <w:lang w:val="en-US" w:eastAsia="zh-CN"/>
              </w:rPr>
              <w:t>的制造工艺、稳定性进行打分</w:t>
            </w:r>
            <w:r>
              <w:rPr>
                <w:rFonts w:hint="eastAsia" w:ascii="宋体" w:hAnsi="宋体" w:cs="宋体"/>
                <w:color w:val="auto"/>
                <w:sz w:val="21"/>
                <w:szCs w:val="21"/>
                <w:highlight w:val="none"/>
                <w:lang w:val="en-US" w:eastAsia="zh-CN"/>
              </w:rPr>
              <w:t>：</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产品制造工艺、稳定性好、</w:t>
            </w:r>
            <w:r>
              <w:rPr>
                <w:rFonts w:hint="eastAsia" w:ascii="宋体" w:hAnsi="宋体" w:cs="宋体"/>
                <w:color w:val="auto"/>
                <w:sz w:val="21"/>
                <w:szCs w:val="21"/>
                <w:highlight w:val="none"/>
                <w:lang w:val="en-US" w:eastAsia="zh-CN"/>
              </w:rPr>
              <w:t>安全性高的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auto"/>
                <w:sz w:val="21"/>
                <w:szCs w:val="21"/>
                <w:highlight w:val="none"/>
              </w:rPr>
              <w:t>投标产品制造工艺、稳定性较好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安全性较高的得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分；投标产品制造工艺、稳定性、安全性一般的得1分。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 xml:space="preserve">所投产品优秀，操控性强、性能好、技术先进的得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分；所投产品较好，操控性较强、性能较好、技术较先进的得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分；所投产品一般，操控性一般、性能一般、技术保守的得 1 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具体详实，完全满足采购需求的得3分；有较具体的供货保障措施，基本满足采购需求的得2分；供货保障措施不完备，不能满足采购需求的得1分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2"/>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557EE18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根据供应商提供的售后服务保障措施，包括企业提供本地化服务的措施、</w:t>
            </w:r>
            <w:r>
              <w:rPr>
                <w:rFonts w:hint="eastAsia" w:ascii="宋体" w:hAnsi="宋体" w:eastAsia="宋体" w:cs="宋体"/>
                <w:b w:val="0"/>
                <w:bCs w:val="0"/>
                <w:color w:val="auto"/>
                <w:sz w:val="21"/>
                <w:szCs w:val="21"/>
                <w:highlight w:val="none"/>
                <w:lang w:val="en-US" w:eastAsia="zh-CN"/>
              </w:rPr>
              <w:t>售后服务人员</w:t>
            </w:r>
            <w:r>
              <w:rPr>
                <w:rFonts w:hint="eastAsia" w:ascii="宋体" w:hAnsi="宋体" w:cs="宋体"/>
                <w:b w:val="0"/>
                <w:bCs w:val="0"/>
                <w:color w:val="auto"/>
                <w:sz w:val="21"/>
                <w:szCs w:val="21"/>
                <w:highlight w:val="none"/>
                <w:lang w:val="en-US" w:eastAsia="zh-CN"/>
              </w:rPr>
              <w:t>配备、专业技术能力说明</w:t>
            </w:r>
            <w:r>
              <w:rPr>
                <w:rFonts w:hint="eastAsia" w:ascii="宋体" w:hAnsi="宋体" w:eastAsia="宋体" w:cs="宋体"/>
                <w:b w:val="0"/>
                <w:bCs w:val="0"/>
                <w:color w:val="auto"/>
                <w:kern w:val="2"/>
                <w:sz w:val="21"/>
                <w:szCs w:val="21"/>
                <w:highlight w:val="none"/>
                <w:lang w:val="en-US" w:eastAsia="zh-CN"/>
              </w:rPr>
              <w:t>等进行打分。</w:t>
            </w:r>
          </w:p>
          <w:p w14:paraId="7F48238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b w:val="0"/>
                <w:bCs w:val="0"/>
                <w:color w:val="auto"/>
                <w:kern w:val="2"/>
                <w:sz w:val="21"/>
                <w:szCs w:val="21"/>
                <w:highlight w:val="none"/>
                <w:lang w:val="en-US" w:eastAsia="zh-CN"/>
              </w:rPr>
              <w:t>能够提供本地化服务、人员专业性强的得4分；人员专业性较强的得2分；人员专业性一般的得1分；不能满足采购需求或缺项得0分。</w:t>
            </w:r>
          </w:p>
        </w:tc>
      </w:tr>
      <w:tr w14:paraId="36A9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239" w:type="dxa"/>
            <w:vMerge w:val="continue"/>
            <w:noWrap w:val="0"/>
            <w:vAlign w:val="center"/>
          </w:tcPr>
          <w:p w14:paraId="174D2852">
            <w:pPr>
              <w:keepNext w:val="0"/>
              <w:keepLines w:val="0"/>
              <w:pageBreakBefore w:val="0"/>
              <w:kinsoku/>
              <w:wordWrap/>
              <w:overflowPunct/>
              <w:topLinePunct w:val="0"/>
              <w:bidi w:val="0"/>
              <w:snapToGrid w:val="0"/>
              <w:spacing w:line="360" w:lineRule="exact"/>
              <w:jc w:val="both"/>
              <w:textAlignment w:val="auto"/>
            </w:pPr>
          </w:p>
        </w:tc>
        <w:tc>
          <w:tcPr>
            <w:tcW w:w="1473" w:type="dxa"/>
            <w:vMerge w:val="continue"/>
            <w:noWrap w:val="0"/>
            <w:vAlign w:val="center"/>
          </w:tcPr>
          <w:p w14:paraId="65D41B98">
            <w:pPr>
              <w:keepNext w:val="0"/>
              <w:keepLines w:val="0"/>
              <w:pageBreakBefore w:val="0"/>
              <w:kinsoku/>
              <w:wordWrap/>
              <w:overflowPunct/>
              <w:topLinePunct w:val="0"/>
              <w:bidi w:val="0"/>
              <w:snapToGrid w:val="0"/>
              <w:spacing w:line="360" w:lineRule="exact"/>
              <w:jc w:val="both"/>
              <w:textAlignment w:val="auto"/>
            </w:pPr>
          </w:p>
        </w:tc>
        <w:tc>
          <w:tcPr>
            <w:tcW w:w="6770" w:type="dxa"/>
            <w:noWrap w:val="0"/>
            <w:vAlign w:val="center"/>
          </w:tcPr>
          <w:p w14:paraId="3C63B01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故障响应时间、应急维修措施预案、培训方案等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7C905FB8">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故障响应时间极快、应急维修措施预案合理且可行，有具体的培训方案，得4分。</w:t>
            </w:r>
          </w:p>
          <w:p w14:paraId="62AF9F9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服务承诺符合本项目特点，故障响应时间快、应急维修措施预案较合理，有较具体的培训方案的得2分；</w:t>
            </w:r>
          </w:p>
          <w:p w14:paraId="1CB2A3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服务承诺符合本项目特点，故障响应时间较长、应急维修措施预案不完备，培训方案不完备的得1分；</w:t>
            </w:r>
          </w:p>
          <w:p w14:paraId="754D82D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4"/>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9"/>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r>
        <w:rPr>
          <w:rFonts w:hint="eastAsia" w:ascii="宋体" w:hAnsi="宋体" w:cs="宋体"/>
          <w:b/>
          <w:snapToGrid w:val="0"/>
          <w:color w:val="auto"/>
          <w:spacing w:val="0"/>
          <w:kern w:val="0"/>
          <w:sz w:val="44"/>
          <w:szCs w:val="44"/>
          <w:highlight w:val="yellow"/>
          <w:u w:val="none"/>
          <w:lang w:val="en-US" w:eastAsia="zh-CN"/>
        </w:rPr>
        <w:t>（二次）</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9"/>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供应商及其投标产品和服务，我方就本次投标有关事项郑重声明并宣布同意如下：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5"/>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625"/>
      <w:bookmarkStart w:id="75"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lang w:val="en-US" w:eastAsia="zh-CN"/>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5"/>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4"/>
        <w:ind w:firstLine="3990" w:firstLineChars="1900"/>
        <w:rPr>
          <w:rFonts w:hint="eastAsia" w:ascii="宋体" w:hAnsi="宋体" w:eastAsia="宋体" w:cs="宋体"/>
          <w:color w:val="auto"/>
          <w:sz w:val="21"/>
          <w:szCs w:val="21"/>
          <w:highlight w:val="none"/>
          <w:lang w:eastAsia="zh-CN"/>
        </w:rPr>
      </w:pPr>
    </w:p>
    <w:p w14:paraId="3C53A5A9">
      <w:pPr>
        <w:pStyle w:val="34"/>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5"/>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80" w:name="_Toc15804"/>
      <w:bookmarkStart w:id="81"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6"/>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sz w:val="21"/>
                <w:szCs w:val="21"/>
                <w:vertAlign w:val="baseline"/>
                <w:lang w:val="en-US" w:eastAsia="zh-CN"/>
              </w:rPr>
            </w:pPr>
            <w:r>
              <w:rPr>
                <w:rFonts w:hint="eastAsia" w:eastAsia="宋体"/>
                <w:b/>
                <w:bCs/>
                <w:sz w:val="21"/>
                <w:szCs w:val="21"/>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商品名称</w:t>
            </w:r>
          </w:p>
        </w:tc>
        <w:tc>
          <w:tcPr>
            <w:tcW w:w="1046" w:type="dxa"/>
            <w:vAlign w:val="center"/>
          </w:tcPr>
          <w:p w14:paraId="7B88569B">
            <w:pPr>
              <w:keepNext w:val="0"/>
              <w:keepLines w:val="0"/>
              <w:widowControl/>
              <w:suppressLineNumbers w:val="0"/>
              <w:jc w:val="center"/>
              <w:rPr>
                <w:sz w:val="21"/>
                <w:szCs w:val="21"/>
              </w:rPr>
            </w:pPr>
            <w:r>
              <w:rPr>
                <w:rFonts w:hint="eastAsia" w:ascii="宋体" w:hAnsi="宋体" w:eastAsia="宋体" w:cs="宋体"/>
                <w:b/>
                <w:bCs/>
                <w:snapToGrid w:val="0"/>
                <w:color w:val="000000"/>
                <w:kern w:val="0"/>
                <w:sz w:val="21"/>
                <w:szCs w:val="21"/>
                <w:lang w:val="en-US" w:eastAsia="zh-CN" w:bidi="ar"/>
              </w:rPr>
              <w:t>注册</w:t>
            </w:r>
          </w:p>
          <w:p w14:paraId="5A7F3778">
            <w:pPr>
              <w:keepNext w:val="0"/>
              <w:keepLines w:val="0"/>
              <w:widowControl/>
              <w:suppressLineNumbers w:val="0"/>
              <w:jc w:val="center"/>
              <w:rPr>
                <w:sz w:val="21"/>
                <w:szCs w:val="21"/>
                <w:vertAlign w:val="baseline"/>
              </w:rPr>
            </w:pPr>
            <w:r>
              <w:rPr>
                <w:rFonts w:hint="eastAsia" w:ascii="宋体" w:hAnsi="宋体" w:eastAsia="宋体" w:cs="宋体"/>
                <w:b/>
                <w:bCs/>
                <w:snapToGrid w:val="0"/>
                <w:color w:val="000000"/>
                <w:kern w:val="0"/>
                <w:sz w:val="21"/>
                <w:szCs w:val="21"/>
                <w:lang w:val="en-US" w:eastAsia="zh-CN" w:bidi="ar"/>
              </w:rPr>
              <w:t>证名称及注册证号</w:t>
            </w:r>
          </w:p>
        </w:tc>
        <w:tc>
          <w:tcPr>
            <w:tcW w:w="1046" w:type="dxa"/>
            <w:vAlign w:val="center"/>
          </w:tcPr>
          <w:p w14:paraId="13975975">
            <w:pPr>
              <w:keepNext w:val="0"/>
              <w:keepLines w:val="0"/>
              <w:widowControl/>
              <w:suppressLineNumbers w:val="0"/>
              <w:jc w:val="center"/>
              <w:rPr>
                <w:sz w:val="21"/>
                <w:szCs w:val="21"/>
              </w:rPr>
            </w:pPr>
            <w:r>
              <w:rPr>
                <w:rFonts w:hint="eastAsia" w:ascii="宋体" w:hAnsi="宋体" w:eastAsia="宋体" w:cs="宋体"/>
                <w:b/>
                <w:bCs/>
                <w:snapToGrid w:val="0"/>
                <w:color w:val="000000"/>
                <w:kern w:val="0"/>
                <w:sz w:val="21"/>
                <w:szCs w:val="21"/>
                <w:lang w:val="en-US" w:eastAsia="zh-CN" w:bidi="ar"/>
              </w:rPr>
              <w:t>品牌</w:t>
            </w:r>
          </w:p>
          <w:p w14:paraId="715FBD17">
            <w:pPr>
              <w:keepNext w:val="0"/>
              <w:keepLines w:val="0"/>
              <w:widowControl/>
              <w:suppressLineNumbers w:val="0"/>
              <w:jc w:val="center"/>
              <w:rPr>
                <w:sz w:val="21"/>
                <w:szCs w:val="21"/>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sz w:val="21"/>
                <w:szCs w:val="21"/>
              </w:rPr>
            </w:pPr>
            <w:r>
              <w:rPr>
                <w:rFonts w:hint="eastAsia" w:ascii="宋体" w:hAnsi="宋体" w:eastAsia="宋体" w:cs="宋体"/>
                <w:b/>
                <w:sz w:val="21"/>
                <w:szCs w:val="21"/>
              </w:rPr>
              <w:t>省、市、县</w:t>
            </w:r>
          </w:p>
          <w:p w14:paraId="1EA388BB">
            <w:pPr>
              <w:widowControl w:val="0"/>
              <w:spacing w:line="320" w:lineRule="exact"/>
              <w:jc w:val="center"/>
              <w:outlineLvl w:val="0"/>
              <w:rPr>
                <w:rFonts w:hint="eastAsia" w:ascii="宋体" w:hAnsi="宋体" w:eastAsia="宋体" w:cs="宋体"/>
                <w:b/>
                <w:sz w:val="21"/>
                <w:szCs w:val="21"/>
              </w:rPr>
            </w:pPr>
            <w:r>
              <w:rPr>
                <w:rFonts w:hint="eastAsia" w:ascii="宋体" w:hAnsi="宋体" w:eastAsia="宋体" w:cs="宋体"/>
                <w:b/>
                <w:sz w:val="21"/>
                <w:szCs w:val="21"/>
              </w:rPr>
              <w:t>收费编码</w:t>
            </w:r>
          </w:p>
          <w:p w14:paraId="0E7218A7">
            <w:pPr>
              <w:widowControl w:val="0"/>
              <w:spacing w:line="320" w:lineRule="exact"/>
              <w:jc w:val="center"/>
              <w:outlineLvl w:val="0"/>
              <w:rPr>
                <w:sz w:val="21"/>
                <w:szCs w:val="21"/>
                <w:vertAlign w:val="baseline"/>
              </w:rPr>
            </w:pPr>
            <w:r>
              <w:rPr>
                <w:rFonts w:hint="eastAsia" w:ascii="宋体" w:hAnsi="宋体" w:eastAsia="宋体" w:cs="宋体"/>
                <w:b/>
                <w:sz w:val="21"/>
                <w:szCs w:val="21"/>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vertAlign w:val="baseline"/>
              </w:rPr>
            </w:pPr>
          </w:p>
        </w:tc>
        <w:tc>
          <w:tcPr>
            <w:tcW w:w="1447" w:type="dxa"/>
            <w:vMerge w:val="restart"/>
          </w:tcPr>
          <w:p w14:paraId="1411B170">
            <w:pPr>
              <w:widowControl w:val="0"/>
              <w:rPr>
                <w:vertAlign w:val="baseline"/>
              </w:rPr>
            </w:pPr>
          </w:p>
        </w:tc>
        <w:tc>
          <w:tcPr>
            <w:tcW w:w="1447" w:type="dxa"/>
          </w:tcPr>
          <w:p w14:paraId="538C956D">
            <w:pPr>
              <w:widowControl w:val="0"/>
              <w:rPr>
                <w:vertAlign w:val="baseline"/>
              </w:rPr>
            </w:pPr>
          </w:p>
        </w:tc>
        <w:tc>
          <w:tcPr>
            <w:tcW w:w="1046" w:type="dxa"/>
          </w:tcPr>
          <w:p w14:paraId="74877ABD">
            <w:pPr>
              <w:widowControl w:val="0"/>
              <w:rPr>
                <w:vertAlign w:val="baseline"/>
              </w:rPr>
            </w:pPr>
          </w:p>
        </w:tc>
        <w:tc>
          <w:tcPr>
            <w:tcW w:w="1046" w:type="dxa"/>
          </w:tcPr>
          <w:p w14:paraId="46285D21">
            <w:pPr>
              <w:widowControl w:val="0"/>
              <w:rPr>
                <w:vertAlign w:val="baseline"/>
              </w:rPr>
            </w:pPr>
          </w:p>
        </w:tc>
        <w:tc>
          <w:tcPr>
            <w:tcW w:w="1046" w:type="dxa"/>
          </w:tcPr>
          <w:p w14:paraId="30AA1993">
            <w:pPr>
              <w:widowControl w:val="0"/>
              <w:rPr>
                <w:vertAlign w:val="baseline"/>
              </w:rPr>
            </w:pPr>
          </w:p>
        </w:tc>
        <w:tc>
          <w:tcPr>
            <w:tcW w:w="1164" w:type="dxa"/>
          </w:tcPr>
          <w:p w14:paraId="3FDE21BE">
            <w:pPr>
              <w:widowControl w:val="0"/>
              <w:rPr>
                <w:vertAlign w:val="baseline"/>
              </w:rPr>
            </w:pPr>
          </w:p>
        </w:tc>
        <w:tc>
          <w:tcPr>
            <w:tcW w:w="929" w:type="dxa"/>
          </w:tcPr>
          <w:p w14:paraId="4E71EAFD">
            <w:pPr>
              <w:widowControl w:val="0"/>
              <w:rPr>
                <w:vertAlign w:val="baseline"/>
              </w:rPr>
            </w:pPr>
          </w:p>
        </w:tc>
        <w:tc>
          <w:tcPr>
            <w:tcW w:w="929" w:type="dxa"/>
          </w:tcPr>
          <w:p w14:paraId="2A5C917F">
            <w:pPr>
              <w:widowControl w:val="0"/>
              <w:rPr>
                <w:vertAlign w:val="baseline"/>
              </w:rPr>
            </w:pPr>
          </w:p>
        </w:tc>
        <w:tc>
          <w:tcPr>
            <w:tcW w:w="1046" w:type="dxa"/>
          </w:tcPr>
          <w:p w14:paraId="2BC032BB">
            <w:pPr>
              <w:widowControl w:val="0"/>
              <w:rPr>
                <w:vertAlign w:val="baseline"/>
              </w:rPr>
            </w:pPr>
          </w:p>
        </w:tc>
        <w:tc>
          <w:tcPr>
            <w:tcW w:w="1609" w:type="dxa"/>
          </w:tcPr>
          <w:p w14:paraId="43AF7AB5">
            <w:pPr>
              <w:widowControl w:val="0"/>
              <w:rPr>
                <w:vertAlign w:val="baseline"/>
              </w:rPr>
            </w:pPr>
          </w:p>
        </w:tc>
        <w:tc>
          <w:tcPr>
            <w:tcW w:w="1908" w:type="dxa"/>
          </w:tcPr>
          <w:p w14:paraId="351E7283">
            <w:pPr>
              <w:widowControl w:val="0"/>
              <w:rPr>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vertAlign w:val="baseline"/>
              </w:rPr>
            </w:pPr>
          </w:p>
        </w:tc>
        <w:tc>
          <w:tcPr>
            <w:tcW w:w="1447" w:type="dxa"/>
            <w:vMerge w:val="continue"/>
          </w:tcPr>
          <w:p w14:paraId="040A03DA">
            <w:pPr>
              <w:widowControl w:val="0"/>
              <w:rPr>
                <w:vertAlign w:val="baseline"/>
              </w:rPr>
            </w:pPr>
          </w:p>
        </w:tc>
        <w:tc>
          <w:tcPr>
            <w:tcW w:w="1447" w:type="dxa"/>
          </w:tcPr>
          <w:p w14:paraId="6D655FCD">
            <w:pPr>
              <w:widowControl w:val="0"/>
              <w:rPr>
                <w:vertAlign w:val="baseline"/>
              </w:rPr>
            </w:pPr>
          </w:p>
        </w:tc>
        <w:tc>
          <w:tcPr>
            <w:tcW w:w="1046" w:type="dxa"/>
          </w:tcPr>
          <w:p w14:paraId="5E1CE5CD">
            <w:pPr>
              <w:widowControl w:val="0"/>
              <w:rPr>
                <w:vertAlign w:val="baseline"/>
              </w:rPr>
            </w:pPr>
          </w:p>
        </w:tc>
        <w:tc>
          <w:tcPr>
            <w:tcW w:w="1046" w:type="dxa"/>
          </w:tcPr>
          <w:p w14:paraId="6FFF8D39">
            <w:pPr>
              <w:widowControl w:val="0"/>
              <w:rPr>
                <w:vertAlign w:val="baseline"/>
              </w:rPr>
            </w:pPr>
          </w:p>
        </w:tc>
        <w:tc>
          <w:tcPr>
            <w:tcW w:w="1046" w:type="dxa"/>
          </w:tcPr>
          <w:p w14:paraId="69EFFFF9">
            <w:pPr>
              <w:widowControl w:val="0"/>
              <w:rPr>
                <w:vertAlign w:val="baseline"/>
              </w:rPr>
            </w:pPr>
          </w:p>
        </w:tc>
        <w:tc>
          <w:tcPr>
            <w:tcW w:w="1164" w:type="dxa"/>
          </w:tcPr>
          <w:p w14:paraId="0D9181D5">
            <w:pPr>
              <w:widowControl w:val="0"/>
              <w:rPr>
                <w:vertAlign w:val="baseline"/>
              </w:rPr>
            </w:pPr>
          </w:p>
        </w:tc>
        <w:tc>
          <w:tcPr>
            <w:tcW w:w="929" w:type="dxa"/>
          </w:tcPr>
          <w:p w14:paraId="13E08F75">
            <w:pPr>
              <w:widowControl w:val="0"/>
              <w:rPr>
                <w:vertAlign w:val="baseline"/>
              </w:rPr>
            </w:pPr>
          </w:p>
        </w:tc>
        <w:tc>
          <w:tcPr>
            <w:tcW w:w="929" w:type="dxa"/>
          </w:tcPr>
          <w:p w14:paraId="55638291">
            <w:pPr>
              <w:widowControl w:val="0"/>
              <w:rPr>
                <w:vertAlign w:val="baseline"/>
              </w:rPr>
            </w:pPr>
          </w:p>
        </w:tc>
        <w:tc>
          <w:tcPr>
            <w:tcW w:w="1046" w:type="dxa"/>
          </w:tcPr>
          <w:p w14:paraId="18AD76A8">
            <w:pPr>
              <w:widowControl w:val="0"/>
              <w:rPr>
                <w:vertAlign w:val="baseline"/>
              </w:rPr>
            </w:pPr>
          </w:p>
        </w:tc>
        <w:tc>
          <w:tcPr>
            <w:tcW w:w="1609" w:type="dxa"/>
          </w:tcPr>
          <w:p w14:paraId="3E848191">
            <w:pPr>
              <w:widowControl w:val="0"/>
              <w:rPr>
                <w:vertAlign w:val="baseline"/>
              </w:rPr>
            </w:pPr>
          </w:p>
        </w:tc>
        <w:tc>
          <w:tcPr>
            <w:tcW w:w="1908" w:type="dxa"/>
          </w:tcPr>
          <w:p w14:paraId="4A951FB8">
            <w:pPr>
              <w:widowControl w:val="0"/>
              <w:rPr>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vertAlign w:val="baseline"/>
              </w:rPr>
            </w:pPr>
          </w:p>
        </w:tc>
        <w:tc>
          <w:tcPr>
            <w:tcW w:w="1447" w:type="dxa"/>
            <w:vMerge w:val="restart"/>
          </w:tcPr>
          <w:p w14:paraId="0D9E80CF">
            <w:pPr>
              <w:widowControl w:val="0"/>
              <w:rPr>
                <w:vertAlign w:val="baseline"/>
              </w:rPr>
            </w:pPr>
          </w:p>
        </w:tc>
        <w:tc>
          <w:tcPr>
            <w:tcW w:w="1447" w:type="dxa"/>
          </w:tcPr>
          <w:p w14:paraId="1E7399C3">
            <w:pPr>
              <w:widowControl w:val="0"/>
              <w:rPr>
                <w:vertAlign w:val="baseline"/>
              </w:rPr>
            </w:pPr>
          </w:p>
        </w:tc>
        <w:tc>
          <w:tcPr>
            <w:tcW w:w="1046" w:type="dxa"/>
          </w:tcPr>
          <w:p w14:paraId="3F37E071">
            <w:pPr>
              <w:widowControl w:val="0"/>
              <w:rPr>
                <w:vertAlign w:val="baseline"/>
              </w:rPr>
            </w:pPr>
          </w:p>
        </w:tc>
        <w:tc>
          <w:tcPr>
            <w:tcW w:w="1046" w:type="dxa"/>
          </w:tcPr>
          <w:p w14:paraId="3C6E9A35">
            <w:pPr>
              <w:widowControl w:val="0"/>
              <w:rPr>
                <w:vertAlign w:val="baseline"/>
              </w:rPr>
            </w:pPr>
          </w:p>
        </w:tc>
        <w:tc>
          <w:tcPr>
            <w:tcW w:w="1046" w:type="dxa"/>
          </w:tcPr>
          <w:p w14:paraId="439A493E">
            <w:pPr>
              <w:widowControl w:val="0"/>
              <w:rPr>
                <w:vertAlign w:val="baseline"/>
              </w:rPr>
            </w:pPr>
          </w:p>
        </w:tc>
        <w:tc>
          <w:tcPr>
            <w:tcW w:w="1164" w:type="dxa"/>
          </w:tcPr>
          <w:p w14:paraId="6DA472CA">
            <w:pPr>
              <w:widowControl w:val="0"/>
              <w:rPr>
                <w:vertAlign w:val="baseline"/>
              </w:rPr>
            </w:pPr>
          </w:p>
        </w:tc>
        <w:tc>
          <w:tcPr>
            <w:tcW w:w="929" w:type="dxa"/>
          </w:tcPr>
          <w:p w14:paraId="7A944B46">
            <w:pPr>
              <w:widowControl w:val="0"/>
              <w:rPr>
                <w:vertAlign w:val="baseline"/>
              </w:rPr>
            </w:pPr>
          </w:p>
        </w:tc>
        <w:tc>
          <w:tcPr>
            <w:tcW w:w="929" w:type="dxa"/>
          </w:tcPr>
          <w:p w14:paraId="4B709168">
            <w:pPr>
              <w:widowControl w:val="0"/>
              <w:rPr>
                <w:vertAlign w:val="baseline"/>
              </w:rPr>
            </w:pPr>
          </w:p>
        </w:tc>
        <w:tc>
          <w:tcPr>
            <w:tcW w:w="1046" w:type="dxa"/>
          </w:tcPr>
          <w:p w14:paraId="0406CE2F">
            <w:pPr>
              <w:widowControl w:val="0"/>
              <w:rPr>
                <w:vertAlign w:val="baseline"/>
              </w:rPr>
            </w:pPr>
          </w:p>
        </w:tc>
        <w:tc>
          <w:tcPr>
            <w:tcW w:w="1609" w:type="dxa"/>
          </w:tcPr>
          <w:p w14:paraId="51830342">
            <w:pPr>
              <w:widowControl w:val="0"/>
              <w:rPr>
                <w:vertAlign w:val="baseline"/>
              </w:rPr>
            </w:pPr>
          </w:p>
        </w:tc>
        <w:tc>
          <w:tcPr>
            <w:tcW w:w="1908" w:type="dxa"/>
          </w:tcPr>
          <w:p w14:paraId="3E3FE638">
            <w:pPr>
              <w:widowControl w:val="0"/>
              <w:rPr>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vertAlign w:val="baseline"/>
              </w:rPr>
            </w:pPr>
          </w:p>
        </w:tc>
        <w:tc>
          <w:tcPr>
            <w:tcW w:w="1447" w:type="dxa"/>
            <w:vMerge w:val="continue"/>
          </w:tcPr>
          <w:p w14:paraId="321CC1BD">
            <w:pPr>
              <w:widowControl w:val="0"/>
              <w:rPr>
                <w:vertAlign w:val="baseline"/>
              </w:rPr>
            </w:pPr>
          </w:p>
        </w:tc>
        <w:tc>
          <w:tcPr>
            <w:tcW w:w="1447" w:type="dxa"/>
          </w:tcPr>
          <w:p w14:paraId="177DB5E9">
            <w:pPr>
              <w:widowControl w:val="0"/>
              <w:rPr>
                <w:vertAlign w:val="baseline"/>
              </w:rPr>
            </w:pPr>
          </w:p>
        </w:tc>
        <w:tc>
          <w:tcPr>
            <w:tcW w:w="1046" w:type="dxa"/>
          </w:tcPr>
          <w:p w14:paraId="74208401">
            <w:pPr>
              <w:widowControl w:val="0"/>
              <w:rPr>
                <w:vertAlign w:val="baseline"/>
              </w:rPr>
            </w:pPr>
          </w:p>
        </w:tc>
        <w:tc>
          <w:tcPr>
            <w:tcW w:w="1046" w:type="dxa"/>
          </w:tcPr>
          <w:p w14:paraId="1C3E1A61">
            <w:pPr>
              <w:widowControl w:val="0"/>
              <w:rPr>
                <w:vertAlign w:val="baseline"/>
              </w:rPr>
            </w:pPr>
          </w:p>
        </w:tc>
        <w:tc>
          <w:tcPr>
            <w:tcW w:w="1046" w:type="dxa"/>
          </w:tcPr>
          <w:p w14:paraId="045B7522">
            <w:pPr>
              <w:widowControl w:val="0"/>
              <w:rPr>
                <w:vertAlign w:val="baseline"/>
              </w:rPr>
            </w:pPr>
          </w:p>
        </w:tc>
        <w:tc>
          <w:tcPr>
            <w:tcW w:w="1164" w:type="dxa"/>
          </w:tcPr>
          <w:p w14:paraId="495D32C7">
            <w:pPr>
              <w:widowControl w:val="0"/>
              <w:rPr>
                <w:vertAlign w:val="baseline"/>
              </w:rPr>
            </w:pPr>
          </w:p>
        </w:tc>
        <w:tc>
          <w:tcPr>
            <w:tcW w:w="929" w:type="dxa"/>
          </w:tcPr>
          <w:p w14:paraId="2C00F716">
            <w:pPr>
              <w:widowControl w:val="0"/>
              <w:rPr>
                <w:vertAlign w:val="baseline"/>
              </w:rPr>
            </w:pPr>
          </w:p>
        </w:tc>
        <w:tc>
          <w:tcPr>
            <w:tcW w:w="929" w:type="dxa"/>
          </w:tcPr>
          <w:p w14:paraId="6707E9BC">
            <w:pPr>
              <w:widowControl w:val="0"/>
              <w:rPr>
                <w:vertAlign w:val="baseline"/>
              </w:rPr>
            </w:pPr>
          </w:p>
        </w:tc>
        <w:tc>
          <w:tcPr>
            <w:tcW w:w="1046" w:type="dxa"/>
          </w:tcPr>
          <w:p w14:paraId="3D0459B3">
            <w:pPr>
              <w:widowControl w:val="0"/>
              <w:rPr>
                <w:vertAlign w:val="baseline"/>
              </w:rPr>
            </w:pPr>
          </w:p>
        </w:tc>
        <w:tc>
          <w:tcPr>
            <w:tcW w:w="1609" w:type="dxa"/>
          </w:tcPr>
          <w:p w14:paraId="079689F5">
            <w:pPr>
              <w:widowControl w:val="0"/>
              <w:rPr>
                <w:vertAlign w:val="baseline"/>
              </w:rPr>
            </w:pPr>
          </w:p>
        </w:tc>
        <w:tc>
          <w:tcPr>
            <w:tcW w:w="1908" w:type="dxa"/>
          </w:tcPr>
          <w:p w14:paraId="60DE824B">
            <w:pPr>
              <w:widowControl w:val="0"/>
              <w:rPr>
                <w:vertAlign w:val="baseline"/>
              </w:rPr>
            </w:pPr>
          </w:p>
        </w:tc>
      </w:tr>
    </w:tbl>
    <w:p w14:paraId="5C36BDA2"/>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sz w:val="18"/>
          <w:szCs w:val="21"/>
        </w:rPr>
      </w:pPr>
      <w:r>
        <w:rPr>
          <w:rFonts w:hint="eastAsia" w:ascii="宋体" w:hAnsi="宋体" w:eastAsia="宋体" w:cs="宋体"/>
          <w:b/>
          <w:bCs/>
          <w:snapToGrid w:val="0"/>
          <w:color w:val="000000"/>
          <w:kern w:val="0"/>
          <w:sz w:val="21"/>
          <w:szCs w:val="21"/>
          <w:lang w:val="en-US" w:eastAsia="zh-CN" w:bidi="ar"/>
        </w:rPr>
        <w:t>备注: 此表为产品配套试剂报价表，如没有，无需制作</w:t>
      </w:r>
      <w:r>
        <w:rPr>
          <w:rFonts w:hint="eastAsia" w:ascii="宋体" w:hAnsi="宋体" w:cs="宋体"/>
          <w:b/>
          <w:bCs/>
          <w:snapToGrid w:val="0"/>
          <w:color w:val="000000"/>
          <w:kern w:val="0"/>
          <w:sz w:val="21"/>
          <w:szCs w:val="21"/>
          <w:lang w:val="en-US" w:eastAsia="zh-CN" w:bidi="ar"/>
        </w:rPr>
        <w:t>，请自行删除</w:t>
      </w:r>
      <w:r>
        <w:rPr>
          <w:rFonts w:hint="eastAsia" w:ascii="宋体" w:hAnsi="宋体" w:eastAsia="宋体" w:cs="宋体"/>
          <w:b/>
          <w:bCs/>
          <w:snapToGrid w:val="0"/>
          <w:color w:val="000000"/>
          <w:kern w:val="0"/>
          <w:sz w:val="21"/>
          <w:szCs w:val="21"/>
          <w:lang w:val="en-US" w:eastAsia="zh-CN" w:bidi="ar"/>
        </w:rPr>
        <w:t>。</w:t>
      </w:r>
    </w:p>
    <w:p w14:paraId="3C312762">
      <w:pPr>
        <w:pStyle w:val="25"/>
        <w:rPr>
          <w:rFonts w:hint="eastAsia" w:ascii="宋体" w:hAnsi="宋体" w:cs="宋体"/>
          <w:color w:val="000000" w:themeColor="text1"/>
          <w:kern w:val="0"/>
          <w:sz w:val="24"/>
          <w:highlight w:val="none"/>
          <w14:textFill>
            <w14:solidFill>
              <w14:schemeClr w14:val="tx1"/>
            </w14:solidFill>
          </w14:textFill>
        </w:rPr>
      </w:pPr>
    </w:p>
    <w:p w14:paraId="5E4799AD">
      <w:pPr>
        <w:pStyle w:val="25"/>
        <w:rPr>
          <w:rFonts w:hint="eastAsia" w:ascii="宋体" w:hAnsi="宋体" w:cs="宋体"/>
          <w:color w:val="000000" w:themeColor="text1"/>
          <w:kern w:val="0"/>
          <w:sz w:val="24"/>
          <w:highlight w:val="none"/>
          <w14:textFill>
            <w14:solidFill>
              <w14:schemeClr w14:val="tx1"/>
            </w14:solidFill>
          </w14:textFill>
        </w:rPr>
      </w:pPr>
    </w:p>
    <w:p w14:paraId="152C8C36">
      <w:pPr>
        <w:pStyle w:val="25"/>
        <w:rPr>
          <w:rFonts w:hint="eastAsia" w:ascii="宋体" w:hAnsi="宋体" w:cs="宋体"/>
          <w:color w:val="000000" w:themeColor="text1"/>
          <w:kern w:val="0"/>
          <w:sz w:val="24"/>
          <w:highlight w:val="none"/>
          <w14:textFill>
            <w14:solidFill>
              <w14:schemeClr w14:val="tx1"/>
            </w14:solidFill>
          </w14:textFill>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商品名（通用名）</w:t>
            </w:r>
          </w:p>
        </w:tc>
        <w:tc>
          <w:tcPr>
            <w:tcW w:w="1060" w:type="dxa"/>
            <w:vAlign w:val="center"/>
          </w:tcPr>
          <w:p w14:paraId="32F79E07">
            <w:pPr>
              <w:keepNext w:val="0"/>
              <w:keepLines w:val="0"/>
              <w:widowControl/>
              <w:suppressLineNumbers w:val="0"/>
              <w:jc w:val="center"/>
              <w:rPr>
                <w:b/>
                <w:bCs/>
                <w:sz w:val="21"/>
                <w:szCs w:val="21"/>
              </w:rPr>
            </w:pPr>
            <w:r>
              <w:rPr>
                <w:rFonts w:hint="eastAsia" w:ascii="宋体" w:hAnsi="宋体" w:eastAsia="宋体" w:cs="宋体"/>
                <w:b/>
                <w:bCs/>
                <w:snapToGrid w:val="0"/>
                <w:color w:val="000000"/>
                <w:kern w:val="0"/>
                <w:sz w:val="21"/>
                <w:szCs w:val="21"/>
                <w:lang w:val="en-US" w:eastAsia="zh-CN" w:bidi="ar"/>
              </w:rPr>
              <w:t>投标产</w:t>
            </w:r>
          </w:p>
          <w:p w14:paraId="451D1B1F">
            <w:pPr>
              <w:keepNext w:val="0"/>
              <w:keepLines w:val="0"/>
              <w:widowControl/>
              <w:suppressLineNumbers w:val="0"/>
              <w:jc w:val="center"/>
              <w:rPr>
                <w:b/>
                <w:bCs/>
                <w:sz w:val="21"/>
                <w:szCs w:val="21"/>
              </w:rPr>
            </w:pPr>
            <w:r>
              <w:rPr>
                <w:rFonts w:hint="eastAsia" w:ascii="宋体" w:hAnsi="宋体" w:eastAsia="宋体" w:cs="宋体"/>
                <w:b/>
                <w:bCs/>
                <w:snapToGrid w:val="0"/>
                <w:color w:val="000000"/>
                <w:kern w:val="0"/>
                <w:sz w:val="21"/>
                <w:szCs w:val="21"/>
                <w:lang w:val="en-US" w:eastAsia="zh-CN" w:bidi="ar"/>
              </w:rPr>
              <w:t>品注册</w:t>
            </w:r>
          </w:p>
          <w:p w14:paraId="2F5AB844">
            <w:pPr>
              <w:keepNext w:val="0"/>
              <w:keepLines w:val="0"/>
              <w:widowControl/>
              <w:suppressLineNumbers w:val="0"/>
              <w:jc w:val="center"/>
              <w:rPr>
                <w:b/>
                <w:bCs/>
                <w:sz w:val="21"/>
                <w:szCs w:val="21"/>
                <w:vertAlign w:val="baseline"/>
              </w:rPr>
            </w:pPr>
            <w:r>
              <w:rPr>
                <w:rFonts w:hint="eastAsia" w:ascii="宋体" w:hAnsi="宋体" w:eastAsia="宋体" w:cs="宋体"/>
                <w:b/>
                <w:bCs/>
                <w:snapToGrid w:val="0"/>
                <w:color w:val="000000"/>
                <w:kern w:val="0"/>
                <w:sz w:val="21"/>
                <w:szCs w:val="21"/>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投标单价</w:t>
            </w:r>
          </w:p>
          <w:p w14:paraId="59672E7B">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投标产品</w:t>
            </w:r>
          </w:p>
          <w:p w14:paraId="5AC485E5">
            <w:pPr>
              <w:keepNext w:val="0"/>
              <w:keepLines w:val="0"/>
              <w:widowControl/>
              <w:suppressLineNumbers w:val="0"/>
              <w:jc w:val="center"/>
              <w:rPr>
                <w:rFonts w:hint="eastAsia" w:eastAsia="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543" w:type="dxa"/>
            <w:vMerge w:val="restart"/>
          </w:tcPr>
          <w:p w14:paraId="2078D575">
            <w:pPr>
              <w:widowControl w:val="0"/>
              <w:rPr>
                <w:vertAlign w:val="baseline"/>
              </w:rPr>
            </w:pPr>
          </w:p>
        </w:tc>
        <w:tc>
          <w:tcPr>
            <w:tcW w:w="1393" w:type="dxa"/>
          </w:tcPr>
          <w:p w14:paraId="0F341263">
            <w:pPr>
              <w:widowControl w:val="0"/>
              <w:rPr>
                <w:vertAlign w:val="baseline"/>
              </w:rPr>
            </w:pPr>
          </w:p>
        </w:tc>
        <w:tc>
          <w:tcPr>
            <w:tcW w:w="1060" w:type="dxa"/>
          </w:tcPr>
          <w:p w14:paraId="5E2811FC">
            <w:pPr>
              <w:widowControl w:val="0"/>
              <w:rPr>
                <w:vertAlign w:val="baseline"/>
              </w:rPr>
            </w:pPr>
          </w:p>
        </w:tc>
        <w:tc>
          <w:tcPr>
            <w:tcW w:w="1060" w:type="dxa"/>
          </w:tcPr>
          <w:p w14:paraId="4138DDFD">
            <w:pPr>
              <w:widowControl w:val="0"/>
              <w:rPr>
                <w:vertAlign w:val="baseline"/>
              </w:rPr>
            </w:pPr>
          </w:p>
        </w:tc>
        <w:tc>
          <w:tcPr>
            <w:tcW w:w="1060" w:type="dxa"/>
          </w:tcPr>
          <w:p w14:paraId="23110391">
            <w:pPr>
              <w:widowControl w:val="0"/>
              <w:rPr>
                <w:vertAlign w:val="baseline"/>
              </w:rPr>
            </w:pPr>
          </w:p>
        </w:tc>
        <w:tc>
          <w:tcPr>
            <w:tcW w:w="1060" w:type="dxa"/>
          </w:tcPr>
          <w:p w14:paraId="403934A1">
            <w:pPr>
              <w:widowControl w:val="0"/>
              <w:rPr>
                <w:vertAlign w:val="baseline"/>
              </w:rPr>
            </w:pPr>
          </w:p>
        </w:tc>
        <w:tc>
          <w:tcPr>
            <w:tcW w:w="1060" w:type="dxa"/>
          </w:tcPr>
          <w:p w14:paraId="542CE9FA">
            <w:pPr>
              <w:widowControl w:val="0"/>
              <w:rPr>
                <w:vertAlign w:val="baseline"/>
              </w:rPr>
            </w:pPr>
          </w:p>
        </w:tc>
        <w:tc>
          <w:tcPr>
            <w:tcW w:w="1277" w:type="dxa"/>
          </w:tcPr>
          <w:p w14:paraId="1C229079">
            <w:pPr>
              <w:widowControl w:val="0"/>
              <w:rPr>
                <w:vertAlign w:val="baseline"/>
              </w:rPr>
            </w:pPr>
          </w:p>
        </w:tc>
        <w:tc>
          <w:tcPr>
            <w:tcW w:w="1486" w:type="dxa"/>
          </w:tcPr>
          <w:p w14:paraId="0535F847">
            <w:pPr>
              <w:widowControl w:val="0"/>
              <w:rPr>
                <w:vertAlign w:val="baseline"/>
              </w:rPr>
            </w:pPr>
          </w:p>
        </w:tc>
        <w:tc>
          <w:tcPr>
            <w:tcW w:w="1560" w:type="dxa"/>
          </w:tcPr>
          <w:p w14:paraId="2034F975">
            <w:pPr>
              <w:widowControl w:val="0"/>
              <w:rPr>
                <w:vertAlign w:val="baseline"/>
              </w:rPr>
            </w:pPr>
          </w:p>
        </w:tc>
        <w:tc>
          <w:tcPr>
            <w:tcW w:w="1080" w:type="dxa"/>
          </w:tcPr>
          <w:p w14:paraId="04DE4CC0">
            <w:pPr>
              <w:widowControl w:val="0"/>
              <w:rPr>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vertAlign w:val="baseline"/>
              </w:rPr>
            </w:pPr>
          </w:p>
        </w:tc>
        <w:tc>
          <w:tcPr>
            <w:tcW w:w="1543" w:type="dxa"/>
            <w:vMerge w:val="continue"/>
          </w:tcPr>
          <w:p w14:paraId="1629D171">
            <w:pPr>
              <w:widowControl w:val="0"/>
              <w:rPr>
                <w:vertAlign w:val="baseline"/>
              </w:rPr>
            </w:pPr>
          </w:p>
        </w:tc>
        <w:tc>
          <w:tcPr>
            <w:tcW w:w="1393" w:type="dxa"/>
          </w:tcPr>
          <w:p w14:paraId="6F728AC8">
            <w:pPr>
              <w:widowControl w:val="0"/>
              <w:rPr>
                <w:vertAlign w:val="baseline"/>
              </w:rPr>
            </w:pPr>
          </w:p>
        </w:tc>
        <w:tc>
          <w:tcPr>
            <w:tcW w:w="1060" w:type="dxa"/>
          </w:tcPr>
          <w:p w14:paraId="5DC1D47F">
            <w:pPr>
              <w:widowControl w:val="0"/>
              <w:rPr>
                <w:vertAlign w:val="baseline"/>
              </w:rPr>
            </w:pPr>
          </w:p>
        </w:tc>
        <w:tc>
          <w:tcPr>
            <w:tcW w:w="1060" w:type="dxa"/>
          </w:tcPr>
          <w:p w14:paraId="0736C76F">
            <w:pPr>
              <w:widowControl w:val="0"/>
              <w:rPr>
                <w:vertAlign w:val="baseline"/>
              </w:rPr>
            </w:pPr>
          </w:p>
        </w:tc>
        <w:tc>
          <w:tcPr>
            <w:tcW w:w="1060" w:type="dxa"/>
          </w:tcPr>
          <w:p w14:paraId="41FF43D8">
            <w:pPr>
              <w:widowControl w:val="0"/>
              <w:rPr>
                <w:vertAlign w:val="baseline"/>
              </w:rPr>
            </w:pPr>
          </w:p>
        </w:tc>
        <w:tc>
          <w:tcPr>
            <w:tcW w:w="1060" w:type="dxa"/>
          </w:tcPr>
          <w:p w14:paraId="739BF70B">
            <w:pPr>
              <w:widowControl w:val="0"/>
              <w:rPr>
                <w:vertAlign w:val="baseline"/>
              </w:rPr>
            </w:pPr>
          </w:p>
        </w:tc>
        <w:tc>
          <w:tcPr>
            <w:tcW w:w="1060" w:type="dxa"/>
          </w:tcPr>
          <w:p w14:paraId="21217D12">
            <w:pPr>
              <w:widowControl w:val="0"/>
              <w:rPr>
                <w:vertAlign w:val="baseline"/>
              </w:rPr>
            </w:pPr>
          </w:p>
        </w:tc>
        <w:tc>
          <w:tcPr>
            <w:tcW w:w="1277" w:type="dxa"/>
          </w:tcPr>
          <w:p w14:paraId="2D25857A">
            <w:pPr>
              <w:widowControl w:val="0"/>
              <w:rPr>
                <w:vertAlign w:val="baseline"/>
              </w:rPr>
            </w:pPr>
          </w:p>
        </w:tc>
        <w:tc>
          <w:tcPr>
            <w:tcW w:w="1486" w:type="dxa"/>
          </w:tcPr>
          <w:p w14:paraId="4976030C">
            <w:pPr>
              <w:widowControl w:val="0"/>
              <w:rPr>
                <w:vertAlign w:val="baseline"/>
              </w:rPr>
            </w:pPr>
          </w:p>
        </w:tc>
        <w:tc>
          <w:tcPr>
            <w:tcW w:w="1560" w:type="dxa"/>
          </w:tcPr>
          <w:p w14:paraId="5664F5DB">
            <w:pPr>
              <w:widowControl w:val="0"/>
              <w:rPr>
                <w:vertAlign w:val="baseline"/>
              </w:rPr>
            </w:pPr>
          </w:p>
        </w:tc>
        <w:tc>
          <w:tcPr>
            <w:tcW w:w="1080" w:type="dxa"/>
          </w:tcPr>
          <w:p w14:paraId="366DE966">
            <w:pPr>
              <w:widowControl w:val="0"/>
              <w:rPr>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1543" w:type="dxa"/>
            <w:vMerge w:val="restart"/>
          </w:tcPr>
          <w:p w14:paraId="5F7F009A">
            <w:pPr>
              <w:widowControl w:val="0"/>
              <w:rPr>
                <w:vertAlign w:val="baseline"/>
              </w:rPr>
            </w:pPr>
          </w:p>
        </w:tc>
        <w:tc>
          <w:tcPr>
            <w:tcW w:w="1393" w:type="dxa"/>
          </w:tcPr>
          <w:p w14:paraId="0D8A01B7">
            <w:pPr>
              <w:widowControl w:val="0"/>
              <w:rPr>
                <w:vertAlign w:val="baseline"/>
              </w:rPr>
            </w:pPr>
          </w:p>
        </w:tc>
        <w:tc>
          <w:tcPr>
            <w:tcW w:w="1060" w:type="dxa"/>
          </w:tcPr>
          <w:p w14:paraId="5D2869C6">
            <w:pPr>
              <w:widowControl w:val="0"/>
              <w:rPr>
                <w:vertAlign w:val="baseline"/>
              </w:rPr>
            </w:pPr>
          </w:p>
        </w:tc>
        <w:tc>
          <w:tcPr>
            <w:tcW w:w="1060" w:type="dxa"/>
          </w:tcPr>
          <w:p w14:paraId="1AA351AF">
            <w:pPr>
              <w:widowControl w:val="0"/>
              <w:rPr>
                <w:vertAlign w:val="baseline"/>
              </w:rPr>
            </w:pPr>
          </w:p>
        </w:tc>
        <w:tc>
          <w:tcPr>
            <w:tcW w:w="1060" w:type="dxa"/>
          </w:tcPr>
          <w:p w14:paraId="140B3B78">
            <w:pPr>
              <w:widowControl w:val="0"/>
              <w:rPr>
                <w:vertAlign w:val="baseline"/>
              </w:rPr>
            </w:pPr>
          </w:p>
        </w:tc>
        <w:tc>
          <w:tcPr>
            <w:tcW w:w="1060" w:type="dxa"/>
          </w:tcPr>
          <w:p w14:paraId="7187B6F3">
            <w:pPr>
              <w:widowControl w:val="0"/>
              <w:rPr>
                <w:vertAlign w:val="baseline"/>
              </w:rPr>
            </w:pPr>
          </w:p>
        </w:tc>
        <w:tc>
          <w:tcPr>
            <w:tcW w:w="1060" w:type="dxa"/>
          </w:tcPr>
          <w:p w14:paraId="782C0C79">
            <w:pPr>
              <w:widowControl w:val="0"/>
              <w:rPr>
                <w:vertAlign w:val="baseline"/>
              </w:rPr>
            </w:pPr>
          </w:p>
        </w:tc>
        <w:tc>
          <w:tcPr>
            <w:tcW w:w="1277" w:type="dxa"/>
          </w:tcPr>
          <w:p w14:paraId="3BA3AD13">
            <w:pPr>
              <w:widowControl w:val="0"/>
              <w:rPr>
                <w:vertAlign w:val="baseline"/>
              </w:rPr>
            </w:pPr>
          </w:p>
        </w:tc>
        <w:tc>
          <w:tcPr>
            <w:tcW w:w="1486" w:type="dxa"/>
          </w:tcPr>
          <w:p w14:paraId="3F864AE3">
            <w:pPr>
              <w:widowControl w:val="0"/>
              <w:rPr>
                <w:vertAlign w:val="baseline"/>
              </w:rPr>
            </w:pPr>
          </w:p>
        </w:tc>
        <w:tc>
          <w:tcPr>
            <w:tcW w:w="1560" w:type="dxa"/>
          </w:tcPr>
          <w:p w14:paraId="6D48088E">
            <w:pPr>
              <w:widowControl w:val="0"/>
              <w:rPr>
                <w:vertAlign w:val="baseline"/>
              </w:rPr>
            </w:pPr>
          </w:p>
        </w:tc>
        <w:tc>
          <w:tcPr>
            <w:tcW w:w="1080" w:type="dxa"/>
          </w:tcPr>
          <w:p w14:paraId="09F3E95E">
            <w:pPr>
              <w:widowControl w:val="0"/>
              <w:rPr>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vertAlign w:val="baseline"/>
              </w:rPr>
            </w:pPr>
          </w:p>
        </w:tc>
        <w:tc>
          <w:tcPr>
            <w:tcW w:w="1543" w:type="dxa"/>
            <w:vMerge w:val="continue"/>
          </w:tcPr>
          <w:p w14:paraId="4D0CA1FD">
            <w:pPr>
              <w:widowControl w:val="0"/>
              <w:rPr>
                <w:vertAlign w:val="baseline"/>
              </w:rPr>
            </w:pPr>
          </w:p>
        </w:tc>
        <w:tc>
          <w:tcPr>
            <w:tcW w:w="1393" w:type="dxa"/>
          </w:tcPr>
          <w:p w14:paraId="23AB6B66">
            <w:pPr>
              <w:widowControl w:val="0"/>
              <w:rPr>
                <w:vertAlign w:val="baseline"/>
              </w:rPr>
            </w:pPr>
          </w:p>
        </w:tc>
        <w:tc>
          <w:tcPr>
            <w:tcW w:w="1060" w:type="dxa"/>
          </w:tcPr>
          <w:p w14:paraId="6B29D694">
            <w:pPr>
              <w:widowControl w:val="0"/>
              <w:rPr>
                <w:vertAlign w:val="baseline"/>
              </w:rPr>
            </w:pPr>
          </w:p>
        </w:tc>
        <w:tc>
          <w:tcPr>
            <w:tcW w:w="1060" w:type="dxa"/>
          </w:tcPr>
          <w:p w14:paraId="424656BF">
            <w:pPr>
              <w:widowControl w:val="0"/>
              <w:rPr>
                <w:vertAlign w:val="baseline"/>
              </w:rPr>
            </w:pPr>
          </w:p>
        </w:tc>
        <w:tc>
          <w:tcPr>
            <w:tcW w:w="1060" w:type="dxa"/>
          </w:tcPr>
          <w:p w14:paraId="747DFEFE">
            <w:pPr>
              <w:widowControl w:val="0"/>
              <w:rPr>
                <w:vertAlign w:val="baseline"/>
              </w:rPr>
            </w:pPr>
          </w:p>
        </w:tc>
        <w:tc>
          <w:tcPr>
            <w:tcW w:w="1060" w:type="dxa"/>
          </w:tcPr>
          <w:p w14:paraId="3CDE67A2">
            <w:pPr>
              <w:widowControl w:val="0"/>
              <w:rPr>
                <w:vertAlign w:val="baseline"/>
              </w:rPr>
            </w:pPr>
          </w:p>
        </w:tc>
        <w:tc>
          <w:tcPr>
            <w:tcW w:w="1060" w:type="dxa"/>
          </w:tcPr>
          <w:p w14:paraId="5D8AC925">
            <w:pPr>
              <w:widowControl w:val="0"/>
              <w:rPr>
                <w:vertAlign w:val="baseline"/>
              </w:rPr>
            </w:pPr>
          </w:p>
        </w:tc>
        <w:tc>
          <w:tcPr>
            <w:tcW w:w="1277" w:type="dxa"/>
          </w:tcPr>
          <w:p w14:paraId="3D2C7340">
            <w:pPr>
              <w:widowControl w:val="0"/>
              <w:rPr>
                <w:vertAlign w:val="baseline"/>
              </w:rPr>
            </w:pPr>
          </w:p>
        </w:tc>
        <w:tc>
          <w:tcPr>
            <w:tcW w:w="1486" w:type="dxa"/>
          </w:tcPr>
          <w:p w14:paraId="4A016A1F">
            <w:pPr>
              <w:widowControl w:val="0"/>
              <w:rPr>
                <w:vertAlign w:val="baseline"/>
              </w:rPr>
            </w:pPr>
          </w:p>
        </w:tc>
        <w:tc>
          <w:tcPr>
            <w:tcW w:w="1560" w:type="dxa"/>
          </w:tcPr>
          <w:p w14:paraId="6AA74C35">
            <w:pPr>
              <w:widowControl w:val="0"/>
              <w:rPr>
                <w:vertAlign w:val="baseline"/>
              </w:rPr>
            </w:pPr>
          </w:p>
        </w:tc>
        <w:tc>
          <w:tcPr>
            <w:tcW w:w="1080" w:type="dxa"/>
          </w:tcPr>
          <w:p w14:paraId="091E8271">
            <w:pPr>
              <w:widowControl w:val="0"/>
              <w:rPr>
                <w:vertAlign w:val="baseline"/>
              </w:rPr>
            </w:pPr>
          </w:p>
        </w:tc>
      </w:tr>
    </w:tbl>
    <w:p w14:paraId="22CB90DF"/>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000000"/>
          <w:kern w:val="0"/>
          <w:sz w:val="24"/>
          <w:szCs w:val="24"/>
          <w:lang w:val="en-US" w:eastAsia="zh-CN" w:bidi="ar"/>
        </w:rPr>
      </w:pPr>
    </w:p>
    <w:p w14:paraId="5A6344A3">
      <w:pPr>
        <w:keepNext w:val="0"/>
        <w:keepLines w:val="0"/>
        <w:widowControl/>
        <w:suppressLineNumbers w:val="0"/>
        <w:ind w:firstLine="482" w:firstLineChars="200"/>
        <w:jc w:val="left"/>
      </w:pPr>
      <w:r>
        <w:rPr>
          <w:rFonts w:hint="eastAsia" w:ascii="宋体" w:hAnsi="宋体" w:eastAsia="宋体" w:cs="宋体"/>
          <w:b/>
          <w:bCs/>
          <w:snapToGrid w:val="0"/>
          <w:color w:val="000000"/>
          <w:kern w:val="0"/>
          <w:sz w:val="24"/>
          <w:szCs w:val="24"/>
          <w:lang w:val="en-US" w:eastAsia="zh-CN" w:bidi="ar"/>
        </w:rPr>
        <w:t>备注: 此表为产品配套耗材报价表，如没有，无需制作</w:t>
      </w:r>
      <w:r>
        <w:rPr>
          <w:rFonts w:hint="eastAsia" w:ascii="宋体" w:hAnsi="宋体" w:cs="宋体"/>
          <w:b/>
          <w:bCs/>
          <w:snapToGrid w:val="0"/>
          <w:color w:val="000000"/>
          <w:kern w:val="0"/>
          <w:sz w:val="24"/>
          <w:szCs w:val="24"/>
          <w:lang w:val="en-US" w:eastAsia="zh-CN" w:bidi="ar"/>
        </w:rPr>
        <w:t>，</w:t>
      </w:r>
      <w:r>
        <w:rPr>
          <w:rFonts w:hint="eastAsia" w:ascii="宋体" w:hAnsi="宋体" w:cs="宋体"/>
          <w:b/>
          <w:bCs/>
          <w:snapToGrid w:val="0"/>
          <w:color w:val="000000"/>
          <w:kern w:val="0"/>
          <w:sz w:val="21"/>
          <w:szCs w:val="21"/>
          <w:lang w:val="en-US" w:eastAsia="zh-CN" w:bidi="ar"/>
        </w:rPr>
        <w:t>请自行删除</w:t>
      </w:r>
      <w:r>
        <w:rPr>
          <w:rFonts w:hint="eastAsia" w:ascii="宋体" w:hAnsi="宋体" w:eastAsia="宋体" w:cs="宋体"/>
          <w:b/>
          <w:bCs/>
          <w:snapToGrid w:val="0"/>
          <w:color w:val="000000"/>
          <w:kern w:val="0"/>
          <w:sz w:val="24"/>
          <w:szCs w:val="24"/>
          <w:lang w:val="en-US" w:eastAsia="zh-CN" w:bidi="ar"/>
        </w:rPr>
        <w:t>。</w:t>
      </w:r>
    </w:p>
    <w:p w14:paraId="66DBF250">
      <w:pPr>
        <w:pStyle w:val="25"/>
        <w:rPr>
          <w:rFonts w:hint="eastAsia" w:ascii="宋体" w:hAnsi="宋体" w:cs="宋体"/>
          <w:color w:val="000000" w:themeColor="text1"/>
          <w:kern w:val="0"/>
          <w:sz w:val="24"/>
          <w:highlight w:val="none"/>
          <w14:textFill>
            <w14:solidFill>
              <w14:schemeClr w14:val="tx1"/>
            </w14:solidFill>
          </w14:textFill>
        </w:rPr>
      </w:pPr>
    </w:p>
    <w:p w14:paraId="02699B8D">
      <w:pPr>
        <w:pStyle w:val="25"/>
        <w:rPr>
          <w:rFonts w:hint="eastAsia" w:ascii="宋体" w:hAnsi="宋体" w:cs="宋体"/>
          <w:color w:val="000000" w:themeColor="text1"/>
          <w:kern w:val="0"/>
          <w:sz w:val="24"/>
          <w:highlight w:val="none"/>
          <w14:textFill>
            <w14:solidFill>
              <w14:schemeClr w14:val="tx1"/>
            </w14:solidFill>
          </w14:textFill>
        </w:rPr>
        <w:sectPr>
          <w:pgSz w:w="16838" w:h="11906" w:orient="landscape"/>
          <w:pgMar w:top="1474" w:right="1417" w:bottom="1474" w:left="1417" w:header="851" w:footer="624" w:gutter="0"/>
          <w:pgNumType w:fmt="decimal"/>
          <w:cols w:space="720" w:num="1"/>
          <w:docGrid w:type="lines" w:linePitch="319" w:charSpace="0"/>
        </w:sectPr>
      </w:pPr>
    </w:p>
    <w:p w14:paraId="5986FE19">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vertAlign w:val="baseline"/>
                <w:lang w:val="en-US" w:eastAsia="zh-CN"/>
              </w:rPr>
            </w:pPr>
          </w:p>
        </w:tc>
        <w:tc>
          <w:tcPr>
            <w:tcW w:w="1676" w:type="dxa"/>
            <w:vAlign w:val="center"/>
          </w:tcPr>
          <w:p w14:paraId="2B2FB324">
            <w:pPr>
              <w:widowControl w:val="0"/>
              <w:jc w:val="center"/>
              <w:rPr>
                <w:rFonts w:hint="default"/>
                <w:vertAlign w:val="baseline"/>
                <w:lang w:val="en-US" w:eastAsia="zh-CN"/>
              </w:rPr>
            </w:pPr>
          </w:p>
        </w:tc>
        <w:tc>
          <w:tcPr>
            <w:tcW w:w="1238" w:type="dxa"/>
            <w:vAlign w:val="center"/>
          </w:tcPr>
          <w:p w14:paraId="3FFED3C5">
            <w:pPr>
              <w:widowControl w:val="0"/>
              <w:jc w:val="center"/>
              <w:rPr>
                <w:rFonts w:hint="default"/>
                <w:vertAlign w:val="baseline"/>
                <w:lang w:val="en-US" w:eastAsia="zh-CN"/>
              </w:rPr>
            </w:pPr>
          </w:p>
        </w:tc>
        <w:tc>
          <w:tcPr>
            <w:tcW w:w="1238" w:type="dxa"/>
            <w:vAlign w:val="center"/>
          </w:tcPr>
          <w:p w14:paraId="1FC676C2">
            <w:pPr>
              <w:widowControl w:val="0"/>
              <w:jc w:val="center"/>
              <w:rPr>
                <w:rFonts w:hint="default"/>
                <w:vertAlign w:val="baseline"/>
                <w:lang w:val="en-US" w:eastAsia="zh-CN"/>
              </w:rPr>
            </w:pPr>
          </w:p>
        </w:tc>
        <w:tc>
          <w:tcPr>
            <w:tcW w:w="1238" w:type="dxa"/>
            <w:vAlign w:val="center"/>
          </w:tcPr>
          <w:p w14:paraId="25AACED3">
            <w:pPr>
              <w:widowControl w:val="0"/>
              <w:jc w:val="center"/>
              <w:rPr>
                <w:rFonts w:hint="default"/>
                <w:vertAlign w:val="baseline"/>
                <w:lang w:val="en-US" w:eastAsia="zh-CN"/>
              </w:rPr>
            </w:pPr>
          </w:p>
        </w:tc>
        <w:tc>
          <w:tcPr>
            <w:tcW w:w="1023" w:type="dxa"/>
            <w:vAlign w:val="center"/>
          </w:tcPr>
          <w:p w14:paraId="749D014C">
            <w:pPr>
              <w:widowControl w:val="0"/>
              <w:jc w:val="center"/>
              <w:rPr>
                <w:rFonts w:hint="default"/>
                <w:vertAlign w:val="baseline"/>
                <w:lang w:val="en-US" w:eastAsia="zh-CN"/>
              </w:rPr>
            </w:pPr>
          </w:p>
        </w:tc>
        <w:tc>
          <w:tcPr>
            <w:tcW w:w="1800" w:type="dxa"/>
            <w:vAlign w:val="center"/>
          </w:tcPr>
          <w:p w14:paraId="05134611">
            <w:pPr>
              <w:widowControl w:val="0"/>
              <w:jc w:val="center"/>
              <w:rPr>
                <w:rFonts w:hint="default"/>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vertAlign w:val="baseline"/>
                <w:lang w:val="en-US" w:eastAsia="zh-CN"/>
              </w:rPr>
            </w:pPr>
          </w:p>
        </w:tc>
        <w:tc>
          <w:tcPr>
            <w:tcW w:w="1676" w:type="dxa"/>
            <w:vAlign w:val="center"/>
          </w:tcPr>
          <w:p w14:paraId="31FB795C">
            <w:pPr>
              <w:widowControl w:val="0"/>
              <w:jc w:val="center"/>
              <w:rPr>
                <w:rFonts w:hint="default"/>
                <w:vertAlign w:val="baseline"/>
                <w:lang w:val="en-US" w:eastAsia="zh-CN"/>
              </w:rPr>
            </w:pPr>
          </w:p>
        </w:tc>
        <w:tc>
          <w:tcPr>
            <w:tcW w:w="1238" w:type="dxa"/>
            <w:vAlign w:val="center"/>
          </w:tcPr>
          <w:p w14:paraId="3DDF1F3E">
            <w:pPr>
              <w:widowControl w:val="0"/>
              <w:jc w:val="center"/>
              <w:rPr>
                <w:rFonts w:hint="default"/>
                <w:vertAlign w:val="baseline"/>
                <w:lang w:val="en-US" w:eastAsia="zh-CN"/>
              </w:rPr>
            </w:pPr>
          </w:p>
        </w:tc>
        <w:tc>
          <w:tcPr>
            <w:tcW w:w="1238" w:type="dxa"/>
            <w:vAlign w:val="center"/>
          </w:tcPr>
          <w:p w14:paraId="1AE826AF">
            <w:pPr>
              <w:widowControl w:val="0"/>
              <w:jc w:val="center"/>
              <w:rPr>
                <w:rFonts w:hint="default"/>
                <w:vertAlign w:val="baseline"/>
                <w:lang w:val="en-US" w:eastAsia="zh-CN"/>
              </w:rPr>
            </w:pPr>
          </w:p>
        </w:tc>
        <w:tc>
          <w:tcPr>
            <w:tcW w:w="1238" w:type="dxa"/>
            <w:vAlign w:val="center"/>
          </w:tcPr>
          <w:p w14:paraId="439C5F96">
            <w:pPr>
              <w:widowControl w:val="0"/>
              <w:jc w:val="center"/>
              <w:rPr>
                <w:rFonts w:hint="default"/>
                <w:vertAlign w:val="baseline"/>
                <w:lang w:val="en-US" w:eastAsia="zh-CN"/>
              </w:rPr>
            </w:pPr>
          </w:p>
        </w:tc>
        <w:tc>
          <w:tcPr>
            <w:tcW w:w="1023" w:type="dxa"/>
            <w:vAlign w:val="center"/>
          </w:tcPr>
          <w:p w14:paraId="674CDC80">
            <w:pPr>
              <w:widowControl w:val="0"/>
              <w:jc w:val="center"/>
              <w:rPr>
                <w:rFonts w:hint="default"/>
                <w:vertAlign w:val="baseline"/>
                <w:lang w:val="en-US" w:eastAsia="zh-CN"/>
              </w:rPr>
            </w:pPr>
          </w:p>
        </w:tc>
        <w:tc>
          <w:tcPr>
            <w:tcW w:w="1800" w:type="dxa"/>
            <w:vAlign w:val="center"/>
          </w:tcPr>
          <w:p w14:paraId="1CB5057F">
            <w:pPr>
              <w:widowControl w:val="0"/>
              <w:jc w:val="center"/>
              <w:rPr>
                <w:rFonts w:hint="default"/>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vertAlign w:val="baseline"/>
                <w:lang w:val="en-US" w:eastAsia="zh-CN"/>
              </w:rPr>
            </w:pPr>
          </w:p>
        </w:tc>
        <w:tc>
          <w:tcPr>
            <w:tcW w:w="1676" w:type="dxa"/>
            <w:vAlign w:val="center"/>
          </w:tcPr>
          <w:p w14:paraId="4953F941">
            <w:pPr>
              <w:widowControl w:val="0"/>
              <w:jc w:val="center"/>
              <w:rPr>
                <w:rFonts w:hint="default"/>
                <w:vertAlign w:val="baseline"/>
                <w:lang w:val="en-US" w:eastAsia="zh-CN"/>
              </w:rPr>
            </w:pPr>
          </w:p>
        </w:tc>
        <w:tc>
          <w:tcPr>
            <w:tcW w:w="1238" w:type="dxa"/>
            <w:vAlign w:val="center"/>
          </w:tcPr>
          <w:p w14:paraId="60D4163C">
            <w:pPr>
              <w:widowControl w:val="0"/>
              <w:jc w:val="center"/>
              <w:rPr>
                <w:rFonts w:hint="default"/>
                <w:vertAlign w:val="baseline"/>
                <w:lang w:val="en-US" w:eastAsia="zh-CN"/>
              </w:rPr>
            </w:pPr>
          </w:p>
        </w:tc>
        <w:tc>
          <w:tcPr>
            <w:tcW w:w="1238" w:type="dxa"/>
            <w:vAlign w:val="center"/>
          </w:tcPr>
          <w:p w14:paraId="7F5D0506">
            <w:pPr>
              <w:widowControl w:val="0"/>
              <w:jc w:val="center"/>
              <w:rPr>
                <w:rFonts w:hint="default"/>
                <w:vertAlign w:val="baseline"/>
                <w:lang w:val="en-US" w:eastAsia="zh-CN"/>
              </w:rPr>
            </w:pPr>
          </w:p>
        </w:tc>
        <w:tc>
          <w:tcPr>
            <w:tcW w:w="1238" w:type="dxa"/>
            <w:vAlign w:val="center"/>
          </w:tcPr>
          <w:p w14:paraId="72E86AD5">
            <w:pPr>
              <w:widowControl w:val="0"/>
              <w:jc w:val="center"/>
              <w:rPr>
                <w:rFonts w:hint="default"/>
                <w:vertAlign w:val="baseline"/>
                <w:lang w:val="en-US" w:eastAsia="zh-CN"/>
              </w:rPr>
            </w:pPr>
          </w:p>
        </w:tc>
        <w:tc>
          <w:tcPr>
            <w:tcW w:w="1023" w:type="dxa"/>
            <w:vAlign w:val="center"/>
          </w:tcPr>
          <w:p w14:paraId="7134BF0D">
            <w:pPr>
              <w:widowControl w:val="0"/>
              <w:jc w:val="center"/>
              <w:rPr>
                <w:rFonts w:hint="default"/>
                <w:vertAlign w:val="baseline"/>
                <w:lang w:val="en-US" w:eastAsia="zh-CN"/>
              </w:rPr>
            </w:pPr>
          </w:p>
        </w:tc>
        <w:tc>
          <w:tcPr>
            <w:tcW w:w="1800" w:type="dxa"/>
            <w:vAlign w:val="center"/>
          </w:tcPr>
          <w:p w14:paraId="0EB3CD05">
            <w:pPr>
              <w:widowControl w:val="0"/>
              <w:jc w:val="center"/>
              <w:rPr>
                <w:rFonts w:hint="default"/>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vertAlign w:val="baseline"/>
                <w:lang w:val="en-US" w:eastAsia="zh-CN"/>
              </w:rPr>
            </w:pPr>
          </w:p>
        </w:tc>
        <w:tc>
          <w:tcPr>
            <w:tcW w:w="1676" w:type="dxa"/>
            <w:vAlign w:val="center"/>
          </w:tcPr>
          <w:p w14:paraId="3A245A35">
            <w:pPr>
              <w:widowControl w:val="0"/>
              <w:jc w:val="center"/>
              <w:rPr>
                <w:rFonts w:hint="default"/>
                <w:vertAlign w:val="baseline"/>
                <w:lang w:val="en-US" w:eastAsia="zh-CN"/>
              </w:rPr>
            </w:pPr>
          </w:p>
        </w:tc>
        <w:tc>
          <w:tcPr>
            <w:tcW w:w="1238" w:type="dxa"/>
            <w:vAlign w:val="center"/>
          </w:tcPr>
          <w:p w14:paraId="6D057E85">
            <w:pPr>
              <w:widowControl w:val="0"/>
              <w:jc w:val="center"/>
              <w:rPr>
                <w:rFonts w:hint="default"/>
                <w:vertAlign w:val="baseline"/>
                <w:lang w:val="en-US" w:eastAsia="zh-CN"/>
              </w:rPr>
            </w:pPr>
          </w:p>
        </w:tc>
        <w:tc>
          <w:tcPr>
            <w:tcW w:w="1238" w:type="dxa"/>
            <w:vAlign w:val="center"/>
          </w:tcPr>
          <w:p w14:paraId="515422B7">
            <w:pPr>
              <w:widowControl w:val="0"/>
              <w:jc w:val="center"/>
              <w:rPr>
                <w:rFonts w:hint="default"/>
                <w:vertAlign w:val="baseline"/>
                <w:lang w:val="en-US" w:eastAsia="zh-CN"/>
              </w:rPr>
            </w:pPr>
          </w:p>
        </w:tc>
        <w:tc>
          <w:tcPr>
            <w:tcW w:w="1238" w:type="dxa"/>
            <w:vAlign w:val="center"/>
          </w:tcPr>
          <w:p w14:paraId="161FB83F">
            <w:pPr>
              <w:widowControl w:val="0"/>
              <w:jc w:val="center"/>
              <w:rPr>
                <w:rFonts w:hint="default"/>
                <w:vertAlign w:val="baseline"/>
                <w:lang w:val="en-US" w:eastAsia="zh-CN"/>
              </w:rPr>
            </w:pPr>
          </w:p>
        </w:tc>
        <w:tc>
          <w:tcPr>
            <w:tcW w:w="1023" w:type="dxa"/>
            <w:vAlign w:val="center"/>
          </w:tcPr>
          <w:p w14:paraId="77DF5323">
            <w:pPr>
              <w:widowControl w:val="0"/>
              <w:jc w:val="center"/>
              <w:rPr>
                <w:rFonts w:hint="default"/>
                <w:vertAlign w:val="baseline"/>
                <w:lang w:val="en-US" w:eastAsia="zh-CN"/>
              </w:rPr>
            </w:pPr>
          </w:p>
        </w:tc>
        <w:tc>
          <w:tcPr>
            <w:tcW w:w="1800" w:type="dxa"/>
            <w:vAlign w:val="center"/>
          </w:tcPr>
          <w:p w14:paraId="1D8AAC89">
            <w:pPr>
              <w:widowControl w:val="0"/>
              <w:jc w:val="center"/>
              <w:rPr>
                <w:rFonts w:hint="default"/>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vertAlign w:val="baseline"/>
                <w:lang w:val="en-US" w:eastAsia="zh-CN"/>
              </w:rPr>
            </w:pPr>
          </w:p>
        </w:tc>
        <w:tc>
          <w:tcPr>
            <w:tcW w:w="1676" w:type="dxa"/>
            <w:vAlign w:val="center"/>
          </w:tcPr>
          <w:p w14:paraId="6E777249">
            <w:pPr>
              <w:widowControl w:val="0"/>
              <w:jc w:val="center"/>
              <w:rPr>
                <w:rFonts w:hint="default"/>
                <w:vertAlign w:val="baseline"/>
                <w:lang w:val="en-US" w:eastAsia="zh-CN"/>
              </w:rPr>
            </w:pPr>
          </w:p>
        </w:tc>
        <w:tc>
          <w:tcPr>
            <w:tcW w:w="1238" w:type="dxa"/>
            <w:vAlign w:val="center"/>
          </w:tcPr>
          <w:p w14:paraId="4DE2A82B">
            <w:pPr>
              <w:widowControl w:val="0"/>
              <w:jc w:val="center"/>
              <w:rPr>
                <w:rFonts w:hint="default"/>
                <w:vertAlign w:val="baseline"/>
                <w:lang w:val="en-US" w:eastAsia="zh-CN"/>
              </w:rPr>
            </w:pPr>
          </w:p>
        </w:tc>
        <w:tc>
          <w:tcPr>
            <w:tcW w:w="1238" w:type="dxa"/>
            <w:vAlign w:val="center"/>
          </w:tcPr>
          <w:p w14:paraId="7C5B0392">
            <w:pPr>
              <w:widowControl w:val="0"/>
              <w:jc w:val="center"/>
              <w:rPr>
                <w:rFonts w:hint="default"/>
                <w:vertAlign w:val="baseline"/>
                <w:lang w:val="en-US" w:eastAsia="zh-CN"/>
              </w:rPr>
            </w:pPr>
          </w:p>
        </w:tc>
        <w:tc>
          <w:tcPr>
            <w:tcW w:w="1238" w:type="dxa"/>
            <w:vAlign w:val="center"/>
          </w:tcPr>
          <w:p w14:paraId="17137530">
            <w:pPr>
              <w:widowControl w:val="0"/>
              <w:jc w:val="center"/>
              <w:rPr>
                <w:rFonts w:hint="default"/>
                <w:vertAlign w:val="baseline"/>
                <w:lang w:val="en-US" w:eastAsia="zh-CN"/>
              </w:rPr>
            </w:pPr>
          </w:p>
        </w:tc>
        <w:tc>
          <w:tcPr>
            <w:tcW w:w="1023" w:type="dxa"/>
            <w:vAlign w:val="center"/>
          </w:tcPr>
          <w:p w14:paraId="1138018C">
            <w:pPr>
              <w:widowControl w:val="0"/>
              <w:jc w:val="center"/>
              <w:rPr>
                <w:rFonts w:hint="default"/>
                <w:vertAlign w:val="baseline"/>
                <w:lang w:val="en-US" w:eastAsia="zh-CN"/>
              </w:rPr>
            </w:pPr>
          </w:p>
        </w:tc>
        <w:tc>
          <w:tcPr>
            <w:tcW w:w="1800" w:type="dxa"/>
            <w:vAlign w:val="center"/>
          </w:tcPr>
          <w:p w14:paraId="4CA32857">
            <w:pPr>
              <w:widowControl w:val="0"/>
              <w:jc w:val="center"/>
              <w:rPr>
                <w:rFonts w:hint="default"/>
                <w:vertAlign w:val="baseline"/>
                <w:lang w:val="en-US" w:eastAsia="zh-CN"/>
              </w:rPr>
            </w:pPr>
          </w:p>
        </w:tc>
      </w:tr>
    </w:tbl>
    <w:p w14:paraId="4690C867">
      <w:pPr>
        <w:rPr>
          <w:rFonts w:hint="default"/>
          <w:lang w:val="en-US" w:eastAsia="zh-CN"/>
        </w:rPr>
      </w:pPr>
    </w:p>
    <w:p w14:paraId="3F22E3BC">
      <w:pPr>
        <w:keepNext w:val="0"/>
        <w:keepLines w:val="0"/>
        <w:widowControl/>
        <w:suppressLineNumbers w:val="0"/>
        <w:jc w:val="left"/>
        <w:rPr>
          <w:rFonts w:hint="default"/>
          <w:lang w:val="en-US" w:eastAsia="zh-CN"/>
        </w:rPr>
      </w:pPr>
      <w:r>
        <w:rPr>
          <w:rFonts w:hint="eastAsia" w:ascii="宋体" w:hAnsi="宋体" w:eastAsia="宋体" w:cs="宋体"/>
          <w:b/>
          <w:bCs/>
          <w:snapToGrid w:val="0"/>
          <w:color w:val="000000"/>
          <w:kern w:val="0"/>
          <w:sz w:val="24"/>
          <w:szCs w:val="24"/>
          <w:lang w:val="en-US" w:eastAsia="zh-CN" w:bidi="ar"/>
        </w:rPr>
        <w:t>备注：</w:t>
      </w:r>
    </w:p>
    <w:p w14:paraId="57F16B7F">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1、若投标产品配置清单中含第三方产品，请填写第三方品牌、型号、产地，以铭 </w:t>
      </w:r>
    </w:p>
    <w:p w14:paraId="671DBB59">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牌为准； </w:t>
      </w:r>
    </w:p>
    <w:p w14:paraId="71CBFEA7">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2、所投产品若有注册证，投标开标一览表中规格或型号、产地等信息若与注册证不一致，以投标产品注册证信息为准。 </w:t>
      </w:r>
    </w:p>
    <w:p w14:paraId="708C5B50">
      <w:pPr>
        <w:bidi w:val="0"/>
        <w:rPr>
          <w:rFonts w:hint="default"/>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1680" w:firstLineChars="7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1680" w:firstLineChars="7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1680" w:firstLineChars="7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2480310">
      <w:pPr>
        <w:bidi w:val="0"/>
        <w:rPr>
          <w:rFonts w:hint="eastAsia"/>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lang w:val="en-US" w:eastAsia="zh-CN"/>
        </w:rPr>
      </w:pPr>
    </w:p>
    <w:p w14:paraId="591F39DF">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0C409640">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1C9EAA97">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21B00144">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2A74BFB0">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3EF3AB43">
      <w:pPr>
        <w:pStyle w:val="25"/>
        <w:rPr>
          <w:rFonts w:hint="eastAsia" w:ascii="宋体" w:hAnsi="宋体" w:cs="宋体"/>
          <w:color w:val="000000" w:themeColor="text1"/>
          <w:kern w:val="0"/>
          <w:sz w:val="24"/>
          <w:highlight w:val="none"/>
          <w:lang w:val="en-US" w:eastAsia="zh-CN"/>
          <w14:textFill>
            <w14:solidFill>
              <w14:schemeClr w14:val="tx1"/>
            </w14:solidFill>
          </w14:textFill>
        </w:rPr>
      </w:pPr>
    </w:p>
    <w:p w14:paraId="4AAC2649">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C2F6EBC">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1FCD9D6">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1E63C69E">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14084F2D">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030750C">
      <w:pPr>
        <w:pStyle w:val="25"/>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5"/>
        <w:rPr>
          <w:rFonts w:hint="default" w:ascii="宋体" w:hAnsi="宋体" w:cs="宋体"/>
          <w:color w:val="000000" w:themeColor="text1"/>
          <w:kern w:val="0"/>
          <w:sz w:val="24"/>
          <w:highlight w:val="none"/>
          <w:lang w:val="en-US" w:eastAsia="zh-CN"/>
          <w14:textFill>
            <w14:solidFill>
              <w14:schemeClr w14:val="tx1"/>
            </w14:solidFill>
          </w14:textFill>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120" w:firstLineChars="13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120" w:firstLineChars="13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120" w:firstLineChars="13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4E1A15E">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1C27DB87">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43E68354">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0647EFB8">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A5A959A">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650115AD">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4A359505">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40B7289D">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1B505EE5">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4CA18EFC">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6E07BAF">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38E426CC">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03EB9A28">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2424AE27">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6DE512C9">
      <w:pPr>
        <w:pStyle w:val="25"/>
        <w:rPr>
          <w:rFonts w:hint="default" w:ascii="宋体" w:hAnsi="宋体" w:cs="宋体"/>
          <w:color w:val="000000" w:themeColor="text1"/>
          <w:kern w:val="0"/>
          <w:sz w:val="24"/>
          <w:highlight w:val="none"/>
          <w:lang w:val="en-US" w:eastAsia="zh-CN"/>
          <w14:textFill>
            <w14:solidFill>
              <w14:schemeClr w14:val="tx1"/>
            </w14:solidFill>
          </w14:textFill>
        </w:rPr>
      </w:pPr>
    </w:p>
    <w:p w14:paraId="568848E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货物</w:t>
            </w: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730" w:firstLineChars="13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4410" w:firstLineChars="21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0420"/>
      <w:bookmarkStart w:id="84" w:name="_Toc2996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133"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517"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41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1251"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33" w:type="dxa"/>
            <w:noWrap w:val="0"/>
            <w:vAlign w:val="center"/>
          </w:tcPr>
          <w:p w14:paraId="7A24A9AD">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32D265A2">
            <w:pPr>
              <w:pStyle w:val="8"/>
              <w:ind w:left="0" w:leftChars="0"/>
              <w:jc w:val="center"/>
              <w:rPr>
                <w:rFonts w:hint="eastAsia" w:ascii="宋体" w:hAnsi="宋体" w:eastAsia="宋体" w:cs="宋体"/>
                <w:color w:val="auto"/>
                <w:sz w:val="21"/>
                <w:szCs w:val="21"/>
                <w:highlight w:val="none"/>
                <w:lang w:val="en-US" w:eastAsia="zh-CN"/>
              </w:rPr>
            </w:pPr>
          </w:p>
        </w:tc>
        <w:tc>
          <w:tcPr>
            <w:tcW w:w="2517"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133" w:type="dxa"/>
            <w:noWrap w:val="0"/>
            <w:vAlign w:val="center"/>
          </w:tcPr>
          <w:p w14:paraId="5FBC217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72B55C4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446CD0C">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AAABEAA">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3240" w:firstLineChars="13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3976"/>
      <w:bookmarkStart w:id="89" w:name="_Toc12939"/>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5040" w:firstLineChars="21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18105"/>
      <w:bookmarkStart w:id="93" w:name="_Toc24693"/>
      <w:r>
        <w:rPr>
          <w:rFonts w:hint="eastAsia" w:ascii="宋体" w:hAnsi="宋体" w:eastAsia="宋体" w:cs="宋体"/>
          <w:color w:val="auto"/>
          <w:sz w:val="28"/>
          <w:szCs w:val="28"/>
          <w:highlight w:val="none"/>
          <w:lang w:val="en-US" w:eastAsia="zh-CN"/>
        </w:rPr>
        <w:t>附件9          证明文件</w:t>
      </w:r>
      <w:bookmarkEnd w:id="91"/>
      <w:bookmarkEnd w:id="92"/>
      <w:bookmarkEnd w:id="93"/>
    </w:p>
    <w:p w14:paraId="644D293B">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产品技术参数支持资料</w:t>
      </w:r>
    </w:p>
    <w:p w14:paraId="00828F39">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6083"/>
      <w:bookmarkStart w:id="96" w:name="_Toc12888"/>
      <w:bookmarkStart w:id="97" w:name="_Toc13726"/>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4"/>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pPr>
    </w:p>
    <w:p w14:paraId="7CC90B0D">
      <w:pPr>
        <w:pStyle w:val="14"/>
        <w:rPr>
          <w:rFonts w:hint="eastAsia" w:ascii="宋体" w:hAnsi="宋体" w:eastAsia="宋体" w:cs="宋体"/>
          <w:color w:val="auto"/>
          <w:highlight w:val="none"/>
        </w:rPr>
      </w:pPr>
    </w:p>
    <w:p w14:paraId="5CAC53F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4"/>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3394"/>
      <w:bookmarkStart w:id="100" w:name="_Toc25094"/>
    </w:p>
    <w:p w14:paraId="24DE6E5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4"/>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6"/>
      <w:jc w:val="right"/>
      <w:rPr>
        <w:rFonts w:hint="eastAsia"/>
      </w:rPr>
    </w:pPr>
    <w:r>
      <w:rPr>
        <w:rFonts w:hint="eastAsia" w:ascii="宋体" w:hAnsi="宋体" w:cs="宋体"/>
        <w:color w:val="auto"/>
        <w:szCs w:val="21"/>
        <w:highlight w:val="none"/>
        <w:u w:val="none"/>
        <w:shd w:val="clear" w:color="auto" w:fill="FFFFFF"/>
        <w:lang w:val="en-US" w:eastAsia="zh-CN"/>
      </w:rPr>
      <w:t>驻马店市中心医院放射介入诊疗设备采购项目（二次）采购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BC6FEC"/>
    <w:rsid w:val="02C866AB"/>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8071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E4F67"/>
    <w:rsid w:val="0E0C0D4C"/>
    <w:rsid w:val="0E115DA1"/>
    <w:rsid w:val="0E1409F6"/>
    <w:rsid w:val="0E162D6D"/>
    <w:rsid w:val="0E2E3E70"/>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00F1B"/>
    <w:rsid w:val="1B8C18B7"/>
    <w:rsid w:val="1BB73AE1"/>
    <w:rsid w:val="1BDA6D68"/>
    <w:rsid w:val="1BF14125"/>
    <w:rsid w:val="1C002CEE"/>
    <w:rsid w:val="1C4032FE"/>
    <w:rsid w:val="1C555978"/>
    <w:rsid w:val="1C6554A1"/>
    <w:rsid w:val="1C7971B7"/>
    <w:rsid w:val="1C8036FB"/>
    <w:rsid w:val="1C917D91"/>
    <w:rsid w:val="1CAB2820"/>
    <w:rsid w:val="1CD402EC"/>
    <w:rsid w:val="1CDA3BA7"/>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855744"/>
    <w:rsid w:val="23940114"/>
    <w:rsid w:val="239A1546"/>
    <w:rsid w:val="23B57016"/>
    <w:rsid w:val="23C4797E"/>
    <w:rsid w:val="23CD5478"/>
    <w:rsid w:val="23D4764B"/>
    <w:rsid w:val="23EC3718"/>
    <w:rsid w:val="23EE304F"/>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7F020E"/>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752C0"/>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E327BC"/>
    <w:rsid w:val="2CF16074"/>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662043"/>
    <w:rsid w:val="306D3B35"/>
    <w:rsid w:val="307153DD"/>
    <w:rsid w:val="3083092C"/>
    <w:rsid w:val="30930D2E"/>
    <w:rsid w:val="30B8125D"/>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706407"/>
    <w:rsid w:val="39922CCF"/>
    <w:rsid w:val="39A24859"/>
    <w:rsid w:val="39A65327"/>
    <w:rsid w:val="39A65C9B"/>
    <w:rsid w:val="39BC5ED6"/>
    <w:rsid w:val="39D27231"/>
    <w:rsid w:val="39E82BB3"/>
    <w:rsid w:val="39EB39E0"/>
    <w:rsid w:val="39EF02D4"/>
    <w:rsid w:val="3A11342A"/>
    <w:rsid w:val="3A133427"/>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91107"/>
    <w:rsid w:val="48895289"/>
    <w:rsid w:val="48A16B62"/>
    <w:rsid w:val="48AE0D54"/>
    <w:rsid w:val="48BC6222"/>
    <w:rsid w:val="48C245E9"/>
    <w:rsid w:val="48C52312"/>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287B99"/>
    <w:rsid w:val="52382F2A"/>
    <w:rsid w:val="52386E3D"/>
    <w:rsid w:val="523A7DD1"/>
    <w:rsid w:val="523B7711"/>
    <w:rsid w:val="523C3645"/>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758A1"/>
    <w:rsid w:val="540D5A7F"/>
    <w:rsid w:val="542E2BC2"/>
    <w:rsid w:val="54352A96"/>
    <w:rsid w:val="54447390"/>
    <w:rsid w:val="544B514D"/>
    <w:rsid w:val="545E1D01"/>
    <w:rsid w:val="54674051"/>
    <w:rsid w:val="54935B8F"/>
    <w:rsid w:val="549D3677"/>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D042FB1"/>
    <w:rsid w:val="5D442CB4"/>
    <w:rsid w:val="5D7C3F11"/>
    <w:rsid w:val="5D971C5A"/>
    <w:rsid w:val="5D9D49E0"/>
    <w:rsid w:val="5DA01E9E"/>
    <w:rsid w:val="5DAD3649"/>
    <w:rsid w:val="5DC310BE"/>
    <w:rsid w:val="5DDF1821"/>
    <w:rsid w:val="5DE2656A"/>
    <w:rsid w:val="5DEA2F91"/>
    <w:rsid w:val="5DF94AE0"/>
    <w:rsid w:val="5DFA5883"/>
    <w:rsid w:val="5E224037"/>
    <w:rsid w:val="5E3146A3"/>
    <w:rsid w:val="5E386528"/>
    <w:rsid w:val="5E442F62"/>
    <w:rsid w:val="5E6C2C5B"/>
    <w:rsid w:val="5E6E2DD8"/>
    <w:rsid w:val="5E7251A2"/>
    <w:rsid w:val="5E7C3591"/>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0045A"/>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6243E"/>
    <w:rsid w:val="656B70C3"/>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8A5EE4"/>
    <w:rsid w:val="69C811ED"/>
    <w:rsid w:val="69D33070"/>
    <w:rsid w:val="69E97E75"/>
    <w:rsid w:val="69FB5D9E"/>
    <w:rsid w:val="69FF6FDA"/>
    <w:rsid w:val="6A1A3007"/>
    <w:rsid w:val="6A1E645E"/>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DD137A"/>
    <w:rsid w:val="71F437A4"/>
    <w:rsid w:val="721919B3"/>
    <w:rsid w:val="721A6098"/>
    <w:rsid w:val="721D18D3"/>
    <w:rsid w:val="72310D1A"/>
    <w:rsid w:val="725D6B54"/>
    <w:rsid w:val="72986FA0"/>
    <w:rsid w:val="72A17C99"/>
    <w:rsid w:val="72A5093A"/>
    <w:rsid w:val="72AD7197"/>
    <w:rsid w:val="72AF6F7E"/>
    <w:rsid w:val="72CD226C"/>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4F231F"/>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文本缩进 21"/>
    <w:basedOn w:val="1"/>
    <w:autoRedefine/>
    <w:qFormat/>
    <w:uiPriority w:val="0"/>
    <w:pPr>
      <w:ind w:firstLine="570"/>
    </w:pPr>
    <w:rPr>
      <w:sz w:val="32"/>
    </w:r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5">
    <w:name w:val="Document Map"/>
    <w:basedOn w:val="1"/>
    <w:link w:val="77"/>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envelope return"/>
    <w:basedOn w:val="1"/>
    <w:autoRedefine/>
    <w:unhideWhenUsed/>
    <w:qFormat/>
    <w:uiPriority w:val="99"/>
    <w:pPr>
      <w:snapToGrid w:val="0"/>
    </w:pPr>
    <w:rPr>
      <w:rFonts w:ascii="Arial" w:hAnsi="Arial"/>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List"/>
    <w:basedOn w:val="1"/>
    <w:autoRedefine/>
    <w:qFormat/>
    <w:uiPriority w:val="0"/>
    <w:pPr>
      <w:ind w:left="200" w:hanging="200" w:hangingChars="200"/>
    </w:pPr>
  </w:style>
  <w:style w:type="paragraph" w:styleId="29">
    <w:name w:val="Body Text 2"/>
    <w:basedOn w:val="1"/>
    <w:next w:val="4"/>
    <w:autoRedefine/>
    <w:qFormat/>
    <w:uiPriority w:val="0"/>
    <w:pPr>
      <w:spacing w:line="480" w:lineRule="auto"/>
    </w:pPr>
  </w:style>
  <w:style w:type="paragraph" w:styleId="3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autoRedefine/>
    <w:qFormat/>
    <w:uiPriority w:val="99"/>
    <w:pPr>
      <w:spacing w:before="100" w:beforeAutospacing="1" w:after="100" w:afterAutospacing="1"/>
      <w:jc w:val="left"/>
    </w:pPr>
    <w:rPr>
      <w:kern w:val="0"/>
      <w:sz w:val="24"/>
    </w:rPr>
  </w:style>
  <w:style w:type="paragraph" w:styleId="33">
    <w:name w:val="Title"/>
    <w:basedOn w:val="1"/>
    <w:autoRedefine/>
    <w:qFormat/>
    <w:uiPriority w:val="0"/>
    <w:pPr>
      <w:jc w:val="center"/>
      <w:outlineLvl w:val="0"/>
    </w:pPr>
    <w:rPr>
      <w:rFonts w:ascii="Arial" w:hAnsi="Arial" w:cs="Arial"/>
      <w:b/>
      <w:bCs/>
      <w:sz w:val="32"/>
      <w:szCs w:val="32"/>
    </w:rPr>
  </w:style>
  <w:style w:type="paragraph" w:styleId="34">
    <w:name w:val="Body Text First Indent"/>
    <w:basedOn w:val="4"/>
    <w:next w:val="7"/>
    <w:autoRedefine/>
    <w:qFormat/>
    <w:uiPriority w:val="0"/>
    <w:pPr>
      <w:spacing w:line="360" w:lineRule="auto"/>
      <w:ind w:firstLine="420" w:firstLineChars="100"/>
    </w:pPr>
    <w:rPr>
      <w:szCs w:val="21"/>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7"/>
    <w:link w:val="4"/>
    <w:autoRedefine/>
    <w:qFormat/>
    <w:uiPriority w:val="0"/>
  </w:style>
  <w:style w:type="character" w:customStyle="1" w:styleId="76">
    <w:name w:val="apple-converted-space"/>
    <w:basedOn w:val="37"/>
    <w:autoRedefine/>
    <w:qFormat/>
    <w:uiPriority w:val="0"/>
  </w:style>
  <w:style w:type="character" w:customStyle="1" w:styleId="77">
    <w:name w:val="文档结构图 Char"/>
    <w:link w:val="15"/>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7"/>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7"/>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7"/>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7"/>
    <w:qFormat/>
    <w:uiPriority w:val="0"/>
    <w:rPr>
      <w:rFonts w:ascii="宋体" w:hAnsi="宋体" w:eastAsia="宋体" w:cs="宋体"/>
      <w:color w:val="000000"/>
      <w:sz w:val="24"/>
      <w:szCs w:val="24"/>
      <w:u w:val="none"/>
    </w:rPr>
  </w:style>
  <w:style w:type="character" w:customStyle="1" w:styleId="96">
    <w:name w:val="font81"/>
    <w:basedOn w:val="3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16889</Words>
  <Characters>17814</Characters>
  <Lines>50</Lines>
  <Paragraphs>68</Paragraphs>
  <TotalTime>0</TotalTime>
  <ScaleCrop>false</ScaleCrop>
  <LinksUpToDate>false</LinksUpToDate>
  <CharactersWithSpaces>18296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2025-07-21T06:33:16Z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