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14507FA">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highlight w:val="none"/>
          <w:lang w:val="en-US" w:eastAsia="zh-CN"/>
        </w:rPr>
      </w:pPr>
      <w:bookmarkStart w:id="0" w:name="_Toc22804073"/>
      <w:bookmarkEnd w:id="0"/>
      <w:bookmarkStart w:id="1" w:name="_Toc22953395"/>
      <w:bookmarkEnd w:id="1"/>
    </w:p>
    <w:p w14:paraId="11103106">
      <w:pPr>
        <w:pStyle w:val="19"/>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Style w:val="44"/>
          <w:rFonts w:hint="eastAsia" w:ascii="宋体" w:hAnsi="宋体" w:eastAsia="宋体" w:cs="宋体"/>
          <w:b/>
          <w:bCs/>
          <w:color w:val="auto"/>
          <w:sz w:val="48"/>
          <w:szCs w:val="48"/>
          <w:highlight w:val="none"/>
        </w:rPr>
      </w:pPr>
      <w:r>
        <w:rPr>
          <w:rFonts w:hint="eastAsia" w:ascii="宋体" w:hAnsi="宋体" w:eastAsia="宋体" w:cs="宋体"/>
          <w:b/>
          <w:bCs/>
          <w:color w:val="auto"/>
          <w:sz w:val="44"/>
          <w:szCs w:val="44"/>
          <w:highlight w:val="none"/>
          <w:lang w:val="en-US" w:eastAsia="zh-CN"/>
        </w:rPr>
        <w:t>驻马店市中心医院妇儿院区化粪池、隔油池、污水井及雨水井清掏服务项目</w:t>
      </w:r>
    </w:p>
    <w:p w14:paraId="3612D3BD">
      <w:pPr>
        <w:pStyle w:val="19"/>
        <w:bidi w:val="0"/>
        <w:jc w:val="center"/>
        <w:rPr>
          <w:rStyle w:val="44"/>
          <w:rFonts w:hint="eastAsia" w:ascii="宋体" w:hAnsi="宋体" w:eastAsia="宋体" w:cs="宋体"/>
          <w:b/>
          <w:bCs/>
          <w:color w:val="auto"/>
          <w:sz w:val="48"/>
          <w:szCs w:val="48"/>
          <w:highlight w:val="none"/>
        </w:rPr>
      </w:pPr>
    </w:p>
    <w:p w14:paraId="51E14793">
      <w:pPr>
        <w:pStyle w:val="19"/>
        <w:bidi w:val="0"/>
        <w:jc w:val="center"/>
        <w:rPr>
          <w:rStyle w:val="44"/>
          <w:rFonts w:hint="eastAsia" w:ascii="宋体" w:hAnsi="宋体" w:eastAsia="宋体" w:cs="宋体"/>
          <w:b/>
          <w:bCs/>
          <w:color w:val="auto"/>
          <w:sz w:val="44"/>
          <w:szCs w:val="44"/>
          <w:highlight w:val="none"/>
        </w:rPr>
      </w:pPr>
      <w:r>
        <w:rPr>
          <w:rStyle w:val="44"/>
          <w:rFonts w:hint="eastAsia" w:cs="宋体"/>
          <w:b/>
          <w:bCs/>
          <w:color w:val="auto"/>
          <w:sz w:val="44"/>
          <w:szCs w:val="44"/>
          <w:highlight w:val="none"/>
          <w:lang w:val="en-US" w:eastAsia="zh-CN"/>
        </w:rPr>
        <w:t>竞争性磋商</w:t>
      </w:r>
      <w:r>
        <w:rPr>
          <w:rStyle w:val="44"/>
          <w:rFonts w:hint="eastAsia" w:ascii="宋体" w:hAnsi="宋体" w:eastAsia="宋体" w:cs="宋体"/>
          <w:b/>
          <w:bCs/>
          <w:color w:val="auto"/>
          <w:sz w:val="44"/>
          <w:szCs w:val="44"/>
          <w:highlight w:val="none"/>
        </w:rPr>
        <w:t>文件</w:t>
      </w:r>
    </w:p>
    <w:p w14:paraId="04AFE2B4">
      <w:pPr>
        <w:pStyle w:val="19"/>
        <w:bidi w:val="0"/>
        <w:jc w:val="center"/>
        <w:rPr>
          <w:rStyle w:val="44"/>
          <w:rFonts w:hint="eastAsia" w:ascii="宋体" w:hAnsi="宋体" w:eastAsia="宋体" w:cs="宋体"/>
          <w:b/>
          <w:bCs/>
          <w:color w:val="auto"/>
          <w:szCs w:val="44"/>
          <w:highlight w:val="none"/>
        </w:rPr>
      </w:pPr>
    </w:p>
    <w:p w14:paraId="754F6C70">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highlight w:val="none"/>
          <w:lang w:val="en-US" w:eastAsia="zh-CN"/>
        </w:rPr>
      </w:pPr>
    </w:p>
    <w:p w14:paraId="649BAF6A">
      <w:pPr>
        <w:pStyle w:val="6"/>
        <w:rPr>
          <w:rFonts w:hint="eastAsia" w:ascii="宋体" w:hAnsi="宋体" w:eastAsia="宋体" w:cs="宋体"/>
          <w:b/>
          <w:bCs/>
          <w:color w:val="auto"/>
          <w:spacing w:val="-10"/>
          <w:sz w:val="34"/>
          <w:szCs w:val="34"/>
          <w:highlight w:val="none"/>
          <w:lang w:val="en-US" w:eastAsia="zh-CN"/>
        </w:rPr>
      </w:pPr>
    </w:p>
    <w:p w14:paraId="53EF5E3E">
      <w:pPr>
        <w:rPr>
          <w:rFonts w:hint="eastAsia"/>
          <w:color w:val="auto"/>
          <w:lang w:val="en-US" w:eastAsia="zh-CN"/>
        </w:rPr>
      </w:pPr>
    </w:p>
    <w:p w14:paraId="06D66D34">
      <w:pPr>
        <w:snapToGrid w:val="0"/>
        <w:spacing w:line="380" w:lineRule="exact"/>
        <w:jc w:val="center"/>
        <w:rPr>
          <w:rFonts w:hint="eastAsia" w:ascii="宋体" w:hAnsi="宋体" w:eastAsia="宋体" w:cs="宋体"/>
          <w:b/>
          <w:color w:val="auto"/>
          <w:sz w:val="32"/>
          <w:szCs w:val="32"/>
          <w:highlight w:val="none"/>
        </w:rPr>
      </w:pPr>
    </w:p>
    <w:p w14:paraId="40BE514B">
      <w:pPr>
        <w:pStyle w:val="32"/>
        <w:rPr>
          <w:rFonts w:hint="eastAsia" w:ascii="宋体" w:hAnsi="宋体" w:eastAsia="宋体" w:cs="宋体"/>
          <w:color w:val="auto"/>
          <w:highlight w:val="none"/>
        </w:rPr>
      </w:pPr>
    </w:p>
    <w:p w14:paraId="5B4D7EB4">
      <w:pPr>
        <w:pStyle w:val="15"/>
        <w:rPr>
          <w:rFonts w:hint="eastAsia" w:ascii="宋体" w:hAnsi="宋体" w:eastAsia="宋体" w:cs="宋体"/>
          <w:color w:val="auto"/>
          <w:highlight w:val="none"/>
        </w:rPr>
      </w:pPr>
    </w:p>
    <w:p w14:paraId="24A80E41">
      <w:pPr>
        <w:pStyle w:val="15"/>
        <w:rPr>
          <w:rFonts w:hint="eastAsia" w:ascii="宋体" w:hAnsi="宋体" w:eastAsia="宋体" w:cs="宋体"/>
          <w:color w:val="auto"/>
          <w:highlight w:val="none"/>
        </w:rPr>
      </w:pPr>
    </w:p>
    <w:p w14:paraId="056B2479">
      <w:pPr>
        <w:pStyle w:val="15"/>
        <w:rPr>
          <w:rFonts w:hint="eastAsia" w:ascii="宋体" w:hAnsi="宋体" w:eastAsia="宋体" w:cs="宋体"/>
          <w:color w:val="auto"/>
          <w:highlight w:val="none"/>
        </w:rPr>
      </w:pPr>
    </w:p>
    <w:p w14:paraId="0FAF9150">
      <w:pPr>
        <w:pStyle w:val="15"/>
        <w:rPr>
          <w:rFonts w:hint="eastAsia" w:ascii="宋体" w:hAnsi="宋体" w:eastAsia="宋体" w:cs="宋体"/>
          <w:color w:val="auto"/>
          <w:highlight w:val="none"/>
        </w:rPr>
      </w:pPr>
    </w:p>
    <w:p w14:paraId="3F326C11">
      <w:pPr>
        <w:pStyle w:val="61"/>
        <w:rPr>
          <w:rFonts w:hint="eastAsia" w:ascii="宋体" w:hAnsi="宋体" w:eastAsia="宋体" w:cs="宋体"/>
          <w:bCs/>
          <w:color w:val="auto"/>
          <w:sz w:val="2"/>
          <w:szCs w:val="2"/>
          <w:highlight w:val="none"/>
        </w:rPr>
      </w:pPr>
    </w:p>
    <w:p w14:paraId="29FB2120">
      <w:pPr>
        <w:rPr>
          <w:rFonts w:hint="eastAsia" w:ascii="宋体" w:hAnsi="宋体" w:eastAsia="宋体" w:cs="宋体"/>
          <w:bCs/>
          <w:color w:val="auto"/>
          <w:sz w:val="2"/>
          <w:szCs w:val="2"/>
          <w:highlight w:val="none"/>
        </w:rPr>
      </w:pPr>
    </w:p>
    <w:p w14:paraId="05E2B9D2">
      <w:pPr>
        <w:spacing w:line="20" w:lineRule="exact"/>
        <w:rPr>
          <w:rFonts w:hint="eastAsia" w:ascii="宋体" w:hAnsi="宋体" w:eastAsia="宋体" w:cs="宋体"/>
          <w:bCs/>
          <w:color w:val="auto"/>
          <w:sz w:val="2"/>
          <w:szCs w:val="2"/>
          <w:highlight w:val="none"/>
        </w:rPr>
      </w:pPr>
    </w:p>
    <w:p w14:paraId="2D367E3E">
      <w:pPr>
        <w:tabs>
          <w:tab w:val="left" w:pos="2700"/>
          <w:tab w:val="left" w:pos="2880"/>
          <w:tab w:val="left" w:pos="3060"/>
          <w:tab w:val="left" w:pos="7560"/>
        </w:tabs>
        <w:snapToGrid w:val="0"/>
        <w:spacing w:line="480" w:lineRule="auto"/>
        <w:ind w:firstLine="1928" w:firstLineChars="600"/>
        <w:rPr>
          <w:rFonts w:hint="eastAsia" w:ascii="宋体" w:hAnsi="宋体" w:cs="宋体"/>
          <w:b/>
          <w:bCs/>
          <w:color w:val="auto"/>
          <w:spacing w:val="-10"/>
          <w:sz w:val="34"/>
          <w:szCs w:val="34"/>
          <w:highlight w:val="none"/>
          <w:lang w:val="en-US" w:eastAsia="zh-CN"/>
        </w:rPr>
      </w:pPr>
      <w:r>
        <w:rPr>
          <w:rFonts w:hint="eastAsia" w:ascii="宋体" w:hAnsi="宋体" w:cs="宋体"/>
          <w:b/>
          <w:bCs/>
          <w:color w:val="auto"/>
          <w:spacing w:val="-10"/>
          <w:sz w:val="34"/>
          <w:szCs w:val="34"/>
          <w:highlight w:val="none"/>
          <w:lang w:val="en-US" w:eastAsia="zh-CN"/>
        </w:rPr>
        <w:t>采   购   人：驻马店市中心医院</w:t>
      </w:r>
    </w:p>
    <w:p w14:paraId="55D4E834">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采购代理机构：河南保利招标咨询有限公司</w:t>
      </w:r>
    </w:p>
    <w:p w14:paraId="5606C974">
      <w:pPr>
        <w:tabs>
          <w:tab w:val="left" w:pos="2700"/>
          <w:tab w:val="left" w:pos="2880"/>
          <w:tab w:val="left" w:pos="3060"/>
          <w:tab w:val="left" w:pos="7560"/>
        </w:tabs>
        <w:snapToGrid w:val="0"/>
        <w:spacing w:line="480" w:lineRule="auto"/>
        <w:ind w:firstLine="1928" w:firstLineChars="600"/>
        <w:jc w:val="both"/>
        <w:rPr>
          <w:rFonts w:hint="default" w:ascii="宋体" w:hAnsi="宋体" w:eastAsia="宋体" w:cs="宋体"/>
          <w:b/>
          <w:bCs/>
          <w:color w:val="auto"/>
          <w:spacing w:val="-10"/>
          <w:sz w:val="34"/>
          <w:szCs w:val="34"/>
          <w:highlight w:val="none"/>
          <w:lang w:val="en-US" w:eastAsia="zh-CN"/>
        </w:rPr>
      </w:pPr>
      <w:r>
        <w:rPr>
          <w:rFonts w:hint="eastAsia" w:ascii="宋体" w:hAnsi="宋体" w:eastAsia="宋体" w:cs="宋体"/>
          <w:b/>
          <w:bCs/>
          <w:color w:val="auto"/>
          <w:spacing w:val="-10"/>
          <w:sz w:val="34"/>
          <w:szCs w:val="34"/>
          <w:highlight w:val="none"/>
          <w:lang w:val="en-US" w:eastAsia="zh-CN"/>
        </w:rPr>
        <w:t>日        期：2025年</w:t>
      </w:r>
      <w:r>
        <w:rPr>
          <w:rFonts w:hint="eastAsia" w:ascii="宋体" w:hAnsi="宋体" w:cs="宋体"/>
          <w:b/>
          <w:bCs/>
          <w:color w:val="auto"/>
          <w:spacing w:val="-10"/>
          <w:sz w:val="34"/>
          <w:szCs w:val="34"/>
          <w:highlight w:val="none"/>
          <w:lang w:val="en-US" w:eastAsia="zh-CN"/>
        </w:rPr>
        <w:t>8</w:t>
      </w:r>
      <w:r>
        <w:rPr>
          <w:rFonts w:hint="eastAsia" w:ascii="宋体" w:hAnsi="宋体" w:eastAsia="宋体" w:cs="宋体"/>
          <w:b/>
          <w:bCs/>
          <w:color w:val="auto"/>
          <w:spacing w:val="-10"/>
          <w:sz w:val="34"/>
          <w:szCs w:val="34"/>
          <w:highlight w:val="none"/>
          <w:lang w:val="en-US" w:eastAsia="zh-CN"/>
        </w:rPr>
        <w:t>月</w:t>
      </w:r>
    </w:p>
    <w:p w14:paraId="4C5AA3E5">
      <w:pPr>
        <w:pStyle w:val="6"/>
        <w:pageBreakBefore w:val="0"/>
        <w:widowControl w:val="0"/>
        <w:kinsoku/>
        <w:wordWrap/>
        <w:overflowPunct/>
        <w:topLinePunct w:val="0"/>
        <w:autoSpaceDE/>
        <w:autoSpaceDN/>
        <w:bidi w:val="0"/>
        <w:adjustRightInd/>
        <w:spacing w:before="0" w:after="0" w:line="240" w:lineRule="auto"/>
        <w:ind w:firstLine="2891" w:firstLineChars="800"/>
        <w:jc w:val="both"/>
        <w:textAlignment w:val="auto"/>
        <w:rPr>
          <w:rFonts w:hint="eastAsia" w:ascii="宋体" w:hAnsi="宋体" w:eastAsia="宋体" w:cs="宋体"/>
          <w:b/>
          <w:color w:val="auto"/>
          <w:sz w:val="36"/>
          <w:szCs w:val="36"/>
          <w:highlight w:val="none"/>
        </w:rPr>
      </w:pPr>
    </w:p>
    <w:p w14:paraId="747A96F9">
      <w:pPr>
        <w:rPr>
          <w:rFonts w:hint="eastAsia"/>
          <w:color w:val="auto"/>
        </w:rPr>
        <w:sectPr>
          <w:pgSz w:w="11923" w:h="16838"/>
          <w:pgMar w:top="1304" w:right="1417" w:bottom="992" w:left="1417" w:header="720" w:footer="720" w:gutter="0"/>
          <w:pgNumType w:fmt="decimal" w:start="1"/>
          <w:cols w:space="720" w:num="1"/>
          <w:docGrid w:type="lines" w:linePitch="312" w:charSpace="0"/>
        </w:sectPr>
      </w:pPr>
    </w:p>
    <w:p w14:paraId="001B2BF4">
      <w:pPr>
        <w:rPr>
          <w:rFonts w:hint="eastAsia" w:ascii="宋体" w:hAnsi="宋体" w:eastAsia="宋体" w:cs="宋体"/>
          <w:bCs/>
          <w:color w:val="auto"/>
          <w:sz w:val="24"/>
          <w:highlight w:val="none"/>
        </w:rPr>
      </w:pPr>
    </w:p>
    <w:p w14:paraId="65B37409">
      <w:pPr>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目录</w:t>
      </w:r>
    </w:p>
    <w:p w14:paraId="67F20F4B">
      <w:pPr>
        <w:pStyle w:val="55"/>
        <w:rPr>
          <w:rFonts w:hint="eastAsia" w:ascii="宋体" w:hAnsi="宋体" w:eastAsia="宋体" w:cs="宋体"/>
          <w:color w:val="auto"/>
          <w:highlight w:val="none"/>
        </w:rPr>
      </w:pPr>
    </w:p>
    <w:p w14:paraId="4FB6D81D">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
          <w:bCs/>
          <w:color w:val="auto"/>
          <w:sz w:val="32"/>
          <w:szCs w:val="32"/>
          <w:highlight w:val="none"/>
        </w:rPr>
        <w:fldChar w:fldCharType="begin"/>
      </w:r>
      <w:r>
        <w:rPr>
          <w:rFonts w:hint="eastAsia" w:ascii="宋体" w:hAnsi="宋体" w:eastAsia="宋体" w:cs="宋体"/>
          <w:b/>
          <w:bCs/>
          <w:color w:val="auto"/>
          <w:sz w:val="32"/>
          <w:szCs w:val="32"/>
          <w:highlight w:val="none"/>
        </w:rPr>
        <w:instrText xml:space="preserve">TOC \o "1-1" \h \u </w:instrText>
      </w:r>
      <w:r>
        <w:rPr>
          <w:rFonts w:hint="eastAsia" w:ascii="宋体" w:hAnsi="宋体" w:eastAsia="宋体" w:cs="宋体"/>
          <w:b/>
          <w:bCs/>
          <w:color w:val="auto"/>
          <w:sz w:val="32"/>
          <w:szCs w:val="32"/>
          <w:highlight w:val="none"/>
        </w:rPr>
        <w:fldChar w:fldCharType="separate"/>
      </w: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_Toc26528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第一章  </w:t>
      </w:r>
      <w:r>
        <w:rPr>
          <w:rFonts w:hint="eastAsia" w:ascii="宋体" w:hAnsi="宋体" w:eastAsia="宋体" w:cs="宋体"/>
          <w:color w:val="auto"/>
          <w:szCs w:val="32"/>
          <w:highlight w:val="none"/>
          <w:lang w:val="en-US" w:eastAsia="zh-CN"/>
        </w:rPr>
        <w:t>竞争性磋商</w:t>
      </w:r>
      <w:r>
        <w:rPr>
          <w:rFonts w:hint="eastAsia" w:ascii="宋体" w:hAnsi="宋体" w:eastAsia="宋体" w:cs="宋体"/>
          <w:color w:val="auto"/>
          <w:szCs w:val="32"/>
          <w:highlight w:val="none"/>
        </w:rPr>
        <w:t>公告</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_Toc26528 \h </w:instrText>
      </w:r>
      <w:r>
        <w:rPr>
          <w:rFonts w:hint="eastAsia" w:ascii="宋体" w:hAnsi="宋体" w:eastAsia="宋体" w:cs="宋体"/>
          <w:color w:val="auto"/>
        </w:rPr>
        <w:fldChar w:fldCharType="separate"/>
      </w:r>
      <w:r>
        <w:rPr>
          <w:rFonts w:hint="eastAsia" w:ascii="宋体" w:hAnsi="宋体" w:eastAsia="宋体" w:cs="宋体"/>
          <w:color w:val="auto"/>
        </w:rPr>
        <w:t>2</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D93D6C9">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_Toc19124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第二章  </w:t>
      </w:r>
      <w:r>
        <w:rPr>
          <w:rFonts w:hint="eastAsia" w:ascii="宋体" w:hAnsi="宋体" w:eastAsia="宋体" w:cs="宋体"/>
          <w:color w:val="auto"/>
          <w:szCs w:val="32"/>
          <w:highlight w:val="none"/>
          <w:lang w:eastAsia="zh-CN"/>
        </w:rPr>
        <w:t>采购</w:t>
      </w:r>
      <w:r>
        <w:rPr>
          <w:rFonts w:hint="eastAsia" w:ascii="宋体" w:hAnsi="宋体" w:eastAsia="宋体" w:cs="宋体"/>
          <w:color w:val="auto"/>
          <w:szCs w:val="32"/>
          <w:highlight w:val="none"/>
        </w:rPr>
        <w:t>需求</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_Toc19124 \h </w:instrText>
      </w:r>
      <w:r>
        <w:rPr>
          <w:rFonts w:hint="eastAsia" w:ascii="宋体" w:hAnsi="宋体" w:eastAsia="宋体" w:cs="宋体"/>
          <w:color w:val="auto"/>
        </w:rPr>
        <w:fldChar w:fldCharType="separate"/>
      </w:r>
      <w:r>
        <w:rPr>
          <w:rFonts w:hint="eastAsia" w:ascii="宋体" w:hAnsi="宋体" w:eastAsia="宋体" w:cs="宋体"/>
          <w:color w:val="auto"/>
        </w:rPr>
        <w:t>4</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3D496288">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_Toc8501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szCs w:val="32"/>
          <w:highlight w:val="none"/>
        </w:rPr>
        <w:t xml:space="preserve">第三章  </w:t>
      </w:r>
      <w:r>
        <w:rPr>
          <w:rFonts w:hint="eastAsia" w:ascii="宋体" w:hAnsi="宋体" w:eastAsia="宋体" w:cs="宋体"/>
          <w:bCs/>
          <w:color w:val="auto"/>
          <w:szCs w:val="32"/>
          <w:highlight w:val="none"/>
          <w:lang w:eastAsia="zh-CN"/>
        </w:rPr>
        <w:t>供应商</w:t>
      </w:r>
      <w:r>
        <w:rPr>
          <w:rFonts w:hint="eastAsia" w:ascii="宋体" w:hAnsi="宋体" w:eastAsia="宋体" w:cs="宋体"/>
          <w:bCs/>
          <w:color w:val="auto"/>
          <w:szCs w:val="32"/>
          <w:highlight w:val="none"/>
        </w:rPr>
        <w:t>须知</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_Toc8501 \h </w:instrText>
      </w:r>
      <w:r>
        <w:rPr>
          <w:rFonts w:hint="eastAsia" w:ascii="宋体" w:hAnsi="宋体" w:eastAsia="宋体" w:cs="宋体"/>
          <w:color w:val="auto"/>
        </w:rPr>
        <w:fldChar w:fldCharType="separate"/>
      </w:r>
      <w:r>
        <w:rPr>
          <w:rFonts w:hint="eastAsia" w:ascii="宋体" w:hAnsi="宋体" w:eastAsia="宋体" w:cs="宋体"/>
          <w:color w:val="auto"/>
        </w:rPr>
        <w:t>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40842333">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_Toc31399 </w:instrText>
      </w:r>
      <w:r>
        <w:rPr>
          <w:rFonts w:hint="eastAsia" w:ascii="宋体" w:hAnsi="宋体" w:eastAsia="宋体" w:cs="宋体"/>
          <w:bCs/>
          <w:color w:val="auto"/>
          <w:szCs w:val="32"/>
          <w:highlight w:val="none"/>
        </w:rPr>
        <w:fldChar w:fldCharType="separate"/>
      </w:r>
      <w:r>
        <w:rPr>
          <w:rFonts w:hint="eastAsia" w:ascii="宋体" w:hAnsi="宋体" w:eastAsia="宋体" w:cs="宋体"/>
          <w:bCs/>
          <w:color w:val="auto"/>
          <w:kern w:val="0"/>
          <w:szCs w:val="32"/>
          <w:highlight w:val="none"/>
        </w:rPr>
        <w:t>第四章  评标办法及评分标准</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_Toc31399 \h </w:instrText>
      </w:r>
      <w:r>
        <w:rPr>
          <w:rFonts w:hint="eastAsia" w:ascii="宋体" w:hAnsi="宋体" w:eastAsia="宋体" w:cs="宋体"/>
          <w:color w:val="auto"/>
        </w:rPr>
        <w:fldChar w:fldCharType="separate"/>
      </w:r>
      <w:r>
        <w:rPr>
          <w:rFonts w:hint="eastAsia" w:ascii="宋体" w:hAnsi="宋体" w:eastAsia="宋体" w:cs="宋体"/>
          <w:color w:val="auto"/>
        </w:rPr>
        <w:t>16</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2827A43D">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rFonts w:hint="eastAsia" w:ascii="宋体" w:hAnsi="宋体" w:eastAsia="宋体" w:cs="宋体"/>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_Toc11904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28"/>
          <w:highlight w:val="none"/>
        </w:rPr>
        <w:t>第五章  采购合同</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_Toc11904 \h </w:instrText>
      </w:r>
      <w:r>
        <w:rPr>
          <w:rFonts w:hint="eastAsia" w:ascii="宋体" w:hAnsi="宋体" w:eastAsia="宋体" w:cs="宋体"/>
          <w:color w:val="auto"/>
        </w:rPr>
        <w:fldChar w:fldCharType="separate"/>
      </w:r>
      <w:r>
        <w:rPr>
          <w:rFonts w:hint="eastAsia" w:ascii="宋体" w:hAnsi="宋体" w:eastAsia="宋体" w:cs="宋体"/>
          <w:color w:val="auto"/>
        </w:rPr>
        <w:t>18</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6CC662B7">
      <w:pPr>
        <w:pStyle w:val="25"/>
        <w:keepNext w:val="0"/>
        <w:keepLines w:val="0"/>
        <w:pageBreakBefore w:val="0"/>
        <w:widowControl w:val="0"/>
        <w:tabs>
          <w:tab w:val="right" w:leader="dot" w:pos="8958"/>
        </w:tabs>
        <w:kinsoku/>
        <w:wordWrap/>
        <w:overflowPunct/>
        <w:topLinePunct w:val="0"/>
        <w:autoSpaceDE/>
        <w:autoSpaceDN/>
        <w:bidi w:val="0"/>
        <w:adjustRightInd/>
        <w:snapToGrid/>
        <w:spacing w:line="500" w:lineRule="exact"/>
        <w:textAlignment w:val="auto"/>
        <w:rPr>
          <w:color w:val="auto"/>
        </w:rPr>
      </w:pPr>
      <w:r>
        <w:rPr>
          <w:rFonts w:hint="eastAsia" w:ascii="宋体" w:hAnsi="宋体" w:eastAsia="宋体" w:cs="宋体"/>
          <w:bCs/>
          <w:color w:val="auto"/>
          <w:szCs w:val="32"/>
          <w:highlight w:val="none"/>
        </w:rPr>
        <w:fldChar w:fldCharType="begin"/>
      </w:r>
      <w:r>
        <w:rPr>
          <w:rFonts w:hint="eastAsia" w:ascii="宋体" w:hAnsi="宋体" w:eastAsia="宋体" w:cs="宋体"/>
          <w:bCs/>
          <w:color w:val="auto"/>
          <w:szCs w:val="32"/>
          <w:highlight w:val="none"/>
        </w:rPr>
        <w:instrText xml:space="preserve"> HYPERLINK \l _Toc18702 </w:instrText>
      </w:r>
      <w:r>
        <w:rPr>
          <w:rFonts w:hint="eastAsia" w:ascii="宋体" w:hAnsi="宋体" w:eastAsia="宋体" w:cs="宋体"/>
          <w:bCs/>
          <w:color w:val="auto"/>
          <w:szCs w:val="32"/>
          <w:highlight w:val="none"/>
        </w:rPr>
        <w:fldChar w:fldCharType="separate"/>
      </w:r>
      <w:r>
        <w:rPr>
          <w:rFonts w:hint="eastAsia" w:ascii="宋体" w:hAnsi="宋体" w:eastAsia="宋体" w:cs="宋体"/>
          <w:color w:val="auto"/>
          <w:szCs w:val="32"/>
          <w:highlight w:val="none"/>
        </w:rPr>
        <w:t xml:space="preserve">第六章  </w:t>
      </w:r>
      <w:r>
        <w:rPr>
          <w:rFonts w:hint="eastAsia" w:ascii="宋体" w:hAnsi="宋体" w:eastAsia="宋体" w:cs="宋体"/>
          <w:color w:val="auto"/>
          <w:szCs w:val="32"/>
          <w:highlight w:val="none"/>
          <w:lang w:val="en-US" w:eastAsia="zh-CN"/>
        </w:rPr>
        <w:t>响应</w:t>
      </w:r>
      <w:r>
        <w:rPr>
          <w:rFonts w:hint="eastAsia" w:ascii="宋体" w:hAnsi="宋体" w:eastAsia="宋体" w:cs="宋体"/>
          <w:color w:val="auto"/>
          <w:szCs w:val="32"/>
          <w:highlight w:val="none"/>
        </w:rPr>
        <w:t>文件格式</w:t>
      </w:r>
      <w:r>
        <w:rPr>
          <w:rFonts w:hint="eastAsia" w:ascii="宋体" w:hAnsi="宋体" w:eastAsia="宋体" w:cs="宋体"/>
          <w:color w:val="auto"/>
        </w:rPr>
        <w:tab/>
      </w:r>
      <w:r>
        <w:rPr>
          <w:rFonts w:hint="eastAsia" w:ascii="宋体" w:hAnsi="宋体" w:eastAsia="宋体" w:cs="宋体"/>
          <w:color w:val="auto"/>
        </w:rPr>
        <w:fldChar w:fldCharType="begin"/>
      </w:r>
      <w:r>
        <w:rPr>
          <w:rFonts w:hint="eastAsia" w:ascii="宋体" w:hAnsi="宋体" w:eastAsia="宋体" w:cs="宋体"/>
          <w:color w:val="auto"/>
        </w:rPr>
        <w:instrText xml:space="preserve"> PAGEREF _Toc18702 \h </w:instrText>
      </w:r>
      <w:r>
        <w:rPr>
          <w:rFonts w:hint="eastAsia" w:ascii="宋体" w:hAnsi="宋体" w:eastAsia="宋体" w:cs="宋体"/>
          <w:color w:val="auto"/>
        </w:rPr>
        <w:fldChar w:fldCharType="separate"/>
      </w:r>
      <w:r>
        <w:rPr>
          <w:rFonts w:hint="eastAsia" w:ascii="宋体" w:hAnsi="宋体" w:eastAsia="宋体" w:cs="宋体"/>
          <w:color w:val="auto"/>
        </w:rPr>
        <w:t>19</w:t>
      </w:r>
      <w:r>
        <w:rPr>
          <w:rFonts w:hint="eastAsia" w:ascii="宋体" w:hAnsi="宋体" w:eastAsia="宋体" w:cs="宋体"/>
          <w:color w:val="auto"/>
        </w:rPr>
        <w:fldChar w:fldCharType="end"/>
      </w:r>
      <w:r>
        <w:rPr>
          <w:rFonts w:hint="eastAsia" w:ascii="宋体" w:hAnsi="宋体" w:eastAsia="宋体" w:cs="宋体"/>
          <w:bCs/>
          <w:color w:val="auto"/>
          <w:szCs w:val="32"/>
          <w:highlight w:val="none"/>
        </w:rPr>
        <w:fldChar w:fldCharType="end"/>
      </w:r>
    </w:p>
    <w:p w14:paraId="688300FE">
      <w:pPr>
        <w:pStyle w:val="85"/>
        <w:keepNext w:val="0"/>
        <w:keepLines w:val="0"/>
        <w:pageBreakBefore w:val="0"/>
        <w:tabs>
          <w:tab w:val="right" w:leader="dot" w:pos="8300"/>
        </w:tabs>
        <w:kinsoku/>
        <w:wordWrap/>
        <w:overflowPunct/>
        <w:topLinePunct w:val="0"/>
        <w:autoSpaceDE/>
        <w:autoSpaceDN/>
        <w:bidi w:val="0"/>
        <w:adjustRightInd/>
        <w:snapToGrid w:val="0"/>
        <w:spacing w:line="360" w:lineRule="auto"/>
        <w:textAlignment w:val="auto"/>
        <w:rPr>
          <w:rFonts w:hint="eastAsia" w:ascii="宋体" w:hAnsi="宋体" w:eastAsia="宋体" w:cs="宋体"/>
          <w:color w:val="auto"/>
          <w:sz w:val="32"/>
          <w:szCs w:val="32"/>
          <w:highlight w:val="none"/>
        </w:rPr>
      </w:pPr>
      <w:r>
        <w:rPr>
          <w:rFonts w:hint="eastAsia" w:ascii="宋体" w:hAnsi="宋体" w:eastAsia="宋体" w:cs="宋体"/>
          <w:bCs/>
          <w:color w:val="auto"/>
          <w:szCs w:val="32"/>
          <w:highlight w:val="none"/>
        </w:rPr>
        <w:fldChar w:fldCharType="end"/>
      </w:r>
    </w:p>
    <w:p w14:paraId="41B7376C">
      <w:pPr>
        <w:spacing w:line="440" w:lineRule="exact"/>
        <w:rPr>
          <w:rFonts w:hint="eastAsia" w:ascii="宋体" w:hAnsi="宋体" w:eastAsia="宋体" w:cs="宋体"/>
          <w:b/>
          <w:color w:val="auto"/>
          <w:sz w:val="32"/>
          <w:szCs w:val="32"/>
          <w:highlight w:val="none"/>
        </w:rPr>
      </w:pPr>
    </w:p>
    <w:p w14:paraId="45795E6B">
      <w:pPr>
        <w:spacing w:line="360" w:lineRule="auto"/>
        <w:ind w:firstLine="2409" w:firstLineChars="600"/>
        <w:rPr>
          <w:rFonts w:hint="eastAsia" w:ascii="宋体" w:hAnsi="宋体" w:eastAsia="宋体" w:cs="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14:paraId="19441DAD">
      <w:pPr>
        <w:spacing w:line="360" w:lineRule="auto"/>
        <w:jc w:val="center"/>
        <w:outlineLvl w:val="0"/>
        <w:rPr>
          <w:rFonts w:hint="eastAsia" w:ascii="宋体" w:hAnsi="宋体" w:eastAsia="宋体" w:cs="宋体"/>
          <w:b/>
          <w:color w:val="auto"/>
          <w:sz w:val="32"/>
          <w:szCs w:val="32"/>
          <w:highlight w:val="none"/>
        </w:rPr>
      </w:pPr>
      <w:bookmarkStart w:id="2" w:name="_Toc26528"/>
      <w:r>
        <w:rPr>
          <w:rFonts w:hint="eastAsia" w:ascii="宋体" w:hAnsi="宋体" w:eastAsia="宋体" w:cs="宋体"/>
          <w:b/>
          <w:color w:val="auto"/>
          <w:sz w:val="32"/>
          <w:szCs w:val="32"/>
          <w:highlight w:val="none"/>
        </w:rPr>
        <w:t xml:space="preserve">第一章  </w:t>
      </w:r>
      <w:r>
        <w:rPr>
          <w:rFonts w:hint="eastAsia" w:ascii="宋体" w:hAnsi="宋体" w:eastAsia="宋体" w:cs="宋体"/>
          <w:b/>
          <w:color w:val="auto"/>
          <w:sz w:val="32"/>
          <w:szCs w:val="32"/>
          <w:highlight w:val="none"/>
          <w:lang w:val="en-US" w:eastAsia="zh-CN"/>
        </w:rPr>
        <w:t>竞争性磋商</w:t>
      </w:r>
      <w:r>
        <w:rPr>
          <w:rFonts w:hint="eastAsia" w:ascii="宋体" w:hAnsi="宋体" w:eastAsia="宋体" w:cs="宋体"/>
          <w:b/>
          <w:color w:val="auto"/>
          <w:sz w:val="32"/>
          <w:szCs w:val="32"/>
          <w:highlight w:val="none"/>
        </w:rPr>
        <w:t>公告</w:t>
      </w:r>
      <w:bookmarkEnd w:id="2"/>
    </w:p>
    <w:p w14:paraId="6E2DA9FD">
      <w:pPr>
        <w:keepNext w:val="0"/>
        <w:keepLines w:val="0"/>
        <w:pageBreakBefore w:val="0"/>
        <w:widowControl/>
        <w:kinsoku/>
        <w:wordWrap/>
        <w:overflowPunct/>
        <w:topLinePunct w:val="0"/>
        <w:autoSpaceDE/>
        <w:autoSpaceDN/>
        <w:bidi w:val="0"/>
        <w:adjustRightInd w:val="0"/>
        <w:snapToGrid w:val="0"/>
        <w:spacing w:afterAutospacing="0" w:line="324" w:lineRule="auto"/>
        <w:jc w:val="center"/>
        <w:textAlignment w:val="auto"/>
        <w:rPr>
          <w:rFonts w:hint="eastAsia" w:ascii="宋体" w:hAnsi="宋体" w:eastAsia="宋体" w:cs="宋体"/>
          <w:b/>
          <w:bCs w:val="0"/>
          <w:color w:val="auto"/>
          <w:kern w:val="0"/>
          <w:sz w:val="28"/>
          <w:szCs w:val="28"/>
        </w:rPr>
      </w:pPr>
      <w:r>
        <w:rPr>
          <w:rFonts w:hint="eastAsia" w:ascii="宋体" w:hAnsi="宋体" w:cs="宋体"/>
          <w:b/>
          <w:bCs w:val="0"/>
          <w:color w:val="auto"/>
          <w:kern w:val="0"/>
          <w:sz w:val="28"/>
          <w:szCs w:val="28"/>
          <w:u w:val="none"/>
          <w:lang w:val="en-US" w:eastAsia="zh-CN"/>
        </w:rPr>
        <w:t>驻马店市中心医院妇儿院区化粪池、隔油池、污水井及雨水井清掏服务项目</w:t>
      </w:r>
      <w:r>
        <w:rPr>
          <w:rFonts w:hint="eastAsia" w:ascii="宋体" w:hAnsi="宋体" w:eastAsia="宋体" w:cs="宋体"/>
          <w:b/>
          <w:bCs w:val="0"/>
          <w:color w:val="auto"/>
          <w:kern w:val="0"/>
          <w:sz w:val="28"/>
          <w:szCs w:val="28"/>
          <w:u w:val="none"/>
          <w:lang w:val="en-US" w:eastAsia="zh-CN"/>
        </w:rPr>
        <w:t>竞争性磋商</w:t>
      </w:r>
      <w:r>
        <w:rPr>
          <w:rFonts w:hint="eastAsia" w:ascii="宋体" w:hAnsi="宋体" w:eastAsia="宋体" w:cs="宋体"/>
          <w:b/>
          <w:bCs w:val="0"/>
          <w:color w:val="auto"/>
          <w:kern w:val="0"/>
          <w:sz w:val="28"/>
          <w:szCs w:val="28"/>
        </w:rPr>
        <w:t>公告</w:t>
      </w:r>
    </w:p>
    <w:p w14:paraId="4B0BAC55">
      <w:pPr>
        <w:keepNext w:val="0"/>
        <w:keepLines w:val="0"/>
        <w:pageBreakBefore w:val="0"/>
        <w:kinsoku/>
        <w:overflowPunct/>
        <w:topLinePunct w:val="0"/>
        <w:autoSpaceDE/>
        <w:autoSpaceDN/>
        <w:bidi w:val="0"/>
        <w:snapToGrid w:val="0"/>
        <w:spacing w:line="324" w:lineRule="auto"/>
        <w:ind w:firstLine="420" w:firstLineChars="200"/>
        <w:textAlignment w:val="auto"/>
        <w:rPr>
          <w:rFonts w:hint="eastAsia"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妇儿院区化粪池、隔油池、污水井及雨水井清掏服务项目</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获取竞争性磋商文件。</w:t>
      </w:r>
    </w:p>
    <w:p w14:paraId="7EA9A3FD">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14:paraId="7516B666">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1、项目名称：驻马店市中心医院妇儿院区化粪池、隔油池、污水井及雨水井清掏服务项目</w:t>
      </w:r>
      <w:r>
        <w:rPr>
          <w:rFonts w:hint="eastAsia" w:ascii="宋体" w:hAnsi="宋体" w:eastAsia="宋体" w:cs="宋体"/>
          <w:color w:val="auto"/>
          <w:szCs w:val="21"/>
          <w:highlight w:val="none"/>
          <w:shd w:val="clear" w:color="auto" w:fill="FFFFFF"/>
          <w:lang w:eastAsia="zh-CN"/>
        </w:rPr>
        <w:t>；</w:t>
      </w:r>
    </w:p>
    <w:p w14:paraId="11F9DADA">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eastAsia="宋体" w:cs="宋体"/>
          <w:color w:val="auto"/>
          <w:szCs w:val="21"/>
          <w:highlight w:val="none"/>
          <w:shd w:val="clear" w:color="auto" w:fill="FFFFFF"/>
          <w:lang w:eastAsia="zh-CN"/>
        </w:rPr>
        <w:t>：具体详见磋商文件第二章采购需求；</w:t>
      </w:r>
    </w:p>
    <w:p w14:paraId="3661F4F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、预算金额：38.61万元</w:t>
      </w:r>
      <w:r>
        <w:rPr>
          <w:rFonts w:hint="eastAsia" w:ascii="宋体" w:hAnsi="宋体" w:eastAsia="宋体" w:cs="宋体"/>
          <w:color w:val="auto"/>
          <w:szCs w:val="21"/>
          <w:highlight w:val="none"/>
          <w:shd w:val="clear" w:color="auto" w:fill="FFFFFF"/>
          <w:lang w:eastAsia="zh-CN"/>
        </w:rPr>
        <w:t>；</w:t>
      </w:r>
    </w:p>
    <w:p w14:paraId="4DD3671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cs="宋体"/>
          <w:color w:val="auto"/>
          <w:szCs w:val="21"/>
          <w:highlight w:val="none"/>
          <w:shd w:val="clear" w:color="auto" w:fill="FFFFFF"/>
          <w:lang w:val="en-US" w:eastAsia="zh-CN"/>
        </w:rPr>
        <w:t>服务</w:t>
      </w:r>
      <w:r>
        <w:rPr>
          <w:rFonts w:hint="eastAsia" w:ascii="宋体" w:hAnsi="宋体" w:eastAsia="宋体" w:cs="宋体"/>
          <w:color w:val="auto"/>
          <w:szCs w:val="21"/>
          <w:highlight w:val="none"/>
          <w:shd w:val="clear" w:color="auto" w:fill="FFFFFF"/>
        </w:rPr>
        <w:t>期限：</w:t>
      </w:r>
      <w:r>
        <w:rPr>
          <w:rFonts w:hint="eastAsia" w:ascii="宋体" w:hAnsi="宋体" w:cs="宋体"/>
          <w:color w:val="auto"/>
          <w:szCs w:val="21"/>
          <w:highlight w:val="none"/>
          <w:shd w:val="clear" w:color="auto" w:fill="FFFFFF"/>
          <w:lang w:val="en-US" w:eastAsia="zh-CN"/>
        </w:rPr>
        <w:t>3年（合同一年一签，经考核合格后续签次年合同）</w:t>
      </w:r>
    </w:p>
    <w:p w14:paraId="06AAA53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服务质量</w:t>
      </w:r>
      <w:r>
        <w:rPr>
          <w:rFonts w:hint="eastAsia" w:ascii="宋体" w:hAnsi="宋体" w:eastAsia="宋体" w:cs="宋体"/>
          <w:color w:val="auto"/>
          <w:szCs w:val="21"/>
          <w:highlight w:val="none"/>
          <w:shd w:val="clear" w:color="auto" w:fill="FFFFFF"/>
        </w:rPr>
        <w:t>：符合现行国家、省、市地方相关规范和标准，</w:t>
      </w:r>
      <w:r>
        <w:rPr>
          <w:rFonts w:hint="eastAsia" w:ascii="宋体" w:hAnsi="宋体" w:cs="宋体"/>
          <w:color w:val="auto"/>
          <w:szCs w:val="21"/>
          <w:highlight w:val="none"/>
          <w:shd w:val="clear" w:color="auto" w:fill="FFFFFF"/>
          <w:lang w:val="en-US" w:eastAsia="zh-CN"/>
        </w:rPr>
        <w:t>满足磋商文件</w:t>
      </w:r>
      <w:r>
        <w:rPr>
          <w:rFonts w:hint="eastAsia" w:ascii="宋体" w:hAnsi="宋体" w:eastAsia="宋体" w:cs="宋体"/>
          <w:color w:val="auto"/>
          <w:szCs w:val="21"/>
          <w:highlight w:val="none"/>
          <w:shd w:val="clear" w:color="auto" w:fill="FFFFFF"/>
        </w:rPr>
        <w:t>规定标准</w:t>
      </w:r>
      <w:r>
        <w:rPr>
          <w:rFonts w:hint="eastAsia" w:ascii="宋体" w:hAnsi="宋体" w:cs="宋体"/>
          <w:color w:val="auto"/>
          <w:szCs w:val="21"/>
          <w:highlight w:val="none"/>
          <w:shd w:val="clear" w:color="auto" w:fill="FFFFFF"/>
          <w:lang w:eastAsia="zh-CN"/>
        </w:rPr>
        <w:t>。</w:t>
      </w:r>
    </w:p>
    <w:p w14:paraId="094CF75A">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shd w:val="clear" w:color="auto" w:fill="FFFFFF"/>
          <w:lang w:val="en-US" w:eastAsia="zh-CN" w:bidi="ar-SA"/>
        </w:rPr>
      </w:pPr>
      <w:bookmarkStart w:id="4" w:name="_Toc18607"/>
      <w:bookmarkStart w:id="5" w:name="_Toc23626"/>
      <w:bookmarkStart w:id="6" w:name="_Toc27704"/>
      <w:bookmarkStart w:id="7" w:name="_Toc16639"/>
      <w:r>
        <w:rPr>
          <w:rFonts w:hint="eastAsia" w:ascii="宋体" w:hAnsi="宋体" w:eastAsia="宋体" w:cs="宋体"/>
          <w:b/>
          <w:bCs/>
          <w:color w:val="auto"/>
          <w:kern w:val="2"/>
          <w:sz w:val="21"/>
          <w:szCs w:val="21"/>
          <w:shd w:val="clear" w:color="auto" w:fill="FFFFFF"/>
          <w:lang w:val="en-US" w:eastAsia="zh-CN" w:bidi="ar-SA"/>
        </w:rPr>
        <w:t>二、</w:t>
      </w:r>
      <w:bookmarkEnd w:id="3"/>
      <w:bookmarkEnd w:id="4"/>
      <w:bookmarkEnd w:id="5"/>
      <w:bookmarkEnd w:id="6"/>
      <w:bookmarkEnd w:id="7"/>
      <w:r>
        <w:rPr>
          <w:rFonts w:hint="eastAsia" w:ascii="宋体" w:hAnsi="宋体" w:eastAsia="宋体" w:cs="宋体"/>
          <w:b/>
          <w:bCs/>
          <w:color w:val="auto"/>
          <w:kern w:val="2"/>
          <w:sz w:val="21"/>
          <w:szCs w:val="21"/>
          <w:shd w:val="clear" w:color="auto" w:fill="FFFFFF"/>
          <w:lang w:val="en-US" w:eastAsia="zh-CN" w:bidi="ar-SA"/>
        </w:rPr>
        <w:t>供应商资格要求：</w:t>
      </w:r>
    </w:p>
    <w:p w14:paraId="1235110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bookmarkStart w:id="8" w:name="_Toc7823"/>
      <w:bookmarkStart w:id="9" w:name="_Toc30971"/>
      <w:bookmarkStart w:id="10" w:name="_Toc30643"/>
      <w:bookmarkStart w:id="11" w:name="_Toc9562"/>
      <w:bookmarkStart w:id="12" w:name="_Toc23395"/>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0285EE72">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4AE4514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w:t>
      </w:r>
    </w:p>
    <w:p w14:paraId="3DED5F51">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E5F62CE">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1A1C3C8F">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079A7F91">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2731B657">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lang w:val="en-US" w:eastAsia="zh-CN"/>
        </w:rPr>
        <w:t>、不接受联合体磋商。</w:t>
      </w:r>
    </w:p>
    <w:p w14:paraId="1A004BBD">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三、获取</w:t>
      </w:r>
      <w:bookmarkEnd w:id="8"/>
      <w:bookmarkEnd w:id="9"/>
      <w:bookmarkEnd w:id="10"/>
      <w:bookmarkEnd w:id="11"/>
      <w:bookmarkEnd w:id="12"/>
      <w:r>
        <w:rPr>
          <w:rFonts w:hint="eastAsia" w:ascii="宋体" w:hAnsi="宋体" w:cs="宋体"/>
          <w:b/>
          <w:bCs/>
          <w:color w:val="auto"/>
          <w:kern w:val="2"/>
          <w:sz w:val="21"/>
          <w:szCs w:val="24"/>
          <w:highlight w:val="none"/>
          <w:lang w:val="en-US" w:eastAsia="zh-CN" w:bidi="ar-SA"/>
        </w:rPr>
        <w:t>竞争性磋商文件</w:t>
      </w:r>
    </w:p>
    <w:p w14:paraId="556A7436">
      <w:pPr>
        <w:keepNext w:val="0"/>
        <w:keepLines w:val="0"/>
        <w:pageBreakBefore w:val="0"/>
        <w:widowControl/>
        <w:kinsoku/>
        <w:overflowPunct/>
        <w:topLinePunct w:val="0"/>
        <w:autoSpaceDE/>
        <w:autoSpaceDN/>
        <w:bidi w:val="0"/>
        <w:adjustRightInd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 报名</w:t>
      </w:r>
      <w:r>
        <w:rPr>
          <w:rFonts w:hint="eastAsia" w:ascii="宋体" w:hAnsi="宋体" w:eastAsia="宋体" w:cs="宋体"/>
          <w:color w:val="auto"/>
          <w:szCs w:val="21"/>
          <w:highlight w:val="none"/>
          <w:shd w:val="clear" w:color="auto" w:fill="FFFFFF"/>
        </w:rPr>
        <w:t>时间：</w:t>
      </w:r>
      <w:r>
        <w:rPr>
          <w:rFonts w:hint="eastAsia" w:ascii="宋体" w:hAnsi="宋体" w:eastAsia="宋体" w:cs="宋体"/>
          <w:color w:val="FF0000"/>
          <w:szCs w:val="21"/>
          <w:highlight w:val="none"/>
          <w:shd w:val="clear" w:color="auto" w:fill="FFFFFF"/>
        </w:rPr>
        <w:t>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8</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7</w:t>
      </w:r>
      <w:r>
        <w:rPr>
          <w:rFonts w:hint="eastAsia" w:ascii="宋体" w:hAnsi="宋体" w:eastAsia="宋体" w:cs="宋体"/>
          <w:color w:val="FF0000"/>
          <w:szCs w:val="21"/>
          <w:highlight w:val="none"/>
          <w:shd w:val="clear" w:color="auto" w:fill="FFFFFF"/>
        </w:rPr>
        <w:t>日-202</w:t>
      </w:r>
      <w:r>
        <w:rPr>
          <w:rFonts w:hint="eastAsia" w:ascii="宋体" w:hAnsi="宋体" w:eastAsia="宋体" w:cs="宋体"/>
          <w:color w:val="FF0000"/>
          <w:szCs w:val="21"/>
          <w:highlight w:val="none"/>
          <w:shd w:val="clear" w:color="auto" w:fill="FFFFFF"/>
          <w:lang w:val="en-US" w:eastAsia="zh-CN"/>
        </w:rPr>
        <w:t>5</w:t>
      </w:r>
      <w:r>
        <w:rPr>
          <w:rFonts w:hint="eastAsia" w:ascii="宋体" w:hAnsi="宋体" w:eastAsia="宋体" w:cs="宋体"/>
          <w:color w:val="FF0000"/>
          <w:szCs w:val="21"/>
          <w:highlight w:val="none"/>
          <w:shd w:val="clear" w:color="auto" w:fill="FFFFFF"/>
        </w:rPr>
        <w:t>年</w:t>
      </w:r>
      <w:r>
        <w:rPr>
          <w:rFonts w:hint="eastAsia" w:ascii="宋体" w:hAnsi="宋体" w:cs="宋体"/>
          <w:color w:val="FF0000"/>
          <w:szCs w:val="21"/>
          <w:highlight w:val="none"/>
          <w:shd w:val="clear" w:color="auto" w:fill="FFFFFF"/>
          <w:lang w:val="en-US" w:eastAsia="zh-CN"/>
        </w:rPr>
        <w:t>8</w:t>
      </w:r>
      <w:r>
        <w:rPr>
          <w:rFonts w:hint="eastAsia" w:ascii="宋体" w:hAnsi="宋体" w:eastAsia="宋体" w:cs="宋体"/>
          <w:color w:val="FF0000"/>
          <w:szCs w:val="21"/>
          <w:highlight w:val="none"/>
          <w:shd w:val="clear" w:color="auto" w:fill="FFFFFF"/>
        </w:rPr>
        <w:t>月</w:t>
      </w:r>
      <w:r>
        <w:rPr>
          <w:rFonts w:hint="eastAsia" w:ascii="宋体" w:hAnsi="宋体" w:cs="宋体"/>
          <w:color w:val="FF0000"/>
          <w:szCs w:val="21"/>
          <w:highlight w:val="none"/>
          <w:shd w:val="clear" w:color="auto" w:fill="FFFFFF"/>
          <w:lang w:val="en-US" w:eastAsia="zh-CN"/>
        </w:rPr>
        <w:t>11</w:t>
      </w:r>
      <w:r>
        <w:rPr>
          <w:rFonts w:hint="eastAsia" w:ascii="宋体" w:hAnsi="宋体" w:eastAsia="宋体" w:cs="宋体"/>
          <w:color w:val="FF0000"/>
          <w:szCs w:val="21"/>
          <w:highlight w:val="none"/>
          <w:shd w:val="clear" w:color="auto" w:fill="FFFFFF"/>
        </w:rPr>
        <w:t>日</w:t>
      </w:r>
      <w:r>
        <w:rPr>
          <w:rFonts w:hint="eastAsia" w:ascii="宋体" w:hAnsi="宋体" w:eastAsia="宋体" w:cs="宋体"/>
          <w:color w:val="auto"/>
          <w:szCs w:val="21"/>
          <w:highlight w:val="none"/>
          <w:shd w:val="clear" w:color="auto" w:fill="FFFFFF"/>
        </w:rPr>
        <w:t>，上午</w:t>
      </w:r>
      <w:r>
        <w:rPr>
          <w:rFonts w:hint="eastAsia" w:ascii="宋体" w:hAnsi="宋体" w:eastAsia="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8：</w:t>
      </w:r>
      <w:r>
        <w:rPr>
          <w:rFonts w:hint="eastAsia" w:ascii="宋体" w:hAnsi="宋体" w:cs="宋体"/>
          <w:color w:val="auto"/>
          <w:szCs w:val="21"/>
          <w:highlight w:val="none"/>
          <w:shd w:val="clear" w:color="auto" w:fill="FFFFFF"/>
          <w:lang w:val="en-US" w:eastAsia="zh-CN"/>
        </w:rPr>
        <w:t>00</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下午</w:t>
      </w:r>
      <w:r>
        <w:rPr>
          <w:rFonts w:hint="eastAsia" w:ascii="宋体" w:hAnsi="宋体" w:eastAsia="宋体" w:cs="宋体"/>
          <w:color w:val="auto"/>
          <w:szCs w:val="21"/>
          <w:highlight w:val="none"/>
          <w:shd w:val="clear" w:color="auto" w:fill="FFFFFF"/>
        </w:rPr>
        <w:t>1</w:t>
      </w:r>
      <w:r>
        <w:rPr>
          <w:rFonts w:hint="eastAsia" w:ascii="宋体" w:hAnsi="宋体" w:cs="宋体"/>
          <w:color w:val="auto"/>
          <w:szCs w:val="21"/>
          <w:highlight w:val="none"/>
          <w:shd w:val="clear" w:color="auto" w:fill="FFFFFF"/>
          <w:lang w:val="en-US" w:eastAsia="zh-CN"/>
        </w:rPr>
        <w:t>8</w:t>
      </w:r>
      <w:r>
        <w:rPr>
          <w:rFonts w:hint="eastAsia" w:ascii="宋体" w:hAnsi="宋体" w:eastAsia="宋体" w:cs="宋体"/>
          <w:color w:val="auto"/>
          <w:szCs w:val="21"/>
          <w:highlight w:val="none"/>
          <w:shd w:val="clear" w:color="auto" w:fill="FFFFFF"/>
        </w:rPr>
        <w:t>:</w:t>
      </w:r>
      <w:r>
        <w:rPr>
          <w:rFonts w:hint="eastAsia" w:ascii="宋体" w:hAnsi="宋体" w:cs="宋体"/>
          <w:color w:val="auto"/>
          <w:szCs w:val="21"/>
          <w:highlight w:val="none"/>
          <w:shd w:val="clear" w:color="auto" w:fill="FFFFFF"/>
          <w:lang w:val="en-US" w:eastAsia="zh-CN"/>
        </w:rPr>
        <w:t>0</w:t>
      </w:r>
      <w:r>
        <w:rPr>
          <w:rFonts w:hint="eastAsia" w:ascii="宋体" w:hAnsi="宋体" w:eastAsia="宋体" w:cs="宋体"/>
          <w:color w:val="auto"/>
          <w:szCs w:val="21"/>
          <w:highlight w:val="none"/>
          <w:shd w:val="clear" w:color="auto" w:fill="FFFFFF"/>
        </w:rPr>
        <w:t>0（北京时间，法定节假日除外）</w:t>
      </w:r>
      <w:r>
        <w:rPr>
          <w:rFonts w:hint="eastAsia" w:ascii="宋体" w:hAnsi="宋体" w:eastAsia="宋体" w:cs="宋体"/>
          <w:color w:val="auto"/>
          <w:szCs w:val="21"/>
          <w:highlight w:val="none"/>
          <w:shd w:val="clear" w:color="auto" w:fill="FFFFFF"/>
          <w:lang w:val="en-US" w:eastAsia="zh-CN"/>
        </w:rPr>
        <w:t>。</w:t>
      </w:r>
    </w:p>
    <w:p w14:paraId="081409D9">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凡报名成功的供应商无故不来参与投标的，列入我院黑名单，一年内不得参与我院任何采购活动。</w:t>
      </w:r>
    </w:p>
    <w:p w14:paraId="2270495E">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0" w:leftChars="0" w:firstLine="420" w:firstLineChars="200"/>
        <w:jc w:val="left"/>
        <w:textAlignment w:val="auto"/>
        <w:rPr>
          <w:rFonts w:hint="eastAsia" w:ascii="宋体" w:hAnsi="宋体" w:eastAsia="宋体" w:cs="宋体"/>
          <w:color w:val="auto"/>
          <w:kern w:val="0"/>
          <w:sz w:val="21"/>
          <w:szCs w:val="21"/>
          <w:highlight w:val="none"/>
          <w:u w:val="singl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 xml:space="preserve">3. </w:t>
      </w:r>
      <w:r>
        <w:rPr>
          <w:rFonts w:hint="eastAsia" w:ascii="宋体" w:hAnsi="宋体" w:cs="宋体"/>
          <w:color w:val="auto"/>
          <w:kern w:val="0"/>
          <w:sz w:val="21"/>
          <w:szCs w:val="21"/>
          <w:highlight w:val="none"/>
          <w:shd w:val="clear" w:color="auto" w:fill="FFFFFF"/>
          <w:lang w:val="en-US" w:eastAsia="zh-CN" w:bidi="ar-SA"/>
        </w:rPr>
        <w:t>竞争性磋商文件</w:t>
      </w:r>
      <w:r>
        <w:rPr>
          <w:rFonts w:hint="eastAsia" w:ascii="宋体" w:hAnsi="宋体" w:eastAsia="宋体" w:cs="宋体"/>
          <w:color w:val="auto"/>
          <w:kern w:val="0"/>
          <w:sz w:val="21"/>
          <w:szCs w:val="21"/>
          <w:highlight w:val="none"/>
          <w:shd w:val="clear" w:color="auto" w:fill="FFFFFF"/>
          <w:lang w:val="en-US" w:eastAsia="zh-CN" w:bidi="ar-SA"/>
        </w:rPr>
        <w:t>获取方式：供应商须把填写完整的报名登记表及本磋商公告第二项供应商资格要求中需提供加盖单位公章的相关资料扫描件按序排版为PDF格式文件，发送至以下邮箱：</w:t>
      </w:r>
      <w:r>
        <w:rPr>
          <w:rFonts w:hint="eastAsia" w:ascii="宋体" w:hAnsi="宋体" w:eastAsia="宋体" w:cs="宋体"/>
          <w:color w:val="auto"/>
          <w:kern w:val="0"/>
          <w:sz w:val="21"/>
          <w:szCs w:val="21"/>
          <w:highlight w:val="none"/>
          <w:shd w:val="clear" w:color="auto" w:fill="FFFFFF"/>
          <w:lang w:val="en-US" w:eastAsia="zh-CN" w:bidi="ar-SA"/>
        </w:rPr>
        <w:fldChar w:fldCharType="begin"/>
      </w:r>
      <w:r>
        <w:rPr>
          <w:rFonts w:hint="eastAsia" w:ascii="宋体" w:hAnsi="宋体" w:eastAsia="宋体" w:cs="宋体"/>
          <w:color w:val="auto"/>
          <w:kern w:val="0"/>
          <w:sz w:val="21"/>
          <w:szCs w:val="21"/>
          <w:highlight w:val="none"/>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highlight w:val="none"/>
          <w:shd w:val="clear" w:color="auto" w:fill="FFFFFF"/>
          <w:lang w:val="en-US" w:eastAsia="zh-CN" w:bidi="ar-SA"/>
        </w:rPr>
        <w:fldChar w:fldCharType="separate"/>
      </w:r>
      <w:r>
        <w:rPr>
          <w:rFonts w:hint="eastAsia" w:ascii="宋体" w:hAnsi="宋体" w:cs="宋体"/>
          <w:color w:val="auto"/>
          <w:kern w:val="0"/>
          <w:sz w:val="21"/>
          <w:szCs w:val="21"/>
          <w:shd w:val="clear" w:color="auto" w:fill="FFFFFF"/>
          <w:lang w:val="en-US" w:eastAsia="zh-CN" w:bidi="ar-SA"/>
        </w:rPr>
        <w:t>386115962</w:t>
      </w:r>
      <w:r>
        <w:rPr>
          <w:rFonts w:hint="eastAsia" w:ascii="宋体" w:hAnsi="宋体" w:eastAsia="宋体" w:cs="宋体"/>
          <w:color w:val="auto"/>
          <w:kern w:val="0"/>
          <w:sz w:val="21"/>
          <w:szCs w:val="21"/>
          <w:shd w:val="clear" w:color="auto" w:fill="FFFFFF"/>
          <w:lang w:val="en-US" w:eastAsia="zh-CN" w:bidi="ar-SA"/>
        </w:rPr>
        <w:t>@qq.com</w:t>
      </w:r>
      <w:r>
        <w:rPr>
          <w:rFonts w:hint="eastAsia" w:ascii="宋体" w:hAnsi="宋体" w:eastAsia="宋体" w:cs="宋体"/>
          <w:color w:val="auto"/>
          <w:kern w:val="0"/>
          <w:sz w:val="21"/>
          <w:szCs w:val="21"/>
          <w:highlight w:val="none"/>
          <w:shd w:val="clear" w:color="auto" w:fill="FFFFFF"/>
          <w:lang w:val="en-US" w:eastAsia="zh-CN" w:bidi="ar-SA"/>
        </w:rPr>
        <w:t>,并标明XX公司XX</w:t>
      </w:r>
      <w:r>
        <w:rPr>
          <w:rFonts w:hint="eastAsia" w:ascii="宋体" w:hAnsi="宋体" w:eastAsia="宋体" w:cs="宋体"/>
          <w:color w:val="auto"/>
          <w:kern w:val="0"/>
          <w:sz w:val="21"/>
          <w:szCs w:val="21"/>
          <w:highlight w:val="none"/>
          <w:shd w:val="clear" w:color="auto" w:fill="FFFFFF"/>
          <w:lang w:val="en-US" w:eastAsia="zh-CN" w:bidi="ar-SA"/>
        </w:rPr>
        <w:fldChar w:fldCharType="end"/>
      </w:r>
      <w:r>
        <w:rPr>
          <w:rFonts w:hint="eastAsia" w:ascii="宋体" w:hAnsi="宋体" w:eastAsia="宋体" w:cs="宋体"/>
          <w:color w:val="auto"/>
          <w:kern w:val="0"/>
          <w:sz w:val="21"/>
          <w:szCs w:val="21"/>
          <w:highlight w:val="none"/>
          <w:shd w:val="clear" w:color="auto" w:fill="FFFFFF"/>
          <w:lang w:val="en-US" w:eastAsia="zh-CN" w:bidi="ar-SA"/>
        </w:rPr>
        <w:t>项目报名资料。</w:t>
      </w:r>
    </w:p>
    <w:p w14:paraId="234DEEEB">
      <w:pPr>
        <w:keepNext w:val="0"/>
        <w:keepLines w:val="0"/>
        <w:pageBreakBefore w:val="0"/>
        <w:widowControl/>
        <w:kinsoku/>
        <w:wordWrap w:val="0"/>
        <w:overflowPunct/>
        <w:topLinePunct w:val="0"/>
        <w:autoSpaceDE/>
        <w:autoSpaceDN/>
        <w:bidi w:val="0"/>
        <w:snapToGrid w:val="0"/>
        <w:spacing w:before="0" w:beforeAutospacing="0" w:after="0" w:afterAutospacing="0" w:line="324" w:lineRule="auto"/>
        <w:ind w:left="420" w:left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4. 报名登记表：请从附件中下载。</w:t>
      </w:r>
    </w:p>
    <w:p w14:paraId="434EEBF7">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3" w:name="_Toc15111"/>
      <w:bookmarkStart w:id="14" w:name="_Toc25869"/>
      <w:bookmarkStart w:id="15" w:name="_Toc27480"/>
      <w:bookmarkStart w:id="16" w:name="_Toc15135"/>
      <w:bookmarkStart w:id="17" w:name="_Toc10738"/>
      <w:r>
        <w:rPr>
          <w:rFonts w:hint="eastAsia" w:ascii="宋体" w:hAnsi="宋体" w:eastAsia="宋体" w:cs="宋体"/>
          <w:b/>
          <w:bCs/>
          <w:color w:val="auto"/>
          <w:kern w:val="2"/>
          <w:sz w:val="21"/>
          <w:szCs w:val="21"/>
          <w:highlight w:val="none"/>
          <w:shd w:val="clear" w:color="auto" w:fill="FFFFFF"/>
          <w:lang w:val="en-US" w:eastAsia="zh-CN" w:bidi="ar-SA"/>
        </w:rPr>
        <w:t>四、磋商截止时间及地点</w:t>
      </w:r>
      <w:bookmarkEnd w:id="13"/>
      <w:bookmarkEnd w:id="14"/>
      <w:bookmarkEnd w:id="15"/>
      <w:bookmarkEnd w:id="16"/>
      <w:bookmarkEnd w:id="17"/>
    </w:p>
    <w:p w14:paraId="09F989C2">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6678C47">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00009C99">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shd w:val="clear" w:color="auto" w:fill="FFFFFF"/>
          <w:lang w:val="en-US" w:eastAsia="zh-CN" w:bidi="ar-SA"/>
        </w:rPr>
        <w:t>五、磋商时间及地点</w:t>
      </w:r>
    </w:p>
    <w:p w14:paraId="40CB756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 时间：</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4D15043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2. 地点：</w:t>
      </w:r>
      <w:r>
        <w:rPr>
          <w:rFonts w:hint="eastAsia" w:ascii="宋体" w:hAnsi="宋体" w:eastAsia="宋体" w:cs="宋体"/>
          <w:color w:val="auto"/>
          <w:sz w:val="21"/>
          <w:szCs w:val="21"/>
          <w:highlight w:val="none"/>
          <w:shd w:val="clear" w:color="auto" w:fill="auto"/>
          <w:lang w:val="en-US" w:eastAsia="zh-CN"/>
        </w:rPr>
        <w:t>另行通知</w:t>
      </w:r>
      <w:r>
        <w:rPr>
          <w:rFonts w:hint="eastAsia" w:ascii="宋体" w:hAnsi="宋体" w:eastAsia="宋体" w:cs="宋体"/>
          <w:color w:val="auto"/>
          <w:kern w:val="0"/>
          <w:sz w:val="21"/>
          <w:szCs w:val="21"/>
          <w:highlight w:val="none"/>
          <w:shd w:val="clear" w:color="auto" w:fill="FFFFFF"/>
          <w:lang w:val="en-US" w:eastAsia="zh-CN" w:bidi="ar-SA"/>
        </w:rPr>
        <w:t>。</w:t>
      </w:r>
    </w:p>
    <w:p w14:paraId="3EF2FCDD">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18" w:name="_Toc30918"/>
      <w:bookmarkStart w:id="19" w:name="_Toc29784"/>
      <w:bookmarkStart w:id="20" w:name="_Toc6523"/>
      <w:bookmarkStart w:id="21" w:name="_Toc20287"/>
      <w:r>
        <w:rPr>
          <w:rFonts w:hint="eastAsia" w:ascii="宋体" w:hAnsi="宋体" w:eastAsia="宋体" w:cs="宋体"/>
          <w:b/>
          <w:bCs/>
          <w:color w:val="auto"/>
          <w:kern w:val="2"/>
          <w:sz w:val="21"/>
          <w:szCs w:val="21"/>
          <w:highlight w:val="none"/>
          <w:shd w:val="clear" w:color="auto" w:fill="FFFFFF"/>
          <w:lang w:val="en-US" w:eastAsia="zh-CN" w:bidi="ar-SA"/>
        </w:rPr>
        <w:t>六、发布公告的媒介及</w:t>
      </w:r>
      <w:r>
        <w:rPr>
          <w:rFonts w:hint="eastAsia" w:ascii="宋体" w:hAnsi="宋体" w:eastAsia="宋体" w:cs="宋体"/>
          <w:b/>
          <w:bCs/>
          <w:color w:val="auto"/>
          <w:sz w:val="21"/>
          <w:szCs w:val="21"/>
          <w:highlight w:val="none"/>
          <w:shd w:val="clear" w:color="auto" w:fill="auto"/>
          <w:lang w:val="en-US" w:eastAsia="zh-CN"/>
        </w:rPr>
        <w:t>采购</w:t>
      </w:r>
      <w:r>
        <w:rPr>
          <w:rFonts w:hint="eastAsia" w:ascii="宋体" w:hAnsi="宋体" w:eastAsia="宋体" w:cs="宋体"/>
          <w:b/>
          <w:bCs/>
          <w:color w:val="auto"/>
          <w:kern w:val="2"/>
          <w:sz w:val="21"/>
          <w:szCs w:val="21"/>
          <w:highlight w:val="none"/>
          <w:shd w:val="clear" w:color="auto" w:fill="FFFFFF"/>
          <w:lang w:val="en-US" w:eastAsia="zh-CN" w:bidi="ar-SA"/>
        </w:rPr>
        <w:t>公告期限</w:t>
      </w:r>
      <w:bookmarkEnd w:id="18"/>
      <w:bookmarkEnd w:id="19"/>
      <w:bookmarkEnd w:id="20"/>
      <w:bookmarkEnd w:id="21"/>
    </w:p>
    <w:p w14:paraId="6D199F21">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本次</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kern w:val="0"/>
          <w:sz w:val="21"/>
          <w:szCs w:val="21"/>
          <w:highlight w:val="none"/>
          <w:shd w:val="clear" w:color="auto" w:fill="FFFFFF"/>
          <w:lang w:val="en-US" w:eastAsia="zh-CN" w:bidi="ar-SA"/>
        </w:rPr>
        <w:t>公告在《驻马店市中心医院》院内网</w:t>
      </w:r>
      <w:r>
        <w:rPr>
          <w:rFonts w:hint="eastAsia" w:ascii="宋体" w:hAnsi="宋体" w:eastAsia="宋体" w:cs="宋体"/>
          <w:color w:val="auto"/>
          <w:sz w:val="21"/>
          <w:szCs w:val="21"/>
          <w:highlight w:val="none"/>
          <w:shd w:val="clear" w:color="auto" w:fill="auto"/>
        </w:rPr>
        <w:t>上发布</w:t>
      </w:r>
      <w:r>
        <w:rPr>
          <w:rFonts w:hint="eastAsia" w:ascii="宋体" w:hAnsi="宋体" w:eastAsia="宋体" w:cs="宋体"/>
          <w:color w:val="auto"/>
          <w:sz w:val="21"/>
          <w:szCs w:val="21"/>
          <w:highlight w:val="none"/>
          <w:shd w:val="clear" w:color="auto" w:fill="auto"/>
          <w:lang w:eastAsia="zh-CN"/>
        </w:rPr>
        <w:t>，</w:t>
      </w:r>
      <w:r>
        <w:rPr>
          <w:rFonts w:hint="eastAsia" w:ascii="宋体" w:hAnsi="宋体" w:eastAsia="宋体" w:cs="宋体"/>
          <w:color w:val="auto"/>
          <w:sz w:val="21"/>
          <w:szCs w:val="21"/>
          <w:highlight w:val="none"/>
          <w:shd w:val="clear" w:color="auto" w:fill="auto"/>
          <w:lang w:val="en-US" w:eastAsia="zh-CN"/>
        </w:rPr>
        <w:t>采购</w:t>
      </w:r>
      <w:r>
        <w:rPr>
          <w:rFonts w:hint="eastAsia" w:ascii="宋体" w:hAnsi="宋体" w:eastAsia="宋体" w:cs="宋体"/>
          <w:color w:val="auto"/>
          <w:sz w:val="21"/>
          <w:szCs w:val="21"/>
          <w:highlight w:val="none"/>
          <w:shd w:val="clear" w:color="auto" w:fill="auto"/>
          <w:lang w:eastAsia="zh-CN"/>
        </w:rPr>
        <w:t>公告期限为</w:t>
      </w:r>
      <w:r>
        <w:rPr>
          <w:rFonts w:hint="eastAsia" w:ascii="宋体" w:hAnsi="宋体" w:eastAsia="宋体" w:cs="宋体"/>
          <w:color w:val="auto"/>
          <w:sz w:val="21"/>
          <w:szCs w:val="21"/>
          <w:highlight w:val="none"/>
          <w:shd w:val="clear" w:color="auto" w:fill="auto"/>
          <w:lang w:val="en-US" w:eastAsia="zh-CN"/>
        </w:rPr>
        <w:t>三</w:t>
      </w:r>
      <w:r>
        <w:rPr>
          <w:rFonts w:hint="eastAsia" w:ascii="宋体" w:hAnsi="宋体" w:eastAsia="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2" w:name="_Toc35393795"/>
      <w:bookmarkStart w:id="23" w:name="_Toc35393626"/>
    </w:p>
    <w:bookmarkEnd w:id="22"/>
    <w:bookmarkEnd w:id="23"/>
    <w:p w14:paraId="0D32506B">
      <w:pPr>
        <w:keepNext w:val="0"/>
        <w:keepLines w:val="0"/>
        <w:pageBreakBefore w:val="0"/>
        <w:widowControl/>
        <w:kinsoku/>
        <w:overflowPunct/>
        <w:topLinePunct w:val="0"/>
        <w:autoSpaceDE/>
        <w:autoSpaceDN/>
        <w:bidi w:val="0"/>
        <w:snapToGrid w:val="0"/>
        <w:spacing w:before="0" w:after="0" w:line="324" w:lineRule="auto"/>
        <w:jc w:val="left"/>
        <w:textAlignment w:val="auto"/>
        <w:outlineLvl w:val="1"/>
        <w:rPr>
          <w:rFonts w:hint="eastAsia" w:ascii="宋体" w:hAnsi="宋体" w:eastAsia="宋体" w:cs="宋体"/>
          <w:b/>
          <w:bCs/>
          <w:color w:val="auto"/>
          <w:kern w:val="2"/>
          <w:sz w:val="21"/>
          <w:szCs w:val="21"/>
          <w:highlight w:val="none"/>
          <w:lang w:val="en-US" w:eastAsia="zh-CN" w:bidi="ar-SA"/>
        </w:rPr>
      </w:pPr>
      <w:bookmarkStart w:id="24" w:name="_Toc27370"/>
      <w:bookmarkStart w:id="25" w:name="_Toc24274"/>
      <w:bookmarkStart w:id="26" w:name="_Toc31928"/>
      <w:bookmarkStart w:id="27" w:name="_Toc16291"/>
      <w:bookmarkStart w:id="28" w:name="_Toc3604"/>
      <w:r>
        <w:rPr>
          <w:rFonts w:hint="eastAsia" w:ascii="宋体" w:hAnsi="宋体" w:eastAsia="宋体" w:cs="宋体"/>
          <w:b/>
          <w:bCs/>
          <w:color w:val="auto"/>
          <w:kern w:val="2"/>
          <w:sz w:val="21"/>
          <w:szCs w:val="21"/>
          <w:highlight w:val="none"/>
          <w:shd w:val="clear" w:color="auto" w:fill="FFFFFF"/>
          <w:lang w:val="en-US" w:eastAsia="zh-CN" w:bidi="ar-SA"/>
        </w:rPr>
        <w:t>七、</w:t>
      </w:r>
      <w:bookmarkEnd w:id="24"/>
      <w:bookmarkEnd w:id="25"/>
      <w:bookmarkEnd w:id="26"/>
      <w:bookmarkEnd w:id="27"/>
      <w:bookmarkEnd w:id="28"/>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14:paraId="54AF7E8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1.采购人：驻马店市中心医院</w:t>
      </w:r>
    </w:p>
    <w:p w14:paraId="46822BE8">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地址：驻马店市中华大道747号</w:t>
      </w:r>
    </w:p>
    <w:p w14:paraId="6D70D4ED">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联系人：陈先生</w:t>
      </w:r>
    </w:p>
    <w:p w14:paraId="339AEB8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电话：0396-2726379</w:t>
      </w:r>
    </w:p>
    <w:p w14:paraId="5BBBEB51">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cs="宋体"/>
          <w:color w:val="auto"/>
          <w:kern w:val="0"/>
          <w:sz w:val="21"/>
          <w:szCs w:val="21"/>
          <w:highlight w:val="none"/>
          <w:shd w:val="clear" w:color="auto" w:fill="FFFFFF"/>
          <w:lang w:val="en-US" w:eastAsia="zh-CN" w:bidi="ar-SA"/>
        </w:rPr>
        <w:t>2.</w:t>
      </w:r>
      <w:r>
        <w:rPr>
          <w:rFonts w:hint="eastAsia" w:ascii="宋体" w:hAnsi="宋体" w:eastAsia="宋体" w:cs="宋体"/>
          <w:color w:val="auto"/>
          <w:kern w:val="0"/>
          <w:sz w:val="21"/>
          <w:szCs w:val="21"/>
          <w:highlight w:val="none"/>
          <w:shd w:val="clear" w:color="auto" w:fill="FFFFFF"/>
          <w:lang w:val="en-US" w:eastAsia="zh-CN" w:bidi="ar-SA"/>
        </w:rPr>
        <w:t>采购代理机构：河南保利招标咨询有限公司</w:t>
      </w:r>
    </w:p>
    <w:p w14:paraId="353B92F9">
      <w:pPr>
        <w:widowControl/>
        <w:numPr>
          <w:ilvl w:val="0"/>
          <w:numId w:val="0"/>
        </w:numPr>
        <w:snapToGrid w:val="0"/>
        <w:spacing w:before="0" w:beforeAutospacing="0" w:after="0" w:afterAutospacing="0" w:line="360" w:lineRule="auto"/>
        <w:ind w:left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地址：河南省郑州市</w:t>
      </w:r>
      <w:r>
        <w:rPr>
          <w:rFonts w:hint="eastAsia" w:ascii="宋体" w:hAnsi="宋体" w:cs="宋体"/>
          <w:color w:val="auto"/>
          <w:kern w:val="0"/>
          <w:sz w:val="21"/>
          <w:szCs w:val="21"/>
          <w:highlight w:val="none"/>
          <w:shd w:val="clear" w:color="auto" w:fill="FFFFFF"/>
          <w:lang w:val="en-US" w:eastAsia="zh-CN" w:bidi="ar-SA"/>
        </w:rPr>
        <w:t>金水区政七街32号</w:t>
      </w:r>
    </w:p>
    <w:p w14:paraId="414E7E52">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联系人：</w:t>
      </w:r>
      <w:r>
        <w:rPr>
          <w:rFonts w:hint="eastAsia" w:ascii="宋体" w:hAnsi="宋体" w:cs="宋体"/>
          <w:color w:val="auto"/>
          <w:kern w:val="0"/>
          <w:sz w:val="21"/>
          <w:szCs w:val="21"/>
          <w:highlight w:val="none"/>
          <w:shd w:val="clear" w:color="auto" w:fill="FFFFFF"/>
          <w:lang w:val="en-US" w:eastAsia="zh-CN" w:bidi="ar-SA"/>
        </w:rPr>
        <w:t xml:space="preserve">汪女士 </w:t>
      </w:r>
    </w:p>
    <w:p w14:paraId="719EBFAA">
      <w:pPr>
        <w:widowControl/>
        <w:numPr>
          <w:ilvl w:val="0"/>
          <w:numId w:val="0"/>
        </w:numPr>
        <w:snapToGrid w:val="0"/>
        <w:spacing w:before="0" w:beforeAutospacing="0" w:after="0" w:afterAutospacing="0" w:line="360" w:lineRule="auto"/>
        <w:ind w:left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联系方式：19139197100</w:t>
      </w:r>
      <w:r>
        <w:rPr>
          <w:rFonts w:hint="eastAsia" w:ascii="宋体" w:hAnsi="宋体" w:cs="宋体"/>
          <w:color w:val="auto"/>
          <w:kern w:val="0"/>
          <w:sz w:val="21"/>
          <w:szCs w:val="21"/>
          <w:highlight w:val="none"/>
          <w:shd w:val="clear" w:color="auto" w:fill="FFFFFF"/>
          <w:lang w:val="en-US" w:eastAsia="zh-CN" w:bidi="ar-SA"/>
        </w:rPr>
        <w:t xml:space="preserve"> </w:t>
      </w:r>
    </w:p>
    <w:p w14:paraId="58BEF16E">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3.监督部门：驻马店市中心医院纪检监察室</w:t>
      </w:r>
    </w:p>
    <w:p w14:paraId="2EFDCA4A">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lef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监督电话：0396-2726678</w:t>
      </w:r>
    </w:p>
    <w:p w14:paraId="0D1DD280">
      <w:pPr>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right"/>
        <w:textAlignment w:val="auto"/>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驻马店市中心医院采购科</w:t>
      </w:r>
    </w:p>
    <w:p w14:paraId="563163A5">
      <w:pPr>
        <w:pStyle w:val="30"/>
        <w:keepNext w:val="0"/>
        <w:keepLines w:val="0"/>
        <w:pageBreakBefore w:val="0"/>
        <w:widowControl/>
        <w:kinsoku/>
        <w:overflowPunct/>
        <w:topLinePunct w:val="0"/>
        <w:autoSpaceDE/>
        <w:autoSpaceDN/>
        <w:bidi w:val="0"/>
        <w:snapToGrid w:val="0"/>
        <w:spacing w:before="0" w:beforeAutospacing="0" w:after="0" w:afterAutospacing="0" w:line="324" w:lineRule="auto"/>
        <w:ind w:firstLine="420" w:firstLineChars="200"/>
        <w:jc w:val="center"/>
        <w:textAlignment w:val="auto"/>
        <w:rPr>
          <w:rFonts w:hint="eastAsia" w:ascii="宋体" w:hAnsi="宋体" w:eastAsia="宋体" w:cs="宋体"/>
          <w:color w:val="FF0000"/>
          <w:sz w:val="21"/>
          <w:szCs w:val="21"/>
          <w:highlight w:val="none"/>
          <w:shd w:val="clear" w:color="auto" w:fill="FFFFFF"/>
        </w:rPr>
      </w:pPr>
      <w:r>
        <w:rPr>
          <w:rFonts w:hint="eastAsia" w:ascii="宋体" w:hAnsi="宋体" w:eastAsia="宋体" w:cs="宋体"/>
          <w:color w:val="auto"/>
          <w:kern w:val="0"/>
          <w:sz w:val="21"/>
          <w:szCs w:val="21"/>
          <w:highlight w:val="none"/>
          <w:shd w:val="clear" w:color="auto" w:fill="FFFFFF"/>
          <w:lang w:val="en-US" w:eastAsia="zh-CN" w:bidi="ar-SA"/>
        </w:rPr>
        <w:t xml:space="preserve">                                                       </w:t>
      </w:r>
      <w:r>
        <w:rPr>
          <w:rFonts w:hint="eastAsia" w:ascii="宋体" w:hAnsi="宋体" w:eastAsia="宋体" w:cs="宋体"/>
          <w:color w:val="FF0000"/>
          <w:kern w:val="0"/>
          <w:sz w:val="21"/>
          <w:szCs w:val="21"/>
          <w:highlight w:val="none"/>
          <w:shd w:val="clear" w:color="auto" w:fill="FFFFFF"/>
          <w:lang w:val="en-US" w:eastAsia="zh-CN" w:bidi="ar-SA"/>
        </w:rPr>
        <w:t xml:space="preserve">  </w:t>
      </w:r>
      <w:r>
        <w:rPr>
          <w:rFonts w:hint="eastAsia" w:ascii="宋体" w:hAnsi="宋体" w:eastAsia="宋体" w:cs="宋体"/>
          <w:color w:val="FF0000"/>
          <w:sz w:val="21"/>
          <w:szCs w:val="21"/>
          <w:highlight w:val="none"/>
          <w:shd w:val="clear" w:color="auto" w:fill="FFFFFF"/>
        </w:rPr>
        <w:t>202</w:t>
      </w:r>
      <w:r>
        <w:rPr>
          <w:rFonts w:hint="eastAsia" w:ascii="宋体" w:hAnsi="宋体" w:eastAsia="宋体" w:cs="宋体"/>
          <w:color w:val="FF0000"/>
          <w:sz w:val="21"/>
          <w:szCs w:val="21"/>
          <w:highlight w:val="none"/>
          <w:shd w:val="clear" w:color="auto" w:fill="FFFFFF"/>
          <w:lang w:val="en-US" w:eastAsia="zh-CN"/>
        </w:rPr>
        <w:t>5</w:t>
      </w:r>
      <w:r>
        <w:rPr>
          <w:rFonts w:hint="eastAsia" w:ascii="宋体" w:hAnsi="宋体" w:eastAsia="宋体" w:cs="宋体"/>
          <w:color w:val="FF0000"/>
          <w:sz w:val="21"/>
          <w:szCs w:val="21"/>
          <w:highlight w:val="none"/>
          <w:shd w:val="clear" w:color="auto" w:fill="FFFFFF"/>
        </w:rPr>
        <w:t>年</w:t>
      </w:r>
      <w:r>
        <w:rPr>
          <w:rFonts w:hint="eastAsia" w:ascii="宋体" w:hAnsi="宋体" w:cs="宋体"/>
          <w:color w:val="FF0000"/>
          <w:sz w:val="21"/>
          <w:szCs w:val="21"/>
          <w:highlight w:val="none"/>
          <w:shd w:val="clear" w:color="auto" w:fill="FFFFFF"/>
          <w:lang w:val="en-US" w:eastAsia="zh-CN"/>
        </w:rPr>
        <w:t>8</w:t>
      </w:r>
      <w:r>
        <w:rPr>
          <w:rFonts w:hint="eastAsia" w:ascii="宋体" w:hAnsi="宋体" w:eastAsia="宋体" w:cs="宋体"/>
          <w:color w:val="FF0000"/>
          <w:sz w:val="21"/>
          <w:szCs w:val="21"/>
          <w:highlight w:val="none"/>
          <w:shd w:val="clear" w:color="auto" w:fill="FFFFFF"/>
        </w:rPr>
        <w:t>月</w:t>
      </w:r>
      <w:r>
        <w:rPr>
          <w:rFonts w:hint="eastAsia" w:ascii="宋体" w:hAnsi="宋体" w:cs="宋体"/>
          <w:color w:val="FF0000"/>
          <w:sz w:val="21"/>
          <w:szCs w:val="21"/>
          <w:highlight w:val="none"/>
          <w:shd w:val="clear" w:color="auto" w:fill="FFFFFF"/>
          <w:lang w:val="en-US" w:eastAsia="zh-CN"/>
        </w:rPr>
        <w:t>6</w:t>
      </w:r>
      <w:bookmarkStart w:id="102" w:name="_GoBack"/>
      <w:bookmarkEnd w:id="102"/>
      <w:r>
        <w:rPr>
          <w:rFonts w:hint="eastAsia" w:ascii="宋体" w:hAnsi="宋体" w:eastAsia="宋体" w:cs="宋体"/>
          <w:color w:val="FF0000"/>
          <w:sz w:val="21"/>
          <w:szCs w:val="21"/>
          <w:highlight w:val="none"/>
          <w:shd w:val="clear" w:color="auto" w:fill="FFFFFF"/>
        </w:rPr>
        <w:t>日</w:t>
      </w:r>
    </w:p>
    <w:p w14:paraId="6B5B7616">
      <w:pPr>
        <w:rPr>
          <w:rFonts w:hint="eastAsia" w:ascii="宋体" w:hAnsi="宋体" w:eastAsia="宋体" w:cs="宋体"/>
          <w:b/>
          <w:color w:val="auto"/>
          <w:sz w:val="32"/>
          <w:szCs w:val="32"/>
          <w:highlight w:val="none"/>
        </w:rPr>
      </w:pPr>
      <w:bookmarkStart w:id="29" w:name="_Toc23793"/>
      <w:bookmarkStart w:id="30" w:name="_Toc29890"/>
      <w:r>
        <w:rPr>
          <w:rFonts w:hint="eastAsia" w:ascii="宋体" w:hAnsi="宋体" w:eastAsia="宋体" w:cs="宋体"/>
          <w:b/>
          <w:color w:val="auto"/>
          <w:sz w:val="32"/>
          <w:szCs w:val="32"/>
          <w:highlight w:val="none"/>
        </w:rPr>
        <w:br w:type="page"/>
      </w:r>
    </w:p>
    <w:p w14:paraId="66866B0C">
      <w:pPr>
        <w:widowControl/>
        <w:spacing w:line="360" w:lineRule="auto"/>
        <w:ind w:firstLine="643" w:firstLineChars="200"/>
        <w:jc w:val="center"/>
        <w:outlineLvl w:val="0"/>
        <w:rPr>
          <w:rFonts w:hint="eastAsia" w:ascii="宋体" w:hAnsi="宋体" w:eastAsia="宋体" w:cs="宋体"/>
          <w:b/>
          <w:color w:val="auto"/>
          <w:sz w:val="32"/>
          <w:szCs w:val="32"/>
          <w:highlight w:val="none"/>
        </w:rPr>
      </w:pPr>
      <w:bookmarkStart w:id="31" w:name="_Toc19124"/>
      <w:r>
        <w:rPr>
          <w:rFonts w:hint="eastAsia" w:ascii="宋体" w:hAnsi="宋体" w:eastAsia="宋体" w:cs="宋体"/>
          <w:b/>
          <w:color w:val="auto"/>
          <w:sz w:val="32"/>
          <w:szCs w:val="32"/>
          <w:highlight w:val="none"/>
        </w:rPr>
        <w:t xml:space="preserve">第二章  </w:t>
      </w:r>
      <w:r>
        <w:rPr>
          <w:rFonts w:hint="eastAsia" w:ascii="宋体" w:hAnsi="宋体" w:eastAsia="宋体" w:cs="宋体"/>
          <w:b/>
          <w:color w:val="auto"/>
          <w:sz w:val="32"/>
          <w:szCs w:val="32"/>
          <w:highlight w:val="none"/>
          <w:lang w:eastAsia="zh-CN"/>
        </w:rPr>
        <w:t>采购</w:t>
      </w:r>
      <w:r>
        <w:rPr>
          <w:rFonts w:hint="eastAsia" w:ascii="宋体" w:hAnsi="宋体" w:eastAsia="宋体" w:cs="宋体"/>
          <w:b/>
          <w:color w:val="auto"/>
          <w:sz w:val="32"/>
          <w:szCs w:val="32"/>
          <w:highlight w:val="none"/>
        </w:rPr>
        <w:t>需求</w:t>
      </w:r>
      <w:bookmarkEnd w:id="31"/>
      <w:bookmarkStart w:id="32" w:name="_Toc23610"/>
      <w:bookmarkStart w:id="33" w:name="_Toc9989"/>
      <w:bookmarkStart w:id="34" w:name="_Toc31536"/>
    </w:p>
    <w:bookmarkEnd w:id="29"/>
    <w:bookmarkEnd w:id="30"/>
    <w:bookmarkEnd w:id="32"/>
    <w:bookmarkEnd w:id="33"/>
    <w:bookmarkEnd w:id="34"/>
    <w:p w14:paraId="5132C4A7">
      <w:pPr>
        <w:keepNext w:val="0"/>
        <w:keepLines w:val="0"/>
        <w:pageBreakBefore w:val="0"/>
        <w:widowControl/>
        <w:tabs>
          <w:tab w:val="left" w:pos="840"/>
        </w:tabs>
        <w:kinsoku/>
        <w:overflowPunct/>
        <w:topLinePunct w:val="0"/>
        <w:autoSpaceDE/>
        <w:autoSpaceDN/>
        <w:bidi w:val="0"/>
        <w:snapToGrid w:val="0"/>
        <w:spacing w:line="324" w:lineRule="auto"/>
        <w:jc w:val="left"/>
        <w:textAlignment w:val="auto"/>
        <w:rPr>
          <w:rFonts w:hint="eastAsia" w:ascii="宋体" w:hAnsi="宋体" w:eastAsia="宋体" w:cs="宋体"/>
          <w:b/>
          <w:bCs/>
          <w:i w:val="0"/>
          <w:iCs/>
          <w:color w:val="auto"/>
          <w:sz w:val="21"/>
          <w:szCs w:val="21"/>
          <w:highlight w:val="none"/>
          <w:u w:val="none"/>
          <w:lang w:val="en-US" w:eastAsia="zh-CN"/>
        </w:rPr>
      </w:pPr>
      <w:r>
        <w:rPr>
          <w:rFonts w:hint="eastAsia" w:ascii="宋体" w:hAnsi="宋体" w:eastAsia="宋体" w:cs="宋体"/>
          <w:b/>
          <w:bCs/>
          <w:i w:val="0"/>
          <w:iCs/>
          <w:color w:val="auto"/>
          <w:sz w:val="21"/>
          <w:szCs w:val="21"/>
          <w:highlight w:val="none"/>
          <w:u w:val="none"/>
          <w:lang w:val="en-US" w:eastAsia="zh-CN"/>
        </w:rPr>
        <w:t>一、项目名称：驻马店市中心医院妇儿院区化粪池、隔油池、污水井及雨水井清掏服务项目；</w:t>
      </w:r>
    </w:p>
    <w:p w14:paraId="7D7F31AE">
      <w:pPr>
        <w:numPr>
          <w:ilvl w:val="0"/>
          <w:numId w:val="0"/>
        </w:numPr>
        <w:spacing w:line="192" w:lineRule="auto"/>
        <w:rPr>
          <w:rFonts w:hint="eastAsia" w:ascii="宋体" w:hAnsi="宋体" w:cs="宋体"/>
          <w:b/>
          <w:bCs/>
          <w:color w:val="auto"/>
          <w:kern w:val="2"/>
          <w:sz w:val="21"/>
          <w:szCs w:val="24"/>
          <w:highlight w:val="none"/>
          <w:lang w:val="en-US" w:eastAsia="zh-CN" w:bidi="ar-SA"/>
        </w:rPr>
      </w:pPr>
      <w:r>
        <w:rPr>
          <w:rFonts w:hint="eastAsia" w:ascii="宋体" w:hAnsi="宋体" w:eastAsia="宋体" w:cs="宋体"/>
          <w:b/>
          <w:bCs/>
          <w:color w:val="auto"/>
          <w:kern w:val="2"/>
          <w:sz w:val="21"/>
          <w:szCs w:val="24"/>
          <w:highlight w:val="none"/>
          <w:lang w:val="en-US" w:eastAsia="zh-CN" w:bidi="ar-SA"/>
        </w:rPr>
        <w:t>二、</w:t>
      </w:r>
      <w:r>
        <w:rPr>
          <w:rFonts w:hint="eastAsia" w:ascii="宋体" w:hAnsi="宋体" w:cs="宋体"/>
          <w:b/>
          <w:bCs/>
          <w:color w:val="auto"/>
          <w:kern w:val="2"/>
          <w:sz w:val="21"/>
          <w:szCs w:val="24"/>
          <w:highlight w:val="none"/>
          <w:lang w:val="en-US" w:eastAsia="zh-CN" w:bidi="ar-SA"/>
        </w:rPr>
        <w:t>采购标的清单</w:t>
      </w:r>
    </w:p>
    <w:tbl>
      <w:tblPr>
        <w:tblStyle w:val="34"/>
        <w:tblW w:w="9836" w:type="dxa"/>
        <w:tblInd w:w="-5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1011"/>
        <w:gridCol w:w="2201"/>
        <w:gridCol w:w="872"/>
        <w:gridCol w:w="993"/>
        <w:gridCol w:w="1420"/>
        <w:gridCol w:w="1139"/>
        <w:gridCol w:w="1277"/>
      </w:tblGrid>
      <w:tr w14:paraId="5FFC9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8" w:hRule="atLeast"/>
        </w:trPr>
        <w:tc>
          <w:tcPr>
            <w:tcW w:w="923" w:type="dxa"/>
            <w:vAlign w:val="center"/>
          </w:tcPr>
          <w:p w14:paraId="70409A5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包号</w:t>
            </w:r>
          </w:p>
        </w:tc>
        <w:tc>
          <w:tcPr>
            <w:tcW w:w="1011" w:type="dxa"/>
            <w:vAlign w:val="center"/>
          </w:tcPr>
          <w:p w14:paraId="50BE58EE">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序号</w:t>
            </w:r>
          </w:p>
        </w:tc>
        <w:tc>
          <w:tcPr>
            <w:tcW w:w="2201" w:type="dxa"/>
            <w:vAlign w:val="center"/>
          </w:tcPr>
          <w:p w14:paraId="1DA22A2C">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标的名称</w:t>
            </w:r>
          </w:p>
        </w:tc>
        <w:tc>
          <w:tcPr>
            <w:tcW w:w="872" w:type="dxa"/>
            <w:vAlign w:val="center"/>
          </w:tcPr>
          <w:p w14:paraId="0E823374">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单位</w:t>
            </w:r>
          </w:p>
        </w:tc>
        <w:tc>
          <w:tcPr>
            <w:tcW w:w="993" w:type="dxa"/>
            <w:vAlign w:val="center"/>
          </w:tcPr>
          <w:p w14:paraId="0688FB7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数量</w:t>
            </w:r>
          </w:p>
        </w:tc>
        <w:tc>
          <w:tcPr>
            <w:tcW w:w="1420" w:type="dxa"/>
            <w:vAlign w:val="center"/>
          </w:tcPr>
          <w:p w14:paraId="6CFFD8C9">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rPr>
            </w:pPr>
            <w:r>
              <w:rPr>
                <w:rFonts w:hint="eastAsia" w:ascii="宋体" w:hAnsi="宋体" w:eastAsia="宋体" w:cs="宋体"/>
                <w:b/>
                <w:bCs/>
                <w:sz w:val="21"/>
                <w:szCs w:val="21"/>
              </w:rPr>
              <w:t>资金</w:t>
            </w:r>
          </w:p>
          <w:p w14:paraId="66715896">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rPr>
              <w:t>预算</w:t>
            </w:r>
          </w:p>
        </w:tc>
        <w:tc>
          <w:tcPr>
            <w:tcW w:w="1139" w:type="dxa"/>
            <w:vAlign w:val="center"/>
          </w:tcPr>
          <w:p w14:paraId="63665EF4">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资金</w:t>
            </w:r>
          </w:p>
          <w:p w14:paraId="2E74B8C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性质</w:t>
            </w:r>
          </w:p>
        </w:tc>
        <w:tc>
          <w:tcPr>
            <w:tcW w:w="1277" w:type="dxa"/>
            <w:vAlign w:val="center"/>
          </w:tcPr>
          <w:p w14:paraId="63B848B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国产/</w:t>
            </w:r>
          </w:p>
          <w:p w14:paraId="6017267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sz w:val="21"/>
                <w:szCs w:val="21"/>
                <w:vertAlign w:val="baseline"/>
                <w:lang w:val="en-US" w:eastAsia="zh-CN"/>
              </w:rPr>
            </w:pPr>
            <w:r>
              <w:rPr>
                <w:rFonts w:hint="eastAsia" w:ascii="宋体" w:hAnsi="宋体" w:eastAsia="宋体" w:cs="宋体"/>
                <w:b/>
                <w:bCs/>
                <w:sz w:val="21"/>
                <w:szCs w:val="21"/>
                <w:lang w:val="en-US" w:eastAsia="zh-CN"/>
              </w:rPr>
              <w:t>进口</w:t>
            </w:r>
          </w:p>
        </w:tc>
      </w:tr>
      <w:tr w14:paraId="78AF0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trPr>
        <w:tc>
          <w:tcPr>
            <w:tcW w:w="923" w:type="dxa"/>
            <w:vAlign w:val="center"/>
          </w:tcPr>
          <w:p w14:paraId="160E4322">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011" w:type="dxa"/>
            <w:shd w:val="clear" w:color="auto" w:fill="auto"/>
            <w:vAlign w:val="center"/>
          </w:tcPr>
          <w:p w14:paraId="47E57A0C">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2201" w:type="dxa"/>
            <w:shd w:val="clear" w:color="auto" w:fill="auto"/>
            <w:vAlign w:val="center"/>
          </w:tcPr>
          <w:p w14:paraId="75A4387C">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i w:val="0"/>
                <w:iCs/>
                <w:color w:val="auto"/>
                <w:sz w:val="21"/>
                <w:szCs w:val="21"/>
                <w:highlight w:val="none"/>
                <w:u w:val="none"/>
                <w:lang w:val="en-US" w:eastAsia="zh-CN"/>
              </w:rPr>
              <w:t>妇儿院区化粪池、隔油池、污水井及雨水井清掏服务</w:t>
            </w:r>
          </w:p>
        </w:tc>
        <w:tc>
          <w:tcPr>
            <w:tcW w:w="872" w:type="dxa"/>
            <w:shd w:val="clear" w:color="auto" w:fill="auto"/>
            <w:vAlign w:val="center"/>
          </w:tcPr>
          <w:p w14:paraId="3822C6C5">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年</w:t>
            </w:r>
          </w:p>
        </w:tc>
        <w:tc>
          <w:tcPr>
            <w:tcW w:w="993" w:type="dxa"/>
            <w:shd w:val="clear" w:color="auto" w:fill="auto"/>
            <w:vAlign w:val="center"/>
          </w:tcPr>
          <w:p w14:paraId="34DB3DDC">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w:t>
            </w:r>
          </w:p>
        </w:tc>
        <w:tc>
          <w:tcPr>
            <w:tcW w:w="1420" w:type="dxa"/>
            <w:shd w:val="clear" w:color="auto" w:fill="auto"/>
            <w:vAlign w:val="center"/>
          </w:tcPr>
          <w:p w14:paraId="006A5D58">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12.87万元</w:t>
            </w:r>
          </w:p>
        </w:tc>
        <w:tc>
          <w:tcPr>
            <w:tcW w:w="1139" w:type="dxa"/>
            <w:shd w:val="clear" w:color="auto" w:fill="auto"/>
            <w:vAlign w:val="center"/>
          </w:tcPr>
          <w:p w14:paraId="76566984">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自筹</w:t>
            </w:r>
          </w:p>
        </w:tc>
        <w:tc>
          <w:tcPr>
            <w:tcW w:w="1277" w:type="dxa"/>
            <w:shd w:val="clear" w:color="auto" w:fill="auto"/>
            <w:vAlign w:val="center"/>
          </w:tcPr>
          <w:p w14:paraId="0FAC38DD">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r>
              <w:rPr>
                <w:rFonts w:hint="eastAsia" w:ascii="宋体" w:hAnsi="宋体" w:eastAsia="宋体" w:cs="宋体"/>
                <w:b w:val="0"/>
                <w:bCs w:val="0"/>
                <w:sz w:val="21"/>
                <w:szCs w:val="21"/>
                <w:lang w:val="en-US" w:eastAsia="zh-CN"/>
              </w:rPr>
              <w:t>国产</w:t>
            </w:r>
          </w:p>
        </w:tc>
      </w:tr>
      <w:tr w14:paraId="4ED299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934" w:type="dxa"/>
            <w:gridSpan w:val="2"/>
            <w:vAlign w:val="center"/>
          </w:tcPr>
          <w:p w14:paraId="71C1DABD">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合计</w:t>
            </w:r>
          </w:p>
        </w:tc>
        <w:tc>
          <w:tcPr>
            <w:tcW w:w="2201" w:type="dxa"/>
            <w:vAlign w:val="center"/>
          </w:tcPr>
          <w:p w14:paraId="07681932">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c>
          <w:tcPr>
            <w:tcW w:w="872" w:type="dxa"/>
            <w:shd w:val="clear" w:color="auto" w:fill="auto"/>
            <w:vAlign w:val="center"/>
          </w:tcPr>
          <w:p w14:paraId="77C2BEB3">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年</w:t>
            </w:r>
          </w:p>
        </w:tc>
        <w:tc>
          <w:tcPr>
            <w:tcW w:w="993" w:type="dxa"/>
            <w:shd w:val="clear" w:color="auto" w:fill="auto"/>
            <w:vAlign w:val="center"/>
          </w:tcPr>
          <w:p w14:paraId="679DCB63">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kern w:val="0"/>
                <w:sz w:val="21"/>
                <w:szCs w:val="21"/>
                <w:lang w:val="en-US" w:eastAsia="zh-CN" w:bidi="ar-SA"/>
              </w:rPr>
            </w:pPr>
            <w:r>
              <w:rPr>
                <w:rFonts w:hint="eastAsia" w:ascii="宋体" w:hAnsi="宋体" w:eastAsia="宋体" w:cs="宋体"/>
                <w:b w:val="0"/>
                <w:bCs w:val="0"/>
                <w:sz w:val="21"/>
                <w:szCs w:val="21"/>
                <w:lang w:val="en-US" w:eastAsia="zh-CN"/>
              </w:rPr>
              <w:t>3</w:t>
            </w:r>
          </w:p>
        </w:tc>
        <w:tc>
          <w:tcPr>
            <w:tcW w:w="1420" w:type="dxa"/>
            <w:vAlign w:val="center"/>
          </w:tcPr>
          <w:p w14:paraId="58E13CFA">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default" w:ascii="宋体" w:hAnsi="宋体" w:eastAsia="宋体" w:cs="宋体"/>
                <w:b w:val="0"/>
                <w:bCs w:val="0"/>
                <w:sz w:val="21"/>
                <w:szCs w:val="21"/>
                <w:lang w:val="en-US" w:eastAsia="zh-CN"/>
              </w:rPr>
            </w:pPr>
            <w:r>
              <w:rPr>
                <w:rFonts w:hint="default" w:ascii="宋体" w:hAnsi="宋体" w:eastAsia="宋体" w:cs="宋体"/>
                <w:b w:val="0"/>
                <w:bCs w:val="0"/>
                <w:sz w:val="21"/>
                <w:szCs w:val="21"/>
                <w:lang w:val="en-US" w:eastAsia="zh-CN"/>
              </w:rPr>
              <w:t>38.61万元</w:t>
            </w:r>
          </w:p>
        </w:tc>
        <w:tc>
          <w:tcPr>
            <w:tcW w:w="1139" w:type="dxa"/>
            <w:vAlign w:val="center"/>
          </w:tcPr>
          <w:p w14:paraId="7BD39CBC">
            <w:pPr>
              <w:pStyle w:val="14"/>
              <w:keepNext w:val="0"/>
              <w:keepLines w:val="0"/>
              <w:pageBreakBefore w:val="0"/>
              <w:widowControl w:val="0"/>
              <w:kinsoku/>
              <w:wordWrap/>
              <w:overflowPunct/>
              <w:topLinePunct w:val="0"/>
              <w:autoSpaceDE/>
              <w:autoSpaceDN/>
              <w:bidi w:val="0"/>
              <w:adjustRightInd/>
              <w:snapToGrid/>
              <w:spacing w:before="0" w:beforeAutospacing="0" w:after="0" w:line="400" w:lineRule="exact"/>
              <w:ind w:left="0" w:leftChars="0" w:firstLine="0" w:firstLineChars="0"/>
              <w:jc w:val="center"/>
              <w:textAlignment w:val="auto"/>
              <w:rPr>
                <w:rFonts w:hint="eastAsia" w:ascii="宋体" w:hAnsi="宋体" w:eastAsia="宋体" w:cs="宋体"/>
                <w:b w:val="0"/>
                <w:bCs w:val="0"/>
                <w:sz w:val="21"/>
                <w:szCs w:val="21"/>
                <w:lang w:val="en-US" w:eastAsia="zh-CN"/>
              </w:rPr>
            </w:pPr>
          </w:p>
        </w:tc>
        <w:tc>
          <w:tcPr>
            <w:tcW w:w="1277" w:type="dxa"/>
            <w:vAlign w:val="center"/>
          </w:tcPr>
          <w:p w14:paraId="10EFF275">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p>
        </w:tc>
      </w:tr>
      <w:tr w14:paraId="3C8B5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1934" w:type="dxa"/>
            <w:gridSpan w:val="2"/>
            <w:vAlign w:val="center"/>
          </w:tcPr>
          <w:p w14:paraId="33A5FF2B">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bCs/>
                <w:sz w:val="21"/>
                <w:szCs w:val="21"/>
                <w:vertAlign w:val="baseline"/>
                <w:lang w:val="en-US" w:eastAsia="zh-CN"/>
              </w:rPr>
              <w:t>备注</w:t>
            </w:r>
          </w:p>
        </w:tc>
        <w:tc>
          <w:tcPr>
            <w:tcW w:w="7902" w:type="dxa"/>
            <w:gridSpan w:val="6"/>
            <w:vAlign w:val="center"/>
          </w:tcPr>
          <w:p w14:paraId="53058CCC">
            <w:pPr>
              <w:keepNext w:val="0"/>
              <w:keepLines w:val="0"/>
              <w:pageBreakBefore w:val="0"/>
              <w:widowControl w:val="0"/>
              <w:numPr>
                <w:ilvl w:val="0"/>
                <w:numId w:val="0"/>
              </w:numPr>
              <w:kinsoku/>
              <w:wordWrap/>
              <w:overflowPunct/>
              <w:topLinePunct w:val="0"/>
              <w:autoSpaceDE/>
              <w:autoSpaceDN/>
              <w:bidi w:val="0"/>
              <w:adjustRightInd/>
              <w:snapToGrid/>
              <w:spacing w:beforeAutospacing="0" w:line="560" w:lineRule="exact"/>
              <w:jc w:val="center"/>
              <w:textAlignment w:val="auto"/>
              <w:rPr>
                <w:rFonts w:hint="eastAsia" w:ascii="宋体" w:hAnsi="宋体" w:eastAsia="宋体" w:cs="宋体"/>
                <w:b/>
                <w:bCs/>
                <w:sz w:val="21"/>
                <w:szCs w:val="21"/>
                <w:vertAlign w:val="baseline"/>
                <w:lang w:val="en-US" w:eastAsia="zh-CN"/>
              </w:rPr>
            </w:pPr>
            <w:r>
              <w:rPr>
                <w:rFonts w:hint="eastAsia" w:ascii="宋体" w:hAnsi="宋体" w:eastAsia="宋体" w:cs="宋体"/>
                <w:b w:val="0"/>
                <w:bCs w:val="0"/>
                <w:sz w:val="21"/>
                <w:szCs w:val="21"/>
                <w:vertAlign w:val="baseline"/>
                <w:lang w:val="en-US" w:eastAsia="zh-CN"/>
              </w:rPr>
              <w:t>合同一年一签，经考核合格后续签一年，最多续签二年</w:t>
            </w:r>
          </w:p>
        </w:tc>
      </w:tr>
    </w:tbl>
    <w:p w14:paraId="6F84DF09">
      <w:pPr>
        <w:rPr>
          <w:rFonts w:hint="default"/>
          <w:b/>
          <w:bCs/>
          <w:color w:val="auto"/>
          <w:lang w:val="en-US" w:eastAsia="zh-CN"/>
        </w:rPr>
      </w:pPr>
      <w:r>
        <w:rPr>
          <w:rFonts w:hint="eastAsia"/>
          <w:b/>
          <w:bCs/>
          <w:color w:val="auto"/>
          <w:lang w:val="en-US" w:eastAsia="zh-CN"/>
        </w:rPr>
        <w:t>三、技术要求</w:t>
      </w:r>
    </w:p>
    <w:p w14:paraId="2FBAC24D">
      <w:pPr>
        <w:spacing w:line="360" w:lineRule="auto"/>
        <w:ind w:firstLine="420" w:firstLineChars="200"/>
        <w:rPr>
          <w:rFonts w:hint="default"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 xml:space="preserve">1、服务内容：妇儿院区院内2个隔油池、434个污水井和雨水井、10个化粪池的深度清掏、外运及日常维护服务，确保排水畅通。                                              </w:t>
      </w:r>
    </w:p>
    <w:p w14:paraId="0B39C9ED">
      <w:pPr>
        <w:spacing w:line="360" w:lineRule="auto"/>
        <w:ind w:firstLine="420" w:firstLineChars="200"/>
        <w:rPr>
          <w:rFonts w:hint="default"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 xml:space="preserve">2、清理频次：隔油池每周清掏1次，清除油脂、杂物；污水井与雨水井每季度深度清掏1次，确保无淤积、排水畅通；化粪池每季度深度清掏1次，彻底清理沉淀物。                           </w:t>
      </w:r>
    </w:p>
    <w:p w14:paraId="57E36360">
      <w:pPr>
        <w:spacing w:line="360" w:lineRule="auto"/>
        <w:ind w:firstLine="420" w:firstLineChars="200"/>
        <w:rPr>
          <w:rFonts w:hint="default"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 xml:space="preserve">3、应急处理：提供24小时应急响应服务。服务期间如出现淤堵，由供应商免费清理，医院不再支付额外费用，供应商需在接到通知后2小时到达现场进行紧急处理。                                                          </w:t>
      </w:r>
    </w:p>
    <w:p w14:paraId="0DE7C78C">
      <w:pPr>
        <w:spacing w:line="360" w:lineRule="auto"/>
        <w:ind w:firstLine="420" w:firstLineChars="200"/>
        <w:rPr>
          <w:rFonts w:hint="default"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 xml:space="preserve">4、化粪池清掏标准：化粪池内清掏彻底，确保服务范围内所有化粪池粪便污水不外溢。清理的粪便、污水、污渍须清运并妥善处理。                                                  </w:t>
      </w:r>
    </w:p>
    <w:p w14:paraId="58D3C2F6">
      <w:pPr>
        <w:spacing w:line="360" w:lineRule="auto"/>
        <w:ind w:firstLine="420" w:firstLineChars="200"/>
        <w:rPr>
          <w:rFonts w:hint="default"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 xml:space="preserve">5、污水井、雨水井清掏标准：同步疏通连接主管道，确保排水畅通；污水井、雨水井干净见底，目视洁净可视度达95%；雨水井、检查井盖无污渍、污物，不影响周边卫生。清理出的污物，由供应商负责清运，不得造成二次污染。                                </w:t>
      </w:r>
    </w:p>
    <w:p w14:paraId="744EF213">
      <w:pPr>
        <w:spacing w:line="360" w:lineRule="auto"/>
        <w:ind w:firstLine="420" w:firstLineChars="200"/>
        <w:rPr>
          <w:rFonts w:hint="default"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 xml:space="preserve">6、隔油池清掏标准：含油污抽吸、池壁高压冲洗及过滤网清洁，隔油池内部墙面和不锈钢盖板表面无杂物和油渍，废油处置合规。                                                                                     </w:t>
      </w:r>
    </w:p>
    <w:p w14:paraId="2E26BDAD">
      <w:pPr>
        <w:spacing w:line="360" w:lineRule="auto"/>
        <w:ind w:firstLine="420" w:firstLineChars="200"/>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7、要求供应商使用专业高压疏通设备及吸污车进行作业。</w:t>
      </w:r>
    </w:p>
    <w:p w14:paraId="532006FF">
      <w:pPr>
        <w:spacing w:line="360" w:lineRule="auto"/>
        <w:ind w:firstLine="420" w:firstLineChars="200"/>
        <w:rPr>
          <w:rFonts w:hint="eastAsia" w:ascii="宋体" w:hAnsi="宋体" w:eastAsia="宋体" w:cs="宋体"/>
          <w:b w:val="0"/>
          <w:bCs w:val="0"/>
          <w:i w:val="0"/>
          <w:iCs/>
          <w:color w:val="auto"/>
          <w:kern w:val="0"/>
          <w:sz w:val="21"/>
          <w:szCs w:val="21"/>
          <w:highlight w:val="none"/>
          <w:u w:val="none"/>
          <w:lang w:val="en-US" w:eastAsia="zh-CN" w:bidi="ar-SA"/>
        </w:rPr>
      </w:pPr>
      <w:r>
        <w:rPr>
          <w:rFonts w:hint="eastAsia" w:ascii="宋体" w:hAnsi="宋体" w:eastAsia="宋体" w:cs="宋体"/>
          <w:b w:val="0"/>
          <w:bCs w:val="0"/>
          <w:i w:val="0"/>
          <w:iCs/>
          <w:color w:val="auto"/>
          <w:kern w:val="0"/>
          <w:sz w:val="21"/>
          <w:szCs w:val="21"/>
          <w:highlight w:val="none"/>
          <w:u w:val="none"/>
          <w:lang w:val="en-US" w:eastAsia="zh-CN" w:bidi="ar-SA"/>
        </w:rPr>
        <w:t xml:space="preserve">8、安全与环保：供应商应按照安全操作规程进行施工，做好安全防护措施，确保作业期间不影响医院正常运营及人员安全。应设置相应的临时警示标识，以防止意外发生。供应商应合理控制作业过程中的污染风险，确保符合相关管理规定。 </w:t>
      </w:r>
    </w:p>
    <w:p w14:paraId="1493608C">
      <w:pPr>
        <w:spacing w:line="360" w:lineRule="auto"/>
        <w:ind w:firstLine="420" w:firstLineChars="200"/>
        <w:rPr>
          <w:rFonts w:hint="default" w:ascii="宋体" w:hAnsi="宋体" w:eastAsia="宋体" w:cs="宋体"/>
          <w:b w:val="0"/>
          <w:bCs w:val="0"/>
          <w:i w:val="0"/>
          <w:iCs/>
          <w:color w:val="FF0000"/>
          <w:kern w:val="0"/>
          <w:sz w:val="21"/>
          <w:szCs w:val="21"/>
          <w:highlight w:val="green"/>
          <w:u w:val="none"/>
          <w:lang w:val="en-US" w:eastAsia="zh-CN" w:bidi="ar-SA"/>
        </w:rPr>
        <w:sectPr>
          <w:footerReference r:id="rId5" w:type="default"/>
          <w:pgSz w:w="11906" w:h="16838"/>
          <w:pgMar w:top="1417" w:right="1474" w:bottom="1417" w:left="1474" w:header="851" w:footer="624" w:gutter="0"/>
          <w:pgNumType w:fmt="decimal"/>
          <w:cols w:space="720" w:num="1"/>
          <w:docGrid w:type="lines" w:linePitch="319" w:charSpace="0"/>
        </w:sectPr>
      </w:pPr>
    </w:p>
    <w:p w14:paraId="4026D2A1">
      <w:pPr>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商务要求</w:t>
      </w:r>
    </w:p>
    <w:tbl>
      <w:tblPr>
        <w:tblStyle w:val="33"/>
        <w:tblpPr w:leftFromText="180" w:rightFromText="180" w:vertAnchor="text" w:tblpXSpec="center" w:tblpY="1"/>
        <w:tblOverlap w:val="never"/>
        <w:tblW w:w="9486"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32"/>
        <w:gridCol w:w="7354"/>
      </w:tblGrid>
      <w:tr w14:paraId="010578F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49DCDCC6">
            <w:pPr>
              <w:widowControl/>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eastAsia="zh-CN"/>
              </w:rPr>
              <w:t>服务质量</w:t>
            </w:r>
          </w:p>
        </w:tc>
        <w:tc>
          <w:tcPr>
            <w:tcW w:w="7354" w:type="dxa"/>
            <w:tcBorders>
              <w:top w:val="single" w:color="auto" w:sz="4" w:space="0"/>
              <w:left w:val="single" w:color="auto" w:sz="4" w:space="0"/>
              <w:bottom w:val="single" w:color="auto" w:sz="4" w:space="0"/>
              <w:right w:val="single" w:color="auto" w:sz="4" w:space="0"/>
            </w:tcBorders>
            <w:noWrap/>
            <w:vAlign w:val="center"/>
          </w:tcPr>
          <w:p w14:paraId="2F59F4E2">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4"/>
                <w:highlight w:val="none"/>
                <w:lang w:val="en-US" w:eastAsia="zh-CN" w:bidi="ar-SA"/>
              </w:rPr>
              <w:t>符合现行国家、省、市地方相关规范和标准，满足采购人需求</w:t>
            </w:r>
          </w:p>
        </w:tc>
      </w:tr>
      <w:tr w14:paraId="4FF1A7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19F76117">
            <w:pPr>
              <w:widowControl/>
              <w:spacing w:line="36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服务期限</w:t>
            </w:r>
          </w:p>
        </w:tc>
        <w:tc>
          <w:tcPr>
            <w:tcW w:w="7354" w:type="dxa"/>
            <w:tcBorders>
              <w:top w:val="single" w:color="auto" w:sz="4" w:space="0"/>
              <w:left w:val="single" w:color="auto" w:sz="4" w:space="0"/>
              <w:bottom w:val="single" w:color="auto" w:sz="4" w:space="0"/>
              <w:right w:val="single" w:color="auto" w:sz="4" w:space="0"/>
            </w:tcBorders>
            <w:noWrap/>
            <w:vAlign w:val="center"/>
          </w:tcPr>
          <w:p w14:paraId="27528DC0">
            <w:pPr>
              <w:pStyle w:val="14"/>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kern w:val="2"/>
                <w:sz w:val="21"/>
                <w:szCs w:val="24"/>
                <w:highlight w:val="none"/>
                <w:lang w:val="en-US" w:eastAsia="zh-CN" w:bidi="ar-SA"/>
              </w:rPr>
              <w:t>3年</w:t>
            </w:r>
          </w:p>
        </w:tc>
      </w:tr>
      <w:tr w14:paraId="6F2F1FC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0E8D1800">
            <w:pPr>
              <w:pStyle w:val="14"/>
              <w:ind w:left="0" w:leftChars="0"/>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合同签订时间</w:t>
            </w:r>
          </w:p>
        </w:tc>
        <w:tc>
          <w:tcPr>
            <w:tcW w:w="7354" w:type="dxa"/>
            <w:tcBorders>
              <w:top w:val="single" w:color="auto" w:sz="4" w:space="0"/>
              <w:left w:val="single" w:color="auto" w:sz="4" w:space="0"/>
              <w:bottom w:val="single" w:color="auto" w:sz="4" w:space="0"/>
              <w:right w:val="single" w:color="auto" w:sz="4" w:space="0"/>
            </w:tcBorders>
            <w:noWrap/>
            <w:vAlign w:val="center"/>
          </w:tcPr>
          <w:p w14:paraId="470CA1A1">
            <w:pPr>
              <w:pStyle w:val="14"/>
              <w:ind w:left="0" w:leftChars="0"/>
              <w:jc w:val="left"/>
              <w:rPr>
                <w:rFonts w:hint="eastAsia" w:ascii="宋体" w:hAnsi="宋体" w:eastAsia="宋体" w:cs="宋体"/>
                <w:color w:val="auto"/>
                <w:kern w:val="2"/>
                <w:sz w:val="21"/>
                <w:szCs w:val="24"/>
                <w:highlight w:val="none"/>
                <w:lang w:val="en-US" w:eastAsia="zh-CN" w:bidi="ar-SA"/>
              </w:rPr>
            </w:pPr>
            <w:r>
              <w:rPr>
                <w:rFonts w:hint="eastAsia" w:ascii="宋体" w:hAnsi="宋体" w:eastAsia="宋体" w:cs="宋体"/>
                <w:color w:val="auto"/>
                <w:sz w:val="21"/>
                <w:szCs w:val="21"/>
                <w:highlight w:val="none"/>
                <w:lang w:val="en-US" w:eastAsia="zh-CN"/>
              </w:rPr>
              <w:t>自成交通知书发出之日起</w:t>
            </w:r>
            <w:r>
              <w:rPr>
                <w:rFonts w:hint="eastAsia" w:cs="宋体"/>
                <w:color w:val="auto"/>
                <w:sz w:val="21"/>
                <w:szCs w:val="21"/>
                <w:highlight w:val="none"/>
                <w:lang w:val="en-US" w:eastAsia="zh-CN"/>
              </w:rPr>
              <w:t>30</w:t>
            </w:r>
            <w:r>
              <w:rPr>
                <w:rFonts w:hint="eastAsia" w:ascii="宋体" w:hAnsi="宋体" w:eastAsia="宋体" w:cs="宋体"/>
                <w:color w:val="auto"/>
                <w:sz w:val="21"/>
                <w:szCs w:val="21"/>
                <w:highlight w:val="none"/>
                <w:lang w:val="en-US" w:eastAsia="zh-CN"/>
              </w:rPr>
              <w:t>日内</w:t>
            </w:r>
          </w:p>
        </w:tc>
      </w:tr>
      <w:tr w14:paraId="1998DF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AB8CE64">
            <w:pPr>
              <w:pStyle w:val="14"/>
              <w:ind w:left="0" w:leftChars="0"/>
              <w:jc w:val="center"/>
              <w:rPr>
                <w:rFonts w:hint="eastAsia"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服务地点</w:t>
            </w:r>
          </w:p>
        </w:tc>
        <w:tc>
          <w:tcPr>
            <w:tcW w:w="7354" w:type="dxa"/>
            <w:tcBorders>
              <w:top w:val="single" w:color="auto" w:sz="4" w:space="0"/>
              <w:left w:val="single" w:color="auto" w:sz="4" w:space="0"/>
              <w:bottom w:val="single" w:color="auto" w:sz="4" w:space="0"/>
              <w:right w:val="single" w:color="auto" w:sz="4" w:space="0"/>
            </w:tcBorders>
            <w:noWrap/>
            <w:vAlign w:val="center"/>
          </w:tcPr>
          <w:p w14:paraId="3436434F">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采购人指定地点</w:t>
            </w:r>
          </w:p>
        </w:tc>
      </w:tr>
      <w:tr w14:paraId="7D53385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132" w:type="dxa"/>
            <w:tcBorders>
              <w:top w:val="single" w:color="auto" w:sz="4" w:space="0"/>
              <w:left w:val="single" w:color="auto" w:sz="4" w:space="0"/>
              <w:bottom w:val="single" w:color="auto" w:sz="4" w:space="0"/>
              <w:right w:val="single" w:color="auto" w:sz="4" w:space="0"/>
            </w:tcBorders>
            <w:noWrap/>
            <w:vAlign w:val="center"/>
          </w:tcPr>
          <w:p w14:paraId="35093A83">
            <w:pPr>
              <w:pStyle w:val="14"/>
              <w:ind w:left="0" w:leftChars="0"/>
              <w:jc w:val="center"/>
              <w:rPr>
                <w:rFonts w:hint="eastAsia" w:cs="宋体"/>
                <w:color w:val="auto"/>
                <w:sz w:val="21"/>
                <w:szCs w:val="21"/>
                <w:highlight w:val="none"/>
                <w:lang w:val="en-US" w:eastAsia="zh-CN"/>
              </w:rPr>
            </w:pPr>
            <w:r>
              <w:rPr>
                <w:rFonts w:hint="eastAsia" w:ascii="宋体" w:hAnsi="宋体" w:eastAsia="宋体" w:cs="宋体"/>
                <w:color w:val="auto"/>
                <w:sz w:val="21"/>
                <w:szCs w:val="21"/>
                <w:highlight w:val="none"/>
              </w:rPr>
              <w:t>付款方式</w:t>
            </w:r>
          </w:p>
        </w:tc>
        <w:tc>
          <w:tcPr>
            <w:tcW w:w="7354" w:type="dxa"/>
            <w:tcBorders>
              <w:top w:val="single" w:color="auto" w:sz="4" w:space="0"/>
              <w:left w:val="single" w:color="auto" w:sz="4" w:space="0"/>
              <w:bottom w:val="single" w:color="auto" w:sz="4" w:space="0"/>
              <w:right w:val="single" w:color="auto" w:sz="4" w:space="0"/>
            </w:tcBorders>
            <w:noWrap/>
            <w:vAlign w:val="center"/>
          </w:tcPr>
          <w:p w14:paraId="64F1D348">
            <w:pPr>
              <w:pStyle w:val="14"/>
              <w:ind w:left="0" w:leftChars="0"/>
              <w:jc w:val="left"/>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以合同约定为准</w:t>
            </w:r>
          </w:p>
        </w:tc>
      </w:tr>
    </w:tbl>
    <w:p w14:paraId="64EAB369">
      <w:pPr>
        <w:pStyle w:val="23"/>
        <w:rPr>
          <w:rFonts w:hint="eastAsia" w:ascii="宋体" w:hAnsi="宋体" w:eastAsia="宋体" w:cs="宋体"/>
          <w:color w:val="auto"/>
          <w:highlight w:val="none"/>
        </w:rPr>
      </w:pPr>
    </w:p>
    <w:p w14:paraId="7A2876BE">
      <w:pPr>
        <w:keepNext w:val="0"/>
        <w:keepLines w:val="0"/>
        <w:pageBreakBefore w:val="0"/>
        <w:widowControl w:val="0"/>
        <w:kinsoku/>
        <w:wordWrap/>
        <w:overflowPunct/>
        <w:topLinePunct w:val="0"/>
        <w:autoSpaceDE/>
        <w:autoSpaceDN/>
        <w:bidi w:val="0"/>
        <w:adjustRightInd/>
        <w:snapToGrid w:val="0"/>
        <w:spacing w:before="161" w:beforeLines="50" w:line="360" w:lineRule="auto"/>
        <w:jc w:val="center"/>
        <w:textAlignment w:val="auto"/>
        <w:rPr>
          <w:rFonts w:hint="eastAsia"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采购人对项目的特殊要求及说明</w:t>
      </w:r>
    </w:p>
    <w:tbl>
      <w:tblPr>
        <w:tblStyle w:val="33"/>
        <w:tblW w:w="936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26"/>
        <w:gridCol w:w="7343"/>
      </w:tblGrid>
      <w:tr w14:paraId="1A1B5D1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66" w:hRule="atLeast"/>
          <w:jc w:val="center"/>
        </w:trPr>
        <w:tc>
          <w:tcPr>
            <w:tcW w:w="2026" w:type="dxa"/>
            <w:tcBorders>
              <w:top w:val="single" w:color="auto" w:sz="4" w:space="0"/>
              <w:left w:val="single" w:color="auto" w:sz="4" w:space="0"/>
              <w:bottom w:val="single" w:color="auto" w:sz="4" w:space="0"/>
              <w:right w:val="single" w:color="auto" w:sz="4" w:space="0"/>
            </w:tcBorders>
            <w:vAlign w:val="center"/>
          </w:tcPr>
          <w:p w14:paraId="72B2D10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采购人的特殊要求及说明理由</w:t>
            </w:r>
          </w:p>
        </w:tc>
        <w:tc>
          <w:tcPr>
            <w:tcW w:w="7343" w:type="dxa"/>
            <w:tcBorders>
              <w:top w:val="single" w:color="auto" w:sz="4" w:space="0"/>
              <w:left w:val="single" w:color="auto" w:sz="4" w:space="0"/>
              <w:bottom w:val="single" w:color="auto" w:sz="4" w:space="0"/>
              <w:right w:val="single" w:color="auto" w:sz="4" w:space="0"/>
            </w:tcBorders>
            <w:vAlign w:val="center"/>
          </w:tcPr>
          <w:p w14:paraId="4A089C88">
            <w:pPr>
              <w:widowControl/>
              <w:numPr>
                <w:ilvl w:val="0"/>
                <w:numId w:val="1"/>
              </w:numPr>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不接受联合体投标，不允许转包和分包。</w:t>
            </w:r>
          </w:p>
          <w:p w14:paraId="7013A382">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2、授权磋商小组确定一名成交供应商并推荐</w:t>
            </w:r>
            <w:r>
              <w:rPr>
                <w:rFonts w:hint="eastAsia" w:ascii="宋体" w:hAnsi="宋体" w:cs="宋体"/>
                <w:color w:val="auto"/>
                <w:highlight w:val="none"/>
                <w:lang w:val="en-US" w:eastAsia="zh-CN"/>
              </w:rPr>
              <w:t>一</w:t>
            </w:r>
            <w:r>
              <w:rPr>
                <w:rFonts w:hint="eastAsia" w:ascii="宋体" w:hAnsi="宋体" w:eastAsia="宋体" w:cs="宋体"/>
                <w:color w:val="auto"/>
                <w:highlight w:val="none"/>
                <w:lang w:val="en-US" w:eastAsia="zh-CN"/>
              </w:rPr>
              <w:t>名成交候选供应商。</w:t>
            </w:r>
          </w:p>
          <w:p w14:paraId="4A99530D">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3、供应商应根据</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的要求提供技术响应部分、商务响应部分等内容以对</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lang w:val="en-US" w:eastAsia="zh-CN"/>
              </w:rPr>
              <w:t>作出响应。</w:t>
            </w:r>
          </w:p>
          <w:p w14:paraId="7B474AB2">
            <w:pPr>
              <w:widowControl/>
              <w:snapToGrid w:val="0"/>
              <w:spacing w:line="360" w:lineRule="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4、</w:t>
            </w:r>
            <w:r>
              <w:rPr>
                <w:rFonts w:hint="eastAsia" w:cs="Times New Roman"/>
                <w:color w:val="auto"/>
                <w:lang w:val="en-US" w:eastAsia="zh-CN"/>
              </w:rPr>
              <w:t>采购人使用成交供应商成交的技术、资料、服务或其他任何一部分时，享有无偿使用权。免受第三方提出的侵犯其专利权、著作权、商标权或其它知识产权的起诉。如果第三方提出侵权指控，成交供应商应承担由此而引起的一切法律责任和费用。</w:t>
            </w:r>
          </w:p>
        </w:tc>
      </w:tr>
    </w:tbl>
    <w:p w14:paraId="474A8D36">
      <w:pPr>
        <w:rPr>
          <w:rFonts w:hint="eastAsia" w:ascii="宋体" w:hAnsi="宋体" w:eastAsia="宋体" w:cs="宋体"/>
          <w:color w:val="auto"/>
          <w:highlight w:val="none"/>
        </w:rPr>
      </w:pPr>
    </w:p>
    <w:p w14:paraId="3918AEA4">
      <w:pP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br w:type="page"/>
      </w:r>
    </w:p>
    <w:p w14:paraId="3B08461A">
      <w:pPr>
        <w:jc w:val="center"/>
        <w:outlineLvl w:val="0"/>
        <w:rPr>
          <w:rFonts w:hint="eastAsia" w:ascii="宋体" w:hAnsi="宋体" w:eastAsia="宋体" w:cs="宋体"/>
          <w:b/>
          <w:bCs/>
          <w:color w:val="auto"/>
          <w:sz w:val="32"/>
          <w:szCs w:val="32"/>
          <w:highlight w:val="none"/>
        </w:rPr>
      </w:pPr>
      <w:bookmarkStart w:id="35" w:name="_Toc8501"/>
      <w:r>
        <w:rPr>
          <w:rFonts w:hint="eastAsia" w:ascii="宋体" w:hAnsi="宋体" w:eastAsia="宋体" w:cs="宋体"/>
          <w:b/>
          <w:bCs/>
          <w:color w:val="auto"/>
          <w:sz w:val="32"/>
          <w:szCs w:val="32"/>
          <w:highlight w:val="none"/>
        </w:rPr>
        <w:t xml:space="preserve">第三章  </w:t>
      </w:r>
      <w:r>
        <w:rPr>
          <w:rFonts w:hint="eastAsia" w:ascii="宋体" w:hAnsi="宋体" w:eastAsia="宋体" w:cs="宋体"/>
          <w:b/>
          <w:bCs/>
          <w:color w:val="auto"/>
          <w:sz w:val="32"/>
          <w:szCs w:val="32"/>
          <w:highlight w:val="none"/>
          <w:lang w:eastAsia="zh-CN"/>
        </w:rPr>
        <w:t>供应商</w:t>
      </w:r>
      <w:r>
        <w:rPr>
          <w:rFonts w:hint="eastAsia" w:ascii="宋体" w:hAnsi="宋体" w:eastAsia="宋体" w:cs="宋体"/>
          <w:b/>
          <w:bCs/>
          <w:color w:val="auto"/>
          <w:sz w:val="32"/>
          <w:szCs w:val="32"/>
          <w:highlight w:val="none"/>
        </w:rPr>
        <w:t>须知</w:t>
      </w:r>
      <w:bookmarkEnd w:id="35"/>
    </w:p>
    <w:p w14:paraId="631C1339">
      <w:pPr>
        <w:snapToGrid w:val="0"/>
        <w:spacing w:beforeLines="50" w:line="360" w:lineRule="auto"/>
        <w:jc w:val="center"/>
        <w:outlineLvl w:val="1"/>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须知前附表</w:t>
      </w:r>
    </w:p>
    <w:tbl>
      <w:tblPr>
        <w:tblStyle w:val="33"/>
        <w:tblW w:w="9840" w:type="dxa"/>
        <w:jc w:val="center"/>
        <w:tblLayout w:type="fixed"/>
        <w:tblCellMar>
          <w:top w:w="0" w:type="dxa"/>
          <w:left w:w="0" w:type="dxa"/>
          <w:bottom w:w="0" w:type="dxa"/>
          <w:right w:w="0" w:type="dxa"/>
        </w:tblCellMar>
      </w:tblPr>
      <w:tblGrid>
        <w:gridCol w:w="926"/>
        <w:gridCol w:w="8914"/>
      </w:tblGrid>
      <w:tr w14:paraId="2A31B4B6">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ACC8BF2">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109A27D">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内容、要求</w:t>
            </w:r>
          </w:p>
        </w:tc>
      </w:tr>
      <w:tr w14:paraId="001B2C64">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0D39EA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C778479">
            <w:pPr>
              <w:widowControl/>
              <w:snapToGrid w:val="0"/>
              <w:spacing w:line="440" w:lineRule="exact"/>
              <w:jc w:val="left"/>
              <w:outlineLvl w:val="0"/>
              <w:rPr>
                <w:rFonts w:hint="eastAsia" w:ascii="宋体" w:hAnsi="宋体" w:eastAsia="宋体" w:cs="宋体"/>
                <w:color w:val="auto"/>
                <w:highlight w:val="none"/>
                <w:lang w:val="en-US"/>
              </w:rPr>
            </w:pPr>
            <w:bookmarkStart w:id="36" w:name="_Toc30169"/>
            <w:bookmarkStart w:id="37" w:name="_Toc9566"/>
            <w:bookmarkStart w:id="38" w:name="_Toc27817"/>
            <w:r>
              <w:rPr>
                <w:rFonts w:hint="eastAsia" w:ascii="宋体" w:hAnsi="宋体" w:eastAsia="宋体" w:cs="宋体"/>
                <w:color w:val="auto"/>
                <w:highlight w:val="none"/>
              </w:rPr>
              <w:t>1.1项目名称：</w:t>
            </w:r>
            <w:bookmarkEnd w:id="36"/>
            <w:bookmarkEnd w:id="37"/>
            <w:bookmarkEnd w:id="38"/>
            <w:r>
              <w:rPr>
                <w:rFonts w:hint="eastAsia" w:ascii="宋体" w:hAnsi="宋体" w:eastAsia="宋体" w:cs="宋体"/>
                <w:color w:val="auto"/>
                <w:highlight w:val="none"/>
              </w:rPr>
              <w:t>驻马店市中心医院妇儿院区化粪池、隔油池、污水井及雨水井清掏服务项目</w:t>
            </w:r>
          </w:p>
          <w:p w14:paraId="302DB93B">
            <w:pPr>
              <w:widowControl/>
              <w:snapToGrid w:val="0"/>
              <w:spacing w:line="440" w:lineRule="exact"/>
              <w:jc w:val="left"/>
              <w:outlineLvl w:val="0"/>
              <w:rPr>
                <w:rFonts w:hint="eastAsia" w:ascii="宋体" w:hAnsi="宋体" w:eastAsia="宋体" w:cs="宋体"/>
                <w:color w:val="auto"/>
                <w:highlight w:val="none"/>
              </w:rPr>
            </w:pPr>
            <w:bookmarkStart w:id="39" w:name="_Toc28320"/>
            <w:bookmarkStart w:id="40" w:name="_Toc23424"/>
            <w:bookmarkStart w:id="41" w:name="_Toc29400"/>
            <w:r>
              <w:rPr>
                <w:rFonts w:hint="eastAsia" w:ascii="宋体" w:hAnsi="宋体" w:eastAsia="宋体" w:cs="宋体"/>
                <w:color w:val="auto"/>
                <w:highlight w:val="none"/>
              </w:rPr>
              <w:t>1.2采购人名称：</w:t>
            </w:r>
            <w:bookmarkEnd w:id="39"/>
            <w:bookmarkEnd w:id="40"/>
            <w:bookmarkEnd w:id="41"/>
            <w:r>
              <w:rPr>
                <w:rFonts w:hint="eastAsia" w:ascii="宋体" w:hAnsi="宋体" w:eastAsia="宋体" w:cs="宋体"/>
                <w:color w:val="auto"/>
                <w:highlight w:val="none"/>
              </w:rPr>
              <w:t>驻马店市中心医院</w:t>
            </w:r>
          </w:p>
          <w:p w14:paraId="1BF12EB1">
            <w:pPr>
              <w:widowControl/>
              <w:snapToGrid w:val="0"/>
              <w:spacing w:line="440" w:lineRule="exact"/>
              <w:jc w:val="left"/>
              <w:outlineLvl w:val="0"/>
              <w:rPr>
                <w:rFonts w:hint="eastAsia" w:ascii="宋体" w:hAnsi="宋体" w:eastAsia="宋体" w:cs="宋体"/>
                <w:color w:val="auto"/>
                <w:kern w:val="2"/>
                <w:sz w:val="21"/>
                <w:szCs w:val="24"/>
                <w:highlight w:val="none"/>
                <w:lang w:val="en-US" w:eastAsia="zh-CN" w:bidi="ar-SA"/>
              </w:rPr>
            </w:pPr>
            <w:bookmarkStart w:id="42" w:name="_Toc26199"/>
            <w:bookmarkStart w:id="43" w:name="_Toc24541"/>
            <w:bookmarkStart w:id="44" w:name="_Toc3148"/>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采购范围：详</w:t>
            </w:r>
            <w:r>
              <w:rPr>
                <w:rFonts w:hint="eastAsia" w:ascii="宋体" w:hAnsi="宋体" w:eastAsia="宋体" w:cs="宋体"/>
                <w:color w:val="auto"/>
                <w:highlight w:val="none"/>
                <w:lang w:val="en-US" w:eastAsia="zh-CN"/>
              </w:rPr>
              <w:t>见第二章采购</w:t>
            </w:r>
            <w:r>
              <w:rPr>
                <w:rFonts w:hint="eastAsia" w:ascii="宋体" w:hAnsi="宋体" w:eastAsia="宋体" w:cs="宋体"/>
                <w:color w:val="auto"/>
                <w:highlight w:val="none"/>
              </w:rPr>
              <w:t>需求</w:t>
            </w:r>
            <w:bookmarkEnd w:id="42"/>
            <w:bookmarkEnd w:id="43"/>
            <w:bookmarkEnd w:id="44"/>
          </w:p>
        </w:tc>
      </w:tr>
      <w:tr w14:paraId="6816F4FC">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E23F79E">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4379BA2">
            <w:pPr>
              <w:widowControl/>
              <w:spacing w:line="4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合格</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：具备</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公告第二项规定的条件。</w:t>
            </w:r>
          </w:p>
        </w:tc>
      </w:tr>
      <w:tr w14:paraId="453EEC47">
        <w:tblPrEx>
          <w:tblCellMar>
            <w:top w:w="0" w:type="dxa"/>
            <w:left w:w="0" w:type="dxa"/>
            <w:bottom w:w="0" w:type="dxa"/>
            <w:right w:w="0" w:type="dxa"/>
          </w:tblCellMar>
        </w:tblPrEx>
        <w:trPr>
          <w:trHeight w:val="4324"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392E931">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9931C4A">
            <w:pPr>
              <w:widowControl/>
              <w:snapToGrid w:val="0"/>
              <w:spacing w:line="440" w:lineRule="exact"/>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采购预算：38.61万元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最高投标限价</w:t>
            </w:r>
            <w:r>
              <w:rPr>
                <w:rFonts w:hint="eastAsia" w:ascii="宋体" w:hAnsi="宋体" w:eastAsia="宋体" w:cs="宋体"/>
                <w:color w:val="auto"/>
                <w:kern w:val="0"/>
                <w:szCs w:val="21"/>
                <w:highlight w:val="none"/>
                <w:lang w:val="en-US" w:eastAsia="zh-CN"/>
              </w:rPr>
              <w:t>:38.61</w:t>
            </w:r>
            <w:r>
              <w:rPr>
                <w:rFonts w:hint="eastAsia" w:ascii="宋体" w:hAnsi="宋体" w:cs="宋体"/>
                <w:color w:val="auto"/>
                <w:highlight w:val="none"/>
                <w:lang w:val="en-US" w:eastAsia="zh-CN"/>
              </w:rPr>
              <w:t>万元。</w:t>
            </w:r>
          </w:p>
          <w:p w14:paraId="1C88D279">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3.1 本项目</w:t>
            </w:r>
            <w:r>
              <w:rPr>
                <w:rFonts w:hint="eastAsia" w:ascii="宋体" w:hAnsi="宋体" w:eastAsia="宋体" w:cs="宋体"/>
                <w:color w:val="auto"/>
                <w:kern w:val="0"/>
                <w:szCs w:val="21"/>
                <w:highlight w:val="none"/>
                <w:lang w:val="en-US" w:eastAsia="zh-CN"/>
              </w:rPr>
              <w:t>磋商</w:t>
            </w:r>
            <w:r>
              <w:rPr>
                <w:rFonts w:hint="eastAsia" w:ascii="宋体" w:hAnsi="宋体" w:cs="宋体"/>
                <w:color w:val="auto"/>
                <w:kern w:val="0"/>
                <w:szCs w:val="21"/>
                <w:highlight w:val="none"/>
              </w:rPr>
              <w:t>以人民币报价</w:t>
            </w:r>
            <w:r>
              <w:rPr>
                <w:rFonts w:hint="eastAsia" w:ascii="宋体" w:hAnsi="宋体" w:eastAsia="宋体" w:cs="宋体"/>
                <w:color w:val="auto"/>
                <w:kern w:val="0"/>
                <w:szCs w:val="21"/>
                <w:highlight w:val="none"/>
              </w:rPr>
              <w:t>。</w:t>
            </w:r>
          </w:p>
          <w:p w14:paraId="5A8250D5">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3.2 供应商的报价超过采购预算，采购人不能支付的，按废标处理。</w:t>
            </w:r>
          </w:p>
          <w:p w14:paraId="4EF3DB89">
            <w:pPr>
              <w:widowControl/>
              <w:snapToGrid w:val="0"/>
              <w:spacing w:line="440" w:lineRule="exact"/>
              <w:jc w:val="left"/>
              <w:rPr>
                <w:rFonts w:hint="eastAsia" w:ascii="宋体" w:hAnsi="宋体" w:cs="宋体"/>
                <w:color w:val="auto"/>
                <w:kern w:val="0"/>
                <w:szCs w:val="21"/>
                <w:highlight w:val="none"/>
                <w:lang w:val="en-US" w:eastAsia="zh-CN"/>
              </w:rPr>
            </w:pPr>
            <w:r>
              <w:rPr>
                <w:rFonts w:hint="eastAsia" w:ascii="宋体" w:hAnsi="宋体" w:eastAsia="宋体" w:cs="宋体"/>
                <w:color w:val="auto"/>
                <w:kern w:val="0"/>
                <w:szCs w:val="21"/>
                <w:highlight w:val="none"/>
              </w:rPr>
              <w:t>3.3 本项目</w:t>
            </w:r>
            <w:r>
              <w:rPr>
                <w:rFonts w:hint="eastAsia" w:ascii="宋体" w:hAnsi="宋体" w:eastAsia="宋体" w:cs="宋体"/>
                <w:color w:val="auto"/>
                <w:kern w:val="0"/>
                <w:szCs w:val="21"/>
                <w:highlight w:val="none"/>
                <w:lang w:val="en-US" w:eastAsia="zh-CN"/>
              </w:rPr>
              <w:t>由成交供应商缴纳</w:t>
            </w:r>
            <w:r>
              <w:rPr>
                <w:rFonts w:hint="eastAsia" w:ascii="宋体" w:hAnsi="宋体" w:eastAsia="宋体" w:cs="宋体"/>
                <w:color w:val="auto"/>
                <w:kern w:val="0"/>
                <w:szCs w:val="21"/>
                <w:highlight w:val="none"/>
              </w:rPr>
              <w:t>招标代理服务费。</w:t>
            </w:r>
            <w:r>
              <w:rPr>
                <w:rFonts w:hint="eastAsia" w:ascii="宋体" w:hAnsi="宋体" w:cs="宋体"/>
                <w:color w:val="auto"/>
                <w:kern w:val="0"/>
                <w:szCs w:val="21"/>
                <w:highlight w:val="none"/>
                <w:lang w:val="en-US" w:eastAsia="zh-CN"/>
              </w:rPr>
              <w:t>代理服务费不得高于《招代理机构服务管理暂行办法》（计价格[2002]1980号）相应标准：</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9"/>
              <w:gridCol w:w="1605"/>
              <w:gridCol w:w="1560"/>
              <w:gridCol w:w="1380"/>
            </w:tblGrid>
            <w:tr w14:paraId="6D46E4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3559" w:type="dxa"/>
                  <mc:AlternateContent>
                    <mc:Choice Requires="wpsCustomData">
                      <wpsCustomData:diagonals>
                        <wpsCustomData:diagonal from="10000" to="30000">
                          <wpsCustomData:border w:val="single" w:color="auto" w:sz="4" w:space="0"/>
                        </wpsCustomData:diagonal>
                      </wpsCustomData:diagonals>
                    </mc:Choice>
                  </mc:AlternateContent>
                </w:tcPr>
                <w:p w14:paraId="6C8C5515">
                  <w:pPr>
                    <w:widowControl/>
                    <w:snapToGrid w:val="0"/>
                    <w:spacing w:line="240" w:lineRule="auto"/>
                    <w:jc w:val="both"/>
                    <mc:AlternateContent>
                      <mc:Choice Requires="wpsCustomData">
                        <wpsCustomData:diagonalParaType/>
                      </mc:Choice>
                    </mc:AlternateContent>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60288" behindDoc="0" locked="0" layoutInCell="1" allowOverlap="1">
                            <wp:simplePos x="0" y="0"/>
                            <wp:positionH relativeFrom="column">
                              <wp:posOffset>288925</wp:posOffset>
                            </wp:positionH>
                            <wp:positionV relativeFrom="paragraph">
                              <wp:posOffset>381635</wp:posOffset>
                            </wp:positionV>
                            <wp:extent cx="846455" cy="285750"/>
                            <wp:effectExtent l="0" t="0" r="10795" b="0"/>
                            <wp:wrapNone/>
                            <wp:docPr id="4" name="文本框 4"/>
                            <wp:cNvGraphicFramePr/>
                            <a:graphic xmlns:a="http://schemas.openxmlformats.org/drawingml/2006/main">
                              <a:graphicData uri="http://schemas.microsoft.com/office/word/2010/wordprocessingShape">
                                <wps:wsp>
                                  <wps:cNvSpPr txBox="1"/>
                                  <wps:spPr>
                                    <a:xfrm>
                                      <a:off x="1397000" y="5120640"/>
                                      <a:ext cx="846455" cy="285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75E9D58">
                                        <w:pPr>
                                          <w:rPr>
                                            <w:rFonts w:hint="default" w:eastAsia="宋体"/>
                                            <w:b/>
                                            <w:bCs/>
                                            <w:lang w:val="en-US" w:eastAsia="zh-CN"/>
                                          </w:rPr>
                                        </w:pPr>
                                        <w:r>
                                          <w:rPr>
                                            <w:rFonts w:hint="eastAsia"/>
                                            <w:b/>
                                            <w:bCs/>
                                            <w:lang w:val="en-US" w:eastAsia="zh-CN"/>
                                          </w:rPr>
                                          <w:t>中标金额</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2.75pt;margin-top:30.05pt;height:22.5pt;width:66.65pt;z-index:251660288;mso-width-relative:page;mso-height-relative:page;" fillcolor="#FFFFFF [3201]" filled="t" stroked="f" coordsize="21600,21600" o:gfxdata="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Yp5Wq1AAA&#10;AAkBAAAPAAAAAAAAAAEAIAAAACIAAABkcnMvZG93bnJldi54bWxQSwECFAAUAAAACACHTuJA3iYh&#10;e1sCAACaBAAADgAAAAAAAAABACAAAAAjAQAAZHJzL2Uyb0RvYy54bWxQSwUGAAAAAAYABgBZAQAA&#10;8AUAAAAA&#10;">
                            <v:fill on="t" focussize="0,0"/>
                            <v:stroke on="f" weight="0.5pt"/>
                            <v:imagedata o:title=""/>
                            <o:lock v:ext="edit" aspectratio="f"/>
                            <v:textbox>
                              <w:txbxContent>
                                <w:p w14:paraId="175E9D58">
                                  <w:pPr>
                                    <w:rPr>
                                      <w:rFonts w:hint="default" w:eastAsia="宋体"/>
                                      <w:b/>
                                      <w:bCs/>
                                      <w:lang w:val="en-US" w:eastAsia="zh-CN"/>
                                    </w:rPr>
                                  </w:pPr>
                                  <w:r>
                                    <w:rPr>
                                      <w:rFonts w:hint="eastAsia"/>
                                      <w:b/>
                                      <w:bCs/>
                                      <w:lang w:val="en-US" w:eastAsia="zh-CN"/>
                                    </w:rPr>
                                    <w:t>中标金额</w:t>
                                  </w:r>
                                </w:p>
                              </w:txbxContent>
                            </v:textbox>
                          </v:shape>
                        </w:pict>
                      </mc:Fallback>
                    </mc:AlternateContent>
                  </w:r>
                </w:p>
                <w:p w14:paraId="2190B3D7">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b/>
                      <w:bCs/>
                      <w:sz w:val="21"/>
                    </w:rPr>
                    <mc:AlternateContent>
                      <mc:Choice Requires="wps">
                        <w:drawing>
                          <wp:anchor distT="0" distB="0" distL="114300" distR="114300" simplePos="0" relativeHeight="251659264" behindDoc="0" locked="0" layoutInCell="1" allowOverlap="1">
                            <wp:simplePos x="0" y="0"/>
                            <wp:positionH relativeFrom="column">
                              <wp:posOffset>343535</wp:posOffset>
                            </wp:positionH>
                            <wp:positionV relativeFrom="paragraph">
                              <wp:posOffset>59690</wp:posOffset>
                            </wp:positionV>
                            <wp:extent cx="970280" cy="305435"/>
                            <wp:effectExtent l="0" t="0" r="1270" b="18415"/>
                            <wp:wrapNone/>
                            <wp:docPr id="5" name="文本框 5"/>
                            <wp:cNvGraphicFramePr/>
                            <a:graphic xmlns:a="http://schemas.openxmlformats.org/drawingml/2006/main">
                              <a:graphicData uri="http://schemas.microsoft.com/office/word/2010/wordprocessingShape">
                                <wps:wsp>
                                  <wps:cNvSpPr txBox="1"/>
                                  <wps:spPr>
                                    <a:xfrm>
                                      <a:off x="1673225" y="4735830"/>
                                      <a:ext cx="970280" cy="30543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002D7C47">
                                        <w:pPr>
                                          <w:rPr>
                                            <w:rFonts w:hint="default" w:eastAsia="宋体"/>
                                            <w:lang w:val="en-US" w:eastAsia="zh-CN"/>
                                          </w:rPr>
                                        </w:pPr>
                                        <w:r>
                                          <w:rPr>
                                            <w:rFonts w:hint="eastAsia"/>
                                            <w:b/>
                                            <w:bCs/>
                                            <w:lang w:val="en-US" w:eastAsia="zh-CN"/>
                                          </w:rPr>
                                          <w:t>服务费率类</w:t>
                                        </w:r>
                                        <w:r>
                                          <w:rPr>
                                            <w:rFonts w:hint="eastAsia"/>
                                            <w:lang w:val="en-US" w:eastAsia="zh-CN"/>
                                          </w:rPr>
                                          <w:t>型</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7.05pt;margin-top:4.7pt;height:24.05pt;width:76.4pt;z-index:251659264;mso-width-relative:page;mso-height-relative:page;" fillcolor="#FFFFFF [3201]" filled="t" stroked="f" coordsize="21600,21600" o:gfxdata="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DWp7V3SAAAA&#10;BwEAAA8AAAAAAAAAAQAgAAAAIgAAAGRycy9kb3ducmV2LnhtbFBLAQIUABQAAAAIAIdO4kDcTRLk&#10;XAIAAJoEAAAOAAAAAAAAAAEAIAAAACEBAABkcnMvZTJvRG9jLnhtbFBLBQYAAAAABgAGAFkBAADv&#10;BQAAAAA=&#10;">
                            <v:fill on="t" focussize="0,0"/>
                            <v:stroke on="f" weight="0.5pt"/>
                            <v:imagedata o:title=""/>
                            <o:lock v:ext="edit" aspectratio="f"/>
                            <v:textbox>
                              <w:txbxContent>
                                <w:p w14:paraId="002D7C47">
                                  <w:pPr>
                                    <w:rPr>
                                      <w:rFonts w:hint="default" w:eastAsia="宋体"/>
                                      <w:lang w:val="en-US" w:eastAsia="zh-CN"/>
                                    </w:rPr>
                                  </w:pPr>
                                  <w:r>
                                    <w:rPr>
                                      <w:rFonts w:hint="eastAsia"/>
                                      <w:b/>
                                      <w:bCs/>
                                      <w:lang w:val="en-US" w:eastAsia="zh-CN"/>
                                    </w:rPr>
                                    <w:t>服务费率类</w:t>
                                  </w:r>
                                  <w:r>
                                    <w:rPr>
                                      <w:rFonts w:hint="eastAsia"/>
                                      <w:lang w:val="en-US" w:eastAsia="zh-CN"/>
                                    </w:rPr>
                                    <w:t>型</w:t>
                                  </w:r>
                                </w:p>
                              </w:txbxContent>
                            </v:textbox>
                          </v:shape>
                        </w:pict>
                      </mc:Fallback>
                    </mc:AlternateContent>
                  </w:r>
                </w:p>
              </w:tc>
              <w:tc>
                <w:tcPr>
                  <w:tcW w:w="1605" w:type="dxa"/>
                  <w:vAlign w:val="center"/>
                </w:tcPr>
                <w:p w14:paraId="585BF770">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货物招标</w:t>
                  </w:r>
                </w:p>
              </w:tc>
              <w:tc>
                <w:tcPr>
                  <w:tcW w:w="1560" w:type="dxa"/>
                  <w:vAlign w:val="center"/>
                </w:tcPr>
                <w:p w14:paraId="6DAB8AE8">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服务招标</w:t>
                  </w:r>
                </w:p>
              </w:tc>
              <w:tc>
                <w:tcPr>
                  <w:tcW w:w="1380" w:type="dxa"/>
                  <w:vAlign w:val="center"/>
                </w:tcPr>
                <w:p w14:paraId="6710F2C5">
                  <w:pPr>
                    <w:widowControl/>
                    <w:snapToGrid w:val="0"/>
                    <w:spacing w:line="440" w:lineRule="exact"/>
                    <w:jc w:val="center"/>
                    <w:rPr>
                      <w:rFonts w:hint="default" w:ascii="宋体" w:hAnsi="宋体" w:cs="宋体"/>
                      <w:b/>
                      <w:bCs/>
                      <w:color w:val="auto"/>
                      <w:kern w:val="0"/>
                      <w:szCs w:val="21"/>
                      <w:highlight w:val="none"/>
                      <w:vertAlign w:val="baseline"/>
                      <w:lang w:val="en-US" w:eastAsia="zh-CN"/>
                    </w:rPr>
                  </w:pPr>
                  <w:r>
                    <w:rPr>
                      <w:rFonts w:hint="eastAsia" w:ascii="宋体" w:hAnsi="宋体" w:cs="宋体"/>
                      <w:b/>
                      <w:bCs/>
                      <w:color w:val="auto"/>
                      <w:kern w:val="0"/>
                      <w:szCs w:val="21"/>
                      <w:highlight w:val="none"/>
                      <w:vertAlign w:val="baseline"/>
                      <w:lang w:val="en-US" w:eastAsia="zh-CN"/>
                    </w:rPr>
                    <w:t>工程招标</w:t>
                  </w:r>
                </w:p>
              </w:tc>
            </w:tr>
            <w:tr w14:paraId="7DF7D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3559" w:type="dxa"/>
                  <w:vAlign w:val="center"/>
                </w:tcPr>
                <w:p w14:paraId="4967B500">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100万元以下</w:t>
                  </w:r>
                </w:p>
              </w:tc>
              <w:tc>
                <w:tcPr>
                  <w:tcW w:w="1605" w:type="dxa"/>
                  <w:vAlign w:val="center"/>
                </w:tcPr>
                <w:p w14:paraId="748A4647">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560" w:type="dxa"/>
                  <w:vAlign w:val="center"/>
                </w:tcPr>
                <w:p w14:paraId="4543C2B9">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1.5%</w:t>
                  </w:r>
                </w:p>
              </w:tc>
              <w:tc>
                <w:tcPr>
                  <w:tcW w:w="1380" w:type="dxa"/>
                  <w:vAlign w:val="center"/>
                </w:tcPr>
                <w:p w14:paraId="096D5092">
                  <w:pPr>
                    <w:widowControl/>
                    <w:snapToGrid w:val="0"/>
                    <w:spacing w:line="440" w:lineRule="exact"/>
                    <w:jc w:val="center"/>
                    <w:rPr>
                      <w:rFonts w:hint="default" w:ascii="宋体" w:hAnsi="宋体" w:cs="宋体"/>
                      <w:color w:val="auto"/>
                      <w:kern w:val="0"/>
                      <w:szCs w:val="21"/>
                      <w:highlight w:val="none"/>
                      <w:vertAlign w:val="baseline"/>
                      <w:lang w:val="en-US" w:eastAsia="zh-CN"/>
                    </w:rPr>
                  </w:pPr>
                  <w:r>
                    <w:rPr>
                      <w:rFonts w:hint="eastAsia" w:ascii="宋体" w:hAnsi="宋体" w:cs="宋体"/>
                      <w:color w:val="auto"/>
                      <w:kern w:val="0"/>
                      <w:szCs w:val="21"/>
                      <w:highlight w:val="none"/>
                      <w:vertAlign w:val="baseline"/>
                      <w:lang w:val="en-US" w:eastAsia="zh-CN"/>
                    </w:rPr>
                    <w:t>1.0%</w:t>
                  </w:r>
                </w:p>
              </w:tc>
            </w:tr>
          </w:tbl>
          <w:p w14:paraId="15520958">
            <w:pPr>
              <w:widowControl/>
              <w:snapToGrid w:val="0"/>
              <w:spacing w:line="440" w:lineRule="exact"/>
              <w:jc w:val="left"/>
              <w:rPr>
                <w:rFonts w:hint="eastAsia" w:ascii="宋体" w:hAnsi="宋体" w:eastAsia="宋体" w:cs="宋体"/>
                <w:color w:val="auto"/>
                <w:kern w:val="0"/>
                <w:szCs w:val="21"/>
                <w:highlight w:val="none"/>
              </w:rPr>
            </w:pPr>
          </w:p>
        </w:tc>
      </w:tr>
      <w:tr w14:paraId="4FC7EA7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4E01816">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F28539C">
            <w:pPr>
              <w:widowControl/>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现场踏勘或标前答疑：本项目不组织现场踏勘或标前答疑会。</w:t>
            </w:r>
          </w:p>
        </w:tc>
      </w:tr>
      <w:tr w14:paraId="7D6E15B7">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4C9760D7">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220D8DDB">
            <w:pPr>
              <w:widowControl/>
              <w:snapToGrid w:val="0"/>
              <w:spacing w:line="440" w:lineRule="exact"/>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文件组成：纸质</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文件正本1份</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副本2份</w:t>
            </w:r>
            <w:r>
              <w:rPr>
                <w:rFonts w:hint="eastAsia" w:ascii="宋体" w:hAnsi="宋体" w:eastAsia="宋体" w:cs="宋体"/>
                <w:color w:val="auto"/>
                <w:highlight w:val="none"/>
              </w:rPr>
              <w:t>。</w:t>
            </w:r>
          </w:p>
        </w:tc>
      </w:tr>
      <w:tr w14:paraId="75BE95EA">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0ED4E092">
            <w:pPr>
              <w:widowControl/>
              <w:snapToGrid w:val="0"/>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3928F1E">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w:t>
            </w:r>
            <w:r>
              <w:rPr>
                <w:rFonts w:hint="eastAsia" w:ascii="宋体" w:hAnsi="宋体" w:eastAsia="宋体" w:cs="宋体"/>
                <w:color w:val="auto"/>
                <w:kern w:val="0"/>
                <w:szCs w:val="21"/>
                <w:highlight w:val="none"/>
                <w:lang w:val="en-US" w:eastAsia="zh-CN"/>
              </w:rPr>
              <w:t>及开标时间</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cs="宋体"/>
                <w:color w:val="auto"/>
                <w:szCs w:val="21"/>
                <w:highlight w:val="none"/>
                <w:lang w:val="en-US" w:eastAsia="zh-CN"/>
              </w:rPr>
              <w:t>。</w:t>
            </w:r>
          </w:p>
          <w:p w14:paraId="6FF7A2C3">
            <w:pPr>
              <w:widowControl/>
              <w:snapToGrid w:val="0"/>
              <w:spacing w:line="44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文件递交地点</w:t>
            </w:r>
            <w:r>
              <w:rPr>
                <w:rFonts w:hint="eastAsia" w:ascii="宋体" w:hAnsi="宋体" w:eastAsia="宋体" w:cs="宋体"/>
                <w:color w:val="auto"/>
                <w:kern w:val="0"/>
                <w:szCs w:val="21"/>
                <w:highlight w:val="none"/>
                <w:lang w:val="en-US" w:eastAsia="zh-CN"/>
              </w:rPr>
              <w:t>及开标地点</w:t>
            </w:r>
            <w:r>
              <w:rPr>
                <w:rFonts w:hint="eastAsia" w:ascii="宋体" w:hAnsi="宋体" w:eastAsia="宋体" w:cs="宋体"/>
                <w:color w:val="auto"/>
                <w:kern w:val="0"/>
                <w:szCs w:val="21"/>
                <w:highlight w:val="none"/>
              </w:rPr>
              <w:t>：</w:t>
            </w:r>
            <w:r>
              <w:rPr>
                <w:rFonts w:hint="eastAsia" w:ascii="宋体" w:hAnsi="宋体" w:eastAsia="宋体" w:cs="宋体"/>
                <w:color w:val="auto"/>
                <w:szCs w:val="21"/>
                <w:highlight w:val="none"/>
                <w:lang w:val="en-US" w:eastAsia="zh-CN"/>
              </w:rPr>
              <w:t>另行通知</w:t>
            </w:r>
            <w:r>
              <w:rPr>
                <w:rFonts w:hint="eastAsia" w:ascii="宋体" w:hAnsi="宋体" w:eastAsia="宋体" w:cs="宋体"/>
                <w:color w:val="auto"/>
                <w:kern w:val="0"/>
                <w:szCs w:val="21"/>
                <w:highlight w:val="none"/>
              </w:rPr>
              <w:t>。</w:t>
            </w:r>
          </w:p>
        </w:tc>
      </w:tr>
      <w:tr w14:paraId="0030EDF9">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162BC5EA">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19EE3F5D">
            <w:pPr>
              <w:spacing w:line="44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w:t>
            </w:r>
            <w:r>
              <w:rPr>
                <w:rFonts w:hint="eastAsia" w:ascii="宋体" w:hAnsi="宋体" w:eastAsia="宋体" w:cs="宋体"/>
                <w:color w:val="auto"/>
                <w:kern w:val="0"/>
                <w:szCs w:val="21"/>
                <w:highlight w:val="none"/>
              </w:rPr>
              <w:t>员：</w:t>
            </w:r>
            <w:r>
              <w:rPr>
                <w:rFonts w:hint="eastAsia" w:ascii="宋体" w:hAnsi="宋体" w:eastAsia="宋体" w:cs="宋体"/>
                <w:color w:val="auto"/>
                <w:szCs w:val="21"/>
                <w:highlight w:val="none"/>
                <w:lang w:val="en-US" w:eastAsia="zh-CN"/>
              </w:rPr>
              <w:t>3</w:t>
            </w:r>
            <w:r>
              <w:rPr>
                <w:rFonts w:hint="eastAsia" w:ascii="宋体" w:hAnsi="宋体" w:eastAsia="宋体" w:cs="宋体"/>
                <w:color w:val="auto"/>
                <w:highlight w:val="none"/>
              </w:rPr>
              <w:t>人</w:t>
            </w:r>
            <w:r>
              <w:rPr>
                <w:rFonts w:hint="eastAsia" w:ascii="宋体" w:hAnsi="宋体" w:eastAsia="宋体" w:cs="宋体"/>
                <w:color w:val="auto"/>
                <w:highlight w:val="none"/>
                <w:lang w:val="en-US" w:eastAsia="zh-CN"/>
              </w:rPr>
              <w:t>及以上单数</w:t>
            </w:r>
            <w:r>
              <w:rPr>
                <w:rFonts w:hint="eastAsia" w:ascii="宋体" w:hAnsi="宋体" w:eastAsia="宋体" w:cs="宋体"/>
                <w:color w:val="auto"/>
                <w:kern w:val="0"/>
                <w:szCs w:val="21"/>
                <w:highlight w:val="none"/>
              </w:rPr>
              <w:t>。</w:t>
            </w:r>
          </w:p>
          <w:p w14:paraId="07285B01">
            <w:pPr>
              <w:widowControl/>
              <w:spacing w:line="460" w:lineRule="atLeas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szCs w:val="21"/>
                <w:highlight w:val="none"/>
              </w:rPr>
              <w:t>专家确定</w:t>
            </w:r>
            <w:r>
              <w:rPr>
                <w:rFonts w:hint="eastAsia" w:ascii="宋体" w:hAnsi="宋体" w:eastAsia="宋体" w:cs="宋体"/>
                <w:color w:val="auto"/>
                <w:kern w:val="0"/>
                <w:szCs w:val="21"/>
                <w:highlight w:val="none"/>
              </w:rPr>
              <w:t>方式：由评审专家、采购人代表</w:t>
            </w:r>
            <w:r>
              <w:rPr>
                <w:rFonts w:hint="eastAsia" w:ascii="宋体" w:hAnsi="宋体" w:eastAsia="宋体" w:cs="宋体"/>
                <w:color w:val="auto"/>
                <w:kern w:val="0"/>
                <w:szCs w:val="21"/>
                <w:highlight w:val="none"/>
                <w:lang w:val="en-US" w:eastAsia="zh-CN"/>
              </w:rPr>
              <w:t>组成</w:t>
            </w:r>
            <w:r>
              <w:rPr>
                <w:rFonts w:hint="eastAsia" w:ascii="宋体" w:hAnsi="宋体" w:cs="宋体"/>
                <w:color w:val="auto"/>
                <w:kern w:val="0"/>
                <w:szCs w:val="21"/>
                <w:highlight w:val="none"/>
                <w:lang w:val="en-US" w:eastAsia="zh-CN"/>
              </w:rPr>
              <w:t>。</w:t>
            </w:r>
          </w:p>
        </w:tc>
      </w:tr>
      <w:tr w14:paraId="6CA0B168">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B9FA30D">
            <w:pPr>
              <w:widowControl/>
              <w:spacing w:line="24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5F15C1F6">
            <w:pPr>
              <w:spacing w:line="240" w:lineRule="auto"/>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评标办法：</w:t>
            </w:r>
            <w:r>
              <w:rPr>
                <w:rFonts w:hint="eastAsia" w:ascii="宋体" w:hAnsi="宋体" w:eastAsia="宋体" w:cs="宋体"/>
                <w:color w:val="auto"/>
                <w:kern w:val="0"/>
                <w:szCs w:val="21"/>
                <w:highlight w:val="none"/>
              </w:rPr>
              <w:t>本项目采用</w:t>
            </w:r>
            <w:r>
              <w:rPr>
                <w:rFonts w:hint="eastAsia" w:ascii="宋体" w:hAnsi="宋体" w:eastAsia="宋体" w:cs="宋体"/>
                <w:color w:val="auto"/>
                <w:szCs w:val="21"/>
                <w:highlight w:val="none"/>
              </w:rPr>
              <w:t>综合评分法</w:t>
            </w:r>
            <w:r>
              <w:rPr>
                <w:rFonts w:hint="eastAsia" w:ascii="宋体" w:hAnsi="宋体" w:eastAsia="宋体" w:cs="宋体"/>
                <w:color w:val="auto"/>
                <w:kern w:val="0"/>
                <w:szCs w:val="21"/>
                <w:highlight w:val="none"/>
              </w:rPr>
              <w:t>。</w:t>
            </w:r>
          </w:p>
        </w:tc>
      </w:tr>
      <w:tr w14:paraId="5ABCCB33">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3C06CEF5">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72D37960">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公告及</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rPr>
              <w:t>通知书：由采购人授权磋商小组确定一名</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并推荐</w:t>
            </w:r>
            <w:r>
              <w:rPr>
                <w:rFonts w:hint="eastAsia" w:ascii="宋体" w:hAnsi="宋体" w:cs="宋体"/>
                <w:color w:val="auto"/>
                <w:kern w:val="0"/>
                <w:szCs w:val="21"/>
                <w:highlight w:val="none"/>
                <w:lang w:val="en-US" w:eastAsia="zh-CN"/>
              </w:rPr>
              <w:t>一</w:t>
            </w:r>
            <w:r>
              <w:rPr>
                <w:rFonts w:hint="eastAsia" w:ascii="宋体" w:hAnsi="宋体" w:eastAsia="宋体" w:cs="宋体"/>
                <w:color w:val="auto"/>
                <w:kern w:val="0"/>
                <w:szCs w:val="21"/>
                <w:highlight w:val="none"/>
              </w:rPr>
              <w:t>名</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。评审结束后在《驻马店市中心医院》官网上发布成交公告，公示期结束后向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发出成交通知书。</w:t>
            </w:r>
          </w:p>
        </w:tc>
      </w:tr>
      <w:tr w14:paraId="7AB3C3D1">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5389E24">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6C56A01">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签订合同：自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w:t>
            </w:r>
            <w:r>
              <w:rPr>
                <w:rFonts w:hint="eastAsia" w:ascii="宋体" w:hAnsi="宋体" w:eastAsia="宋体" w:cs="宋体"/>
                <w:color w:val="auto"/>
                <w:kern w:val="0"/>
                <w:szCs w:val="21"/>
                <w:highlight w:val="none"/>
                <w:lang w:val="en-US" w:eastAsia="zh-CN"/>
              </w:rPr>
              <w:t>30日</w:t>
            </w:r>
            <w:r>
              <w:rPr>
                <w:rFonts w:hint="eastAsia" w:ascii="宋体" w:hAnsi="宋体" w:eastAsia="宋体" w:cs="宋体"/>
                <w:color w:val="auto"/>
                <w:kern w:val="0"/>
                <w:szCs w:val="21"/>
                <w:highlight w:val="none"/>
              </w:rPr>
              <w:t>内。</w:t>
            </w:r>
          </w:p>
        </w:tc>
      </w:tr>
      <w:tr w14:paraId="11FA3940">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4E1AFC3">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16DCDE8">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采购资金来源：自筹资金。</w:t>
            </w:r>
          </w:p>
        </w:tc>
      </w:tr>
      <w:tr w14:paraId="39CB0436">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60BBCADF">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3FAD6B16">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付款方式：详见第二章</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w:t>
            </w:r>
          </w:p>
        </w:tc>
      </w:tr>
      <w:tr w14:paraId="53556E53">
        <w:tblPrEx>
          <w:tblCellMar>
            <w:top w:w="0" w:type="dxa"/>
            <w:left w:w="0" w:type="dxa"/>
            <w:bottom w:w="0" w:type="dxa"/>
            <w:right w:w="0" w:type="dxa"/>
          </w:tblCellMar>
        </w:tblPrEx>
        <w:trPr>
          <w:trHeight w:val="9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ADEBFFC">
            <w:pPr>
              <w:widowControl/>
              <w:snapToGrid w:val="0"/>
              <w:spacing w:line="360" w:lineRule="auto"/>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4EA0E922">
            <w:pPr>
              <w:widowControl/>
              <w:spacing w:line="440" w:lineRule="exact"/>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Cs w:val="21"/>
                <w:highlight w:val="none"/>
                <w:lang w:val="en-US" w:eastAsia="zh-CN"/>
              </w:rPr>
              <w:t>响应文件递交</w:t>
            </w:r>
            <w:r>
              <w:rPr>
                <w:rFonts w:hint="eastAsia" w:ascii="宋体" w:hAnsi="宋体" w:eastAsia="宋体" w:cs="宋体"/>
                <w:color w:val="auto"/>
                <w:kern w:val="0"/>
                <w:szCs w:val="21"/>
                <w:highlight w:val="none"/>
              </w:rPr>
              <w:t>截止期结束后</w:t>
            </w:r>
            <w:r>
              <w:rPr>
                <w:rFonts w:hint="eastAsia" w:ascii="宋体" w:hAnsi="宋体" w:cs="宋体"/>
                <w:color w:val="auto"/>
                <w:kern w:val="0"/>
                <w:szCs w:val="21"/>
                <w:highlight w:val="none"/>
                <w:lang w:val="en-US" w:eastAsia="zh-CN"/>
              </w:rPr>
              <w:t>60</w:t>
            </w:r>
            <w:r>
              <w:rPr>
                <w:rFonts w:hint="eastAsia" w:ascii="宋体" w:hAnsi="宋体" w:eastAsia="宋体" w:cs="宋体"/>
                <w:color w:val="auto"/>
                <w:kern w:val="0"/>
                <w:szCs w:val="21"/>
                <w:highlight w:val="none"/>
              </w:rPr>
              <w:t>日。</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文件是合同的组成部分,有效期至合同完全履行止。 </w:t>
            </w:r>
          </w:p>
        </w:tc>
      </w:tr>
      <w:tr w14:paraId="1F1F11C0">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770424C1">
            <w:pPr>
              <w:widowControl/>
              <w:spacing w:line="460" w:lineRule="atLeas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5824786">
            <w:pPr>
              <w:pStyle w:val="14"/>
              <w:keepNext w:val="0"/>
              <w:keepLines w:val="0"/>
              <w:pageBreakBefore w:val="0"/>
              <w:widowControl w:val="0"/>
              <w:kinsoku/>
              <w:wordWrap/>
              <w:overflowPunct/>
              <w:topLinePunct w:val="0"/>
              <w:autoSpaceDE/>
              <w:autoSpaceDN/>
              <w:bidi w:val="0"/>
              <w:adjustRightInd/>
              <w:snapToGrid w:val="0"/>
              <w:spacing w:before="0" w:beforeAutospacing="0" w:after="0" w:afterAutospacing="0" w:line="360" w:lineRule="auto"/>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2"/>
                <w:sz w:val="21"/>
                <w:szCs w:val="24"/>
                <w:highlight w:val="none"/>
                <w:lang w:val="en-US" w:eastAsia="zh-CN" w:bidi="ar-SA"/>
              </w:rPr>
              <w:t>磋商开始后,采购人或采购代理机构将通过信用中国网站（www.creditchina.gov.cn）、中国政府采购网网站（www.ccgp.gov.cn）查询供应商是否被列入失信被执行人、重大税收违法失信主体、政府采购严重违法失信行为记录名单，并将查询结果存档。查询之后，网站信息发生的任何变化不再作为评审依据；供应商自行提供的与网站信息不一致的其他证明材料不作为评审依据。</w:t>
            </w:r>
          </w:p>
        </w:tc>
      </w:tr>
      <w:tr w14:paraId="76CB1367">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24517AEB">
            <w:pPr>
              <w:widowControl/>
              <w:snapToGrid w:val="0"/>
              <w:spacing w:line="360" w:lineRule="auto"/>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6026EBC1">
            <w:pPr>
              <w:spacing w:line="360" w:lineRule="auto"/>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bCs/>
                <w:color w:val="auto"/>
                <w:kern w:val="0"/>
                <w:szCs w:val="21"/>
                <w:highlight w:val="none"/>
                <w:lang w:eastAsia="zh-CN"/>
              </w:rPr>
              <w:t>。</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tc>
      </w:tr>
      <w:tr w14:paraId="4AA7837E">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14:paraId="531257E8">
            <w:pPr>
              <w:widowControl/>
              <w:spacing w:line="460" w:lineRule="atLeast"/>
              <w:jc w:val="center"/>
              <w:rPr>
                <w:rFonts w:hint="default" w:ascii="宋体" w:hAnsi="宋体" w:eastAsia="宋体" w:cs="宋体"/>
                <w:color w:val="auto"/>
                <w:kern w:val="0"/>
                <w:szCs w:val="21"/>
                <w:highlight w:val="none"/>
                <w:lang w:val="en-US" w:eastAsia="zh-CN"/>
              </w:rPr>
            </w:pPr>
            <w:r>
              <w:rPr>
                <w:rFonts w:hint="eastAsia" w:ascii="宋体" w:hAnsi="宋体" w:cs="宋体"/>
                <w:color w:val="auto"/>
                <w:kern w:val="0"/>
                <w:szCs w:val="21"/>
                <w:highlight w:val="none"/>
                <w:lang w:val="en-US" w:eastAsia="zh-CN"/>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14:paraId="09A629D0">
            <w:pPr>
              <w:widowControl/>
              <w:spacing w:line="360" w:lineRule="auto"/>
              <w:jc w:val="left"/>
              <w:textAlignment w:val="bottom"/>
              <w:rPr>
                <w:rFonts w:hint="eastAsia" w:ascii="宋体" w:hAnsi="宋体" w:eastAsia="宋体" w:cs="宋体"/>
                <w:color w:val="auto"/>
                <w:highlight w:val="none"/>
              </w:rPr>
            </w:pPr>
            <w:r>
              <w:rPr>
                <w:rFonts w:hint="eastAsia" w:ascii="宋体" w:hAnsi="宋体" w:eastAsia="宋体" w:cs="宋体"/>
                <w:color w:val="auto"/>
                <w:highlight w:val="none"/>
              </w:rPr>
              <w:t>解释：1、构成本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的各个组成文件应互为解释，互为说明；如有不明确或不一致，构成合同文件组成内容的，以合同文件约定内容为准；除</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中有特殊规定外，仅适用于招标投标阶段的规定，按</w:t>
            </w:r>
            <w:r>
              <w:rPr>
                <w:rFonts w:hint="eastAsia" w:ascii="宋体" w:hAnsi="宋体" w:eastAsia="宋体" w:cs="宋体"/>
                <w:color w:val="auto"/>
                <w:highlight w:val="none"/>
                <w:lang w:val="en-US" w:eastAsia="zh-CN"/>
              </w:rPr>
              <w:t>采购</w:t>
            </w:r>
            <w:r>
              <w:rPr>
                <w:rFonts w:hint="eastAsia" w:ascii="宋体" w:hAnsi="宋体" w:eastAsia="宋体" w:cs="宋体"/>
                <w:color w:val="auto"/>
                <w:highlight w:val="none"/>
              </w:rPr>
              <w:t>公告、供应商须知、评标办法、</w:t>
            </w:r>
            <w:r>
              <w:rPr>
                <w:rFonts w:hint="eastAsia" w:ascii="宋体" w:hAnsi="宋体" w:eastAsia="宋体" w:cs="宋体"/>
                <w:color w:val="auto"/>
                <w:highlight w:val="none"/>
                <w:lang w:val="en-US" w:eastAsia="zh-CN"/>
              </w:rPr>
              <w:t>响应</w:t>
            </w:r>
            <w:r>
              <w:rPr>
                <w:rFonts w:hint="eastAsia" w:ascii="宋体" w:hAnsi="宋体" w:eastAsia="宋体" w:cs="宋体"/>
                <w:color w:val="auto"/>
                <w:highlight w:val="none"/>
              </w:rPr>
              <w:t>文件格式的先后顺序解释；同一组成文件中就同一事项的规定或约定不一致的，以编排顺序在后者为准；当</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与</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的澄清、修改或补充通知就同一内容的表述不一致时，以最后发出的书面文件为准。合同文件约定或后者明显错误的除外。</w:t>
            </w:r>
          </w:p>
          <w:p w14:paraId="7D38DC7E">
            <w:pPr>
              <w:widowControl/>
              <w:spacing w:line="360" w:lineRule="auto"/>
              <w:jc w:val="left"/>
              <w:textAlignment w:val="bottom"/>
              <w:rPr>
                <w:rFonts w:hint="eastAsia" w:ascii="宋体" w:hAnsi="宋体" w:eastAsia="宋体" w:cs="宋体"/>
                <w:color w:val="auto"/>
                <w:kern w:val="0"/>
                <w:szCs w:val="21"/>
                <w:highlight w:val="none"/>
              </w:rPr>
            </w:pPr>
            <w:r>
              <w:rPr>
                <w:rFonts w:hint="eastAsia" w:ascii="宋体" w:hAnsi="宋体" w:eastAsia="宋体" w:cs="宋体"/>
                <w:color w:val="auto"/>
                <w:highlight w:val="none"/>
              </w:rPr>
              <w:t>2、本</w:t>
            </w:r>
            <w:r>
              <w:rPr>
                <w:rFonts w:hint="eastAsia" w:ascii="宋体" w:hAnsi="宋体" w:cs="宋体"/>
                <w:color w:val="auto"/>
                <w:highlight w:val="none"/>
                <w:lang w:val="en-US" w:eastAsia="zh-CN"/>
              </w:rPr>
              <w:t>竞争性磋商文件</w:t>
            </w:r>
            <w:r>
              <w:rPr>
                <w:rFonts w:hint="eastAsia" w:ascii="宋体" w:hAnsi="宋体" w:eastAsia="宋体" w:cs="宋体"/>
                <w:color w:val="auto"/>
                <w:highlight w:val="none"/>
              </w:rPr>
              <w:t>解释权归采购人。</w:t>
            </w:r>
          </w:p>
        </w:tc>
      </w:tr>
    </w:tbl>
    <w:p w14:paraId="2676EDBD">
      <w:pPr>
        <w:rPr>
          <w:rFonts w:hint="eastAsia" w:ascii="宋体" w:hAnsi="宋体" w:eastAsia="宋体" w:cs="宋体"/>
          <w:color w:val="auto"/>
          <w:highlight w:val="none"/>
        </w:rPr>
      </w:pPr>
    </w:p>
    <w:p w14:paraId="6675FFB9">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color w:val="auto"/>
          <w:kern w:val="0"/>
          <w:sz w:val="24"/>
          <w:highlight w:val="none"/>
        </w:rPr>
      </w:pPr>
      <w:bookmarkStart w:id="45" w:name="_Toc4700"/>
      <w:bookmarkStart w:id="46" w:name="_Toc16669"/>
      <w:r>
        <w:rPr>
          <w:rFonts w:hint="eastAsia" w:ascii="宋体" w:hAnsi="宋体" w:eastAsia="宋体" w:cs="宋体"/>
          <w:b/>
          <w:bCs/>
          <w:color w:val="auto"/>
          <w:kern w:val="0"/>
          <w:sz w:val="28"/>
          <w:szCs w:val="28"/>
          <w:highlight w:val="none"/>
        </w:rPr>
        <w:t>一 、说 明</w:t>
      </w:r>
    </w:p>
    <w:p w14:paraId="66D1E29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1.适用范围</w:t>
      </w:r>
    </w:p>
    <w:p w14:paraId="3F8A689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仅适用于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公告中所叙述项目的服务采购。</w:t>
      </w:r>
    </w:p>
    <w:p w14:paraId="73AB26E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2.定义</w:t>
      </w:r>
    </w:p>
    <w:p w14:paraId="0802439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2.1“采购人”系指各级国家机关、事业单位、团体组织。</w:t>
      </w:r>
    </w:p>
    <w:p w14:paraId="4B38BFF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2.2“</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”系指</w:t>
      </w:r>
      <w:r>
        <w:rPr>
          <w:rFonts w:hint="eastAsia" w:ascii="宋体" w:hAnsi="宋体" w:eastAsia="宋体" w:cs="宋体"/>
          <w:color w:val="auto"/>
          <w:kern w:val="0"/>
          <w:szCs w:val="21"/>
          <w:highlight w:val="none"/>
          <w:lang w:val="en-US" w:eastAsia="zh-CN"/>
        </w:rPr>
        <w:t>领取</w:t>
      </w:r>
      <w:r>
        <w:rPr>
          <w:rFonts w:hint="eastAsia" w:ascii="宋体" w:hAnsi="宋体" w:eastAsia="宋体" w:cs="宋体"/>
          <w:color w:val="auto"/>
          <w:kern w:val="0"/>
          <w:szCs w:val="21"/>
          <w:highlight w:val="none"/>
        </w:rPr>
        <w:t>了本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，且已经提交本次</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p>
    <w:p w14:paraId="276EDD5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代表”系指代表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参加本次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的法定代表人或其委托代理人。</w:t>
      </w:r>
    </w:p>
    <w:p w14:paraId="0D1F435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2.4“服务”系指供应商按竞争性磋商文件规定向采购人提供的一切工作内容。</w:t>
      </w:r>
    </w:p>
    <w:p w14:paraId="46447D8C">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rPr>
        <w:t>3.采购预算：38.61</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；最高投标限价</w:t>
      </w:r>
      <w:r>
        <w:rPr>
          <w:rFonts w:hint="eastAsia" w:ascii="宋体" w:hAnsi="宋体" w:eastAsia="宋体" w:cs="宋体"/>
          <w:b/>
          <w:bCs/>
          <w:color w:val="auto"/>
          <w:kern w:val="0"/>
          <w:szCs w:val="21"/>
          <w:highlight w:val="none"/>
          <w:lang w:val="en-US" w:eastAsia="zh-CN"/>
        </w:rPr>
        <w:t>:38.61</w:t>
      </w:r>
      <w:r>
        <w:rPr>
          <w:rFonts w:hint="eastAsia" w:ascii="宋体" w:hAnsi="宋体" w:cs="宋体"/>
          <w:b/>
          <w:bCs/>
          <w:color w:val="auto"/>
          <w:kern w:val="0"/>
          <w:szCs w:val="21"/>
          <w:highlight w:val="none"/>
          <w:lang w:val="en-US" w:eastAsia="zh-CN"/>
        </w:rPr>
        <w:t>万元</w:t>
      </w:r>
      <w:r>
        <w:rPr>
          <w:rFonts w:hint="eastAsia" w:ascii="宋体" w:hAnsi="宋体" w:eastAsia="宋体" w:cs="宋体"/>
          <w:b/>
          <w:bCs/>
          <w:color w:val="auto"/>
          <w:kern w:val="0"/>
          <w:szCs w:val="21"/>
          <w:highlight w:val="none"/>
          <w:lang w:eastAsia="zh-CN"/>
        </w:rPr>
        <w:t>；</w:t>
      </w:r>
    </w:p>
    <w:p w14:paraId="472335DB">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szCs w:val="21"/>
          <w:highlight w:val="none"/>
        </w:rPr>
      </w:pPr>
      <w:r>
        <w:rPr>
          <w:rFonts w:hint="eastAsia" w:ascii="宋体" w:hAnsi="宋体" w:eastAsia="宋体" w:cs="宋体"/>
          <w:b/>
          <w:bCs/>
          <w:color w:val="auto"/>
          <w:kern w:val="0"/>
          <w:szCs w:val="21"/>
          <w:highlight w:val="none"/>
        </w:rPr>
        <w:t>4.</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应提交的证明文件</w:t>
      </w:r>
    </w:p>
    <w:p w14:paraId="5974A63C">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1、具有独立承担民事责任</w:t>
      </w:r>
      <w:r>
        <w:rPr>
          <w:rFonts w:hint="eastAsia" w:ascii="宋体" w:hAnsi="宋体" w:cs="宋体"/>
          <w:color w:val="auto"/>
          <w:szCs w:val="21"/>
          <w:highlight w:val="none"/>
          <w:shd w:val="clear" w:color="auto" w:fill="FFFFFF"/>
          <w:lang w:val="en-US" w:eastAsia="zh-CN"/>
        </w:rPr>
        <w:t>的</w:t>
      </w:r>
      <w:r>
        <w:rPr>
          <w:rFonts w:hint="eastAsia" w:ascii="宋体" w:hAnsi="宋体" w:eastAsia="宋体" w:cs="宋体"/>
          <w:color w:val="auto"/>
          <w:szCs w:val="21"/>
          <w:highlight w:val="none"/>
          <w:shd w:val="clear" w:color="auto" w:fill="FFFFFF"/>
          <w:lang w:val="en-US" w:eastAsia="zh-CN"/>
        </w:rPr>
        <w:t>能力</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提供营业执照或其他证明材料</w:t>
      </w:r>
      <w:r>
        <w:rPr>
          <w:rFonts w:hint="eastAsia" w:ascii="宋体" w:hAnsi="宋体" w:cs="宋体"/>
          <w:color w:val="auto"/>
          <w:szCs w:val="21"/>
          <w:highlight w:val="none"/>
          <w:shd w:val="clear" w:color="auto" w:fill="FFFFFF"/>
          <w:lang w:val="en-US" w:eastAsia="zh-CN"/>
        </w:rPr>
        <w:t>）；</w:t>
      </w:r>
    </w:p>
    <w:p w14:paraId="06735B5E">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w:t>
      </w:r>
      <w:r>
        <w:rPr>
          <w:rFonts w:hint="eastAsia" w:ascii="宋体" w:hAnsi="宋体" w:eastAsia="宋体" w:cs="宋体"/>
          <w:color w:val="auto"/>
          <w:szCs w:val="21"/>
          <w:highlight w:val="none"/>
          <w:shd w:val="clear" w:color="auto" w:fill="FFFFFF"/>
          <w:lang w:val="en-US" w:eastAsia="zh-CN"/>
        </w:rPr>
        <w:t>2、具有良好的商业信誉和健全的财务会计制度</w:t>
      </w:r>
      <w:r>
        <w:rPr>
          <w:rFonts w:hint="eastAsia" w:ascii="宋体" w:hAnsi="宋体" w:cs="宋体"/>
          <w:color w:val="auto"/>
          <w:szCs w:val="21"/>
          <w:highlight w:val="none"/>
          <w:shd w:val="clear" w:color="auto" w:fill="FFFFFF"/>
          <w:lang w:val="en-US" w:eastAsia="zh-CN"/>
        </w:rPr>
        <w:t>（提供经审计的</w:t>
      </w:r>
      <w:r>
        <w:rPr>
          <w:rFonts w:hint="eastAsia" w:ascii="宋体" w:hAnsi="宋体" w:eastAsia="宋体" w:cs="宋体"/>
          <w:color w:val="auto"/>
          <w:szCs w:val="21"/>
          <w:highlight w:val="none"/>
          <w:shd w:val="clear" w:color="auto" w:fill="FFFFFF"/>
          <w:lang w:val="en-US" w:eastAsia="zh-CN"/>
        </w:rPr>
        <w:t>2023年</w:t>
      </w:r>
      <w:r>
        <w:rPr>
          <w:rFonts w:hint="eastAsia" w:ascii="宋体" w:hAnsi="宋体" w:cs="宋体"/>
          <w:color w:val="auto"/>
          <w:szCs w:val="21"/>
          <w:highlight w:val="none"/>
          <w:shd w:val="clear" w:color="auto" w:fill="FFFFFF"/>
          <w:lang w:val="en-US" w:eastAsia="zh-CN"/>
        </w:rPr>
        <w:t>或2024年</w:t>
      </w:r>
      <w:r>
        <w:rPr>
          <w:rFonts w:hint="eastAsia" w:ascii="宋体" w:hAnsi="宋体" w:eastAsia="宋体" w:cs="宋体"/>
          <w:color w:val="auto"/>
          <w:szCs w:val="21"/>
          <w:highlight w:val="none"/>
          <w:shd w:val="clear" w:color="auto" w:fill="FFFFFF"/>
          <w:lang w:val="en-US" w:eastAsia="zh-CN"/>
        </w:rPr>
        <w:t>度财务报告或者其基本开户银行出具的资信证明）；</w:t>
      </w:r>
    </w:p>
    <w:p w14:paraId="01F29AB5">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4.3、具有依法缴纳税收和社会保障资金的良好记录（提供</w:t>
      </w:r>
      <w:r>
        <w:rPr>
          <w:rFonts w:hint="eastAsia" w:ascii="宋体" w:hAnsi="宋体" w:eastAsia="宋体" w:cs="宋体"/>
          <w:color w:val="auto"/>
          <w:szCs w:val="21"/>
          <w:highlight w:val="none"/>
          <w:shd w:val="clear" w:color="auto" w:fill="FFFFFF"/>
          <w:lang w:val="en-US" w:eastAsia="zh-CN"/>
        </w:rPr>
        <w:t>采购活动近六个月任意一个月的依法缴纳税收和缴纳</w:t>
      </w:r>
      <w:r>
        <w:rPr>
          <w:rFonts w:hint="eastAsia" w:ascii="宋体" w:hAnsi="宋体" w:cs="宋体"/>
          <w:color w:val="auto"/>
          <w:szCs w:val="21"/>
          <w:highlight w:val="none"/>
          <w:shd w:val="clear" w:color="auto" w:fill="FFFFFF"/>
          <w:lang w:val="en-US" w:eastAsia="zh-CN"/>
        </w:rPr>
        <w:t>社保</w:t>
      </w:r>
      <w:r>
        <w:rPr>
          <w:rFonts w:hint="eastAsia" w:ascii="宋体" w:hAnsi="宋体" w:eastAsia="宋体" w:cs="宋体"/>
          <w:color w:val="auto"/>
          <w:szCs w:val="21"/>
          <w:highlight w:val="none"/>
          <w:shd w:val="clear" w:color="auto" w:fill="FFFFFF"/>
          <w:lang w:val="en-US" w:eastAsia="zh-CN"/>
        </w:rPr>
        <w:t>的</w:t>
      </w:r>
      <w:r>
        <w:rPr>
          <w:rFonts w:hint="eastAsia" w:ascii="宋体" w:hAnsi="宋体" w:cs="宋体"/>
          <w:color w:val="auto"/>
          <w:szCs w:val="21"/>
          <w:highlight w:val="none"/>
          <w:shd w:val="clear" w:color="auto" w:fill="FFFFFF"/>
          <w:lang w:val="en-US" w:eastAsia="zh-CN"/>
        </w:rPr>
        <w:t>证明</w:t>
      </w:r>
      <w:r>
        <w:rPr>
          <w:rFonts w:hint="eastAsia" w:ascii="宋体" w:hAnsi="宋体" w:eastAsia="宋体" w:cs="宋体"/>
          <w:color w:val="auto"/>
          <w:szCs w:val="21"/>
          <w:highlight w:val="none"/>
          <w:shd w:val="clear" w:color="auto" w:fill="FFFFFF"/>
          <w:lang w:val="en-US" w:eastAsia="zh-CN"/>
        </w:rPr>
        <w:t>；依法免税或不需要缴纳社会保障资金的，应提供相应文件证明其依法免税或不需要缴纳社会保障资金）。</w:t>
      </w:r>
    </w:p>
    <w:p w14:paraId="766879BC">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4.4</w:t>
      </w:r>
      <w:r>
        <w:rPr>
          <w:rFonts w:hint="eastAsia" w:ascii="宋体" w:hAnsi="宋体" w:eastAsia="宋体" w:cs="宋体"/>
          <w:color w:val="auto"/>
          <w:szCs w:val="21"/>
          <w:highlight w:val="none"/>
          <w:shd w:val="clear" w:color="auto" w:fill="FFFFFF"/>
          <w:lang w:val="en-US" w:eastAsia="zh-CN"/>
        </w:rPr>
        <w:t>、具有履行合同所必需的设备和专业技术能力（提供书面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51244870">
      <w:pPr>
        <w:keepNext w:val="0"/>
        <w:keepLines w:val="0"/>
        <w:pageBreakBefore w:val="0"/>
        <w:widowControl/>
        <w:tabs>
          <w:tab w:val="left" w:pos="840"/>
        </w:tabs>
        <w:kinsoku/>
        <w:overflowPunct/>
        <w:topLinePunct w:val="0"/>
        <w:autoSpaceDE/>
        <w:autoSpaceDN/>
        <w:bidi w:val="0"/>
        <w:snapToGrid w:val="0"/>
        <w:spacing w:line="360" w:lineRule="auto"/>
        <w:ind w:firstLine="420" w:firstLineChars="200"/>
        <w:jc w:val="left"/>
        <w:textAlignment w:val="auto"/>
        <w:rPr>
          <w:rFonts w:hint="eastAsia"/>
          <w:color w:val="auto"/>
          <w:lang w:val="en-US" w:eastAsia="zh-CN"/>
        </w:rPr>
      </w:pPr>
      <w:r>
        <w:rPr>
          <w:rFonts w:hint="eastAsia" w:ascii="宋体" w:hAnsi="宋体" w:cs="宋体"/>
          <w:color w:val="auto"/>
          <w:szCs w:val="21"/>
          <w:highlight w:val="none"/>
          <w:shd w:val="clear" w:color="auto" w:fill="FFFFFF"/>
          <w:lang w:val="en-US" w:eastAsia="zh-CN"/>
        </w:rPr>
        <w:t>4.5</w:t>
      </w:r>
      <w:r>
        <w:rPr>
          <w:rFonts w:hint="eastAsia" w:ascii="宋体" w:hAnsi="宋体" w:eastAsia="宋体" w:cs="宋体"/>
          <w:color w:val="auto"/>
          <w:szCs w:val="21"/>
          <w:highlight w:val="none"/>
          <w:shd w:val="clear" w:color="auto" w:fill="FFFFFF"/>
          <w:lang w:val="en-US" w:eastAsia="zh-CN"/>
        </w:rPr>
        <w:t>、参加本采购活动前三年内，在经营活动中没有重大违法记录（提供书面</w:t>
      </w:r>
      <w:r>
        <w:rPr>
          <w:rFonts w:hint="eastAsia" w:ascii="宋体" w:hAnsi="宋体" w:cs="宋体"/>
          <w:color w:val="auto"/>
          <w:szCs w:val="21"/>
          <w:highlight w:val="none"/>
          <w:shd w:val="clear" w:color="auto" w:fill="FFFFFF"/>
          <w:lang w:val="en-US" w:eastAsia="zh-CN"/>
        </w:rPr>
        <w:t>承诺</w:t>
      </w:r>
      <w:r>
        <w:rPr>
          <w:rFonts w:hint="eastAsia" w:ascii="宋体" w:hAnsi="宋体" w:eastAsia="宋体" w:cs="宋体"/>
          <w:color w:val="auto"/>
          <w:szCs w:val="21"/>
          <w:highlight w:val="none"/>
          <w:shd w:val="clear" w:color="auto" w:fill="FFFFFF"/>
          <w:lang w:val="en-US" w:eastAsia="zh-CN"/>
        </w:rPr>
        <w:t>函）；</w:t>
      </w:r>
    </w:p>
    <w:p w14:paraId="36656D30">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4.6</w:t>
      </w:r>
      <w:r>
        <w:rPr>
          <w:rFonts w:hint="eastAsia" w:ascii="宋体" w:hAnsi="宋体" w:eastAsia="宋体" w:cs="宋体"/>
          <w:color w:val="auto"/>
          <w:szCs w:val="21"/>
          <w:highlight w:val="none"/>
          <w:shd w:val="clear" w:color="auto" w:fill="FFFFFF"/>
          <w:lang w:val="en-US" w:eastAsia="zh-CN"/>
        </w:rPr>
        <w:t>、根据《关于在政府采购活动中查询及使用信用记录有关问题的通知》（财库【2016】125号）的规定，对列入失信被执行人、重大税收违法失信主体、政府采购严重违法失信行为记录名单的供应商，拒绝参与本项目政府采购活动（</w:t>
      </w:r>
      <w:r>
        <w:rPr>
          <w:rFonts w:hint="eastAsia" w:ascii="宋体" w:hAnsi="宋体" w:cs="宋体"/>
          <w:color w:val="auto"/>
          <w:szCs w:val="21"/>
          <w:highlight w:val="none"/>
          <w:shd w:val="clear" w:color="auto" w:fill="FFFFFF"/>
          <w:lang w:val="en-US" w:eastAsia="zh-CN"/>
        </w:rPr>
        <w:t>提供在</w:t>
      </w:r>
      <w:r>
        <w:rPr>
          <w:rFonts w:hint="eastAsia" w:ascii="宋体" w:hAnsi="宋体" w:eastAsia="宋体" w:cs="宋体"/>
          <w:color w:val="auto"/>
          <w:szCs w:val="21"/>
          <w:highlight w:val="none"/>
          <w:shd w:val="clear" w:color="auto" w:fill="FFFFFF"/>
          <w:lang w:val="en-US" w:eastAsia="zh-CN"/>
        </w:rPr>
        <w:t>“信用中国”、</w:t>
      </w:r>
      <w:r>
        <w:rPr>
          <w:rFonts w:hint="eastAsia" w:ascii="宋体" w:hAnsi="宋体" w:cs="宋体"/>
          <w:color w:val="auto"/>
          <w:szCs w:val="21"/>
          <w:highlight w:val="none"/>
          <w:shd w:val="clear" w:color="auto" w:fill="FFFFFF"/>
          <w:lang w:val="en-US" w:eastAsia="zh-CN"/>
        </w:rPr>
        <w:t>“</w:t>
      </w:r>
      <w:r>
        <w:rPr>
          <w:rFonts w:hint="eastAsia" w:ascii="宋体" w:hAnsi="宋体" w:eastAsia="宋体" w:cs="宋体"/>
          <w:color w:val="auto"/>
          <w:szCs w:val="21"/>
          <w:highlight w:val="none"/>
          <w:shd w:val="clear" w:color="auto" w:fill="FFFFFF"/>
          <w:lang w:val="en-US" w:eastAsia="zh-CN"/>
        </w:rPr>
        <w:t>中国政府采购网</w:t>
      </w:r>
      <w:r>
        <w:rPr>
          <w:rFonts w:hint="eastAsia" w:ascii="宋体" w:hAnsi="宋体" w:cs="宋体"/>
          <w:color w:val="auto"/>
          <w:szCs w:val="21"/>
          <w:highlight w:val="none"/>
          <w:shd w:val="clear" w:color="auto" w:fill="FFFFFF"/>
          <w:lang w:val="en-US" w:eastAsia="zh-CN"/>
        </w:rPr>
        <w:t>”等网站查询的相关材料并加盖公章，</w:t>
      </w:r>
      <w:r>
        <w:rPr>
          <w:rFonts w:hint="eastAsia" w:ascii="宋体" w:hAnsi="宋体" w:eastAsia="宋体" w:cs="宋体"/>
          <w:color w:val="auto"/>
          <w:szCs w:val="21"/>
          <w:highlight w:val="none"/>
          <w:shd w:val="clear" w:color="auto" w:fill="FFFFFF"/>
          <w:lang w:val="en-US" w:eastAsia="zh-CN"/>
        </w:rPr>
        <w:t>供应商提供的仅做为信用参考，以采购人或采购代理机构查询结果为准）；</w:t>
      </w:r>
    </w:p>
    <w:p w14:paraId="4C847519">
      <w:pPr>
        <w:keepNext w:val="0"/>
        <w:keepLines w:val="0"/>
        <w:pageBreakBefore w:val="0"/>
        <w:widowControl/>
        <w:tabs>
          <w:tab w:val="left" w:pos="840"/>
        </w:tabs>
        <w:kinsoku/>
        <w:overflowPunct/>
        <w:topLinePunct w:val="0"/>
        <w:autoSpaceDE/>
        <w:autoSpaceDN/>
        <w:bidi w:val="0"/>
        <w:snapToGrid w:val="0"/>
        <w:spacing w:line="324" w:lineRule="auto"/>
        <w:ind w:firstLine="420" w:firstLineChars="200"/>
        <w:jc w:val="left"/>
        <w:textAlignment w:val="auto"/>
        <w:rPr>
          <w:rFonts w:hint="eastAsia" w:ascii="宋体" w:hAnsi="宋体" w:eastAsia="宋体" w:cs="宋体"/>
          <w:color w:val="auto"/>
          <w:szCs w:val="21"/>
          <w:highlight w:val="none"/>
          <w:shd w:val="clear" w:color="auto" w:fill="FFFFFF"/>
          <w:lang w:val="en-US" w:eastAsia="zh-CN"/>
        </w:rPr>
      </w:pPr>
      <w:r>
        <w:rPr>
          <w:rFonts w:hint="eastAsia" w:ascii="宋体" w:hAnsi="宋体" w:cs="宋体"/>
          <w:color w:val="auto"/>
          <w:szCs w:val="21"/>
          <w:highlight w:val="none"/>
          <w:shd w:val="clear" w:color="auto" w:fill="FFFFFF"/>
          <w:lang w:val="en-US" w:eastAsia="zh-CN"/>
        </w:rPr>
        <w:t>4.7</w:t>
      </w:r>
      <w:r>
        <w:rPr>
          <w:rFonts w:hint="eastAsia" w:ascii="宋体" w:hAnsi="宋体" w:eastAsia="宋体" w:cs="宋体"/>
          <w:color w:val="auto"/>
          <w:szCs w:val="21"/>
          <w:highlight w:val="none"/>
          <w:shd w:val="clear" w:color="auto" w:fill="FFFFFF"/>
          <w:lang w:val="en-US" w:eastAsia="zh-CN"/>
        </w:rPr>
        <w:t>、单位负责人为同一人或者存在直接控股、管理关系的不同供应商，不得参加同一合同项下的磋商（</w:t>
      </w:r>
      <w:r>
        <w:rPr>
          <w:rFonts w:hint="eastAsia" w:ascii="宋体" w:hAnsi="宋体" w:eastAsia="宋体" w:cs="宋体"/>
          <w:color w:val="auto"/>
          <w:kern w:val="0"/>
          <w:szCs w:val="21"/>
          <w:lang w:val="en-US" w:eastAsia="zh-CN"/>
        </w:rPr>
        <w:t>提供在“国家企业信用信息公示系统”中查询的相关材料</w:t>
      </w:r>
      <w:r>
        <w:rPr>
          <w:rFonts w:hint="eastAsia" w:ascii="宋体" w:hAnsi="宋体" w:cs="宋体"/>
          <w:color w:val="auto"/>
          <w:kern w:val="0"/>
          <w:szCs w:val="21"/>
          <w:lang w:val="en-US" w:eastAsia="zh-CN"/>
        </w:rPr>
        <w:t>并加盖公章</w:t>
      </w:r>
      <w:r>
        <w:rPr>
          <w:rFonts w:hint="eastAsia" w:ascii="宋体" w:hAnsi="宋体" w:eastAsia="宋体" w:cs="宋体"/>
          <w:color w:val="auto"/>
          <w:kern w:val="0"/>
          <w:szCs w:val="21"/>
          <w:lang w:val="en-US" w:eastAsia="zh-CN"/>
        </w:rPr>
        <w:t>（需包含公司基本信息、股东信息及股权变更信息）或提供承诺</w:t>
      </w:r>
      <w:r>
        <w:rPr>
          <w:rFonts w:hint="eastAsia" w:ascii="宋体" w:hAnsi="宋体" w:cs="宋体"/>
          <w:color w:val="auto"/>
          <w:kern w:val="0"/>
          <w:szCs w:val="21"/>
          <w:lang w:val="en-US" w:eastAsia="zh-CN"/>
        </w:rPr>
        <w:t>函</w:t>
      </w:r>
      <w:r>
        <w:rPr>
          <w:rFonts w:hint="eastAsia" w:ascii="宋体" w:hAnsi="宋体" w:eastAsia="宋体" w:cs="宋体"/>
          <w:color w:val="auto"/>
          <w:szCs w:val="21"/>
          <w:highlight w:val="none"/>
          <w:shd w:val="clear" w:color="auto" w:fill="FFFFFF"/>
          <w:lang w:val="en-US" w:eastAsia="zh-CN"/>
        </w:rPr>
        <w:t>）。一经发现，将导致投标同时被拒绝。</w:t>
      </w:r>
    </w:p>
    <w:p w14:paraId="49B3FF39">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5.投标费用</w:t>
      </w:r>
    </w:p>
    <w:p w14:paraId="3C13E2CF">
      <w:pPr>
        <w:keepNext w:val="0"/>
        <w:keepLines w:val="0"/>
        <w:pageBreakBefore w:val="0"/>
        <w:widowControl w:val="0"/>
        <w:kinsoku/>
        <w:wordWrap/>
        <w:overflowPunct/>
        <w:topLinePunct w:val="0"/>
        <w:bidi w:val="0"/>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不论投标结果如何，</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均应自行承担所有与投标有关的全部费用。</w:t>
      </w:r>
    </w:p>
    <w:p w14:paraId="4F847982">
      <w:pPr>
        <w:keepNext w:val="0"/>
        <w:keepLines w:val="0"/>
        <w:pageBreakBefore w:val="0"/>
        <w:widowControl w:val="0"/>
        <w:kinsoku/>
        <w:wordWrap/>
        <w:overflowPunct/>
        <w:topLinePunct w:val="0"/>
        <w:bidi w:val="0"/>
        <w:snapToGrid w:val="0"/>
        <w:spacing w:line="360" w:lineRule="auto"/>
        <w:ind w:firstLine="420"/>
        <w:jc w:val="left"/>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6.联合体投标：本项目不接受联合体投标。</w:t>
      </w:r>
    </w:p>
    <w:p w14:paraId="27BB8154">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7.关联企业投标</w:t>
      </w:r>
    </w:p>
    <w:p w14:paraId="59F7AE2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7.1 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所称关联企业,是指存在关联关系的企业。“关联关系”的界定适用《中华人民共和国公司法》第二百一十六条、《中华人民共和国政府采购法实施条例》第十八条之规定。</w:t>
      </w:r>
    </w:p>
    <w:p w14:paraId="0A2BA66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w:t>
      </w:r>
      <w:r>
        <w:rPr>
          <w:rFonts w:hint="eastAsia" w:ascii="宋体" w:hAnsi="宋体" w:eastAsia="宋体" w:cs="宋体"/>
          <w:color w:val="auto"/>
          <w:kern w:val="0"/>
          <w:szCs w:val="21"/>
          <w:highlight w:val="none"/>
          <w:lang w:eastAsia="zh-CN"/>
        </w:rPr>
        <w:t>。</w:t>
      </w:r>
    </w:p>
    <w:p w14:paraId="38EEC254">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7.3 为采购项目提供整体设计、规范编制或者项目管理、监理、检测等服务的供应商，不得再参加该采购项目的投标活动。</w:t>
      </w:r>
    </w:p>
    <w:p w14:paraId="593E944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8.转包与分包</w:t>
      </w:r>
    </w:p>
    <w:p w14:paraId="1559B37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8.1本项目不允许采取转包方式履行合同。</w:t>
      </w:r>
    </w:p>
    <w:p w14:paraId="3E1CB45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8.2本项目不允许采取分包方式履行合同。</w:t>
      </w:r>
    </w:p>
    <w:p w14:paraId="58DBC7D6">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9.特别说明：</w:t>
      </w:r>
    </w:p>
    <w:p w14:paraId="407E0C03">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9.1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投标所使用的资格、信誉、荣誉、业绩与企业认证必须为本法人所拥有。  </w:t>
      </w:r>
    </w:p>
    <w:p w14:paraId="38B029E1">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代表只能接受一个</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的委托参加投标。</w:t>
      </w:r>
    </w:p>
    <w:p w14:paraId="59CF87CE">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《政府采购法》第二十二条第五款“参加政府采购活动前三年内，在经营活动中没有重大违法记录”，“重大违法记录”包括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或者其法定代表人、董事、监事、高级管理人员因经营活动中的违法行为受到行政处罚，但警告和罚款额在人民币3万元以下的行政处罚除外；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或其法定代表人、董事、监事、高级管理人员因经营活动中的违法行为受到刑事处罚。</w:t>
      </w:r>
    </w:p>
    <w:p w14:paraId="6F01A1CA">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在投标活动中提供虚假材料或从事其他违法活动的,其投标无效，由相关部门查处。</w:t>
      </w:r>
    </w:p>
    <w:p w14:paraId="022C2B6A">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10.质疑和投诉</w:t>
      </w:r>
    </w:p>
    <w:p w14:paraId="1B8FE7C1">
      <w:pPr>
        <w:keepNext w:val="0"/>
        <w:keepLines w:val="0"/>
        <w:pageBreakBefore w:val="0"/>
        <w:widowControl w:val="0"/>
        <w:kinsoku/>
        <w:wordWrap/>
        <w:overflowPunct/>
        <w:topLinePunct w:val="0"/>
        <w:bidi w:val="0"/>
        <w:snapToGrid w:val="0"/>
        <w:spacing w:line="360" w:lineRule="auto"/>
        <w:ind w:firstLine="411" w:firstLineChars="196"/>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10.1</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供应商认为</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使自己的合法权益受到损害的，</w:t>
      </w:r>
      <w:r>
        <w:rPr>
          <w:rFonts w:hint="eastAsia" w:ascii="宋体" w:hAnsi="宋体" w:eastAsia="宋体" w:cs="宋体"/>
          <w:color w:val="auto"/>
          <w:kern w:val="0"/>
          <w:szCs w:val="21"/>
          <w:highlight w:val="none"/>
        </w:rPr>
        <w:t>应当在</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个工作日之内向</w:t>
      </w:r>
      <w:r>
        <w:rPr>
          <w:rFonts w:hint="eastAsia" w:ascii="宋体" w:hAnsi="宋体" w:eastAsia="宋体" w:cs="宋体"/>
          <w:bCs/>
          <w:color w:val="auto"/>
          <w:kern w:val="0"/>
          <w:szCs w:val="21"/>
          <w:highlight w:val="none"/>
        </w:rPr>
        <w:t>采购人提出质疑；供应商认为</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结果使自己的合法权益受到损害的，应当在知道或者应知其权益受到损害之日起</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个工作日内提出质疑。</w:t>
      </w:r>
      <w:r>
        <w:rPr>
          <w:rFonts w:hint="eastAsia" w:ascii="宋体" w:hAnsi="宋体" w:eastAsia="宋体" w:cs="宋体"/>
          <w:color w:val="auto"/>
          <w:kern w:val="0"/>
          <w:szCs w:val="21"/>
          <w:highlight w:val="none"/>
        </w:rPr>
        <w:t>逾期不再受理,</w:t>
      </w:r>
      <w:r>
        <w:rPr>
          <w:rFonts w:hint="eastAsia" w:ascii="宋体" w:hAnsi="宋体" w:eastAsia="宋体" w:cs="宋体"/>
          <w:bCs/>
          <w:color w:val="auto"/>
          <w:kern w:val="0"/>
          <w:szCs w:val="21"/>
          <w:highlight w:val="none"/>
        </w:rPr>
        <w:t>供应商在法定质疑期内应一次性提出针对同一采购环节的质疑。</w:t>
      </w:r>
      <w:r>
        <w:rPr>
          <w:rFonts w:hint="eastAsia" w:ascii="宋体" w:hAnsi="宋体" w:eastAsia="宋体" w:cs="宋体"/>
          <w:color w:val="auto"/>
          <w:kern w:val="0"/>
          <w:szCs w:val="21"/>
          <w:highlight w:val="none"/>
        </w:rPr>
        <w:t>供应商对</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的质疑答复不满意,或</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未在规定时间内作出答复的，可以在答复期满后15个工作日内向</w:t>
      </w:r>
      <w:r>
        <w:rPr>
          <w:rFonts w:hint="eastAsia" w:ascii="宋体" w:hAnsi="宋体" w:eastAsia="宋体" w:cs="宋体"/>
          <w:color w:val="auto"/>
          <w:kern w:val="0"/>
          <w:szCs w:val="21"/>
          <w:highlight w:val="none"/>
          <w:lang w:val="en-US" w:eastAsia="zh-CN"/>
        </w:rPr>
        <w:t>医院纪检</w:t>
      </w:r>
      <w:r>
        <w:rPr>
          <w:rFonts w:hint="eastAsia" w:ascii="宋体" w:hAnsi="宋体" w:eastAsia="宋体" w:cs="宋体"/>
          <w:color w:val="auto"/>
          <w:kern w:val="0"/>
          <w:szCs w:val="21"/>
          <w:highlight w:val="none"/>
        </w:rPr>
        <w:t>部门投诉。</w:t>
      </w:r>
    </w:p>
    <w:p w14:paraId="004EF275">
      <w:pPr>
        <w:keepNext w:val="0"/>
        <w:keepLines w:val="0"/>
        <w:pageBreakBefore w:val="0"/>
        <w:widowControl w:val="0"/>
        <w:shd w:val="clear" w:color="auto" w:fill="FFFFFF"/>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w:t>
      </w:r>
      <w:r>
        <w:rPr>
          <w:rFonts w:hint="eastAsia" w:ascii="宋体" w:hAnsi="宋体" w:eastAsia="宋体" w:cs="宋体"/>
          <w:bCs/>
          <w:color w:val="auto"/>
          <w:kern w:val="0"/>
          <w:szCs w:val="21"/>
          <w:highlight w:val="none"/>
          <w:lang w:eastAsia="zh-CN"/>
        </w:rPr>
        <w:t>磋商</w:t>
      </w:r>
      <w:r>
        <w:rPr>
          <w:rFonts w:hint="eastAsia" w:ascii="宋体" w:hAnsi="宋体" w:eastAsia="宋体" w:cs="宋体"/>
          <w:bCs/>
          <w:color w:val="auto"/>
          <w:kern w:val="0"/>
          <w:szCs w:val="21"/>
          <w:highlight w:val="none"/>
        </w:rPr>
        <w:t>过程和</w:t>
      </w:r>
      <w:r>
        <w:rPr>
          <w:rFonts w:hint="eastAsia" w:ascii="宋体" w:hAnsi="宋体" w:cs="宋体"/>
          <w:bCs/>
          <w:color w:val="auto"/>
          <w:kern w:val="0"/>
          <w:szCs w:val="21"/>
          <w:highlight w:val="none"/>
          <w:lang w:eastAsia="zh-CN"/>
        </w:rPr>
        <w:t>成交</w:t>
      </w:r>
      <w:r>
        <w:rPr>
          <w:rFonts w:hint="eastAsia" w:ascii="宋体" w:hAnsi="宋体" w:eastAsia="宋体" w:cs="宋体"/>
          <w:bCs/>
          <w:color w:val="auto"/>
          <w:kern w:val="0"/>
          <w:szCs w:val="21"/>
          <w:highlight w:val="none"/>
        </w:rPr>
        <w:t>结果中使自己合法权益受到损害的实质性内容，提供相关事实、依据和证据及其来源或线索，便于有关单位调查、答复和处理。</w:t>
      </w:r>
    </w:p>
    <w:p w14:paraId="6DCF9393">
      <w:pPr>
        <w:keepNext w:val="0"/>
        <w:keepLines w:val="0"/>
        <w:pageBreakBefore w:val="0"/>
        <w:widowControl w:val="0"/>
        <w:kinsoku/>
        <w:wordWrap/>
        <w:overflowPunct/>
        <w:topLinePunct w:val="0"/>
        <w:bidi w:val="0"/>
        <w:snapToGrid w:val="0"/>
        <w:spacing w:line="360" w:lineRule="auto"/>
        <w:ind w:firstLine="42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11.</w:t>
      </w:r>
      <w:r>
        <w:rPr>
          <w:rFonts w:hint="eastAsia" w:ascii="宋体" w:hAnsi="宋体" w:eastAsia="宋体" w:cs="宋体"/>
          <w:b/>
          <w:bCs/>
          <w:color w:val="auto"/>
          <w:kern w:val="0"/>
          <w:szCs w:val="21"/>
          <w:highlight w:val="none"/>
          <w:lang w:eastAsia="zh-CN"/>
        </w:rPr>
        <w:t>供应商</w:t>
      </w:r>
      <w:r>
        <w:rPr>
          <w:rFonts w:hint="eastAsia" w:ascii="宋体" w:hAnsi="宋体" w:eastAsia="宋体" w:cs="宋体"/>
          <w:b/>
          <w:bCs/>
          <w:color w:val="auto"/>
          <w:kern w:val="0"/>
          <w:szCs w:val="21"/>
          <w:highlight w:val="none"/>
        </w:rPr>
        <w:t>的风险</w:t>
      </w:r>
    </w:p>
    <w:p w14:paraId="07371BA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要求提供全部资料，或者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没有对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在各方面都作出实质性响应是</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的风险，并可能导致其投标被拒绝。</w:t>
      </w:r>
    </w:p>
    <w:p w14:paraId="3337E186">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二、</w:t>
      </w:r>
      <w:r>
        <w:rPr>
          <w:rFonts w:hint="eastAsia" w:ascii="宋体" w:hAnsi="宋体" w:cs="宋体"/>
          <w:b/>
          <w:bCs/>
          <w:color w:val="auto"/>
          <w:kern w:val="0"/>
          <w:sz w:val="28"/>
          <w:szCs w:val="28"/>
          <w:highlight w:val="none"/>
          <w:lang w:val="en-US" w:eastAsia="zh-CN"/>
        </w:rPr>
        <w:t>竞争性磋商文件</w:t>
      </w:r>
    </w:p>
    <w:p w14:paraId="7B0F37DE">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12.</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的构成。本</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由以下部分组成：</w:t>
      </w:r>
    </w:p>
    <w:p w14:paraId="49D3471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12.1 </w:t>
      </w:r>
      <w:r>
        <w:rPr>
          <w:rFonts w:hint="eastAsia" w:ascii="宋体" w:hAnsi="宋体" w:eastAsia="宋体" w:cs="宋体"/>
          <w:color w:val="auto"/>
          <w:kern w:val="0"/>
          <w:szCs w:val="21"/>
          <w:highlight w:val="none"/>
          <w:lang w:val="en-US" w:eastAsia="zh-CN"/>
        </w:rPr>
        <w:t>竞争性磋商</w:t>
      </w:r>
      <w:r>
        <w:rPr>
          <w:rFonts w:hint="eastAsia" w:ascii="宋体" w:hAnsi="宋体" w:eastAsia="宋体" w:cs="宋体"/>
          <w:color w:val="auto"/>
          <w:kern w:val="0"/>
          <w:szCs w:val="21"/>
          <w:highlight w:val="none"/>
        </w:rPr>
        <w:t>公告</w:t>
      </w:r>
    </w:p>
    <w:p w14:paraId="230DF02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12.2 </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需求</w:t>
      </w:r>
    </w:p>
    <w:p w14:paraId="4061732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12.3 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w:t>
      </w:r>
    </w:p>
    <w:p w14:paraId="26E05C1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12.4 评标办法</w:t>
      </w:r>
    </w:p>
    <w:p w14:paraId="767404D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12.5 合同主要条款</w:t>
      </w:r>
    </w:p>
    <w:p w14:paraId="462536A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12.6 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w:t>
      </w:r>
    </w:p>
    <w:p w14:paraId="50B627F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13.</w:t>
      </w:r>
      <w:r>
        <w:rPr>
          <w:rFonts w:hint="eastAsia" w:ascii="宋体" w:hAnsi="宋体" w:cs="宋体"/>
          <w:b/>
          <w:bCs/>
          <w:color w:val="auto"/>
          <w:kern w:val="0"/>
          <w:szCs w:val="21"/>
          <w:highlight w:val="none"/>
          <w:lang w:val="en-US" w:eastAsia="zh-CN"/>
        </w:rPr>
        <w:t>竞争性磋商文件</w:t>
      </w:r>
      <w:r>
        <w:rPr>
          <w:rFonts w:hint="eastAsia" w:ascii="宋体" w:hAnsi="宋体" w:eastAsia="宋体" w:cs="宋体"/>
          <w:b/>
          <w:bCs/>
          <w:color w:val="auto"/>
          <w:kern w:val="0"/>
          <w:szCs w:val="21"/>
          <w:highlight w:val="none"/>
        </w:rPr>
        <w:t>的澄清与修改</w:t>
      </w:r>
    </w:p>
    <w:p w14:paraId="6304E32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13.1 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对已发出的</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进行必要澄清、修改或补充的，应当在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文件截止时间</w:t>
      </w:r>
      <w:r>
        <w:rPr>
          <w:rFonts w:hint="eastAsia" w:ascii="宋体" w:hAnsi="宋体" w:eastAsia="宋体" w:cs="宋体"/>
          <w:color w:val="auto"/>
          <w:kern w:val="0"/>
          <w:szCs w:val="21"/>
          <w:highlight w:val="none"/>
          <w:lang w:val="en-US" w:eastAsia="zh-CN"/>
        </w:rPr>
        <w:t>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前，在</w:t>
      </w:r>
      <w:r>
        <w:rPr>
          <w:rFonts w:hint="eastAsia" w:ascii="宋体" w:hAnsi="宋体" w:eastAsia="宋体" w:cs="宋体"/>
          <w:color w:val="auto"/>
          <w:kern w:val="0"/>
          <w:szCs w:val="21"/>
          <w:highlight w:val="none"/>
          <w:lang w:val="en-US" w:eastAsia="zh-CN"/>
        </w:rPr>
        <w:t>原采购公告发布</w:t>
      </w:r>
      <w:r>
        <w:rPr>
          <w:rFonts w:hint="eastAsia" w:ascii="宋体" w:hAnsi="宋体" w:eastAsia="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公示期间对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进行的澄清、修改或补充不受上述限制。</w:t>
      </w:r>
    </w:p>
    <w:p w14:paraId="7FA8C29D">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澄清、修改或补充的内容为</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的组成部分。</w:t>
      </w:r>
    </w:p>
    <w:p w14:paraId="1E50278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13.3 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的澄清、修改或补充都应以法定形式发布。采购人未对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进行的澄清、修改或补充无效，评标时不予认可。</w:t>
      </w:r>
    </w:p>
    <w:p w14:paraId="0205D990">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13.4 </w:t>
      </w: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可以视</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具体情况延长</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截止时间和</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时间，但至少应当在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文件的截止时间3</w:t>
      </w:r>
      <w:r>
        <w:rPr>
          <w:rFonts w:hint="eastAsia" w:ascii="宋体" w:hAnsi="宋体" w:eastAsia="宋体" w:cs="宋体"/>
          <w:bCs/>
          <w:color w:val="auto"/>
          <w:kern w:val="0"/>
          <w:szCs w:val="21"/>
          <w:highlight w:val="none"/>
        </w:rPr>
        <w:t>日</w:t>
      </w:r>
      <w:r>
        <w:rPr>
          <w:rFonts w:hint="eastAsia" w:ascii="宋体" w:hAnsi="宋体" w:eastAsia="宋体" w:cs="宋体"/>
          <w:color w:val="auto"/>
          <w:kern w:val="0"/>
          <w:szCs w:val="21"/>
          <w:highlight w:val="none"/>
        </w:rPr>
        <w:t>前，将变更时间</w:t>
      </w:r>
      <w:r>
        <w:rPr>
          <w:rFonts w:hint="eastAsia" w:ascii="宋体" w:hAnsi="宋体" w:eastAsia="宋体" w:cs="宋体"/>
          <w:color w:val="auto"/>
          <w:kern w:val="0"/>
          <w:szCs w:val="21"/>
          <w:highlight w:val="none"/>
          <w:lang w:val="en-US" w:eastAsia="zh-CN"/>
        </w:rPr>
        <w:t>通知所有潜在供应商</w:t>
      </w:r>
      <w:r>
        <w:rPr>
          <w:rFonts w:hint="eastAsia" w:ascii="宋体" w:hAnsi="宋体" w:eastAsia="宋体" w:cs="宋体"/>
          <w:color w:val="auto"/>
          <w:kern w:val="0"/>
          <w:szCs w:val="21"/>
          <w:highlight w:val="none"/>
        </w:rPr>
        <w:t>。</w:t>
      </w:r>
    </w:p>
    <w:p w14:paraId="1DAEDCA7">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三、</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文件的编制</w:t>
      </w:r>
    </w:p>
    <w:p w14:paraId="00728EBF">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14.要求</w:t>
      </w:r>
    </w:p>
    <w:p w14:paraId="45AD394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应仔细阅读</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的所有内容，按照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提供的格式编写</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文件，不得缺少或留空任何</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要求填写的表格或提交的资料。</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提供格式的按格式填列，未提供格式的可自行拟定。</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的要求作出实质性响应（包括</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资格要求、技术要求、商务要求和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文件格式中对</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对所提供的全部资料的合法性、真实性负责。</w:t>
      </w:r>
    </w:p>
    <w:p w14:paraId="6C4B2D1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14.2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应完整签署</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文件格式附件中《</w:t>
      </w:r>
      <w:r>
        <w:rPr>
          <w:rFonts w:hint="eastAsia" w:ascii="宋体" w:hAnsi="宋体" w:cs="宋体"/>
          <w:color w:val="auto"/>
          <w:kern w:val="0"/>
          <w:szCs w:val="21"/>
          <w:highlight w:val="none"/>
          <w:lang w:eastAsia="zh-CN"/>
        </w:rPr>
        <w:t>竞争性磋商响应书</w:t>
      </w:r>
      <w:r>
        <w:rPr>
          <w:rFonts w:hint="eastAsia" w:ascii="宋体" w:hAnsi="宋体" w:eastAsia="宋体" w:cs="宋体"/>
          <w:color w:val="auto"/>
          <w:kern w:val="0"/>
          <w:szCs w:val="21"/>
          <w:highlight w:val="none"/>
        </w:rPr>
        <w:t>》和《抵制商业贿赂承诺》，不得增减或修改内容。否则视为对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1703B619">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15.</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文件的语言和计量单位</w:t>
      </w:r>
    </w:p>
    <w:p w14:paraId="1044245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15.1</w:t>
      </w:r>
      <w:r>
        <w:rPr>
          <w:rFonts w:hint="eastAsia" w:ascii="宋体" w:hAnsi="宋体" w:eastAsia="宋体" w:cs="宋体"/>
          <w:color w:val="auto"/>
          <w:kern w:val="0"/>
          <w:szCs w:val="21"/>
          <w:highlight w:val="none"/>
          <w:lang w:val="en-US" w:eastAsia="zh-CN"/>
        </w:rPr>
        <w:t xml:space="preserve"> 响应</w:t>
      </w:r>
      <w:r>
        <w:rPr>
          <w:rFonts w:hint="eastAsia" w:ascii="宋体" w:hAnsi="宋体" w:eastAsia="宋体" w:cs="宋体"/>
          <w:color w:val="auto"/>
          <w:kern w:val="0"/>
          <w:szCs w:val="21"/>
          <w:highlight w:val="none"/>
        </w:rPr>
        <w:t>文件以及</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与采购人就有关</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事宜的所有来往函电均应使用简体中文书写。</w:t>
      </w:r>
    </w:p>
    <w:p w14:paraId="3C66B439">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15.2</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关于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已有明确规定的，使用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规定的计量单位；</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没有规定的，应采用中华人民共和国法定计量单位。否则视为对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未作出实质性响应。</w:t>
      </w:r>
    </w:p>
    <w:p w14:paraId="6A066FFB">
      <w:pPr>
        <w:keepNext w:val="0"/>
        <w:keepLines w:val="0"/>
        <w:pageBreakBefore w:val="0"/>
        <w:widowControl w:val="0"/>
        <w:kinsoku/>
        <w:wordWrap/>
        <w:overflowPunct/>
        <w:topLinePunct w:val="0"/>
        <w:bidi w:val="0"/>
        <w:snapToGrid w:val="0"/>
        <w:spacing w:line="360" w:lineRule="auto"/>
        <w:ind w:firstLine="48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15.3</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原版为外文的证书类文件，以及由外国人做出的本人签名、外国公司的名称或外国印章等可以是外文，但应当提供中文翻译文件并加盖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公章。必要时</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提供附有公证书的中文翻译文件或者与原版文件签章相一致的中文翻译文件。</w:t>
      </w:r>
    </w:p>
    <w:p w14:paraId="2578223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16.</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文件的组成</w:t>
      </w:r>
      <w:r>
        <w:rPr>
          <w:rFonts w:hint="eastAsia" w:ascii="宋体" w:hAnsi="宋体" w:eastAsia="宋体" w:cs="宋体"/>
          <w:color w:val="auto"/>
          <w:kern w:val="0"/>
          <w:szCs w:val="21"/>
          <w:highlight w:val="none"/>
        </w:rPr>
        <w:t>。</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文件应包括下列部分：</w:t>
      </w:r>
    </w:p>
    <w:p w14:paraId="0E242E6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16.1、</w:t>
      </w:r>
      <w:r>
        <w:rPr>
          <w:rFonts w:hint="eastAsia" w:ascii="宋体" w:hAnsi="宋体" w:cs="宋体"/>
          <w:color w:val="auto"/>
          <w:kern w:val="0"/>
          <w:szCs w:val="21"/>
          <w:highlight w:val="none"/>
          <w:lang w:val="en-US" w:eastAsia="zh-CN"/>
        </w:rPr>
        <w:t>竞争性磋商响应书</w:t>
      </w:r>
    </w:p>
    <w:p w14:paraId="32213CF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16.2、</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p>
    <w:p w14:paraId="09C283B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16.</w:t>
      </w:r>
      <w:r>
        <w:rPr>
          <w:rFonts w:hint="eastAsia" w:ascii="宋体" w:hAnsi="宋体" w:eastAsia="宋体" w:cs="宋体"/>
          <w:color w:val="auto"/>
          <w:kern w:val="0"/>
          <w:szCs w:val="21"/>
          <w:highlight w:val="none"/>
          <w:lang w:val="en-US" w:eastAsia="zh-CN"/>
        </w:rPr>
        <w:t>3、报价明细表</w:t>
      </w:r>
    </w:p>
    <w:p w14:paraId="025C63D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16.4、</w:t>
      </w:r>
      <w:r>
        <w:rPr>
          <w:rFonts w:hint="eastAsia" w:ascii="宋体" w:hAnsi="宋体" w:eastAsia="宋体" w:cs="宋体"/>
          <w:color w:val="auto"/>
          <w:kern w:val="0"/>
          <w:szCs w:val="21"/>
          <w:highlight w:val="none"/>
        </w:rPr>
        <w:t>技术响应表</w:t>
      </w:r>
    </w:p>
    <w:p w14:paraId="29041AF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、商务响应表</w:t>
      </w:r>
    </w:p>
    <w:p w14:paraId="65DE90BD">
      <w:pPr>
        <w:keepNext w:val="0"/>
        <w:keepLines w:val="0"/>
        <w:pageBreakBefore w:val="0"/>
        <w:widowControl w:val="0"/>
        <w:kinsoku/>
        <w:wordWrap/>
        <w:overflowPunct/>
        <w:topLinePunct w:val="0"/>
        <w:bidi w:val="0"/>
        <w:snapToGrid w:val="0"/>
        <w:spacing w:line="360" w:lineRule="auto"/>
        <w:ind w:left="208" w:leftChars="99" w:firstLine="210" w:firstLineChars="1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eastAsia="宋体" w:cs="宋体"/>
          <w:color w:val="auto"/>
          <w:kern w:val="0"/>
          <w:szCs w:val="21"/>
          <w:highlight w:val="none"/>
        </w:rPr>
        <w:t>、法定代表人身份证明</w:t>
      </w:r>
    </w:p>
    <w:p w14:paraId="6B8F620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eastAsia="宋体" w:cs="宋体"/>
          <w:color w:val="auto"/>
          <w:kern w:val="0"/>
          <w:szCs w:val="21"/>
          <w:highlight w:val="none"/>
        </w:rPr>
        <w:t>、法定代表人授权书</w:t>
      </w:r>
    </w:p>
    <w:p w14:paraId="3D26795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eastAsia="宋体" w:cs="宋体"/>
          <w:color w:val="auto"/>
          <w:kern w:val="0"/>
          <w:szCs w:val="21"/>
          <w:highlight w:val="none"/>
        </w:rPr>
        <w:t>、证明文件</w:t>
      </w:r>
    </w:p>
    <w:p w14:paraId="3F8061D5">
      <w:pPr>
        <w:keepNext w:val="0"/>
        <w:keepLines w:val="0"/>
        <w:pageBreakBefore w:val="0"/>
        <w:widowControl w:val="0"/>
        <w:kinsoku/>
        <w:wordWrap/>
        <w:overflowPunct/>
        <w:topLinePunct w:val="0"/>
        <w:bidi w:val="0"/>
        <w:snapToGrid w:val="0"/>
        <w:spacing w:line="360" w:lineRule="auto"/>
        <w:ind w:firstLine="420"/>
        <w:jc w:val="both"/>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w:t>
      </w:r>
      <w:r>
        <w:rPr>
          <w:rFonts w:hint="eastAsia" w:ascii="宋体" w:hAnsi="宋体" w:cs="宋体"/>
          <w:color w:val="auto"/>
          <w:kern w:val="0"/>
          <w:szCs w:val="21"/>
          <w:highlight w:val="none"/>
          <w:lang w:val="en-US" w:eastAsia="zh-CN"/>
        </w:rPr>
        <w:t>9</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供应商承诺书</w:t>
      </w:r>
    </w:p>
    <w:p w14:paraId="3C24E039">
      <w:pPr>
        <w:pStyle w:val="15"/>
        <w:keepNext w:val="0"/>
        <w:keepLines w:val="0"/>
        <w:pageBreakBefore w:val="0"/>
        <w:widowControl w:val="0"/>
        <w:kinsoku/>
        <w:wordWrap/>
        <w:overflowPunct/>
        <w:topLinePunct w:val="0"/>
        <w:bidi w:val="0"/>
        <w:snapToGrid w:val="0"/>
        <w:spacing w:beforeAutospacing="0" w:afterAutospacing="0" w:line="360" w:lineRule="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16.</w:t>
      </w:r>
      <w:r>
        <w:rPr>
          <w:rFonts w:hint="eastAsia" w:cs="宋体"/>
          <w:color w:val="auto"/>
          <w:sz w:val="21"/>
          <w:szCs w:val="21"/>
          <w:highlight w:val="none"/>
          <w:lang w:val="en-US" w:eastAsia="zh-CN"/>
        </w:rPr>
        <w:t>10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供应商信用承诺函</w:t>
      </w:r>
    </w:p>
    <w:p w14:paraId="4822CC12">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17.</w:t>
      </w:r>
      <w:r>
        <w:rPr>
          <w:rFonts w:hint="eastAsia" w:ascii="宋体" w:hAnsi="宋体" w:eastAsia="宋体" w:cs="宋体"/>
          <w:b/>
          <w:color w:val="auto"/>
          <w:kern w:val="0"/>
          <w:szCs w:val="21"/>
          <w:highlight w:val="none"/>
          <w:lang w:val="en-US" w:eastAsia="zh-CN"/>
        </w:rPr>
        <w:t>响应文件</w:t>
      </w:r>
      <w:r>
        <w:rPr>
          <w:rFonts w:hint="eastAsia" w:ascii="宋体" w:hAnsi="宋体" w:eastAsia="宋体" w:cs="宋体"/>
          <w:b/>
          <w:color w:val="auto"/>
          <w:kern w:val="0"/>
          <w:szCs w:val="21"/>
          <w:highlight w:val="none"/>
        </w:rPr>
        <w:t>有效期</w:t>
      </w:r>
    </w:p>
    <w:p w14:paraId="23248E4E">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17.1 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从</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公告所规定的投标截止期之后开始生效，在</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须知前附表</w:t>
      </w:r>
      <w:r>
        <w:rPr>
          <w:rFonts w:hint="eastAsia" w:ascii="宋体" w:hAnsi="宋体" w:eastAsia="宋体" w:cs="宋体"/>
          <w:color w:val="auto"/>
          <w:kern w:val="0"/>
          <w:szCs w:val="21"/>
          <w:highlight w:val="none"/>
        </w:rPr>
        <w:t>第1</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项所规定的期限内保持有效。有效期不足将导致其</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文件被拒绝。</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有效期至合同完全履行止。</w:t>
      </w:r>
    </w:p>
    <w:p w14:paraId="61F96CA8">
      <w:pPr>
        <w:keepNext w:val="0"/>
        <w:keepLines w:val="0"/>
        <w:pageBreakBefore w:val="0"/>
        <w:widowControl w:val="0"/>
        <w:kinsoku/>
        <w:wordWrap/>
        <w:overflowPunct/>
        <w:topLinePunct w:val="0"/>
        <w:autoSpaceDE/>
        <w:autoSpaceDN/>
        <w:bidi w:val="0"/>
        <w:adjustRightInd/>
        <w:snapToGrid w:val="0"/>
        <w:spacing w:line="360" w:lineRule="auto"/>
        <w:ind w:firstLine="48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17.2特殊情况下</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可于投标有效期满之前书面要求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同意延长有效期，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规定的期限内以书面形式予以答复。</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可以拒绝上述要求。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答复不明确或者逾期未答复的，均视为拒绝上述要求。对于接受该要求的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，既不要求也不允许其修改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6C56C9F0">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18.投标报价</w:t>
      </w:r>
    </w:p>
    <w:p w14:paraId="78BE9A4B">
      <w:pPr>
        <w:keepNext w:val="0"/>
        <w:keepLines w:val="0"/>
        <w:pageBreakBefore w:val="0"/>
        <w:widowControl w:val="0"/>
        <w:kinsoku/>
        <w:wordWrap/>
        <w:overflowPunct/>
        <w:topLinePunct w:val="0"/>
        <w:autoSpaceDE/>
        <w:autoSpaceDN/>
        <w:bidi w:val="0"/>
        <w:adjustRightInd/>
        <w:snapToGrid w:val="0"/>
        <w:spacing w:line="360" w:lineRule="auto"/>
        <w:ind w:firstLine="420" w:firstLineChars="200"/>
        <w:jc w:val="left"/>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18.1 所有</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报价均以人民币元为计算单位。</w:t>
      </w:r>
    </w:p>
    <w:p w14:paraId="61302921">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要按</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一览表的内容填写。</w:t>
      </w:r>
    </w:p>
    <w:p w14:paraId="19CE2FE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18.3 </w:t>
      </w:r>
      <w:r>
        <w:rPr>
          <w:rFonts w:hint="eastAsia" w:ascii="宋体" w:hAnsi="宋体" w:eastAsia="宋体" w:cs="宋体"/>
          <w:color w:val="auto"/>
          <w:spacing w:val="10"/>
          <w:kern w:val="0"/>
          <w:szCs w:val="21"/>
          <w:highlight w:val="none"/>
          <w:lang w:eastAsia="zh-CN"/>
        </w:rPr>
        <w:t>供应商</w:t>
      </w:r>
      <w:r>
        <w:rPr>
          <w:rFonts w:hint="eastAsia" w:ascii="宋体" w:hAnsi="宋体" w:eastAsia="宋体" w:cs="宋体"/>
          <w:color w:val="auto"/>
          <w:spacing w:val="10"/>
          <w:kern w:val="0"/>
          <w:szCs w:val="21"/>
          <w:highlight w:val="none"/>
        </w:rPr>
        <w:t>投报多标包的，应对每标包分别报价并分别填报</w:t>
      </w:r>
      <w:r>
        <w:rPr>
          <w:rFonts w:hint="eastAsia" w:ascii="宋体" w:hAnsi="宋体" w:cs="宋体"/>
          <w:color w:val="auto"/>
          <w:kern w:val="0"/>
          <w:szCs w:val="21"/>
          <w:highlight w:val="none"/>
          <w:lang w:val="en-US" w:eastAsia="zh-CN"/>
        </w:rPr>
        <w:t>初次报价</w:t>
      </w:r>
      <w:r>
        <w:rPr>
          <w:rFonts w:hint="eastAsia" w:ascii="宋体" w:hAnsi="宋体" w:eastAsia="宋体" w:cs="宋体"/>
          <w:color w:val="auto"/>
          <w:kern w:val="0"/>
          <w:szCs w:val="21"/>
          <w:highlight w:val="none"/>
        </w:rPr>
        <w:t>一览表</w:t>
      </w:r>
      <w:r>
        <w:rPr>
          <w:rFonts w:hint="eastAsia" w:ascii="宋体" w:hAnsi="宋体" w:eastAsia="宋体" w:cs="宋体"/>
          <w:color w:val="auto"/>
          <w:spacing w:val="10"/>
          <w:kern w:val="0"/>
          <w:szCs w:val="21"/>
          <w:highlight w:val="none"/>
        </w:rPr>
        <w:t>。</w:t>
      </w:r>
    </w:p>
    <w:p w14:paraId="19E9319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18.4 </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中标明的价格在政府采购合同执行过程中是固定不变的，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不得以任何理由予以变更。以可调整的价格提交的投标将被作为无效投标处理。</w:t>
      </w:r>
    </w:p>
    <w:p w14:paraId="6A14403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18.5 </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不接受可选择的投标报价。</w:t>
      </w:r>
    </w:p>
    <w:p w14:paraId="2E60E94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18.6 对于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cs="宋体"/>
          <w:color w:val="auto"/>
          <w:kern w:val="0"/>
          <w:szCs w:val="21"/>
          <w:highlight w:val="none"/>
          <w:lang w:eastAsia="zh-CN"/>
        </w:rPr>
        <w:t>初次报价一览表</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文件中列出的赠送条款，在评审时不得作为价格评分因素或者调整评标价格的依据。</w:t>
      </w:r>
    </w:p>
    <w:p w14:paraId="6270100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19.</w:t>
      </w:r>
      <w:r>
        <w:rPr>
          <w:rFonts w:hint="eastAsia" w:ascii="宋体" w:hAnsi="宋体" w:cs="宋体"/>
          <w:b/>
          <w:color w:val="auto"/>
          <w:kern w:val="0"/>
          <w:szCs w:val="21"/>
          <w:highlight w:val="none"/>
          <w:lang w:val="en-US" w:eastAsia="zh-CN"/>
        </w:rPr>
        <w:t>磋商</w:t>
      </w:r>
      <w:r>
        <w:rPr>
          <w:rFonts w:hint="eastAsia" w:ascii="宋体" w:hAnsi="宋体" w:eastAsia="宋体" w:cs="宋体"/>
          <w:b/>
          <w:color w:val="auto"/>
          <w:kern w:val="0"/>
          <w:szCs w:val="21"/>
          <w:highlight w:val="none"/>
        </w:rPr>
        <w:t>保证金</w:t>
      </w:r>
      <w:r>
        <w:rPr>
          <w:rFonts w:hint="eastAsia" w:ascii="宋体" w:hAnsi="宋体" w:eastAsia="宋体" w:cs="宋体"/>
          <w:b/>
          <w:color w:val="auto"/>
          <w:kern w:val="0"/>
          <w:szCs w:val="21"/>
          <w:highlight w:val="none"/>
          <w:lang w:eastAsia="zh-CN"/>
        </w:rPr>
        <w:t>（</w:t>
      </w:r>
      <w:r>
        <w:rPr>
          <w:rFonts w:hint="eastAsia" w:ascii="宋体" w:hAnsi="宋体" w:eastAsia="宋体" w:cs="宋体"/>
          <w:b/>
          <w:color w:val="auto"/>
          <w:kern w:val="0"/>
          <w:szCs w:val="21"/>
          <w:highlight w:val="none"/>
          <w:lang w:val="en-US" w:eastAsia="zh-CN"/>
        </w:rPr>
        <w:t>无</w:t>
      </w:r>
      <w:r>
        <w:rPr>
          <w:rFonts w:hint="eastAsia" w:ascii="宋体" w:hAnsi="宋体" w:eastAsia="宋体" w:cs="宋体"/>
          <w:b/>
          <w:color w:val="auto"/>
          <w:kern w:val="0"/>
          <w:szCs w:val="21"/>
          <w:highlight w:val="none"/>
          <w:lang w:eastAsia="zh-CN"/>
        </w:rPr>
        <w:t>）</w:t>
      </w:r>
    </w:p>
    <w:p w14:paraId="4E517D07">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val="en-US" w:eastAsia="zh-CN"/>
        </w:rPr>
      </w:pPr>
      <w:r>
        <w:rPr>
          <w:rFonts w:hint="eastAsia" w:ascii="宋体" w:hAnsi="宋体" w:eastAsia="宋体" w:cs="宋体"/>
          <w:b/>
          <w:color w:val="auto"/>
          <w:kern w:val="0"/>
          <w:szCs w:val="21"/>
          <w:highlight w:val="none"/>
        </w:rPr>
        <w:t>20.</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color w:val="auto"/>
          <w:kern w:val="0"/>
          <w:szCs w:val="21"/>
          <w:highlight w:val="none"/>
        </w:rPr>
        <w:t>文件的签署</w:t>
      </w:r>
      <w:r>
        <w:rPr>
          <w:rFonts w:hint="eastAsia" w:ascii="宋体" w:hAnsi="宋体" w:eastAsia="宋体" w:cs="宋体"/>
          <w:b/>
          <w:color w:val="auto"/>
          <w:kern w:val="0"/>
          <w:szCs w:val="21"/>
          <w:highlight w:val="none"/>
          <w:lang w:val="en-US" w:eastAsia="zh-CN"/>
        </w:rPr>
        <w:t>及其他规定</w:t>
      </w:r>
    </w:p>
    <w:p w14:paraId="7C0EAD34">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文件应按第六章“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文件格式”进行编写，如有必要，可以增加附页，作为</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的组成部分。其中，</w:t>
      </w:r>
      <w:r>
        <w:rPr>
          <w:rFonts w:hint="eastAsia" w:ascii="宋体" w:hAnsi="宋体" w:cs="宋体"/>
          <w:color w:val="auto"/>
          <w:kern w:val="0"/>
          <w:szCs w:val="21"/>
          <w:highlight w:val="none"/>
          <w:lang w:val="en-US" w:eastAsia="zh-CN"/>
        </w:rPr>
        <w:t>初次</w:t>
      </w:r>
      <w:r>
        <w:rPr>
          <w:rFonts w:hint="eastAsia" w:ascii="宋体" w:hAnsi="宋体" w:eastAsia="宋体" w:cs="宋体"/>
          <w:color w:val="auto"/>
          <w:kern w:val="0"/>
          <w:szCs w:val="21"/>
          <w:highlight w:val="none"/>
        </w:rPr>
        <w:t>报价一览表在满足</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实质性要求的基础上，可以提出比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要求更有利于采购人的承诺。</w:t>
      </w:r>
    </w:p>
    <w:p w14:paraId="777316B7">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文件应当对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有关</w:t>
      </w:r>
      <w:r>
        <w:rPr>
          <w:rFonts w:hint="eastAsia" w:ascii="宋体" w:hAnsi="宋体" w:cs="宋体"/>
          <w:color w:val="auto"/>
          <w:kern w:val="0"/>
          <w:szCs w:val="21"/>
          <w:highlight w:val="none"/>
          <w:lang w:val="en-US" w:eastAsia="zh-CN"/>
        </w:rPr>
        <w:t>服务期限</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r>
        <w:rPr>
          <w:rFonts w:hint="eastAsia" w:ascii="宋体" w:hAnsi="宋体" w:eastAsia="宋体" w:cs="宋体"/>
          <w:color w:val="auto"/>
          <w:kern w:val="0"/>
          <w:sz w:val="21"/>
          <w:szCs w:val="21"/>
          <w:highlight w:val="none"/>
          <w:lang w:eastAsia="zh-CN"/>
        </w:rPr>
        <w:t>服务质量</w:t>
      </w:r>
      <w:r>
        <w:rPr>
          <w:rFonts w:hint="eastAsia" w:ascii="宋体" w:hAnsi="宋体" w:eastAsia="宋体" w:cs="宋体"/>
          <w:color w:val="auto"/>
          <w:kern w:val="0"/>
          <w:szCs w:val="21"/>
          <w:highlight w:val="none"/>
        </w:rPr>
        <w:t>等实质性内容作出响应。</w:t>
      </w:r>
    </w:p>
    <w:p w14:paraId="00BF468C">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文件应用不褪色的材料书写或打印，并由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的法定代表人盖章或盖单位公章；</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文件应尽量避免涂改、行间插字或删除，如果出现上述情况，改动之处应加盖单位公章或由</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的法定代表人盖章确认。签字或盖章的具体要求见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749BE63F">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文件份数见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文件正本和副本的封面上应清楚地标记“正本”或“副本”的字样。</w:t>
      </w:r>
    </w:p>
    <w:p w14:paraId="0759B2A5">
      <w:pPr>
        <w:keepNext w:val="0"/>
        <w:keepLines w:val="0"/>
        <w:pageBreakBefore w:val="0"/>
        <w:widowControl w:val="0"/>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文件的具体装订要求见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w:t>
      </w:r>
    </w:p>
    <w:p w14:paraId="36FD3D24">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四、</w:t>
      </w:r>
      <w:r>
        <w:rPr>
          <w:rFonts w:hint="eastAsia" w:ascii="宋体" w:hAnsi="宋体" w:eastAsia="宋体" w:cs="宋体"/>
          <w:b/>
          <w:bCs/>
          <w:color w:val="auto"/>
          <w:kern w:val="0"/>
          <w:sz w:val="28"/>
          <w:szCs w:val="28"/>
          <w:highlight w:val="none"/>
          <w:lang w:val="en-US" w:eastAsia="zh-CN"/>
        </w:rPr>
        <w:t>响应</w:t>
      </w:r>
      <w:r>
        <w:rPr>
          <w:rFonts w:hint="eastAsia" w:ascii="宋体" w:hAnsi="宋体" w:eastAsia="宋体" w:cs="宋体"/>
          <w:b/>
          <w:bCs/>
          <w:color w:val="auto"/>
          <w:kern w:val="0"/>
          <w:sz w:val="28"/>
          <w:szCs w:val="28"/>
          <w:highlight w:val="none"/>
        </w:rPr>
        <w:t>文件的递交</w:t>
      </w:r>
    </w:p>
    <w:p w14:paraId="3422DD75">
      <w:pPr>
        <w:keepNext w:val="0"/>
        <w:keepLines w:val="0"/>
        <w:pageBreakBefore w:val="0"/>
        <w:widowControl w:val="0"/>
        <w:kinsoku/>
        <w:wordWrap/>
        <w:overflowPunct/>
        <w:topLinePunct w:val="0"/>
        <w:autoSpaceDE/>
        <w:autoSpaceDN/>
        <w:bidi w:val="0"/>
        <w:adjustRightInd/>
        <w:snapToGrid w:val="0"/>
        <w:spacing w:line="360" w:lineRule="auto"/>
        <w:ind w:firstLine="417" w:firstLineChars="198"/>
        <w:textAlignment w:val="auto"/>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21.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文件的密封、标记</w:t>
      </w:r>
    </w:p>
    <w:p w14:paraId="06AFE761">
      <w:pPr>
        <w:keepNext w:val="0"/>
        <w:keepLines w:val="0"/>
        <w:pageBreakBefore w:val="0"/>
        <w:widowControl w:val="0"/>
        <w:kinsoku/>
        <w:wordWrap/>
        <w:overflowPunct/>
        <w:topLinePunct w:val="0"/>
        <w:autoSpaceDE/>
        <w:autoSpaceDN/>
        <w:bidi w:val="0"/>
        <w:adjustRightInd/>
        <w:spacing w:line="360" w:lineRule="auto"/>
        <w:ind w:firstLine="424" w:firstLineChars="202"/>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21.1</w:t>
      </w:r>
      <w:r>
        <w:rPr>
          <w:rFonts w:hint="eastAsia" w:ascii="宋体" w:hAnsi="宋体" w:eastAsia="宋体" w:cs="宋体"/>
          <w:color w:val="auto"/>
          <w:highlight w:val="none"/>
        </w:rPr>
        <w:t>响应文件应密封包装，并在封套的封口处加盖供应商单位章或由供应商的法定代表人（单位负责人）或其授权的代理人签字。</w:t>
      </w:r>
    </w:p>
    <w:p w14:paraId="3460BD2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highlight w:val="none"/>
          <w:lang w:eastAsia="zh-CN"/>
        </w:rPr>
      </w:pPr>
      <w:r>
        <w:rPr>
          <w:rFonts w:hint="eastAsia" w:ascii="宋体" w:hAnsi="宋体" w:eastAsia="宋体" w:cs="宋体"/>
          <w:color w:val="auto"/>
          <w:highlight w:val="none"/>
          <w:lang w:eastAsia="zh-CN"/>
        </w:rPr>
        <w:t>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lang w:eastAsia="zh-CN"/>
        </w:rPr>
        <w:t xml:space="preserve"> 未按本章第2</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lang w:eastAsia="zh-CN"/>
        </w:rPr>
        <w:t>.1项要求密封的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highlight w:val="none"/>
          <w:lang w:eastAsia="zh-CN"/>
        </w:rPr>
        <w:t>文件，采购人不予受理。</w:t>
      </w:r>
    </w:p>
    <w:p w14:paraId="7C77F584">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bCs w:val="0"/>
          <w:color w:val="auto"/>
          <w:kern w:val="0"/>
          <w:szCs w:val="21"/>
          <w:highlight w:val="none"/>
        </w:rPr>
      </w:pPr>
      <w:r>
        <w:rPr>
          <w:rFonts w:hint="eastAsia" w:ascii="宋体" w:hAnsi="宋体" w:eastAsia="宋体" w:cs="宋体"/>
          <w:b/>
          <w:bCs w:val="0"/>
          <w:color w:val="auto"/>
          <w:kern w:val="0"/>
          <w:szCs w:val="21"/>
          <w:highlight w:val="none"/>
        </w:rPr>
        <w:t xml:space="preserve">22. </w:t>
      </w:r>
      <w:r>
        <w:rPr>
          <w:rFonts w:hint="eastAsia" w:ascii="宋体" w:hAnsi="宋体" w:eastAsia="宋体" w:cs="宋体"/>
          <w:b/>
          <w:bCs w:val="0"/>
          <w:color w:val="auto"/>
          <w:kern w:val="0"/>
          <w:szCs w:val="21"/>
          <w:highlight w:val="none"/>
          <w:lang w:val="en-US" w:eastAsia="zh-CN"/>
        </w:rPr>
        <w:t>响应</w:t>
      </w:r>
      <w:r>
        <w:rPr>
          <w:rFonts w:hint="eastAsia" w:ascii="宋体" w:hAnsi="宋体" w:eastAsia="宋体" w:cs="宋体"/>
          <w:b/>
          <w:bCs w:val="0"/>
          <w:color w:val="auto"/>
          <w:kern w:val="0"/>
          <w:szCs w:val="21"/>
          <w:highlight w:val="none"/>
        </w:rPr>
        <w:t>文件的递交</w:t>
      </w:r>
    </w:p>
    <w:p w14:paraId="779378DC">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应在规定的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截止时间前</w:t>
      </w:r>
      <w:r>
        <w:rPr>
          <w:rFonts w:hint="eastAsia" w:ascii="宋体" w:hAnsi="宋体" w:eastAsia="宋体" w:cs="宋体"/>
          <w:color w:val="auto"/>
          <w:kern w:val="0"/>
          <w:szCs w:val="21"/>
          <w:highlight w:val="none"/>
          <w:lang w:eastAsia="zh-CN"/>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p>
    <w:p w14:paraId="6D2FE37B">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递交</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文件的地点：见</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w:t>
      </w:r>
    </w:p>
    <w:p w14:paraId="5636CC71">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 除</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须知前附表另有规定外，</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所递交的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文件不予退还。</w:t>
      </w:r>
    </w:p>
    <w:p w14:paraId="10E51D90">
      <w:pPr>
        <w:keepNext w:val="0"/>
        <w:keepLines w:val="0"/>
        <w:pageBreakBefore w:val="0"/>
        <w:widowControl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.4 逾期送达的或者未送达指定地点的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文件，采购人不予受理。</w:t>
      </w:r>
    </w:p>
    <w:p w14:paraId="1298E0CA">
      <w:pPr>
        <w:keepNext w:val="0"/>
        <w:keepLines w:val="0"/>
        <w:pageBreakBefore w:val="0"/>
        <w:widowControl w:val="0"/>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 xml:space="preserve">23. </w:t>
      </w:r>
      <w:r>
        <w:rPr>
          <w:rFonts w:hint="eastAsia" w:ascii="宋体" w:hAnsi="宋体" w:eastAsia="宋体" w:cs="宋体"/>
          <w:b/>
          <w:color w:val="auto"/>
          <w:kern w:val="0"/>
          <w:szCs w:val="21"/>
          <w:highlight w:val="none"/>
          <w:lang w:val="en-US" w:eastAsia="zh-CN"/>
        </w:rPr>
        <w:t>响应</w:t>
      </w:r>
      <w:r>
        <w:rPr>
          <w:rFonts w:hint="eastAsia" w:ascii="宋体" w:hAnsi="宋体" w:eastAsia="宋体" w:cs="宋体"/>
          <w:b/>
          <w:color w:val="auto"/>
          <w:kern w:val="0"/>
          <w:szCs w:val="21"/>
          <w:highlight w:val="none"/>
        </w:rPr>
        <w:t>文件的修改和撤回</w:t>
      </w:r>
    </w:p>
    <w:p w14:paraId="3082747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23.1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在投标截止时间前，可以对所提交的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文件进行补充、修改或者撤回，并书面通知</w:t>
      </w:r>
      <w:r>
        <w:rPr>
          <w:rFonts w:hint="eastAsia" w:ascii="宋体" w:hAnsi="宋体" w:eastAsia="宋体" w:cs="宋体"/>
          <w:color w:val="auto"/>
          <w:kern w:val="0"/>
          <w:szCs w:val="21"/>
          <w:highlight w:val="none"/>
          <w:lang w:eastAsia="zh-CN"/>
        </w:rPr>
        <w:t>采购人</w:t>
      </w:r>
      <w:r>
        <w:rPr>
          <w:rFonts w:hint="eastAsia" w:ascii="宋体" w:hAnsi="宋体" w:eastAsia="宋体" w:cs="宋体"/>
          <w:color w:val="auto"/>
          <w:kern w:val="0"/>
          <w:szCs w:val="21"/>
          <w:highlight w:val="none"/>
        </w:rPr>
        <w:t>。补充、修改的内容和撤回通知应当按本须知要求签署、盖章、密封，并作为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文件的组成部分。</w:t>
      </w:r>
    </w:p>
    <w:p w14:paraId="212601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23.2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截止期后不得修改、撤回</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在投标截止期后修改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文件的，其投标将被拒绝。</w:t>
      </w:r>
    </w:p>
    <w:p w14:paraId="2B34B2BD">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五</w:t>
      </w:r>
      <w:r>
        <w:rPr>
          <w:rFonts w:hint="eastAsia" w:ascii="宋体" w:hAnsi="宋体" w:eastAsia="宋体" w:cs="宋体"/>
          <w:b/>
          <w:bCs/>
          <w:color w:val="auto"/>
          <w:kern w:val="0"/>
          <w:sz w:val="28"/>
          <w:szCs w:val="28"/>
          <w:highlight w:val="none"/>
        </w:rPr>
        <w:t>、评标</w:t>
      </w:r>
    </w:p>
    <w:p w14:paraId="4A05B213">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 组建</w:t>
      </w:r>
      <w:r>
        <w:rPr>
          <w:rFonts w:hint="eastAsia" w:ascii="宋体" w:hAnsi="宋体" w:eastAsia="宋体" w:cs="宋体"/>
          <w:b/>
          <w:bCs/>
          <w:color w:val="auto"/>
          <w:kern w:val="0"/>
          <w:szCs w:val="21"/>
          <w:highlight w:val="none"/>
          <w:lang w:eastAsia="zh-CN"/>
        </w:rPr>
        <w:t>磋商小组</w:t>
      </w:r>
    </w:p>
    <w:p w14:paraId="2ACBB11F">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.1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由采购人代表和评审专家组成。成员由</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人以上单数组成。</w:t>
      </w:r>
      <w:r>
        <w:rPr>
          <w:rFonts w:hint="eastAsia" w:ascii="宋体" w:hAnsi="宋体" w:eastAsia="宋体" w:cs="宋体"/>
          <w:color w:val="auto"/>
          <w:szCs w:val="21"/>
          <w:highlight w:val="none"/>
        </w:rPr>
        <w:t>在开标后由</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szCs w:val="21"/>
          <w:highlight w:val="none"/>
        </w:rPr>
        <w:t>进行审查、质疑、评估和比较，并做合理的建议。</w:t>
      </w:r>
    </w:p>
    <w:p w14:paraId="56065443">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成员要依法独立评审，并对评审意见承担个人责任。</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成员对需要共同认定的事项存在争议的，按照少数服从多数的原则</w:t>
      </w:r>
      <w:r>
        <w:rPr>
          <w:rFonts w:hint="eastAsia" w:ascii="宋体" w:hAnsi="宋体" w:eastAsia="宋体" w:cs="宋体"/>
          <w:color w:val="auto"/>
          <w:kern w:val="0"/>
          <w:szCs w:val="21"/>
          <w:highlight w:val="none"/>
        </w:rPr>
        <w:t>做</w:t>
      </w:r>
      <w:r>
        <w:rPr>
          <w:rFonts w:hint="eastAsia" w:ascii="宋体" w:hAnsi="宋体" w:eastAsia="宋体" w:cs="宋体"/>
          <w:color w:val="auto"/>
          <w:szCs w:val="21"/>
          <w:highlight w:val="none"/>
        </w:rPr>
        <w:t>出结论。持不同意见的</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成员应当在评</w:t>
      </w:r>
      <w:r>
        <w:rPr>
          <w:rFonts w:hint="eastAsia" w:ascii="宋体" w:hAnsi="宋体" w:eastAsia="宋体" w:cs="宋体"/>
          <w:color w:val="auto"/>
          <w:szCs w:val="21"/>
          <w:highlight w:val="none"/>
          <w:lang w:val="en-US" w:eastAsia="zh-CN"/>
        </w:rPr>
        <w:t>审</w:t>
      </w:r>
      <w:r>
        <w:rPr>
          <w:rFonts w:hint="eastAsia" w:ascii="宋体" w:hAnsi="宋体" w:eastAsia="宋体" w:cs="宋体"/>
          <w:color w:val="auto"/>
          <w:szCs w:val="21"/>
          <w:highlight w:val="none"/>
        </w:rPr>
        <w:t>报告上签署不同意见</w:t>
      </w:r>
      <w:r>
        <w:rPr>
          <w:rFonts w:hint="eastAsia" w:ascii="宋体" w:hAnsi="宋体" w:eastAsia="宋体" w:cs="宋体"/>
          <w:color w:val="auto"/>
          <w:kern w:val="0"/>
          <w:szCs w:val="21"/>
          <w:highlight w:val="none"/>
        </w:rPr>
        <w:t>并说明</w:t>
      </w:r>
      <w:r>
        <w:rPr>
          <w:rFonts w:hint="eastAsia" w:ascii="宋体" w:hAnsi="宋体" w:eastAsia="宋体" w:cs="宋体"/>
          <w:color w:val="auto"/>
          <w:szCs w:val="21"/>
          <w:highlight w:val="none"/>
        </w:rPr>
        <w:t>理由，否则视为同意。</w:t>
      </w:r>
    </w:p>
    <w:p w14:paraId="03D6E234">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2</w:t>
      </w: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szCs w:val="21"/>
          <w:highlight w:val="none"/>
        </w:rPr>
        <w:t>文件的初审</w:t>
      </w:r>
    </w:p>
    <w:p w14:paraId="64109282">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.1对所有</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的评估，都采用相同的程序和标准。评标过程将严格按照</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的要求和条件进行。</w:t>
      </w:r>
    </w:p>
    <w:p w14:paraId="35890ACD">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.2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将对</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进行检查，以确定</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是否完整、有无计算上的错误、文件是否已正确签署等。</w:t>
      </w:r>
    </w:p>
    <w:p w14:paraId="4A2920C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 </w:t>
      </w: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报价出现前后不一致的，除</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另有规定外，修正错误的原则如下：</w:t>
      </w:r>
    </w:p>
    <w:p w14:paraId="144318B3">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val="en-US" w:eastAsia="zh-CN"/>
        </w:rPr>
        <w:t>响应文件</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（报价表）内容与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shd w:val="clear" w:color="auto" w:fill="FFFFFF"/>
        </w:rPr>
        <w:t>中相应内容不一致的，以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（报价表）为准；</w:t>
      </w:r>
    </w:p>
    <w:p w14:paraId="3A3A1955">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.3.2</w:t>
      </w:r>
      <w:r>
        <w:rPr>
          <w:rFonts w:hint="eastAsia" w:ascii="宋体" w:hAnsi="宋体" w:eastAsia="宋体" w:cs="宋体"/>
          <w:color w:val="auto"/>
          <w:sz w:val="21"/>
          <w:szCs w:val="21"/>
          <w:highlight w:val="none"/>
          <w:shd w:val="clear" w:color="auto" w:fill="FFFFFF"/>
        </w:rPr>
        <w:t>大写金额</w:t>
      </w:r>
      <w:r>
        <w:rPr>
          <w:rFonts w:hint="eastAsia" w:ascii="宋体" w:hAnsi="宋体" w:eastAsia="宋体" w:cs="宋体"/>
          <w:color w:val="auto"/>
          <w:sz w:val="21"/>
          <w:szCs w:val="21"/>
          <w:highlight w:val="none"/>
        </w:rPr>
        <w:t>与</w:t>
      </w:r>
      <w:r>
        <w:rPr>
          <w:rFonts w:hint="eastAsia" w:ascii="宋体" w:hAnsi="宋体" w:eastAsia="宋体" w:cs="宋体"/>
          <w:color w:val="auto"/>
          <w:sz w:val="21"/>
          <w:szCs w:val="21"/>
          <w:highlight w:val="none"/>
          <w:shd w:val="clear" w:color="auto" w:fill="FFFFFF"/>
        </w:rPr>
        <w:t>小写金额不一致的，以大写金额为准；</w:t>
      </w:r>
    </w:p>
    <w:p w14:paraId="31ABCE9D">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.3.3</w:t>
      </w:r>
      <w:r>
        <w:rPr>
          <w:rFonts w:hint="eastAsia" w:ascii="宋体" w:hAnsi="宋体" w:eastAsia="宋体" w:cs="宋体"/>
          <w:color w:val="auto"/>
          <w:sz w:val="21"/>
          <w:szCs w:val="21"/>
          <w:highlight w:val="none"/>
          <w:shd w:val="clear" w:color="auto" w:fill="FFFFFF"/>
        </w:rPr>
        <w:t>单价金额小数点或者百分比有明显错位的，以</w:t>
      </w:r>
      <w:r>
        <w:rPr>
          <w:rFonts w:hint="eastAsia" w:ascii="宋体" w:hAnsi="宋体" w:cs="宋体"/>
          <w:color w:val="auto"/>
          <w:sz w:val="21"/>
          <w:szCs w:val="21"/>
          <w:highlight w:val="none"/>
          <w:shd w:val="clear" w:color="auto" w:fill="FFFFFF"/>
          <w:lang w:eastAsia="zh-CN"/>
        </w:rPr>
        <w:t>初次报价一览表</w:t>
      </w:r>
      <w:r>
        <w:rPr>
          <w:rFonts w:hint="eastAsia" w:ascii="宋体" w:hAnsi="宋体" w:eastAsia="宋体" w:cs="宋体"/>
          <w:color w:val="auto"/>
          <w:sz w:val="21"/>
          <w:szCs w:val="21"/>
          <w:highlight w:val="none"/>
          <w:shd w:val="clear" w:color="auto" w:fill="FFFFFF"/>
        </w:rPr>
        <w:t>的总价为准，并修改单价；</w:t>
      </w:r>
    </w:p>
    <w:p w14:paraId="5BA60CAB">
      <w:pPr>
        <w:pStyle w:val="30"/>
        <w:keepNext w:val="0"/>
        <w:keepLines w:val="0"/>
        <w:pageBreakBefore w:val="0"/>
        <w:widowControl w:val="0"/>
        <w:shd w:val="clear" w:color="auto" w:fill="FFFFFF"/>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.3.4</w:t>
      </w:r>
      <w:r>
        <w:rPr>
          <w:rFonts w:hint="eastAsia" w:ascii="宋体" w:hAnsi="宋体" w:eastAsia="宋体" w:cs="宋体"/>
          <w:color w:val="auto"/>
          <w:sz w:val="21"/>
          <w:szCs w:val="21"/>
          <w:highlight w:val="none"/>
          <w:shd w:val="clear" w:color="auto" w:fill="FFFFFF"/>
        </w:rPr>
        <w:t>总价金额与按单价汇总金额不一致的，以单价金额计算结果为准。</w:t>
      </w:r>
    </w:p>
    <w:p w14:paraId="705E8C06">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.3.5对不同文字文本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文件的解释发生异议的，以中文文本为准。</w:t>
      </w:r>
    </w:p>
    <w:p w14:paraId="25858B3F">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.3.6同时出现两种以上不一致的，按照前款规定的顺序修正。修正后的报价按照财政部87号令第五十一条第二款的规定经</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确认后产生约束力，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不确认的，其投标无效。</w:t>
      </w:r>
    </w:p>
    <w:p w14:paraId="6813D72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 资格性检查和符合性检查。</w:t>
      </w:r>
    </w:p>
    <w:p w14:paraId="142D4490">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w:t>
      </w:r>
      <w:r>
        <w:rPr>
          <w:rFonts w:hint="eastAsia" w:ascii="宋体" w:hAnsi="宋体" w:eastAsia="宋体" w:cs="宋体"/>
          <w:color w:val="auto"/>
          <w:szCs w:val="21"/>
          <w:highlight w:val="none"/>
        </w:rPr>
        <w:t>资格性检查。依据法规政策和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的规定，在对</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详细评估之前，采购人将依据</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提交的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按</w:t>
      </w:r>
      <w:r>
        <w:rPr>
          <w:rFonts w:hint="eastAsia" w:ascii="宋体" w:hAnsi="宋体" w:eastAsia="宋体" w:cs="宋体"/>
          <w:color w:val="auto"/>
          <w:szCs w:val="21"/>
          <w:highlight w:val="none"/>
          <w:lang w:val="en-US" w:eastAsia="zh-CN"/>
        </w:rPr>
        <w:t>采购</w:t>
      </w:r>
      <w:r>
        <w:rPr>
          <w:rFonts w:hint="eastAsia" w:ascii="宋体" w:hAnsi="宋体" w:eastAsia="宋体" w:cs="宋体"/>
          <w:color w:val="auto"/>
          <w:szCs w:val="21"/>
          <w:highlight w:val="none"/>
        </w:rPr>
        <w:t>公告第二项和</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第三章4.</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应提交的证明文件所述的资格标准对</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进行资格审查,以确定其是否具备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资格。如果</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不具备</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资格、不满足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所规定的资格标准或提供资格证明文件不全,其投标将被作为无效</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。在审查过程中，采购人有权要求</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的规定提供相关资格证明材料的原件以供审查。</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应在规定的时限内提供。</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拒不提供的，或者不能在规定时限内提供的，视为其不具备该资格条件。</w:t>
      </w:r>
    </w:p>
    <w:p w14:paraId="6BFE397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.4.2 资格审查后合格的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不足3家的，不得评标。</w:t>
      </w:r>
    </w:p>
    <w:p w14:paraId="3CBCF06E">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 符合性检查。依据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将从</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的有效性、完整性和对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的响应程度进行审查，以确定是否符合对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的实质性要求作出响应。对没有实质性响应的</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文件将不进行评估，其投标被作为无效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。凡有下列情况之一者，</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文件也将被视为未实质性响应</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w:t>
      </w:r>
    </w:p>
    <w:p w14:paraId="2AD151F3">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未按规定签字、盖章的。</w:t>
      </w:r>
    </w:p>
    <w:p w14:paraId="1BA2E62B">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未能出具有效身份证明，或与身份不符的。</w:t>
      </w:r>
    </w:p>
    <w:p w14:paraId="1B41BBD1">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（3）未按磋商文件规定报价，报价均超过采购预算或最高限价的。</w:t>
      </w:r>
    </w:p>
    <w:p w14:paraId="16F7F56F">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（4）响应文件有效期、服务期限等不满足竞争性磋商文件要求的。</w:t>
      </w:r>
    </w:p>
    <w:p w14:paraId="76EFA974">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（5）未按</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提供的格式填列、项目不齐全或内容虚假的。</w:t>
      </w:r>
    </w:p>
    <w:p w14:paraId="7CFE71F5">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（6）</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的实质性内容未使用中文表述，或意思表述不明确，或前后矛盾，或使用计量单位不符合</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要求的。</w:t>
      </w:r>
    </w:p>
    <w:p w14:paraId="56FDF7E7">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（7）</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的关键内容字迹模糊、无法辨认,或</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szCs w:val="21"/>
          <w:highlight w:val="none"/>
        </w:rPr>
        <w:t>文件中经修正的内容字迹模糊无法辩认，或修改处未按规定签名盖章的。</w:t>
      </w:r>
    </w:p>
    <w:p w14:paraId="5F5D818A">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en-US" w:eastAsia="zh-CN"/>
        </w:rPr>
        <w:t>响应文件</w:t>
      </w:r>
      <w:r>
        <w:rPr>
          <w:rFonts w:hint="eastAsia" w:ascii="宋体" w:hAnsi="宋体" w:eastAsia="宋体" w:cs="宋体"/>
          <w:color w:val="auto"/>
          <w:szCs w:val="21"/>
          <w:highlight w:val="none"/>
        </w:rPr>
        <w:t>内容未按</w:t>
      </w:r>
      <w:r>
        <w:rPr>
          <w:rFonts w:hint="eastAsia" w:ascii="宋体" w:hAnsi="宋体" w:eastAsia="宋体" w:cs="宋体"/>
          <w:color w:val="auto"/>
          <w:szCs w:val="21"/>
          <w:highlight w:val="none"/>
          <w:lang w:val="en-US" w:eastAsia="zh-CN"/>
        </w:rPr>
        <w:t>竞争性磋商文件</w:t>
      </w:r>
      <w:r>
        <w:rPr>
          <w:rFonts w:hint="eastAsia" w:ascii="宋体" w:hAnsi="宋体" w:eastAsia="宋体" w:cs="宋体"/>
          <w:color w:val="auto"/>
          <w:szCs w:val="21"/>
          <w:highlight w:val="none"/>
        </w:rPr>
        <w:t>响应的。</w:t>
      </w:r>
    </w:p>
    <w:p w14:paraId="69263292">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eastAsia="zh-CN"/>
        </w:rPr>
        <w:t>）任何一项技术要求低于或不满足“第二章 采购需求 ”</w:t>
      </w:r>
      <w:r>
        <w:rPr>
          <w:rFonts w:hint="eastAsia" w:ascii="宋体" w:hAnsi="宋体" w:cs="宋体"/>
          <w:color w:val="auto"/>
          <w:szCs w:val="21"/>
          <w:highlight w:val="none"/>
          <w:lang w:eastAsia="zh-CN"/>
        </w:rPr>
        <w:t>。</w:t>
      </w:r>
    </w:p>
    <w:p w14:paraId="35BBCB9C">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10</w:t>
      </w:r>
      <w:r>
        <w:rPr>
          <w:rFonts w:hint="eastAsia" w:ascii="宋体" w:hAnsi="宋体" w:eastAsia="宋体" w:cs="宋体"/>
          <w:color w:val="auto"/>
          <w:kern w:val="0"/>
          <w:szCs w:val="21"/>
          <w:highlight w:val="none"/>
        </w:rPr>
        <w:t>）不符合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中规定的其它实质性条款。</w:t>
      </w:r>
    </w:p>
    <w:p w14:paraId="2E330AD2">
      <w:pPr>
        <w:keepNext w:val="0"/>
        <w:keepLines w:val="0"/>
        <w:pageBreakBefore w:val="0"/>
        <w:widowControl w:val="0"/>
        <w:tabs>
          <w:tab w:val="left" w:pos="0"/>
        </w:tabs>
        <w:kinsoku/>
        <w:wordWrap/>
        <w:overflowPunct/>
        <w:topLinePunct w:val="0"/>
        <w:bidi w:val="0"/>
        <w:snapToGrid w:val="0"/>
        <w:spacing w:line="360" w:lineRule="auto"/>
        <w:ind w:firstLine="420" w:firstLineChars="20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决定投标的响应性只根据</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文件本身的内容，而不寻求其他的外部证据。</w:t>
      </w:r>
    </w:p>
    <w:p w14:paraId="66B46D6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.4.4 对资格性检查和符合性检查不合格的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，将</w:t>
      </w:r>
      <w:r>
        <w:rPr>
          <w:rFonts w:hint="eastAsia" w:ascii="宋体" w:hAnsi="宋体" w:eastAsia="宋体" w:cs="宋体"/>
          <w:color w:val="auto"/>
          <w:kern w:val="0"/>
          <w:szCs w:val="21"/>
          <w:highlight w:val="none"/>
          <w:lang w:val="en-US" w:eastAsia="zh-CN"/>
        </w:rPr>
        <w:t>通过评标系统</w:t>
      </w:r>
      <w:r>
        <w:rPr>
          <w:rFonts w:hint="eastAsia" w:ascii="宋体" w:hAnsi="宋体" w:eastAsia="宋体" w:cs="宋体"/>
          <w:color w:val="auto"/>
          <w:kern w:val="0"/>
          <w:szCs w:val="21"/>
          <w:highlight w:val="none"/>
        </w:rPr>
        <w:t>告知其理由。</w:t>
      </w:r>
    </w:p>
    <w:p w14:paraId="77F927FC">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5</w:t>
      </w:r>
      <w:r>
        <w:rPr>
          <w:rFonts w:hint="eastAsia" w:ascii="宋体" w:hAnsi="宋体" w:eastAsia="宋体" w:cs="宋体"/>
          <w:color w:val="auto"/>
          <w:sz w:val="21"/>
          <w:szCs w:val="21"/>
          <w:highlight w:val="none"/>
        </w:rPr>
        <w:t>.5 在评审过程中，</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发现</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有下列情形之一的，视为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串通投标，其</w:t>
      </w:r>
      <w:r>
        <w:rPr>
          <w:rFonts w:hint="eastAsia" w:ascii="宋体" w:hAnsi="宋体" w:eastAsia="宋体" w:cs="宋体"/>
          <w:color w:val="auto"/>
          <w:sz w:val="21"/>
          <w:szCs w:val="21"/>
          <w:highlight w:val="none"/>
          <w:lang w:val="en-US" w:eastAsia="zh-CN"/>
        </w:rPr>
        <w:t>磋商</w:t>
      </w:r>
      <w:r>
        <w:rPr>
          <w:rFonts w:hint="eastAsia" w:ascii="宋体" w:hAnsi="宋体" w:eastAsia="宋体" w:cs="宋体"/>
          <w:color w:val="auto"/>
          <w:sz w:val="21"/>
          <w:szCs w:val="21"/>
          <w:highlight w:val="none"/>
        </w:rPr>
        <w:t>无效：</w:t>
      </w:r>
    </w:p>
    <w:p w14:paraId="1EE4C146">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.5.1不同</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异常一致。</w:t>
      </w:r>
    </w:p>
    <w:p w14:paraId="2270B0AE">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.5.2不同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由同一单位或者个人编制；</w:t>
      </w:r>
    </w:p>
    <w:p w14:paraId="44CEB4EC">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.5.3不同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委托同一单位或者个人办理投标事宜；</w:t>
      </w:r>
    </w:p>
    <w:p w14:paraId="74BE5AF6">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.5.4不同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载明的项目管理成员或者联系人员为同一人；　　</w:t>
      </w:r>
    </w:p>
    <w:p w14:paraId="4CD527DD">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.5.5不同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相互混装；</w:t>
      </w:r>
    </w:p>
    <w:p w14:paraId="24A47826">
      <w:pPr>
        <w:keepNext w:val="0"/>
        <w:keepLines w:val="0"/>
        <w:pageBreakBefore w:val="0"/>
        <w:widowControl w:val="0"/>
        <w:tabs>
          <w:tab w:val="left" w:pos="0"/>
        </w:tabs>
        <w:kinsoku/>
        <w:wordWrap/>
        <w:overflowPunct/>
        <w:topLinePunct w:val="0"/>
        <w:bidi w:val="0"/>
        <w:snapToGrid w:val="0"/>
        <w:spacing w:line="360" w:lineRule="auto"/>
        <w:ind w:left="105" w:leftChars="50" w:firstLine="315" w:firstLineChars="150"/>
        <w:contextualSpacing/>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eastAsia="zh-CN"/>
        </w:rPr>
        <w:t>5</w:t>
      </w:r>
      <w:r>
        <w:rPr>
          <w:rFonts w:hint="eastAsia" w:ascii="宋体" w:hAnsi="宋体" w:eastAsia="宋体" w:cs="宋体"/>
          <w:color w:val="auto"/>
          <w:szCs w:val="21"/>
          <w:highlight w:val="none"/>
        </w:rPr>
        <w:t>.5.6不同</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的</w:t>
      </w:r>
      <w:r>
        <w:rPr>
          <w:rFonts w:hint="eastAsia" w:ascii="宋体" w:hAnsi="宋体" w:cs="宋体"/>
          <w:color w:val="auto"/>
          <w:szCs w:val="21"/>
          <w:highlight w:val="none"/>
          <w:lang w:val="en-US" w:eastAsia="zh-CN"/>
        </w:rPr>
        <w:t>磋商</w:t>
      </w:r>
      <w:r>
        <w:rPr>
          <w:rFonts w:hint="eastAsia" w:ascii="宋体" w:hAnsi="宋体" w:eastAsia="宋体" w:cs="宋体"/>
          <w:color w:val="auto"/>
          <w:szCs w:val="21"/>
          <w:highlight w:val="none"/>
        </w:rPr>
        <w:t>保证金从同一单位或者个人的账户转出（若收取）。</w:t>
      </w:r>
    </w:p>
    <w:p w14:paraId="042CE69E">
      <w:pPr>
        <w:keepNext w:val="0"/>
        <w:keepLines w:val="0"/>
        <w:pageBreakBefore w:val="0"/>
        <w:widowControl w:val="0"/>
        <w:kinsoku/>
        <w:wordWrap/>
        <w:overflowPunct/>
        <w:topLinePunct w:val="0"/>
        <w:bidi w:val="0"/>
        <w:adjustRightInd w:val="0"/>
        <w:snapToGrid w:val="0"/>
        <w:spacing w:line="360" w:lineRule="auto"/>
        <w:ind w:left="19" w:leftChars="9" w:firstLine="399" w:firstLineChars="190"/>
        <w:jc w:val="left"/>
        <w:textAlignment w:val="baseline"/>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.5.7 有证据证明</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串通投标的其他情形的；</w:t>
      </w:r>
    </w:p>
    <w:p w14:paraId="2B28D7DC">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5</w:t>
      </w:r>
      <w:r>
        <w:rPr>
          <w:rFonts w:hint="eastAsia" w:ascii="宋体" w:hAnsi="宋体" w:eastAsia="宋体" w:cs="宋体"/>
          <w:color w:val="auto"/>
          <w:kern w:val="0"/>
          <w:szCs w:val="21"/>
          <w:highlight w:val="none"/>
        </w:rPr>
        <w:t xml:space="preserve">.5.8 </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认定的其他串通投标情形。</w:t>
      </w:r>
    </w:p>
    <w:p w14:paraId="6C3D279A">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val="en-US" w:eastAsia="zh-CN"/>
        </w:rPr>
        <w:t>响应</w:t>
      </w:r>
      <w:r>
        <w:rPr>
          <w:rFonts w:hint="eastAsia" w:ascii="宋体" w:hAnsi="宋体" w:eastAsia="宋体" w:cs="宋体"/>
          <w:b/>
          <w:bCs/>
          <w:color w:val="auto"/>
          <w:kern w:val="0"/>
          <w:szCs w:val="21"/>
          <w:highlight w:val="none"/>
        </w:rPr>
        <w:t>文件的澄清</w:t>
      </w:r>
    </w:p>
    <w:p w14:paraId="23F8A63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文件中含义不明确、同类问题表述不一致或者有明显文字和计算错误的内容，</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可以书面形式要求</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作出必要的澄清。</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的澄清应当在</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规定的时间内以书面形式作出，由其</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代表签字。但澄清事项不得超出</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文件的范围，不得实质性改变</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文件的内容，不得通过澄清等方式对</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实行差别对待。</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不得接受</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主动提出的澄清和解释。</w:t>
      </w:r>
    </w:p>
    <w:p w14:paraId="564F681A">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7</w:t>
      </w:r>
      <w:r>
        <w:rPr>
          <w:rFonts w:hint="eastAsia" w:ascii="宋体" w:hAnsi="宋体" w:eastAsia="宋体" w:cs="宋体"/>
          <w:b/>
          <w:bCs/>
          <w:color w:val="auto"/>
          <w:kern w:val="0"/>
          <w:szCs w:val="21"/>
          <w:highlight w:val="none"/>
        </w:rPr>
        <w:t>. 比较与评价</w:t>
      </w:r>
    </w:p>
    <w:p w14:paraId="207493F8">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 xml:space="preserve">.1 </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将按本</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规定的评标方法与标准，对资格性检查和符合性检查合格的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 w:val="21"/>
          <w:szCs w:val="21"/>
          <w:highlight w:val="none"/>
        </w:rPr>
        <w:t>进行商务和技术评估，综合比较与评价。</w:t>
      </w:r>
    </w:p>
    <w:p w14:paraId="4B267F26">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.2对漏（缺）报项的处理：</w:t>
      </w:r>
      <w:r>
        <w:rPr>
          <w:rFonts w:hint="eastAsia" w:ascii="宋体" w:hAnsi="宋体" w:cs="宋体"/>
          <w:color w:val="auto"/>
          <w:sz w:val="21"/>
          <w:szCs w:val="21"/>
          <w:highlight w:val="none"/>
          <w:lang w:val="en-US" w:eastAsia="zh-CN"/>
        </w:rPr>
        <w:t>竞争性磋商文件</w:t>
      </w:r>
      <w:r>
        <w:rPr>
          <w:rFonts w:hint="eastAsia" w:ascii="宋体" w:hAnsi="宋体" w:eastAsia="宋体" w:cs="宋体"/>
          <w:color w:val="auto"/>
          <w:sz w:val="21"/>
          <w:szCs w:val="21"/>
          <w:highlight w:val="none"/>
        </w:rPr>
        <w:t>中要求列入报价的费用，漏（缺）报的视同已含在投标总价中。</w:t>
      </w:r>
    </w:p>
    <w:p w14:paraId="7D1FC0EE">
      <w:pPr>
        <w:pStyle w:val="30"/>
        <w:keepNext w:val="0"/>
        <w:keepLines w:val="0"/>
        <w:pageBreakBefore w:val="0"/>
        <w:widowControl w:val="0"/>
        <w:kinsoku/>
        <w:wordWrap/>
        <w:overflowPunct/>
        <w:topLinePunct w:val="0"/>
        <w:bidi w:val="0"/>
        <w:snapToGrid w:val="0"/>
        <w:spacing w:before="0" w:beforeAutospacing="0" w:after="0" w:afterAutospacing="0" w:line="360" w:lineRule="auto"/>
        <w:ind w:firstLine="420" w:firstLineChars="200"/>
        <w:jc w:val="both"/>
        <w:rPr>
          <w:rFonts w:hint="eastAsia" w:ascii="宋体" w:hAnsi="宋体" w:eastAsia="宋体" w:cs="宋体"/>
          <w:b/>
          <w:bCs/>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认为</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的报价明显低于其他通过符合性审查</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的报价，有可能影响</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质量或者不能诚信履约的，应当要求其在评标现场合理的时间内提供书面说明，必要时提交相关证明材料；</w:t>
      </w: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不能证明其报价合理性的，</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应当将其作为无效投标处理。</w:t>
      </w:r>
    </w:p>
    <w:p w14:paraId="06593252">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2</w:t>
      </w: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 评标过程及保密原则</w:t>
      </w:r>
    </w:p>
    <w:p w14:paraId="34423DB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.1 凡与本次</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有关人员对属于审查、澄清、评价和比较</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的有关资料以及定标意向等，均不得向</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或其他人员透露。否则,将按有关规定追究相关人员的责任。</w:t>
      </w:r>
    </w:p>
    <w:p w14:paraId="5C68DAC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val="en-US" w:eastAsia="zh-CN"/>
        </w:rPr>
        <w:t>8</w:t>
      </w:r>
      <w:r>
        <w:rPr>
          <w:rFonts w:hint="eastAsia" w:ascii="宋体" w:hAnsi="宋体" w:eastAsia="宋体" w:cs="宋体"/>
          <w:color w:val="auto"/>
          <w:kern w:val="0"/>
          <w:szCs w:val="21"/>
          <w:highlight w:val="none"/>
        </w:rPr>
        <w:t>.2 在评标期间，</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试图影响或干预评审的任何行为，将导致其</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，并承担相应的法律责任。</w:t>
      </w:r>
    </w:p>
    <w:p w14:paraId="3192C51F">
      <w:pPr>
        <w:keepNext w:val="0"/>
        <w:keepLines w:val="0"/>
        <w:pageBreakBefore w:val="0"/>
        <w:widowControl w:val="0"/>
        <w:kinsoku/>
        <w:wordWrap/>
        <w:overflowPunct/>
        <w:topLinePunct w:val="0"/>
        <w:bidi w:val="0"/>
        <w:snapToGrid w:val="0"/>
        <w:spacing w:line="360" w:lineRule="auto"/>
        <w:ind w:firstLine="422" w:firstLineChars="2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lang w:val="en-US" w:eastAsia="zh-CN"/>
        </w:rPr>
        <w:t>29</w:t>
      </w:r>
      <w:r>
        <w:rPr>
          <w:rFonts w:hint="eastAsia" w:ascii="宋体" w:hAnsi="宋体" w:eastAsia="宋体" w:cs="宋体"/>
          <w:b/>
          <w:color w:val="auto"/>
          <w:kern w:val="0"/>
          <w:szCs w:val="21"/>
          <w:highlight w:val="none"/>
        </w:rPr>
        <w:t>.评标异议登记</w:t>
      </w:r>
    </w:p>
    <w:p w14:paraId="169F673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Cs w:val="21"/>
          <w:highlight w:val="none"/>
        </w:rPr>
        <w:t>采购人</w:t>
      </w:r>
      <w:r>
        <w:rPr>
          <w:rFonts w:hint="eastAsia" w:ascii="宋体" w:hAnsi="宋体" w:eastAsia="宋体" w:cs="宋体"/>
          <w:color w:val="auto"/>
          <w:kern w:val="0"/>
          <w:szCs w:val="21"/>
          <w:highlight w:val="none"/>
        </w:rPr>
        <w:t>工作人员对评审专家等相关人员在评审过程中发现、提出的异议进行逐项登记。</w:t>
      </w:r>
    </w:p>
    <w:p w14:paraId="696EE690">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六</w:t>
      </w:r>
      <w:r>
        <w:rPr>
          <w:rFonts w:hint="eastAsia" w:ascii="宋体" w:hAnsi="宋体" w:eastAsia="宋体" w:cs="宋体"/>
          <w:b/>
          <w:bCs/>
          <w:color w:val="auto"/>
          <w:kern w:val="0"/>
          <w:sz w:val="28"/>
          <w:szCs w:val="28"/>
          <w:highlight w:val="none"/>
        </w:rPr>
        <w:t>、定标</w:t>
      </w:r>
    </w:p>
    <w:p w14:paraId="1491DFB3">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0</w:t>
      </w:r>
      <w:r>
        <w:rPr>
          <w:rFonts w:hint="eastAsia" w:ascii="宋体" w:hAnsi="宋体" w:eastAsia="宋体" w:cs="宋体"/>
          <w:b/>
          <w:bCs/>
          <w:color w:val="auto"/>
          <w:kern w:val="0"/>
          <w:szCs w:val="21"/>
          <w:highlight w:val="none"/>
        </w:rPr>
        <w:t>. 定标原则</w:t>
      </w:r>
    </w:p>
    <w:p w14:paraId="33FAE78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.1 最低投标价不作为</w:t>
      </w:r>
      <w:r>
        <w:rPr>
          <w:rFonts w:hint="eastAsia" w:ascii="宋体" w:hAnsi="宋体" w:eastAsia="宋体" w:cs="宋体"/>
          <w:bCs/>
          <w:color w:val="auto"/>
          <w:kern w:val="0"/>
          <w:szCs w:val="21"/>
          <w:highlight w:val="none"/>
          <w:lang w:val="en-US" w:eastAsia="zh-CN"/>
        </w:rPr>
        <w:t>成交</w:t>
      </w:r>
      <w:r>
        <w:rPr>
          <w:rFonts w:hint="eastAsia" w:ascii="宋体" w:hAnsi="宋体" w:eastAsia="宋体" w:cs="宋体"/>
          <w:bCs/>
          <w:color w:val="auto"/>
          <w:kern w:val="0"/>
          <w:szCs w:val="21"/>
          <w:highlight w:val="none"/>
        </w:rPr>
        <w:t>的保证。</w:t>
      </w:r>
    </w:p>
    <w:p w14:paraId="2FD505D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竞争性磋商文件</w:t>
      </w:r>
      <w:r>
        <w:rPr>
          <w:rFonts w:hint="eastAsia" w:ascii="宋体" w:hAnsi="宋体" w:eastAsia="宋体" w:cs="宋体"/>
          <w:bCs/>
          <w:color w:val="auto"/>
          <w:kern w:val="0"/>
          <w:szCs w:val="21"/>
          <w:highlight w:val="none"/>
        </w:rPr>
        <w:t>且满足下列条件的为</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bCs/>
          <w:color w:val="auto"/>
          <w:kern w:val="0"/>
          <w:szCs w:val="21"/>
          <w:highlight w:val="none"/>
        </w:rPr>
        <w:t>（或</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w:t>
      </w:r>
    </w:p>
    <w:p w14:paraId="0B8265F6">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bookmarkStart w:id="47" w:name="_Toc32200"/>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0</w:t>
      </w:r>
      <w:r>
        <w:rPr>
          <w:rFonts w:hint="eastAsia" w:ascii="宋体" w:hAnsi="宋体" w:eastAsia="宋体" w:cs="宋体"/>
          <w:bCs/>
          <w:color w:val="auto"/>
          <w:kern w:val="0"/>
          <w:szCs w:val="21"/>
          <w:highlight w:val="none"/>
        </w:rPr>
        <w:t>.2.1</w:t>
      </w:r>
      <w:bookmarkEnd w:id="47"/>
      <w:r>
        <w:rPr>
          <w:rFonts w:hint="eastAsia" w:ascii="宋体" w:hAnsi="宋体" w:eastAsia="宋体" w:cs="宋体"/>
          <w:bCs/>
          <w:color w:val="auto"/>
          <w:kern w:val="0"/>
          <w:szCs w:val="21"/>
          <w:highlight w:val="none"/>
        </w:rPr>
        <w:t>本次评标采用</w:t>
      </w:r>
      <w:r>
        <w:rPr>
          <w:rFonts w:hint="eastAsia" w:ascii="宋体" w:hAnsi="宋体" w:eastAsia="宋体" w:cs="宋体"/>
          <w:color w:val="auto"/>
          <w:szCs w:val="21"/>
          <w:highlight w:val="none"/>
        </w:rPr>
        <w:t>综合评分法，是指响应文件满足</w:t>
      </w:r>
      <w:r>
        <w:rPr>
          <w:rFonts w:hint="eastAsia" w:ascii="宋体" w:hAnsi="宋体" w:cs="宋体"/>
          <w:color w:val="auto"/>
          <w:szCs w:val="21"/>
          <w:highlight w:val="none"/>
          <w:lang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w:t>
      </w:r>
      <w:r>
        <w:rPr>
          <w:rFonts w:hint="eastAsia" w:ascii="宋体" w:hAnsi="宋体" w:eastAsia="宋体" w:cs="宋体"/>
          <w:color w:val="auto"/>
          <w:szCs w:val="21"/>
          <w:highlight w:val="none"/>
          <w:lang w:eastAsia="zh-CN"/>
        </w:rPr>
        <w:t>成交</w:t>
      </w:r>
      <w:r>
        <w:rPr>
          <w:rFonts w:hint="eastAsia" w:ascii="宋体" w:hAnsi="宋体" w:eastAsia="宋体" w:cs="宋体"/>
          <w:color w:val="auto"/>
          <w:szCs w:val="21"/>
          <w:highlight w:val="none"/>
          <w:lang w:val="en-US" w:eastAsia="zh-CN"/>
        </w:rPr>
        <w:t>供应商</w:t>
      </w:r>
      <w:r>
        <w:rPr>
          <w:rFonts w:hint="eastAsia" w:ascii="宋体" w:hAnsi="宋体" w:eastAsia="宋体" w:cs="宋体"/>
          <w:color w:val="auto"/>
          <w:szCs w:val="21"/>
          <w:highlight w:val="none"/>
        </w:rPr>
        <w:t>的评标方法。</w:t>
      </w:r>
    </w:p>
    <w:p w14:paraId="75F1A9DB">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采用综合评分法的，评标结果按评审后得分由高到低顺序排列。</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szCs w:val="21"/>
          <w:highlight w:val="none"/>
        </w:rPr>
        <w:t>满足</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全部实质性要求，且按照评审因素的量化指标评审得分最高的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为排名第一的</w:t>
      </w:r>
      <w:r>
        <w:rPr>
          <w:rFonts w:hint="eastAsia" w:ascii="宋体" w:hAnsi="宋体" w:eastAsia="宋体" w:cs="宋体"/>
          <w:color w:val="auto"/>
          <w:szCs w:val="21"/>
          <w:highlight w:val="none"/>
          <w:lang w:eastAsia="zh-CN"/>
        </w:rPr>
        <w:t>成交供应商</w:t>
      </w:r>
      <w:r>
        <w:rPr>
          <w:rFonts w:hint="eastAsia" w:ascii="宋体" w:hAnsi="宋体" w:eastAsia="宋体" w:cs="宋体"/>
          <w:color w:val="auto"/>
          <w:szCs w:val="21"/>
          <w:highlight w:val="none"/>
        </w:rPr>
        <w:t>，以此类推。得分相同的，按</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报价由低到高顺序排列。得分且</w:t>
      </w: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报价相同的，按技术部分得分顺序排列。得分与技术指标优劣均相同的，通过随机抽取产生。</w:t>
      </w:r>
    </w:p>
    <w:p w14:paraId="66C92019">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color w:val="auto"/>
          <w:kern w:val="0"/>
          <w:szCs w:val="21"/>
          <w:highlight w:val="none"/>
          <w:lang w:eastAsia="zh-CN"/>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1</w:t>
      </w:r>
      <w:r>
        <w:rPr>
          <w:rFonts w:hint="eastAsia" w:ascii="宋体" w:hAnsi="宋体" w:eastAsia="宋体" w:cs="宋体"/>
          <w:b/>
          <w:bCs/>
          <w:color w:val="auto"/>
          <w:kern w:val="0"/>
          <w:szCs w:val="21"/>
          <w:highlight w:val="none"/>
        </w:rPr>
        <w:t>. 确定</w:t>
      </w:r>
      <w:r>
        <w:rPr>
          <w:rFonts w:hint="eastAsia" w:ascii="宋体" w:hAnsi="宋体" w:eastAsia="宋体" w:cs="宋体"/>
          <w:b/>
          <w:bCs/>
          <w:color w:val="auto"/>
          <w:kern w:val="0"/>
          <w:szCs w:val="21"/>
          <w:highlight w:val="none"/>
          <w:lang w:eastAsia="zh-CN"/>
        </w:rPr>
        <w:t>成交供应商</w:t>
      </w:r>
      <w:r>
        <w:rPr>
          <w:rFonts w:hint="eastAsia" w:ascii="宋体" w:hAnsi="宋体" w:eastAsia="宋体" w:cs="宋体"/>
          <w:b/>
          <w:bCs/>
          <w:color w:val="auto"/>
          <w:kern w:val="0"/>
          <w:szCs w:val="21"/>
          <w:highlight w:val="none"/>
        </w:rPr>
        <w:t>和</w:t>
      </w:r>
      <w:r>
        <w:rPr>
          <w:rFonts w:hint="eastAsia" w:ascii="宋体" w:hAnsi="宋体" w:eastAsia="宋体" w:cs="宋体"/>
          <w:b/>
          <w:bCs/>
          <w:color w:val="auto"/>
          <w:kern w:val="0"/>
          <w:szCs w:val="21"/>
          <w:highlight w:val="none"/>
          <w:lang w:eastAsia="zh-CN"/>
        </w:rPr>
        <w:t>成交候选供应商</w:t>
      </w:r>
    </w:p>
    <w:p w14:paraId="62AFBCD4">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rPr>
        <w:t>本项目由采购人授权</w:t>
      </w:r>
      <w:r>
        <w:rPr>
          <w:rFonts w:hint="eastAsia" w:ascii="宋体" w:hAnsi="宋体" w:eastAsia="宋体" w:cs="宋体"/>
          <w:bCs/>
          <w:color w:val="auto"/>
          <w:kern w:val="0"/>
          <w:szCs w:val="21"/>
          <w:highlight w:val="none"/>
          <w:lang w:eastAsia="zh-CN"/>
        </w:rPr>
        <w:t>磋商小组</w:t>
      </w:r>
      <w:r>
        <w:rPr>
          <w:rFonts w:hint="eastAsia" w:ascii="宋体" w:hAnsi="宋体" w:eastAsia="宋体" w:cs="宋体"/>
          <w:bCs/>
          <w:color w:val="auto"/>
          <w:kern w:val="0"/>
          <w:szCs w:val="21"/>
          <w:highlight w:val="none"/>
        </w:rPr>
        <w:t>确定一名</w:t>
      </w:r>
      <w:r>
        <w:rPr>
          <w:rFonts w:hint="eastAsia" w:ascii="宋体" w:hAnsi="宋体" w:eastAsia="宋体" w:cs="宋体"/>
          <w:bCs/>
          <w:color w:val="auto"/>
          <w:kern w:val="0"/>
          <w:szCs w:val="21"/>
          <w:highlight w:val="none"/>
          <w:lang w:eastAsia="zh-CN"/>
        </w:rPr>
        <w:t>成交供应商</w:t>
      </w:r>
      <w:r>
        <w:rPr>
          <w:rFonts w:hint="eastAsia" w:ascii="宋体" w:hAnsi="宋体" w:eastAsia="宋体" w:cs="宋体"/>
          <w:bCs/>
          <w:color w:val="auto"/>
          <w:kern w:val="0"/>
          <w:szCs w:val="21"/>
          <w:highlight w:val="none"/>
        </w:rPr>
        <w:t>并推荐</w:t>
      </w:r>
      <w:r>
        <w:rPr>
          <w:rFonts w:hint="eastAsia" w:ascii="宋体" w:hAnsi="宋体" w:cs="宋体"/>
          <w:bCs/>
          <w:color w:val="auto"/>
          <w:kern w:val="0"/>
          <w:szCs w:val="21"/>
          <w:highlight w:val="none"/>
          <w:lang w:val="en-US" w:eastAsia="zh-CN"/>
        </w:rPr>
        <w:t>一</w:t>
      </w:r>
      <w:r>
        <w:rPr>
          <w:rFonts w:hint="eastAsia" w:ascii="宋体" w:hAnsi="宋体" w:eastAsia="宋体" w:cs="宋体"/>
          <w:bCs/>
          <w:color w:val="auto"/>
          <w:kern w:val="0"/>
          <w:szCs w:val="21"/>
          <w:highlight w:val="none"/>
        </w:rPr>
        <w:t>名</w:t>
      </w:r>
      <w:r>
        <w:rPr>
          <w:rFonts w:hint="eastAsia" w:ascii="宋体" w:hAnsi="宋体" w:eastAsia="宋体" w:cs="宋体"/>
          <w:bCs/>
          <w:color w:val="auto"/>
          <w:kern w:val="0"/>
          <w:szCs w:val="21"/>
          <w:highlight w:val="none"/>
          <w:lang w:eastAsia="zh-CN"/>
        </w:rPr>
        <w:t>成交候选供应商</w:t>
      </w:r>
      <w:r>
        <w:rPr>
          <w:rFonts w:hint="eastAsia" w:ascii="宋体" w:hAnsi="宋体" w:eastAsia="宋体" w:cs="宋体"/>
          <w:color w:val="auto"/>
          <w:kern w:val="0"/>
          <w:szCs w:val="21"/>
          <w:highlight w:val="none"/>
        </w:rPr>
        <w:t>。</w:t>
      </w:r>
    </w:p>
    <w:p w14:paraId="372F70FD">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 xml:space="preserve">. </w:t>
      </w:r>
      <w:r>
        <w:rPr>
          <w:rFonts w:hint="eastAsia" w:ascii="宋体" w:hAnsi="宋体" w:eastAsia="宋体" w:cs="宋体"/>
          <w:b/>
          <w:bCs/>
          <w:color w:val="auto"/>
          <w:kern w:val="0"/>
          <w:szCs w:val="21"/>
          <w:highlight w:val="none"/>
          <w:lang w:eastAsia="zh-CN"/>
        </w:rPr>
        <w:t>成交通知书</w:t>
      </w:r>
      <w:r>
        <w:rPr>
          <w:rFonts w:hint="eastAsia" w:ascii="宋体" w:hAnsi="宋体" w:eastAsia="宋体" w:cs="宋体"/>
          <w:b/>
          <w:bCs/>
          <w:color w:val="auto"/>
          <w:kern w:val="0"/>
          <w:szCs w:val="21"/>
          <w:highlight w:val="none"/>
        </w:rPr>
        <w:t>及</w:t>
      </w:r>
      <w:r>
        <w:rPr>
          <w:rFonts w:hint="eastAsia" w:ascii="宋体" w:hAnsi="宋体" w:cs="宋体"/>
          <w:b/>
          <w:bCs/>
          <w:color w:val="auto"/>
          <w:kern w:val="0"/>
          <w:szCs w:val="21"/>
          <w:highlight w:val="none"/>
          <w:lang w:eastAsia="zh-CN"/>
        </w:rPr>
        <w:t>成交</w:t>
      </w:r>
      <w:r>
        <w:rPr>
          <w:rFonts w:hint="eastAsia" w:ascii="宋体" w:hAnsi="宋体" w:cs="宋体"/>
          <w:b/>
          <w:bCs/>
          <w:color w:val="auto"/>
          <w:kern w:val="0"/>
          <w:szCs w:val="21"/>
          <w:highlight w:val="none"/>
          <w:lang w:val="en-US" w:eastAsia="zh-CN"/>
        </w:rPr>
        <w:t>结果</w:t>
      </w:r>
      <w:r>
        <w:rPr>
          <w:rFonts w:hint="eastAsia" w:ascii="宋体" w:hAnsi="宋体" w:eastAsia="宋体" w:cs="宋体"/>
          <w:b/>
          <w:bCs/>
          <w:color w:val="auto"/>
          <w:kern w:val="0"/>
          <w:szCs w:val="21"/>
          <w:highlight w:val="none"/>
        </w:rPr>
        <w:t>公告</w:t>
      </w:r>
    </w:p>
    <w:p w14:paraId="3D915327">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.1评审结束后，</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人将</w:t>
      </w:r>
      <w:r>
        <w:rPr>
          <w:rFonts w:hint="eastAsia" w:ascii="宋体" w:hAnsi="宋体" w:eastAsia="宋体" w:cs="宋体"/>
          <w:color w:val="auto"/>
          <w:kern w:val="0"/>
          <w:szCs w:val="21"/>
          <w:highlight w:val="none"/>
          <w:lang w:eastAsia="zh-CN"/>
        </w:rPr>
        <w:t>成交</w:t>
      </w:r>
      <w:r>
        <w:rPr>
          <w:rFonts w:hint="eastAsia" w:ascii="宋体" w:hAnsi="宋体" w:eastAsia="宋体" w:cs="宋体"/>
          <w:color w:val="auto"/>
          <w:kern w:val="0"/>
          <w:szCs w:val="21"/>
          <w:highlight w:val="none"/>
          <w:lang w:val="en-US" w:eastAsia="zh-CN"/>
        </w:rPr>
        <w:t>供应商</w:t>
      </w:r>
      <w:r>
        <w:rPr>
          <w:rFonts w:hint="eastAsia" w:ascii="宋体" w:hAnsi="宋体" w:eastAsia="宋体" w:cs="宋体"/>
          <w:color w:val="auto"/>
          <w:kern w:val="0"/>
          <w:szCs w:val="21"/>
          <w:highlight w:val="none"/>
        </w:rPr>
        <w:t>的情况在本</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项目</w:t>
      </w:r>
      <w:r>
        <w:rPr>
          <w:rFonts w:hint="eastAsia" w:ascii="宋体" w:hAnsi="宋体" w:eastAsia="宋体" w:cs="宋体"/>
          <w:color w:val="auto"/>
          <w:kern w:val="0"/>
          <w:szCs w:val="21"/>
          <w:highlight w:val="none"/>
          <w:lang w:val="en-US" w:eastAsia="zh-CN"/>
        </w:rPr>
        <w:t>采购</w:t>
      </w:r>
      <w:r>
        <w:rPr>
          <w:rFonts w:hint="eastAsia" w:ascii="宋体" w:hAnsi="宋体" w:eastAsia="宋体" w:cs="宋体"/>
          <w:color w:val="auto"/>
          <w:kern w:val="0"/>
          <w:szCs w:val="21"/>
          <w:highlight w:val="none"/>
        </w:rPr>
        <w:t>公告发布的同一媒介予以公示，公示</w:t>
      </w:r>
      <w:r>
        <w:rPr>
          <w:rFonts w:hint="eastAsia" w:ascii="宋体" w:hAnsi="宋体" w:eastAsia="宋体" w:cs="宋体"/>
          <w:color w:val="auto"/>
          <w:kern w:val="0"/>
          <w:szCs w:val="21"/>
          <w:highlight w:val="none"/>
          <w:lang w:eastAsia="zh-CN"/>
        </w:rPr>
        <w:t>期限</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个工作日</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公示期结束后</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发出</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w:t>
      </w:r>
    </w:p>
    <w:p w14:paraId="4509EAA2">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.2</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在规定的时间内不领取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的，视为</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在有效报价中报价最低,非不可抗力放弃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资格的。发生上述情况的承担由此引起的一切后果。</w:t>
      </w:r>
    </w:p>
    <w:p w14:paraId="23B29C4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对采购人和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具有同等法律效力。</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发出后，采购人改变</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结果，或者</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，应按相关法律、规章、规范性文件的要求承担相应的法律责任。</w:t>
      </w:r>
    </w:p>
    <w:p w14:paraId="7D97035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2</w:t>
      </w:r>
      <w:r>
        <w:rPr>
          <w:rFonts w:hint="eastAsia" w:ascii="宋体" w:hAnsi="宋体" w:eastAsia="宋体" w:cs="宋体"/>
          <w:bCs/>
          <w:color w:val="auto"/>
          <w:kern w:val="0"/>
          <w:szCs w:val="21"/>
          <w:highlight w:val="none"/>
        </w:rPr>
        <w:t>.4</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将作为签订合同的依据。合同签订后，</w:t>
      </w:r>
      <w:r>
        <w:rPr>
          <w:rFonts w:hint="eastAsia" w:ascii="宋体" w:hAnsi="宋体" w:eastAsia="宋体" w:cs="宋体"/>
          <w:bCs/>
          <w:color w:val="auto"/>
          <w:kern w:val="0"/>
          <w:szCs w:val="21"/>
          <w:highlight w:val="none"/>
          <w:lang w:eastAsia="zh-CN"/>
        </w:rPr>
        <w:t>成交通知书</w:t>
      </w:r>
      <w:r>
        <w:rPr>
          <w:rFonts w:hint="eastAsia" w:ascii="宋体" w:hAnsi="宋体" w:eastAsia="宋体" w:cs="宋体"/>
          <w:bCs/>
          <w:color w:val="auto"/>
          <w:kern w:val="0"/>
          <w:szCs w:val="21"/>
          <w:highlight w:val="none"/>
        </w:rPr>
        <w:t>成为合同的一部分。</w:t>
      </w:r>
    </w:p>
    <w:p w14:paraId="2ED126A2">
      <w:pPr>
        <w:keepNext w:val="0"/>
        <w:keepLines w:val="0"/>
        <w:pageBreakBefore w:val="0"/>
        <w:widowControl w:val="0"/>
        <w:kinsoku/>
        <w:wordWrap/>
        <w:overflowPunct/>
        <w:topLinePunct w:val="0"/>
        <w:bidi w:val="0"/>
        <w:snapToGrid w:val="0"/>
        <w:spacing w:line="360" w:lineRule="auto"/>
        <w:ind w:firstLine="422" w:firstLineChars="2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 采购人宣布废标的权利</w:t>
      </w:r>
    </w:p>
    <w:p w14:paraId="4E844310">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.1出现下列情况之一时，采购人有权宣布废标，并将理由通知所有</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w:t>
      </w:r>
    </w:p>
    <w:p w14:paraId="0C9DF35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.1.1出现影响采购公正的违法、违规行为的。</w:t>
      </w:r>
    </w:p>
    <w:p w14:paraId="2BDB6598">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.1.2</w:t>
      </w:r>
      <w:r>
        <w:rPr>
          <w:rFonts w:hint="eastAsia" w:ascii="宋体" w:hAnsi="宋体" w:eastAsia="宋体" w:cs="宋体"/>
          <w:bCs/>
          <w:color w:val="auto"/>
          <w:kern w:val="0"/>
          <w:szCs w:val="21"/>
          <w:highlight w:val="none"/>
          <w:lang w:eastAsia="zh-CN"/>
        </w:rPr>
        <w:t>供应商</w:t>
      </w:r>
      <w:r>
        <w:rPr>
          <w:rFonts w:hint="eastAsia" w:ascii="宋体" w:hAnsi="宋体" w:eastAsia="宋体" w:cs="宋体"/>
          <w:bCs/>
          <w:color w:val="auto"/>
          <w:kern w:val="0"/>
          <w:szCs w:val="21"/>
          <w:highlight w:val="none"/>
        </w:rPr>
        <w:t>的报价均超过了</w:t>
      </w:r>
      <w:r>
        <w:rPr>
          <w:rFonts w:hint="eastAsia" w:ascii="宋体" w:hAnsi="宋体" w:eastAsia="宋体" w:cs="宋体"/>
          <w:bCs/>
          <w:color w:val="auto"/>
          <w:kern w:val="0"/>
          <w:szCs w:val="21"/>
          <w:highlight w:val="none"/>
          <w:lang w:val="en-US" w:eastAsia="zh-CN"/>
        </w:rPr>
        <w:t>采购预算金额</w:t>
      </w:r>
      <w:r>
        <w:rPr>
          <w:rFonts w:hint="eastAsia" w:ascii="宋体" w:hAnsi="宋体" w:eastAsia="宋体" w:cs="宋体"/>
          <w:bCs/>
          <w:color w:val="auto"/>
          <w:kern w:val="0"/>
          <w:szCs w:val="21"/>
          <w:highlight w:val="none"/>
        </w:rPr>
        <w:t>，采购人不能支付的。</w:t>
      </w:r>
    </w:p>
    <w:p w14:paraId="7571C909">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bCs/>
          <w:color w:val="auto"/>
          <w:kern w:val="0"/>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bCs/>
          <w:color w:val="auto"/>
          <w:kern w:val="0"/>
          <w:szCs w:val="21"/>
          <w:highlight w:val="none"/>
        </w:rPr>
        <w:t>.1.3因重大变故，采购任务取消的。</w:t>
      </w:r>
    </w:p>
    <w:p w14:paraId="44C49EDD">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eastAsia="宋体" w:cs="宋体"/>
          <w:bCs/>
          <w:color w:val="auto"/>
          <w:kern w:val="0"/>
          <w:szCs w:val="21"/>
          <w:highlight w:val="none"/>
        </w:rPr>
        <w:t>3</w:t>
      </w:r>
      <w:r>
        <w:rPr>
          <w:rFonts w:hint="eastAsia" w:ascii="宋体" w:hAnsi="宋体" w:eastAsia="宋体" w:cs="宋体"/>
          <w:bCs/>
          <w:color w:val="auto"/>
          <w:kern w:val="0"/>
          <w:szCs w:val="21"/>
          <w:highlight w:val="none"/>
          <w:lang w:val="en-US" w:eastAsia="zh-CN"/>
        </w:rPr>
        <w:t>3</w:t>
      </w:r>
      <w:r>
        <w:rPr>
          <w:rFonts w:hint="eastAsia" w:ascii="宋体" w:hAnsi="宋体" w:eastAsia="宋体" w:cs="宋体"/>
          <w:color w:val="auto"/>
          <w:kern w:val="0"/>
          <w:szCs w:val="21"/>
          <w:highlight w:val="none"/>
        </w:rPr>
        <w:t xml:space="preserve">.2 </w:t>
      </w:r>
      <w:r>
        <w:rPr>
          <w:rFonts w:hint="eastAsia" w:ascii="宋体" w:hAnsi="宋体" w:eastAsia="宋体" w:cs="宋体"/>
          <w:color w:val="auto"/>
          <w:szCs w:val="21"/>
          <w:highlight w:val="none"/>
        </w:rPr>
        <w:t>投标截止后</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不足3家或通过资格性检查或符合性检查的</w:t>
      </w: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不足3家的，除采购任务取消情形外，按照以下方式处理：</w:t>
      </w:r>
    </w:p>
    <w:p w14:paraId="773D3C0B">
      <w:pPr>
        <w:keepNext w:val="0"/>
        <w:keepLines w:val="0"/>
        <w:pageBreakBefore w:val="0"/>
        <w:widowControl w:val="0"/>
        <w:numPr>
          <w:ilvl w:val="0"/>
          <w:numId w:val="2"/>
        </w:numPr>
        <w:kinsoku/>
        <w:wordWrap/>
        <w:overflowPunct/>
        <w:topLinePunct w:val="0"/>
        <w:bidi w:val="0"/>
        <w:snapToGrid w:val="0"/>
        <w:spacing w:line="360" w:lineRule="auto"/>
        <w:ind w:firstLine="420" w:firstLineChars="200"/>
        <w:rPr>
          <w:rFonts w:hint="eastAsia" w:ascii="宋体" w:hAnsi="宋体" w:eastAsia="宋体" w:cs="宋体"/>
          <w:color w:val="auto"/>
          <w:szCs w:val="21"/>
          <w:highlight w:val="none"/>
        </w:rPr>
      </w:pP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存在不合理条款或者招标程序不符合规定的，采购人正后依法重新招标；　</w:t>
      </w:r>
    </w:p>
    <w:p w14:paraId="76FD1C0D">
      <w:pPr>
        <w:keepNext w:val="0"/>
        <w:keepLines w:val="0"/>
        <w:pageBreakBefore w:val="0"/>
        <w:widowControl w:val="0"/>
        <w:kinsoku/>
        <w:wordWrap/>
        <w:overflowPunct/>
        <w:topLinePunct w:val="0"/>
        <w:bidi w:val="0"/>
        <w:snapToGrid w:val="0"/>
        <w:spacing w:line="360" w:lineRule="auto"/>
        <w:ind w:firstLine="420" w:firstLineChars="200"/>
        <w:rPr>
          <w:rFonts w:hint="eastAsia" w:ascii="宋体" w:hAnsi="宋体" w:eastAsia="宋体" w:cs="宋体"/>
          <w:b/>
          <w:color w:val="auto"/>
          <w:kern w:val="0"/>
          <w:sz w:val="52"/>
          <w:szCs w:val="52"/>
          <w:highlight w:val="none"/>
        </w:rPr>
      </w:pPr>
      <w:r>
        <w:rPr>
          <w:rFonts w:hint="eastAsia" w:ascii="宋体" w:hAnsi="宋体" w:eastAsia="宋体" w:cs="宋体"/>
          <w:color w:val="auto"/>
          <w:szCs w:val="21"/>
          <w:highlight w:val="none"/>
        </w:rPr>
        <w:t>（2）</w:t>
      </w:r>
      <w:r>
        <w:rPr>
          <w:rFonts w:hint="eastAsia" w:ascii="宋体" w:hAnsi="宋体" w:cs="宋体"/>
          <w:color w:val="auto"/>
          <w:szCs w:val="21"/>
          <w:highlight w:val="none"/>
          <w:lang w:val="en-US" w:eastAsia="zh-CN"/>
        </w:rPr>
        <w:t>竞争性磋商文件</w:t>
      </w:r>
      <w:r>
        <w:rPr>
          <w:rFonts w:hint="eastAsia" w:ascii="宋体" w:hAnsi="宋体" w:eastAsia="宋体" w:cs="宋体"/>
          <w:color w:val="auto"/>
          <w:szCs w:val="21"/>
          <w:highlight w:val="none"/>
        </w:rPr>
        <w:t>没有不合理条款、招标程序符合规定，需要采用其他采购方式采购的，采购人应当依法报财政部门批准。</w:t>
      </w:r>
    </w:p>
    <w:p w14:paraId="27F551A9">
      <w:pPr>
        <w:keepNext w:val="0"/>
        <w:keepLines w:val="0"/>
        <w:pageBreakBefore w:val="0"/>
        <w:widowControl w:val="0"/>
        <w:kinsoku/>
        <w:wordWrap/>
        <w:overflowPunct/>
        <w:topLinePunct w:val="0"/>
        <w:autoSpaceDE/>
        <w:autoSpaceDN/>
        <w:bidi w:val="0"/>
        <w:adjustRightInd/>
        <w:snapToGrid w:val="0"/>
        <w:spacing w:line="360" w:lineRule="auto"/>
        <w:ind w:firstLine="0"/>
        <w:jc w:val="center"/>
        <w:textAlignment w:val="auto"/>
        <w:outlineLvl w:val="1"/>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lang w:val="en-US" w:eastAsia="zh-CN"/>
        </w:rPr>
        <w:t>七</w:t>
      </w:r>
      <w:r>
        <w:rPr>
          <w:rFonts w:hint="eastAsia" w:ascii="宋体" w:hAnsi="宋体" w:eastAsia="宋体" w:cs="宋体"/>
          <w:b/>
          <w:bCs/>
          <w:color w:val="auto"/>
          <w:kern w:val="0"/>
          <w:sz w:val="28"/>
          <w:szCs w:val="28"/>
          <w:highlight w:val="none"/>
        </w:rPr>
        <w:t>、合同授予</w:t>
      </w:r>
    </w:p>
    <w:p w14:paraId="48F5B599">
      <w:pPr>
        <w:keepNext w:val="0"/>
        <w:keepLines w:val="0"/>
        <w:pageBreakBefore w:val="0"/>
        <w:widowControl w:val="0"/>
        <w:kinsoku/>
        <w:wordWrap/>
        <w:overflowPunct/>
        <w:topLinePunct w:val="0"/>
        <w:bidi w:val="0"/>
        <w:snapToGrid w:val="0"/>
        <w:spacing w:line="360" w:lineRule="auto"/>
        <w:ind w:firstLine="472" w:firstLineChars="224"/>
        <w:rPr>
          <w:rFonts w:hint="eastAsia" w:ascii="宋体" w:hAnsi="宋体" w:eastAsia="宋体" w:cs="宋体"/>
          <w:color w:val="auto"/>
          <w:kern w:val="0"/>
          <w:szCs w:val="21"/>
          <w:highlight w:val="none"/>
        </w:rPr>
      </w:pPr>
      <w:r>
        <w:rPr>
          <w:rFonts w:hint="eastAsia" w:ascii="宋体" w:hAnsi="宋体" w:eastAsia="宋体" w:cs="宋体"/>
          <w:b/>
          <w:bCs/>
          <w:color w:val="auto"/>
          <w:kern w:val="0"/>
          <w:szCs w:val="21"/>
          <w:highlight w:val="none"/>
        </w:rPr>
        <w:t>3</w:t>
      </w: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.合同签订</w:t>
      </w:r>
    </w:p>
    <w:p w14:paraId="5F538C3B">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u w:val="single"/>
        </w:rPr>
      </w:pPr>
      <w:bookmarkStart w:id="48" w:name="_Toc8594"/>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.1 采购人、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自</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发出之日起，在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第三章《</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须知前附表》规定的时间内，根据</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确定的事项和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签订合同。双方所签订的合同不得对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和</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作实质性修改。</w:t>
      </w:r>
    </w:p>
    <w:p w14:paraId="147761E5">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.2 </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的修改文件、</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的</w:t>
      </w:r>
      <w:r>
        <w:rPr>
          <w:rFonts w:hint="eastAsia" w:ascii="宋体" w:hAnsi="宋体" w:eastAsia="宋体" w:cs="宋体"/>
          <w:color w:val="auto"/>
          <w:sz w:val="21"/>
          <w:szCs w:val="21"/>
          <w:highlight w:val="none"/>
          <w:shd w:val="clear" w:color="auto" w:fill="FFFFFF"/>
          <w:lang w:val="en-US" w:eastAsia="zh-CN"/>
        </w:rPr>
        <w:t>响应文件</w:t>
      </w:r>
      <w:r>
        <w:rPr>
          <w:rFonts w:hint="eastAsia" w:ascii="宋体" w:hAnsi="宋体" w:eastAsia="宋体" w:cs="宋体"/>
          <w:color w:val="auto"/>
          <w:kern w:val="0"/>
          <w:szCs w:val="21"/>
          <w:highlight w:val="none"/>
        </w:rPr>
        <w:t>、补充或修改的文件及澄清或承诺文件等，均为双方签订合同的组成部分，并与合同一并作为本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所列采购项目的互补性法律文件，与合同具有同等法律效力。</w:t>
      </w:r>
    </w:p>
    <w:p w14:paraId="17E17E0A">
      <w:pPr>
        <w:keepNext w:val="0"/>
        <w:keepLines w:val="0"/>
        <w:pageBreakBefore w:val="0"/>
        <w:widowControl w:val="0"/>
        <w:kinsoku/>
        <w:wordWrap/>
        <w:overflowPunct/>
        <w:topLinePunct w:val="0"/>
        <w:bidi w:val="0"/>
        <w:snapToGri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 xml:space="preserve">.3 </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放弃</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、因不可抗力不能履行合同、不按照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要求提交履约保证金，或者被查实存在影响</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结果的违法行为等情形，不符合</w:t>
      </w:r>
      <w:r>
        <w:rPr>
          <w:rFonts w:hint="eastAsia" w:ascii="宋体" w:hAnsi="宋体" w:cs="宋体"/>
          <w:color w:val="auto"/>
          <w:kern w:val="0"/>
          <w:szCs w:val="21"/>
          <w:highlight w:val="none"/>
          <w:lang w:eastAsia="zh-CN"/>
        </w:rPr>
        <w:t>成交</w:t>
      </w:r>
      <w:r>
        <w:rPr>
          <w:rFonts w:hint="eastAsia" w:ascii="宋体" w:hAnsi="宋体" w:eastAsia="宋体" w:cs="宋体"/>
          <w:color w:val="auto"/>
          <w:kern w:val="0"/>
          <w:szCs w:val="21"/>
          <w:highlight w:val="none"/>
        </w:rPr>
        <w:t>条件的，采购人可以按照</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提出的</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名单排序依次确定其他</w:t>
      </w:r>
      <w:r>
        <w:rPr>
          <w:rFonts w:hint="eastAsia" w:ascii="宋体" w:hAnsi="宋体" w:eastAsia="宋体" w:cs="宋体"/>
          <w:color w:val="auto"/>
          <w:kern w:val="0"/>
          <w:szCs w:val="21"/>
          <w:highlight w:val="none"/>
          <w:lang w:eastAsia="zh-CN"/>
        </w:rPr>
        <w:t>成交候选供应商</w:t>
      </w:r>
      <w:r>
        <w:rPr>
          <w:rFonts w:hint="eastAsia" w:ascii="宋体" w:hAnsi="宋体" w:eastAsia="宋体" w:cs="宋体"/>
          <w:color w:val="auto"/>
          <w:kern w:val="0"/>
          <w:szCs w:val="21"/>
          <w:highlight w:val="none"/>
        </w:rPr>
        <w:t>为</w:t>
      </w:r>
      <w:r>
        <w:rPr>
          <w:rFonts w:hint="eastAsia" w:ascii="宋体" w:hAnsi="宋体" w:eastAsia="宋体" w:cs="宋体"/>
          <w:color w:val="auto"/>
          <w:kern w:val="0"/>
          <w:szCs w:val="21"/>
          <w:highlight w:val="none"/>
          <w:lang w:eastAsia="zh-CN"/>
        </w:rPr>
        <w:t>成交供应商</w:t>
      </w:r>
      <w:r>
        <w:rPr>
          <w:rFonts w:hint="eastAsia" w:ascii="宋体" w:hAnsi="宋体" w:eastAsia="宋体" w:cs="宋体"/>
          <w:color w:val="auto"/>
          <w:kern w:val="0"/>
          <w:szCs w:val="21"/>
          <w:highlight w:val="none"/>
        </w:rPr>
        <w:t>，也可以重新招标。</w:t>
      </w:r>
    </w:p>
    <w:bookmarkEnd w:id="48"/>
    <w:p w14:paraId="55BF57FA">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DC7A59E">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hint="eastAsia" w:ascii="宋体" w:hAnsi="宋体" w:eastAsia="宋体" w:cs="宋体"/>
          <w:color w:val="auto"/>
          <w:highlight w:val="none"/>
        </w:rPr>
      </w:pPr>
      <w:bookmarkStart w:id="49" w:name="_Toc31399"/>
      <w:r>
        <w:rPr>
          <w:rFonts w:hint="eastAsia" w:ascii="宋体" w:hAnsi="宋体" w:eastAsia="宋体" w:cs="宋体"/>
          <w:b/>
          <w:bCs/>
          <w:color w:val="auto"/>
          <w:kern w:val="0"/>
          <w:sz w:val="32"/>
          <w:szCs w:val="32"/>
          <w:highlight w:val="none"/>
        </w:rPr>
        <w:t>第四章  评标办法及评分标准</w:t>
      </w:r>
      <w:bookmarkEnd w:id="45"/>
      <w:bookmarkEnd w:id="49"/>
    </w:p>
    <w:p w14:paraId="1B2171A7">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14:paraId="46702A7F">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的相关规定进行评标、定标。</w:t>
      </w:r>
    </w:p>
    <w:p w14:paraId="4B897120">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14:paraId="1423D43B">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14:paraId="2C15812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中规定的评标方法和标准，对</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文件进行综合比较与评价。</w:t>
      </w:r>
    </w:p>
    <w:p w14:paraId="181DCE1E">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14:paraId="107E1200">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b w:val="0"/>
          <w:bCs w:val="0"/>
          <w:color w:val="auto"/>
          <w:sz w:val="21"/>
          <w:szCs w:val="21"/>
          <w:highlight w:val="none"/>
        </w:rPr>
        <w:t>文件满足</w:t>
      </w:r>
      <w:r>
        <w:rPr>
          <w:rFonts w:hint="eastAsia" w:ascii="宋体" w:hAnsi="宋体" w:cs="宋体"/>
          <w:b w:val="0"/>
          <w:bCs w:val="0"/>
          <w:color w:val="auto"/>
          <w:sz w:val="21"/>
          <w:szCs w:val="21"/>
          <w:highlight w:val="none"/>
          <w:lang w:val="en-US" w:eastAsia="zh-CN"/>
        </w:rPr>
        <w:t>竞争性磋商文件</w:t>
      </w:r>
      <w:r>
        <w:rPr>
          <w:rFonts w:hint="eastAsia" w:ascii="宋体" w:hAnsi="宋体" w:eastAsia="宋体" w:cs="宋体"/>
          <w:b w:val="0"/>
          <w:bCs w:val="0"/>
          <w:color w:val="auto"/>
          <w:sz w:val="21"/>
          <w:szCs w:val="21"/>
          <w:highlight w:val="none"/>
        </w:rPr>
        <w:t>全部实质性要求，且评审得分最高的</w:t>
      </w:r>
      <w:r>
        <w:rPr>
          <w:rFonts w:hint="eastAsia" w:ascii="宋体" w:hAnsi="宋体" w:eastAsia="宋体" w:cs="宋体"/>
          <w:b w:val="0"/>
          <w:bCs w:val="0"/>
          <w:color w:val="auto"/>
          <w:sz w:val="21"/>
          <w:szCs w:val="21"/>
          <w:highlight w:val="none"/>
          <w:lang w:eastAsia="zh-CN"/>
        </w:rPr>
        <w:t>供应商</w:t>
      </w:r>
      <w:r>
        <w:rPr>
          <w:rFonts w:hint="eastAsia" w:ascii="宋体" w:hAnsi="宋体" w:eastAsia="宋体" w:cs="宋体"/>
          <w:b w:val="0"/>
          <w:bCs w:val="0"/>
          <w:color w:val="auto"/>
          <w:sz w:val="21"/>
          <w:szCs w:val="21"/>
          <w:highlight w:val="none"/>
        </w:rPr>
        <w:t>为</w:t>
      </w:r>
      <w:r>
        <w:rPr>
          <w:rFonts w:hint="eastAsia" w:ascii="宋体" w:hAnsi="宋体" w:eastAsia="宋体" w:cs="宋体"/>
          <w:b w:val="0"/>
          <w:bCs w:val="0"/>
          <w:color w:val="auto"/>
          <w:sz w:val="21"/>
          <w:szCs w:val="21"/>
          <w:highlight w:val="none"/>
          <w:lang w:eastAsia="zh-CN"/>
        </w:rPr>
        <w:t>成交供应商</w:t>
      </w:r>
      <w:r>
        <w:rPr>
          <w:rFonts w:hint="eastAsia" w:ascii="宋体" w:hAnsi="宋体" w:eastAsia="宋体" w:cs="宋体"/>
          <w:b w:val="0"/>
          <w:bCs w:val="0"/>
          <w:color w:val="auto"/>
          <w:sz w:val="21"/>
          <w:szCs w:val="21"/>
          <w:highlight w:val="none"/>
        </w:rPr>
        <w:t>。</w:t>
      </w:r>
    </w:p>
    <w:p w14:paraId="3252BD04">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eastAsia="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14:paraId="5A65E6F0">
      <w:pPr>
        <w:keepNext w:val="0"/>
        <w:keepLines w:val="0"/>
        <w:pageBreakBefore w:val="0"/>
        <w:numPr>
          <w:ilvl w:val="0"/>
          <w:numId w:val="0"/>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yellow"/>
          <w:lang w:eastAsia="zh-CN"/>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详细评审（100分）</w:t>
      </w:r>
    </w:p>
    <w:tbl>
      <w:tblPr>
        <w:tblStyle w:val="33"/>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5"/>
        <w:gridCol w:w="1800"/>
        <w:gridCol w:w="6457"/>
      </w:tblGrid>
      <w:tr w14:paraId="1C016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9482" w:type="dxa"/>
            <w:gridSpan w:val="3"/>
            <w:noWrap w:val="0"/>
            <w:vAlign w:val="center"/>
          </w:tcPr>
          <w:p w14:paraId="453CCDA8">
            <w:pPr>
              <w:keepNext w:val="0"/>
              <w:keepLines w:val="0"/>
              <w:pageBreakBefore w:val="0"/>
              <w:widowControl w:val="0"/>
              <w:tabs>
                <w:tab w:val="left" w:pos="3000"/>
              </w:tabs>
              <w:kinsoku/>
              <w:wordWrap/>
              <w:overflowPunct/>
              <w:topLinePunct w:val="0"/>
              <w:autoSpaceDE/>
              <w:autoSpaceDN/>
              <w:bidi w:val="0"/>
              <w:adjustRightInd/>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14:paraId="66246E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25" w:type="dxa"/>
            <w:noWrap w:val="0"/>
            <w:vAlign w:val="center"/>
          </w:tcPr>
          <w:p w14:paraId="6B421976">
            <w:pPr>
              <w:keepNext w:val="0"/>
              <w:keepLines w:val="0"/>
              <w:pageBreakBefore w:val="0"/>
              <w:kinsoku/>
              <w:wordWrap/>
              <w:overflowPunct/>
              <w:topLinePunct w:val="0"/>
              <w:bidi w:val="0"/>
              <w:snapToGrid w:val="0"/>
              <w:spacing w:line="34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w:t>
            </w:r>
            <w:r>
              <w:rPr>
                <w:rFonts w:hint="eastAsia" w:ascii="宋体" w:hAnsi="宋体" w:cs="宋体"/>
                <w:b w:val="0"/>
                <w:bCs w:val="0"/>
                <w:color w:val="auto"/>
                <w:sz w:val="21"/>
                <w:szCs w:val="21"/>
                <w:highlight w:val="none"/>
                <w:lang w:val="en-US" w:eastAsia="zh-CN"/>
              </w:rPr>
              <w:t>30</w:t>
            </w:r>
            <w:r>
              <w:rPr>
                <w:rFonts w:hint="eastAsia" w:ascii="宋体" w:hAnsi="宋体" w:eastAsia="宋体" w:cs="宋体"/>
                <w:b w:val="0"/>
                <w:bCs w:val="0"/>
                <w:color w:val="auto"/>
                <w:sz w:val="21"/>
                <w:szCs w:val="21"/>
                <w:highlight w:val="none"/>
              </w:rPr>
              <w:t>分)</w:t>
            </w:r>
          </w:p>
        </w:tc>
        <w:tc>
          <w:tcPr>
            <w:tcW w:w="8257" w:type="dxa"/>
            <w:gridSpan w:val="2"/>
            <w:noWrap w:val="0"/>
            <w:vAlign w:val="center"/>
          </w:tcPr>
          <w:p w14:paraId="527F5530">
            <w:pPr>
              <w:pStyle w:val="5"/>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说明：当磋商小组发现供应商的磋商报价明显低于其他磋商报价，使其磋商报价可能低于其个别成本的，磋商小组可对其质询，并要求该供应商做出书面说明和提供相关的证明材料；该供应商不能合理说明或提供证明材料的，磋商小组应按无效磋商处理。</w:t>
            </w:r>
          </w:p>
          <w:p w14:paraId="6A741414">
            <w:pPr>
              <w:pStyle w:val="5"/>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有效磋商报价：磋商报价不高于采购预算价的为有效磋商报价。</w:t>
            </w:r>
          </w:p>
          <w:p w14:paraId="478AF435">
            <w:pPr>
              <w:pStyle w:val="5"/>
              <w:snapToGrid w:val="0"/>
              <w:spacing w:line="360" w:lineRule="exact"/>
              <w:jc w:val="both"/>
              <w:rPr>
                <w:rFonts w:hint="eastAsia" w:hAnsi="宋体"/>
                <w:color w:val="auto"/>
                <w:sz w:val="21"/>
                <w:szCs w:val="21"/>
                <w:highlight w:val="none"/>
              </w:rPr>
            </w:pPr>
            <w:r>
              <w:rPr>
                <w:rFonts w:hint="eastAsia" w:hAnsi="宋体"/>
                <w:color w:val="auto"/>
                <w:sz w:val="21"/>
                <w:szCs w:val="21"/>
                <w:highlight w:val="none"/>
              </w:rPr>
              <w:t>评标基准值的确定：满足采购文件要求且磋商价格最低的有效磋商报价为评标基准价。</w:t>
            </w:r>
          </w:p>
          <w:p w14:paraId="49BA2BCA">
            <w:pPr>
              <w:keepNext w:val="0"/>
              <w:keepLines w:val="0"/>
              <w:pageBreakBefore w:val="0"/>
              <w:kinsoku/>
              <w:wordWrap/>
              <w:overflowPunct/>
              <w:topLinePunct w:val="0"/>
              <w:bidi w:val="0"/>
              <w:snapToGrid w:val="0"/>
              <w:spacing w:line="360" w:lineRule="exact"/>
              <w:textAlignment w:val="auto"/>
              <w:rPr>
                <w:rFonts w:hint="eastAsia" w:ascii="宋体" w:hAnsi="宋体" w:eastAsia="宋体" w:cs="宋体"/>
                <w:kern w:val="2"/>
                <w:sz w:val="21"/>
                <w:szCs w:val="24"/>
                <w:highlight w:val="none"/>
                <w:lang w:val="en-US" w:eastAsia="zh-CN" w:bidi="ar-SA"/>
              </w:rPr>
            </w:pPr>
            <w:r>
              <w:rPr>
                <w:rFonts w:hint="eastAsia" w:ascii="宋体" w:hAnsi="宋体" w:cs="宋体"/>
                <w:color w:val="auto"/>
                <w:szCs w:val="21"/>
                <w:highlight w:val="none"/>
              </w:rPr>
              <w:t>磋商报价得分=(磋商基准价/最后磋商报价)×</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0×100%；</w:t>
            </w:r>
          </w:p>
        </w:tc>
      </w:tr>
      <w:tr w14:paraId="4AFAD5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5" w:type="dxa"/>
            <w:vMerge w:val="restart"/>
            <w:noWrap w:val="0"/>
            <w:vAlign w:val="center"/>
          </w:tcPr>
          <w:p w14:paraId="79F0C9A1">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技术部分</w:t>
            </w:r>
            <w:r>
              <w:rPr>
                <w:rFonts w:hint="eastAsia" w:ascii="宋体" w:hAnsi="宋体" w:cs="宋体"/>
                <w:b w:val="0"/>
                <w:bCs w:val="0"/>
                <w:color w:val="auto"/>
                <w:sz w:val="21"/>
                <w:szCs w:val="21"/>
                <w:highlight w:val="none"/>
                <w:lang w:val="en-US" w:eastAsia="zh-CN"/>
              </w:rPr>
              <w:t>（45分）</w:t>
            </w:r>
          </w:p>
        </w:tc>
        <w:tc>
          <w:tcPr>
            <w:tcW w:w="1800" w:type="dxa"/>
            <w:noWrap w:val="0"/>
            <w:vAlign w:val="center"/>
          </w:tcPr>
          <w:p w14:paraId="167A855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重点难点和解决措施（</w:t>
            </w:r>
            <w:r>
              <w:rPr>
                <w:rFonts w:hint="eastAsia" w:ascii="宋体" w:hAnsi="宋体" w:cs="宋体"/>
                <w:color w:val="auto"/>
                <w:sz w:val="21"/>
                <w:szCs w:val="21"/>
                <w:highlight w:val="none"/>
                <w:lang w:val="en-US" w:eastAsia="zh-CN"/>
              </w:rPr>
              <w:t>7</w:t>
            </w:r>
            <w:r>
              <w:rPr>
                <w:rFonts w:hint="eastAsia" w:ascii="宋体" w:hAnsi="宋体" w:eastAsia="宋体" w:cs="宋体"/>
                <w:color w:val="auto"/>
                <w:sz w:val="21"/>
                <w:szCs w:val="21"/>
                <w:highlight w:val="none"/>
                <w:lang w:val="en-US" w:eastAsia="zh-CN"/>
              </w:rPr>
              <w:t xml:space="preserve">分） </w:t>
            </w:r>
          </w:p>
          <w:p w14:paraId="5CFC68A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bCs/>
                <w:color w:val="000000"/>
                <w:sz w:val="21"/>
                <w:szCs w:val="21"/>
                <w:lang w:val="en-US" w:eastAsia="zh-CN"/>
              </w:rPr>
            </w:pPr>
          </w:p>
        </w:tc>
        <w:tc>
          <w:tcPr>
            <w:tcW w:w="6457" w:type="dxa"/>
            <w:noWrap w:val="0"/>
            <w:vAlign w:val="center"/>
          </w:tcPr>
          <w:p w14:paraId="5F2F112A">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bCs/>
                <w:color w:val="000000"/>
                <w:kern w:val="2"/>
                <w:sz w:val="21"/>
                <w:szCs w:val="21"/>
                <w:lang w:val="en-US" w:eastAsia="zh-CN" w:bidi="ar-SA"/>
              </w:rPr>
              <w:t>针对本项目</w:t>
            </w:r>
            <w:r>
              <w:rPr>
                <w:rFonts w:hint="eastAsia" w:ascii="宋体" w:hAnsi="宋体" w:eastAsia="宋体" w:cs="宋体"/>
                <w:color w:val="auto"/>
                <w:sz w:val="21"/>
                <w:szCs w:val="21"/>
                <w:highlight w:val="none"/>
                <w:lang w:val="en-US" w:eastAsia="zh-CN"/>
              </w:rPr>
              <w:t>提供工作重点</w:t>
            </w:r>
            <w:r>
              <w:rPr>
                <w:rFonts w:hint="eastAsia" w:ascii="宋体" w:hAnsi="宋体" w:cs="宋体"/>
                <w:color w:val="auto"/>
                <w:sz w:val="21"/>
                <w:szCs w:val="21"/>
                <w:highlight w:val="none"/>
                <w:lang w:val="en-US" w:eastAsia="zh-CN"/>
              </w:rPr>
              <w:t>难点和解决</w:t>
            </w:r>
            <w:r>
              <w:rPr>
                <w:rFonts w:hint="eastAsia" w:ascii="宋体" w:hAnsi="宋体" w:eastAsia="宋体" w:cs="宋体"/>
                <w:color w:val="auto"/>
                <w:sz w:val="21"/>
                <w:szCs w:val="21"/>
                <w:highlight w:val="none"/>
                <w:lang w:val="en-US" w:eastAsia="zh-CN"/>
              </w:rPr>
              <w:t>措施</w:t>
            </w:r>
            <w:r>
              <w:rPr>
                <w:rFonts w:hint="eastAsia" w:ascii="宋体" w:hAnsi="宋体" w:cs="宋体"/>
                <w:color w:val="auto"/>
                <w:szCs w:val="21"/>
                <w:highlight w:val="none"/>
              </w:rPr>
              <w:t>进行打分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包含（但不限于）以下内容：</w:t>
            </w:r>
            <w:r>
              <w:rPr>
                <w:rFonts w:hint="eastAsia" w:ascii="宋体" w:hAnsi="宋体" w:cs="宋体"/>
                <w:color w:val="auto"/>
                <w:sz w:val="21"/>
                <w:szCs w:val="21"/>
                <w:highlight w:val="none"/>
                <w:lang w:val="en-US" w:eastAsia="zh-CN"/>
              </w:rPr>
              <w:t>1、</w:t>
            </w:r>
            <w:r>
              <w:rPr>
                <w:rFonts w:hint="eastAsia" w:ascii="宋体" w:hAnsi="宋体" w:eastAsia="宋体" w:cs="宋体"/>
                <w:color w:val="auto"/>
                <w:sz w:val="21"/>
                <w:szCs w:val="21"/>
                <w:highlight w:val="none"/>
                <w:lang w:val="en-US" w:eastAsia="zh-CN"/>
              </w:rPr>
              <w:t>工作</w:t>
            </w:r>
            <w:r>
              <w:rPr>
                <w:rFonts w:hint="eastAsia" w:ascii="宋体" w:hAnsi="宋体" w:cs="宋体"/>
                <w:color w:val="auto"/>
                <w:sz w:val="21"/>
                <w:szCs w:val="21"/>
                <w:highlight w:val="none"/>
                <w:lang w:val="en-US" w:eastAsia="zh-CN"/>
              </w:rPr>
              <w:t>重</w:t>
            </w:r>
            <w:r>
              <w:rPr>
                <w:rFonts w:hint="eastAsia" w:ascii="宋体" w:hAnsi="宋体" w:eastAsia="宋体" w:cs="宋体"/>
                <w:color w:val="auto"/>
                <w:sz w:val="21"/>
                <w:szCs w:val="21"/>
                <w:highlight w:val="none"/>
                <w:lang w:val="en-US" w:eastAsia="zh-CN"/>
              </w:rPr>
              <w:t>难点</w:t>
            </w:r>
            <w:r>
              <w:rPr>
                <w:rFonts w:hint="eastAsia" w:ascii="宋体" w:hAnsi="宋体" w:cs="宋体"/>
                <w:color w:val="auto"/>
                <w:sz w:val="21"/>
                <w:szCs w:val="21"/>
                <w:highlight w:val="none"/>
                <w:lang w:val="en-US" w:eastAsia="zh-CN"/>
              </w:rPr>
              <w:t>分析；2、</w:t>
            </w:r>
            <w:r>
              <w:rPr>
                <w:rFonts w:hint="eastAsia" w:ascii="宋体" w:hAnsi="宋体" w:eastAsia="宋体" w:cs="宋体"/>
                <w:color w:val="auto"/>
                <w:sz w:val="21"/>
                <w:szCs w:val="21"/>
                <w:highlight w:val="none"/>
                <w:lang w:val="en-US" w:eastAsia="zh-CN"/>
              </w:rPr>
              <w:t>解决措施等相关内容:</w:t>
            </w:r>
          </w:p>
          <w:p w14:paraId="38E54E1F">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方案详细，合理性、可行性强的得</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 xml:space="preserve">分； </w:t>
            </w:r>
          </w:p>
          <w:p w14:paraId="315A2527">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方案较详细，合理性、可行性较强的得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分； </w:t>
            </w:r>
          </w:p>
          <w:p w14:paraId="2721A9AF">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方案较详细，合理性、可行性一般的得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 xml:space="preserve">分； </w:t>
            </w:r>
          </w:p>
          <w:p w14:paraId="16C3C46A">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方案内容不详细，合理性、可行性差的得1分； </w:t>
            </w:r>
          </w:p>
          <w:p w14:paraId="1751C12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缺项得0分。</w:t>
            </w:r>
          </w:p>
        </w:tc>
      </w:tr>
      <w:tr w14:paraId="429A9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225" w:type="dxa"/>
            <w:vMerge w:val="continue"/>
            <w:noWrap w:val="0"/>
            <w:vAlign w:val="center"/>
          </w:tcPr>
          <w:p w14:paraId="7EC3EFCF">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p>
        </w:tc>
        <w:tc>
          <w:tcPr>
            <w:tcW w:w="1800" w:type="dxa"/>
            <w:noWrap w:val="0"/>
            <w:vAlign w:val="center"/>
          </w:tcPr>
          <w:p w14:paraId="2457527C">
            <w:pPr>
              <w:keepNext w:val="0"/>
              <w:keepLines w:val="0"/>
              <w:pageBreakBefore w:val="0"/>
              <w:widowControl/>
              <w:numPr>
                <w:ilvl w:val="0"/>
                <w:numId w:val="3"/>
              </w:numPr>
              <w:kinsoku/>
              <w:wordWrap/>
              <w:overflowPunct/>
              <w:topLinePunct w:val="0"/>
              <w:autoSpaceDE/>
              <w:autoSpaceDN/>
              <w:bidi w:val="0"/>
              <w:adjustRightInd/>
              <w:snapToGrid w:val="0"/>
              <w:spacing w:line="360" w:lineRule="exact"/>
              <w:jc w:val="center"/>
              <w:textAlignment w:val="auto"/>
              <w:rPr>
                <w:rFonts w:hint="eastAsia" w:ascii="宋体" w:hAnsi="宋体" w:cs="宋体"/>
                <w:bCs/>
                <w:color w:val="000000"/>
                <w:sz w:val="21"/>
                <w:szCs w:val="21"/>
                <w:lang w:val="en-US" w:eastAsia="zh-CN"/>
              </w:rPr>
            </w:pPr>
            <w:r>
              <w:rPr>
                <w:rFonts w:hint="eastAsia" w:ascii="宋体" w:hAnsi="宋体" w:cs="宋体"/>
                <w:bCs/>
                <w:color w:val="000000"/>
                <w:sz w:val="21"/>
                <w:szCs w:val="21"/>
                <w:lang w:val="en-US" w:eastAsia="zh-CN"/>
              </w:rPr>
              <w:t>实施方案</w:t>
            </w:r>
          </w:p>
          <w:p w14:paraId="638E7701">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firstLine="420" w:firstLineChars="200"/>
              <w:jc w:val="both"/>
              <w:textAlignment w:val="auto"/>
              <w:rPr>
                <w:rFonts w:hint="eastAsia" w:ascii="宋体" w:hAnsi="宋体" w:cs="宋体"/>
                <w:color w:val="auto"/>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12</w:t>
            </w:r>
            <w:r>
              <w:rPr>
                <w:rFonts w:hint="eastAsia" w:ascii="宋体" w:hAnsi="宋体" w:eastAsia="宋体" w:cs="宋体"/>
                <w:b w:val="0"/>
                <w:bCs w:val="0"/>
                <w:color w:val="auto"/>
                <w:sz w:val="21"/>
                <w:szCs w:val="21"/>
                <w:highlight w:val="none"/>
              </w:rPr>
              <w:t>分）</w:t>
            </w:r>
          </w:p>
        </w:tc>
        <w:tc>
          <w:tcPr>
            <w:tcW w:w="6457" w:type="dxa"/>
            <w:noWrap w:val="0"/>
            <w:vAlign w:val="center"/>
          </w:tcPr>
          <w:p w14:paraId="3814DC6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rPr>
              <w:t>根据供应商制定的实施方案进行打分，包含</w:t>
            </w:r>
            <w:r>
              <w:rPr>
                <w:rFonts w:hint="eastAsia" w:ascii="宋体" w:hAnsi="宋体" w:eastAsia="宋体" w:cs="宋体"/>
                <w:color w:val="auto"/>
                <w:sz w:val="21"/>
                <w:szCs w:val="21"/>
                <w:highlight w:val="none"/>
                <w:lang w:val="en-US" w:eastAsia="zh-CN"/>
              </w:rPr>
              <w:t>（但不限于）</w:t>
            </w:r>
            <w:r>
              <w:rPr>
                <w:rFonts w:hint="eastAsia" w:ascii="宋体" w:hAnsi="宋体" w:cs="宋体"/>
                <w:color w:val="auto"/>
                <w:szCs w:val="21"/>
                <w:highlight w:val="none"/>
              </w:rPr>
              <w:t xml:space="preserve">以下内容： </w:t>
            </w: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整体工作流程；2、作业过程管理</w:t>
            </w:r>
            <w:r>
              <w:rPr>
                <w:rFonts w:hint="eastAsia" w:ascii="宋体" w:hAnsi="宋体" w:cs="宋体"/>
                <w:color w:val="auto"/>
                <w:szCs w:val="21"/>
                <w:highlight w:val="none"/>
                <w:lang w:eastAsia="zh-CN"/>
              </w:rPr>
              <w:t>；</w:t>
            </w:r>
            <w:r>
              <w:rPr>
                <w:rFonts w:hint="eastAsia" w:ascii="宋体" w:hAnsi="宋体" w:cs="宋体"/>
                <w:color w:val="auto"/>
                <w:szCs w:val="21"/>
                <w:highlight w:val="none"/>
              </w:rPr>
              <w:t>3、环境</w:t>
            </w:r>
            <w:r>
              <w:rPr>
                <w:rFonts w:hint="eastAsia" w:ascii="宋体" w:hAnsi="宋体" w:cs="宋体"/>
                <w:color w:val="auto"/>
                <w:szCs w:val="21"/>
                <w:highlight w:val="none"/>
                <w:lang w:val="en-US" w:eastAsia="zh-CN"/>
              </w:rPr>
              <w:t>维护与清洁措施</w:t>
            </w:r>
            <w:r>
              <w:rPr>
                <w:rFonts w:hint="eastAsia" w:ascii="宋体" w:hAnsi="宋体" w:cs="宋体"/>
                <w:color w:val="auto"/>
                <w:szCs w:val="21"/>
                <w:highlight w:val="none"/>
                <w:lang w:eastAsia="zh-CN"/>
              </w:rPr>
              <w:t>；</w:t>
            </w:r>
            <w:r>
              <w:rPr>
                <w:rFonts w:hint="eastAsia" w:ascii="宋体" w:hAnsi="宋体" w:cs="宋体"/>
                <w:color w:val="auto"/>
                <w:szCs w:val="21"/>
                <w:highlight w:val="none"/>
                <w:lang w:val="en-US" w:eastAsia="zh-CN"/>
              </w:rPr>
              <w:t>4、安全防范措施；5、日常运输方案</w:t>
            </w:r>
          </w:p>
          <w:p w14:paraId="79D6F6DD">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方案详细，合理性、可行性强的得</w:t>
            </w:r>
            <w:r>
              <w:rPr>
                <w:rFonts w:hint="eastAsia" w:ascii="宋体" w:hAnsi="宋体" w:cs="宋体"/>
                <w:color w:val="auto"/>
                <w:szCs w:val="21"/>
                <w:highlight w:val="none"/>
                <w:lang w:val="en-US" w:eastAsia="zh-CN"/>
              </w:rPr>
              <w:t>12</w:t>
            </w:r>
            <w:r>
              <w:rPr>
                <w:rFonts w:hint="eastAsia" w:ascii="宋体" w:hAnsi="宋体" w:cs="宋体"/>
                <w:color w:val="auto"/>
                <w:szCs w:val="21"/>
                <w:highlight w:val="none"/>
              </w:rPr>
              <w:t xml:space="preserve">分； </w:t>
            </w:r>
          </w:p>
          <w:p w14:paraId="5B412E2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方案较详细，合理性、可行性较强的得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分； </w:t>
            </w:r>
          </w:p>
          <w:p w14:paraId="72C06AAE">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方案较详细，合理性、可行性一般的得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14:paraId="0FC3D31C">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方案内容不详细，合理性、可行性差的得1分； </w:t>
            </w:r>
          </w:p>
          <w:p w14:paraId="1296AF00">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缺项得0分。</w:t>
            </w:r>
          </w:p>
        </w:tc>
      </w:tr>
      <w:tr w14:paraId="4B3AF0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jc w:val="center"/>
        </w:trPr>
        <w:tc>
          <w:tcPr>
            <w:tcW w:w="1225" w:type="dxa"/>
            <w:vMerge w:val="continue"/>
            <w:noWrap w:val="0"/>
            <w:vAlign w:val="center"/>
          </w:tcPr>
          <w:p w14:paraId="46D41BF3">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800" w:type="dxa"/>
            <w:noWrap w:val="0"/>
            <w:vAlign w:val="center"/>
          </w:tcPr>
          <w:p w14:paraId="2987ED40">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firstLine="210" w:firstLineChars="100"/>
              <w:jc w:val="both"/>
              <w:textAlignment w:val="auto"/>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3.拟投入设备</w:t>
            </w:r>
          </w:p>
          <w:p w14:paraId="20F8C6A7">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firstLine="210" w:firstLineChars="100"/>
              <w:jc w:val="both"/>
              <w:textAlignment w:val="auto"/>
              <w:rPr>
                <w:rFonts w:hint="default"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（12分）</w:t>
            </w:r>
          </w:p>
        </w:tc>
        <w:tc>
          <w:tcPr>
            <w:tcW w:w="6457" w:type="dxa"/>
            <w:noWrap w:val="0"/>
            <w:vAlign w:val="center"/>
          </w:tcPr>
          <w:p w14:paraId="665F00B4">
            <w:pPr>
              <w:widowControl/>
              <w:snapToGrid w:val="0"/>
              <w:spacing w:line="320" w:lineRule="exact"/>
              <w:rPr>
                <w:rFonts w:hint="eastAsia" w:ascii="宋体" w:hAnsi="宋体" w:cs="宋体"/>
                <w:color w:val="auto"/>
                <w:szCs w:val="21"/>
                <w:highlight w:val="none"/>
              </w:rPr>
            </w:pPr>
            <w:r>
              <w:rPr>
                <w:rFonts w:hint="eastAsia" w:ascii="宋体" w:hAnsi="宋体" w:cs="宋体"/>
                <w:color w:val="auto"/>
                <w:szCs w:val="21"/>
                <w:highlight w:val="none"/>
              </w:rPr>
              <w:t>根据供应商提供设备</w:t>
            </w:r>
            <w:r>
              <w:rPr>
                <w:rFonts w:hint="eastAsia" w:ascii="宋体" w:hAnsi="宋体" w:cs="宋体"/>
                <w:color w:val="auto"/>
                <w:szCs w:val="21"/>
                <w:highlight w:val="none"/>
                <w:lang w:val="en-US" w:eastAsia="zh-CN"/>
              </w:rPr>
              <w:t>的完整性及设备维护</w:t>
            </w:r>
            <w:r>
              <w:rPr>
                <w:rFonts w:hint="eastAsia" w:ascii="宋体" w:hAnsi="宋体" w:cs="宋体"/>
                <w:color w:val="auto"/>
                <w:szCs w:val="21"/>
                <w:highlight w:val="none"/>
              </w:rPr>
              <w:t>情况进行打分，</w:t>
            </w:r>
          </w:p>
          <w:p w14:paraId="27DDA375">
            <w:pPr>
              <w:pStyle w:val="5"/>
              <w:keepNext w:val="0"/>
              <w:keepLines w:val="0"/>
              <w:pageBreakBefore w:val="0"/>
              <w:numPr>
                <w:ilvl w:val="0"/>
                <w:numId w:val="0"/>
              </w:numPr>
              <w:kinsoku/>
              <w:wordWrap/>
              <w:overflowPunct/>
              <w:topLinePunct w:val="0"/>
              <w:bidi w:val="0"/>
              <w:snapToGrid w:val="0"/>
              <w:spacing w:line="360" w:lineRule="auto"/>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1.拥有项目所需的全套设备及工具，如吸污车/抽粪车、高压清洗车、疏通工具、污物运输车、分离设备等，以上设备齐全且定期维护得12分；</w:t>
            </w:r>
          </w:p>
          <w:p w14:paraId="0E2C0CF1">
            <w:pPr>
              <w:pStyle w:val="5"/>
              <w:keepNext w:val="0"/>
              <w:keepLines w:val="0"/>
              <w:pageBreakBefore w:val="0"/>
              <w:numPr>
                <w:ilvl w:val="0"/>
                <w:numId w:val="0"/>
              </w:numPr>
              <w:kinsoku/>
              <w:wordWrap/>
              <w:overflowPunct/>
              <w:topLinePunct w:val="0"/>
              <w:bidi w:val="0"/>
              <w:snapToGrid w:val="0"/>
              <w:spacing w:line="360" w:lineRule="auto"/>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2.存在少量设备或工具需临时调配或不齐全，维护不佳得6分；</w:t>
            </w:r>
          </w:p>
          <w:p w14:paraId="4B5EED0B">
            <w:pPr>
              <w:pStyle w:val="5"/>
              <w:keepNext w:val="0"/>
              <w:keepLines w:val="0"/>
              <w:pageBreakBefore w:val="0"/>
              <w:numPr>
                <w:ilvl w:val="0"/>
                <w:numId w:val="0"/>
              </w:numPr>
              <w:kinsoku/>
              <w:wordWrap/>
              <w:overflowPunct/>
              <w:topLinePunct w:val="0"/>
              <w:bidi w:val="0"/>
              <w:snapToGrid w:val="0"/>
              <w:spacing w:line="360" w:lineRule="auto"/>
              <w:jc w:val="both"/>
              <w:textAlignment w:val="auto"/>
              <w:rPr>
                <w:rFonts w:hint="eastAsia" w:hAnsi="宋体" w:cs="宋体"/>
                <w:b w:val="0"/>
                <w:bCs w:val="0"/>
                <w:color w:val="auto"/>
                <w:sz w:val="21"/>
                <w:szCs w:val="21"/>
                <w:highlight w:val="none"/>
                <w:u w:val="none"/>
                <w:lang w:val="en-US" w:eastAsia="zh-CN"/>
              </w:rPr>
            </w:pPr>
            <w:r>
              <w:rPr>
                <w:rFonts w:hint="eastAsia" w:hAnsi="宋体" w:cs="宋体"/>
                <w:b w:val="0"/>
                <w:bCs w:val="0"/>
                <w:color w:val="auto"/>
                <w:sz w:val="21"/>
                <w:szCs w:val="21"/>
                <w:highlight w:val="none"/>
                <w:u w:val="none"/>
                <w:lang w:val="en-US" w:eastAsia="zh-CN"/>
              </w:rPr>
              <w:t xml:space="preserve">3.设备和工具严重不足，无法满足项目需求，得1分。 </w:t>
            </w:r>
          </w:p>
          <w:p w14:paraId="4FF41099">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default" w:ascii="宋体" w:hAnsi="宋体" w:eastAsia="宋体" w:cs="宋体"/>
                <w:color w:val="auto"/>
                <w:szCs w:val="21"/>
                <w:highlight w:val="none"/>
                <w:lang w:val="en-US" w:eastAsia="zh-CN"/>
              </w:rPr>
            </w:pPr>
            <w:r>
              <w:rPr>
                <w:rFonts w:hint="eastAsia" w:ascii="宋体" w:hAnsi="宋体" w:cs="宋体"/>
                <w:color w:val="auto"/>
                <w:szCs w:val="21"/>
                <w:highlight w:val="none"/>
                <w:lang w:val="en-US" w:eastAsia="zh-CN"/>
              </w:rPr>
              <w:t>缺项得0分。</w:t>
            </w:r>
          </w:p>
        </w:tc>
      </w:tr>
      <w:tr w14:paraId="38417F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25" w:type="dxa"/>
            <w:vMerge w:val="continue"/>
            <w:noWrap w:val="0"/>
            <w:vAlign w:val="center"/>
          </w:tcPr>
          <w:p w14:paraId="3C8AF681">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800" w:type="dxa"/>
            <w:noWrap w:val="0"/>
            <w:vAlign w:val="center"/>
          </w:tcPr>
          <w:p w14:paraId="4C474C6D">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保障</w:t>
            </w:r>
            <w:r>
              <w:rPr>
                <w:rFonts w:hint="eastAsia" w:ascii="宋体" w:hAnsi="宋体" w:eastAsia="宋体" w:cs="宋体"/>
                <w:b w:val="0"/>
                <w:bCs w:val="0"/>
                <w:color w:val="auto"/>
                <w:sz w:val="21"/>
                <w:szCs w:val="21"/>
                <w:highlight w:val="none"/>
              </w:rPr>
              <w:t>措施</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r>
              <w:rPr>
                <w:rFonts w:hint="eastAsia" w:ascii="宋体" w:hAnsi="宋体" w:eastAsia="宋体" w:cs="宋体"/>
                <w:b w:val="0"/>
                <w:bCs w:val="0"/>
                <w:color w:val="auto"/>
                <w:sz w:val="21"/>
                <w:szCs w:val="21"/>
                <w:highlight w:val="none"/>
                <w:lang w:eastAsia="zh-CN"/>
              </w:rPr>
              <w:t>）</w:t>
            </w:r>
          </w:p>
        </w:tc>
        <w:tc>
          <w:tcPr>
            <w:tcW w:w="6457" w:type="dxa"/>
            <w:noWrap w:val="0"/>
            <w:vAlign w:val="center"/>
          </w:tcPr>
          <w:p w14:paraId="2ABBF569">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bCs/>
                <w:color w:val="000000"/>
                <w:kern w:val="2"/>
                <w:sz w:val="21"/>
                <w:szCs w:val="21"/>
                <w:lang w:val="en-US" w:eastAsia="zh-CN" w:bidi="ar-SA"/>
              </w:rPr>
            </w:pPr>
            <w:r>
              <w:rPr>
                <w:rFonts w:hint="eastAsia" w:ascii="宋体" w:hAnsi="宋体" w:eastAsia="宋体" w:cs="宋体"/>
                <w:color w:val="auto"/>
                <w:sz w:val="21"/>
                <w:szCs w:val="21"/>
                <w:highlight w:val="none"/>
                <w:lang w:val="en-US" w:eastAsia="zh-CN"/>
              </w:rPr>
              <w:t>供应商</w:t>
            </w:r>
            <w:r>
              <w:rPr>
                <w:rFonts w:hint="eastAsia" w:ascii="宋体" w:hAnsi="宋体" w:eastAsia="宋体" w:cs="宋体"/>
                <w:bCs/>
                <w:color w:val="000000"/>
                <w:kern w:val="2"/>
                <w:sz w:val="21"/>
                <w:szCs w:val="21"/>
                <w:lang w:val="en-US" w:eastAsia="zh-CN" w:bidi="ar-SA"/>
              </w:rPr>
              <w:t>针对本项目提供</w:t>
            </w:r>
            <w:r>
              <w:rPr>
                <w:rFonts w:hint="eastAsia" w:ascii="宋体" w:hAnsi="宋体" w:cs="宋体"/>
                <w:bCs/>
                <w:color w:val="000000"/>
                <w:kern w:val="2"/>
                <w:sz w:val="21"/>
                <w:szCs w:val="21"/>
                <w:lang w:val="en-US" w:eastAsia="zh-CN" w:bidi="ar-SA"/>
              </w:rPr>
              <w:t>质量保障措施（</w:t>
            </w:r>
            <w:r>
              <w:t>包括但不限于服务质量承诺、服务质量保证措施、质量管理体系及方案等</w:t>
            </w:r>
            <w:r>
              <w:rPr>
                <w:rFonts w:hint="eastAsia" w:ascii="宋体" w:hAnsi="宋体" w:cs="宋体"/>
                <w:bCs/>
                <w:color w:val="000000"/>
                <w:kern w:val="2"/>
                <w:sz w:val="21"/>
                <w:szCs w:val="21"/>
                <w:lang w:val="en-US" w:eastAsia="zh-CN" w:bidi="ar-SA"/>
              </w:rPr>
              <w:t>）及</w:t>
            </w:r>
            <w:r>
              <w:rPr>
                <w:rFonts w:hint="eastAsia" w:ascii="宋体" w:hAnsi="宋体" w:eastAsia="宋体" w:cs="宋体"/>
                <w:bCs/>
                <w:color w:val="000000"/>
                <w:kern w:val="2"/>
                <w:sz w:val="21"/>
                <w:szCs w:val="21"/>
                <w:lang w:val="en-US" w:eastAsia="zh-CN" w:bidi="ar-SA"/>
              </w:rPr>
              <w:t>进度控制措施</w:t>
            </w:r>
            <w:r>
              <w:rPr>
                <w:rFonts w:hint="eastAsia" w:ascii="宋体" w:hAnsi="宋体" w:cs="宋体"/>
                <w:bCs/>
                <w:color w:val="000000"/>
                <w:kern w:val="2"/>
                <w:sz w:val="21"/>
                <w:szCs w:val="21"/>
                <w:lang w:val="en-US" w:eastAsia="zh-CN" w:bidi="ar-SA"/>
              </w:rPr>
              <w:t>（</w:t>
            </w:r>
            <w:r>
              <w:rPr>
                <w:rFonts w:hint="eastAsia" w:ascii="宋体" w:hAnsi="宋体" w:eastAsia="宋体" w:cs="宋体"/>
                <w:color w:val="auto"/>
                <w:sz w:val="21"/>
                <w:szCs w:val="21"/>
                <w:highlight w:val="none"/>
                <w:lang w:val="en-US" w:eastAsia="zh-CN"/>
              </w:rPr>
              <w:t>进度计划</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明确划分人员责任</w:t>
            </w:r>
            <w:r>
              <w:rPr>
                <w:rFonts w:hint="eastAsia" w:ascii="宋体" w:hAnsi="宋体" w:cs="宋体"/>
                <w:color w:val="auto"/>
                <w:sz w:val="21"/>
                <w:szCs w:val="21"/>
                <w:highlight w:val="none"/>
                <w:lang w:val="en-US" w:eastAsia="zh-CN"/>
              </w:rPr>
              <w:t>、跟踪检查</w:t>
            </w:r>
            <w:r>
              <w:rPr>
                <w:rFonts w:hint="eastAsia" w:ascii="宋体" w:hAnsi="宋体" w:cs="宋体"/>
                <w:bCs/>
                <w:color w:val="000000"/>
                <w:kern w:val="2"/>
                <w:sz w:val="21"/>
                <w:szCs w:val="21"/>
                <w:lang w:val="en-US" w:eastAsia="zh-CN" w:bidi="ar-SA"/>
              </w:rPr>
              <w:t>）</w:t>
            </w:r>
            <w:r>
              <w:rPr>
                <w:rFonts w:hint="eastAsia" w:ascii="宋体" w:hAnsi="宋体" w:cs="宋体"/>
                <w:color w:val="auto"/>
                <w:szCs w:val="21"/>
                <w:highlight w:val="none"/>
              </w:rPr>
              <w:t>进行打分</w:t>
            </w:r>
            <w:r>
              <w:rPr>
                <w:rFonts w:hint="eastAsia" w:ascii="宋体" w:hAnsi="宋体" w:cs="宋体"/>
                <w:color w:val="auto"/>
                <w:szCs w:val="21"/>
                <w:highlight w:val="none"/>
                <w:lang w:eastAsia="zh-CN"/>
              </w:rPr>
              <w:t>。</w:t>
            </w:r>
          </w:p>
          <w:p w14:paraId="45BCC87A">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方案详细，合理性、可行性强的得</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 xml:space="preserve">分； </w:t>
            </w:r>
          </w:p>
          <w:p w14:paraId="6C655443">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方案较详细，合理性、可行性较强的得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分； </w:t>
            </w:r>
          </w:p>
          <w:p w14:paraId="6561EB28">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方案较详细，合理性、可行性一般的得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分； </w:t>
            </w:r>
          </w:p>
          <w:p w14:paraId="79E835B8">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方案内容不详细，合理性、可行性差的得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分； </w:t>
            </w:r>
          </w:p>
          <w:p w14:paraId="2B4A28DF">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缺项得0分。</w:t>
            </w:r>
          </w:p>
        </w:tc>
      </w:tr>
      <w:tr w14:paraId="057D2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1225" w:type="dxa"/>
            <w:vMerge w:val="continue"/>
            <w:noWrap w:val="0"/>
            <w:vAlign w:val="center"/>
          </w:tcPr>
          <w:p w14:paraId="4A13B599">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val="en-US" w:eastAsia="zh-CN"/>
              </w:rPr>
            </w:pPr>
          </w:p>
        </w:tc>
        <w:tc>
          <w:tcPr>
            <w:tcW w:w="1800" w:type="dxa"/>
            <w:noWrap w:val="0"/>
            <w:vAlign w:val="center"/>
          </w:tcPr>
          <w:p w14:paraId="4C429D82">
            <w:pPr>
              <w:keepNext w:val="0"/>
              <w:keepLines w:val="0"/>
              <w:pageBreakBefore w:val="0"/>
              <w:widowControl/>
              <w:kinsoku/>
              <w:wordWrap/>
              <w:overflowPunct/>
              <w:topLinePunct w:val="0"/>
              <w:autoSpaceDE/>
              <w:autoSpaceDN/>
              <w:bidi w:val="0"/>
              <w:adjustRightInd/>
              <w:snapToGrid w:val="0"/>
              <w:spacing w:line="360" w:lineRule="exact"/>
              <w:jc w:val="center"/>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.应急服务方案</w:t>
            </w: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分）</w:t>
            </w:r>
          </w:p>
        </w:tc>
        <w:tc>
          <w:tcPr>
            <w:tcW w:w="6457" w:type="dxa"/>
            <w:noWrap w:val="0"/>
            <w:vAlign w:val="center"/>
          </w:tcPr>
          <w:p w14:paraId="0A248875">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供应商针对突发情况提供应急服务方案</w:t>
            </w:r>
            <w:r>
              <w:rPr>
                <w:rFonts w:hint="eastAsia" w:ascii="宋体" w:hAnsi="宋体" w:cs="宋体"/>
                <w:color w:val="auto"/>
                <w:szCs w:val="21"/>
                <w:highlight w:val="none"/>
              </w:rPr>
              <w:t>进行打分</w:t>
            </w:r>
            <w:r>
              <w:rPr>
                <w:rFonts w:hint="eastAsia" w:ascii="宋体" w:hAnsi="宋体" w:eastAsia="宋体" w:cs="宋体"/>
                <w:color w:val="auto"/>
                <w:sz w:val="21"/>
                <w:szCs w:val="21"/>
                <w:highlight w:val="none"/>
                <w:lang w:val="en-US" w:eastAsia="zh-CN"/>
              </w:rPr>
              <w:t>，包含（但不限于）以下内容：</w:t>
            </w:r>
          </w:p>
          <w:p w14:paraId="5D2D0FEE">
            <w:pPr>
              <w:keepNext w:val="0"/>
              <w:keepLines w:val="0"/>
              <w:pageBreakBefore w:val="0"/>
              <w:widowControl/>
              <w:numPr>
                <w:ilvl w:val="0"/>
                <w:numId w:val="4"/>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应急预案</w:t>
            </w:r>
            <w:r>
              <w:rPr>
                <w:rFonts w:hint="eastAsia" w:ascii="宋体" w:hAnsi="宋体" w:cs="宋体"/>
                <w:color w:val="auto"/>
                <w:szCs w:val="21"/>
                <w:highlight w:val="none"/>
                <w:lang w:eastAsia="zh-CN"/>
              </w:rPr>
              <w:t>；</w:t>
            </w:r>
            <w:r>
              <w:rPr>
                <w:rFonts w:hint="eastAsia" w:ascii="宋体" w:hAnsi="宋体" w:cs="宋体"/>
                <w:color w:val="auto"/>
                <w:szCs w:val="21"/>
                <w:highlight w:val="none"/>
              </w:rPr>
              <w:t>2、应急准备（应急物资、设备配备等）</w:t>
            </w:r>
            <w:r>
              <w:rPr>
                <w:rFonts w:hint="eastAsia" w:ascii="宋体" w:hAnsi="宋体" w:cs="宋体"/>
                <w:color w:val="auto"/>
                <w:szCs w:val="21"/>
                <w:highlight w:val="none"/>
                <w:lang w:eastAsia="zh-CN"/>
              </w:rPr>
              <w:t>；</w:t>
            </w:r>
            <w:r>
              <w:rPr>
                <w:rFonts w:hint="eastAsia" w:ascii="宋体" w:hAnsi="宋体" w:cs="宋体"/>
                <w:color w:val="auto"/>
                <w:szCs w:val="21"/>
                <w:highlight w:val="none"/>
              </w:rPr>
              <w:t xml:space="preserve">3、应急响应（事故报告、现场处置等）。 </w:t>
            </w:r>
          </w:p>
          <w:p w14:paraId="53CE4CE5">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方案详细，合理性、可行性强的得</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 xml:space="preserve">分； </w:t>
            </w:r>
          </w:p>
          <w:p w14:paraId="4C71F10C">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方案较详细，合理性、可行性较强的得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 xml:space="preserve">分； </w:t>
            </w:r>
          </w:p>
          <w:p w14:paraId="3BE624E1">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方案较详细，合理性、可行性一般的得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 xml:space="preserve">分； </w:t>
            </w:r>
          </w:p>
          <w:p w14:paraId="500866B7">
            <w:pPr>
              <w:keepNext w:val="0"/>
              <w:keepLines w:val="0"/>
              <w:pageBreakBefore w:val="0"/>
              <w:widowControl/>
              <w:numPr>
                <w:ilvl w:val="0"/>
                <w:numId w:val="0"/>
              </w:numPr>
              <w:kinsoku/>
              <w:wordWrap/>
              <w:overflowPunct/>
              <w:topLinePunct w:val="0"/>
              <w:autoSpaceDE/>
              <w:autoSpaceDN/>
              <w:bidi w:val="0"/>
              <w:adjustRightInd/>
              <w:snapToGrid w:val="0"/>
              <w:spacing w:line="360" w:lineRule="exact"/>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 xml:space="preserve">方案内容不详细，合理性、可行性差的得1分； </w:t>
            </w:r>
          </w:p>
          <w:p w14:paraId="54934B61">
            <w:pPr>
              <w:keepNext w:val="0"/>
              <w:keepLines w:val="0"/>
              <w:pageBreakBefore w:val="0"/>
              <w:widowControl/>
              <w:numPr>
                <w:ilvl w:val="0"/>
                <w:numId w:val="0"/>
              </w:numPr>
              <w:kinsoku/>
              <w:wordWrap/>
              <w:overflowPunct/>
              <w:topLinePunct w:val="0"/>
              <w:autoSpaceDE/>
              <w:autoSpaceDN/>
              <w:bidi w:val="0"/>
              <w:adjustRightInd/>
              <w:snapToGrid w:val="0"/>
              <w:spacing w:line="360" w:lineRule="exact"/>
              <w:ind w:left="0" w:leftChars="0" w:firstLine="0" w:firstLineChars="0"/>
              <w:jc w:val="both"/>
              <w:textAlignment w:val="auto"/>
              <w:rPr>
                <w:rFonts w:hint="eastAsia" w:ascii="宋体" w:hAnsi="宋体" w:cs="宋体"/>
                <w:color w:val="auto"/>
                <w:szCs w:val="21"/>
                <w:highlight w:val="none"/>
              </w:rPr>
            </w:pPr>
            <w:r>
              <w:rPr>
                <w:rFonts w:hint="eastAsia" w:ascii="宋体" w:hAnsi="宋体" w:cs="宋体"/>
                <w:color w:val="auto"/>
                <w:szCs w:val="21"/>
                <w:highlight w:val="none"/>
              </w:rPr>
              <w:t>缺项得0分。</w:t>
            </w:r>
          </w:p>
        </w:tc>
      </w:tr>
      <w:tr w14:paraId="16868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25" w:type="dxa"/>
            <w:vMerge w:val="restart"/>
            <w:noWrap w:val="0"/>
            <w:vAlign w:val="center"/>
          </w:tcPr>
          <w:p w14:paraId="40F7A53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商务评价</w:t>
            </w:r>
          </w:p>
          <w:p w14:paraId="1533A066">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lang w:eastAsia="zh-CN"/>
              </w:rPr>
            </w:pPr>
            <w:r>
              <w:rPr>
                <w:rFonts w:hint="eastAsia" w:ascii="宋体" w:hAnsi="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val="en-US" w:eastAsia="zh-CN"/>
              </w:rPr>
              <w:t>25</w:t>
            </w:r>
            <w:r>
              <w:rPr>
                <w:rFonts w:hint="eastAsia" w:ascii="宋体" w:hAnsi="宋体" w:cs="宋体"/>
                <w:b w:val="0"/>
                <w:bCs w:val="0"/>
                <w:color w:val="auto"/>
                <w:sz w:val="21"/>
                <w:szCs w:val="21"/>
                <w:highlight w:val="none"/>
                <w:lang w:eastAsia="zh-CN"/>
              </w:rPr>
              <w:t>分）</w:t>
            </w:r>
          </w:p>
        </w:tc>
        <w:tc>
          <w:tcPr>
            <w:tcW w:w="1800" w:type="dxa"/>
            <w:tcBorders>
              <w:top w:val="single" w:color="auto" w:sz="4" w:space="0"/>
            </w:tcBorders>
            <w:noWrap w:val="0"/>
            <w:vAlign w:val="center"/>
          </w:tcPr>
          <w:p w14:paraId="12A7BB41">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1.类似业绩</w:t>
            </w:r>
          </w:p>
          <w:p w14:paraId="08B4CF7D">
            <w:pPr>
              <w:keepNext w:val="0"/>
              <w:keepLines w:val="0"/>
              <w:pageBreakBefore w:val="0"/>
              <w:kinsoku/>
              <w:wordWrap/>
              <w:overflowPunct/>
              <w:topLinePunct w:val="0"/>
              <w:bidi w:val="0"/>
              <w:snapToGrid w:val="0"/>
              <w:spacing w:line="36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lang w:val="en-US" w:eastAsia="zh-CN"/>
              </w:rPr>
              <w:t>分）</w:t>
            </w:r>
          </w:p>
        </w:tc>
        <w:tc>
          <w:tcPr>
            <w:tcW w:w="6457" w:type="dxa"/>
            <w:noWrap w:val="0"/>
            <w:vAlign w:val="top"/>
          </w:tcPr>
          <w:p w14:paraId="57531894">
            <w:pPr>
              <w:keepNext w:val="0"/>
              <w:keepLines w:val="0"/>
              <w:pageBreakBefore w:val="0"/>
              <w:widowControl/>
              <w:kinsoku/>
              <w:wordWrap/>
              <w:overflowPunct/>
              <w:topLinePunct w:val="0"/>
              <w:autoSpaceDE/>
              <w:autoSpaceDN/>
              <w:bidi w:val="0"/>
              <w:adjustRightInd/>
              <w:snapToGrid w:val="0"/>
              <w:spacing w:line="36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供应商自2022年01月01日以来具有的类似</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lang w:val="en-US" w:eastAsia="zh-CN"/>
              </w:rPr>
              <w:t>项目</w:t>
            </w:r>
            <w:r>
              <w:rPr>
                <w:rFonts w:hint="eastAsia" w:ascii="宋体" w:hAnsi="宋体" w:cs="宋体"/>
                <w:color w:val="auto"/>
                <w:sz w:val="21"/>
                <w:szCs w:val="21"/>
                <w:highlight w:val="none"/>
                <w:lang w:val="en-US" w:eastAsia="zh-CN"/>
              </w:rPr>
              <w:t>业绩</w:t>
            </w:r>
            <w:r>
              <w:rPr>
                <w:rFonts w:hint="eastAsia" w:ascii="宋体" w:hAnsi="宋体" w:eastAsia="宋体" w:cs="宋体"/>
                <w:color w:val="auto"/>
                <w:sz w:val="21"/>
                <w:szCs w:val="21"/>
                <w:highlight w:val="none"/>
                <w:lang w:val="en-US" w:eastAsia="zh-CN"/>
              </w:rPr>
              <w:t>(以合同文件为准），每提供一份得2分，最多得</w:t>
            </w:r>
            <w:r>
              <w:rPr>
                <w:rFonts w:hint="eastAsia" w:ascii="宋体" w:hAnsi="宋体" w:cs="宋体"/>
                <w:color w:val="auto"/>
                <w:sz w:val="21"/>
                <w:szCs w:val="21"/>
                <w:highlight w:val="none"/>
                <w:lang w:val="en-US" w:eastAsia="zh-CN"/>
              </w:rPr>
              <w:t>8</w:t>
            </w:r>
            <w:r>
              <w:rPr>
                <w:rFonts w:hint="eastAsia" w:ascii="宋体" w:hAnsi="宋体" w:eastAsia="宋体" w:cs="宋体"/>
                <w:color w:val="auto"/>
                <w:sz w:val="21"/>
                <w:szCs w:val="21"/>
                <w:highlight w:val="none"/>
                <w:lang w:val="en-US" w:eastAsia="zh-CN"/>
              </w:rPr>
              <w:t>分。</w:t>
            </w:r>
          </w:p>
        </w:tc>
      </w:tr>
      <w:tr w14:paraId="19A58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225" w:type="dxa"/>
            <w:vMerge w:val="continue"/>
            <w:noWrap w:val="0"/>
            <w:vAlign w:val="center"/>
          </w:tcPr>
          <w:p w14:paraId="6F047A71">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800" w:type="dxa"/>
            <w:tcBorders>
              <w:top w:val="single" w:color="auto" w:sz="4" w:space="0"/>
            </w:tcBorders>
            <w:noWrap w:val="0"/>
            <w:vAlign w:val="center"/>
          </w:tcPr>
          <w:p w14:paraId="1601D988">
            <w:pPr>
              <w:keepNext w:val="0"/>
              <w:keepLines w:val="0"/>
              <w:pageBreakBefore w:val="0"/>
              <w:numPr>
                <w:ilvl w:val="0"/>
                <w:numId w:val="5"/>
              </w:numPr>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人员配备</w:t>
            </w:r>
          </w:p>
          <w:p w14:paraId="6A94920C">
            <w:pPr>
              <w:keepNext w:val="0"/>
              <w:keepLines w:val="0"/>
              <w:pageBreakBefore w:val="0"/>
              <w:numPr>
                <w:ilvl w:val="0"/>
                <w:numId w:val="0"/>
              </w:numPr>
              <w:kinsoku/>
              <w:wordWrap/>
              <w:overflowPunct/>
              <w:topLinePunct w:val="0"/>
              <w:bidi w:val="0"/>
              <w:snapToGrid w:val="0"/>
              <w:spacing w:line="320" w:lineRule="exact"/>
              <w:ind w:firstLine="420" w:firstLineChars="200"/>
              <w:jc w:val="both"/>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10</w:t>
            </w:r>
            <w:r>
              <w:rPr>
                <w:rFonts w:hint="eastAsia" w:ascii="宋体" w:hAnsi="宋体" w:eastAsia="宋体" w:cs="宋体"/>
                <w:b w:val="0"/>
                <w:bCs w:val="0"/>
                <w:color w:val="auto"/>
                <w:sz w:val="21"/>
                <w:szCs w:val="21"/>
                <w:highlight w:val="none"/>
              </w:rPr>
              <w:t>分）</w:t>
            </w:r>
          </w:p>
        </w:tc>
        <w:tc>
          <w:tcPr>
            <w:tcW w:w="6457" w:type="dxa"/>
            <w:noWrap w:val="0"/>
            <w:vAlign w:val="center"/>
          </w:tcPr>
          <w:p w14:paraId="48C833E4">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根据供应商制定的团队人员配备、人员分工及职责划分、相关证书等进行打分： </w:t>
            </w:r>
          </w:p>
          <w:p w14:paraId="3C60AEB2">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人员配备分工科学合理，职责划分清晰、明确，具备相关的操作证书，能够完全满足项目需求的，得</w:t>
            </w:r>
            <w:r>
              <w:rPr>
                <w:rFonts w:hint="eastAsia" w:ascii="宋体" w:hAnsi="宋体" w:cs="宋体"/>
                <w:color w:val="auto"/>
                <w:sz w:val="21"/>
                <w:szCs w:val="21"/>
                <w:highlight w:val="none"/>
                <w:lang w:val="en-US" w:eastAsia="zh-CN"/>
              </w:rPr>
              <w:t>10</w:t>
            </w:r>
            <w:r>
              <w:rPr>
                <w:rFonts w:hint="eastAsia" w:ascii="宋体" w:hAnsi="宋体" w:eastAsia="宋体" w:cs="宋体"/>
                <w:color w:val="auto"/>
                <w:sz w:val="21"/>
                <w:szCs w:val="21"/>
                <w:highlight w:val="none"/>
                <w:lang w:val="en-US" w:eastAsia="zh-CN"/>
              </w:rPr>
              <w:t xml:space="preserve">分； </w:t>
            </w:r>
          </w:p>
          <w:p w14:paraId="4A064EE6">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人员配备分工合理，有职责划分，基本满足项目需求的，得</w:t>
            </w:r>
            <w:r>
              <w:rPr>
                <w:rFonts w:hint="eastAsia" w:ascii="宋体" w:hAnsi="宋体" w:cs="宋体"/>
                <w:color w:val="auto"/>
                <w:sz w:val="21"/>
                <w:szCs w:val="21"/>
                <w:highlight w:val="none"/>
                <w:lang w:val="en-US" w:eastAsia="zh-CN"/>
              </w:rPr>
              <w:t>5</w:t>
            </w:r>
            <w:r>
              <w:rPr>
                <w:rFonts w:hint="eastAsia" w:ascii="宋体" w:hAnsi="宋体" w:eastAsia="宋体" w:cs="宋体"/>
                <w:color w:val="auto"/>
                <w:sz w:val="21"/>
                <w:szCs w:val="21"/>
                <w:highlight w:val="none"/>
                <w:lang w:val="en-US" w:eastAsia="zh-CN"/>
              </w:rPr>
              <w:t xml:space="preserve">分； </w:t>
            </w:r>
          </w:p>
          <w:p w14:paraId="1765B15A">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人员分工不够合理，不能完全满足项目需求的，得1分。 </w:t>
            </w:r>
          </w:p>
          <w:p w14:paraId="0D364DD0">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缺项不得分。</w:t>
            </w:r>
          </w:p>
        </w:tc>
      </w:tr>
      <w:tr w14:paraId="0027A0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3" w:hRule="atLeast"/>
          <w:jc w:val="center"/>
        </w:trPr>
        <w:tc>
          <w:tcPr>
            <w:tcW w:w="1225" w:type="dxa"/>
            <w:vMerge w:val="continue"/>
            <w:noWrap w:val="0"/>
            <w:vAlign w:val="center"/>
          </w:tcPr>
          <w:p w14:paraId="38F50F2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800" w:type="dxa"/>
            <w:tcBorders>
              <w:top w:val="single" w:color="auto" w:sz="4" w:space="0"/>
            </w:tcBorders>
            <w:noWrap w:val="0"/>
            <w:vAlign w:val="center"/>
          </w:tcPr>
          <w:p w14:paraId="773A2221">
            <w:pPr>
              <w:keepNext w:val="0"/>
              <w:keepLines w:val="0"/>
              <w:pageBreakBefore w:val="0"/>
              <w:numPr>
                <w:ilvl w:val="0"/>
                <w:numId w:val="5"/>
              </w:numPr>
              <w:kinsoku/>
              <w:wordWrap/>
              <w:overflowPunct/>
              <w:topLinePunct w:val="0"/>
              <w:bidi w:val="0"/>
              <w:snapToGrid w:val="0"/>
              <w:spacing w:line="32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合理化建议及</w:t>
            </w:r>
            <w:r>
              <w:rPr>
                <w:rFonts w:hint="eastAsia" w:ascii="宋体" w:hAnsi="宋体" w:eastAsia="宋体" w:cs="宋体"/>
                <w:b w:val="0"/>
                <w:bCs w:val="0"/>
                <w:color w:val="auto"/>
                <w:sz w:val="21"/>
                <w:szCs w:val="21"/>
                <w:highlight w:val="none"/>
                <w:lang w:val="en-US" w:eastAsia="zh-CN"/>
              </w:rPr>
              <w:t>服务承诺</w:t>
            </w:r>
          </w:p>
          <w:p w14:paraId="3A034C30">
            <w:pPr>
              <w:keepNext w:val="0"/>
              <w:keepLines w:val="0"/>
              <w:pageBreakBefore w:val="0"/>
              <w:numPr>
                <w:ilvl w:val="0"/>
                <w:numId w:val="0"/>
              </w:numPr>
              <w:kinsoku/>
              <w:wordWrap/>
              <w:overflowPunct/>
              <w:topLinePunct w:val="0"/>
              <w:bidi w:val="0"/>
              <w:snapToGrid w:val="0"/>
              <w:spacing w:line="320" w:lineRule="exact"/>
              <w:ind w:leftChars="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分)</w:t>
            </w:r>
          </w:p>
        </w:tc>
        <w:tc>
          <w:tcPr>
            <w:tcW w:w="6457" w:type="dxa"/>
            <w:noWrap w:val="0"/>
            <w:vAlign w:val="center"/>
          </w:tcPr>
          <w:p w14:paraId="41852426">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根据本项目特点和要求，针对本项目的相关承诺至少包括：1、合理化建议；2、服务承诺（服务时限承诺、人员履职尽责承诺和落实不到位的处理承诺）。 </w:t>
            </w:r>
          </w:p>
          <w:p w14:paraId="6EAF5FF4">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服务承诺详细，合理性、可行性强的5分； </w:t>
            </w:r>
          </w:p>
          <w:p w14:paraId="5A9C2285">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服务承诺较详细，合理性、可行性一般的得3分； </w:t>
            </w:r>
          </w:p>
          <w:p w14:paraId="1331CA9B">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 xml:space="preserve">服务承诺内容不详细，合理性、可行性差的得1分； </w:t>
            </w:r>
          </w:p>
          <w:p w14:paraId="74646FF9">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缺项得0分。</w:t>
            </w:r>
          </w:p>
        </w:tc>
      </w:tr>
      <w:tr w14:paraId="75EE22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3" w:hRule="atLeast"/>
          <w:jc w:val="center"/>
        </w:trPr>
        <w:tc>
          <w:tcPr>
            <w:tcW w:w="1225" w:type="dxa"/>
            <w:vMerge w:val="continue"/>
            <w:noWrap w:val="0"/>
            <w:vAlign w:val="center"/>
          </w:tcPr>
          <w:p w14:paraId="08CCEEA5">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p>
        </w:tc>
        <w:tc>
          <w:tcPr>
            <w:tcW w:w="1800" w:type="dxa"/>
            <w:tcBorders>
              <w:top w:val="single" w:color="auto" w:sz="4" w:space="0"/>
            </w:tcBorders>
            <w:noWrap w:val="0"/>
            <w:vAlign w:val="center"/>
          </w:tcPr>
          <w:p w14:paraId="116C81B7">
            <w:pPr>
              <w:keepNext w:val="0"/>
              <w:keepLines w:val="0"/>
              <w:pageBreakBefore w:val="0"/>
              <w:numPr>
                <w:ilvl w:val="0"/>
                <w:numId w:val="5"/>
              </w:numPr>
              <w:kinsoku/>
              <w:wordWrap/>
              <w:overflowPunct/>
              <w:topLinePunct w:val="0"/>
              <w:bidi w:val="0"/>
              <w:snapToGrid w:val="0"/>
              <w:spacing w:line="32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优惠承诺</w:t>
            </w:r>
          </w:p>
          <w:p w14:paraId="193A3E69">
            <w:pPr>
              <w:keepNext w:val="0"/>
              <w:keepLines w:val="0"/>
              <w:pageBreakBefore w:val="0"/>
              <w:numPr>
                <w:ilvl w:val="0"/>
                <w:numId w:val="0"/>
              </w:numPr>
              <w:kinsoku/>
              <w:wordWrap/>
              <w:overflowPunct/>
              <w:topLinePunct w:val="0"/>
              <w:bidi w:val="0"/>
              <w:snapToGrid w:val="0"/>
              <w:spacing w:line="320" w:lineRule="exact"/>
              <w:ind w:left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lang w:val="en-US" w:eastAsia="zh-CN"/>
              </w:rPr>
              <w:t>分）</w:t>
            </w:r>
          </w:p>
        </w:tc>
        <w:tc>
          <w:tcPr>
            <w:tcW w:w="6457" w:type="dxa"/>
            <w:noWrap w:val="0"/>
            <w:vAlign w:val="center"/>
          </w:tcPr>
          <w:p w14:paraId="55CF56F6">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根据供应商在满足采购文件基本要求的基础上提供的实质性优惠承诺。每提供一项对采购人有利的、切实可行的实质性优惠承诺得1分，最多得2分。未提供者不得分。</w:t>
            </w:r>
          </w:p>
        </w:tc>
      </w:tr>
      <w:tr w14:paraId="58245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225" w:type="dxa"/>
            <w:noWrap w:val="0"/>
            <w:vAlign w:val="top"/>
          </w:tcPr>
          <w:p w14:paraId="1A150C3D">
            <w:pPr>
              <w:keepNext w:val="0"/>
              <w:keepLines w:val="0"/>
              <w:pageBreakBefore w:val="0"/>
              <w:kinsoku/>
              <w:wordWrap/>
              <w:overflowPunct/>
              <w:topLinePunct w:val="0"/>
              <w:bidi w:val="0"/>
              <w:snapToGrid w:val="0"/>
              <w:spacing w:line="34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57" w:type="dxa"/>
            <w:gridSpan w:val="2"/>
            <w:noWrap w:val="0"/>
            <w:vAlign w:val="center"/>
          </w:tcPr>
          <w:p w14:paraId="53A7063F">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成员评分=各项评分因素的汇总得分。</w:t>
            </w:r>
          </w:p>
          <w:p w14:paraId="6A76EDF3">
            <w:pPr>
              <w:keepNext w:val="0"/>
              <w:keepLines w:val="0"/>
              <w:pageBreakBefore w:val="0"/>
              <w:kinsoku/>
              <w:wordWrap/>
              <w:overflowPunct/>
              <w:topLinePunct w:val="0"/>
              <w:bidi w:val="0"/>
              <w:snapToGrid w:val="0"/>
              <w:spacing w:line="34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所有成员合计评分/</w:t>
            </w:r>
            <w:r>
              <w:rPr>
                <w:rFonts w:hint="eastAsia" w:ascii="宋体" w:hAnsi="宋体" w:eastAsia="宋体" w:cs="宋体"/>
                <w:b w:val="0"/>
                <w:bCs w:val="0"/>
                <w:color w:val="auto"/>
                <w:sz w:val="21"/>
                <w:szCs w:val="21"/>
                <w:highlight w:val="none"/>
                <w:lang w:eastAsia="zh-CN"/>
              </w:rPr>
              <w:t>磋商小组</w:t>
            </w:r>
            <w:r>
              <w:rPr>
                <w:rFonts w:hint="eastAsia" w:ascii="宋体" w:hAnsi="宋体" w:eastAsia="宋体" w:cs="宋体"/>
                <w:b w:val="0"/>
                <w:bCs w:val="0"/>
                <w:color w:val="auto"/>
                <w:sz w:val="21"/>
                <w:szCs w:val="21"/>
                <w:highlight w:val="none"/>
              </w:rPr>
              <w:t>组成人员数。</w:t>
            </w:r>
          </w:p>
        </w:tc>
      </w:tr>
    </w:tbl>
    <w:p w14:paraId="18D289FA">
      <w:pPr>
        <w:keepNext w:val="0"/>
        <w:keepLines w:val="0"/>
        <w:pageBreakBefore w:val="0"/>
        <w:widowControl w:val="0"/>
        <w:kinsoku/>
        <w:wordWrap/>
        <w:overflowPunct/>
        <w:topLinePunct w:val="0"/>
        <w:autoSpaceDE/>
        <w:autoSpaceDN/>
        <w:bidi w:val="0"/>
        <w:adjustRightInd/>
        <w:snapToGrid w:val="0"/>
        <w:spacing w:line="240" w:lineRule="auto"/>
        <w:textAlignment w:val="auto"/>
        <w:rPr>
          <w:rFonts w:hint="eastAsia" w:ascii="宋体" w:hAnsi="宋体" w:eastAsia="宋体" w:cs="宋体"/>
          <w:color w:val="auto"/>
          <w:kern w:val="0"/>
          <w:szCs w:val="21"/>
          <w:highlight w:val="none"/>
        </w:rPr>
      </w:pPr>
    </w:p>
    <w:p w14:paraId="11B2143B">
      <w:pPr>
        <w:rPr>
          <w:rFonts w:hint="eastAsia" w:ascii="宋体" w:hAnsi="宋体" w:eastAsia="宋体" w:cs="宋体"/>
          <w:b/>
          <w:color w:val="auto"/>
          <w:highlight w:val="none"/>
        </w:rPr>
      </w:pPr>
      <w:r>
        <w:rPr>
          <w:rFonts w:hint="eastAsia" w:ascii="宋体" w:hAnsi="宋体" w:eastAsia="宋体" w:cs="宋体"/>
          <w:b/>
          <w:color w:val="auto"/>
          <w:highlight w:val="none"/>
        </w:rPr>
        <w:br w:type="page"/>
      </w:r>
    </w:p>
    <w:bookmarkEnd w:id="46"/>
    <w:p w14:paraId="72765AEE">
      <w:pPr>
        <w:rPr>
          <w:rFonts w:hint="eastAsia" w:ascii="宋体" w:hAnsi="宋体" w:eastAsia="宋体" w:cs="宋体"/>
          <w:color w:val="auto"/>
          <w:highlight w:val="none"/>
        </w:rPr>
      </w:pPr>
      <w:bookmarkStart w:id="50" w:name="_Toc1947"/>
      <w:bookmarkStart w:id="51" w:name="_Toc1482"/>
      <w:bookmarkStart w:id="52" w:name="_Toc256519703"/>
      <w:bookmarkStart w:id="53" w:name="_Toc326786897"/>
    </w:p>
    <w:p w14:paraId="72505761">
      <w:pPr>
        <w:pStyle w:val="3"/>
        <w:snapToGrid w:val="0"/>
        <w:spacing w:before="0" w:after="0" w:line="480" w:lineRule="auto"/>
        <w:jc w:val="center"/>
        <w:rPr>
          <w:rFonts w:hint="eastAsia" w:ascii="宋体" w:hAnsi="宋体" w:eastAsia="宋体" w:cs="宋体"/>
          <w:color w:val="auto"/>
          <w:sz w:val="28"/>
          <w:szCs w:val="28"/>
          <w:highlight w:val="none"/>
        </w:rPr>
      </w:pPr>
      <w:bookmarkStart w:id="54" w:name="_Toc11904"/>
      <w:r>
        <w:rPr>
          <w:rFonts w:hint="eastAsia" w:ascii="宋体" w:hAnsi="宋体" w:eastAsia="宋体" w:cs="宋体"/>
          <w:color w:val="auto"/>
          <w:sz w:val="28"/>
          <w:szCs w:val="28"/>
          <w:highlight w:val="none"/>
        </w:rPr>
        <w:t>第五章  采购合同</w:t>
      </w:r>
      <w:bookmarkEnd w:id="54"/>
    </w:p>
    <w:p w14:paraId="1830CC9A">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以实际合同为准</w:t>
      </w:r>
      <w:r>
        <w:rPr>
          <w:rFonts w:hint="eastAsia" w:ascii="宋体" w:hAnsi="宋体" w:eastAsia="宋体" w:cs="宋体"/>
          <w:color w:val="auto"/>
          <w:sz w:val="21"/>
          <w:szCs w:val="21"/>
          <w:highlight w:val="none"/>
          <w:lang w:eastAsia="zh-CN"/>
        </w:rPr>
        <w:t>）</w:t>
      </w:r>
    </w:p>
    <w:p w14:paraId="2B6C2EFF">
      <w:pPr>
        <w:rPr>
          <w:rFonts w:hint="eastAsia" w:ascii="宋体" w:hAnsi="宋体" w:eastAsia="宋体" w:cs="宋体"/>
          <w:color w:val="auto"/>
          <w:sz w:val="32"/>
          <w:szCs w:val="32"/>
          <w:highlight w:val="none"/>
        </w:rPr>
      </w:pPr>
    </w:p>
    <w:p w14:paraId="5128A091">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6FE8FBD">
      <w:pPr>
        <w:pStyle w:val="32"/>
        <w:rPr>
          <w:rFonts w:hint="eastAsia" w:ascii="宋体" w:hAnsi="宋体" w:eastAsia="宋体" w:cs="宋体"/>
          <w:color w:val="auto"/>
          <w:highlight w:val="none"/>
        </w:rPr>
      </w:pPr>
    </w:p>
    <w:p w14:paraId="14873366">
      <w:pPr>
        <w:pStyle w:val="3"/>
        <w:jc w:val="center"/>
        <w:rPr>
          <w:rFonts w:hint="eastAsia" w:ascii="宋体" w:hAnsi="宋体" w:eastAsia="宋体" w:cs="宋体"/>
          <w:color w:val="auto"/>
          <w:kern w:val="0"/>
          <w:highlight w:val="none"/>
        </w:rPr>
      </w:pPr>
      <w:bookmarkStart w:id="55" w:name="_Toc18702"/>
      <w:r>
        <w:rPr>
          <w:rFonts w:hint="eastAsia" w:ascii="宋体" w:hAnsi="宋体" w:eastAsia="宋体" w:cs="宋体"/>
          <w:color w:val="auto"/>
          <w:sz w:val="32"/>
          <w:szCs w:val="32"/>
          <w:highlight w:val="none"/>
        </w:rPr>
        <w:t xml:space="preserve">第六章  </w:t>
      </w:r>
      <w:r>
        <w:rPr>
          <w:rFonts w:hint="eastAsia" w:ascii="宋体" w:hAnsi="宋体" w:eastAsia="宋体" w:cs="宋体"/>
          <w:color w:val="auto"/>
          <w:sz w:val="32"/>
          <w:szCs w:val="32"/>
          <w:highlight w:val="none"/>
          <w:lang w:val="en-US" w:eastAsia="zh-CN"/>
        </w:rPr>
        <w:t>响应</w:t>
      </w:r>
      <w:r>
        <w:rPr>
          <w:rFonts w:hint="eastAsia" w:ascii="宋体" w:hAnsi="宋体" w:eastAsia="宋体" w:cs="宋体"/>
          <w:color w:val="auto"/>
          <w:sz w:val="32"/>
          <w:szCs w:val="32"/>
          <w:highlight w:val="none"/>
        </w:rPr>
        <w:t>文件格式</w:t>
      </w:r>
      <w:bookmarkEnd w:id="50"/>
      <w:bookmarkEnd w:id="51"/>
      <w:bookmarkEnd w:id="55"/>
    </w:p>
    <w:p w14:paraId="3A621BA5">
      <w:pPr>
        <w:spacing w:line="440" w:lineRule="exact"/>
        <w:rPr>
          <w:rFonts w:hint="eastAsia" w:ascii="宋体" w:hAnsi="宋体" w:eastAsia="宋体" w:cs="宋体"/>
          <w:color w:val="auto"/>
          <w:sz w:val="24"/>
          <w:highlight w:val="none"/>
        </w:rPr>
      </w:pPr>
    </w:p>
    <w:p w14:paraId="3D348165">
      <w:pPr>
        <w:jc w:val="center"/>
        <w:rPr>
          <w:rFonts w:hint="eastAsia" w:ascii="宋体" w:hAnsi="宋体" w:eastAsia="宋体" w:cs="宋体"/>
          <w:b/>
          <w:bCs/>
          <w:color w:val="auto"/>
          <w:sz w:val="32"/>
          <w:szCs w:val="32"/>
          <w:highlight w:val="none"/>
        </w:rPr>
      </w:pPr>
      <w:bookmarkStart w:id="56" w:name="_Toc13604"/>
      <w:r>
        <w:rPr>
          <w:rFonts w:hint="eastAsia" w:ascii="宋体" w:hAnsi="宋体" w:eastAsia="宋体" w:cs="宋体"/>
          <w:b/>
          <w:bCs/>
          <w:color w:val="auto"/>
          <w:sz w:val="32"/>
          <w:szCs w:val="32"/>
          <w:highlight w:val="none"/>
        </w:rPr>
        <w:t>目    录</w:t>
      </w:r>
      <w:bookmarkEnd w:id="56"/>
    </w:p>
    <w:p w14:paraId="0F3087ED">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554A51E6">
      <w:pPr>
        <w:widowControl/>
        <w:wordWrap w:val="0"/>
        <w:spacing w:line="460" w:lineRule="exact"/>
        <w:ind w:firstLine="480" w:firstLineChars="200"/>
        <w:jc w:val="left"/>
        <w:rPr>
          <w:rFonts w:hint="eastAsia" w:ascii="宋体" w:hAnsi="宋体" w:eastAsia="宋体" w:cs="宋体"/>
          <w:color w:val="auto"/>
          <w:kern w:val="0"/>
          <w:sz w:val="24"/>
          <w:highlight w:val="none"/>
        </w:rPr>
      </w:pPr>
    </w:p>
    <w:p w14:paraId="619D5EDD">
      <w:pPr>
        <w:snapToGrid w:val="0"/>
        <w:spacing w:line="360" w:lineRule="auto"/>
        <w:ind w:firstLine="480" w:firstLineChars="200"/>
        <w:rPr>
          <w:rFonts w:hint="eastAsia" w:ascii="宋体" w:hAnsi="宋体" w:eastAsia="宋体" w:cs="宋体"/>
          <w:color w:val="auto"/>
          <w:sz w:val="24"/>
          <w:highlight w:val="none"/>
        </w:rPr>
      </w:pPr>
      <w:bookmarkStart w:id="57" w:name="_Toc11308"/>
      <w:r>
        <w:rPr>
          <w:rFonts w:hint="eastAsia" w:ascii="宋体" w:hAnsi="宋体" w:eastAsia="宋体" w:cs="宋体"/>
          <w:color w:val="auto"/>
          <w:sz w:val="24"/>
          <w:highlight w:val="none"/>
        </w:rPr>
        <w:t>附件1</w:t>
      </w:r>
      <w:r>
        <w:rPr>
          <w:rFonts w:hint="eastAsia" w:ascii="宋体" w:hAnsi="宋体" w:cs="宋体"/>
          <w:color w:val="auto"/>
          <w:sz w:val="24"/>
          <w:highlight w:val="none"/>
          <w:lang w:val="en-US" w:eastAsia="zh-CN"/>
        </w:rPr>
        <w:t xml:space="preserve"> </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文件封面（格式）</w:t>
      </w:r>
      <w:bookmarkEnd w:id="57"/>
    </w:p>
    <w:p w14:paraId="5C1E6A68">
      <w:pPr>
        <w:snapToGrid w:val="0"/>
        <w:spacing w:line="360" w:lineRule="auto"/>
        <w:ind w:firstLine="480" w:firstLineChars="200"/>
        <w:rPr>
          <w:rFonts w:hint="eastAsia" w:ascii="宋体" w:hAnsi="宋体" w:eastAsia="宋体" w:cs="宋体"/>
          <w:color w:val="auto"/>
          <w:sz w:val="24"/>
          <w:highlight w:val="none"/>
        </w:rPr>
      </w:pPr>
      <w:bookmarkStart w:id="58" w:name="_Toc25345"/>
      <w:r>
        <w:rPr>
          <w:rFonts w:hint="eastAsia" w:ascii="宋体" w:hAnsi="宋体" w:eastAsia="宋体" w:cs="宋体"/>
          <w:color w:val="auto"/>
          <w:sz w:val="24"/>
          <w:highlight w:val="none"/>
        </w:rPr>
        <w:t xml:space="preserve">附件2 </w:t>
      </w:r>
      <w:r>
        <w:rPr>
          <w:rFonts w:hint="eastAsia" w:ascii="宋体" w:hAnsi="宋体" w:cs="宋体"/>
          <w:color w:val="auto"/>
          <w:kern w:val="0"/>
          <w:sz w:val="24"/>
        </w:rPr>
        <w:t>竞争性磋商响应书</w:t>
      </w:r>
      <w:r>
        <w:rPr>
          <w:rFonts w:hint="eastAsia" w:ascii="宋体" w:hAnsi="宋体" w:eastAsia="宋体" w:cs="宋体"/>
          <w:color w:val="auto"/>
          <w:sz w:val="24"/>
          <w:highlight w:val="none"/>
        </w:rPr>
        <w:t>（格式）</w:t>
      </w:r>
      <w:bookmarkEnd w:id="58"/>
    </w:p>
    <w:p w14:paraId="1E76BB90">
      <w:pPr>
        <w:snapToGrid w:val="0"/>
        <w:spacing w:line="360" w:lineRule="auto"/>
        <w:ind w:firstLine="480" w:firstLineChars="200"/>
        <w:rPr>
          <w:rFonts w:hint="eastAsia" w:ascii="宋体" w:hAnsi="宋体" w:eastAsia="宋体" w:cs="宋体"/>
          <w:color w:val="auto"/>
          <w:sz w:val="24"/>
          <w:highlight w:val="none"/>
        </w:rPr>
      </w:pPr>
      <w:bookmarkStart w:id="59" w:name="_Toc10217"/>
      <w:r>
        <w:rPr>
          <w:rFonts w:hint="eastAsia" w:ascii="宋体" w:hAnsi="宋体" w:eastAsia="宋体" w:cs="宋体"/>
          <w:color w:val="auto"/>
          <w:sz w:val="24"/>
          <w:highlight w:val="none"/>
        </w:rPr>
        <w:t xml:space="preserve">附件3 </w:t>
      </w:r>
      <w:r>
        <w:rPr>
          <w:rFonts w:hint="eastAsia" w:ascii="宋体" w:hAnsi="宋体" w:cs="宋体"/>
          <w:color w:val="auto"/>
          <w:sz w:val="24"/>
          <w:highlight w:val="none"/>
          <w:lang w:eastAsia="zh-CN"/>
        </w:rPr>
        <w:t>初次报价</w:t>
      </w:r>
      <w:r>
        <w:rPr>
          <w:rFonts w:hint="eastAsia" w:ascii="宋体" w:hAnsi="宋体" w:eastAsia="宋体" w:cs="宋体"/>
          <w:color w:val="auto"/>
          <w:sz w:val="24"/>
          <w:highlight w:val="none"/>
        </w:rPr>
        <w:t>一览表（格式）</w:t>
      </w:r>
      <w:bookmarkEnd w:id="59"/>
    </w:p>
    <w:p w14:paraId="65CE2B15">
      <w:pPr>
        <w:snapToGrid w:val="0"/>
        <w:spacing w:line="360" w:lineRule="auto"/>
        <w:ind w:firstLine="480" w:firstLineChars="200"/>
        <w:rPr>
          <w:rFonts w:hint="eastAsia" w:ascii="宋体" w:hAnsi="宋体" w:eastAsia="宋体" w:cs="宋体"/>
          <w:color w:val="auto"/>
          <w:sz w:val="24"/>
          <w:highlight w:val="none"/>
          <w:lang w:val="en-US"/>
        </w:rPr>
      </w:pPr>
      <w:bookmarkStart w:id="60" w:name="_Toc9579"/>
      <w:r>
        <w:rPr>
          <w:rFonts w:hint="eastAsia" w:ascii="宋体" w:hAnsi="宋体" w:eastAsia="宋体" w:cs="宋体"/>
          <w:color w:val="auto"/>
          <w:sz w:val="24"/>
          <w:highlight w:val="none"/>
        </w:rPr>
        <w:t xml:space="preserve">附件4 </w:t>
      </w:r>
      <w:bookmarkEnd w:id="60"/>
      <w:r>
        <w:rPr>
          <w:rFonts w:hint="eastAsia" w:ascii="宋体" w:hAnsi="宋体" w:eastAsia="宋体" w:cs="宋体"/>
          <w:color w:val="auto"/>
          <w:sz w:val="24"/>
          <w:highlight w:val="none"/>
          <w:lang w:val="en-US" w:eastAsia="zh-CN"/>
        </w:rPr>
        <w:t>报价明细表（格式）</w:t>
      </w:r>
    </w:p>
    <w:p w14:paraId="5633F08C">
      <w:pPr>
        <w:snapToGrid w:val="0"/>
        <w:spacing w:line="360" w:lineRule="auto"/>
        <w:ind w:firstLine="480" w:firstLineChars="200"/>
        <w:rPr>
          <w:rFonts w:hint="eastAsia" w:ascii="宋体" w:hAnsi="宋体" w:eastAsia="宋体" w:cs="宋体"/>
          <w:color w:val="auto"/>
          <w:sz w:val="24"/>
          <w:highlight w:val="none"/>
          <w:lang w:val="en-US"/>
        </w:rPr>
      </w:pPr>
      <w:bookmarkStart w:id="61" w:name="_Toc28392"/>
      <w:r>
        <w:rPr>
          <w:rFonts w:hint="eastAsia" w:ascii="宋体" w:hAnsi="宋体" w:eastAsia="宋体" w:cs="宋体"/>
          <w:color w:val="auto"/>
          <w:sz w:val="24"/>
          <w:highlight w:val="none"/>
        </w:rPr>
        <w:t>附件5</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技术</w:t>
      </w:r>
      <w:r>
        <w:rPr>
          <w:rFonts w:hint="eastAsia" w:ascii="宋体" w:hAnsi="宋体" w:eastAsia="宋体" w:cs="宋体"/>
          <w:color w:val="auto"/>
          <w:sz w:val="24"/>
          <w:highlight w:val="none"/>
          <w:lang w:val="en-US" w:eastAsia="zh-CN"/>
        </w:rPr>
        <w:t>响应</w:t>
      </w:r>
      <w:bookmarkEnd w:id="61"/>
      <w:r>
        <w:rPr>
          <w:rFonts w:hint="eastAsia" w:ascii="宋体" w:hAnsi="宋体" w:eastAsia="宋体" w:cs="宋体"/>
          <w:color w:val="auto"/>
          <w:sz w:val="24"/>
          <w:highlight w:val="none"/>
          <w:lang w:val="en-US" w:eastAsia="zh-CN"/>
        </w:rPr>
        <w:t>表（格式）</w:t>
      </w:r>
    </w:p>
    <w:p w14:paraId="0B4231C6">
      <w:pPr>
        <w:snapToGrid w:val="0"/>
        <w:spacing w:line="360" w:lineRule="auto"/>
        <w:ind w:firstLine="480" w:firstLineChars="200"/>
        <w:rPr>
          <w:rFonts w:hint="eastAsia" w:ascii="宋体" w:hAnsi="宋体" w:eastAsia="宋体" w:cs="宋体"/>
          <w:color w:val="auto"/>
          <w:sz w:val="24"/>
          <w:highlight w:val="none"/>
          <w:lang w:val="en-US" w:eastAsia="zh-CN"/>
        </w:rPr>
      </w:pPr>
      <w:bookmarkStart w:id="62" w:name="_Toc6234"/>
      <w:r>
        <w:rPr>
          <w:rFonts w:hint="eastAsia" w:ascii="宋体" w:hAnsi="宋体" w:eastAsia="宋体" w:cs="宋体"/>
          <w:color w:val="auto"/>
          <w:sz w:val="24"/>
          <w:highlight w:val="none"/>
        </w:rPr>
        <w:t>附件6 商务</w:t>
      </w:r>
      <w:bookmarkEnd w:id="62"/>
      <w:r>
        <w:rPr>
          <w:rFonts w:hint="eastAsia" w:ascii="宋体" w:hAnsi="宋体" w:eastAsia="宋体" w:cs="宋体"/>
          <w:color w:val="auto"/>
          <w:sz w:val="24"/>
          <w:highlight w:val="none"/>
          <w:lang w:val="en-US" w:eastAsia="zh-CN"/>
        </w:rPr>
        <w:t>响应表（格式）</w:t>
      </w:r>
    </w:p>
    <w:p w14:paraId="70F92402">
      <w:pPr>
        <w:snapToGrid w:val="0"/>
        <w:spacing w:line="360" w:lineRule="auto"/>
        <w:ind w:firstLine="480" w:firstLineChars="200"/>
        <w:rPr>
          <w:rFonts w:hint="eastAsia" w:ascii="宋体" w:hAnsi="宋体" w:eastAsia="宋体" w:cs="宋体"/>
          <w:color w:val="auto"/>
          <w:sz w:val="24"/>
          <w:highlight w:val="none"/>
        </w:rPr>
      </w:pPr>
      <w:bookmarkStart w:id="63" w:name="_Toc26231"/>
      <w:r>
        <w:rPr>
          <w:rFonts w:hint="eastAsia" w:ascii="宋体" w:hAnsi="宋体" w:eastAsia="宋体" w:cs="宋体"/>
          <w:color w:val="auto"/>
          <w:sz w:val="24"/>
          <w:highlight w:val="none"/>
        </w:rPr>
        <w:t>附件7</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法定代表人身份证明（格式）</w:t>
      </w:r>
      <w:bookmarkEnd w:id="63"/>
    </w:p>
    <w:p w14:paraId="4415CBAA">
      <w:pPr>
        <w:snapToGrid w:val="0"/>
        <w:spacing w:line="360" w:lineRule="auto"/>
        <w:ind w:firstLine="480" w:firstLineChars="200"/>
        <w:rPr>
          <w:rFonts w:hint="eastAsia" w:ascii="宋体" w:hAnsi="宋体" w:eastAsia="宋体" w:cs="宋体"/>
          <w:color w:val="auto"/>
          <w:sz w:val="24"/>
          <w:highlight w:val="none"/>
        </w:rPr>
      </w:pPr>
      <w:bookmarkStart w:id="64" w:name="_Toc18484"/>
      <w:r>
        <w:rPr>
          <w:rFonts w:hint="eastAsia" w:ascii="宋体" w:hAnsi="宋体" w:eastAsia="宋体" w:cs="宋体"/>
          <w:color w:val="auto"/>
          <w:sz w:val="24"/>
          <w:highlight w:val="none"/>
        </w:rPr>
        <w:t>附件8</w:t>
      </w:r>
      <w:r>
        <w:rPr>
          <w:rFonts w:hint="eastAsia" w:ascii="宋体" w:hAnsi="宋体" w:eastAsia="宋体" w:cs="宋体"/>
          <w:color w:val="auto"/>
          <w:sz w:val="24"/>
          <w:highlight w:val="none"/>
          <w:lang w:val="en-US" w:eastAsia="zh-CN"/>
        </w:rPr>
        <w:t xml:space="preserve"> </w:t>
      </w:r>
      <w:r>
        <w:rPr>
          <w:rFonts w:hint="eastAsia" w:ascii="宋体" w:hAnsi="宋体" w:eastAsia="宋体" w:cs="宋体"/>
          <w:color w:val="auto"/>
          <w:sz w:val="24"/>
          <w:highlight w:val="none"/>
        </w:rPr>
        <w:t>法定代表人授权书（格式）</w:t>
      </w:r>
      <w:bookmarkEnd w:id="64"/>
    </w:p>
    <w:p w14:paraId="183B7A05">
      <w:pPr>
        <w:snapToGrid w:val="0"/>
        <w:spacing w:line="360" w:lineRule="auto"/>
        <w:ind w:firstLine="480" w:firstLineChars="200"/>
        <w:rPr>
          <w:rFonts w:hint="eastAsia" w:ascii="宋体" w:hAnsi="宋体" w:eastAsia="宋体" w:cs="宋体"/>
          <w:color w:val="auto"/>
          <w:sz w:val="24"/>
          <w:highlight w:val="none"/>
        </w:rPr>
      </w:pPr>
      <w:bookmarkStart w:id="65" w:name="_Toc31857"/>
      <w:r>
        <w:rPr>
          <w:rFonts w:hint="eastAsia" w:ascii="宋体" w:hAnsi="宋体" w:eastAsia="宋体" w:cs="宋体"/>
          <w:color w:val="auto"/>
          <w:sz w:val="24"/>
          <w:highlight w:val="none"/>
        </w:rPr>
        <w:t>附件9 证明文件</w:t>
      </w:r>
      <w:bookmarkEnd w:id="65"/>
    </w:p>
    <w:p w14:paraId="72B78CB0">
      <w:pPr>
        <w:snapToGrid w:val="0"/>
        <w:spacing w:line="360" w:lineRule="auto"/>
        <w:ind w:firstLine="480" w:firstLineChars="200"/>
        <w:rPr>
          <w:rFonts w:hint="eastAsia" w:ascii="宋体" w:hAnsi="宋体" w:eastAsia="宋体" w:cs="宋体"/>
          <w:color w:val="auto"/>
          <w:sz w:val="24"/>
          <w:highlight w:val="none"/>
        </w:rPr>
      </w:pPr>
      <w:bookmarkStart w:id="66" w:name="_Toc23116"/>
      <w:r>
        <w:rPr>
          <w:rFonts w:hint="eastAsia" w:ascii="宋体" w:hAnsi="宋体" w:eastAsia="宋体" w:cs="宋体"/>
          <w:color w:val="auto"/>
          <w:sz w:val="24"/>
          <w:highlight w:val="none"/>
        </w:rPr>
        <w:t>附件10 供应商承诺书（格式）</w:t>
      </w:r>
      <w:bookmarkEnd w:id="66"/>
    </w:p>
    <w:p w14:paraId="483B57EC">
      <w:pPr>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附件11 供应商信用承诺函（格式）</w:t>
      </w:r>
    </w:p>
    <w:p w14:paraId="469B2C1E">
      <w:pPr>
        <w:snapToGrid w:val="0"/>
        <w:spacing w:line="360" w:lineRule="auto"/>
        <w:ind w:firstLine="480" w:firstLineChars="200"/>
        <w:rPr>
          <w:rFonts w:hint="eastAsia" w:ascii="宋体" w:hAnsi="宋体" w:eastAsia="宋体" w:cs="宋体"/>
          <w:color w:val="auto"/>
          <w:sz w:val="24"/>
          <w:highlight w:val="none"/>
          <w:lang w:val="en-US" w:eastAsia="zh-CN"/>
        </w:rPr>
      </w:pPr>
    </w:p>
    <w:p w14:paraId="6C2D903B">
      <w:pPr>
        <w:pStyle w:val="32"/>
        <w:rPr>
          <w:rFonts w:hint="eastAsia" w:ascii="宋体" w:hAnsi="宋体" w:eastAsia="宋体" w:cs="宋体"/>
          <w:color w:val="auto"/>
          <w:highlight w:val="none"/>
        </w:rPr>
      </w:pPr>
    </w:p>
    <w:p w14:paraId="7AF8ED32">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1B08EB19">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527DEDA2">
      <w:pPr>
        <w:widowControl/>
        <w:wordWrap w:val="0"/>
        <w:snapToGrid w:val="0"/>
        <w:spacing w:line="460" w:lineRule="exact"/>
        <w:ind w:firstLine="482" w:firstLineChars="200"/>
        <w:jc w:val="center"/>
        <w:rPr>
          <w:rFonts w:hint="eastAsia" w:ascii="宋体" w:hAnsi="宋体" w:eastAsia="宋体" w:cs="宋体"/>
          <w:b/>
          <w:bCs/>
          <w:color w:val="auto"/>
          <w:kern w:val="0"/>
          <w:sz w:val="24"/>
          <w:highlight w:val="none"/>
        </w:rPr>
      </w:pPr>
    </w:p>
    <w:p w14:paraId="3A19C00F">
      <w:pPr>
        <w:pStyle w:val="4"/>
        <w:rPr>
          <w:rFonts w:hint="eastAsia" w:ascii="宋体" w:hAnsi="宋体" w:eastAsia="宋体" w:cs="宋体"/>
          <w:b/>
          <w:bCs/>
          <w:color w:val="auto"/>
          <w:kern w:val="0"/>
          <w:sz w:val="24"/>
          <w:highlight w:val="none"/>
        </w:rPr>
      </w:pPr>
    </w:p>
    <w:p w14:paraId="6A40B5D2">
      <w:pPr>
        <w:pStyle w:val="5"/>
        <w:rPr>
          <w:rFonts w:hint="eastAsia" w:ascii="宋体" w:hAnsi="宋体" w:eastAsia="宋体" w:cs="宋体"/>
          <w:b/>
          <w:bCs/>
          <w:color w:val="auto"/>
          <w:highlight w:val="none"/>
        </w:rPr>
      </w:pPr>
    </w:p>
    <w:p w14:paraId="5CE63E50">
      <w:pPr>
        <w:pStyle w:val="5"/>
        <w:rPr>
          <w:rFonts w:hint="eastAsia" w:ascii="宋体" w:hAnsi="宋体" w:eastAsia="宋体" w:cs="宋体"/>
          <w:b/>
          <w:bCs/>
          <w:color w:val="auto"/>
          <w:highlight w:val="none"/>
        </w:rPr>
      </w:pPr>
    </w:p>
    <w:p w14:paraId="3B4739EC">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8D44117">
      <w:pPr>
        <w:pStyle w:val="27"/>
        <w:rPr>
          <w:rFonts w:hint="eastAsia" w:ascii="宋体" w:hAnsi="宋体" w:eastAsia="宋体" w:cs="宋体"/>
          <w:color w:val="auto"/>
          <w:highlight w:val="none"/>
        </w:rPr>
      </w:pPr>
    </w:p>
    <w:p w14:paraId="7A671854">
      <w:pPr>
        <w:pStyle w:val="6"/>
        <w:keepNext/>
        <w:keepLines/>
        <w:pageBreakBefore w:val="0"/>
        <w:widowControl w:val="0"/>
        <w:kinsoku/>
        <w:wordWrap/>
        <w:overflowPunct/>
        <w:topLinePunct w:val="0"/>
        <w:autoSpaceDE/>
        <w:autoSpaceDN/>
        <w:bidi w:val="0"/>
        <w:adjustRightInd/>
        <w:snapToGrid w:val="0"/>
        <w:spacing w:before="20" w:after="20" w:line="360" w:lineRule="auto"/>
        <w:textAlignment w:val="auto"/>
        <w:rPr>
          <w:rFonts w:hint="eastAsia" w:ascii="宋体" w:hAnsi="宋体" w:eastAsia="宋体" w:cs="宋体"/>
          <w:color w:val="auto"/>
          <w:sz w:val="28"/>
          <w:szCs w:val="28"/>
          <w:highlight w:val="none"/>
        </w:rPr>
      </w:pPr>
      <w:bookmarkStart w:id="67" w:name="_Toc24743"/>
      <w:bookmarkStart w:id="68" w:name="_Toc31798"/>
      <w:r>
        <w:rPr>
          <w:rFonts w:hint="eastAsia" w:ascii="宋体" w:hAnsi="宋体" w:eastAsia="宋体" w:cs="宋体"/>
          <w:color w:val="auto"/>
          <w:sz w:val="28"/>
          <w:szCs w:val="28"/>
          <w:highlight w:val="none"/>
        </w:rPr>
        <w:t xml:space="preserve">附件1               </w:t>
      </w:r>
      <w:r>
        <w:rPr>
          <w:rFonts w:hint="eastAsia" w:ascii="宋体" w:hAnsi="宋体" w:eastAsia="宋体" w:cs="宋体"/>
          <w:color w:val="auto"/>
          <w:sz w:val="28"/>
          <w:szCs w:val="28"/>
          <w:highlight w:val="none"/>
          <w:lang w:val="en-US" w:eastAsia="zh-CN"/>
        </w:rPr>
        <w:t>响应</w:t>
      </w:r>
      <w:r>
        <w:rPr>
          <w:rFonts w:hint="eastAsia" w:ascii="宋体" w:hAnsi="宋体" w:eastAsia="宋体" w:cs="宋体"/>
          <w:color w:val="auto"/>
          <w:sz w:val="28"/>
          <w:szCs w:val="28"/>
          <w:highlight w:val="none"/>
        </w:rPr>
        <w:t>文件封面（格式）</w:t>
      </w:r>
      <w:bookmarkEnd w:id="67"/>
      <w:bookmarkEnd w:id="68"/>
    </w:p>
    <w:p w14:paraId="54666429">
      <w:pPr>
        <w:widowControl/>
        <w:wordWrap w:val="0"/>
        <w:spacing w:line="460" w:lineRule="exact"/>
        <w:ind w:firstLine="482" w:firstLineChars="200"/>
        <w:jc w:val="center"/>
        <w:rPr>
          <w:rFonts w:hint="eastAsia" w:ascii="宋体" w:hAnsi="宋体" w:eastAsia="宋体" w:cs="宋体"/>
          <w:b/>
          <w:color w:val="auto"/>
          <w:kern w:val="0"/>
          <w:sz w:val="24"/>
          <w:highlight w:val="none"/>
        </w:rPr>
      </w:pPr>
    </w:p>
    <w:p w14:paraId="1EC03CF7">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snapToGrid w:val="0"/>
          <w:color w:val="auto"/>
          <w:spacing w:val="0"/>
          <w:kern w:val="0"/>
          <w:sz w:val="44"/>
          <w:szCs w:val="44"/>
          <w:highlight w:val="none"/>
          <w:u w:val="none"/>
          <w:lang w:val="en-US" w:eastAsia="zh-CN"/>
        </w:rPr>
        <w:t>驻马店市中心医院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14:paraId="604D1418">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lang w:val="en-US" w:eastAsia="zh-CN"/>
        </w:rPr>
        <w:t>响应</w:t>
      </w:r>
      <w:r>
        <w:rPr>
          <w:rFonts w:hint="eastAsia" w:ascii="宋体" w:hAnsi="宋体" w:eastAsia="宋体" w:cs="宋体"/>
          <w:b/>
          <w:color w:val="auto"/>
          <w:spacing w:val="90"/>
          <w:sz w:val="52"/>
          <w:szCs w:val="52"/>
          <w:highlight w:val="none"/>
        </w:rPr>
        <w:t>文件</w:t>
      </w:r>
    </w:p>
    <w:p w14:paraId="2515A5F8">
      <w:pPr>
        <w:spacing w:line="360" w:lineRule="auto"/>
        <w:rPr>
          <w:rFonts w:hint="eastAsia" w:ascii="宋体" w:hAnsi="宋体" w:eastAsia="宋体" w:cs="宋体"/>
          <w:color w:val="auto"/>
          <w:sz w:val="28"/>
          <w:highlight w:val="none"/>
        </w:rPr>
      </w:pPr>
    </w:p>
    <w:p w14:paraId="3638B34E">
      <w:pPr>
        <w:pStyle w:val="5"/>
        <w:spacing w:line="360" w:lineRule="auto"/>
        <w:rPr>
          <w:rFonts w:hint="eastAsia" w:ascii="宋体" w:hAnsi="宋体" w:eastAsia="宋体" w:cs="宋体"/>
          <w:color w:val="auto"/>
          <w:highlight w:val="none"/>
        </w:rPr>
      </w:pPr>
    </w:p>
    <w:p w14:paraId="5FD218BB">
      <w:pPr>
        <w:pStyle w:val="5"/>
        <w:spacing w:line="360" w:lineRule="auto"/>
        <w:rPr>
          <w:rFonts w:hint="eastAsia" w:ascii="宋体" w:hAnsi="宋体" w:eastAsia="宋体" w:cs="宋体"/>
          <w:color w:val="auto"/>
          <w:highlight w:val="none"/>
        </w:rPr>
      </w:pPr>
    </w:p>
    <w:p w14:paraId="57EC86A1">
      <w:pPr>
        <w:spacing w:line="360" w:lineRule="auto"/>
        <w:rPr>
          <w:rFonts w:hint="eastAsia" w:ascii="宋体" w:hAnsi="宋体" w:eastAsia="宋体" w:cs="宋体"/>
          <w:color w:val="auto"/>
          <w:sz w:val="28"/>
          <w:highlight w:val="none"/>
        </w:rPr>
      </w:pPr>
    </w:p>
    <w:p w14:paraId="2E6B0E63">
      <w:pPr>
        <w:spacing w:line="360" w:lineRule="auto"/>
        <w:rPr>
          <w:rFonts w:hint="eastAsia" w:ascii="宋体" w:hAnsi="宋体" w:eastAsia="宋体" w:cs="宋体"/>
          <w:color w:val="auto"/>
          <w:sz w:val="28"/>
          <w:highlight w:val="none"/>
        </w:rPr>
      </w:pPr>
    </w:p>
    <w:p w14:paraId="4535B8D6">
      <w:pPr>
        <w:spacing w:line="360" w:lineRule="auto"/>
        <w:rPr>
          <w:rFonts w:hint="eastAsia" w:ascii="宋体" w:hAnsi="宋体" w:eastAsia="宋体" w:cs="宋体"/>
          <w:color w:val="auto"/>
          <w:sz w:val="28"/>
          <w:highlight w:val="none"/>
        </w:rPr>
      </w:pPr>
    </w:p>
    <w:p w14:paraId="7895C4AC">
      <w:pPr>
        <w:spacing w:line="360" w:lineRule="auto"/>
        <w:rPr>
          <w:rFonts w:hint="eastAsia" w:ascii="宋体" w:hAnsi="宋体" w:eastAsia="宋体" w:cs="宋体"/>
          <w:color w:val="auto"/>
          <w:sz w:val="28"/>
          <w:highlight w:val="none"/>
        </w:rPr>
      </w:pPr>
    </w:p>
    <w:p w14:paraId="44B94A23">
      <w:pPr>
        <w:spacing w:line="360" w:lineRule="auto"/>
        <w:rPr>
          <w:rFonts w:hint="eastAsia" w:ascii="宋体" w:hAnsi="宋体" w:eastAsia="宋体" w:cs="宋体"/>
          <w:color w:val="auto"/>
          <w:sz w:val="28"/>
          <w:highlight w:val="none"/>
        </w:rPr>
      </w:pPr>
    </w:p>
    <w:p w14:paraId="2ED3E998">
      <w:pPr>
        <w:spacing w:line="360" w:lineRule="auto"/>
        <w:rPr>
          <w:rFonts w:hint="eastAsia" w:ascii="宋体" w:hAnsi="宋体" w:eastAsia="宋体" w:cs="宋体"/>
          <w:color w:val="auto"/>
          <w:sz w:val="28"/>
          <w:highlight w:val="none"/>
        </w:rPr>
      </w:pPr>
    </w:p>
    <w:p w14:paraId="23D6C2A5">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lang w:eastAsia="zh-CN"/>
        </w:rPr>
        <w:t>供应商</w:t>
      </w:r>
      <w:r>
        <w:rPr>
          <w:rFonts w:hint="eastAsia" w:ascii="宋体" w:hAnsi="宋体" w:eastAsia="宋体" w:cs="宋体"/>
          <w:color w:val="auto"/>
          <w:sz w:val="28"/>
          <w:szCs w:val="28"/>
          <w:highlight w:val="none"/>
        </w:rPr>
        <w:t>（</w:t>
      </w:r>
      <w:r>
        <w:rPr>
          <w:rFonts w:hint="eastAsia" w:ascii="宋体" w:hAnsi="宋体" w:eastAsia="宋体" w:cs="宋体"/>
          <w:color w:val="auto"/>
          <w:sz w:val="28"/>
          <w:szCs w:val="28"/>
          <w:highlight w:val="none"/>
          <w:lang w:eastAsia="zh-CN"/>
        </w:rPr>
        <w:t>全称并</w:t>
      </w:r>
      <w:r>
        <w:rPr>
          <w:rFonts w:hint="eastAsia" w:ascii="宋体" w:hAnsi="宋体" w:eastAsia="宋体" w:cs="宋体"/>
          <w:color w:val="auto"/>
          <w:sz w:val="28"/>
          <w:szCs w:val="28"/>
          <w:highlight w:val="none"/>
          <w:lang w:val="en-US" w:eastAsia="zh-CN"/>
        </w:rPr>
        <w:t>加</w:t>
      </w:r>
      <w:r>
        <w:rPr>
          <w:rFonts w:hint="eastAsia" w:ascii="宋体" w:hAnsi="宋体" w:eastAsia="宋体" w:cs="宋体"/>
          <w:color w:val="auto"/>
          <w:sz w:val="28"/>
          <w:szCs w:val="28"/>
          <w:highlight w:val="none"/>
          <w:lang w:eastAsia="zh-CN"/>
        </w:rPr>
        <w:t>盖</w:t>
      </w:r>
      <w:r>
        <w:rPr>
          <w:rFonts w:hint="eastAsia" w:ascii="宋体" w:hAnsi="宋体" w:eastAsia="宋体" w:cs="宋体"/>
          <w:color w:val="auto"/>
          <w:sz w:val="28"/>
          <w:szCs w:val="28"/>
          <w:highlight w:val="none"/>
          <w:lang w:val="en-US" w:eastAsia="zh-CN"/>
        </w:rPr>
        <w:t>公</w:t>
      </w:r>
      <w:r>
        <w:rPr>
          <w:rFonts w:hint="eastAsia" w:ascii="宋体" w:hAnsi="宋体" w:eastAsia="宋体" w:cs="宋体"/>
          <w:color w:val="auto"/>
          <w:sz w:val="28"/>
          <w:szCs w:val="28"/>
          <w:highlight w:val="none"/>
          <w:lang w:eastAsia="zh-CN"/>
        </w:rPr>
        <w:t>章</w:t>
      </w:r>
      <w:r>
        <w:rPr>
          <w:rFonts w:hint="eastAsia" w:ascii="宋体" w:hAnsi="宋体" w:eastAsia="宋体" w:cs="宋体"/>
          <w:color w:val="auto"/>
          <w:sz w:val="28"/>
          <w:szCs w:val="28"/>
          <w:highlight w:val="none"/>
        </w:rPr>
        <w:t>）：</w:t>
      </w:r>
    </w:p>
    <w:p w14:paraId="4598FE07">
      <w:pPr>
        <w:widowControl/>
        <w:wordWrap w:val="0"/>
        <w:spacing w:line="460" w:lineRule="exact"/>
        <w:ind w:left="0" w:leftChars="0" w:firstLine="0" w:firstLineChars="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法定代表人或委托代理人（签字</w:t>
      </w:r>
      <w:r>
        <w:rPr>
          <w:rFonts w:hint="eastAsia" w:ascii="宋体" w:hAnsi="宋体" w:eastAsia="宋体" w:cs="宋体"/>
          <w:color w:val="auto"/>
          <w:sz w:val="28"/>
          <w:szCs w:val="28"/>
          <w:highlight w:val="none"/>
          <w:lang w:val="en-US" w:eastAsia="zh-CN"/>
        </w:rPr>
        <w:t>或盖章</w:t>
      </w:r>
      <w:r>
        <w:rPr>
          <w:rFonts w:hint="eastAsia" w:ascii="宋体" w:hAnsi="宋体" w:eastAsia="宋体" w:cs="宋体"/>
          <w:color w:val="auto"/>
          <w:sz w:val="28"/>
          <w:szCs w:val="28"/>
          <w:highlight w:val="none"/>
        </w:rPr>
        <w:t>）：</w:t>
      </w:r>
    </w:p>
    <w:p w14:paraId="6856B0BB">
      <w:pPr>
        <w:widowControl/>
        <w:wordWrap w:val="0"/>
        <w:spacing w:line="460" w:lineRule="exact"/>
        <w:ind w:left="0" w:leftChars="0" w:firstLine="0" w:firstLineChars="0"/>
        <w:jc w:val="center"/>
        <w:rPr>
          <w:rFonts w:hint="eastAsia" w:ascii="宋体" w:hAnsi="宋体" w:eastAsia="宋体" w:cs="宋体"/>
          <w:b/>
          <w:color w:val="auto"/>
          <w:kern w:val="0"/>
          <w:sz w:val="24"/>
          <w:highlight w:val="none"/>
        </w:rPr>
      </w:pPr>
      <w:r>
        <w:rPr>
          <w:rFonts w:hint="eastAsia" w:ascii="宋体" w:hAnsi="宋体" w:eastAsia="宋体" w:cs="宋体"/>
          <w:color w:val="auto"/>
          <w:sz w:val="28"/>
          <w:szCs w:val="28"/>
          <w:highlight w:val="none"/>
        </w:rPr>
        <w:t>年   月   日</w:t>
      </w:r>
    </w:p>
    <w:p w14:paraId="4C244F6C">
      <w:pPr>
        <w:widowControl/>
        <w:wordWrap w:val="0"/>
        <w:spacing w:line="460" w:lineRule="exact"/>
        <w:ind w:firstLine="482" w:firstLineChars="200"/>
        <w:jc w:val="left"/>
        <w:rPr>
          <w:rFonts w:hint="eastAsia" w:ascii="宋体" w:hAnsi="宋体" w:eastAsia="宋体" w:cs="宋体"/>
          <w:b/>
          <w:color w:val="auto"/>
          <w:kern w:val="0"/>
          <w:sz w:val="24"/>
          <w:highlight w:val="none"/>
        </w:rPr>
      </w:pPr>
    </w:p>
    <w:p w14:paraId="023F933E">
      <w:pPr>
        <w:pStyle w:val="4"/>
        <w:rPr>
          <w:rFonts w:hint="eastAsia" w:ascii="宋体" w:hAnsi="宋体" w:eastAsia="宋体" w:cs="宋体"/>
          <w:b/>
          <w:color w:val="auto"/>
          <w:kern w:val="0"/>
          <w:sz w:val="24"/>
          <w:highlight w:val="none"/>
        </w:rPr>
      </w:pPr>
    </w:p>
    <w:p w14:paraId="4D3CDDC2">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4F9BAEF4">
      <w:pPr>
        <w:pStyle w:val="6"/>
        <w:keepNext w:val="0"/>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69" w:name="_Toc14560"/>
      <w:bookmarkStart w:id="70" w:name="_Toc8818"/>
      <w:r>
        <w:rPr>
          <w:rFonts w:hint="eastAsia" w:ascii="宋体" w:hAnsi="宋体" w:eastAsia="宋体" w:cs="宋体"/>
          <w:color w:val="auto"/>
          <w:sz w:val="28"/>
          <w:szCs w:val="28"/>
          <w:highlight w:val="none"/>
          <w:lang w:val="en-US" w:eastAsia="zh-CN"/>
        </w:rPr>
        <w:t>附件2      竞争性磋商响应书（格式）</w:t>
      </w:r>
      <w:bookmarkEnd w:id="69"/>
      <w:bookmarkEnd w:id="70"/>
    </w:p>
    <w:p w14:paraId="57C61D52">
      <w:pPr>
        <w:keepNext w:val="0"/>
        <w:pageBreakBefore w:val="0"/>
        <w:widowControl w:val="0"/>
        <w:wordWrap w:val="0"/>
        <w:overflowPunct/>
        <w:topLinePunct w:val="0"/>
        <w:bidi w:val="0"/>
        <w:snapToGrid w:val="0"/>
        <w:spacing w:line="460" w:lineRule="exact"/>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eastAsia="zh-CN"/>
        </w:rPr>
        <w:t>采购人</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w:t>
      </w:r>
    </w:p>
    <w:p w14:paraId="6705649D">
      <w:pPr>
        <w:keepNext w:val="0"/>
        <w:pageBreakBefore w:val="0"/>
        <w:widowControl w:val="0"/>
        <w:wordWrap w:val="0"/>
        <w:overflowPunct/>
        <w:topLinePunct w:val="0"/>
        <w:bidi w:val="0"/>
        <w:spacing w:line="460" w:lineRule="exact"/>
        <w:ind w:firstLine="525" w:firstLine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w:t>
      </w:r>
      <w:r>
        <w:rPr>
          <w:rFonts w:hint="eastAsia" w:ascii="宋体" w:hAnsi="宋体" w:eastAsia="宋体" w:cs="宋体"/>
          <w:color w:val="auto"/>
          <w:kern w:val="0"/>
          <w:szCs w:val="21"/>
          <w:highlight w:val="none"/>
          <w:u w:val="single"/>
          <w:lang w:eastAsia="zh-CN"/>
        </w:rPr>
        <w:t>供应商</w:t>
      </w:r>
      <w:r>
        <w:rPr>
          <w:rFonts w:hint="eastAsia" w:ascii="宋体" w:hAnsi="宋体" w:eastAsia="宋体" w:cs="宋体"/>
          <w:color w:val="auto"/>
          <w:kern w:val="0"/>
          <w:szCs w:val="21"/>
          <w:highlight w:val="none"/>
          <w:u w:val="single"/>
        </w:rPr>
        <w:t>名称）</w:t>
      </w:r>
      <w:r>
        <w:rPr>
          <w:rFonts w:hint="eastAsia" w:ascii="宋体" w:hAnsi="宋体" w:eastAsia="宋体" w:cs="宋体"/>
          <w:color w:val="auto"/>
          <w:kern w:val="0"/>
          <w:szCs w:val="21"/>
          <w:highlight w:val="none"/>
        </w:rPr>
        <w:t xml:space="preserve">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（姓名）为我方代理人，参加贵方组织的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项目的</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。现正式提交下述文件1份：</w:t>
      </w:r>
    </w:p>
    <w:p w14:paraId="2C69336E">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1、初次报价一览表。</w:t>
      </w:r>
    </w:p>
    <w:p w14:paraId="1C17FC7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2、技术响应表。</w:t>
      </w:r>
    </w:p>
    <w:p w14:paraId="21D2195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3</w:t>
      </w:r>
      <w:r>
        <w:rPr>
          <w:rFonts w:hint="eastAsia" w:ascii="宋体" w:hAnsi="宋体" w:eastAsia="宋体" w:cs="宋体"/>
          <w:color w:val="auto"/>
          <w:kern w:val="0"/>
          <w:szCs w:val="21"/>
          <w:highlight w:val="none"/>
        </w:rPr>
        <w:t>、商务响应表。</w:t>
      </w:r>
    </w:p>
    <w:p w14:paraId="44A28F1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4</w:t>
      </w:r>
      <w:r>
        <w:rPr>
          <w:rFonts w:hint="eastAsia" w:ascii="宋体" w:hAnsi="宋体" w:eastAsia="宋体" w:cs="宋体"/>
          <w:color w:val="auto"/>
          <w:kern w:val="0"/>
          <w:szCs w:val="21"/>
          <w:highlight w:val="none"/>
        </w:rPr>
        <w:t>、证明文件。</w:t>
      </w:r>
    </w:p>
    <w:p w14:paraId="7F79F223">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为便于贵方公正、择优地确定</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供应商，我方就本次投标有关事项郑重声明并宣布同意如下：</w:t>
      </w:r>
    </w:p>
    <w:p w14:paraId="6720F0A4">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1、我方承诺已经具备</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中规定的参加政府采购活动的</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应当具备的条件。我方愿意向贵方提供任何与本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项目投标有关的数据、情况和技术资料，并根据需要提供一切承诺的证明材料，并保证其真实、合法、有效。</w:t>
      </w:r>
    </w:p>
    <w:p w14:paraId="1E043C82">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2、我方承诺在</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活动中提供的各种材料真实有效。</w:t>
      </w:r>
    </w:p>
    <w:p w14:paraId="7A4022B4">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3、我方同意在</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文件有效期内遵守本</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文件中的承诺且在此期限期满之前均具有约束力。如果我方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响应</w:t>
      </w:r>
      <w:r>
        <w:rPr>
          <w:rFonts w:hint="eastAsia" w:ascii="宋体" w:hAnsi="宋体" w:eastAsia="宋体" w:cs="宋体"/>
          <w:color w:val="auto"/>
          <w:kern w:val="0"/>
          <w:szCs w:val="21"/>
          <w:highlight w:val="none"/>
        </w:rPr>
        <w:t>文件有效期与合同履行期相同。</w:t>
      </w:r>
    </w:p>
    <w:p w14:paraId="188607EC">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，包括修改文件（如有的话）和有关附件，将自行承担因对全部</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理解不正确或误解而产生的相应后果。</w:t>
      </w:r>
    </w:p>
    <w:p w14:paraId="251F20F7">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5、我方保证尊重</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的评</w:t>
      </w:r>
      <w:r>
        <w:rPr>
          <w:rFonts w:hint="eastAsia" w:ascii="宋体" w:hAnsi="宋体" w:eastAsia="宋体" w:cs="宋体"/>
          <w:color w:val="auto"/>
          <w:kern w:val="0"/>
          <w:szCs w:val="21"/>
          <w:highlight w:val="none"/>
          <w:lang w:val="en-US" w:eastAsia="zh-CN"/>
        </w:rPr>
        <w:t>审</w:t>
      </w:r>
      <w:r>
        <w:rPr>
          <w:rFonts w:hint="eastAsia" w:ascii="宋体" w:hAnsi="宋体" w:eastAsia="宋体" w:cs="宋体"/>
          <w:color w:val="auto"/>
          <w:kern w:val="0"/>
          <w:szCs w:val="21"/>
          <w:highlight w:val="none"/>
        </w:rPr>
        <w:t>结果，完全理解本</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项目最低投标价不作为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的保证。</w:t>
      </w:r>
    </w:p>
    <w:p w14:paraId="46C60B84">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6、我方理解并遵守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的全部规定，接受</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中政府采购合同的全部条款且无任何异议。</w:t>
      </w:r>
    </w:p>
    <w:p w14:paraId="76E27B89">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7、如果我方代表</w:t>
      </w:r>
      <w:r>
        <w:rPr>
          <w:rFonts w:hint="eastAsia" w:ascii="宋体" w:hAnsi="宋体" w:eastAsia="宋体" w:cs="宋体"/>
          <w:bCs/>
          <w:color w:val="auto"/>
          <w:kern w:val="0"/>
          <w:szCs w:val="21"/>
          <w:highlight w:val="none"/>
        </w:rPr>
        <w:t>未按时参加开标的，视同放弃开标监督权利，认可开标结果。</w:t>
      </w:r>
    </w:p>
    <w:p w14:paraId="7F154DF8">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8、如果我方存在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须知第9.3项所述情况，同意被认定为在经营活动中有重大违法记录。</w:t>
      </w:r>
    </w:p>
    <w:p w14:paraId="43293B65">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.4.1、2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.4.3项所述情况，同意我方投标被作为无效</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处理。</w:t>
      </w:r>
    </w:p>
    <w:p w14:paraId="1ADD1621">
      <w:pPr>
        <w:keepNext w:val="0"/>
        <w:pageBreakBefore w:val="0"/>
        <w:widowControl w:val="0"/>
        <w:wordWrap w:val="0"/>
        <w:overflowPunct/>
        <w:topLinePunct w:val="0"/>
        <w:bidi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10、如果发生</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须知第2</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.5项所述情况，同意</w:t>
      </w:r>
      <w:r>
        <w:rPr>
          <w:rFonts w:hint="eastAsia" w:ascii="宋体" w:hAnsi="宋体" w:eastAsia="宋体" w:cs="宋体"/>
          <w:color w:val="auto"/>
          <w:kern w:val="0"/>
          <w:szCs w:val="21"/>
          <w:highlight w:val="none"/>
          <w:lang w:eastAsia="zh-CN"/>
        </w:rPr>
        <w:t>磋商小组</w:t>
      </w:r>
      <w:r>
        <w:rPr>
          <w:rFonts w:hint="eastAsia" w:ascii="宋体" w:hAnsi="宋体" w:eastAsia="宋体" w:cs="宋体"/>
          <w:color w:val="auto"/>
          <w:kern w:val="0"/>
          <w:szCs w:val="21"/>
          <w:highlight w:val="none"/>
        </w:rPr>
        <w:t>认定我方的行为属于串通投标的行为，并自愿接受监管部门的处罚。</w:t>
      </w:r>
    </w:p>
    <w:p w14:paraId="7C318B2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11、如果现场变更采购方式，我方同意在不改变</w:t>
      </w:r>
      <w:r>
        <w:rPr>
          <w:rFonts w:hint="eastAsia" w:ascii="宋体" w:hAnsi="宋体" w:eastAsia="宋体" w:cs="宋体"/>
          <w:color w:val="auto"/>
          <w:kern w:val="0"/>
          <w:szCs w:val="21"/>
          <w:highlight w:val="none"/>
          <w:lang w:eastAsia="zh-CN"/>
        </w:rPr>
        <w:t>采购</w:t>
      </w:r>
      <w:r>
        <w:rPr>
          <w:rFonts w:hint="eastAsia" w:ascii="宋体" w:hAnsi="宋体" w:eastAsia="宋体" w:cs="宋体"/>
          <w:color w:val="auto"/>
          <w:kern w:val="0"/>
          <w:szCs w:val="21"/>
          <w:highlight w:val="none"/>
        </w:rPr>
        <w:t>需求、资质条件等情况下，按变更后的采购方式的规定程序进行采购。</w:t>
      </w:r>
    </w:p>
    <w:p w14:paraId="0A306CEB">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供应商，我方同意按</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并缴纳服务费。否则，视为我方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后自动放弃</w:t>
      </w:r>
      <w:r>
        <w:rPr>
          <w:rFonts w:hint="eastAsia" w:ascii="宋体" w:hAnsi="宋体" w:cs="宋体"/>
          <w:color w:val="auto"/>
          <w:kern w:val="0"/>
          <w:szCs w:val="21"/>
          <w:highlight w:val="none"/>
          <w:lang w:val="en-US" w:eastAsia="zh-CN"/>
        </w:rPr>
        <w:t>成交</w:t>
      </w:r>
      <w:r>
        <w:rPr>
          <w:rFonts w:hint="eastAsia" w:ascii="宋体" w:hAnsi="宋体" w:eastAsia="宋体" w:cs="宋体"/>
          <w:color w:val="auto"/>
          <w:kern w:val="0"/>
          <w:szCs w:val="21"/>
          <w:highlight w:val="none"/>
        </w:rPr>
        <w:t>资格，承担由此引起的一切后果。</w:t>
      </w:r>
    </w:p>
    <w:p w14:paraId="53A7B46A">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13、如果被确定为</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供应商，我方同意在领取</w:t>
      </w:r>
      <w:r>
        <w:rPr>
          <w:rFonts w:hint="eastAsia" w:ascii="宋体" w:hAnsi="宋体" w:eastAsia="宋体" w:cs="宋体"/>
          <w:color w:val="auto"/>
          <w:kern w:val="0"/>
          <w:szCs w:val="21"/>
          <w:highlight w:val="none"/>
          <w:lang w:eastAsia="zh-CN"/>
        </w:rPr>
        <w:t>成交通知书</w:t>
      </w:r>
      <w:r>
        <w:rPr>
          <w:rFonts w:hint="eastAsia" w:ascii="宋体" w:hAnsi="宋体" w:eastAsia="宋体" w:cs="宋体"/>
          <w:color w:val="auto"/>
          <w:kern w:val="0"/>
          <w:szCs w:val="21"/>
          <w:highlight w:val="none"/>
        </w:rPr>
        <w:t>之日起</w:t>
      </w:r>
      <w:r>
        <w:rPr>
          <w:rFonts w:hint="eastAsia" w:ascii="宋体" w:hAnsi="宋体" w:eastAsia="宋体" w:cs="宋体"/>
          <w:color w:val="auto"/>
          <w:kern w:val="0"/>
          <w:szCs w:val="21"/>
          <w:highlight w:val="none"/>
          <w:u w:val="single"/>
          <w:lang w:val="en-US" w:eastAsia="zh-CN"/>
        </w:rPr>
        <w:t xml:space="preserve"> 30  </w:t>
      </w:r>
      <w:r>
        <w:rPr>
          <w:rFonts w:hint="eastAsia" w:ascii="宋体" w:hAnsi="宋体" w:eastAsia="宋体" w:cs="宋体"/>
          <w:color w:val="auto"/>
          <w:kern w:val="0"/>
          <w:szCs w:val="21"/>
          <w:highlight w:val="none"/>
        </w:rPr>
        <w:t>日内，按照</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的规定与采购人签订采购合同。否则，视为我方</w:t>
      </w:r>
      <w:r>
        <w:rPr>
          <w:rFonts w:hint="eastAsia" w:ascii="宋体" w:hAnsi="宋体" w:eastAsia="宋体" w:cs="宋体"/>
          <w:color w:val="auto"/>
          <w:kern w:val="0"/>
          <w:szCs w:val="21"/>
          <w:highlight w:val="none"/>
          <w:lang w:val="en-US" w:eastAsia="zh-CN"/>
        </w:rPr>
        <w:t>成交</w:t>
      </w:r>
      <w:r>
        <w:rPr>
          <w:rFonts w:hint="eastAsia" w:ascii="宋体" w:hAnsi="宋体" w:eastAsia="宋体" w:cs="宋体"/>
          <w:color w:val="auto"/>
          <w:kern w:val="0"/>
          <w:szCs w:val="21"/>
          <w:highlight w:val="none"/>
        </w:rPr>
        <w:t>后无正当理由不与采购人签订合同并承担相应法律责任。</w:t>
      </w:r>
    </w:p>
    <w:p w14:paraId="620DC1FE">
      <w:pPr>
        <w:keepNext w:val="0"/>
        <w:pageBreakBefore w:val="0"/>
        <w:widowControl w:val="0"/>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14、我方最近3年内的被公开披露或查处的违法违规行为有：</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rPr>
        <w:t>。</w:t>
      </w:r>
      <w:r>
        <w:rPr>
          <w:rFonts w:hint="eastAsia" w:ascii="宋体" w:hAnsi="宋体" w:cs="宋体"/>
          <w:b/>
          <w:bCs/>
          <w:color w:val="auto"/>
          <w:kern w:val="0"/>
          <w:szCs w:val="21"/>
          <w:highlight w:val="none"/>
          <w:lang w:eastAsia="zh-CN"/>
        </w:rPr>
        <w:t>（</w:t>
      </w:r>
      <w:r>
        <w:rPr>
          <w:rFonts w:hint="eastAsia" w:ascii="宋体" w:hAnsi="宋体" w:cs="宋体"/>
          <w:b/>
          <w:bCs/>
          <w:color w:val="auto"/>
          <w:kern w:val="0"/>
          <w:szCs w:val="21"/>
          <w:highlight w:val="none"/>
          <w:lang w:val="en-US" w:eastAsia="zh-CN"/>
        </w:rPr>
        <w:t>若无，则填无；若有，逐一列明</w:t>
      </w:r>
      <w:r>
        <w:rPr>
          <w:rFonts w:hint="eastAsia" w:ascii="宋体" w:hAnsi="宋体" w:cs="宋体"/>
          <w:b/>
          <w:bCs/>
          <w:color w:val="auto"/>
          <w:kern w:val="0"/>
          <w:szCs w:val="21"/>
          <w:highlight w:val="none"/>
          <w:lang w:eastAsia="zh-CN"/>
        </w:rPr>
        <w:t>）</w:t>
      </w:r>
    </w:p>
    <w:p w14:paraId="52C1EDFA">
      <w:pPr>
        <w:keepNext w:val="0"/>
        <w:pageBreakBefore w:val="0"/>
        <w:widowControl w:val="0"/>
        <w:tabs>
          <w:tab w:val="left" w:pos="939"/>
        </w:tabs>
        <w:wordWrap w:val="0"/>
        <w:overflowPunct/>
        <w:topLinePunct w:val="0"/>
        <w:bidi w:val="0"/>
        <w:snapToGrid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15、以上事项如有虚假或隐瞒，我方愿意承担一切后果和责任。</w:t>
      </w:r>
    </w:p>
    <w:p w14:paraId="7857513B">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16、与</w:t>
      </w:r>
      <w:r>
        <w:rPr>
          <w:rFonts w:hint="eastAsia" w:ascii="宋体" w:hAnsi="宋体" w:eastAsia="宋体" w:cs="宋体"/>
          <w:color w:val="auto"/>
          <w:kern w:val="0"/>
          <w:szCs w:val="21"/>
          <w:highlight w:val="none"/>
          <w:lang w:val="en-US" w:eastAsia="zh-CN"/>
        </w:rPr>
        <w:t>磋商</w:t>
      </w:r>
      <w:r>
        <w:rPr>
          <w:rFonts w:hint="eastAsia" w:ascii="宋体" w:hAnsi="宋体" w:eastAsia="宋体" w:cs="宋体"/>
          <w:color w:val="auto"/>
          <w:kern w:val="0"/>
          <w:szCs w:val="21"/>
          <w:highlight w:val="none"/>
        </w:rPr>
        <w:t>有关的一切正式往来通讯请寄（地址电话必须为最新并可以联系到）：</w:t>
      </w:r>
    </w:p>
    <w:p w14:paraId="274A0B72">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地址：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邮编：</w:t>
      </w:r>
    </w:p>
    <w:p w14:paraId="02343C1C">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 xml:space="preserve">   电话：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传真： </w:t>
      </w:r>
    </w:p>
    <w:p w14:paraId="4CCCEF16">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rPr>
      </w:pPr>
    </w:p>
    <w:p w14:paraId="19412CA7">
      <w:pPr>
        <w:keepNext w:val="0"/>
        <w:pageBreakBefore w:val="0"/>
        <w:widowControl w:val="0"/>
        <w:wordWrap w:val="0"/>
        <w:overflowPunct/>
        <w:topLinePunct w:val="0"/>
        <w:bidi w:val="0"/>
        <w:spacing w:line="460" w:lineRule="exact"/>
        <w:ind w:firstLine="735" w:firstLineChars="350"/>
        <w:jc w:val="left"/>
        <w:rPr>
          <w:rFonts w:hint="eastAsia" w:ascii="宋体" w:hAnsi="宋体" w:eastAsia="宋体" w:cs="宋体"/>
          <w:color w:val="auto"/>
          <w:kern w:val="0"/>
          <w:szCs w:val="21"/>
          <w:highlight w:val="none"/>
          <w:u w:val="single"/>
        </w:rPr>
      </w:pPr>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r>
        <w:rPr>
          <w:rFonts w:hint="eastAsia" w:ascii="宋体" w:hAnsi="宋体" w:eastAsia="宋体" w:cs="宋体"/>
          <w:color w:val="auto"/>
          <w:kern w:val="0"/>
          <w:szCs w:val="21"/>
          <w:highlight w:val="none"/>
        </w:rPr>
        <w:t xml:space="preserve">： </w:t>
      </w:r>
    </w:p>
    <w:p w14:paraId="0D66A153">
      <w:pPr>
        <w:keepNext w:val="0"/>
        <w:pageBreakBefore w:val="0"/>
        <w:widowControl w:val="0"/>
        <w:wordWrap w:val="0"/>
        <w:overflowPunct/>
        <w:topLinePunct w:val="0"/>
        <w:bidi w:val="0"/>
        <w:spacing w:line="460" w:lineRule="exact"/>
        <w:ind w:firstLine="420" w:firstLineChars="200"/>
        <w:jc w:val="lef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全称并</w:t>
      </w:r>
      <w:r>
        <w:rPr>
          <w:rFonts w:hint="eastAsia" w:ascii="宋体" w:hAnsi="宋体" w:eastAsia="宋体" w:cs="宋体"/>
          <w:color w:val="auto"/>
          <w:kern w:val="0"/>
          <w:szCs w:val="21"/>
          <w:highlight w:val="none"/>
          <w:lang w:val="en-US" w:eastAsia="zh-CN"/>
        </w:rPr>
        <w:t>加</w:t>
      </w:r>
      <w:r>
        <w:rPr>
          <w:rFonts w:hint="eastAsia" w:ascii="宋体" w:hAnsi="宋体" w:eastAsia="宋体" w:cs="宋体"/>
          <w:color w:val="auto"/>
          <w:kern w:val="0"/>
          <w:szCs w:val="21"/>
          <w:highlight w:val="none"/>
          <w:lang w:eastAsia="zh-CN"/>
        </w:rPr>
        <w:t>盖</w:t>
      </w:r>
      <w:r>
        <w:rPr>
          <w:rFonts w:hint="eastAsia" w:ascii="宋体" w:hAnsi="宋体" w:eastAsia="宋体" w:cs="宋体"/>
          <w:color w:val="auto"/>
          <w:kern w:val="0"/>
          <w:szCs w:val="21"/>
          <w:highlight w:val="none"/>
          <w:lang w:val="en-US" w:eastAsia="zh-CN"/>
        </w:rPr>
        <w:t>公</w:t>
      </w:r>
      <w:r>
        <w:rPr>
          <w:rFonts w:hint="eastAsia" w:ascii="宋体" w:hAnsi="宋体" w:eastAsia="宋体" w:cs="宋体"/>
          <w:color w:val="auto"/>
          <w:kern w:val="0"/>
          <w:szCs w:val="21"/>
          <w:highlight w:val="none"/>
          <w:lang w:eastAsia="zh-CN"/>
        </w:rPr>
        <w:t>章</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w:t>
      </w:r>
    </w:p>
    <w:p w14:paraId="49B80948">
      <w:pPr>
        <w:keepNext w:val="0"/>
        <w:pageBreakBefore w:val="0"/>
        <w:widowControl w:val="0"/>
        <w:overflowPunct/>
        <w:topLinePunct w:val="0"/>
        <w:bidi w:val="0"/>
        <w:snapToGrid w:val="0"/>
        <w:spacing w:line="460" w:lineRule="exact"/>
        <w:ind w:firstLine="1260" w:firstLineChars="600"/>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 xml:space="preserve">年    月   日 </w:t>
      </w:r>
    </w:p>
    <w:p w14:paraId="52CA8715">
      <w:pPr>
        <w:widowControl/>
        <w:wordWrap w:val="0"/>
        <w:snapToGrid w:val="0"/>
        <w:spacing w:before="50" w:after="50" w:line="480" w:lineRule="auto"/>
        <w:jc w:val="left"/>
        <w:rPr>
          <w:rFonts w:hint="eastAsia" w:ascii="宋体" w:hAnsi="宋体" w:eastAsia="宋体" w:cs="宋体"/>
          <w:b/>
          <w:color w:val="auto"/>
          <w:kern w:val="0"/>
          <w:sz w:val="24"/>
          <w:highlight w:val="none"/>
        </w:rPr>
      </w:pPr>
    </w:p>
    <w:p w14:paraId="734C47AD">
      <w:pPr>
        <w:spacing w:line="500" w:lineRule="exact"/>
        <w:jc w:val="center"/>
        <w:rPr>
          <w:rFonts w:hint="eastAsia" w:ascii="宋体" w:hAnsi="宋体" w:eastAsia="宋体" w:cs="宋体"/>
          <w:b/>
          <w:bCs/>
          <w:color w:val="auto"/>
          <w:sz w:val="24"/>
          <w:highlight w:val="none"/>
        </w:rPr>
      </w:pPr>
    </w:p>
    <w:p w14:paraId="62C19008">
      <w:pP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br w:type="page"/>
      </w:r>
    </w:p>
    <w:p w14:paraId="3795DADC">
      <w:pPr>
        <w:rPr>
          <w:rFonts w:hint="eastAsia" w:ascii="宋体" w:hAnsi="宋体" w:eastAsia="宋体" w:cs="宋体"/>
          <w:color w:val="auto"/>
          <w:highlight w:val="none"/>
        </w:rPr>
      </w:pPr>
    </w:p>
    <w:p w14:paraId="7B3B654B">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71" w:name="_Toc7838"/>
      <w:r>
        <w:rPr>
          <w:rFonts w:hint="eastAsia" w:ascii="宋体" w:hAnsi="宋体" w:eastAsia="宋体" w:cs="宋体"/>
          <w:color w:val="auto"/>
          <w:sz w:val="28"/>
          <w:szCs w:val="28"/>
          <w:highlight w:val="none"/>
          <w:lang w:val="en-US" w:eastAsia="zh-CN"/>
        </w:rPr>
        <w:t>附件3            初次报价一览表</w:t>
      </w:r>
      <w:bookmarkEnd w:id="71"/>
      <w:r>
        <w:rPr>
          <w:rFonts w:hint="eastAsia" w:ascii="宋体" w:hAnsi="宋体" w:eastAsia="宋体" w:cs="宋体"/>
          <w:color w:val="auto"/>
          <w:sz w:val="28"/>
          <w:szCs w:val="28"/>
          <w:highlight w:val="none"/>
          <w:lang w:val="en-US" w:eastAsia="zh-CN"/>
        </w:rPr>
        <w:t>（格式）</w:t>
      </w:r>
    </w:p>
    <w:p w14:paraId="257252F8">
      <w:pPr>
        <w:spacing w:line="239" w:lineRule="auto"/>
        <w:jc w:val="right"/>
        <w:rPr>
          <w:rFonts w:hint="eastAsia" w:ascii="宋体" w:hAnsi="宋体" w:eastAsia="宋体" w:cs="宋体"/>
          <w:color w:val="auto"/>
          <w:sz w:val="24"/>
          <w:highlight w:val="none"/>
          <w:lang w:val="en-US"/>
        </w:rPr>
      </w:pPr>
      <w:r>
        <w:rPr>
          <w:rFonts w:hint="eastAsia" w:ascii="宋体" w:hAnsi="宋体" w:eastAsia="宋体" w:cs="宋体"/>
          <w:color w:val="auto"/>
          <w:sz w:val="24"/>
          <w:highlight w:val="none"/>
        </w:rPr>
        <w:t>单位：人民币</w:t>
      </w:r>
      <w:r>
        <w:rPr>
          <w:rFonts w:hint="eastAsia" w:ascii="宋体" w:hAnsi="宋体" w:cs="宋体"/>
          <w:color w:val="auto"/>
          <w:sz w:val="24"/>
          <w:highlight w:val="none"/>
          <w:lang w:eastAsia="zh-CN"/>
        </w:rPr>
        <w:t>（</w:t>
      </w:r>
      <w:r>
        <w:rPr>
          <w:rFonts w:hint="eastAsia" w:ascii="宋体" w:hAnsi="宋体" w:eastAsia="宋体" w:cs="宋体"/>
          <w:color w:val="auto"/>
          <w:sz w:val="24"/>
          <w:highlight w:val="none"/>
          <w:lang w:val="en-US" w:eastAsia="zh-CN"/>
        </w:rPr>
        <w:t>元</w:t>
      </w:r>
      <w:r>
        <w:rPr>
          <w:rFonts w:hint="eastAsia" w:ascii="宋体" w:hAnsi="宋体" w:cs="宋体"/>
          <w:color w:val="auto"/>
          <w:sz w:val="24"/>
          <w:highlight w:val="none"/>
          <w:lang w:eastAsia="zh-CN"/>
        </w:rPr>
        <w:t>）</w:t>
      </w:r>
    </w:p>
    <w:p w14:paraId="6CA7B149">
      <w:pPr>
        <w:rPr>
          <w:rFonts w:hint="eastAsia" w:ascii="宋体" w:hAnsi="宋体" w:eastAsia="宋体" w:cs="宋体"/>
          <w:color w:val="auto"/>
          <w:highlight w:val="none"/>
        </w:rPr>
      </w:pPr>
    </w:p>
    <w:tbl>
      <w:tblPr>
        <w:tblStyle w:val="33"/>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14:paraId="674F2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76E45DC8">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rPr>
              <w:t>项目名称</w:t>
            </w:r>
          </w:p>
        </w:tc>
        <w:tc>
          <w:tcPr>
            <w:tcW w:w="7708" w:type="dxa"/>
            <w:noWrap/>
            <w:vAlign w:val="center"/>
          </w:tcPr>
          <w:p w14:paraId="5C711036">
            <w:pPr>
              <w:rPr>
                <w:rFonts w:hint="eastAsia" w:ascii="宋体" w:hAnsi="宋体" w:eastAsia="宋体" w:cs="宋体"/>
                <w:bCs/>
                <w:color w:val="auto"/>
                <w:szCs w:val="21"/>
                <w:highlight w:val="none"/>
              </w:rPr>
            </w:pPr>
          </w:p>
        </w:tc>
      </w:tr>
      <w:tr w14:paraId="49D0D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5217B73E">
            <w:pPr>
              <w:widowControl/>
              <w:snapToGrid w:val="0"/>
              <w:spacing w:before="50" w:after="50"/>
              <w:jc w:val="center"/>
              <w:rPr>
                <w:rFonts w:hint="eastAsia" w:ascii="宋体" w:hAnsi="宋体" w:eastAsia="宋体" w:cs="宋体"/>
                <w:color w:val="auto"/>
                <w:szCs w:val="21"/>
                <w:highlight w:val="none"/>
              </w:rPr>
            </w:pP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名称</w:t>
            </w:r>
          </w:p>
        </w:tc>
        <w:tc>
          <w:tcPr>
            <w:tcW w:w="7708" w:type="dxa"/>
            <w:noWrap/>
            <w:vAlign w:val="center"/>
          </w:tcPr>
          <w:p w14:paraId="721828DB">
            <w:pPr>
              <w:rPr>
                <w:rFonts w:hint="eastAsia" w:ascii="宋体" w:hAnsi="宋体" w:eastAsia="宋体" w:cs="宋体"/>
                <w:color w:val="auto"/>
                <w:szCs w:val="21"/>
                <w:highlight w:val="none"/>
              </w:rPr>
            </w:pPr>
          </w:p>
        </w:tc>
      </w:tr>
      <w:tr w14:paraId="73844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1978" w:type="dxa"/>
            <w:noWrap/>
            <w:vAlign w:val="center"/>
          </w:tcPr>
          <w:p w14:paraId="23E2BC2C">
            <w:pPr>
              <w:jc w:val="center"/>
              <w:rPr>
                <w:rFonts w:hint="eastAsia" w:ascii="宋体" w:hAnsi="宋体" w:eastAsia="宋体" w:cs="宋体"/>
                <w:color w:val="auto"/>
                <w:spacing w:val="-20"/>
                <w:szCs w:val="21"/>
                <w:highlight w:val="none"/>
                <w:lang w:eastAsia="zh-CN"/>
              </w:rPr>
            </w:pPr>
            <w:r>
              <w:rPr>
                <w:rFonts w:hint="eastAsia" w:ascii="宋体" w:hAnsi="宋体" w:eastAsia="宋体" w:cs="宋体"/>
                <w:color w:val="auto"/>
                <w:szCs w:val="21"/>
                <w:highlight w:val="none"/>
                <w:lang w:val="en-US" w:eastAsia="zh-CN"/>
              </w:rPr>
              <w:t>磋商</w:t>
            </w:r>
            <w:r>
              <w:rPr>
                <w:rFonts w:hint="eastAsia" w:ascii="宋体" w:hAnsi="宋体" w:eastAsia="宋体" w:cs="宋体"/>
                <w:color w:val="auto"/>
                <w:szCs w:val="21"/>
                <w:highlight w:val="none"/>
              </w:rPr>
              <w:t>报价</w:t>
            </w:r>
          </w:p>
        </w:tc>
        <w:tc>
          <w:tcPr>
            <w:tcW w:w="7708" w:type="dxa"/>
            <w:noWrap/>
            <w:vAlign w:val="center"/>
          </w:tcPr>
          <w:p w14:paraId="4E9E7B1D">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大写：</w:t>
            </w:r>
            <w:r>
              <w:rPr>
                <w:rFonts w:hint="eastAsia"/>
                <w:color w:val="auto"/>
                <w:u w:val="single"/>
                <w:lang w:val="en-US" w:eastAsia="zh-CN"/>
              </w:rPr>
              <w:t xml:space="preserve">          </w:t>
            </w:r>
            <w:r>
              <w:rPr>
                <w:rFonts w:hint="eastAsia" w:ascii="宋体" w:hAnsi="宋体" w:eastAsia="宋体" w:cs="宋体"/>
                <w:color w:val="auto"/>
                <w:szCs w:val="21"/>
                <w:highlight w:val="none"/>
                <w:lang w:val="en-US" w:eastAsia="zh-CN"/>
              </w:rPr>
              <w:t xml:space="preserve">        </w:t>
            </w:r>
          </w:p>
          <w:p w14:paraId="22FF20BC">
            <w:pP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小写：</w:t>
            </w:r>
            <w:r>
              <w:rPr>
                <w:rFonts w:hint="eastAsia"/>
                <w:color w:val="auto"/>
                <w:u w:val="single"/>
                <w:lang w:val="en-US" w:eastAsia="zh-CN"/>
              </w:rPr>
              <w:t xml:space="preserve">         </w:t>
            </w:r>
            <w:r>
              <w:rPr>
                <w:rFonts w:hint="eastAsia" w:ascii="宋体" w:hAnsi="宋体" w:cs="宋体"/>
                <w:color w:val="auto"/>
                <w:sz w:val="21"/>
                <w:szCs w:val="21"/>
                <w:highlight w:val="none"/>
                <w:lang w:val="en-US" w:eastAsia="zh-CN"/>
              </w:rPr>
              <w:t>元</w:t>
            </w:r>
          </w:p>
        </w:tc>
      </w:tr>
      <w:tr w14:paraId="7ECEE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1978" w:type="dxa"/>
            <w:noWrap/>
            <w:vAlign w:val="center"/>
          </w:tcPr>
          <w:p w14:paraId="361C69BE">
            <w:pPr>
              <w:jc w:val="center"/>
              <w:rPr>
                <w:rFonts w:hint="eastAsia" w:ascii="宋体" w:hAnsi="宋体" w:eastAsia="宋体" w:cs="宋体"/>
                <w:color w:val="auto"/>
                <w:szCs w:val="21"/>
                <w:highlight w:val="none"/>
                <w:lang w:val="en-US" w:eastAsia="zh-CN"/>
              </w:rPr>
            </w:pPr>
            <w:r>
              <w:rPr>
                <w:rFonts w:hint="eastAsia"/>
                <w:color w:val="auto"/>
                <w:szCs w:val="21"/>
              </w:rPr>
              <w:t>服务期限</w:t>
            </w:r>
          </w:p>
        </w:tc>
        <w:tc>
          <w:tcPr>
            <w:tcW w:w="7708" w:type="dxa"/>
            <w:noWrap/>
            <w:vAlign w:val="center"/>
          </w:tcPr>
          <w:p w14:paraId="0C86218E">
            <w:pPr>
              <w:rPr>
                <w:rFonts w:hint="eastAsia" w:ascii="宋体" w:hAnsi="宋体" w:eastAsia="宋体" w:cs="宋体"/>
                <w:color w:val="auto"/>
                <w:szCs w:val="21"/>
                <w:highlight w:val="none"/>
                <w:lang w:val="en-US" w:eastAsia="zh-CN"/>
              </w:rPr>
            </w:pPr>
          </w:p>
        </w:tc>
      </w:tr>
      <w:tr w14:paraId="14C89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jc w:val="center"/>
        </w:trPr>
        <w:tc>
          <w:tcPr>
            <w:tcW w:w="1978" w:type="dxa"/>
            <w:noWrap/>
            <w:vAlign w:val="center"/>
          </w:tcPr>
          <w:p w14:paraId="54E69E3C">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服务质量</w:t>
            </w:r>
          </w:p>
        </w:tc>
        <w:tc>
          <w:tcPr>
            <w:tcW w:w="7708" w:type="dxa"/>
            <w:noWrap/>
            <w:vAlign w:val="center"/>
          </w:tcPr>
          <w:p w14:paraId="5DCA8F38">
            <w:pPr>
              <w:rPr>
                <w:rFonts w:hint="eastAsia" w:ascii="宋体" w:hAnsi="宋体" w:eastAsia="宋体" w:cs="宋体"/>
                <w:color w:val="auto"/>
                <w:szCs w:val="21"/>
                <w:highlight w:val="none"/>
                <w:lang w:val="en-US" w:eastAsia="zh-CN"/>
              </w:rPr>
            </w:pPr>
          </w:p>
        </w:tc>
      </w:tr>
      <w:tr w14:paraId="4F62A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978" w:type="dxa"/>
            <w:noWrap/>
            <w:vAlign w:val="center"/>
          </w:tcPr>
          <w:p w14:paraId="69B098CF">
            <w:pPr>
              <w:jc w:val="center"/>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lang w:val="en-US" w:eastAsia="zh-CN"/>
              </w:rPr>
              <w:t>实质性要求</w:t>
            </w:r>
          </w:p>
        </w:tc>
        <w:tc>
          <w:tcPr>
            <w:tcW w:w="7708" w:type="dxa"/>
            <w:noWrap/>
            <w:vAlign w:val="center"/>
          </w:tcPr>
          <w:p w14:paraId="367F995F">
            <w:pPr>
              <w:rPr>
                <w:rFonts w:hint="eastAsia" w:ascii="宋体" w:hAnsi="宋体" w:eastAsia="宋体" w:cs="宋体"/>
                <w:color w:val="FF0000"/>
                <w:szCs w:val="21"/>
                <w:highlight w:val="none"/>
                <w:lang w:val="en-US" w:eastAsia="zh-CN"/>
              </w:rPr>
            </w:pPr>
            <w:r>
              <w:rPr>
                <w:rFonts w:hint="eastAsia" w:ascii="宋体" w:hAnsi="宋体" w:eastAsia="宋体" w:cs="宋体"/>
                <w:color w:val="FF0000"/>
                <w:szCs w:val="21"/>
                <w:highlight w:val="none"/>
                <w:lang w:val="en-US" w:eastAsia="zh-CN"/>
              </w:rPr>
              <w:t>完全响应本采购文件第二章 采购需求</w:t>
            </w:r>
          </w:p>
        </w:tc>
      </w:tr>
      <w:tr w14:paraId="1F814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4" w:hRule="atLeast"/>
          <w:jc w:val="center"/>
        </w:trPr>
        <w:tc>
          <w:tcPr>
            <w:tcW w:w="1978" w:type="dxa"/>
            <w:noWrap/>
            <w:vAlign w:val="center"/>
          </w:tcPr>
          <w:p w14:paraId="495FF63A">
            <w:pPr>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rPr>
              <w:t>响应文件</w:t>
            </w:r>
            <w:r>
              <w:rPr>
                <w:rFonts w:hint="eastAsia" w:ascii="宋体" w:hAnsi="宋体" w:eastAsia="宋体" w:cs="宋体"/>
                <w:color w:val="auto"/>
                <w:kern w:val="0"/>
                <w:szCs w:val="21"/>
                <w:highlight w:val="none"/>
              </w:rPr>
              <w:t>有效期</w:t>
            </w:r>
          </w:p>
        </w:tc>
        <w:tc>
          <w:tcPr>
            <w:tcW w:w="7708" w:type="dxa"/>
            <w:noWrap/>
            <w:vAlign w:val="center"/>
          </w:tcPr>
          <w:p w14:paraId="3E303E25">
            <w:pPr>
              <w:pStyle w:val="20"/>
              <w:ind w:left="0" w:leftChars="0"/>
              <w:rPr>
                <w:rFonts w:hint="eastAsia" w:ascii="宋体" w:hAnsi="宋体" w:eastAsia="宋体" w:cs="宋体"/>
                <w:color w:val="auto"/>
                <w:szCs w:val="21"/>
                <w:highlight w:val="none"/>
                <w:u w:val="single"/>
              </w:rPr>
            </w:pPr>
            <w:r>
              <w:rPr>
                <w:rFonts w:hint="eastAsia" w:ascii="宋体" w:hAnsi="宋体" w:eastAsia="宋体" w:cs="宋体"/>
                <w:color w:val="auto"/>
                <w:kern w:val="0"/>
                <w:sz w:val="21"/>
                <w:szCs w:val="21"/>
                <w:highlight w:val="none"/>
                <w:lang w:val="en-US" w:eastAsia="zh-CN" w:bidi="ar-SA"/>
              </w:rPr>
              <w:t>响应文件递交截止期结束后</w:t>
            </w:r>
            <w:r>
              <w:rPr>
                <w:rFonts w:hint="eastAsia" w:cs="宋体"/>
                <w:color w:val="auto"/>
                <w:kern w:val="0"/>
                <w:sz w:val="21"/>
                <w:szCs w:val="21"/>
                <w:highlight w:val="none"/>
                <w:lang w:val="en-US" w:eastAsia="zh-CN" w:bidi="ar-SA"/>
              </w:rPr>
              <w:t>6</w:t>
            </w:r>
            <w:r>
              <w:rPr>
                <w:rFonts w:hint="eastAsia" w:ascii="宋体" w:hAnsi="宋体" w:eastAsia="宋体" w:cs="宋体"/>
                <w:color w:val="auto"/>
                <w:kern w:val="0"/>
                <w:sz w:val="21"/>
                <w:szCs w:val="21"/>
                <w:highlight w:val="none"/>
                <w:lang w:val="en-US" w:eastAsia="zh-CN" w:bidi="ar-SA"/>
              </w:rPr>
              <w:t>0日</w:t>
            </w:r>
            <w:r>
              <w:rPr>
                <w:rFonts w:hint="eastAsia" w:cs="宋体"/>
                <w:color w:val="auto"/>
                <w:kern w:val="0"/>
                <w:sz w:val="21"/>
                <w:szCs w:val="21"/>
                <w:highlight w:val="none"/>
                <w:lang w:val="en-US" w:eastAsia="zh-CN" w:bidi="ar-SA"/>
              </w:rPr>
              <w:t>。成交供应商的响应文件是合同的组成部分,有效期至合同完全履行止。</w:t>
            </w:r>
          </w:p>
        </w:tc>
      </w:tr>
      <w:tr w14:paraId="59E60A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14:paraId="2D1E0C6E">
            <w:pPr>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  注</w:t>
            </w:r>
          </w:p>
        </w:tc>
        <w:tc>
          <w:tcPr>
            <w:tcW w:w="7708" w:type="dxa"/>
            <w:noWrap/>
            <w:vAlign w:val="center"/>
          </w:tcPr>
          <w:p w14:paraId="7B671F67">
            <w:pPr>
              <w:pStyle w:val="20"/>
              <w:ind w:left="0" w:leftChars="0"/>
              <w:rPr>
                <w:rFonts w:hint="eastAsia" w:ascii="宋体" w:hAnsi="宋体" w:eastAsia="宋体" w:cs="宋体"/>
                <w:color w:val="auto"/>
                <w:sz w:val="21"/>
                <w:szCs w:val="21"/>
                <w:highlight w:val="none"/>
              </w:rPr>
            </w:pPr>
          </w:p>
        </w:tc>
      </w:tr>
    </w:tbl>
    <w:p w14:paraId="78BA1F27">
      <w:pPr>
        <w:spacing w:line="360" w:lineRule="auto"/>
        <w:ind w:firstLine="420" w:firstLineChars="2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注:</w:t>
      </w:r>
    </w:p>
    <w:p w14:paraId="498E1E83">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bookmarkStart w:id="72" w:name="_Toc20877"/>
      <w:bookmarkStart w:id="73" w:name="_Toc11620"/>
      <w:r>
        <w:rPr>
          <w:rFonts w:hint="eastAsia" w:ascii="宋体" w:hAnsi="宋体" w:eastAsia="宋体" w:cs="宋体"/>
          <w:color w:val="auto"/>
          <w:sz w:val="21"/>
          <w:szCs w:val="21"/>
          <w:highlight w:val="none"/>
        </w:rPr>
        <w:t>1、报价一经涂改，应在涂改处加盖单位公章或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代表签字或盖章，否则其</w:t>
      </w:r>
      <w:r>
        <w:rPr>
          <w:rFonts w:hint="eastAsia" w:ascii="宋体" w:hAnsi="宋体" w:eastAsia="宋体" w:cs="宋体"/>
          <w:color w:val="auto"/>
          <w:sz w:val="21"/>
          <w:szCs w:val="21"/>
          <w:highlight w:val="none"/>
          <w:lang w:val="en-US" w:eastAsia="zh-CN"/>
        </w:rPr>
        <w:t>投标</w:t>
      </w:r>
      <w:r>
        <w:rPr>
          <w:rFonts w:hint="eastAsia" w:ascii="宋体" w:hAnsi="宋体" w:eastAsia="宋体" w:cs="宋体"/>
          <w:color w:val="auto"/>
          <w:sz w:val="21"/>
          <w:szCs w:val="21"/>
          <w:highlight w:val="none"/>
        </w:rPr>
        <w:t>作无效标处理。</w:t>
      </w:r>
    </w:p>
    <w:p w14:paraId="5B4C2EBE">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lang w:val="en-US" w:eastAsia="zh-CN"/>
        </w:rPr>
      </w:pPr>
      <w:bookmarkStart w:id="74" w:name="_Toc2747"/>
      <w:r>
        <w:rPr>
          <w:rFonts w:hint="eastAsia" w:ascii="宋体" w:hAnsi="宋体" w:eastAsia="宋体" w:cs="宋体"/>
          <w:color w:val="auto"/>
          <w:sz w:val="21"/>
          <w:szCs w:val="21"/>
          <w:highlight w:val="none"/>
          <w:lang w:val="en-US" w:eastAsia="zh-CN"/>
        </w:rPr>
        <w:t>2、以上报价应与“投标报价明细表”中的报价相一致。</w:t>
      </w:r>
      <w:bookmarkEnd w:id="74"/>
    </w:p>
    <w:p w14:paraId="3462512C">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 xml:space="preserve">若认为符合价格折扣条件的，在“备注”栏内注明符合何种折扣条件，以方便评委评审。 </w:t>
      </w:r>
    </w:p>
    <w:p w14:paraId="065BA942">
      <w:pPr>
        <w:keepNext w:val="0"/>
        <w:keepLines w:val="0"/>
        <w:pageBreakBefore w:val="0"/>
        <w:widowControl/>
        <w:kinsoku w:val="0"/>
        <w:wordWrap/>
        <w:overflowPunct/>
        <w:topLinePunct w:val="0"/>
        <w:autoSpaceDE w:val="0"/>
        <w:autoSpaceDN w:val="0"/>
        <w:bidi w:val="0"/>
        <w:adjustRightInd w:val="0"/>
        <w:snapToGrid w:val="0"/>
        <w:spacing w:line="360" w:lineRule="auto"/>
        <w:ind w:firstLine="420" w:firstLineChars="2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按格式填列，不得自行更改。否则引起的不利后果由</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承担。</w:t>
      </w:r>
    </w:p>
    <w:p w14:paraId="2F439A3C">
      <w:pPr>
        <w:spacing w:line="360" w:lineRule="auto"/>
        <w:ind w:firstLine="420" w:firstLineChars="200"/>
        <w:jc w:val="center"/>
        <w:rPr>
          <w:rFonts w:hint="eastAsia" w:ascii="宋体" w:hAnsi="宋体" w:eastAsia="宋体" w:cs="宋体"/>
          <w:color w:val="auto"/>
          <w:szCs w:val="21"/>
          <w:highlight w:val="none"/>
          <w:lang w:eastAsia="zh-CN"/>
        </w:rPr>
      </w:pPr>
    </w:p>
    <w:p w14:paraId="2F531E2A">
      <w:pPr>
        <w:spacing w:line="360" w:lineRule="auto"/>
        <w:ind w:firstLine="420" w:firstLineChars="200"/>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供应商</w:t>
      </w:r>
      <w:r>
        <w:rPr>
          <w:rFonts w:hint="eastAsia" w:ascii="宋体" w:hAnsi="宋体" w:eastAsia="宋体" w:cs="宋体"/>
          <w:color w:val="auto"/>
          <w:szCs w:val="21"/>
          <w:highlight w:val="none"/>
        </w:rPr>
        <w:t>（全称并加盖公章）：</w:t>
      </w:r>
      <w:bookmarkEnd w:id="72"/>
      <w:bookmarkEnd w:id="73"/>
    </w:p>
    <w:p w14:paraId="0326576C">
      <w:pPr>
        <w:spacing w:line="360" w:lineRule="auto"/>
        <w:ind w:firstLine="420" w:firstLineChars="200"/>
        <w:jc w:val="center"/>
        <w:rPr>
          <w:rFonts w:hint="eastAsia" w:ascii="宋体" w:hAnsi="宋体" w:eastAsia="宋体" w:cs="宋体"/>
          <w:color w:val="auto"/>
          <w:szCs w:val="21"/>
          <w:highlight w:val="none"/>
          <w:u w:val="single"/>
        </w:rPr>
      </w:pPr>
      <w:bookmarkStart w:id="75" w:name="_Toc625"/>
      <w:bookmarkStart w:id="76" w:name="_Toc12222"/>
      <w:r>
        <w:rPr>
          <w:rFonts w:hint="eastAsia" w:ascii="宋体" w:hAnsi="宋体" w:eastAsia="宋体" w:cs="宋体"/>
          <w:color w:val="auto"/>
          <w:szCs w:val="21"/>
          <w:highlight w:val="none"/>
        </w:rPr>
        <w:t>法定代表人或委托代理人（签字</w:t>
      </w:r>
      <w:r>
        <w:rPr>
          <w:rFonts w:hint="eastAsia" w:ascii="宋体" w:hAnsi="宋体" w:eastAsia="宋体" w:cs="宋体"/>
          <w:color w:val="auto"/>
          <w:kern w:val="0"/>
          <w:szCs w:val="21"/>
          <w:highlight w:val="none"/>
          <w:lang w:val="en-US" w:eastAsia="zh-CN"/>
        </w:rPr>
        <w:t>或盖章</w:t>
      </w:r>
      <w:r>
        <w:rPr>
          <w:rFonts w:hint="eastAsia" w:ascii="宋体" w:hAnsi="宋体" w:eastAsia="宋体" w:cs="宋体"/>
          <w:color w:val="auto"/>
          <w:szCs w:val="21"/>
          <w:highlight w:val="none"/>
        </w:rPr>
        <w:t>）：</w:t>
      </w:r>
      <w:bookmarkEnd w:id="75"/>
      <w:bookmarkEnd w:id="76"/>
    </w:p>
    <w:p w14:paraId="7D44A273">
      <w:pPr>
        <w:jc w:val="center"/>
        <w:rPr>
          <w:rFonts w:hint="eastAsia" w:ascii="宋体" w:hAnsi="宋体" w:eastAsia="宋体" w:cs="宋体"/>
          <w:color w:val="auto"/>
          <w:szCs w:val="21"/>
          <w:highlight w:val="none"/>
        </w:rPr>
      </w:pPr>
    </w:p>
    <w:p w14:paraId="21CDE7B5">
      <w:pPr>
        <w:spacing w:line="360" w:lineRule="auto"/>
        <w:ind w:firstLine="420" w:firstLineChars="200"/>
        <w:jc w:val="center"/>
        <w:rPr>
          <w:rFonts w:hint="eastAsia" w:ascii="宋体" w:hAnsi="宋体" w:eastAsia="宋体" w:cs="宋体"/>
          <w:color w:val="auto"/>
          <w:highlight w:val="none"/>
        </w:rPr>
      </w:pPr>
      <w:bookmarkStart w:id="77" w:name="_Toc1330"/>
      <w:bookmarkStart w:id="78" w:name="_Toc9950"/>
      <w:r>
        <w:rPr>
          <w:rFonts w:hint="eastAsia" w:ascii="宋体" w:hAnsi="宋体" w:eastAsia="宋体" w:cs="宋体"/>
          <w:color w:val="auto"/>
          <w:szCs w:val="21"/>
          <w:highlight w:val="none"/>
        </w:rPr>
        <w:t>年  月  日</w:t>
      </w:r>
      <w:bookmarkEnd w:id="77"/>
      <w:bookmarkEnd w:id="78"/>
    </w:p>
    <w:p w14:paraId="1E5A5F8F">
      <w:pPr>
        <w:rPr>
          <w:rFonts w:hint="eastAsia" w:ascii="宋体" w:hAnsi="宋体" w:eastAsia="宋体" w:cs="宋体"/>
          <w:color w:val="auto"/>
          <w:highlight w:val="none"/>
        </w:rPr>
      </w:pPr>
    </w:p>
    <w:bookmarkEnd w:id="52"/>
    <w:bookmarkEnd w:id="53"/>
    <w:p w14:paraId="36B4F531">
      <w:pPr>
        <w:spacing w:before="20" w:after="20"/>
        <w:outlineLvl w:val="9"/>
        <w:rPr>
          <w:rFonts w:hint="eastAsia" w:ascii="宋体" w:hAnsi="宋体" w:eastAsia="宋体" w:cs="宋体"/>
          <w:color w:val="auto"/>
          <w:highlight w:val="none"/>
          <w:lang w:eastAsia="zh-CN"/>
        </w:rPr>
      </w:pPr>
      <w:bookmarkStart w:id="79" w:name="_Toc24984"/>
      <w:bookmarkStart w:id="80" w:name="_Toc22004"/>
    </w:p>
    <w:p w14:paraId="4A8F0F98">
      <w:pPr>
        <w:outlineLvl w:val="9"/>
        <w:rPr>
          <w:rFonts w:hint="eastAsia" w:ascii="宋体" w:hAnsi="宋体" w:eastAsia="宋体" w:cs="宋体"/>
          <w:color w:val="auto"/>
          <w:highlight w:val="none"/>
          <w:lang w:eastAsia="zh-CN"/>
        </w:rPr>
      </w:pPr>
    </w:p>
    <w:p w14:paraId="4CF95F90">
      <w:pPr>
        <w:rPr>
          <w:rFonts w:hint="eastAsia" w:ascii="宋体" w:hAnsi="宋体" w:eastAsia="宋体" w:cs="宋体"/>
          <w:color w:val="auto"/>
          <w:highlight w:val="none"/>
        </w:rPr>
      </w:pPr>
      <w:r>
        <w:rPr>
          <w:rFonts w:hint="eastAsia" w:ascii="宋体" w:hAnsi="宋体" w:eastAsia="宋体" w:cs="宋体"/>
          <w:color w:val="auto"/>
          <w:highlight w:val="none"/>
        </w:rPr>
        <w:br w:type="page"/>
      </w:r>
    </w:p>
    <w:bookmarkEnd w:id="79"/>
    <w:bookmarkEnd w:id="80"/>
    <w:p w14:paraId="3241E75F">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1" w:name="_Toc15804"/>
      <w:bookmarkStart w:id="82" w:name="_Toc226"/>
      <w:r>
        <w:rPr>
          <w:rFonts w:hint="eastAsia" w:ascii="宋体" w:hAnsi="宋体" w:eastAsia="宋体" w:cs="宋体"/>
          <w:color w:val="auto"/>
          <w:sz w:val="28"/>
          <w:szCs w:val="28"/>
          <w:highlight w:val="none"/>
          <w:lang w:val="en-US" w:eastAsia="zh-CN"/>
        </w:rPr>
        <w:t>附件4            报价明细表（格式）</w:t>
      </w:r>
    </w:p>
    <w:p w14:paraId="41504C83">
      <w:pPr>
        <w:jc w:val="right"/>
        <w:rPr>
          <w:rFonts w:hint="eastAsia" w:ascii="宋体" w:hAnsi="宋体" w:cs="宋体"/>
          <w:color w:val="auto"/>
          <w:kern w:val="0"/>
          <w:sz w:val="24"/>
          <w:highlight w:val="none"/>
        </w:rPr>
      </w:pPr>
      <w:r>
        <w:rPr>
          <w:rFonts w:hint="eastAsia" w:ascii="宋体" w:hAnsi="宋体" w:cs="宋体"/>
          <w:color w:val="auto"/>
          <w:kern w:val="0"/>
          <w:sz w:val="24"/>
          <w:highlight w:val="none"/>
        </w:rPr>
        <w:t>金额单位：人民币（元）</w:t>
      </w:r>
    </w:p>
    <w:p w14:paraId="3A7DFA4E">
      <w:pPr>
        <w:jc w:val="right"/>
        <w:rPr>
          <w:rFonts w:hint="eastAsia" w:ascii="宋体" w:hAnsi="宋体" w:cs="宋体"/>
          <w:color w:val="auto"/>
          <w:kern w:val="0"/>
          <w:sz w:val="24"/>
          <w:highlight w:val="none"/>
          <w:lang w:val="en-US" w:eastAsia="zh-CN"/>
        </w:rPr>
      </w:pPr>
    </w:p>
    <w:tbl>
      <w:tblPr>
        <w:tblStyle w:val="33"/>
        <w:tblW w:w="9205" w:type="dxa"/>
        <w:tblInd w:w="13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00"/>
        <w:gridCol w:w="2017"/>
        <w:gridCol w:w="1516"/>
        <w:gridCol w:w="1541"/>
        <w:gridCol w:w="1198"/>
        <w:gridCol w:w="1117"/>
        <w:gridCol w:w="916"/>
      </w:tblGrid>
      <w:tr w14:paraId="6AEBC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6" w:hRule="atLeast"/>
        </w:trPr>
        <w:tc>
          <w:tcPr>
            <w:tcW w:w="900" w:type="dxa"/>
            <w:tcBorders>
              <w:top w:val="single" w:color="auto" w:sz="4" w:space="0"/>
              <w:left w:val="single" w:color="auto" w:sz="4" w:space="0"/>
              <w:bottom w:val="nil"/>
              <w:right w:val="single" w:color="auto" w:sz="4" w:space="0"/>
            </w:tcBorders>
            <w:vAlign w:val="center"/>
          </w:tcPr>
          <w:p w14:paraId="3992602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kern w:val="0"/>
                <w:sz w:val="24"/>
                <w:highlight w:val="none"/>
              </w:rPr>
              <w:t>序号</w:t>
            </w:r>
          </w:p>
        </w:tc>
        <w:tc>
          <w:tcPr>
            <w:tcW w:w="2017" w:type="dxa"/>
            <w:tcBorders>
              <w:top w:val="single" w:color="auto" w:sz="4" w:space="0"/>
              <w:left w:val="single" w:color="auto" w:sz="4" w:space="0"/>
              <w:bottom w:val="nil"/>
              <w:right w:val="single" w:color="auto" w:sz="4" w:space="0"/>
            </w:tcBorders>
            <w:vAlign w:val="center"/>
          </w:tcPr>
          <w:p w14:paraId="173D446C">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名称</w:t>
            </w:r>
          </w:p>
        </w:tc>
        <w:tc>
          <w:tcPr>
            <w:tcW w:w="1516" w:type="dxa"/>
            <w:tcBorders>
              <w:top w:val="single" w:color="auto" w:sz="4" w:space="0"/>
              <w:left w:val="single" w:color="auto" w:sz="4" w:space="0"/>
              <w:bottom w:val="nil"/>
              <w:right w:val="single" w:color="auto" w:sz="4" w:space="0"/>
            </w:tcBorders>
            <w:vAlign w:val="center"/>
          </w:tcPr>
          <w:p w14:paraId="3496F7A7">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szCs w:val="24"/>
                <w:highlight w:val="none"/>
                <w:lang w:val="en-US" w:eastAsia="zh-CN" w:bidi="ar-SA"/>
              </w:rPr>
              <w:t>单位</w:t>
            </w:r>
          </w:p>
        </w:tc>
        <w:tc>
          <w:tcPr>
            <w:tcW w:w="1541" w:type="dxa"/>
            <w:tcBorders>
              <w:top w:val="single" w:color="auto" w:sz="4" w:space="0"/>
              <w:left w:val="single" w:color="auto" w:sz="4" w:space="0"/>
              <w:bottom w:val="nil"/>
              <w:right w:val="single" w:color="auto" w:sz="4" w:space="0"/>
            </w:tcBorders>
            <w:vAlign w:val="center"/>
          </w:tcPr>
          <w:p w14:paraId="4964E5E0">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数量</w:t>
            </w:r>
          </w:p>
        </w:tc>
        <w:tc>
          <w:tcPr>
            <w:tcW w:w="1198" w:type="dxa"/>
            <w:tcBorders>
              <w:top w:val="single" w:color="auto" w:sz="4" w:space="0"/>
              <w:left w:val="single" w:color="auto" w:sz="4" w:space="0"/>
              <w:bottom w:val="nil"/>
              <w:right w:val="single" w:color="auto" w:sz="4" w:space="0"/>
            </w:tcBorders>
            <w:vAlign w:val="center"/>
          </w:tcPr>
          <w:p w14:paraId="49E65CD4">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kern w:val="0"/>
                <w:sz w:val="24"/>
                <w:highlight w:val="none"/>
              </w:rPr>
              <w:t>单价</w:t>
            </w:r>
          </w:p>
        </w:tc>
        <w:tc>
          <w:tcPr>
            <w:tcW w:w="1117" w:type="dxa"/>
            <w:tcBorders>
              <w:top w:val="single" w:color="auto" w:sz="4" w:space="0"/>
              <w:left w:val="single" w:color="auto" w:sz="4" w:space="0"/>
              <w:bottom w:val="nil"/>
              <w:right w:val="single" w:color="auto" w:sz="4" w:space="0"/>
            </w:tcBorders>
            <w:vAlign w:val="center"/>
          </w:tcPr>
          <w:p w14:paraId="0EDF81F9">
            <w:pPr>
              <w:widowControl/>
              <w:tabs>
                <w:tab w:val="left" w:pos="1418"/>
              </w:tabs>
              <w:snapToGrid w:val="0"/>
              <w:spacing w:before="50" w:after="50" w:line="360" w:lineRule="exact"/>
              <w:jc w:val="center"/>
              <w:rPr>
                <w:rFonts w:hint="eastAsia" w:ascii="宋体" w:hAnsi="宋体" w:eastAsia="宋体" w:cs="宋体"/>
                <w:color w:val="auto"/>
                <w:spacing w:val="20"/>
                <w:kern w:val="0"/>
                <w:sz w:val="24"/>
                <w:szCs w:val="24"/>
                <w:highlight w:val="none"/>
                <w:lang w:val="en-US" w:eastAsia="zh-CN" w:bidi="ar-SA"/>
              </w:rPr>
            </w:pPr>
            <w:r>
              <w:rPr>
                <w:rFonts w:hint="eastAsia" w:ascii="宋体" w:hAnsi="宋体" w:eastAsia="宋体" w:cs="宋体"/>
                <w:color w:val="auto"/>
                <w:spacing w:val="20"/>
                <w:kern w:val="0"/>
                <w:sz w:val="24"/>
                <w:highlight w:val="none"/>
                <w:lang w:val="en-US" w:eastAsia="zh-CN"/>
              </w:rPr>
              <w:t>合计</w:t>
            </w:r>
          </w:p>
        </w:tc>
        <w:tc>
          <w:tcPr>
            <w:tcW w:w="916" w:type="dxa"/>
            <w:tcBorders>
              <w:top w:val="single" w:color="auto" w:sz="4" w:space="0"/>
              <w:left w:val="single" w:color="auto" w:sz="4" w:space="0"/>
              <w:bottom w:val="nil"/>
              <w:right w:val="single" w:color="auto" w:sz="4" w:space="0"/>
            </w:tcBorders>
            <w:vAlign w:val="center"/>
          </w:tcPr>
          <w:p w14:paraId="05F01AB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spacing w:val="20"/>
                <w:kern w:val="0"/>
                <w:sz w:val="24"/>
                <w:highlight w:val="none"/>
                <w:lang w:val="en-US" w:eastAsia="zh-CN"/>
              </w:rPr>
              <w:t>备注</w:t>
            </w:r>
          </w:p>
        </w:tc>
      </w:tr>
      <w:tr w14:paraId="245F0FA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5B2906E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7C08039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03C0032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p>
        </w:tc>
        <w:tc>
          <w:tcPr>
            <w:tcW w:w="1541" w:type="dxa"/>
            <w:tcBorders>
              <w:top w:val="single" w:color="auto" w:sz="4" w:space="0"/>
              <w:left w:val="single" w:color="auto" w:sz="4" w:space="0"/>
              <w:bottom w:val="single" w:color="auto" w:sz="4" w:space="0"/>
              <w:right w:val="single" w:color="auto" w:sz="4" w:space="0"/>
            </w:tcBorders>
          </w:tcPr>
          <w:p w14:paraId="647A1C3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lang w:val="en-US" w:eastAsia="zh-CN"/>
              </w:rPr>
            </w:pPr>
          </w:p>
        </w:tc>
        <w:tc>
          <w:tcPr>
            <w:tcW w:w="1198" w:type="dxa"/>
            <w:tcBorders>
              <w:top w:val="single" w:color="auto" w:sz="4" w:space="0"/>
              <w:left w:val="single" w:color="auto" w:sz="4" w:space="0"/>
              <w:bottom w:val="single" w:color="auto" w:sz="4" w:space="0"/>
              <w:right w:val="single" w:color="auto" w:sz="4" w:space="0"/>
            </w:tcBorders>
          </w:tcPr>
          <w:p w14:paraId="73B281C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6B47F099">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5330C8A6">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541FB9B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146EFDA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341E270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6936BF0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23241AE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6617C5E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751848FF">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35F6311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DE4699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7D0A2122">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1A06BD7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6E73799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420707A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2E36D994">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2A3F87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43F3DAD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121D8A1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62498C70">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FEB2BF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42505CA8">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6B77D8F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3B4FBCDC">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5E6CA98F">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4C77F6A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408904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3442FBAA">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4258FF1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16" w:type="dxa"/>
            <w:tcBorders>
              <w:top w:val="single" w:color="auto" w:sz="4" w:space="0"/>
              <w:left w:val="single" w:color="auto" w:sz="4" w:space="0"/>
              <w:bottom w:val="single" w:color="auto" w:sz="4" w:space="0"/>
              <w:right w:val="single" w:color="auto" w:sz="4" w:space="0"/>
            </w:tcBorders>
          </w:tcPr>
          <w:p w14:paraId="5DE4991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62666A95">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7D9C9197">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49278A4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16DA6B7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56957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5" w:hRule="atLeast"/>
        </w:trPr>
        <w:tc>
          <w:tcPr>
            <w:tcW w:w="900" w:type="dxa"/>
            <w:tcBorders>
              <w:top w:val="single" w:color="auto" w:sz="4" w:space="0"/>
              <w:left w:val="single" w:color="auto" w:sz="4" w:space="0"/>
              <w:bottom w:val="single" w:color="auto" w:sz="4" w:space="0"/>
              <w:right w:val="single" w:color="auto" w:sz="4" w:space="0"/>
            </w:tcBorders>
          </w:tcPr>
          <w:p w14:paraId="4E325BF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2017" w:type="dxa"/>
            <w:tcBorders>
              <w:top w:val="single" w:color="auto" w:sz="4" w:space="0"/>
              <w:left w:val="single" w:color="auto" w:sz="4" w:space="0"/>
              <w:bottom w:val="single" w:color="auto" w:sz="4" w:space="0"/>
              <w:right w:val="single" w:color="auto" w:sz="4" w:space="0"/>
            </w:tcBorders>
          </w:tcPr>
          <w:p w14:paraId="0DD0F60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r>
              <w:rPr>
                <w:rFonts w:hint="eastAsia" w:ascii="宋体" w:hAnsi="宋体" w:eastAsia="宋体" w:cs="宋体"/>
                <w:color w:val="auto"/>
                <w:spacing w:val="20"/>
                <w:kern w:val="0"/>
                <w:sz w:val="24"/>
                <w:highlight w:val="none"/>
              </w:rPr>
              <w:t xml:space="preserve">…… </w:t>
            </w:r>
          </w:p>
        </w:tc>
        <w:tc>
          <w:tcPr>
            <w:tcW w:w="1516" w:type="dxa"/>
            <w:tcBorders>
              <w:top w:val="single" w:color="auto" w:sz="4" w:space="0"/>
              <w:left w:val="single" w:color="auto" w:sz="4" w:space="0"/>
              <w:bottom w:val="single" w:color="auto" w:sz="4" w:space="0"/>
              <w:right w:val="single" w:color="auto" w:sz="4" w:space="0"/>
            </w:tcBorders>
          </w:tcPr>
          <w:p w14:paraId="1900685D">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541" w:type="dxa"/>
            <w:tcBorders>
              <w:top w:val="single" w:color="auto" w:sz="4" w:space="0"/>
              <w:left w:val="single" w:color="auto" w:sz="4" w:space="0"/>
              <w:bottom w:val="single" w:color="auto" w:sz="4" w:space="0"/>
              <w:right w:val="single" w:color="auto" w:sz="4" w:space="0"/>
            </w:tcBorders>
          </w:tcPr>
          <w:p w14:paraId="154EAD3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98" w:type="dxa"/>
            <w:tcBorders>
              <w:top w:val="single" w:color="auto" w:sz="4" w:space="0"/>
              <w:left w:val="single" w:color="auto" w:sz="4" w:space="0"/>
              <w:bottom w:val="single" w:color="auto" w:sz="4" w:space="0"/>
              <w:right w:val="single" w:color="auto" w:sz="4" w:space="0"/>
            </w:tcBorders>
          </w:tcPr>
          <w:p w14:paraId="12E04D9B">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1117" w:type="dxa"/>
            <w:tcBorders>
              <w:top w:val="single" w:color="auto" w:sz="4" w:space="0"/>
              <w:left w:val="single" w:color="auto" w:sz="4" w:space="0"/>
              <w:bottom w:val="single" w:color="auto" w:sz="4" w:space="0"/>
              <w:right w:val="single" w:color="auto" w:sz="4" w:space="0"/>
            </w:tcBorders>
          </w:tcPr>
          <w:p w14:paraId="28765981">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c>
          <w:tcPr>
            <w:tcW w:w="916" w:type="dxa"/>
            <w:tcBorders>
              <w:top w:val="single" w:color="auto" w:sz="4" w:space="0"/>
              <w:left w:val="single" w:color="auto" w:sz="4" w:space="0"/>
              <w:bottom w:val="single" w:color="auto" w:sz="4" w:space="0"/>
              <w:right w:val="single" w:color="auto" w:sz="4" w:space="0"/>
            </w:tcBorders>
          </w:tcPr>
          <w:p w14:paraId="4999C39E">
            <w:pPr>
              <w:widowControl/>
              <w:tabs>
                <w:tab w:val="left" w:pos="1418"/>
              </w:tabs>
              <w:snapToGrid w:val="0"/>
              <w:spacing w:before="50" w:after="50" w:line="360" w:lineRule="exact"/>
              <w:jc w:val="center"/>
              <w:rPr>
                <w:rFonts w:hint="eastAsia" w:ascii="宋体" w:hAnsi="宋体" w:eastAsia="宋体" w:cs="宋体"/>
                <w:color w:val="auto"/>
                <w:spacing w:val="20"/>
                <w:kern w:val="0"/>
                <w:sz w:val="24"/>
                <w:highlight w:val="none"/>
              </w:rPr>
            </w:pPr>
          </w:p>
        </w:tc>
      </w:tr>
      <w:tr w14:paraId="04117E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7172" w:type="dxa"/>
            <w:gridSpan w:val="5"/>
            <w:tcBorders>
              <w:top w:val="single" w:color="auto" w:sz="4" w:space="0"/>
              <w:left w:val="single" w:color="auto" w:sz="4" w:space="0"/>
              <w:bottom w:val="single" w:color="auto" w:sz="4" w:space="0"/>
              <w:right w:val="single" w:color="auto" w:sz="4" w:space="0"/>
            </w:tcBorders>
            <w:vAlign w:val="top"/>
          </w:tcPr>
          <w:p w14:paraId="77A1B346">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cs="宋体"/>
                <w:color w:val="000000" w:themeColor="text1"/>
                <w:spacing w:val="20"/>
                <w:kern w:val="0"/>
                <w:sz w:val="24"/>
                <w:highlight w:val="none"/>
                <w:lang w:val="en-US" w:eastAsia="zh-CN"/>
                <w14:textFill>
                  <w14:solidFill>
                    <w14:schemeClr w14:val="tx1"/>
                  </w14:solidFill>
                </w14:textFill>
              </w:rPr>
              <w:t>磋商</w:t>
            </w:r>
            <w:r>
              <w:rPr>
                <w:rFonts w:hint="eastAsia" w:ascii="宋体" w:hAnsi="宋体" w:eastAsia="宋体" w:cs="宋体"/>
                <w:color w:val="auto"/>
                <w:spacing w:val="20"/>
                <w:kern w:val="0"/>
                <w:sz w:val="24"/>
                <w:highlight w:val="none"/>
                <w:lang w:val="en-US" w:eastAsia="zh-CN"/>
              </w:rPr>
              <w:t>总</w:t>
            </w:r>
            <w:r>
              <w:rPr>
                <w:rFonts w:hint="eastAsia" w:ascii="宋体" w:hAnsi="宋体" w:eastAsia="宋体" w:cs="宋体"/>
                <w:color w:val="auto"/>
                <w:spacing w:val="20"/>
                <w:kern w:val="0"/>
                <w:sz w:val="24"/>
                <w:highlight w:val="none"/>
              </w:rPr>
              <w:t>价(</w:t>
            </w:r>
            <w:r>
              <w:rPr>
                <w:rFonts w:hint="eastAsia" w:ascii="宋体" w:hAnsi="宋体" w:eastAsia="宋体" w:cs="宋体"/>
                <w:color w:val="auto"/>
                <w:kern w:val="0"/>
                <w:sz w:val="24"/>
                <w:szCs w:val="21"/>
                <w:highlight w:val="none"/>
              </w:rPr>
              <w:t>大写)：</w:t>
            </w:r>
          </w:p>
        </w:tc>
        <w:tc>
          <w:tcPr>
            <w:tcW w:w="1117" w:type="dxa"/>
            <w:tcBorders>
              <w:top w:val="single" w:color="auto" w:sz="4" w:space="0"/>
              <w:left w:val="single" w:color="auto" w:sz="4" w:space="0"/>
              <w:bottom w:val="single" w:color="auto" w:sz="4" w:space="0"/>
              <w:right w:val="single" w:color="auto" w:sz="4" w:space="0"/>
            </w:tcBorders>
            <w:vAlign w:val="top"/>
          </w:tcPr>
          <w:p w14:paraId="7A5CEAA9">
            <w:pPr>
              <w:widowControl/>
              <w:tabs>
                <w:tab w:val="left" w:pos="1418"/>
              </w:tabs>
              <w:snapToGrid w:val="0"/>
              <w:spacing w:before="50" w:after="50" w:line="360" w:lineRule="exact"/>
              <w:jc w:val="left"/>
              <w:rPr>
                <w:rFonts w:hint="eastAsia" w:ascii="宋体" w:hAnsi="宋体" w:eastAsia="宋体" w:cs="宋体"/>
                <w:color w:val="auto"/>
                <w:spacing w:val="20"/>
                <w:kern w:val="0"/>
                <w:sz w:val="24"/>
                <w:highlight w:val="none"/>
                <w:lang w:val="en-US" w:eastAsia="zh-CN"/>
              </w:rPr>
            </w:pPr>
            <w:r>
              <w:rPr>
                <w:rFonts w:hint="eastAsia" w:ascii="宋体" w:hAnsi="宋体" w:eastAsia="宋体" w:cs="宋体"/>
                <w:color w:val="auto"/>
                <w:kern w:val="0"/>
                <w:sz w:val="24"/>
                <w:szCs w:val="21"/>
                <w:highlight w:val="none"/>
              </w:rPr>
              <w:t>￥</w:t>
            </w:r>
          </w:p>
        </w:tc>
        <w:tc>
          <w:tcPr>
            <w:tcW w:w="916" w:type="dxa"/>
            <w:tcBorders>
              <w:top w:val="single" w:color="auto" w:sz="4" w:space="0"/>
              <w:left w:val="single" w:color="auto" w:sz="4" w:space="0"/>
              <w:bottom w:val="single" w:color="auto" w:sz="4" w:space="0"/>
              <w:right w:val="single" w:color="auto" w:sz="4" w:space="0"/>
            </w:tcBorders>
            <w:vAlign w:val="top"/>
          </w:tcPr>
          <w:p w14:paraId="49B70D19">
            <w:pPr>
              <w:widowControl/>
              <w:tabs>
                <w:tab w:val="left" w:pos="1418"/>
              </w:tabs>
              <w:snapToGrid w:val="0"/>
              <w:spacing w:before="50" w:after="50" w:line="360" w:lineRule="exact"/>
              <w:jc w:val="left"/>
              <w:rPr>
                <w:rFonts w:hint="eastAsia" w:ascii="宋体" w:hAnsi="宋体" w:eastAsia="宋体" w:cs="宋体"/>
                <w:color w:val="auto"/>
                <w:kern w:val="0"/>
                <w:sz w:val="24"/>
                <w:szCs w:val="21"/>
                <w:highlight w:val="none"/>
              </w:rPr>
            </w:pPr>
          </w:p>
        </w:tc>
      </w:tr>
    </w:tbl>
    <w:p w14:paraId="07F6588C">
      <w:pPr>
        <w:pStyle w:val="32"/>
        <w:ind w:firstLine="3990" w:firstLineChars="1900"/>
        <w:rPr>
          <w:rFonts w:hint="eastAsia" w:ascii="宋体" w:hAnsi="宋体" w:eastAsia="宋体" w:cs="宋体"/>
          <w:color w:val="auto"/>
          <w:sz w:val="21"/>
          <w:szCs w:val="21"/>
          <w:highlight w:val="none"/>
          <w:lang w:eastAsia="zh-CN"/>
        </w:rPr>
      </w:pPr>
    </w:p>
    <w:p w14:paraId="281D4EAB">
      <w:pPr>
        <w:pStyle w:val="32"/>
        <w:ind w:firstLine="3990" w:firstLineChars="19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（全称并加盖公章）：</w:t>
      </w:r>
    </w:p>
    <w:p w14:paraId="7DF0FE56">
      <w:pPr>
        <w:widowControl/>
        <w:shd w:val="clear" w:color="auto" w:fill="FFFFFF"/>
        <w:spacing w:line="360" w:lineRule="auto"/>
        <w:ind w:left="1480" w:leftChars="705" w:firstLine="1524" w:firstLineChars="726"/>
        <w:jc w:val="both"/>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法定代表人或委托代理人（签字</w:t>
      </w:r>
      <w:r>
        <w:rPr>
          <w:rFonts w:hint="eastAsia" w:ascii="宋体" w:hAnsi="宋体" w:eastAsia="宋体" w:cs="宋体"/>
          <w:color w:val="auto"/>
          <w:kern w:val="0"/>
          <w:sz w:val="21"/>
          <w:szCs w:val="21"/>
          <w:highlight w:val="none"/>
          <w:lang w:val="en-US" w:eastAsia="zh-CN"/>
        </w:rPr>
        <w:t>或盖章</w:t>
      </w:r>
      <w:r>
        <w:rPr>
          <w:rFonts w:hint="eastAsia" w:ascii="宋体" w:hAnsi="宋体" w:eastAsia="宋体" w:cs="宋体"/>
          <w:color w:val="auto"/>
          <w:kern w:val="0"/>
          <w:sz w:val="21"/>
          <w:szCs w:val="21"/>
          <w:highlight w:val="none"/>
        </w:rPr>
        <w:t>）：</w:t>
      </w:r>
      <w:r>
        <w:rPr>
          <w:rFonts w:hint="eastAsia" w:ascii="宋体" w:hAnsi="宋体" w:eastAsia="宋体" w:cs="宋体"/>
          <w:color w:val="auto"/>
          <w:kern w:val="0"/>
          <w:sz w:val="21"/>
          <w:szCs w:val="21"/>
          <w:highlight w:val="none"/>
          <w:u w:val="single"/>
        </w:rPr>
        <w:t xml:space="preserve">           </w:t>
      </w:r>
    </w:p>
    <w:p w14:paraId="4575A97F">
      <w:pPr>
        <w:widowControl/>
        <w:wordWrap w:val="0"/>
        <w:spacing w:line="460" w:lineRule="exact"/>
        <w:ind w:firstLine="4410" w:firstLineChars="21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年    月    日</w:t>
      </w:r>
    </w:p>
    <w:p w14:paraId="6BC66F60">
      <w:pPr>
        <w:widowControl/>
        <w:wordWrap w:val="0"/>
        <w:spacing w:line="460" w:lineRule="exact"/>
        <w:ind w:firstLine="4800" w:firstLineChars="2000"/>
        <w:jc w:val="left"/>
        <w:rPr>
          <w:rFonts w:hint="eastAsia" w:ascii="宋体" w:hAnsi="宋体" w:eastAsia="宋体" w:cs="宋体"/>
          <w:color w:val="auto"/>
          <w:sz w:val="28"/>
          <w:szCs w:val="28"/>
          <w:highlight w:val="none"/>
          <w:lang w:val="en-US" w:eastAsia="zh-CN"/>
        </w:rPr>
      </w:pPr>
      <w:r>
        <w:rPr>
          <w:rFonts w:hint="eastAsia" w:ascii="宋体" w:hAnsi="宋体" w:eastAsia="宋体" w:cs="宋体"/>
          <w:color w:val="auto"/>
          <w:kern w:val="0"/>
          <w:sz w:val="24"/>
          <w:highlight w:val="none"/>
        </w:rPr>
        <w:t xml:space="preserve">     </w:t>
      </w:r>
    </w:p>
    <w:p w14:paraId="3188B991">
      <w:pPr>
        <w:pStyle w:val="23"/>
        <w:rPr>
          <w:rFonts w:hint="eastAsia" w:ascii="宋体" w:hAnsi="宋体" w:eastAsia="宋体" w:cs="宋体"/>
          <w:color w:val="auto"/>
          <w:kern w:val="0"/>
          <w:sz w:val="24"/>
          <w:highlight w:val="none"/>
        </w:rPr>
        <w:sectPr>
          <w:footerReference r:id="rId6" w:type="default"/>
          <w:pgSz w:w="11906" w:h="16838"/>
          <w:pgMar w:top="1417" w:right="1474" w:bottom="1417" w:left="1474" w:header="851" w:footer="624" w:gutter="0"/>
          <w:pgNumType w:fmt="decimal"/>
          <w:cols w:space="720" w:num="1"/>
          <w:docGrid w:type="lines" w:linePitch="319" w:charSpace="0"/>
        </w:sectPr>
      </w:pPr>
    </w:p>
    <w:p w14:paraId="755C98AE">
      <w:pPr>
        <w:pStyle w:val="23"/>
        <w:rPr>
          <w:rFonts w:hint="default" w:ascii="宋体" w:hAnsi="宋体" w:cs="宋体"/>
          <w:color w:val="auto"/>
          <w:kern w:val="0"/>
          <w:sz w:val="24"/>
          <w:highlight w:val="none"/>
          <w:lang w:val="en-US" w:eastAsia="zh-CN"/>
        </w:rPr>
      </w:pPr>
    </w:p>
    <w:p w14:paraId="41C19B8B">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附件5         </w:t>
      </w:r>
      <w:bookmarkEnd w:id="81"/>
      <w:bookmarkEnd w:id="82"/>
      <w:r>
        <w:rPr>
          <w:rFonts w:hint="eastAsia" w:ascii="宋体" w:hAnsi="宋体" w:eastAsia="宋体" w:cs="宋体"/>
          <w:color w:val="auto"/>
          <w:sz w:val="28"/>
          <w:szCs w:val="28"/>
          <w:highlight w:val="none"/>
          <w:lang w:val="en-US" w:eastAsia="zh-CN"/>
        </w:rPr>
        <w:t xml:space="preserve">  技术响应表（格式）</w:t>
      </w:r>
    </w:p>
    <w:tbl>
      <w:tblPr>
        <w:tblStyle w:val="91"/>
        <w:tblW w:w="9914" w:type="dxa"/>
        <w:tblInd w:w="7"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772"/>
        <w:gridCol w:w="2625"/>
        <w:gridCol w:w="2379"/>
        <w:gridCol w:w="1468"/>
        <w:gridCol w:w="1468"/>
        <w:gridCol w:w="1202"/>
      </w:tblGrid>
      <w:tr w14:paraId="5EB1B3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234" w:hRule="atLeast"/>
        </w:trPr>
        <w:tc>
          <w:tcPr>
            <w:tcW w:w="772" w:type="dxa"/>
            <w:noWrap w:val="0"/>
            <w:vAlign w:val="center"/>
          </w:tcPr>
          <w:p w14:paraId="44907C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序号</w:t>
            </w:r>
          </w:p>
        </w:tc>
        <w:tc>
          <w:tcPr>
            <w:tcW w:w="2625" w:type="dxa"/>
            <w:noWrap w:val="0"/>
            <w:vAlign w:val="center"/>
          </w:tcPr>
          <w:p w14:paraId="2A4ABBAE">
            <w:pPr>
              <w:pageBreakBefore w:val="0"/>
              <w:widowControl/>
              <w:wordWrap/>
              <w:overflowPunct/>
              <w:topLinePunct w:val="0"/>
              <w:bidi w:val="0"/>
              <w:spacing w:line="360" w:lineRule="auto"/>
              <w:jc w:val="center"/>
              <w:textAlignment w:val="baseline"/>
              <w:rPr>
                <w:rFonts w:hint="default" w:ascii="宋体" w:hAnsi="宋体" w:eastAsia="宋体" w:cs="宋体"/>
                <w:color w:val="auto"/>
                <w:sz w:val="21"/>
                <w:szCs w:val="21"/>
                <w:highlight w:val="none"/>
                <w:lang w:val="en-US"/>
              </w:rPr>
            </w:pPr>
            <w:r>
              <w:rPr>
                <w:rFonts w:hint="eastAsia" w:ascii="宋体" w:hAnsi="宋体" w:cs="宋体"/>
                <w:color w:val="auto"/>
                <w:sz w:val="21"/>
                <w:szCs w:val="21"/>
                <w:highlight w:val="none"/>
                <w:lang w:val="en-US" w:eastAsia="zh-CN"/>
              </w:rPr>
              <w:t>服务名称</w:t>
            </w:r>
          </w:p>
        </w:tc>
        <w:tc>
          <w:tcPr>
            <w:tcW w:w="2379" w:type="dxa"/>
            <w:noWrap w:val="0"/>
            <w:vAlign w:val="center"/>
          </w:tcPr>
          <w:p w14:paraId="1CF50FC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磋商</w:t>
            </w:r>
            <w:r>
              <w:rPr>
                <w:rFonts w:hint="eastAsia" w:ascii="宋体" w:hAnsi="宋体" w:eastAsia="宋体" w:cs="宋体"/>
                <w:color w:val="auto"/>
                <w:sz w:val="21"/>
                <w:szCs w:val="21"/>
                <w:highlight w:val="none"/>
              </w:rPr>
              <w:t>文件要求</w:t>
            </w:r>
          </w:p>
        </w:tc>
        <w:tc>
          <w:tcPr>
            <w:tcW w:w="1468" w:type="dxa"/>
            <w:noWrap w:val="0"/>
            <w:vAlign w:val="center"/>
          </w:tcPr>
          <w:p w14:paraId="5A1F15D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文件响应</w:t>
            </w:r>
          </w:p>
        </w:tc>
        <w:tc>
          <w:tcPr>
            <w:tcW w:w="1468" w:type="dxa"/>
            <w:noWrap w:val="0"/>
            <w:vAlign w:val="center"/>
          </w:tcPr>
          <w:p w14:paraId="6EEDA00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偏离情况</w:t>
            </w:r>
          </w:p>
        </w:tc>
        <w:tc>
          <w:tcPr>
            <w:tcW w:w="1202" w:type="dxa"/>
            <w:noWrap w:val="0"/>
            <w:vAlign w:val="center"/>
          </w:tcPr>
          <w:p w14:paraId="59DF904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备注</w:t>
            </w:r>
          </w:p>
        </w:tc>
      </w:tr>
      <w:tr w14:paraId="1EF5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077" w:hRule="atLeast"/>
        </w:trPr>
        <w:tc>
          <w:tcPr>
            <w:tcW w:w="772" w:type="dxa"/>
            <w:noWrap w:val="0"/>
            <w:vAlign w:val="center"/>
          </w:tcPr>
          <w:p w14:paraId="2D4E542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p>
        </w:tc>
        <w:tc>
          <w:tcPr>
            <w:tcW w:w="2625" w:type="dxa"/>
            <w:noWrap w:val="0"/>
            <w:vAlign w:val="center"/>
          </w:tcPr>
          <w:p w14:paraId="64B71AE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3E49D7E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802036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033DB53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479DE83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08100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7" w:hRule="atLeast"/>
        </w:trPr>
        <w:tc>
          <w:tcPr>
            <w:tcW w:w="772" w:type="dxa"/>
            <w:noWrap w:val="0"/>
            <w:vAlign w:val="center"/>
          </w:tcPr>
          <w:p w14:paraId="4D4AE2A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p>
        </w:tc>
        <w:tc>
          <w:tcPr>
            <w:tcW w:w="2625" w:type="dxa"/>
            <w:noWrap w:val="0"/>
            <w:vAlign w:val="center"/>
          </w:tcPr>
          <w:p w14:paraId="61E189B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4E06A90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6DF770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3017614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37128455">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3C590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5" w:hRule="atLeast"/>
        </w:trPr>
        <w:tc>
          <w:tcPr>
            <w:tcW w:w="772" w:type="dxa"/>
            <w:noWrap w:val="0"/>
            <w:vAlign w:val="center"/>
          </w:tcPr>
          <w:p w14:paraId="0EDDDF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p>
        </w:tc>
        <w:tc>
          <w:tcPr>
            <w:tcW w:w="2625" w:type="dxa"/>
            <w:noWrap w:val="0"/>
            <w:vAlign w:val="center"/>
          </w:tcPr>
          <w:p w14:paraId="181B696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79" w:type="dxa"/>
            <w:noWrap w:val="0"/>
            <w:vAlign w:val="center"/>
          </w:tcPr>
          <w:p w14:paraId="2097C08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105E70B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468" w:type="dxa"/>
            <w:noWrap w:val="0"/>
            <w:vAlign w:val="center"/>
          </w:tcPr>
          <w:p w14:paraId="7ABE947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202" w:type="dxa"/>
            <w:noWrap w:val="0"/>
            <w:vAlign w:val="center"/>
          </w:tcPr>
          <w:p w14:paraId="35C24D9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399264B6">
      <w:pPr>
        <w:widowControl/>
        <w:wordWrap w:val="0"/>
        <w:spacing w:line="460" w:lineRule="exact"/>
        <w:ind w:firstLine="422" w:firstLineChars="200"/>
        <w:jc w:val="left"/>
        <w:rPr>
          <w:rFonts w:hint="eastAsia" w:ascii="宋体" w:hAnsi="宋体" w:eastAsia="宋体" w:cs="宋体"/>
          <w:b/>
          <w:color w:val="auto"/>
          <w:kern w:val="0"/>
          <w:sz w:val="21"/>
          <w:szCs w:val="21"/>
          <w:highlight w:val="none"/>
          <w:lang w:val="en-US" w:eastAsia="zh-CN"/>
        </w:rPr>
      </w:pPr>
    </w:p>
    <w:p w14:paraId="348FA459">
      <w:pPr>
        <w:pageBreakBefore w:val="0"/>
        <w:widowControl/>
        <w:wordWrap/>
        <w:overflowPunct/>
        <w:topLinePunct w:val="0"/>
        <w:bidi w:val="0"/>
        <w:spacing w:line="360" w:lineRule="auto"/>
        <w:textAlignment w:val="baseline"/>
        <w:rPr>
          <w:rFonts w:hint="eastAsia" w:ascii="宋体" w:hAnsi="宋体" w:eastAsia="宋体" w:cs="宋体"/>
          <w:color w:val="FF0000"/>
          <w:sz w:val="21"/>
          <w:szCs w:val="21"/>
          <w:highlight w:val="none"/>
        </w:rPr>
      </w:pPr>
      <w:r>
        <w:rPr>
          <w:rFonts w:hint="eastAsia" w:ascii="宋体" w:hAnsi="宋体" w:eastAsia="宋体" w:cs="宋体"/>
          <w:color w:val="FF0000"/>
          <w:sz w:val="21"/>
          <w:szCs w:val="21"/>
          <w:highlight w:val="none"/>
        </w:rPr>
        <w:t>注：供应商必须如实完整填写表格，“偏离情况”是指“正偏离”或“无偏离”。</w:t>
      </w:r>
    </w:p>
    <w:p w14:paraId="1B7AE4F7">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p>
    <w:p w14:paraId="5622F756">
      <w:pPr>
        <w:pageBreakBefore w:val="0"/>
        <w:widowControl/>
        <w:wordWrap/>
        <w:overflowPunct/>
        <w:topLinePunct w:val="0"/>
        <w:bidi w:val="0"/>
        <w:spacing w:line="360" w:lineRule="auto"/>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7B1649E">
      <w:pPr>
        <w:pageBreakBefore w:val="0"/>
        <w:widowControl/>
        <w:wordWrap/>
        <w:overflowPunct/>
        <w:topLinePunct w:val="0"/>
        <w:bidi w:val="0"/>
        <w:spacing w:line="360" w:lineRule="auto"/>
        <w:ind w:firstLine="2100" w:firstLineChars="10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2854FF59">
      <w:pPr>
        <w:widowControl/>
        <w:wordWrap w:val="0"/>
        <w:spacing w:line="460" w:lineRule="exact"/>
        <w:ind w:firstLine="3570" w:firstLineChars="1700"/>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color w:val="auto"/>
          <w:sz w:val="21"/>
          <w:szCs w:val="21"/>
          <w:highlight w:val="none"/>
        </w:rPr>
        <w:t>年    月    日</w:t>
      </w:r>
    </w:p>
    <w:p w14:paraId="1298F5A4">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sectPr>
          <w:pgSz w:w="11906" w:h="16838"/>
          <w:pgMar w:top="1417" w:right="1474" w:bottom="1417" w:left="1474" w:header="851" w:footer="624" w:gutter="0"/>
          <w:pgNumType w:fmt="decimal"/>
          <w:cols w:space="720" w:num="1"/>
          <w:docGrid w:type="lines" w:linePitch="319" w:charSpace="0"/>
        </w:sectPr>
      </w:pPr>
    </w:p>
    <w:p w14:paraId="224EF11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default"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附件5.1          技术要求证明材料</w:t>
      </w:r>
    </w:p>
    <w:p w14:paraId="7815D001">
      <w:pPr>
        <w:bidi w:val="0"/>
        <w:rPr>
          <w:rFonts w:hint="eastAsia"/>
          <w:color w:val="auto"/>
          <w:lang w:val="en-US" w:eastAsia="zh-CN"/>
        </w:rPr>
      </w:pPr>
    </w:p>
    <w:p w14:paraId="56D37776">
      <w:pPr>
        <w:bidi w:val="0"/>
        <w:rPr>
          <w:rFonts w:hint="eastAsia"/>
          <w:color w:val="auto"/>
          <w:lang w:val="en-US" w:eastAsia="zh-CN"/>
        </w:rPr>
      </w:pPr>
    </w:p>
    <w:p w14:paraId="018E04A9">
      <w:pPr>
        <w:bidi w:val="0"/>
        <w:rPr>
          <w:rFonts w:hint="default"/>
          <w:color w:val="auto"/>
          <w:lang w:val="en-US" w:eastAsia="zh-CN"/>
        </w:rPr>
      </w:pPr>
      <w:r>
        <w:rPr>
          <w:rFonts w:hint="eastAsia"/>
          <w:color w:val="auto"/>
          <w:lang w:val="en-US" w:eastAsia="zh-CN"/>
        </w:rPr>
        <w:t>按照磋商文件“第二章 采购需求 三、技术要求”提供证明文件</w:t>
      </w:r>
    </w:p>
    <w:p w14:paraId="57AE816A">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4D08D926">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704B672">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2C34ECDE">
      <w:pPr>
        <w:widowControl/>
        <w:wordWrap w:val="0"/>
        <w:spacing w:line="460" w:lineRule="exact"/>
        <w:ind w:firstLine="643" w:firstLineChars="200"/>
        <w:jc w:val="left"/>
        <w:rPr>
          <w:rFonts w:hint="eastAsia" w:ascii="宋体" w:hAnsi="宋体" w:eastAsia="宋体" w:cs="宋体"/>
          <w:b/>
          <w:color w:val="auto"/>
          <w:kern w:val="0"/>
          <w:sz w:val="32"/>
          <w:szCs w:val="32"/>
          <w:highlight w:val="none"/>
          <w:lang w:val="en-US" w:eastAsia="zh-CN"/>
        </w:rPr>
      </w:pPr>
    </w:p>
    <w:p w14:paraId="72C49023">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p>
    <w:p w14:paraId="1E0DF383">
      <w:pPr>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br w:type="page"/>
      </w:r>
    </w:p>
    <w:p w14:paraId="747BCA04">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3" w:name="_Toc24168"/>
      <w:bookmarkStart w:id="84" w:name="_Toc20420"/>
      <w:bookmarkStart w:id="85" w:name="_Toc29960"/>
      <w:r>
        <w:rPr>
          <w:rFonts w:hint="eastAsia" w:ascii="宋体" w:hAnsi="宋体" w:eastAsia="宋体" w:cs="宋体"/>
          <w:color w:val="auto"/>
          <w:sz w:val="28"/>
          <w:szCs w:val="28"/>
          <w:highlight w:val="none"/>
          <w:lang w:val="en-US" w:eastAsia="zh-CN"/>
        </w:rPr>
        <w:t>附件6            商务响应</w:t>
      </w:r>
      <w:bookmarkEnd w:id="83"/>
      <w:bookmarkEnd w:id="84"/>
      <w:bookmarkEnd w:id="85"/>
      <w:r>
        <w:rPr>
          <w:rFonts w:hint="eastAsia" w:ascii="宋体" w:hAnsi="宋体" w:eastAsia="宋体" w:cs="宋体"/>
          <w:color w:val="auto"/>
          <w:sz w:val="28"/>
          <w:szCs w:val="28"/>
          <w:highlight w:val="none"/>
          <w:lang w:val="en-US" w:eastAsia="zh-CN"/>
        </w:rPr>
        <w:t>表（格式）</w:t>
      </w:r>
    </w:p>
    <w:p w14:paraId="689E4D6F">
      <w:pPr>
        <w:widowControl/>
        <w:wordWrap w:val="0"/>
        <w:spacing w:line="460" w:lineRule="exact"/>
        <w:jc w:val="left"/>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 xml:space="preserve">  </w:t>
      </w:r>
    </w:p>
    <w:tbl>
      <w:tblPr>
        <w:tblStyle w:val="91"/>
        <w:tblW w:w="1024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11"/>
        <w:gridCol w:w="2301"/>
        <w:gridCol w:w="2198"/>
        <w:gridCol w:w="2038"/>
        <w:gridCol w:w="1349"/>
        <w:gridCol w:w="1349"/>
      </w:tblGrid>
      <w:tr w14:paraId="2AA0E6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7" w:hRule="atLeast"/>
          <w:jc w:val="center"/>
        </w:trPr>
        <w:tc>
          <w:tcPr>
            <w:tcW w:w="1011" w:type="dxa"/>
            <w:noWrap w:val="0"/>
            <w:vAlign w:val="center"/>
          </w:tcPr>
          <w:p w14:paraId="24453A0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序号</w:t>
            </w:r>
          </w:p>
        </w:tc>
        <w:tc>
          <w:tcPr>
            <w:tcW w:w="2301" w:type="dxa"/>
            <w:noWrap w:val="0"/>
            <w:vAlign w:val="center"/>
          </w:tcPr>
          <w:p w14:paraId="4BE9816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val="en-US" w:eastAsia="zh-CN"/>
              </w:rPr>
              <w:t>项目</w:t>
            </w:r>
          </w:p>
        </w:tc>
        <w:tc>
          <w:tcPr>
            <w:tcW w:w="2198" w:type="dxa"/>
            <w:noWrap w:val="0"/>
            <w:vAlign w:val="center"/>
          </w:tcPr>
          <w:p w14:paraId="4226114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r>
              <w:rPr>
                <w:rFonts w:hint="eastAsia" w:ascii="宋体" w:hAnsi="宋体" w:cs="宋体"/>
                <w:color w:val="auto"/>
                <w:sz w:val="21"/>
                <w:szCs w:val="21"/>
                <w:highlight w:val="none"/>
                <w:lang w:eastAsia="zh-CN"/>
              </w:rPr>
              <w:t>磋商文件</w:t>
            </w:r>
            <w:r>
              <w:rPr>
                <w:rFonts w:hint="eastAsia" w:ascii="宋体" w:hAnsi="宋体" w:eastAsia="宋体" w:cs="宋体"/>
                <w:color w:val="auto"/>
                <w:sz w:val="21"/>
                <w:szCs w:val="21"/>
                <w:highlight w:val="none"/>
              </w:rPr>
              <w:t>要求</w:t>
            </w:r>
          </w:p>
        </w:tc>
        <w:tc>
          <w:tcPr>
            <w:tcW w:w="2038" w:type="dxa"/>
            <w:noWrap w:val="0"/>
            <w:vAlign w:val="center"/>
          </w:tcPr>
          <w:p w14:paraId="12C6A70E">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响应文件响应</w:t>
            </w:r>
          </w:p>
        </w:tc>
        <w:tc>
          <w:tcPr>
            <w:tcW w:w="1349" w:type="dxa"/>
            <w:noWrap w:val="0"/>
            <w:vAlign w:val="center"/>
          </w:tcPr>
          <w:p w14:paraId="3178DB73">
            <w:pPr>
              <w:widowControl/>
              <w:snapToGrid w:val="0"/>
              <w:spacing w:before="156" w:beforeLines="50" w:line="360" w:lineRule="auto"/>
              <w:jc w:val="center"/>
              <w:rPr>
                <w:rFonts w:hint="default" w:ascii="宋体" w:hAnsi="宋体" w:eastAsia="宋体" w:cs="宋体"/>
                <w:color w:val="auto"/>
                <w:sz w:val="21"/>
                <w:szCs w:val="21"/>
                <w:highlight w:val="none"/>
                <w:lang w:val="en-US" w:eastAsia="zh-CN"/>
              </w:rPr>
            </w:pPr>
            <w:r>
              <w:rPr>
                <w:rFonts w:hint="eastAsia" w:ascii="仿宋_GB2312" w:hAnsi="宋体" w:cs="宋体"/>
                <w:color w:val="auto"/>
                <w:kern w:val="0"/>
                <w:sz w:val="24"/>
                <w:highlight w:val="none"/>
                <w:lang w:val="en-US" w:eastAsia="zh-CN"/>
              </w:rPr>
              <w:t>偏离情况</w:t>
            </w:r>
          </w:p>
        </w:tc>
        <w:tc>
          <w:tcPr>
            <w:tcW w:w="1349" w:type="dxa"/>
            <w:noWrap w:val="0"/>
            <w:vAlign w:val="center"/>
          </w:tcPr>
          <w:p w14:paraId="79F7B3CF">
            <w:pPr>
              <w:widowControl/>
              <w:snapToGrid w:val="0"/>
              <w:spacing w:before="156" w:beforeLines="50" w:line="360" w:lineRule="auto"/>
              <w:jc w:val="center"/>
              <w:rPr>
                <w:rFonts w:hint="default" w:ascii="仿宋_GB2312" w:hAnsi="宋体" w:cs="宋体"/>
                <w:color w:val="auto"/>
                <w:kern w:val="0"/>
                <w:sz w:val="24"/>
                <w:highlight w:val="none"/>
                <w:lang w:val="en-US" w:eastAsia="zh-CN"/>
              </w:rPr>
            </w:pPr>
            <w:r>
              <w:rPr>
                <w:rFonts w:hint="eastAsia" w:ascii="仿宋_GB2312" w:hAnsi="宋体" w:cs="宋体"/>
                <w:color w:val="auto"/>
                <w:kern w:val="0"/>
                <w:sz w:val="24"/>
                <w:highlight w:val="none"/>
                <w:lang w:val="en-US" w:eastAsia="zh-CN"/>
              </w:rPr>
              <w:t>备注</w:t>
            </w:r>
          </w:p>
        </w:tc>
      </w:tr>
      <w:tr w14:paraId="6BEA4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876B8CF">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301" w:type="dxa"/>
            <w:noWrap w:val="0"/>
            <w:vAlign w:val="center"/>
          </w:tcPr>
          <w:p w14:paraId="19EB47B7">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72BA92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7ACEE48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66C8FC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201A102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48D77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3786420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1D5CB453">
            <w:pPr>
              <w:pStyle w:val="14"/>
              <w:ind w:left="0" w:leftChars="0"/>
              <w:jc w:val="center"/>
              <w:rPr>
                <w:rFonts w:hint="eastAsia" w:ascii="宋体" w:hAnsi="宋体" w:eastAsia="宋体" w:cs="宋体"/>
                <w:color w:val="auto"/>
                <w:sz w:val="21"/>
                <w:szCs w:val="21"/>
                <w:highlight w:val="none"/>
                <w:lang w:val="en-US" w:eastAsia="zh-CN"/>
              </w:rPr>
            </w:pPr>
          </w:p>
        </w:tc>
        <w:tc>
          <w:tcPr>
            <w:tcW w:w="2198" w:type="dxa"/>
            <w:noWrap w:val="0"/>
            <w:vAlign w:val="center"/>
          </w:tcPr>
          <w:p w14:paraId="621B36F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63377A10">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CC3E1F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D60B75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B7DF5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22D862C7">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eastAsia="zh-CN"/>
              </w:rPr>
            </w:pPr>
          </w:p>
        </w:tc>
        <w:tc>
          <w:tcPr>
            <w:tcW w:w="2301" w:type="dxa"/>
            <w:noWrap w:val="0"/>
            <w:vAlign w:val="center"/>
          </w:tcPr>
          <w:p w14:paraId="30B54277">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5535445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2AA7E8C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297567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CF897A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79976B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A895FEE">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3E1E4E91">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2D17CEF6">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47B611D1">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4A2F14A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1DD94FA3">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24303F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73" w:hRule="atLeast"/>
          <w:jc w:val="center"/>
        </w:trPr>
        <w:tc>
          <w:tcPr>
            <w:tcW w:w="1011" w:type="dxa"/>
            <w:noWrap w:val="0"/>
            <w:vAlign w:val="center"/>
          </w:tcPr>
          <w:p w14:paraId="75227C4A">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1DBD4796">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341708CB">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58314AAC">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1EC7F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524A5364">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r w14:paraId="5E2898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585" w:hRule="atLeast"/>
          <w:jc w:val="center"/>
        </w:trPr>
        <w:tc>
          <w:tcPr>
            <w:tcW w:w="1011" w:type="dxa"/>
            <w:noWrap w:val="0"/>
            <w:vAlign w:val="center"/>
          </w:tcPr>
          <w:p w14:paraId="6FCF6388">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lang w:val="en-US" w:eastAsia="zh-CN"/>
              </w:rPr>
            </w:pPr>
          </w:p>
        </w:tc>
        <w:tc>
          <w:tcPr>
            <w:tcW w:w="2301" w:type="dxa"/>
            <w:noWrap w:val="0"/>
            <w:vAlign w:val="center"/>
          </w:tcPr>
          <w:p w14:paraId="26519E8E">
            <w:pPr>
              <w:pStyle w:val="14"/>
              <w:ind w:left="0" w:leftChars="0"/>
              <w:jc w:val="center"/>
              <w:rPr>
                <w:rFonts w:hint="eastAsia" w:ascii="宋体" w:hAnsi="宋体" w:eastAsia="宋体" w:cs="宋体"/>
                <w:color w:val="auto"/>
                <w:sz w:val="21"/>
                <w:szCs w:val="21"/>
                <w:highlight w:val="none"/>
              </w:rPr>
            </w:pPr>
          </w:p>
        </w:tc>
        <w:tc>
          <w:tcPr>
            <w:tcW w:w="2198" w:type="dxa"/>
            <w:noWrap w:val="0"/>
            <w:vAlign w:val="center"/>
          </w:tcPr>
          <w:p w14:paraId="7E7C076D">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2038" w:type="dxa"/>
            <w:noWrap w:val="0"/>
            <w:vAlign w:val="center"/>
          </w:tcPr>
          <w:p w14:paraId="378862A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7F7E67E9">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c>
          <w:tcPr>
            <w:tcW w:w="1349" w:type="dxa"/>
            <w:noWrap w:val="0"/>
            <w:vAlign w:val="center"/>
          </w:tcPr>
          <w:p w14:paraId="01FAF3D2">
            <w:pPr>
              <w:pageBreakBefore w:val="0"/>
              <w:widowControl/>
              <w:wordWrap/>
              <w:overflowPunct/>
              <w:topLinePunct w:val="0"/>
              <w:bidi w:val="0"/>
              <w:spacing w:line="360" w:lineRule="auto"/>
              <w:jc w:val="center"/>
              <w:textAlignment w:val="baseline"/>
              <w:rPr>
                <w:rFonts w:hint="eastAsia" w:ascii="宋体" w:hAnsi="宋体" w:eastAsia="宋体" w:cs="宋体"/>
                <w:color w:val="auto"/>
                <w:sz w:val="21"/>
                <w:szCs w:val="21"/>
                <w:highlight w:val="none"/>
              </w:rPr>
            </w:pPr>
          </w:p>
        </w:tc>
      </w:tr>
    </w:tbl>
    <w:p w14:paraId="04A11FDC">
      <w:pPr>
        <w:rPr>
          <w:rFonts w:hint="eastAsia" w:ascii="宋体" w:hAnsi="宋体" w:eastAsia="宋体" w:cs="宋体"/>
          <w:b/>
          <w:color w:val="auto"/>
          <w:kern w:val="0"/>
          <w:sz w:val="21"/>
          <w:szCs w:val="21"/>
          <w:highlight w:val="none"/>
        </w:rPr>
      </w:pPr>
    </w:p>
    <w:p w14:paraId="6AD343FD">
      <w:pPr>
        <w:pStyle w:val="32"/>
        <w:rPr>
          <w:rFonts w:hint="eastAsia" w:ascii="宋体" w:hAnsi="宋体" w:eastAsia="宋体" w:cs="宋体"/>
          <w:color w:val="auto"/>
          <w:sz w:val="21"/>
          <w:szCs w:val="21"/>
          <w:highlight w:val="none"/>
        </w:rPr>
      </w:pPr>
    </w:p>
    <w:p w14:paraId="117A382B">
      <w:pPr>
        <w:pageBreakBefore w:val="0"/>
        <w:widowControl/>
        <w:wordWrap/>
        <w:overflowPunct/>
        <w:topLinePunct w:val="0"/>
        <w:bidi w:val="0"/>
        <w:spacing w:line="360" w:lineRule="auto"/>
        <w:ind w:firstLine="3360" w:firstLineChars="1600"/>
        <w:textAlignment w:val="baseline"/>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供应商：</w:t>
      </w:r>
      <w:r>
        <w:rPr>
          <w:rFonts w:hint="eastAsia" w:ascii="宋体" w:hAnsi="宋体" w:eastAsia="宋体" w:cs="宋体"/>
          <w:color w:val="auto"/>
          <w:sz w:val="21"/>
          <w:szCs w:val="21"/>
          <w:highlight w:val="none"/>
          <w:u w:val="single"/>
        </w:rPr>
        <w:t xml:space="preserve">             </w:t>
      </w:r>
      <w:r>
        <w:rPr>
          <w:rFonts w:hint="eastAsia" w:ascii="宋体" w:hAnsi="宋体" w:eastAsia="宋体" w:cs="宋体"/>
          <w:color w:val="auto"/>
          <w:sz w:val="21"/>
          <w:szCs w:val="21"/>
          <w:highlight w:val="none"/>
        </w:rPr>
        <w:t>（全称并加盖公章）</w:t>
      </w:r>
    </w:p>
    <w:p w14:paraId="674BCF93">
      <w:pPr>
        <w:pageBreakBefore w:val="0"/>
        <w:widowControl/>
        <w:wordWrap/>
        <w:overflowPunct/>
        <w:topLinePunct w:val="0"/>
        <w:bidi w:val="0"/>
        <w:spacing w:line="360" w:lineRule="auto"/>
        <w:ind w:firstLine="4410" w:firstLineChars="21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年    月    日</w:t>
      </w:r>
    </w:p>
    <w:p w14:paraId="67680AB6">
      <w:pPr>
        <w:outlineLvl w:val="9"/>
        <w:rPr>
          <w:rFonts w:hint="eastAsia" w:ascii="宋体" w:hAnsi="宋体" w:eastAsia="宋体" w:cs="宋体"/>
          <w:color w:val="auto"/>
          <w:highlight w:val="none"/>
        </w:rPr>
      </w:pPr>
    </w:p>
    <w:p w14:paraId="645AB897">
      <w:pPr>
        <w:outlineLvl w:val="9"/>
        <w:rPr>
          <w:rFonts w:hint="eastAsia" w:ascii="宋体" w:hAnsi="宋体" w:eastAsia="宋体" w:cs="宋体"/>
          <w:color w:val="auto"/>
          <w:highlight w:val="none"/>
        </w:rPr>
      </w:pPr>
    </w:p>
    <w:p w14:paraId="7492F26E">
      <w:pPr>
        <w:outlineLvl w:val="9"/>
        <w:rPr>
          <w:rFonts w:hint="eastAsia" w:ascii="宋体" w:hAnsi="宋体" w:eastAsia="宋体" w:cs="宋体"/>
          <w:color w:val="auto"/>
          <w:highlight w:val="none"/>
        </w:rPr>
      </w:pPr>
    </w:p>
    <w:p w14:paraId="4521E1B5">
      <w:pPr>
        <w:outlineLvl w:val="9"/>
        <w:rPr>
          <w:rFonts w:hint="eastAsia" w:ascii="宋体" w:hAnsi="宋体" w:eastAsia="宋体" w:cs="宋体"/>
          <w:color w:val="auto"/>
          <w:highlight w:val="none"/>
        </w:rPr>
      </w:pPr>
    </w:p>
    <w:p w14:paraId="78AFCA78">
      <w:pPr>
        <w:outlineLvl w:val="9"/>
        <w:rPr>
          <w:rFonts w:hint="eastAsia" w:ascii="宋体" w:hAnsi="宋体" w:eastAsia="宋体" w:cs="宋体"/>
          <w:color w:val="auto"/>
          <w:highlight w:val="none"/>
        </w:rPr>
      </w:pPr>
    </w:p>
    <w:p w14:paraId="216E2246">
      <w:pPr>
        <w:outlineLvl w:val="9"/>
        <w:rPr>
          <w:rFonts w:hint="eastAsia" w:ascii="宋体" w:hAnsi="宋体" w:eastAsia="宋体" w:cs="宋体"/>
          <w:color w:val="auto"/>
          <w:highlight w:val="none"/>
        </w:rPr>
      </w:pPr>
    </w:p>
    <w:p w14:paraId="14DBF8E3">
      <w:pPr>
        <w:outlineLvl w:val="9"/>
        <w:rPr>
          <w:rFonts w:hint="eastAsia" w:ascii="宋体" w:hAnsi="宋体" w:eastAsia="宋体" w:cs="宋体"/>
          <w:color w:val="auto"/>
          <w:highlight w:val="none"/>
        </w:rPr>
      </w:pPr>
    </w:p>
    <w:p w14:paraId="43A01A31">
      <w:pPr>
        <w:outlineLvl w:val="9"/>
        <w:rPr>
          <w:rFonts w:hint="eastAsia" w:ascii="宋体" w:hAnsi="宋体" w:eastAsia="宋体" w:cs="宋体"/>
          <w:color w:val="auto"/>
          <w:highlight w:val="none"/>
        </w:rPr>
      </w:pPr>
    </w:p>
    <w:p w14:paraId="4EE992E3">
      <w:pPr>
        <w:outlineLvl w:val="9"/>
        <w:rPr>
          <w:rFonts w:hint="eastAsia" w:ascii="宋体" w:hAnsi="宋体" w:eastAsia="宋体" w:cs="宋体"/>
          <w:color w:val="auto"/>
          <w:highlight w:val="none"/>
        </w:rPr>
      </w:pPr>
    </w:p>
    <w:p w14:paraId="69755FA4">
      <w:pPr>
        <w:outlineLvl w:val="9"/>
        <w:rPr>
          <w:rFonts w:hint="eastAsia" w:ascii="宋体" w:hAnsi="宋体" w:eastAsia="宋体" w:cs="宋体"/>
          <w:color w:val="auto"/>
          <w:highlight w:val="none"/>
        </w:rPr>
      </w:pPr>
    </w:p>
    <w:p w14:paraId="12A881B1">
      <w:pPr>
        <w:outlineLvl w:val="9"/>
        <w:rPr>
          <w:rFonts w:hint="eastAsia" w:ascii="宋体" w:hAnsi="宋体" w:eastAsia="宋体" w:cs="宋体"/>
          <w:color w:val="auto"/>
          <w:highlight w:val="none"/>
        </w:rPr>
      </w:pPr>
    </w:p>
    <w:p w14:paraId="46131DF0">
      <w:pPr>
        <w:outlineLvl w:val="9"/>
        <w:rPr>
          <w:rFonts w:hint="eastAsia" w:ascii="宋体" w:hAnsi="宋体" w:eastAsia="宋体" w:cs="宋体"/>
          <w:color w:val="auto"/>
          <w:highlight w:val="none"/>
        </w:rPr>
      </w:pPr>
    </w:p>
    <w:p w14:paraId="604DB1EE">
      <w:pPr>
        <w:outlineLvl w:val="9"/>
        <w:rPr>
          <w:rFonts w:hint="eastAsia" w:ascii="宋体" w:hAnsi="宋体" w:eastAsia="宋体" w:cs="宋体"/>
          <w:color w:val="auto"/>
          <w:highlight w:val="none"/>
        </w:rPr>
      </w:pPr>
    </w:p>
    <w:p w14:paraId="2CE66EBE">
      <w:pPr>
        <w:outlineLvl w:val="9"/>
        <w:rPr>
          <w:rFonts w:hint="eastAsia" w:ascii="宋体" w:hAnsi="宋体" w:eastAsia="宋体" w:cs="宋体"/>
          <w:color w:val="auto"/>
          <w:highlight w:val="none"/>
        </w:rPr>
      </w:pPr>
    </w:p>
    <w:p w14:paraId="7F3D9702">
      <w:pPr>
        <w:outlineLvl w:val="9"/>
        <w:rPr>
          <w:rFonts w:hint="eastAsia" w:ascii="宋体" w:hAnsi="宋体" w:eastAsia="宋体" w:cs="宋体"/>
          <w:color w:val="auto"/>
          <w:highlight w:val="none"/>
        </w:rPr>
      </w:pPr>
    </w:p>
    <w:p w14:paraId="59896609">
      <w:pPr>
        <w:rPr>
          <w:rFonts w:hint="eastAsia" w:ascii="宋体" w:hAnsi="宋体" w:eastAsia="宋体" w:cs="宋体"/>
          <w:b/>
          <w:color w:val="auto"/>
          <w:sz w:val="28"/>
          <w:highlight w:val="none"/>
        </w:rPr>
      </w:pPr>
      <w:bookmarkStart w:id="86" w:name="_Toc31526"/>
      <w:bookmarkStart w:id="87" w:name="_Toc28621"/>
      <w:r>
        <w:rPr>
          <w:rFonts w:hint="eastAsia" w:ascii="宋体" w:hAnsi="宋体" w:eastAsia="宋体" w:cs="宋体"/>
          <w:b/>
          <w:color w:val="auto"/>
          <w:sz w:val="28"/>
          <w:highlight w:val="none"/>
        </w:rPr>
        <w:br w:type="page"/>
      </w:r>
    </w:p>
    <w:p w14:paraId="3D0CD01B">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8" w:name="_Toc29406"/>
      <w:r>
        <w:rPr>
          <w:rFonts w:hint="eastAsia" w:ascii="宋体" w:hAnsi="宋体" w:eastAsia="宋体" w:cs="宋体"/>
          <w:color w:val="auto"/>
          <w:sz w:val="28"/>
          <w:szCs w:val="28"/>
          <w:highlight w:val="none"/>
          <w:lang w:val="en-US" w:eastAsia="zh-CN"/>
        </w:rPr>
        <w:t>附件7         法定代表人身份证明（格式）</w:t>
      </w:r>
      <w:bookmarkEnd w:id="86"/>
      <w:bookmarkEnd w:id="87"/>
      <w:bookmarkEnd w:id="88"/>
    </w:p>
    <w:p w14:paraId="3EE9110D">
      <w:pPr>
        <w:widowControl/>
        <w:wordWrap w:val="0"/>
        <w:spacing w:line="460" w:lineRule="exact"/>
        <w:jc w:val="left"/>
        <w:rPr>
          <w:rFonts w:hint="eastAsia" w:ascii="宋体" w:hAnsi="宋体" w:eastAsia="宋体" w:cs="宋体"/>
          <w:color w:val="auto"/>
          <w:kern w:val="0"/>
          <w:sz w:val="24"/>
          <w:highlight w:val="none"/>
        </w:rPr>
      </w:pPr>
    </w:p>
    <w:p w14:paraId="4F4A1121">
      <w:pPr>
        <w:widowControl/>
        <w:wordWrap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名称：</w:t>
      </w:r>
      <w:r>
        <w:rPr>
          <w:rFonts w:hint="eastAsia" w:ascii="宋体" w:hAnsi="宋体" w:eastAsia="宋体" w:cs="宋体"/>
          <w:color w:val="auto"/>
          <w:kern w:val="0"/>
          <w:szCs w:val="21"/>
          <w:highlight w:val="none"/>
          <w:u w:val="single"/>
          <w:lang w:val="en-US" w:eastAsia="zh-CN"/>
        </w:rPr>
        <w:t xml:space="preserve">                                </w:t>
      </w:r>
    </w:p>
    <w:p w14:paraId="655BFC6A">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地址：</w:t>
      </w:r>
      <w:r>
        <w:rPr>
          <w:rFonts w:hint="eastAsia" w:ascii="宋体" w:hAnsi="宋体" w:eastAsia="宋体" w:cs="宋体"/>
          <w:color w:val="auto"/>
          <w:kern w:val="0"/>
          <w:szCs w:val="21"/>
          <w:highlight w:val="none"/>
          <w:u w:val="single"/>
          <w:lang w:val="en-US" w:eastAsia="zh-CN"/>
        </w:rPr>
        <w:t xml:space="preserve">                                        </w:t>
      </w:r>
    </w:p>
    <w:p w14:paraId="5BB65FF2">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highlight w:val="none"/>
        </w:rPr>
        <w:t>成立时间：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年</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月</w:t>
      </w:r>
      <w:r>
        <w:rPr>
          <w:rFonts w:hint="eastAsia" w:ascii="宋体" w:hAnsi="宋体" w:eastAsia="宋体" w:cs="宋体"/>
          <w:color w:val="auto"/>
          <w:kern w:val="0"/>
          <w:sz w:val="24"/>
          <w:szCs w:val="20"/>
          <w:highlight w:val="none"/>
          <w:lang w:val="en-US" w:eastAsia="zh-CN"/>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日</w:t>
      </w:r>
    </w:p>
    <w:p w14:paraId="415C89EB">
      <w:pPr>
        <w:widowControl/>
        <w:wordWrap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szCs w:val="20"/>
          <w:highlight w:val="none"/>
        </w:rPr>
        <w:t>经营期限：</w:t>
      </w:r>
      <w:r>
        <w:rPr>
          <w:rFonts w:hint="eastAsia" w:ascii="宋体" w:hAnsi="宋体" w:eastAsia="宋体" w:cs="宋体"/>
          <w:color w:val="auto"/>
          <w:kern w:val="0"/>
          <w:szCs w:val="21"/>
          <w:highlight w:val="none"/>
          <w:u w:val="single"/>
          <w:lang w:val="en-US" w:eastAsia="zh-CN"/>
        </w:rPr>
        <w:t xml:space="preserve">                        </w:t>
      </w:r>
    </w:p>
    <w:p w14:paraId="7B5BE406">
      <w:pPr>
        <w:widowControl/>
        <w:wordWrap w:val="0"/>
        <w:spacing w:line="460" w:lineRule="exact"/>
        <w:ind w:firstLine="480" w:firstLineChars="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 w:val="24"/>
          <w:highlight w:val="none"/>
        </w:rPr>
        <w:t>姓名：</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lang w:val="en-US" w:eastAsia="zh-CN"/>
        </w:rPr>
        <w:t xml:space="preserve"> </w:t>
      </w:r>
      <w:r>
        <w:rPr>
          <w:rFonts w:hint="eastAsia" w:ascii="宋体" w:hAnsi="宋体" w:eastAsia="宋体" w:cs="宋体"/>
          <w:color w:val="auto"/>
          <w:kern w:val="0"/>
          <w:sz w:val="24"/>
          <w:szCs w:val="20"/>
          <w:highlight w:val="none"/>
        </w:rPr>
        <w:t>，性别：</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，年龄：</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，职务：</w:t>
      </w:r>
      <w:r>
        <w:rPr>
          <w:rFonts w:hint="eastAsia" w:ascii="宋体" w:hAnsi="宋体" w:eastAsia="宋体" w:cs="宋体"/>
          <w:color w:val="auto"/>
          <w:kern w:val="0"/>
          <w:szCs w:val="21"/>
          <w:highlight w:val="none"/>
          <w:u w:val="single"/>
          <w:lang w:val="en-US" w:eastAsia="zh-CN"/>
        </w:rPr>
        <w:t xml:space="preserve">        </w:t>
      </w:r>
    </w:p>
    <w:p w14:paraId="030C0D48">
      <w:pPr>
        <w:widowControl/>
        <w:wordWrap w:val="0"/>
        <w:spacing w:line="460" w:lineRule="exact"/>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szCs w:val="20"/>
          <w:highlight w:val="none"/>
        </w:rPr>
        <w:t>（</w:t>
      </w:r>
      <w:r>
        <w:rPr>
          <w:rFonts w:hint="eastAsia" w:ascii="宋体" w:hAnsi="宋体" w:eastAsia="宋体" w:cs="宋体"/>
          <w:color w:val="auto"/>
          <w:kern w:val="0"/>
          <w:sz w:val="24"/>
          <w:szCs w:val="20"/>
          <w:highlight w:val="none"/>
          <w:lang w:eastAsia="zh-CN"/>
        </w:rPr>
        <w:t>供应商</w:t>
      </w:r>
      <w:r>
        <w:rPr>
          <w:rFonts w:hint="eastAsia" w:ascii="宋体" w:hAnsi="宋体" w:eastAsia="宋体" w:cs="宋体"/>
          <w:color w:val="auto"/>
          <w:kern w:val="0"/>
          <w:sz w:val="24"/>
          <w:szCs w:val="20"/>
          <w:highlight w:val="none"/>
        </w:rPr>
        <w:t>名称）的法定代表人。</w:t>
      </w:r>
    </w:p>
    <w:p w14:paraId="47914F09">
      <w:pPr>
        <w:widowControl/>
        <w:wordWrap w:val="0"/>
        <w:spacing w:line="460" w:lineRule="exact"/>
        <w:jc w:val="left"/>
        <w:rPr>
          <w:rFonts w:hint="eastAsia" w:ascii="宋体" w:hAnsi="宋体" w:eastAsia="宋体" w:cs="宋体"/>
          <w:color w:val="auto"/>
          <w:kern w:val="0"/>
          <w:sz w:val="24"/>
          <w:szCs w:val="20"/>
          <w:highlight w:val="none"/>
        </w:rPr>
      </w:pPr>
    </w:p>
    <w:p w14:paraId="2FC7EEBC">
      <w:pPr>
        <w:widowControl/>
        <w:wordWrap w:val="0"/>
        <w:spacing w:line="460" w:lineRule="exact"/>
        <w:ind w:firstLine="480" w:firstLineChars="200"/>
        <w:jc w:val="left"/>
        <w:rPr>
          <w:rFonts w:hint="eastAsia" w:ascii="宋体" w:hAnsi="宋体" w:eastAsia="宋体" w:cs="宋体"/>
          <w:color w:val="auto"/>
          <w:kern w:val="0"/>
          <w:sz w:val="24"/>
          <w:szCs w:val="20"/>
          <w:highlight w:val="none"/>
        </w:rPr>
      </w:pPr>
      <w:r>
        <w:rPr>
          <w:rFonts w:hint="eastAsia" w:ascii="宋体" w:hAnsi="宋体" w:eastAsia="宋体" w:cs="宋体"/>
          <w:color w:val="auto"/>
          <w:kern w:val="0"/>
          <w:sz w:val="24"/>
          <w:szCs w:val="20"/>
          <w:highlight w:val="none"/>
        </w:rPr>
        <w:t>特此证明。</w:t>
      </w:r>
    </w:p>
    <w:p w14:paraId="2285A577">
      <w:pPr>
        <w:widowControl/>
        <w:wordWrap w:val="0"/>
        <w:spacing w:line="460" w:lineRule="exact"/>
        <w:jc w:val="left"/>
        <w:rPr>
          <w:rFonts w:hint="eastAsia" w:ascii="宋体" w:hAnsi="宋体" w:eastAsia="宋体" w:cs="宋体"/>
          <w:color w:val="auto"/>
          <w:kern w:val="0"/>
          <w:sz w:val="24"/>
          <w:szCs w:val="20"/>
          <w:highlight w:val="none"/>
        </w:rPr>
      </w:pPr>
    </w:p>
    <w:p w14:paraId="654CD7F7">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tbl>
      <w:tblPr>
        <w:tblStyle w:val="33"/>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0"/>
      </w:tblGrid>
      <w:tr w14:paraId="48DC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5" w:hRule="atLeast"/>
        </w:trPr>
        <w:tc>
          <w:tcPr>
            <w:tcW w:w="6860" w:type="dxa"/>
            <w:tcBorders>
              <w:top w:val="single" w:color="auto" w:sz="4" w:space="0"/>
              <w:left w:val="single" w:color="auto" w:sz="4" w:space="0"/>
              <w:bottom w:val="single" w:color="auto" w:sz="4" w:space="0"/>
              <w:right w:val="single" w:color="auto" w:sz="4" w:space="0"/>
            </w:tcBorders>
          </w:tcPr>
          <w:p w14:paraId="449F4E08">
            <w:pPr>
              <w:widowControl/>
              <w:spacing w:line="480" w:lineRule="exact"/>
              <w:jc w:val="left"/>
              <w:rPr>
                <w:rFonts w:hint="eastAsia" w:ascii="宋体" w:hAnsi="宋体" w:eastAsia="宋体" w:cs="宋体"/>
                <w:bCs/>
                <w:color w:val="auto"/>
                <w:kern w:val="0"/>
                <w:sz w:val="24"/>
                <w:highlight w:val="none"/>
              </w:rPr>
            </w:pPr>
            <w:r>
              <w:rPr>
                <w:rFonts w:hint="eastAsia" w:ascii="宋体" w:hAnsi="宋体" w:eastAsia="宋体" w:cs="宋体"/>
                <w:bCs/>
                <w:color w:val="auto"/>
                <w:kern w:val="0"/>
                <w:sz w:val="24"/>
                <w:highlight w:val="none"/>
              </w:rPr>
              <w:t>此处请粘贴法定代表人身份证复印件</w:t>
            </w:r>
          </w:p>
          <w:p w14:paraId="0676C937">
            <w:pPr>
              <w:widowControl/>
              <w:spacing w:line="480" w:lineRule="exact"/>
              <w:jc w:val="left"/>
              <w:rPr>
                <w:rFonts w:hint="eastAsia" w:ascii="宋体" w:hAnsi="宋体" w:eastAsia="宋体" w:cs="宋体"/>
                <w:color w:val="auto"/>
                <w:kern w:val="0"/>
                <w:sz w:val="24"/>
                <w:highlight w:val="none"/>
              </w:rPr>
            </w:pPr>
          </w:p>
          <w:p w14:paraId="1E49F2E9">
            <w:pPr>
              <w:widowControl/>
              <w:spacing w:line="480" w:lineRule="exact"/>
              <w:jc w:val="left"/>
              <w:rPr>
                <w:rFonts w:hint="eastAsia" w:ascii="宋体" w:hAnsi="宋体" w:eastAsia="宋体" w:cs="宋体"/>
                <w:color w:val="auto"/>
                <w:kern w:val="0"/>
                <w:sz w:val="24"/>
                <w:highlight w:val="none"/>
              </w:rPr>
            </w:pPr>
          </w:p>
        </w:tc>
      </w:tr>
    </w:tbl>
    <w:p w14:paraId="69D499CE">
      <w:pPr>
        <w:widowControl/>
        <w:wordWrap w:val="0"/>
        <w:spacing w:beforeLines="100" w:afterLines="100" w:line="480" w:lineRule="exact"/>
        <w:jc w:val="center"/>
        <w:rPr>
          <w:rFonts w:hint="eastAsia" w:ascii="宋体" w:hAnsi="宋体" w:eastAsia="宋体" w:cs="宋体"/>
          <w:b/>
          <w:color w:val="auto"/>
          <w:kern w:val="0"/>
          <w:sz w:val="24"/>
          <w:highlight w:val="none"/>
        </w:rPr>
      </w:pPr>
    </w:p>
    <w:p w14:paraId="4016A50D">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58A7AF22">
      <w:pPr>
        <w:widowControl/>
        <w:wordWrap w:val="0"/>
        <w:spacing w:beforeLines="100" w:afterLines="100" w:line="480" w:lineRule="exact"/>
        <w:jc w:val="center"/>
        <w:rPr>
          <w:rFonts w:hint="eastAsia" w:ascii="宋体" w:hAnsi="宋体" w:eastAsia="宋体" w:cs="宋体"/>
          <w:b/>
          <w:color w:val="auto"/>
          <w:kern w:val="0"/>
          <w:sz w:val="36"/>
          <w:szCs w:val="36"/>
          <w:highlight w:val="none"/>
        </w:rPr>
      </w:pPr>
    </w:p>
    <w:p w14:paraId="205BECE6">
      <w:pPr>
        <w:widowControl/>
        <w:wordWrap w:val="0"/>
        <w:spacing w:line="480" w:lineRule="exact"/>
        <w:jc w:val="right"/>
        <w:rPr>
          <w:rFonts w:hint="eastAsia" w:ascii="宋体" w:hAnsi="宋体" w:eastAsia="宋体" w:cs="宋体"/>
          <w:color w:val="auto"/>
          <w:kern w:val="0"/>
          <w:sz w:val="24"/>
          <w:highlight w:val="none"/>
        </w:rPr>
      </w:pPr>
    </w:p>
    <w:p w14:paraId="78821DFD">
      <w:pPr>
        <w:widowControl/>
        <w:wordWrap w:val="0"/>
        <w:spacing w:line="480" w:lineRule="exact"/>
        <w:jc w:val="right"/>
        <w:rPr>
          <w:rFonts w:hint="eastAsia" w:ascii="宋体" w:hAnsi="宋体" w:eastAsia="宋体" w:cs="宋体"/>
          <w:color w:val="auto"/>
          <w:kern w:val="0"/>
          <w:sz w:val="24"/>
          <w:highlight w:val="none"/>
        </w:rPr>
      </w:pPr>
    </w:p>
    <w:p w14:paraId="14335AF4">
      <w:pPr>
        <w:widowControl/>
        <w:wordWrap w:val="0"/>
        <w:snapToGrid w:val="0"/>
        <w:spacing w:line="460" w:lineRule="exact"/>
        <w:ind w:firstLine="2760" w:firstLineChars="115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14319B8E">
      <w:pPr>
        <w:widowControl/>
        <w:wordWrap w:val="0"/>
        <w:spacing w:line="460" w:lineRule="exact"/>
        <w:ind w:left="3780" w:leftChars="1800"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年    月    日</w:t>
      </w:r>
    </w:p>
    <w:p w14:paraId="44F6F430">
      <w:pPr>
        <w:rPr>
          <w:rFonts w:hint="eastAsia" w:ascii="宋体" w:hAnsi="宋体" w:eastAsia="宋体" w:cs="宋体"/>
          <w:color w:val="auto"/>
          <w:highlight w:val="none"/>
        </w:rPr>
      </w:pPr>
    </w:p>
    <w:p w14:paraId="08254C5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748A9816">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89" w:name="_Toc13976"/>
      <w:bookmarkStart w:id="90" w:name="_Toc30519"/>
      <w:bookmarkStart w:id="91" w:name="_Toc12939"/>
      <w:r>
        <w:rPr>
          <w:rFonts w:hint="eastAsia" w:ascii="宋体" w:hAnsi="宋体" w:eastAsia="宋体" w:cs="宋体"/>
          <w:color w:val="auto"/>
          <w:sz w:val="28"/>
          <w:szCs w:val="28"/>
          <w:highlight w:val="none"/>
          <w:lang w:val="en-US" w:eastAsia="zh-CN"/>
        </w:rPr>
        <w:t>附件8         法定代表人授权书（格式）</w:t>
      </w:r>
      <w:bookmarkEnd w:id="89"/>
      <w:bookmarkEnd w:id="90"/>
      <w:bookmarkEnd w:id="91"/>
    </w:p>
    <w:p w14:paraId="0E72180D">
      <w:pPr>
        <w:widowControl/>
        <w:tabs>
          <w:tab w:val="left" w:pos="420"/>
          <w:tab w:val="left" w:pos="2160"/>
        </w:tabs>
        <w:wordWrap w:val="0"/>
        <w:spacing w:line="460" w:lineRule="exact"/>
        <w:ind w:firstLine="480" w:firstLineChars="200"/>
        <w:jc w:val="left"/>
        <w:rPr>
          <w:rFonts w:hint="eastAsia" w:ascii="宋体" w:hAnsi="宋体" w:eastAsia="宋体" w:cs="宋体"/>
          <w:color w:val="auto"/>
          <w:kern w:val="0"/>
          <w:sz w:val="24"/>
          <w:highlight w:val="none"/>
        </w:rPr>
      </w:pPr>
    </w:p>
    <w:p w14:paraId="5373B48D">
      <w:pPr>
        <w:widowControl/>
        <w:wordWrap w:val="0"/>
        <w:snapToGrid w:val="0"/>
        <w:spacing w:line="460" w:lineRule="exact"/>
        <w:jc w:val="left"/>
        <w:rPr>
          <w:rFonts w:hint="eastAsia" w:ascii="宋体" w:hAnsi="宋体" w:eastAsia="宋体" w:cs="宋体"/>
          <w:b/>
          <w:bCs/>
          <w:color w:val="auto"/>
          <w:kern w:val="0"/>
          <w:sz w:val="24"/>
          <w:highlight w:val="none"/>
        </w:rPr>
      </w:pPr>
      <w:r>
        <w:rPr>
          <w:rFonts w:hint="eastAsia" w:ascii="宋体" w:hAnsi="宋体" w:eastAsia="宋体" w:cs="宋体"/>
          <w:bCs/>
          <w:color w:val="auto"/>
          <w:kern w:val="0"/>
          <w:sz w:val="24"/>
          <w:highlight w:val="none"/>
        </w:rPr>
        <w:t>致：</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采购人</w:t>
      </w:r>
      <w:r>
        <w:rPr>
          <w:rFonts w:hint="eastAsia" w:ascii="宋体" w:hAnsi="宋体" w:eastAsia="宋体" w:cs="宋体"/>
          <w:color w:val="auto"/>
          <w:kern w:val="0"/>
          <w:sz w:val="24"/>
          <w:highlight w:val="none"/>
        </w:rPr>
        <w:t>名称）：</w:t>
      </w:r>
    </w:p>
    <w:p w14:paraId="18B10023">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（姓名）系</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 xml:space="preserve">名称）的法定代表人，现委托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（姓名）为我方代理人。代理人根据本授权，以我方的名义参加</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项目的投标活动，并代表我方全权办理针对上述项目的</w:t>
      </w:r>
      <w:r>
        <w:rPr>
          <w:rFonts w:hint="eastAsia" w:ascii="宋体" w:hAnsi="宋体" w:eastAsia="宋体" w:cs="宋体"/>
          <w:color w:val="auto"/>
          <w:kern w:val="0"/>
          <w:sz w:val="24"/>
          <w:highlight w:val="none"/>
          <w:lang w:val="en-US" w:eastAsia="zh-CN"/>
        </w:rPr>
        <w:t>磋商</w:t>
      </w:r>
      <w:r>
        <w:rPr>
          <w:rFonts w:hint="eastAsia" w:ascii="宋体" w:hAnsi="宋体" w:eastAsia="宋体" w:cs="宋体"/>
          <w:color w:val="auto"/>
          <w:kern w:val="0"/>
          <w:sz w:val="24"/>
          <w:highlight w:val="none"/>
        </w:rPr>
        <w:t>、开标、评</w:t>
      </w:r>
      <w:r>
        <w:rPr>
          <w:rFonts w:hint="eastAsia" w:ascii="宋体" w:hAnsi="宋体" w:eastAsia="宋体" w:cs="宋体"/>
          <w:color w:val="auto"/>
          <w:kern w:val="0"/>
          <w:sz w:val="24"/>
          <w:highlight w:val="none"/>
          <w:lang w:val="en-US" w:eastAsia="zh-CN"/>
        </w:rPr>
        <w:t>审</w:t>
      </w:r>
      <w:r>
        <w:rPr>
          <w:rFonts w:hint="eastAsia" w:ascii="宋体" w:hAnsi="宋体" w:eastAsia="宋体" w:cs="宋体"/>
          <w:color w:val="auto"/>
          <w:kern w:val="0"/>
          <w:sz w:val="24"/>
          <w:highlight w:val="none"/>
        </w:rPr>
        <w:t>、签约等具体事务和签署相关文件。</w:t>
      </w:r>
    </w:p>
    <w:p w14:paraId="0670ABD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14:paraId="3D1612F8">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如果本次采购活动现场变更采购方式，本授权书有效。</w:t>
      </w:r>
    </w:p>
    <w:p w14:paraId="602BDB7F">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代理人无转委托权。</w:t>
      </w:r>
    </w:p>
    <w:p w14:paraId="75E4F069">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委托期限：</w:t>
      </w:r>
    </w:p>
    <w:p w14:paraId="3A83DE46">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p>
    <w:p w14:paraId="12D5EF8C">
      <w:pPr>
        <w:widowControl/>
        <w:wordWrap w:val="0"/>
        <w:snapToGrid w:val="0"/>
        <w:spacing w:line="460" w:lineRule="exact"/>
        <w:ind w:firstLine="480" w:firstLineChars="200"/>
        <w:jc w:val="left"/>
        <w:rPr>
          <w:rFonts w:hint="eastAsia" w:ascii="宋体" w:hAnsi="宋体" w:eastAsia="宋体" w:cs="宋体"/>
          <w:color w:val="auto"/>
          <w:kern w:val="0"/>
          <w:sz w:val="24"/>
          <w:highlight w:val="none"/>
          <w:u w:val="single"/>
        </w:rPr>
      </w:pPr>
      <w:r>
        <w:rPr>
          <w:rFonts w:hint="eastAsia" w:ascii="宋体" w:hAnsi="宋体" w:eastAsia="宋体" w:cs="宋体"/>
          <w:color w:val="auto"/>
          <w:kern w:val="0"/>
          <w:sz w:val="24"/>
          <w:highlight w:val="none"/>
        </w:rPr>
        <w:t>委托代理人签名：             法定代表人签名</w:t>
      </w:r>
      <w:r>
        <w:rPr>
          <w:rFonts w:hint="eastAsia" w:ascii="宋体" w:hAnsi="宋体" w:eastAsia="宋体" w:cs="宋体"/>
          <w:color w:val="auto"/>
          <w:kern w:val="0"/>
          <w:sz w:val="24"/>
          <w:highlight w:val="none"/>
          <w:lang w:val="en-US" w:eastAsia="zh-CN"/>
        </w:rPr>
        <w:t>或盖章</w:t>
      </w:r>
      <w:r>
        <w:rPr>
          <w:rFonts w:hint="eastAsia" w:ascii="宋体" w:hAnsi="宋体" w:eastAsia="宋体" w:cs="宋体"/>
          <w:color w:val="auto"/>
          <w:kern w:val="0"/>
          <w:sz w:val="24"/>
          <w:highlight w:val="none"/>
        </w:rPr>
        <w:t>：</w:t>
      </w:r>
    </w:p>
    <w:p w14:paraId="59ED8E5D">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职务：                      职务：</w:t>
      </w:r>
    </w:p>
    <w:tbl>
      <w:tblPr>
        <w:tblStyle w:val="33"/>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80"/>
      </w:tblGrid>
      <w:tr w14:paraId="42541A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2" w:hRule="atLeast"/>
        </w:trPr>
        <w:tc>
          <w:tcPr>
            <w:tcW w:w="6780" w:type="dxa"/>
            <w:tcBorders>
              <w:top w:val="single" w:color="auto" w:sz="4" w:space="0"/>
              <w:left w:val="single" w:color="auto" w:sz="4" w:space="0"/>
              <w:bottom w:val="single" w:color="auto" w:sz="4" w:space="0"/>
              <w:right w:val="single" w:color="auto" w:sz="4" w:space="0"/>
            </w:tcBorders>
          </w:tcPr>
          <w:p w14:paraId="79B23D2C">
            <w:pPr>
              <w:widowControl/>
              <w:spacing w:line="480" w:lineRule="exact"/>
              <w:jc w:val="left"/>
              <w:rPr>
                <w:rFonts w:hint="eastAsia" w:ascii="宋体" w:hAnsi="宋体" w:eastAsia="宋体" w:cs="宋体"/>
                <w:color w:val="auto"/>
                <w:kern w:val="0"/>
                <w:sz w:val="24"/>
                <w:highlight w:val="none"/>
              </w:rPr>
            </w:pPr>
            <w:r>
              <w:rPr>
                <w:rFonts w:hint="eastAsia" w:ascii="宋体" w:hAnsi="宋体" w:eastAsia="宋体" w:cs="宋体"/>
                <w:bCs/>
                <w:color w:val="auto"/>
                <w:kern w:val="0"/>
                <w:sz w:val="24"/>
                <w:highlight w:val="none"/>
              </w:rPr>
              <w:t>此处请粘贴</w:t>
            </w:r>
            <w:r>
              <w:rPr>
                <w:rFonts w:hint="eastAsia" w:ascii="宋体" w:hAnsi="宋体" w:eastAsia="宋体" w:cs="宋体"/>
                <w:color w:val="auto"/>
                <w:kern w:val="0"/>
                <w:sz w:val="24"/>
                <w:highlight w:val="none"/>
              </w:rPr>
              <w:t>委托代理人</w:t>
            </w:r>
            <w:r>
              <w:rPr>
                <w:rFonts w:hint="eastAsia" w:ascii="宋体" w:hAnsi="宋体" w:eastAsia="宋体" w:cs="宋体"/>
                <w:bCs/>
                <w:color w:val="auto"/>
                <w:kern w:val="0"/>
                <w:sz w:val="24"/>
                <w:highlight w:val="none"/>
              </w:rPr>
              <w:t>身份证复印件</w:t>
            </w:r>
          </w:p>
        </w:tc>
      </w:tr>
    </w:tbl>
    <w:p w14:paraId="0744885A">
      <w:pPr>
        <w:widowControl/>
        <w:wordWrap w:val="0"/>
        <w:snapToGrid w:val="0"/>
        <w:spacing w:line="460" w:lineRule="exact"/>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委托代理人身份证号码：</w:t>
      </w:r>
    </w:p>
    <w:p w14:paraId="4B17E144">
      <w:pPr>
        <w:widowControl/>
        <w:wordWrap w:val="0"/>
        <w:spacing w:line="460" w:lineRule="exact"/>
        <w:ind w:firstLine="4800" w:firstLineChars="2000"/>
        <w:jc w:val="left"/>
        <w:rPr>
          <w:rFonts w:hint="eastAsia" w:ascii="宋体" w:hAnsi="宋体" w:eastAsia="宋体" w:cs="宋体"/>
          <w:color w:val="auto"/>
          <w:kern w:val="0"/>
          <w:sz w:val="24"/>
          <w:highlight w:val="none"/>
        </w:rPr>
      </w:pPr>
    </w:p>
    <w:p w14:paraId="5BEB5C6D">
      <w:pPr>
        <w:widowControl/>
        <w:wordWrap w:val="0"/>
        <w:spacing w:line="360" w:lineRule="auto"/>
        <w:jc w:val="center"/>
        <w:rPr>
          <w:rFonts w:hint="eastAsia" w:ascii="宋体" w:hAnsi="宋体" w:eastAsia="宋体" w:cs="宋体"/>
          <w:color w:val="auto"/>
          <w:kern w:val="0"/>
          <w:sz w:val="24"/>
          <w:highlight w:val="none"/>
        </w:rPr>
      </w:pPr>
    </w:p>
    <w:p w14:paraId="530F44DD">
      <w:pPr>
        <w:widowControl/>
        <w:wordWrap w:val="0"/>
        <w:spacing w:line="360" w:lineRule="auto"/>
        <w:jc w:val="right"/>
        <w:rPr>
          <w:rFonts w:hint="eastAsia" w:ascii="宋体" w:hAnsi="宋体" w:eastAsia="宋体" w:cs="宋体"/>
          <w:color w:val="auto"/>
          <w:kern w:val="0"/>
          <w:sz w:val="24"/>
          <w:highlight w:val="none"/>
        </w:rPr>
      </w:pPr>
    </w:p>
    <w:p w14:paraId="6E42DEC4">
      <w:pPr>
        <w:widowControl/>
        <w:wordWrap w:val="0"/>
        <w:spacing w:line="360" w:lineRule="auto"/>
        <w:jc w:val="right"/>
        <w:rPr>
          <w:rFonts w:hint="eastAsia" w:ascii="宋体" w:hAnsi="宋体" w:eastAsia="宋体" w:cs="宋体"/>
          <w:color w:val="auto"/>
          <w:kern w:val="0"/>
          <w:sz w:val="24"/>
          <w:highlight w:val="none"/>
        </w:rPr>
      </w:pPr>
    </w:p>
    <w:p w14:paraId="432B9C54">
      <w:pPr>
        <w:widowControl/>
        <w:wordWrap w:val="0"/>
        <w:spacing w:line="360" w:lineRule="auto"/>
        <w:jc w:val="right"/>
        <w:rPr>
          <w:rFonts w:hint="eastAsia" w:ascii="宋体" w:hAnsi="宋体" w:eastAsia="宋体" w:cs="宋体"/>
          <w:color w:val="auto"/>
          <w:kern w:val="0"/>
          <w:sz w:val="24"/>
          <w:highlight w:val="none"/>
        </w:rPr>
      </w:pPr>
    </w:p>
    <w:p w14:paraId="2331949C">
      <w:pPr>
        <w:widowControl/>
        <w:wordWrap w:val="0"/>
        <w:spacing w:line="360" w:lineRule="auto"/>
        <w:jc w:val="right"/>
        <w:rPr>
          <w:rFonts w:hint="eastAsia" w:ascii="宋体" w:hAnsi="宋体" w:eastAsia="宋体" w:cs="宋体"/>
          <w:color w:val="auto"/>
          <w:kern w:val="0"/>
          <w:sz w:val="24"/>
          <w:highlight w:val="none"/>
        </w:rPr>
      </w:pPr>
    </w:p>
    <w:p w14:paraId="0A1BF754">
      <w:pPr>
        <w:widowControl/>
        <w:wordWrap w:val="0"/>
        <w:spacing w:line="360" w:lineRule="auto"/>
        <w:jc w:val="right"/>
        <w:rPr>
          <w:rFonts w:hint="eastAsia" w:ascii="宋体" w:hAnsi="宋体" w:eastAsia="宋体" w:cs="宋体"/>
          <w:color w:val="auto"/>
          <w:kern w:val="0"/>
          <w:sz w:val="24"/>
          <w:highlight w:val="none"/>
        </w:rPr>
      </w:pPr>
    </w:p>
    <w:p w14:paraId="246CCDB8">
      <w:pPr>
        <w:widowControl/>
        <w:wordWrap/>
        <w:spacing w:line="360" w:lineRule="auto"/>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供应商</w:t>
      </w:r>
      <w:r>
        <w:rPr>
          <w:rFonts w:hint="eastAsia" w:ascii="宋体" w:hAnsi="宋体" w:eastAsia="宋体" w:cs="宋体"/>
          <w:color w:val="auto"/>
          <w:kern w:val="0"/>
          <w:sz w:val="24"/>
          <w:highlight w:val="none"/>
        </w:rPr>
        <w:t>：</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 w:val="24"/>
          <w:highlight w:val="none"/>
        </w:rPr>
        <w:t>（全称并加盖公章）</w:t>
      </w:r>
    </w:p>
    <w:p w14:paraId="6F0E975B">
      <w:pPr>
        <w:widowControl/>
        <w:wordWrap w:val="0"/>
        <w:spacing w:line="460" w:lineRule="exact"/>
        <w:ind w:firstLine="3840" w:firstLineChars="1600"/>
        <w:jc w:val="left"/>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t>年    月    日</w:t>
      </w:r>
    </w:p>
    <w:p w14:paraId="3A5035BD">
      <w:pPr>
        <w:widowControl/>
        <w:spacing w:line="360" w:lineRule="auto"/>
        <w:ind w:firstLine="7228" w:firstLineChars="2250"/>
        <w:jc w:val="left"/>
        <w:rPr>
          <w:rFonts w:hint="eastAsia" w:ascii="宋体" w:hAnsi="宋体" w:eastAsia="宋体" w:cs="宋体"/>
          <w:b/>
          <w:color w:val="auto"/>
          <w:kern w:val="0"/>
          <w:sz w:val="32"/>
          <w:szCs w:val="32"/>
          <w:highlight w:val="none"/>
        </w:rPr>
      </w:pPr>
    </w:p>
    <w:p w14:paraId="724B4349">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68CD8A3C">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bookmarkStart w:id="92" w:name="_Toc24693"/>
      <w:bookmarkStart w:id="93" w:name="_Toc18105"/>
      <w:bookmarkStart w:id="94" w:name="_Toc3342"/>
      <w:r>
        <w:rPr>
          <w:rFonts w:hint="eastAsia" w:ascii="宋体" w:hAnsi="宋体" w:eastAsia="宋体" w:cs="宋体"/>
          <w:color w:val="auto"/>
          <w:sz w:val="28"/>
          <w:szCs w:val="28"/>
          <w:highlight w:val="none"/>
          <w:lang w:val="en-US" w:eastAsia="zh-CN"/>
        </w:rPr>
        <w:t>附件9          证明文件</w:t>
      </w:r>
      <w:bookmarkEnd w:id="92"/>
      <w:bookmarkEnd w:id="93"/>
      <w:bookmarkEnd w:id="94"/>
    </w:p>
    <w:p w14:paraId="66DA8649">
      <w:pPr>
        <w:pStyle w:val="2"/>
        <w:spacing w:beforeAutospacing="0" w:afterAutospacing="0" w:line="480" w:lineRule="auto"/>
        <w:ind w:firstLine="470" w:firstLineChars="224"/>
        <w:jc w:val="both"/>
        <w:rPr>
          <w:rFonts w:hint="eastAsia" w:cs="宋体"/>
          <w:bCs/>
          <w:color w:val="auto"/>
          <w:sz w:val="21"/>
          <w:szCs w:val="21"/>
          <w:highlight w:val="none"/>
          <w:lang w:val="en-US" w:eastAsia="zh-CN"/>
        </w:rPr>
      </w:pPr>
    </w:p>
    <w:p w14:paraId="61D1F556">
      <w:pPr>
        <w:pStyle w:val="2"/>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.1</w:t>
      </w:r>
      <w:r>
        <w:rPr>
          <w:rFonts w:hint="eastAsia" w:ascii="宋体" w:hAnsi="宋体" w:eastAsia="宋体" w:cs="宋体"/>
          <w:b/>
          <w:bCs w:val="0"/>
          <w:color w:val="auto"/>
          <w:sz w:val="21"/>
          <w:szCs w:val="21"/>
          <w:highlight w:val="none"/>
          <w:lang w:val="en-US" w:eastAsia="zh-CN"/>
        </w:rPr>
        <w:t xml:space="preserve"> </w:t>
      </w:r>
      <w:r>
        <w:rPr>
          <w:rFonts w:hint="eastAsia" w:ascii="宋体" w:hAnsi="宋体" w:eastAsia="宋体" w:cs="宋体"/>
          <w:b/>
          <w:bCs w:val="0"/>
          <w:color w:val="auto"/>
          <w:sz w:val="21"/>
          <w:szCs w:val="21"/>
          <w:highlight w:val="none"/>
        </w:rPr>
        <w:t>资格审查资料</w:t>
      </w:r>
    </w:p>
    <w:p w14:paraId="64FDCB1F">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215482E3">
      <w:pPr>
        <w:pStyle w:val="2"/>
        <w:spacing w:beforeAutospacing="0" w:afterAutospacing="0" w:line="480" w:lineRule="auto"/>
        <w:ind w:firstLine="470" w:firstLineChars="224"/>
        <w:jc w:val="both"/>
        <w:rPr>
          <w:rFonts w:hint="eastAsia" w:ascii="宋体" w:hAnsi="宋体" w:eastAsia="宋体" w:cs="宋体"/>
          <w:bCs/>
          <w:color w:val="auto"/>
          <w:sz w:val="21"/>
          <w:szCs w:val="21"/>
          <w:highlight w:val="none"/>
        </w:rPr>
      </w:pPr>
    </w:p>
    <w:p w14:paraId="49C73E8D">
      <w:pPr>
        <w:pStyle w:val="2"/>
        <w:spacing w:beforeAutospacing="0" w:afterAutospacing="0" w:line="480" w:lineRule="auto"/>
        <w:ind w:firstLine="472" w:firstLineChars="224"/>
        <w:jc w:val="both"/>
        <w:rPr>
          <w:rFonts w:hint="eastAsia" w:cs="宋体"/>
          <w:b/>
          <w:bCs w:val="0"/>
          <w:color w:val="auto"/>
          <w:sz w:val="21"/>
          <w:szCs w:val="21"/>
          <w:highlight w:val="none"/>
          <w:lang w:val="en-US" w:eastAsia="zh-CN"/>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lang w:val="en-US" w:eastAsia="zh-CN"/>
        </w:rPr>
        <w:t>.2</w:t>
      </w:r>
      <w:bookmarkStart w:id="95" w:name="_Toc17966"/>
      <w:r>
        <w:rPr>
          <w:rFonts w:hint="eastAsia" w:ascii="宋体" w:hAnsi="宋体" w:eastAsia="宋体" w:cs="宋体"/>
          <w:b/>
          <w:bCs w:val="0"/>
          <w:color w:val="auto"/>
          <w:sz w:val="21"/>
          <w:szCs w:val="21"/>
          <w:highlight w:val="none"/>
          <w:lang w:val="en-US" w:eastAsia="zh-CN"/>
        </w:rPr>
        <w:t>评分标准中需提供的</w:t>
      </w:r>
      <w:r>
        <w:rPr>
          <w:rFonts w:hint="eastAsia" w:cs="宋体"/>
          <w:b/>
          <w:bCs w:val="0"/>
          <w:color w:val="auto"/>
          <w:sz w:val="21"/>
          <w:szCs w:val="21"/>
          <w:highlight w:val="none"/>
          <w:lang w:val="en-US" w:eastAsia="zh-CN"/>
        </w:rPr>
        <w:t>相关</w:t>
      </w:r>
      <w:r>
        <w:rPr>
          <w:rFonts w:hint="eastAsia" w:ascii="宋体" w:hAnsi="宋体" w:eastAsia="宋体" w:cs="宋体"/>
          <w:b/>
          <w:bCs w:val="0"/>
          <w:color w:val="auto"/>
          <w:sz w:val="21"/>
          <w:szCs w:val="21"/>
          <w:highlight w:val="none"/>
          <w:lang w:val="en-US" w:eastAsia="zh-CN"/>
        </w:rPr>
        <w:t>材料</w:t>
      </w:r>
      <w:r>
        <w:rPr>
          <w:rFonts w:hint="eastAsia" w:cs="宋体"/>
          <w:b/>
          <w:bCs w:val="0"/>
          <w:color w:val="auto"/>
          <w:sz w:val="21"/>
          <w:szCs w:val="21"/>
          <w:highlight w:val="none"/>
          <w:lang w:val="en-US" w:eastAsia="zh-CN"/>
        </w:rPr>
        <w:t>、业绩等（除技术要求证明材料外）</w:t>
      </w:r>
    </w:p>
    <w:p w14:paraId="4713F024">
      <w:pPr>
        <w:pStyle w:val="2"/>
        <w:spacing w:beforeAutospacing="0" w:afterAutospacing="0" w:line="480" w:lineRule="auto"/>
        <w:ind w:firstLine="470" w:firstLineChars="224"/>
        <w:jc w:val="both"/>
        <w:rPr>
          <w:rFonts w:hint="eastAsia" w:cs="宋体"/>
          <w:bCs/>
          <w:color w:val="auto"/>
          <w:sz w:val="21"/>
          <w:szCs w:val="21"/>
          <w:highlight w:val="none"/>
          <w:lang w:val="en-US" w:eastAsia="zh-CN"/>
        </w:rPr>
      </w:pPr>
    </w:p>
    <w:p w14:paraId="742EEA34">
      <w:pPr>
        <w:pStyle w:val="2"/>
        <w:spacing w:beforeAutospacing="0" w:afterAutospacing="0" w:line="480" w:lineRule="auto"/>
        <w:ind w:firstLine="470" w:firstLineChars="224"/>
        <w:jc w:val="both"/>
        <w:rPr>
          <w:rFonts w:hint="eastAsia" w:cs="宋体"/>
          <w:bCs/>
          <w:color w:val="auto"/>
          <w:sz w:val="21"/>
          <w:szCs w:val="21"/>
          <w:highlight w:val="none"/>
          <w:lang w:val="en-US" w:eastAsia="zh-CN"/>
        </w:rPr>
      </w:pPr>
    </w:p>
    <w:p w14:paraId="7FD798DA">
      <w:pPr>
        <w:pStyle w:val="2"/>
        <w:spacing w:beforeAutospacing="0" w:afterAutospacing="0" w:line="480" w:lineRule="auto"/>
        <w:ind w:firstLine="472" w:firstLineChars="224"/>
        <w:jc w:val="both"/>
        <w:rPr>
          <w:rFonts w:hint="eastAsia" w:ascii="宋体" w:hAnsi="宋体" w:eastAsia="宋体" w:cs="宋体"/>
          <w:b/>
          <w:bCs w:val="0"/>
          <w:color w:val="auto"/>
          <w:sz w:val="21"/>
          <w:szCs w:val="21"/>
          <w:highlight w:val="none"/>
        </w:rPr>
      </w:pPr>
      <w:r>
        <w:rPr>
          <w:rFonts w:hint="eastAsia" w:cs="宋体"/>
          <w:b/>
          <w:bCs w:val="0"/>
          <w:color w:val="auto"/>
          <w:sz w:val="21"/>
          <w:szCs w:val="21"/>
          <w:highlight w:val="none"/>
          <w:lang w:val="en-US" w:eastAsia="zh-CN"/>
        </w:rPr>
        <w:t>9</w:t>
      </w:r>
      <w:r>
        <w:rPr>
          <w:rFonts w:hint="eastAsia" w:ascii="宋体" w:hAnsi="宋体" w:eastAsia="宋体" w:cs="宋体"/>
          <w:b/>
          <w:bCs w:val="0"/>
          <w:color w:val="auto"/>
          <w:sz w:val="21"/>
          <w:szCs w:val="21"/>
          <w:highlight w:val="none"/>
        </w:rPr>
        <w:t>.</w:t>
      </w:r>
      <w:r>
        <w:rPr>
          <w:rFonts w:hint="eastAsia" w:cs="宋体"/>
          <w:b/>
          <w:bCs w:val="0"/>
          <w:color w:val="auto"/>
          <w:sz w:val="21"/>
          <w:szCs w:val="21"/>
          <w:highlight w:val="none"/>
          <w:lang w:val="en-US" w:eastAsia="zh-CN"/>
        </w:rPr>
        <w:t>3</w:t>
      </w:r>
      <w:r>
        <w:rPr>
          <w:rFonts w:hint="eastAsia" w:ascii="宋体" w:hAnsi="宋体" w:eastAsia="宋体" w:cs="宋体"/>
          <w:b/>
          <w:bCs w:val="0"/>
          <w:color w:val="auto"/>
          <w:sz w:val="21"/>
          <w:szCs w:val="21"/>
          <w:highlight w:val="none"/>
          <w:lang w:val="en-US" w:eastAsia="zh-CN"/>
        </w:rPr>
        <w:t>供应商认为其他需要提供的证明材料</w:t>
      </w:r>
      <w:r>
        <w:rPr>
          <w:rFonts w:hint="eastAsia" w:ascii="宋体" w:hAnsi="宋体" w:eastAsia="宋体" w:cs="宋体"/>
          <w:b/>
          <w:bCs w:val="0"/>
          <w:color w:val="auto"/>
          <w:sz w:val="21"/>
          <w:szCs w:val="21"/>
          <w:highlight w:val="none"/>
        </w:rPr>
        <w:t>。</w:t>
      </w:r>
    </w:p>
    <w:p w14:paraId="30F176F5">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1AA5EFD5">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58420C03">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5D144AC4">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761C0846">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10778635">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13BF0C00">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737F4F0E">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35C8DBD">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54BC94E4">
      <w:pPr>
        <w:pStyle w:val="2"/>
        <w:spacing w:beforeAutospacing="0" w:afterAutospacing="0" w:line="480" w:lineRule="auto"/>
        <w:ind w:firstLine="540" w:firstLineChars="224"/>
        <w:jc w:val="both"/>
        <w:rPr>
          <w:rFonts w:hint="eastAsia" w:ascii="宋体" w:hAnsi="宋体" w:eastAsia="宋体" w:cs="宋体"/>
          <w:b/>
          <w:bCs/>
          <w:color w:val="auto"/>
          <w:highlight w:val="none"/>
        </w:rPr>
      </w:pPr>
    </w:p>
    <w:p w14:paraId="49E58A7C">
      <w:pPr>
        <w:rPr>
          <w:rFonts w:hint="eastAsia" w:ascii="宋体" w:hAnsi="宋体" w:eastAsia="宋体" w:cs="宋体"/>
          <w:color w:val="auto"/>
          <w:sz w:val="28"/>
          <w:szCs w:val="28"/>
          <w:highlight w:val="none"/>
          <w:lang w:val="en-US" w:eastAsia="zh-CN"/>
        </w:rPr>
      </w:pPr>
      <w:bookmarkStart w:id="96" w:name="_Toc16083"/>
      <w:bookmarkStart w:id="97" w:name="_Toc12888"/>
      <w:bookmarkStart w:id="98" w:name="_Toc13726"/>
      <w:r>
        <w:rPr>
          <w:rFonts w:hint="eastAsia" w:ascii="宋体" w:hAnsi="宋体" w:eastAsia="宋体" w:cs="宋体"/>
          <w:color w:val="auto"/>
          <w:sz w:val="28"/>
          <w:szCs w:val="28"/>
          <w:highlight w:val="none"/>
          <w:lang w:val="en-US" w:eastAsia="zh-CN"/>
        </w:rPr>
        <w:br w:type="page"/>
      </w:r>
    </w:p>
    <w:p w14:paraId="6DBFD9B8">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 xml:space="preserve">附件10      </w:t>
      </w:r>
      <w:bookmarkEnd w:id="95"/>
      <w:r>
        <w:rPr>
          <w:rFonts w:hint="eastAsia" w:ascii="宋体" w:hAnsi="宋体" w:eastAsia="宋体" w:cs="宋体"/>
          <w:color w:val="auto"/>
          <w:sz w:val="28"/>
          <w:szCs w:val="28"/>
          <w:highlight w:val="none"/>
          <w:lang w:val="en-US" w:eastAsia="zh-CN"/>
        </w:rPr>
        <w:t>供 应 商 承 诺 书 （格式）</w:t>
      </w:r>
      <w:bookmarkEnd w:id="96"/>
      <w:bookmarkEnd w:id="97"/>
      <w:bookmarkEnd w:id="98"/>
    </w:p>
    <w:p w14:paraId="3C3C9B23">
      <w:pPr>
        <w:bidi w:val="0"/>
        <w:rPr>
          <w:rFonts w:hint="eastAsia" w:ascii="宋体" w:hAnsi="宋体" w:eastAsia="宋体" w:cs="宋体"/>
          <w:color w:val="auto"/>
          <w:highlight w:val="none"/>
        </w:rPr>
      </w:pPr>
    </w:p>
    <w:p w14:paraId="7CF56A9C">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我院（以下简称甲方）组织的本次采购，在遵守《政府采购法》、《</w:t>
      </w:r>
      <w:r>
        <w:rPr>
          <w:rFonts w:hint="eastAsia" w:ascii="宋体" w:hAnsi="宋体"/>
          <w:color w:val="auto"/>
          <w:kern w:val="0"/>
          <w:sz w:val="21"/>
          <w:szCs w:val="21"/>
          <w:highlight w:val="none"/>
        </w:rPr>
        <w:t>中华人民共和国民法典</w:t>
      </w:r>
      <w:r>
        <w:rPr>
          <w:rFonts w:hint="eastAsia" w:ascii="宋体" w:hAnsi="宋体" w:eastAsia="宋体" w:cs="宋体"/>
          <w:color w:val="auto"/>
          <w:sz w:val="21"/>
          <w:szCs w:val="21"/>
          <w:highlight w:val="none"/>
        </w:rPr>
        <w:t>》、《反不正当竞争法》和《关于推进招投标监督领域诚信建设的意见》等法律法规的基础上，要求贵方（以下简称乙方）做出如下承诺：</w:t>
      </w:r>
    </w:p>
    <w:p w14:paraId="43156EAE">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1、遵循公开、公平、公正和诚实信用的原则自愿参加，所提供的一切材料真实、有效、合法。</w:t>
      </w:r>
    </w:p>
    <w:p w14:paraId="33CF7DBB">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2、遵守甲方采购纪律，诚实守信地为甲方提供安全可靠的服务及相关技术，保证</w:t>
      </w:r>
      <w:r>
        <w:rPr>
          <w:rFonts w:hint="eastAsia" w:ascii="宋体" w:hAnsi="宋体" w:cs="宋体"/>
          <w:color w:val="auto"/>
          <w:sz w:val="21"/>
          <w:szCs w:val="21"/>
          <w:highlight w:val="none"/>
          <w:lang w:val="en-US" w:eastAsia="zh-CN"/>
        </w:rPr>
        <w:t>服务</w:t>
      </w:r>
      <w:r>
        <w:rPr>
          <w:rFonts w:hint="eastAsia" w:ascii="宋体" w:hAnsi="宋体" w:eastAsia="宋体" w:cs="宋体"/>
          <w:color w:val="auto"/>
          <w:sz w:val="21"/>
          <w:szCs w:val="21"/>
          <w:highlight w:val="none"/>
        </w:rPr>
        <w:t>质量并主动做好售后服务工作。</w:t>
      </w:r>
    </w:p>
    <w:p w14:paraId="289D06C0">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3、杜绝利用提供财物或给予其他不正当利益谋取中标的不良行为。</w:t>
      </w:r>
    </w:p>
    <w:p w14:paraId="7FD5734D">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4、不发生其他任何可能影响甲方工作人员公正执行公务或者职务廉洁的行为。</w:t>
      </w:r>
    </w:p>
    <w:p w14:paraId="58A626BB">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5、不参与串标、围标或其他不正当竞争行为；杜绝以虚报资质、业绩或其他弄虚作假等方式骗取中标。</w:t>
      </w:r>
    </w:p>
    <w:p w14:paraId="6007E758">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6、响应时，杜绝擅自修改</w:t>
      </w:r>
      <w:r>
        <w:rPr>
          <w:rFonts w:hint="eastAsia" w:ascii="宋体" w:hAnsi="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或技术标准（包括差异表）技术配置的行为。</w:t>
      </w:r>
    </w:p>
    <w:p w14:paraId="2C6135A4">
      <w:pPr>
        <w:keepNext w:val="0"/>
        <w:keepLines w:val="0"/>
        <w:pageBreakBefore w:val="0"/>
        <w:widowControl w:val="0"/>
        <w:kinsoku/>
        <w:wordWrap/>
        <w:overflowPunct/>
        <w:topLinePunct w:val="0"/>
        <w:autoSpaceDE/>
        <w:autoSpaceDN/>
        <w:bidi w:val="0"/>
        <w:adjustRightInd/>
        <w:snapToGrid w:val="0"/>
        <w:spacing w:line="460" w:lineRule="exact"/>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7、严格按照采购、</w:t>
      </w:r>
      <w:r>
        <w:rPr>
          <w:rFonts w:hint="eastAsia" w:ascii="宋体" w:hAnsi="宋体" w:eastAsia="宋体" w:cs="宋体"/>
          <w:color w:val="auto"/>
          <w:sz w:val="21"/>
          <w:szCs w:val="21"/>
          <w:highlight w:val="none"/>
          <w:lang w:val="en-US" w:eastAsia="zh-CN"/>
        </w:rPr>
        <w:t>响应</w:t>
      </w:r>
      <w:r>
        <w:rPr>
          <w:rFonts w:hint="eastAsia" w:ascii="宋体" w:hAnsi="宋体" w:eastAsia="宋体" w:cs="宋体"/>
          <w:color w:val="auto"/>
          <w:sz w:val="21"/>
          <w:szCs w:val="21"/>
          <w:highlight w:val="none"/>
        </w:rPr>
        <w:t>文件要求签订合同，不违反法律无故拒签合同，不签订背离合同（或技术协议书）实质性内容的协议。</w:t>
      </w:r>
    </w:p>
    <w:p w14:paraId="57FE0865">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p>
    <w:p w14:paraId="1A6D1E4A">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公司名称</w:t>
      </w:r>
      <w:r>
        <w:rPr>
          <w:rFonts w:hint="eastAsia" w:ascii="宋体" w:hAnsi="宋体" w:eastAsia="宋体" w:cs="宋体"/>
          <w:color w:val="auto"/>
          <w:sz w:val="21"/>
          <w:szCs w:val="21"/>
          <w:highlight w:val="none"/>
        </w:rPr>
        <w:t xml:space="preserve">）：               </w:t>
      </w:r>
    </w:p>
    <w:p w14:paraId="17D8D0FC">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法定代表人或委托人（签字或盖章）：                   年   月   日</w:t>
      </w:r>
    </w:p>
    <w:p w14:paraId="39A09511">
      <w:pPr>
        <w:widowControl/>
        <w:spacing w:line="360" w:lineRule="auto"/>
        <w:ind w:firstLine="4305" w:firstLineChars="2050"/>
        <w:jc w:val="left"/>
        <w:rPr>
          <w:rFonts w:hint="eastAsia" w:ascii="宋体" w:hAnsi="宋体" w:eastAsia="宋体" w:cs="宋体"/>
          <w:color w:val="auto"/>
          <w:kern w:val="0"/>
          <w:szCs w:val="21"/>
          <w:highlight w:val="none"/>
        </w:rPr>
      </w:pPr>
    </w:p>
    <w:p w14:paraId="5854BD86">
      <w:pPr>
        <w:pStyle w:val="32"/>
        <w:rPr>
          <w:rFonts w:hint="eastAsia" w:ascii="宋体" w:hAnsi="宋体" w:eastAsia="宋体" w:cs="宋体"/>
          <w:color w:val="auto"/>
          <w:kern w:val="0"/>
          <w:szCs w:val="21"/>
          <w:highlight w:val="none"/>
        </w:rPr>
        <w:sectPr>
          <w:pgSz w:w="11906" w:h="16838"/>
          <w:pgMar w:top="1417" w:right="1474" w:bottom="1417" w:left="1474" w:header="851" w:footer="624" w:gutter="0"/>
          <w:pgNumType w:fmt="decimal"/>
          <w:cols w:space="720" w:num="1"/>
          <w:docGrid w:type="lines" w:linePitch="319" w:charSpace="0"/>
        </w:sectPr>
      </w:pPr>
    </w:p>
    <w:p w14:paraId="5386F9F9">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sz w:val="28"/>
          <w:szCs w:val="28"/>
          <w:highlight w:val="none"/>
          <w:lang w:val="en-US" w:eastAsia="zh-CN"/>
        </w:rPr>
      </w:pPr>
      <w:r>
        <w:rPr>
          <w:rFonts w:hint="eastAsia" w:ascii="宋体" w:hAnsi="宋体" w:eastAsia="宋体" w:cs="宋体"/>
          <w:color w:val="auto"/>
          <w:sz w:val="28"/>
          <w:szCs w:val="28"/>
          <w:highlight w:val="none"/>
          <w:lang w:val="en-US" w:eastAsia="zh-CN"/>
        </w:rPr>
        <w:t>附件11     供应商信用承诺函（格式）</w:t>
      </w:r>
    </w:p>
    <w:p w14:paraId="05CEE9A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致（采购人或政府采购代理机构）：</w:t>
      </w:r>
    </w:p>
    <w:p w14:paraId="375A105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单位名称（自然人姓名）：</w:t>
      </w:r>
    </w:p>
    <w:p w14:paraId="37DE6BD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统一社会信用代码（身份证号码）：</w:t>
      </w:r>
    </w:p>
    <w:p w14:paraId="0C56D7D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法定代表人（负责人）：</w:t>
      </w:r>
    </w:p>
    <w:p w14:paraId="7C32756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联系地址和电话：</w:t>
      </w:r>
    </w:p>
    <w:p w14:paraId="20E1E94B">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我单位（本人）自愿参加本次政府采购活动，严格遵守《中华人民共和国政府采购法》及相关法律法规，坚守公开、公平、公正和诚实信用的原则，依法诚信经营，无条件遵守本次政府采购活动的各项规定。我单位（本人）郑重承诺，我单位（本人）符合《中华人民共和国政府采购法》第二十二条规定的条件：</w:t>
      </w:r>
    </w:p>
    <w:p w14:paraId="2020E24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（一）具有独立承担民事责任的能力；</w:t>
      </w:r>
    </w:p>
    <w:p w14:paraId="3792117D">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（二）具有良好的商业信誉和健全的财务会计制度；</w:t>
      </w:r>
    </w:p>
    <w:p w14:paraId="551FD072">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（三）具有履行合同所必需的设备和专业技术能力；</w:t>
      </w:r>
    </w:p>
    <w:p w14:paraId="07F26387">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（四）有依法缴纳税收和社会保障资金的良好记录；</w:t>
      </w:r>
    </w:p>
    <w:p w14:paraId="229482A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（五）参加政府采购活动前三年内，在经营活动中没有重大违法记录；</w:t>
      </w:r>
    </w:p>
    <w:p w14:paraId="68B0F84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（六）未被列入严重失信主体名单、失信被执行人、税收违法黑名单、政府采购严重违法失信行为记录名单，未曾作出虚假承诺；</w:t>
      </w:r>
    </w:p>
    <w:p w14:paraId="35518370">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（七）符合法律、行政法规规定的其他条件。</w:t>
      </w:r>
    </w:p>
    <w:p w14:paraId="4634677F">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我单位（本人）保证上述承诺事项的真实性，如有弄虚作假或其他违法违规行为，愿意承担一切法律责任，并承担因此所造成的一切损失。</w:t>
      </w:r>
    </w:p>
    <w:p w14:paraId="3F4EFEE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2C47C9D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供应商名称（盖章）：</w:t>
      </w:r>
    </w:p>
    <w:p w14:paraId="1C927403">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法定代表人、负责人、自然人或授权代表(签字或盖章)：</w:t>
      </w:r>
    </w:p>
    <w:p w14:paraId="19992FE4">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日期：       年      月       日</w:t>
      </w:r>
    </w:p>
    <w:p w14:paraId="6A021179">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456301A6">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p>
    <w:p w14:paraId="6C620DE1">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注：1.供应商须在投标（响应性）文件中按此模板提供承诺函，未提供视为未实质性响应招标文件要求，按无效投标（响应）处理。</w:t>
      </w:r>
    </w:p>
    <w:p w14:paraId="532EE0CA">
      <w:pPr>
        <w:keepNext w:val="0"/>
        <w:keepLines w:val="0"/>
        <w:pageBreakBefore w:val="0"/>
        <w:widowControl w:val="0"/>
        <w:kinsoku/>
        <w:wordWrap/>
        <w:overflowPunct/>
        <w:topLinePunct w:val="0"/>
        <w:autoSpaceDE/>
        <w:autoSpaceDN/>
        <w:bidi w:val="0"/>
        <w:adjustRightInd/>
        <w:snapToGrid w:val="0"/>
        <w:spacing w:line="360" w:lineRule="auto"/>
        <w:ind w:firstLine="641"/>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2.供应商的法定代表人或者授权代表的签字或盖章应真实、有效，如由授权代表签字或盖章的，应提供“法定代表人授权书”。</w:t>
      </w:r>
    </w:p>
    <w:p w14:paraId="2E28D159">
      <w:pPr>
        <w:pStyle w:val="2"/>
        <w:spacing w:beforeAutospacing="0" w:afterAutospacing="0" w:line="460" w:lineRule="atLeast"/>
        <w:jc w:val="both"/>
        <w:rPr>
          <w:rFonts w:hint="eastAsia" w:ascii="宋体" w:hAnsi="宋体" w:eastAsia="宋体" w:cs="宋体"/>
          <w:b/>
          <w:bCs/>
          <w:color w:val="auto"/>
          <w:sz w:val="28"/>
          <w:szCs w:val="28"/>
          <w:highlight w:val="none"/>
        </w:rPr>
        <w:sectPr>
          <w:pgSz w:w="11906" w:h="16838"/>
          <w:pgMar w:top="1417" w:right="1474" w:bottom="1417" w:left="1474" w:header="851" w:footer="624" w:gutter="0"/>
          <w:pgNumType w:fmt="decimal"/>
          <w:cols w:space="720" w:num="1"/>
          <w:docGrid w:type="lines" w:linePitch="319" w:charSpace="0"/>
        </w:sectPr>
      </w:pPr>
    </w:p>
    <w:p w14:paraId="6033A8A5">
      <w:pPr>
        <w:bidi w:val="0"/>
        <w:rPr>
          <w:rFonts w:hint="eastAsia" w:ascii="宋体" w:hAnsi="宋体" w:eastAsia="宋体" w:cs="宋体"/>
          <w:color w:val="auto"/>
          <w:highlight w:val="none"/>
          <w:lang w:eastAsia="zh-CN"/>
        </w:rPr>
      </w:pPr>
      <w:bookmarkStart w:id="99" w:name="_Toc31685"/>
      <w:bookmarkStart w:id="100" w:name="_Toc23394"/>
      <w:bookmarkStart w:id="101" w:name="_Toc25094"/>
    </w:p>
    <w:p w14:paraId="5D13306D">
      <w:pPr>
        <w:pStyle w:val="6"/>
        <w:keepNext/>
        <w:keepLines/>
        <w:pageBreakBefore w:val="0"/>
        <w:widowControl w:val="0"/>
        <w:kinsoku/>
        <w:wordWrap/>
        <w:overflowPunct/>
        <w:topLinePunct w:val="0"/>
        <w:autoSpaceDE/>
        <w:autoSpaceDN/>
        <w:bidi w:val="0"/>
        <w:adjustRightInd/>
        <w:snapToGrid w:val="0"/>
        <w:spacing w:before="20" w:after="20" w:line="360" w:lineRule="auto"/>
        <w:jc w:val="center"/>
        <w:textAlignment w:val="auto"/>
        <w:rPr>
          <w:rFonts w:hint="eastAsia" w:ascii="宋体" w:hAnsi="宋体" w:eastAsia="宋体" w:cs="宋体"/>
          <w:color w:val="auto"/>
        </w:rPr>
      </w:pPr>
      <w:r>
        <w:rPr>
          <w:rFonts w:hint="eastAsia" w:ascii="宋体" w:hAnsi="宋体" w:eastAsia="宋体" w:cs="宋体"/>
          <w:color w:val="auto"/>
          <w:lang w:eastAsia="zh-CN"/>
        </w:rPr>
        <w:t>供应商</w:t>
      </w:r>
      <w:r>
        <w:rPr>
          <w:rFonts w:hint="eastAsia" w:ascii="宋体" w:hAnsi="宋体" w:eastAsia="宋体" w:cs="宋体"/>
          <w:color w:val="auto"/>
        </w:rPr>
        <w:t>认为有必要的其他资料</w:t>
      </w:r>
      <w:bookmarkEnd w:id="99"/>
      <w:bookmarkEnd w:id="100"/>
      <w:bookmarkEnd w:id="101"/>
    </w:p>
    <w:p w14:paraId="0498F05D">
      <w:pPr>
        <w:widowControl/>
        <w:spacing w:line="360" w:lineRule="auto"/>
        <w:ind w:firstLine="42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kern w:val="0"/>
          <w:szCs w:val="21"/>
          <w:highlight w:val="none"/>
        </w:rPr>
        <w:t>备注：</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应当仔细核对</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中有关废标条款和评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标准，提供</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认为应当附加的其它内容，以充分证明其投标符合</w:t>
      </w:r>
      <w:r>
        <w:rPr>
          <w:rFonts w:hint="eastAsia" w:ascii="宋体" w:hAnsi="宋体" w:cs="宋体"/>
          <w:color w:val="auto"/>
          <w:kern w:val="0"/>
          <w:szCs w:val="21"/>
          <w:highlight w:val="none"/>
          <w:lang w:val="en-US" w:eastAsia="zh-CN"/>
        </w:rPr>
        <w:t>竞争性磋商文件</w:t>
      </w:r>
      <w:r>
        <w:rPr>
          <w:rFonts w:hint="eastAsia" w:ascii="宋体" w:hAnsi="宋体" w:eastAsia="宋体" w:cs="宋体"/>
          <w:color w:val="auto"/>
          <w:kern w:val="0"/>
          <w:szCs w:val="21"/>
          <w:highlight w:val="none"/>
        </w:rPr>
        <w:t>规定，并为评</w:t>
      </w:r>
      <w:r>
        <w:rPr>
          <w:rFonts w:hint="eastAsia" w:ascii="宋体" w:hAnsi="宋体" w:cs="宋体"/>
          <w:color w:val="auto"/>
          <w:kern w:val="0"/>
          <w:szCs w:val="21"/>
          <w:highlight w:val="none"/>
          <w:lang w:val="en-US" w:eastAsia="zh-CN"/>
        </w:rPr>
        <w:t>审</w:t>
      </w:r>
      <w:r>
        <w:rPr>
          <w:rFonts w:hint="eastAsia" w:ascii="宋体" w:hAnsi="宋体" w:eastAsia="宋体" w:cs="宋体"/>
          <w:color w:val="auto"/>
          <w:kern w:val="0"/>
          <w:szCs w:val="21"/>
          <w:highlight w:val="none"/>
        </w:rPr>
        <w:t>提供充分依据。如果</w:t>
      </w:r>
      <w:r>
        <w:rPr>
          <w:rFonts w:hint="eastAsia" w:ascii="宋体" w:hAnsi="宋体" w:eastAsia="宋体" w:cs="宋体"/>
          <w:color w:val="auto"/>
          <w:kern w:val="0"/>
          <w:szCs w:val="21"/>
          <w:highlight w:val="none"/>
          <w:lang w:eastAsia="zh-CN"/>
        </w:rPr>
        <w:t>供应商</w:t>
      </w:r>
      <w:r>
        <w:rPr>
          <w:rFonts w:hint="eastAsia" w:ascii="宋体" w:hAnsi="宋体" w:eastAsia="宋体" w:cs="宋体"/>
          <w:color w:val="auto"/>
          <w:kern w:val="0"/>
          <w:szCs w:val="21"/>
          <w:highlight w:val="none"/>
        </w:rPr>
        <w:t>未能提供相关证明文件，将有可能导致废标或者无法得分。</w:t>
      </w:r>
    </w:p>
    <w:p w14:paraId="657CFD73">
      <w:pPr>
        <w:pStyle w:val="2"/>
        <w:spacing w:beforeAutospacing="0" w:afterAutospacing="0" w:line="460" w:lineRule="atLeast"/>
        <w:jc w:val="both"/>
        <w:rPr>
          <w:rFonts w:hint="eastAsia" w:ascii="宋体" w:hAnsi="宋体" w:eastAsia="宋体" w:cs="宋体"/>
          <w:b/>
          <w:bCs/>
          <w:color w:val="auto"/>
          <w:sz w:val="28"/>
          <w:szCs w:val="28"/>
          <w:highlight w:val="none"/>
        </w:rPr>
      </w:pPr>
    </w:p>
    <w:sectPr>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1B2774">
    <w:pPr>
      <w:pStyle w:val="22"/>
      <w:pBdr>
        <w:top w:val="single" w:color="auto" w:sz="4" w:space="1"/>
      </w:pBdr>
      <w:jc w:val="both"/>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B4D5BA0">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1312;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14:paraId="5B4D5BA0">
                    <w:pPr>
                      <w:pStyle w:val="2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24172B">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64F80410">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14:paraId="64F80410">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3F12712B">
    <w:pPr>
      <w:pStyle w:val="2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64FDF">
    <w:pPr>
      <w:pStyle w:val="22"/>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44780" cy="204470"/>
              <wp:effectExtent l="0" t="0" r="0" b="0"/>
              <wp:wrapNone/>
              <wp:docPr id="3"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14:paraId="0A09390E">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60288;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JfZpqzUAAAABAEAAA8AAAAAAAAAAQAgAAAAIgAAAGRycy9kb3ducmV2LnhtbFBLAQIUABQA&#10;AAAIAIdO4kD24QW7uwEAAHQDAAAOAAAAAAAAAAEAIAAAACMBAABkcnMvZTJvRG9jLnhtbFBLBQYA&#10;AAAABgAGAFkBAABQBQAAAAA=&#10;">
              <v:fill on="f" focussize="0,0"/>
              <v:stroke on="f"/>
              <v:imagedata o:title=""/>
              <o:lock v:ext="edit" aspectratio="f"/>
              <v:textbox inset="0mm,0mm,0mm,0mm">
                <w:txbxContent>
                  <w:p w14:paraId="0A09390E">
                    <w:pPr>
                      <w:pStyle w:val="22"/>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14:paraId="599A7B53">
    <w:pPr>
      <w:pStyle w:val="2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165C30">
    <w:pPr>
      <w:pStyle w:val="24"/>
      <w:jc w:val="right"/>
      <w:rPr>
        <w:rFonts w:hint="eastAsia"/>
      </w:rPr>
    </w:pPr>
    <w:r>
      <w:rPr>
        <w:rFonts w:hint="eastAsia" w:ascii="宋体" w:hAnsi="宋体" w:cs="宋体"/>
        <w:color w:val="auto"/>
        <w:szCs w:val="21"/>
        <w:highlight w:val="none"/>
        <w:u w:val="none"/>
        <w:shd w:val="clear" w:color="auto" w:fill="FFFFFF"/>
        <w:lang w:val="en-US" w:eastAsia="zh-CN"/>
      </w:rPr>
      <w:t>驻马店市中心医院妇儿院区化粪池、隔油池、污水井及雨水井清掏服务项目竞争性磋商文件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21A5280"/>
    <w:multiLevelType w:val="singleLevel"/>
    <w:tmpl w:val="C21A5280"/>
    <w:lvl w:ilvl="0" w:tentative="0">
      <w:start w:val="2"/>
      <w:numFmt w:val="decimal"/>
      <w:lvlText w:val="%1."/>
      <w:lvlJc w:val="left"/>
      <w:pPr>
        <w:tabs>
          <w:tab w:val="left" w:pos="312"/>
        </w:tabs>
      </w:pPr>
    </w:lvl>
  </w:abstractNum>
  <w:abstractNum w:abstractNumId="1">
    <w:nsid w:val="E8A954FB"/>
    <w:multiLevelType w:val="singleLevel"/>
    <w:tmpl w:val="E8A954FB"/>
    <w:lvl w:ilvl="0" w:tentative="0">
      <w:start w:val="1"/>
      <w:numFmt w:val="decimal"/>
      <w:suff w:val="nothing"/>
      <w:lvlText w:val="%1、"/>
      <w:lvlJc w:val="left"/>
    </w:lvl>
  </w:abstractNum>
  <w:abstractNum w:abstractNumId="2">
    <w:nsid w:val="074B9BF0"/>
    <w:multiLevelType w:val="singleLevel"/>
    <w:tmpl w:val="074B9BF0"/>
    <w:lvl w:ilvl="0" w:tentative="0">
      <w:start w:val="1"/>
      <w:numFmt w:val="decimal"/>
      <w:suff w:val="nothing"/>
      <w:lvlText w:val="%1、"/>
      <w:lvlJc w:val="left"/>
    </w:lvl>
  </w:abstractNum>
  <w:abstractNum w:abstractNumId="3">
    <w:nsid w:val="30596578"/>
    <w:multiLevelType w:val="singleLevel"/>
    <w:tmpl w:val="30596578"/>
    <w:lvl w:ilvl="0" w:tentative="0">
      <w:start w:val="2"/>
      <w:numFmt w:val="decimal"/>
      <w:lvlText w:val="%1."/>
      <w:lvlJc w:val="left"/>
      <w:pPr>
        <w:tabs>
          <w:tab w:val="left" w:pos="312"/>
        </w:tabs>
      </w:pPr>
    </w:lvl>
  </w:abstractNum>
  <w:abstractNum w:abstractNumId="4">
    <w:nsid w:val="59B6410A"/>
    <w:multiLevelType w:val="singleLevel"/>
    <w:tmpl w:val="59B6410A"/>
    <w:lvl w:ilvl="0" w:tentative="0">
      <w:start w:val="1"/>
      <w:numFmt w:val="decimal"/>
      <w:suff w:val="nothing"/>
      <w:lvlText w:val="（%1）"/>
      <w:lvlJc w:val="left"/>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UxZTMwNmMyMDcwMThhNDM2NzZhZjYxYzY5Y2VkNzQ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1344"/>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5888"/>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3F46"/>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4795"/>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1ADF"/>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46918"/>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5500"/>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28E"/>
    <w:rsid w:val="00FF3BCD"/>
    <w:rsid w:val="00FF5B28"/>
    <w:rsid w:val="00FF7C18"/>
    <w:rsid w:val="01076050"/>
    <w:rsid w:val="010C3DC8"/>
    <w:rsid w:val="010D7DD7"/>
    <w:rsid w:val="01146397"/>
    <w:rsid w:val="011E110B"/>
    <w:rsid w:val="01525212"/>
    <w:rsid w:val="01564054"/>
    <w:rsid w:val="015C0A67"/>
    <w:rsid w:val="01745FBF"/>
    <w:rsid w:val="017E6D95"/>
    <w:rsid w:val="018D0058"/>
    <w:rsid w:val="01976717"/>
    <w:rsid w:val="01D715BE"/>
    <w:rsid w:val="01EB45BC"/>
    <w:rsid w:val="01F04981"/>
    <w:rsid w:val="01F9035B"/>
    <w:rsid w:val="01FA63A5"/>
    <w:rsid w:val="02011C7D"/>
    <w:rsid w:val="02035523"/>
    <w:rsid w:val="021C6E40"/>
    <w:rsid w:val="02222FF2"/>
    <w:rsid w:val="0227136C"/>
    <w:rsid w:val="023615AF"/>
    <w:rsid w:val="02384FF4"/>
    <w:rsid w:val="023D0B8F"/>
    <w:rsid w:val="023F67A9"/>
    <w:rsid w:val="0247575A"/>
    <w:rsid w:val="025235B1"/>
    <w:rsid w:val="0262674D"/>
    <w:rsid w:val="02656D7F"/>
    <w:rsid w:val="02747B01"/>
    <w:rsid w:val="027619AC"/>
    <w:rsid w:val="02890D36"/>
    <w:rsid w:val="02B97DFD"/>
    <w:rsid w:val="02C866AB"/>
    <w:rsid w:val="02CB7F49"/>
    <w:rsid w:val="02D92EF7"/>
    <w:rsid w:val="02DA4630"/>
    <w:rsid w:val="02DA4665"/>
    <w:rsid w:val="02F40325"/>
    <w:rsid w:val="02F70D3E"/>
    <w:rsid w:val="02FA082F"/>
    <w:rsid w:val="030D40BE"/>
    <w:rsid w:val="031126C4"/>
    <w:rsid w:val="033124A2"/>
    <w:rsid w:val="034733B8"/>
    <w:rsid w:val="03475E56"/>
    <w:rsid w:val="034877EC"/>
    <w:rsid w:val="0353518A"/>
    <w:rsid w:val="035E4919"/>
    <w:rsid w:val="03675F31"/>
    <w:rsid w:val="036A009A"/>
    <w:rsid w:val="037A734D"/>
    <w:rsid w:val="03844805"/>
    <w:rsid w:val="03845791"/>
    <w:rsid w:val="03A011E9"/>
    <w:rsid w:val="03AE7F27"/>
    <w:rsid w:val="03BD2BCD"/>
    <w:rsid w:val="03CC058D"/>
    <w:rsid w:val="03E017D2"/>
    <w:rsid w:val="03F447E2"/>
    <w:rsid w:val="03F77068"/>
    <w:rsid w:val="03FB660C"/>
    <w:rsid w:val="042E37DB"/>
    <w:rsid w:val="04416C20"/>
    <w:rsid w:val="04732647"/>
    <w:rsid w:val="047968B1"/>
    <w:rsid w:val="04870542"/>
    <w:rsid w:val="04B30F7A"/>
    <w:rsid w:val="050B6D23"/>
    <w:rsid w:val="050E236F"/>
    <w:rsid w:val="054C0111"/>
    <w:rsid w:val="05545DD3"/>
    <w:rsid w:val="05574DA8"/>
    <w:rsid w:val="056E2AD6"/>
    <w:rsid w:val="05720B50"/>
    <w:rsid w:val="05806815"/>
    <w:rsid w:val="058251D3"/>
    <w:rsid w:val="058C28F1"/>
    <w:rsid w:val="05945CCE"/>
    <w:rsid w:val="059D05A4"/>
    <w:rsid w:val="059D5E17"/>
    <w:rsid w:val="059E1E1A"/>
    <w:rsid w:val="05AB0A28"/>
    <w:rsid w:val="05AB0F81"/>
    <w:rsid w:val="05B93D6B"/>
    <w:rsid w:val="05C0366A"/>
    <w:rsid w:val="05C23EEE"/>
    <w:rsid w:val="05CA4074"/>
    <w:rsid w:val="05D53002"/>
    <w:rsid w:val="05D75738"/>
    <w:rsid w:val="05EB110D"/>
    <w:rsid w:val="05EB4481"/>
    <w:rsid w:val="05F17CC7"/>
    <w:rsid w:val="061E7D14"/>
    <w:rsid w:val="0624009C"/>
    <w:rsid w:val="06446B44"/>
    <w:rsid w:val="06560AED"/>
    <w:rsid w:val="066469C9"/>
    <w:rsid w:val="066646A1"/>
    <w:rsid w:val="066E164D"/>
    <w:rsid w:val="068E7B23"/>
    <w:rsid w:val="06983B20"/>
    <w:rsid w:val="069A3B66"/>
    <w:rsid w:val="06A869D6"/>
    <w:rsid w:val="06A9264E"/>
    <w:rsid w:val="06B31420"/>
    <w:rsid w:val="06B91765"/>
    <w:rsid w:val="06CA2AD2"/>
    <w:rsid w:val="06CB0D68"/>
    <w:rsid w:val="06CE3071"/>
    <w:rsid w:val="06D33DBA"/>
    <w:rsid w:val="06D73361"/>
    <w:rsid w:val="06E13F9F"/>
    <w:rsid w:val="06FB0AC5"/>
    <w:rsid w:val="06FE7278"/>
    <w:rsid w:val="070D2D5D"/>
    <w:rsid w:val="07104A12"/>
    <w:rsid w:val="07111B8D"/>
    <w:rsid w:val="072916E2"/>
    <w:rsid w:val="072C5514"/>
    <w:rsid w:val="0737768A"/>
    <w:rsid w:val="074A5B92"/>
    <w:rsid w:val="0757624F"/>
    <w:rsid w:val="075D0147"/>
    <w:rsid w:val="075E3193"/>
    <w:rsid w:val="07724E37"/>
    <w:rsid w:val="078E18EB"/>
    <w:rsid w:val="07AA2823"/>
    <w:rsid w:val="07B02D9F"/>
    <w:rsid w:val="07B10EA5"/>
    <w:rsid w:val="07C510CB"/>
    <w:rsid w:val="07CD6512"/>
    <w:rsid w:val="07CE3FA1"/>
    <w:rsid w:val="07EC2ECB"/>
    <w:rsid w:val="07FE66CB"/>
    <w:rsid w:val="080B4D47"/>
    <w:rsid w:val="081B727D"/>
    <w:rsid w:val="081D2FF5"/>
    <w:rsid w:val="08321601"/>
    <w:rsid w:val="08326375"/>
    <w:rsid w:val="083D5C91"/>
    <w:rsid w:val="0847191F"/>
    <w:rsid w:val="08591DC3"/>
    <w:rsid w:val="085B58CB"/>
    <w:rsid w:val="08672793"/>
    <w:rsid w:val="08695E80"/>
    <w:rsid w:val="087B41C0"/>
    <w:rsid w:val="087C4541"/>
    <w:rsid w:val="087E5595"/>
    <w:rsid w:val="08BC0A60"/>
    <w:rsid w:val="08C52D6F"/>
    <w:rsid w:val="08E42BE4"/>
    <w:rsid w:val="08EF0201"/>
    <w:rsid w:val="08F41DE8"/>
    <w:rsid w:val="08FA3336"/>
    <w:rsid w:val="093D1475"/>
    <w:rsid w:val="094840A2"/>
    <w:rsid w:val="09523172"/>
    <w:rsid w:val="09644C54"/>
    <w:rsid w:val="09737462"/>
    <w:rsid w:val="099156C3"/>
    <w:rsid w:val="09A33F5B"/>
    <w:rsid w:val="09A53F39"/>
    <w:rsid w:val="09A60E13"/>
    <w:rsid w:val="09A82D92"/>
    <w:rsid w:val="09AB2883"/>
    <w:rsid w:val="09B71227"/>
    <w:rsid w:val="09BC4A90"/>
    <w:rsid w:val="09CD0A4B"/>
    <w:rsid w:val="09D206F0"/>
    <w:rsid w:val="0A321AC2"/>
    <w:rsid w:val="0A343D4E"/>
    <w:rsid w:val="0A344626"/>
    <w:rsid w:val="0A3E6D2E"/>
    <w:rsid w:val="0A4232E4"/>
    <w:rsid w:val="0A4F145F"/>
    <w:rsid w:val="0A8455AD"/>
    <w:rsid w:val="0A8729A8"/>
    <w:rsid w:val="0AD13A85"/>
    <w:rsid w:val="0AE0655C"/>
    <w:rsid w:val="0AF00D76"/>
    <w:rsid w:val="0B091954"/>
    <w:rsid w:val="0B195776"/>
    <w:rsid w:val="0B1A7CC0"/>
    <w:rsid w:val="0B34773E"/>
    <w:rsid w:val="0B3B7D65"/>
    <w:rsid w:val="0B434C20"/>
    <w:rsid w:val="0B5F0822"/>
    <w:rsid w:val="0B637D77"/>
    <w:rsid w:val="0B7006C4"/>
    <w:rsid w:val="0B726646"/>
    <w:rsid w:val="0B7606E8"/>
    <w:rsid w:val="0B8B471A"/>
    <w:rsid w:val="0B924545"/>
    <w:rsid w:val="0BAC324F"/>
    <w:rsid w:val="0BB40DF1"/>
    <w:rsid w:val="0BC11EE9"/>
    <w:rsid w:val="0BF16C73"/>
    <w:rsid w:val="0BF72F1E"/>
    <w:rsid w:val="0C0A7D34"/>
    <w:rsid w:val="0C230DF6"/>
    <w:rsid w:val="0C3152C1"/>
    <w:rsid w:val="0C3957A5"/>
    <w:rsid w:val="0C507E2F"/>
    <w:rsid w:val="0C600D66"/>
    <w:rsid w:val="0C626DA7"/>
    <w:rsid w:val="0C6876AE"/>
    <w:rsid w:val="0C71390F"/>
    <w:rsid w:val="0C720EC8"/>
    <w:rsid w:val="0C942042"/>
    <w:rsid w:val="0C9D50DC"/>
    <w:rsid w:val="0CA5271D"/>
    <w:rsid w:val="0CAC4D10"/>
    <w:rsid w:val="0CC53C5B"/>
    <w:rsid w:val="0CC72121"/>
    <w:rsid w:val="0CEE5A21"/>
    <w:rsid w:val="0D05268E"/>
    <w:rsid w:val="0D0646E7"/>
    <w:rsid w:val="0D0C38CA"/>
    <w:rsid w:val="0D206810"/>
    <w:rsid w:val="0D444B80"/>
    <w:rsid w:val="0D4861FD"/>
    <w:rsid w:val="0D735465"/>
    <w:rsid w:val="0DC577E0"/>
    <w:rsid w:val="0DDC6319"/>
    <w:rsid w:val="0DE1181F"/>
    <w:rsid w:val="0DFA5B87"/>
    <w:rsid w:val="0DFE4F67"/>
    <w:rsid w:val="0E0C0D4C"/>
    <w:rsid w:val="0E115DA1"/>
    <w:rsid w:val="0E1409F6"/>
    <w:rsid w:val="0E162D6D"/>
    <w:rsid w:val="0E460DCC"/>
    <w:rsid w:val="0E541CA2"/>
    <w:rsid w:val="0E576B35"/>
    <w:rsid w:val="0E594756"/>
    <w:rsid w:val="0E95596D"/>
    <w:rsid w:val="0EAE6205"/>
    <w:rsid w:val="0EAE6579"/>
    <w:rsid w:val="0EAF71BF"/>
    <w:rsid w:val="0ECE6257"/>
    <w:rsid w:val="0EE4129D"/>
    <w:rsid w:val="0F171032"/>
    <w:rsid w:val="0F335E69"/>
    <w:rsid w:val="0F372614"/>
    <w:rsid w:val="0F3D59C9"/>
    <w:rsid w:val="0F516D5A"/>
    <w:rsid w:val="0F565B36"/>
    <w:rsid w:val="0F684933"/>
    <w:rsid w:val="0F6E2388"/>
    <w:rsid w:val="0F73799F"/>
    <w:rsid w:val="0F76123D"/>
    <w:rsid w:val="0F821E7D"/>
    <w:rsid w:val="0FC91CB4"/>
    <w:rsid w:val="0FCA42ED"/>
    <w:rsid w:val="0FDB5F4F"/>
    <w:rsid w:val="0FE7592C"/>
    <w:rsid w:val="0FFC17A5"/>
    <w:rsid w:val="0FFD20F0"/>
    <w:rsid w:val="10142F30"/>
    <w:rsid w:val="10352857"/>
    <w:rsid w:val="103E6E57"/>
    <w:rsid w:val="1041497B"/>
    <w:rsid w:val="10425FF6"/>
    <w:rsid w:val="104A4BA3"/>
    <w:rsid w:val="106612B1"/>
    <w:rsid w:val="109010E6"/>
    <w:rsid w:val="10B271F4"/>
    <w:rsid w:val="10B537CC"/>
    <w:rsid w:val="10BD35C7"/>
    <w:rsid w:val="10C61D50"/>
    <w:rsid w:val="10C8275C"/>
    <w:rsid w:val="10C83D1A"/>
    <w:rsid w:val="10C86D3B"/>
    <w:rsid w:val="10E03539"/>
    <w:rsid w:val="10E82D1F"/>
    <w:rsid w:val="10E943BC"/>
    <w:rsid w:val="10EE5C94"/>
    <w:rsid w:val="10F5757C"/>
    <w:rsid w:val="10F93ED3"/>
    <w:rsid w:val="111156C1"/>
    <w:rsid w:val="111D7BC2"/>
    <w:rsid w:val="11250F40"/>
    <w:rsid w:val="113329E7"/>
    <w:rsid w:val="113F294C"/>
    <w:rsid w:val="11437C85"/>
    <w:rsid w:val="11575085"/>
    <w:rsid w:val="1166372C"/>
    <w:rsid w:val="11700D10"/>
    <w:rsid w:val="1178125A"/>
    <w:rsid w:val="118441E0"/>
    <w:rsid w:val="1196056D"/>
    <w:rsid w:val="11B322D4"/>
    <w:rsid w:val="11B85B3D"/>
    <w:rsid w:val="11CD20A0"/>
    <w:rsid w:val="11D34654"/>
    <w:rsid w:val="12010480"/>
    <w:rsid w:val="120E707F"/>
    <w:rsid w:val="121D0051"/>
    <w:rsid w:val="12201E07"/>
    <w:rsid w:val="12413D84"/>
    <w:rsid w:val="127A7D1C"/>
    <w:rsid w:val="12836D8B"/>
    <w:rsid w:val="12993BC0"/>
    <w:rsid w:val="12AB0349"/>
    <w:rsid w:val="12B66520"/>
    <w:rsid w:val="12CD57F1"/>
    <w:rsid w:val="12CE5941"/>
    <w:rsid w:val="12CE7AFA"/>
    <w:rsid w:val="12D67466"/>
    <w:rsid w:val="13036052"/>
    <w:rsid w:val="13272A5D"/>
    <w:rsid w:val="132A2A6A"/>
    <w:rsid w:val="133C40E3"/>
    <w:rsid w:val="133F4BFF"/>
    <w:rsid w:val="13410069"/>
    <w:rsid w:val="13493108"/>
    <w:rsid w:val="134A4EBA"/>
    <w:rsid w:val="13713CFE"/>
    <w:rsid w:val="13733928"/>
    <w:rsid w:val="13741F37"/>
    <w:rsid w:val="13857CA0"/>
    <w:rsid w:val="13920D68"/>
    <w:rsid w:val="139C16C9"/>
    <w:rsid w:val="13A5238E"/>
    <w:rsid w:val="13B63CE1"/>
    <w:rsid w:val="13BC6684"/>
    <w:rsid w:val="13C72B3A"/>
    <w:rsid w:val="13D12EE6"/>
    <w:rsid w:val="13DF575E"/>
    <w:rsid w:val="13E470BD"/>
    <w:rsid w:val="13EE3A98"/>
    <w:rsid w:val="13F3280A"/>
    <w:rsid w:val="142123F7"/>
    <w:rsid w:val="142A11D8"/>
    <w:rsid w:val="144B544C"/>
    <w:rsid w:val="145B7B45"/>
    <w:rsid w:val="14627FE2"/>
    <w:rsid w:val="14717443"/>
    <w:rsid w:val="147F0B94"/>
    <w:rsid w:val="14825F8A"/>
    <w:rsid w:val="148C70AD"/>
    <w:rsid w:val="148D52E3"/>
    <w:rsid w:val="14992B90"/>
    <w:rsid w:val="149A750C"/>
    <w:rsid w:val="149F10C7"/>
    <w:rsid w:val="14AF1856"/>
    <w:rsid w:val="14AF19A3"/>
    <w:rsid w:val="14B22D17"/>
    <w:rsid w:val="14B53957"/>
    <w:rsid w:val="14C53ECE"/>
    <w:rsid w:val="14CF6CB0"/>
    <w:rsid w:val="14D10E8D"/>
    <w:rsid w:val="14DB04C0"/>
    <w:rsid w:val="14DC5FE6"/>
    <w:rsid w:val="14E002E6"/>
    <w:rsid w:val="14FC36BD"/>
    <w:rsid w:val="14FF5EA7"/>
    <w:rsid w:val="15127C5A"/>
    <w:rsid w:val="151E3A0F"/>
    <w:rsid w:val="152534E9"/>
    <w:rsid w:val="153A36AA"/>
    <w:rsid w:val="15477903"/>
    <w:rsid w:val="1557566D"/>
    <w:rsid w:val="1565422D"/>
    <w:rsid w:val="156E0971"/>
    <w:rsid w:val="15785B3E"/>
    <w:rsid w:val="15811F1B"/>
    <w:rsid w:val="159B37AB"/>
    <w:rsid w:val="15A30135"/>
    <w:rsid w:val="15A34015"/>
    <w:rsid w:val="15BB487B"/>
    <w:rsid w:val="15CE086D"/>
    <w:rsid w:val="15E2236F"/>
    <w:rsid w:val="16005D04"/>
    <w:rsid w:val="16146C87"/>
    <w:rsid w:val="161D09ED"/>
    <w:rsid w:val="16223ECC"/>
    <w:rsid w:val="162323A3"/>
    <w:rsid w:val="162F30B1"/>
    <w:rsid w:val="1650762F"/>
    <w:rsid w:val="16510F12"/>
    <w:rsid w:val="166448F9"/>
    <w:rsid w:val="1677211D"/>
    <w:rsid w:val="16774218"/>
    <w:rsid w:val="167954F9"/>
    <w:rsid w:val="169311EC"/>
    <w:rsid w:val="169C5A2D"/>
    <w:rsid w:val="169F7296"/>
    <w:rsid w:val="16A060BA"/>
    <w:rsid w:val="16A57EAF"/>
    <w:rsid w:val="16A668AC"/>
    <w:rsid w:val="16A918E4"/>
    <w:rsid w:val="16AC6E3F"/>
    <w:rsid w:val="16B56AEF"/>
    <w:rsid w:val="16C872D5"/>
    <w:rsid w:val="16D54FA3"/>
    <w:rsid w:val="16D84D9F"/>
    <w:rsid w:val="16E94D3E"/>
    <w:rsid w:val="170D06E0"/>
    <w:rsid w:val="17233E03"/>
    <w:rsid w:val="17332185"/>
    <w:rsid w:val="17475951"/>
    <w:rsid w:val="175C542D"/>
    <w:rsid w:val="175D0ED4"/>
    <w:rsid w:val="17793FC0"/>
    <w:rsid w:val="179D33A9"/>
    <w:rsid w:val="179F2E61"/>
    <w:rsid w:val="17A06264"/>
    <w:rsid w:val="17BE19D3"/>
    <w:rsid w:val="17C227C0"/>
    <w:rsid w:val="17D66D7C"/>
    <w:rsid w:val="17DE0EDF"/>
    <w:rsid w:val="17EE5BFF"/>
    <w:rsid w:val="18097740"/>
    <w:rsid w:val="18136133"/>
    <w:rsid w:val="184055B9"/>
    <w:rsid w:val="184A2082"/>
    <w:rsid w:val="185D3C42"/>
    <w:rsid w:val="185F38AF"/>
    <w:rsid w:val="188F0211"/>
    <w:rsid w:val="18AD1BEB"/>
    <w:rsid w:val="18B3004A"/>
    <w:rsid w:val="18B31B6D"/>
    <w:rsid w:val="18B96080"/>
    <w:rsid w:val="18CE20EA"/>
    <w:rsid w:val="18DB2CD8"/>
    <w:rsid w:val="18F67868"/>
    <w:rsid w:val="1901426D"/>
    <w:rsid w:val="190B0C48"/>
    <w:rsid w:val="190B2D88"/>
    <w:rsid w:val="190E6B63"/>
    <w:rsid w:val="19123928"/>
    <w:rsid w:val="19194264"/>
    <w:rsid w:val="19283048"/>
    <w:rsid w:val="19420786"/>
    <w:rsid w:val="19427EC0"/>
    <w:rsid w:val="195711D7"/>
    <w:rsid w:val="195D2A3F"/>
    <w:rsid w:val="198310E9"/>
    <w:rsid w:val="198D747A"/>
    <w:rsid w:val="19A15638"/>
    <w:rsid w:val="19A74DFE"/>
    <w:rsid w:val="19A753EF"/>
    <w:rsid w:val="19DF45AE"/>
    <w:rsid w:val="1A125525"/>
    <w:rsid w:val="1A2226ED"/>
    <w:rsid w:val="1A564145"/>
    <w:rsid w:val="1A5F4342"/>
    <w:rsid w:val="1A616E2C"/>
    <w:rsid w:val="1A715D02"/>
    <w:rsid w:val="1A7C5F3D"/>
    <w:rsid w:val="1A7F369B"/>
    <w:rsid w:val="1A8C5D82"/>
    <w:rsid w:val="1A994988"/>
    <w:rsid w:val="1A9B546C"/>
    <w:rsid w:val="1A9E141F"/>
    <w:rsid w:val="1AA3511F"/>
    <w:rsid w:val="1AAE3B54"/>
    <w:rsid w:val="1AC10987"/>
    <w:rsid w:val="1AEB6F83"/>
    <w:rsid w:val="1AF423FA"/>
    <w:rsid w:val="1B0C5B32"/>
    <w:rsid w:val="1B0D3E82"/>
    <w:rsid w:val="1B1464DA"/>
    <w:rsid w:val="1B1652AB"/>
    <w:rsid w:val="1B181CD5"/>
    <w:rsid w:val="1B265306"/>
    <w:rsid w:val="1B4346C9"/>
    <w:rsid w:val="1B486183"/>
    <w:rsid w:val="1B4F2450"/>
    <w:rsid w:val="1B50619C"/>
    <w:rsid w:val="1B530868"/>
    <w:rsid w:val="1B6573E8"/>
    <w:rsid w:val="1B6922A5"/>
    <w:rsid w:val="1B721452"/>
    <w:rsid w:val="1B8C18B7"/>
    <w:rsid w:val="1BB73AE1"/>
    <w:rsid w:val="1BDA6D68"/>
    <w:rsid w:val="1BF14125"/>
    <w:rsid w:val="1C002CEE"/>
    <w:rsid w:val="1C157783"/>
    <w:rsid w:val="1C4032FE"/>
    <w:rsid w:val="1C555978"/>
    <w:rsid w:val="1C6554A1"/>
    <w:rsid w:val="1C7971B7"/>
    <w:rsid w:val="1C8036FB"/>
    <w:rsid w:val="1C8651B5"/>
    <w:rsid w:val="1C917D91"/>
    <w:rsid w:val="1CA94A00"/>
    <w:rsid w:val="1CAB2820"/>
    <w:rsid w:val="1CD402EC"/>
    <w:rsid w:val="1CED16EF"/>
    <w:rsid w:val="1CF02333"/>
    <w:rsid w:val="1D047E88"/>
    <w:rsid w:val="1D0C33A2"/>
    <w:rsid w:val="1D0C4F8F"/>
    <w:rsid w:val="1D113E6E"/>
    <w:rsid w:val="1D114E5E"/>
    <w:rsid w:val="1D1F0050"/>
    <w:rsid w:val="1D214EDE"/>
    <w:rsid w:val="1D2222DC"/>
    <w:rsid w:val="1D5144F7"/>
    <w:rsid w:val="1D5B3CDE"/>
    <w:rsid w:val="1D5D0701"/>
    <w:rsid w:val="1D6E2950"/>
    <w:rsid w:val="1D79298C"/>
    <w:rsid w:val="1D98209B"/>
    <w:rsid w:val="1DA23746"/>
    <w:rsid w:val="1DAA14B9"/>
    <w:rsid w:val="1DD04513"/>
    <w:rsid w:val="1DD8524D"/>
    <w:rsid w:val="1DDD2BCB"/>
    <w:rsid w:val="1E0345E3"/>
    <w:rsid w:val="1E1B7B7F"/>
    <w:rsid w:val="1E443370"/>
    <w:rsid w:val="1E656063"/>
    <w:rsid w:val="1E672DC4"/>
    <w:rsid w:val="1E6B06A5"/>
    <w:rsid w:val="1E7554E1"/>
    <w:rsid w:val="1E7F7D9E"/>
    <w:rsid w:val="1E840DA4"/>
    <w:rsid w:val="1EA5444C"/>
    <w:rsid w:val="1EA5569B"/>
    <w:rsid w:val="1EB350EF"/>
    <w:rsid w:val="1EC21749"/>
    <w:rsid w:val="1ECC1684"/>
    <w:rsid w:val="1EEB7C4E"/>
    <w:rsid w:val="1F072441"/>
    <w:rsid w:val="1F171B83"/>
    <w:rsid w:val="1F2D4691"/>
    <w:rsid w:val="1F2D491A"/>
    <w:rsid w:val="1F3F789D"/>
    <w:rsid w:val="1F4E5D32"/>
    <w:rsid w:val="1F66355F"/>
    <w:rsid w:val="1F7369C7"/>
    <w:rsid w:val="1F9113A9"/>
    <w:rsid w:val="1F94547B"/>
    <w:rsid w:val="1FA47700"/>
    <w:rsid w:val="1FAF308C"/>
    <w:rsid w:val="1FB64FF9"/>
    <w:rsid w:val="1FC11109"/>
    <w:rsid w:val="1FDA3223"/>
    <w:rsid w:val="1FDE2C12"/>
    <w:rsid w:val="1FEF08C8"/>
    <w:rsid w:val="1FF72E6A"/>
    <w:rsid w:val="1FFB6F12"/>
    <w:rsid w:val="201B3ED4"/>
    <w:rsid w:val="20230F6D"/>
    <w:rsid w:val="20310B02"/>
    <w:rsid w:val="20344F28"/>
    <w:rsid w:val="206F0406"/>
    <w:rsid w:val="207417C9"/>
    <w:rsid w:val="20784063"/>
    <w:rsid w:val="207E346A"/>
    <w:rsid w:val="208E12C3"/>
    <w:rsid w:val="209502A3"/>
    <w:rsid w:val="20EA3839"/>
    <w:rsid w:val="2100305C"/>
    <w:rsid w:val="210F579E"/>
    <w:rsid w:val="21163FF0"/>
    <w:rsid w:val="211B39F2"/>
    <w:rsid w:val="212550B5"/>
    <w:rsid w:val="212B632B"/>
    <w:rsid w:val="21592B62"/>
    <w:rsid w:val="2172049B"/>
    <w:rsid w:val="21747CD2"/>
    <w:rsid w:val="2180610B"/>
    <w:rsid w:val="219263AA"/>
    <w:rsid w:val="219E5782"/>
    <w:rsid w:val="21C85928"/>
    <w:rsid w:val="21D10545"/>
    <w:rsid w:val="21E72B0B"/>
    <w:rsid w:val="21E76A4A"/>
    <w:rsid w:val="21EE607E"/>
    <w:rsid w:val="21F66F4C"/>
    <w:rsid w:val="221F2D96"/>
    <w:rsid w:val="22246DB1"/>
    <w:rsid w:val="22440067"/>
    <w:rsid w:val="225A6017"/>
    <w:rsid w:val="22631AF5"/>
    <w:rsid w:val="227A5532"/>
    <w:rsid w:val="22843A03"/>
    <w:rsid w:val="228E5C2C"/>
    <w:rsid w:val="22A338AB"/>
    <w:rsid w:val="22AD37A2"/>
    <w:rsid w:val="22B31E8A"/>
    <w:rsid w:val="22C05285"/>
    <w:rsid w:val="22C735BD"/>
    <w:rsid w:val="22CF0F38"/>
    <w:rsid w:val="22D729A8"/>
    <w:rsid w:val="22F06957"/>
    <w:rsid w:val="23057681"/>
    <w:rsid w:val="230C5CE8"/>
    <w:rsid w:val="23122833"/>
    <w:rsid w:val="231D4917"/>
    <w:rsid w:val="23223458"/>
    <w:rsid w:val="23225D32"/>
    <w:rsid w:val="23357BE6"/>
    <w:rsid w:val="2342574E"/>
    <w:rsid w:val="2355143D"/>
    <w:rsid w:val="236D1BFA"/>
    <w:rsid w:val="236D331D"/>
    <w:rsid w:val="2377331D"/>
    <w:rsid w:val="237D43DE"/>
    <w:rsid w:val="238A5E5E"/>
    <w:rsid w:val="23940114"/>
    <w:rsid w:val="239A1546"/>
    <w:rsid w:val="23B57016"/>
    <w:rsid w:val="23C4797E"/>
    <w:rsid w:val="23CD5478"/>
    <w:rsid w:val="23D4764B"/>
    <w:rsid w:val="23EC3718"/>
    <w:rsid w:val="23EE304F"/>
    <w:rsid w:val="23FD7010"/>
    <w:rsid w:val="240243FC"/>
    <w:rsid w:val="24044EF2"/>
    <w:rsid w:val="2407139D"/>
    <w:rsid w:val="240B04F4"/>
    <w:rsid w:val="240E369A"/>
    <w:rsid w:val="241E2177"/>
    <w:rsid w:val="242A0646"/>
    <w:rsid w:val="2435301D"/>
    <w:rsid w:val="243A0633"/>
    <w:rsid w:val="243D6E1A"/>
    <w:rsid w:val="24453D05"/>
    <w:rsid w:val="244A2F6C"/>
    <w:rsid w:val="24607F91"/>
    <w:rsid w:val="246C581B"/>
    <w:rsid w:val="247C52A2"/>
    <w:rsid w:val="24942917"/>
    <w:rsid w:val="24AE34FB"/>
    <w:rsid w:val="24CC106B"/>
    <w:rsid w:val="24D00598"/>
    <w:rsid w:val="24D725E9"/>
    <w:rsid w:val="24E011DB"/>
    <w:rsid w:val="24EC31CF"/>
    <w:rsid w:val="25045F70"/>
    <w:rsid w:val="250474F1"/>
    <w:rsid w:val="25056E93"/>
    <w:rsid w:val="25092EBA"/>
    <w:rsid w:val="250E5D48"/>
    <w:rsid w:val="25241020"/>
    <w:rsid w:val="25302410"/>
    <w:rsid w:val="257572C3"/>
    <w:rsid w:val="25790E85"/>
    <w:rsid w:val="25965D3D"/>
    <w:rsid w:val="25972C60"/>
    <w:rsid w:val="25974C6F"/>
    <w:rsid w:val="259D1676"/>
    <w:rsid w:val="25A353EB"/>
    <w:rsid w:val="25B87B65"/>
    <w:rsid w:val="25CB78C3"/>
    <w:rsid w:val="25D54390"/>
    <w:rsid w:val="25D6438C"/>
    <w:rsid w:val="261879A7"/>
    <w:rsid w:val="261A071C"/>
    <w:rsid w:val="26395046"/>
    <w:rsid w:val="264B0BA4"/>
    <w:rsid w:val="264F4111"/>
    <w:rsid w:val="265E0AEC"/>
    <w:rsid w:val="2661459D"/>
    <w:rsid w:val="268C5256"/>
    <w:rsid w:val="268E455B"/>
    <w:rsid w:val="26912B30"/>
    <w:rsid w:val="269772F0"/>
    <w:rsid w:val="26997893"/>
    <w:rsid w:val="26A30712"/>
    <w:rsid w:val="26AC0C27"/>
    <w:rsid w:val="26C807A6"/>
    <w:rsid w:val="26D1527F"/>
    <w:rsid w:val="26D23F28"/>
    <w:rsid w:val="26DB67BA"/>
    <w:rsid w:val="26DE3298"/>
    <w:rsid w:val="26E311CD"/>
    <w:rsid w:val="26EF24ED"/>
    <w:rsid w:val="26F1408A"/>
    <w:rsid w:val="26F86CAF"/>
    <w:rsid w:val="26F96584"/>
    <w:rsid w:val="26FC4FA5"/>
    <w:rsid w:val="27015370"/>
    <w:rsid w:val="270B421F"/>
    <w:rsid w:val="271F6B87"/>
    <w:rsid w:val="274E2228"/>
    <w:rsid w:val="27517A93"/>
    <w:rsid w:val="27565784"/>
    <w:rsid w:val="275E53AF"/>
    <w:rsid w:val="27606603"/>
    <w:rsid w:val="276658E8"/>
    <w:rsid w:val="276F6846"/>
    <w:rsid w:val="277E30D2"/>
    <w:rsid w:val="27803F2A"/>
    <w:rsid w:val="278A18D2"/>
    <w:rsid w:val="27983FEE"/>
    <w:rsid w:val="27A34941"/>
    <w:rsid w:val="27A97FAA"/>
    <w:rsid w:val="27EE3A7B"/>
    <w:rsid w:val="27FA25B3"/>
    <w:rsid w:val="28033B5E"/>
    <w:rsid w:val="28100029"/>
    <w:rsid w:val="28125B4F"/>
    <w:rsid w:val="282B09BF"/>
    <w:rsid w:val="282E4F00"/>
    <w:rsid w:val="283C23DF"/>
    <w:rsid w:val="283D69F1"/>
    <w:rsid w:val="283F090E"/>
    <w:rsid w:val="284C16F5"/>
    <w:rsid w:val="28570AB5"/>
    <w:rsid w:val="285F2CDC"/>
    <w:rsid w:val="28622C36"/>
    <w:rsid w:val="2869172C"/>
    <w:rsid w:val="288C2D07"/>
    <w:rsid w:val="289E7E22"/>
    <w:rsid w:val="28C2534B"/>
    <w:rsid w:val="28C5525A"/>
    <w:rsid w:val="28D14B96"/>
    <w:rsid w:val="29020C46"/>
    <w:rsid w:val="290240C7"/>
    <w:rsid w:val="291713AF"/>
    <w:rsid w:val="291A2B97"/>
    <w:rsid w:val="29274EE0"/>
    <w:rsid w:val="294F692F"/>
    <w:rsid w:val="295029E3"/>
    <w:rsid w:val="29543A59"/>
    <w:rsid w:val="29670ED3"/>
    <w:rsid w:val="296879F1"/>
    <w:rsid w:val="2969197F"/>
    <w:rsid w:val="29746E87"/>
    <w:rsid w:val="297939AC"/>
    <w:rsid w:val="297C03C2"/>
    <w:rsid w:val="299573AB"/>
    <w:rsid w:val="29B05804"/>
    <w:rsid w:val="29BE5BD0"/>
    <w:rsid w:val="29C01572"/>
    <w:rsid w:val="29C25353"/>
    <w:rsid w:val="29CA4207"/>
    <w:rsid w:val="29D82DC8"/>
    <w:rsid w:val="29DA08EE"/>
    <w:rsid w:val="29DB6414"/>
    <w:rsid w:val="29E74CE2"/>
    <w:rsid w:val="2A133E00"/>
    <w:rsid w:val="2A241B69"/>
    <w:rsid w:val="2A306A36"/>
    <w:rsid w:val="2A355B25"/>
    <w:rsid w:val="2A41271B"/>
    <w:rsid w:val="2A457300"/>
    <w:rsid w:val="2A5372C6"/>
    <w:rsid w:val="2A5A558B"/>
    <w:rsid w:val="2A5B03D8"/>
    <w:rsid w:val="2A6F6D07"/>
    <w:rsid w:val="2A852253"/>
    <w:rsid w:val="2A882500"/>
    <w:rsid w:val="2AA35184"/>
    <w:rsid w:val="2AAB4E76"/>
    <w:rsid w:val="2AB63ABC"/>
    <w:rsid w:val="2AB63D0A"/>
    <w:rsid w:val="2AC31382"/>
    <w:rsid w:val="2AD0584D"/>
    <w:rsid w:val="2AD549F8"/>
    <w:rsid w:val="2AEA74E5"/>
    <w:rsid w:val="2AFB4FC0"/>
    <w:rsid w:val="2B003D00"/>
    <w:rsid w:val="2B074D5E"/>
    <w:rsid w:val="2B0A6991"/>
    <w:rsid w:val="2B100BA9"/>
    <w:rsid w:val="2B1B5825"/>
    <w:rsid w:val="2B1E3AFC"/>
    <w:rsid w:val="2B4A5600"/>
    <w:rsid w:val="2B574FD9"/>
    <w:rsid w:val="2B642979"/>
    <w:rsid w:val="2B681F2A"/>
    <w:rsid w:val="2B8D373E"/>
    <w:rsid w:val="2B9E4F56"/>
    <w:rsid w:val="2BB84C5F"/>
    <w:rsid w:val="2BD96984"/>
    <w:rsid w:val="2BDB5A88"/>
    <w:rsid w:val="2BDB6BA0"/>
    <w:rsid w:val="2BE91C37"/>
    <w:rsid w:val="2BEC3F72"/>
    <w:rsid w:val="2C083572"/>
    <w:rsid w:val="2C185F94"/>
    <w:rsid w:val="2C1F1AC4"/>
    <w:rsid w:val="2C2945BA"/>
    <w:rsid w:val="2C2E71FC"/>
    <w:rsid w:val="2C3F3A41"/>
    <w:rsid w:val="2C4431C4"/>
    <w:rsid w:val="2C55747C"/>
    <w:rsid w:val="2C62059F"/>
    <w:rsid w:val="2C6634FA"/>
    <w:rsid w:val="2C7566AC"/>
    <w:rsid w:val="2C7843EE"/>
    <w:rsid w:val="2CA25191"/>
    <w:rsid w:val="2CAC022C"/>
    <w:rsid w:val="2CC11807"/>
    <w:rsid w:val="2CC66CD6"/>
    <w:rsid w:val="2CE327BC"/>
    <w:rsid w:val="2CF16074"/>
    <w:rsid w:val="2CF241A1"/>
    <w:rsid w:val="2CF81D1B"/>
    <w:rsid w:val="2D3F2453"/>
    <w:rsid w:val="2D6F134E"/>
    <w:rsid w:val="2D835174"/>
    <w:rsid w:val="2D9331F9"/>
    <w:rsid w:val="2DD90B7B"/>
    <w:rsid w:val="2DD92C6B"/>
    <w:rsid w:val="2DDD3FC1"/>
    <w:rsid w:val="2DE531B8"/>
    <w:rsid w:val="2DEA131C"/>
    <w:rsid w:val="2DF701D8"/>
    <w:rsid w:val="2DF970A1"/>
    <w:rsid w:val="2E0665A9"/>
    <w:rsid w:val="2E085834"/>
    <w:rsid w:val="2E1034F8"/>
    <w:rsid w:val="2E112405"/>
    <w:rsid w:val="2E120D8E"/>
    <w:rsid w:val="2E1B46D1"/>
    <w:rsid w:val="2E310CF9"/>
    <w:rsid w:val="2E443652"/>
    <w:rsid w:val="2E505773"/>
    <w:rsid w:val="2E5C0A3D"/>
    <w:rsid w:val="2E742F70"/>
    <w:rsid w:val="2E8E7EF9"/>
    <w:rsid w:val="2E9077CD"/>
    <w:rsid w:val="2E9574DA"/>
    <w:rsid w:val="2E9A689E"/>
    <w:rsid w:val="2ED61D9E"/>
    <w:rsid w:val="2EDC2A13"/>
    <w:rsid w:val="2EFD7DB9"/>
    <w:rsid w:val="2F1A081D"/>
    <w:rsid w:val="2F1C72B3"/>
    <w:rsid w:val="2F1E1306"/>
    <w:rsid w:val="2F1E3DC0"/>
    <w:rsid w:val="2F2D326E"/>
    <w:rsid w:val="2F3112DE"/>
    <w:rsid w:val="2F3B6922"/>
    <w:rsid w:val="2F3D7B25"/>
    <w:rsid w:val="2F480119"/>
    <w:rsid w:val="2F506C6D"/>
    <w:rsid w:val="2F512253"/>
    <w:rsid w:val="2F51291F"/>
    <w:rsid w:val="2F55758A"/>
    <w:rsid w:val="2F68074A"/>
    <w:rsid w:val="2F7F15AE"/>
    <w:rsid w:val="2F912594"/>
    <w:rsid w:val="2FA54796"/>
    <w:rsid w:val="2FA674E2"/>
    <w:rsid w:val="2FEE6EA1"/>
    <w:rsid w:val="2FFE7D49"/>
    <w:rsid w:val="3002294D"/>
    <w:rsid w:val="3011153D"/>
    <w:rsid w:val="30142680"/>
    <w:rsid w:val="302567CF"/>
    <w:rsid w:val="302A11B1"/>
    <w:rsid w:val="302A5C42"/>
    <w:rsid w:val="30340091"/>
    <w:rsid w:val="30662043"/>
    <w:rsid w:val="306D3B35"/>
    <w:rsid w:val="307153DD"/>
    <w:rsid w:val="3083092C"/>
    <w:rsid w:val="30930D2E"/>
    <w:rsid w:val="30B8125D"/>
    <w:rsid w:val="30B87D63"/>
    <w:rsid w:val="30BF439A"/>
    <w:rsid w:val="30CF6A37"/>
    <w:rsid w:val="30D250CF"/>
    <w:rsid w:val="30E7260A"/>
    <w:rsid w:val="30EA0C38"/>
    <w:rsid w:val="31002970"/>
    <w:rsid w:val="311016AD"/>
    <w:rsid w:val="31220DA0"/>
    <w:rsid w:val="31253A1B"/>
    <w:rsid w:val="3136622A"/>
    <w:rsid w:val="31393501"/>
    <w:rsid w:val="3139422E"/>
    <w:rsid w:val="31496359"/>
    <w:rsid w:val="314D19A6"/>
    <w:rsid w:val="31580A38"/>
    <w:rsid w:val="316177A4"/>
    <w:rsid w:val="31700E4B"/>
    <w:rsid w:val="3172683C"/>
    <w:rsid w:val="318F773E"/>
    <w:rsid w:val="31A359FC"/>
    <w:rsid w:val="31AD0D61"/>
    <w:rsid w:val="31C42968"/>
    <w:rsid w:val="31CD297B"/>
    <w:rsid w:val="31CD73BD"/>
    <w:rsid w:val="31D66571"/>
    <w:rsid w:val="31DB4220"/>
    <w:rsid w:val="31DC56CD"/>
    <w:rsid w:val="31E63B94"/>
    <w:rsid w:val="31EA3699"/>
    <w:rsid w:val="31F27AF7"/>
    <w:rsid w:val="31FA74CA"/>
    <w:rsid w:val="32176602"/>
    <w:rsid w:val="322A7699"/>
    <w:rsid w:val="322B25C6"/>
    <w:rsid w:val="32422E70"/>
    <w:rsid w:val="325E56C6"/>
    <w:rsid w:val="3275698A"/>
    <w:rsid w:val="327C0679"/>
    <w:rsid w:val="32870EE7"/>
    <w:rsid w:val="32943B86"/>
    <w:rsid w:val="32A93829"/>
    <w:rsid w:val="32B943EC"/>
    <w:rsid w:val="32B9519B"/>
    <w:rsid w:val="32BA12BD"/>
    <w:rsid w:val="32CC7242"/>
    <w:rsid w:val="32D85BE7"/>
    <w:rsid w:val="32DC63A0"/>
    <w:rsid w:val="32E429C1"/>
    <w:rsid w:val="330503EE"/>
    <w:rsid w:val="33274478"/>
    <w:rsid w:val="334045BE"/>
    <w:rsid w:val="334A3B2A"/>
    <w:rsid w:val="3365592E"/>
    <w:rsid w:val="336A31F3"/>
    <w:rsid w:val="336F6533"/>
    <w:rsid w:val="337E5E2F"/>
    <w:rsid w:val="3384610D"/>
    <w:rsid w:val="33AA5979"/>
    <w:rsid w:val="33C03E90"/>
    <w:rsid w:val="33C96649"/>
    <w:rsid w:val="33CC3D88"/>
    <w:rsid w:val="33D939C5"/>
    <w:rsid w:val="33DD0306"/>
    <w:rsid w:val="33F627C9"/>
    <w:rsid w:val="33FD722F"/>
    <w:rsid w:val="3400362D"/>
    <w:rsid w:val="340B09C5"/>
    <w:rsid w:val="341E4CAB"/>
    <w:rsid w:val="34584EE2"/>
    <w:rsid w:val="347A1C51"/>
    <w:rsid w:val="347D373F"/>
    <w:rsid w:val="34922A93"/>
    <w:rsid w:val="34956481"/>
    <w:rsid w:val="34A35871"/>
    <w:rsid w:val="34A439CE"/>
    <w:rsid w:val="34C06C9D"/>
    <w:rsid w:val="34DF24AE"/>
    <w:rsid w:val="351C4931"/>
    <w:rsid w:val="351C4EAC"/>
    <w:rsid w:val="351D4C26"/>
    <w:rsid w:val="352B46F4"/>
    <w:rsid w:val="352E7D40"/>
    <w:rsid w:val="35361A77"/>
    <w:rsid w:val="353E3C50"/>
    <w:rsid w:val="35461A22"/>
    <w:rsid w:val="35483CC9"/>
    <w:rsid w:val="354B08F2"/>
    <w:rsid w:val="35571045"/>
    <w:rsid w:val="356E46AA"/>
    <w:rsid w:val="357235B0"/>
    <w:rsid w:val="3578502D"/>
    <w:rsid w:val="3586192A"/>
    <w:rsid w:val="358625C7"/>
    <w:rsid w:val="35A815CB"/>
    <w:rsid w:val="35A85BD0"/>
    <w:rsid w:val="35AA1B9C"/>
    <w:rsid w:val="35C81F43"/>
    <w:rsid w:val="35D501BC"/>
    <w:rsid w:val="35DB09A6"/>
    <w:rsid w:val="36080591"/>
    <w:rsid w:val="3609472F"/>
    <w:rsid w:val="36183AA2"/>
    <w:rsid w:val="36203B2D"/>
    <w:rsid w:val="36257395"/>
    <w:rsid w:val="363E0457"/>
    <w:rsid w:val="365B4B65"/>
    <w:rsid w:val="36806379"/>
    <w:rsid w:val="369B4CF0"/>
    <w:rsid w:val="36C56482"/>
    <w:rsid w:val="36D62629"/>
    <w:rsid w:val="36D76172"/>
    <w:rsid w:val="36D84407"/>
    <w:rsid w:val="36E833BB"/>
    <w:rsid w:val="36EB1E1B"/>
    <w:rsid w:val="36F17F0D"/>
    <w:rsid w:val="36FB00F6"/>
    <w:rsid w:val="37103BA1"/>
    <w:rsid w:val="37224581"/>
    <w:rsid w:val="3735197D"/>
    <w:rsid w:val="373756A2"/>
    <w:rsid w:val="374A416C"/>
    <w:rsid w:val="375E0DA6"/>
    <w:rsid w:val="377639AE"/>
    <w:rsid w:val="378142CB"/>
    <w:rsid w:val="378B61A6"/>
    <w:rsid w:val="37B90F0B"/>
    <w:rsid w:val="37CD3F98"/>
    <w:rsid w:val="37DE77FC"/>
    <w:rsid w:val="37DF75BA"/>
    <w:rsid w:val="37E148E2"/>
    <w:rsid w:val="37F848EE"/>
    <w:rsid w:val="37F912FC"/>
    <w:rsid w:val="380D59EE"/>
    <w:rsid w:val="38304889"/>
    <w:rsid w:val="3836588A"/>
    <w:rsid w:val="38382675"/>
    <w:rsid w:val="383B7B0D"/>
    <w:rsid w:val="3848553B"/>
    <w:rsid w:val="3851700B"/>
    <w:rsid w:val="385246B6"/>
    <w:rsid w:val="385E6B8E"/>
    <w:rsid w:val="3876113B"/>
    <w:rsid w:val="38883C0B"/>
    <w:rsid w:val="38A53DB7"/>
    <w:rsid w:val="38BF3388"/>
    <w:rsid w:val="38CC268D"/>
    <w:rsid w:val="38DF1FDA"/>
    <w:rsid w:val="38EC2960"/>
    <w:rsid w:val="390069DD"/>
    <w:rsid w:val="39030CF9"/>
    <w:rsid w:val="39091F35"/>
    <w:rsid w:val="390A63CE"/>
    <w:rsid w:val="392536E2"/>
    <w:rsid w:val="39465F15"/>
    <w:rsid w:val="39505209"/>
    <w:rsid w:val="396453C5"/>
    <w:rsid w:val="39922CCF"/>
    <w:rsid w:val="39A24859"/>
    <w:rsid w:val="39A65327"/>
    <w:rsid w:val="39A65C9B"/>
    <w:rsid w:val="39BC591B"/>
    <w:rsid w:val="39BC5ED6"/>
    <w:rsid w:val="39D27231"/>
    <w:rsid w:val="39E6508D"/>
    <w:rsid w:val="39E82BB3"/>
    <w:rsid w:val="39EB39E0"/>
    <w:rsid w:val="39EF02D4"/>
    <w:rsid w:val="3A11342A"/>
    <w:rsid w:val="3A153110"/>
    <w:rsid w:val="3A2149EA"/>
    <w:rsid w:val="3A2507C0"/>
    <w:rsid w:val="3A285AD8"/>
    <w:rsid w:val="3A393FA7"/>
    <w:rsid w:val="3A3A5A22"/>
    <w:rsid w:val="3A524858"/>
    <w:rsid w:val="3A64203E"/>
    <w:rsid w:val="3A663D00"/>
    <w:rsid w:val="3A7428D0"/>
    <w:rsid w:val="3A747EDD"/>
    <w:rsid w:val="3A923AE4"/>
    <w:rsid w:val="3AA50E25"/>
    <w:rsid w:val="3AC566E3"/>
    <w:rsid w:val="3AD6747A"/>
    <w:rsid w:val="3AD95C48"/>
    <w:rsid w:val="3ADF5D0A"/>
    <w:rsid w:val="3AE83F75"/>
    <w:rsid w:val="3B312338"/>
    <w:rsid w:val="3B3C5B77"/>
    <w:rsid w:val="3B3D0FF2"/>
    <w:rsid w:val="3B501351"/>
    <w:rsid w:val="3B521A18"/>
    <w:rsid w:val="3B8D2B96"/>
    <w:rsid w:val="3B923660"/>
    <w:rsid w:val="3BCA44BE"/>
    <w:rsid w:val="3BDE296C"/>
    <w:rsid w:val="3BF03FA1"/>
    <w:rsid w:val="3C061F3A"/>
    <w:rsid w:val="3C0A04F9"/>
    <w:rsid w:val="3C0D4B53"/>
    <w:rsid w:val="3C495480"/>
    <w:rsid w:val="3C4C3A42"/>
    <w:rsid w:val="3C557EA4"/>
    <w:rsid w:val="3C6F0167"/>
    <w:rsid w:val="3C71667B"/>
    <w:rsid w:val="3C7C75E3"/>
    <w:rsid w:val="3C914F3B"/>
    <w:rsid w:val="3CC17F13"/>
    <w:rsid w:val="3CD15B81"/>
    <w:rsid w:val="3CD50B40"/>
    <w:rsid w:val="3CE320A3"/>
    <w:rsid w:val="3CE9196C"/>
    <w:rsid w:val="3CF15105"/>
    <w:rsid w:val="3D0C04B9"/>
    <w:rsid w:val="3D1414C5"/>
    <w:rsid w:val="3D1C763E"/>
    <w:rsid w:val="3D201AA5"/>
    <w:rsid w:val="3D2B37EA"/>
    <w:rsid w:val="3D2F7FF3"/>
    <w:rsid w:val="3D3B56F0"/>
    <w:rsid w:val="3D3D1507"/>
    <w:rsid w:val="3D62085B"/>
    <w:rsid w:val="3D6B12FD"/>
    <w:rsid w:val="3D7B4622"/>
    <w:rsid w:val="3D8E5820"/>
    <w:rsid w:val="3D942E29"/>
    <w:rsid w:val="3DA53531"/>
    <w:rsid w:val="3DB54E0C"/>
    <w:rsid w:val="3DB900C1"/>
    <w:rsid w:val="3DE51866"/>
    <w:rsid w:val="3DE91725"/>
    <w:rsid w:val="3DF159B1"/>
    <w:rsid w:val="3E135D25"/>
    <w:rsid w:val="3E196FEC"/>
    <w:rsid w:val="3E1A106E"/>
    <w:rsid w:val="3E36303B"/>
    <w:rsid w:val="3E526044"/>
    <w:rsid w:val="3E5C591E"/>
    <w:rsid w:val="3E6C2B3A"/>
    <w:rsid w:val="3E8C5311"/>
    <w:rsid w:val="3E8E7E55"/>
    <w:rsid w:val="3EB61473"/>
    <w:rsid w:val="3EC66011"/>
    <w:rsid w:val="3ED25BE0"/>
    <w:rsid w:val="3ED75B7F"/>
    <w:rsid w:val="3EF9316D"/>
    <w:rsid w:val="3F315E6B"/>
    <w:rsid w:val="3F4E50D7"/>
    <w:rsid w:val="3F5175E2"/>
    <w:rsid w:val="3F56276A"/>
    <w:rsid w:val="3F6C10E0"/>
    <w:rsid w:val="3F963015"/>
    <w:rsid w:val="3F964D35"/>
    <w:rsid w:val="3FA327ED"/>
    <w:rsid w:val="3FB11738"/>
    <w:rsid w:val="3FB47B5D"/>
    <w:rsid w:val="3FB5581B"/>
    <w:rsid w:val="3FB84DD6"/>
    <w:rsid w:val="3FC33D05"/>
    <w:rsid w:val="3FF46B18"/>
    <w:rsid w:val="3FF74A2E"/>
    <w:rsid w:val="3FFC36E2"/>
    <w:rsid w:val="4005572D"/>
    <w:rsid w:val="402833BA"/>
    <w:rsid w:val="40283C2B"/>
    <w:rsid w:val="40394FD1"/>
    <w:rsid w:val="40425879"/>
    <w:rsid w:val="40460634"/>
    <w:rsid w:val="405C1C05"/>
    <w:rsid w:val="40765D15"/>
    <w:rsid w:val="407B4FC1"/>
    <w:rsid w:val="407F2DE9"/>
    <w:rsid w:val="40866C82"/>
    <w:rsid w:val="40920B61"/>
    <w:rsid w:val="40953369"/>
    <w:rsid w:val="40991379"/>
    <w:rsid w:val="409B3C3D"/>
    <w:rsid w:val="409F1D81"/>
    <w:rsid w:val="40EB6898"/>
    <w:rsid w:val="40F701DF"/>
    <w:rsid w:val="40FD480A"/>
    <w:rsid w:val="411B59C4"/>
    <w:rsid w:val="412A32F8"/>
    <w:rsid w:val="4135001C"/>
    <w:rsid w:val="41401527"/>
    <w:rsid w:val="417F433E"/>
    <w:rsid w:val="418A1D66"/>
    <w:rsid w:val="41913B31"/>
    <w:rsid w:val="419C4043"/>
    <w:rsid w:val="41B7239D"/>
    <w:rsid w:val="41C95079"/>
    <w:rsid w:val="41D852BC"/>
    <w:rsid w:val="41FF3845"/>
    <w:rsid w:val="420E33D3"/>
    <w:rsid w:val="42101488"/>
    <w:rsid w:val="421104A9"/>
    <w:rsid w:val="42143B88"/>
    <w:rsid w:val="42164586"/>
    <w:rsid w:val="422E75D1"/>
    <w:rsid w:val="42475850"/>
    <w:rsid w:val="424C7A58"/>
    <w:rsid w:val="424E1A22"/>
    <w:rsid w:val="425B5DD1"/>
    <w:rsid w:val="4260300C"/>
    <w:rsid w:val="42755200"/>
    <w:rsid w:val="42772802"/>
    <w:rsid w:val="427C799E"/>
    <w:rsid w:val="427F607F"/>
    <w:rsid w:val="42800B9B"/>
    <w:rsid w:val="4281223D"/>
    <w:rsid w:val="428E62C2"/>
    <w:rsid w:val="42A06B6C"/>
    <w:rsid w:val="42A27996"/>
    <w:rsid w:val="42A45E72"/>
    <w:rsid w:val="42AA04E2"/>
    <w:rsid w:val="42EA5650"/>
    <w:rsid w:val="431408DA"/>
    <w:rsid w:val="431B7C78"/>
    <w:rsid w:val="4331401E"/>
    <w:rsid w:val="43486FC5"/>
    <w:rsid w:val="43591DDA"/>
    <w:rsid w:val="435A0DF2"/>
    <w:rsid w:val="435B43F6"/>
    <w:rsid w:val="436C42E1"/>
    <w:rsid w:val="437102E7"/>
    <w:rsid w:val="437C210F"/>
    <w:rsid w:val="43847F02"/>
    <w:rsid w:val="438F113C"/>
    <w:rsid w:val="439E7EFB"/>
    <w:rsid w:val="43B1568A"/>
    <w:rsid w:val="43B64E08"/>
    <w:rsid w:val="43BD7F58"/>
    <w:rsid w:val="43D43ECA"/>
    <w:rsid w:val="43DD452F"/>
    <w:rsid w:val="43DE6CD4"/>
    <w:rsid w:val="43E51150"/>
    <w:rsid w:val="43EE12FB"/>
    <w:rsid w:val="43EF28BB"/>
    <w:rsid w:val="43EF56D3"/>
    <w:rsid w:val="43F47D80"/>
    <w:rsid w:val="43F565F9"/>
    <w:rsid w:val="44095C00"/>
    <w:rsid w:val="440A6FD2"/>
    <w:rsid w:val="442A1797"/>
    <w:rsid w:val="44366C11"/>
    <w:rsid w:val="444946CA"/>
    <w:rsid w:val="444B3F54"/>
    <w:rsid w:val="44580936"/>
    <w:rsid w:val="445D7CFA"/>
    <w:rsid w:val="4476661F"/>
    <w:rsid w:val="447E3AC5"/>
    <w:rsid w:val="44805ED4"/>
    <w:rsid w:val="448E5DEE"/>
    <w:rsid w:val="449E4142"/>
    <w:rsid w:val="44A90BAA"/>
    <w:rsid w:val="44B24A20"/>
    <w:rsid w:val="44BC0BEE"/>
    <w:rsid w:val="44BF6C07"/>
    <w:rsid w:val="44C24001"/>
    <w:rsid w:val="44C55A88"/>
    <w:rsid w:val="44FB1C9C"/>
    <w:rsid w:val="45392A13"/>
    <w:rsid w:val="453E3FCF"/>
    <w:rsid w:val="454F1836"/>
    <w:rsid w:val="45566A25"/>
    <w:rsid w:val="45887B45"/>
    <w:rsid w:val="458B66DF"/>
    <w:rsid w:val="45940F0E"/>
    <w:rsid w:val="45AC5DBA"/>
    <w:rsid w:val="45C647AF"/>
    <w:rsid w:val="45DD529D"/>
    <w:rsid w:val="45E57886"/>
    <w:rsid w:val="45E945CC"/>
    <w:rsid w:val="46003076"/>
    <w:rsid w:val="46026F63"/>
    <w:rsid w:val="46113492"/>
    <w:rsid w:val="46177E29"/>
    <w:rsid w:val="46205B7F"/>
    <w:rsid w:val="462A6010"/>
    <w:rsid w:val="465D501C"/>
    <w:rsid w:val="466367DB"/>
    <w:rsid w:val="46686D18"/>
    <w:rsid w:val="466D15DA"/>
    <w:rsid w:val="46737CA9"/>
    <w:rsid w:val="46853538"/>
    <w:rsid w:val="46A2058E"/>
    <w:rsid w:val="46BF7E28"/>
    <w:rsid w:val="46C3037C"/>
    <w:rsid w:val="46EF26BD"/>
    <w:rsid w:val="46FF15E0"/>
    <w:rsid w:val="4700581C"/>
    <w:rsid w:val="4702516A"/>
    <w:rsid w:val="471E5E67"/>
    <w:rsid w:val="4724600B"/>
    <w:rsid w:val="472E597E"/>
    <w:rsid w:val="47375C9F"/>
    <w:rsid w:val="47461B9F"/>
    <w:rsid w:val="474A4B33"/>
    <w:rsid w:val="47665A15"/>
    <w:rsid w:val="47677941"/>
    <w:rsid w:val="477F1660"/>
    <w:rsid w:val="4788232A"/>
    <w:rsid w:val="478B0398"/>
    <w:rsid w:val="478F5D0B"/>
    <w:rsid w:val="479D5A47"/>
    <w:rsid w:val="47A11E6C"/>
    <w:rsid w:val="47A31F5F"/>
    <w:rsid w:val="47A84BA6"/>
    <w:rsid w:val="47B52444"/>
    <w:rsid w:val="47B8724E"/>
    <w:rsid w:val="47ED7BCA"/>
    <w:rsid w:val="48016F34"/>
    <w:rsid w:val="480556DB"/>
    <w:rsid w:val="48185C56"/>
    <w:rsid w:val="48254C34"/>
    <w:rsid w:val="48450F81"/>
    <w:rsid w:val="48455675"/>
    <w:rsid w:val="484E729D"/>
    <w:rsid w:val="485338EE"/>
    <w:rsid w:val="48566773"/>
    <w:rsid w:val="485A23C2"/>
    <w:rsid w:val="48623B31"/>
    <w:rsid w:val="48691107"/>
    <w:rsid w:val="48711FC6"/>
    <w:rsid w:val="48895289"/>
    <w:rsid w:val="489363E0"/>
    <w:rsid w:val="48A16B62"/>
    <w:rsid w:val="48AE0D54"/>
    <w:rsid w:val="48BC6222"/>
    <w:rsid w:val="48C245E9"/>
    <w:rsid w:val="48DB312A"/>
    <w:rsid w:val="48DF49D9"/>
    <w:rsid w:val="48E45842"/>
    <w:rsid w:val="492108CC"/>
    <w:rsid w:val="49413F52"/>
    <w:rsid w:val="494F6304"/>
    <w:rsid w:val="49555444"/>
    <w:rsid w:val="49792B95"/>
    <w:rsid w:val="49F11610"/>
    <w:rsid w:val="4A05334F"/>
    <w:rsid w:val="4A060864"/>
    <w:rsid w:val="4A244932"/>
    <w:rsid w:val="4A2922C8"/>
    <w:rsid w:val="4A4117B2"/>
    <w:rsid w:val="4A4A6F73"/>
    <w:rsid w:val="4A7A4350"/>
    <w:rsid w:val="4A7B1703"/>
    <w:rsid w:val="4A7E2497"/>
    <w:rsid w:val="4A896826"/>
    <w:rsid w:val="4ABF5E17"/>
    <w:rsid w:val="4ACB00B3"/>
    <w:rsid w:val="4ACF7478"/>
    <w:rsid w:val="4AD52CE0"/>
    <w:rsid w:val="4ADB1B7B"/>
    <w:rsid w:val="4AE01A66"/>
    <w:rsid w:val="4AE104D6"/>
    <w:rsid w:val="4AE724D1"/>
    <w:rsid w:val="4AE77140"/>
    <w:rsid w:val="4AEA4061"/>
    <w:rsid w:val="4AEB3612"/>
    <w:rsid w:val="4AED707B"/>
    <w:rsid w:val="4AFA2F07"/>
    <w:rsid w:val="4AFF7D5D"/>
    <w:rsid w:val="4B015D61"/>
    <w:rsid w:val="4B0B7979"/>
    <w:rsid w:val="4B1530DD"/>
    <w:rsid w:val="4B520DF4"/>
    <w:rsid w:val="4B603107"/>
    <w:rsid w:val="4B7A5635"/>
    <w:rsid w:val="4B8E10E1"/>
    <w:rsid w:val="4B9802B0"/>
    <w:rsid w:val="4B9E65BE"/>
    <w:rsid w:val="4B9F33A8"/>
    <w:rsid w:val="4BA80AFD"/>
    <w:rsid w:val="4BB033BA"/>
    <w:rsid w:val="4BB469AD"/>
    <w:rsid w:val="4BC06040"/>
    <w:rsid w:val="4BC66ACD"/>
    <w:rsid w:val="4BCF5981"/>
    <w:rsid w:val="4BD846DB"/>
    <w:rsid w:val="4BF441D2"/>
    <w:rsid w:val="4C1C2A09"/>
    <w:rsid w:val="4C284AD9"/>
    <w:rsid w:val="4C423098"/>
    <w:rsid w:val="4C694192"/>
    <w:rsid w:val="4C7964D9"/>
    <w:rsid w:val="4C8C5620"/>
    <w:rsid w:val="4C9269F6"/>
    <w:rsid w:val="4CB75F07"/>
    <w:rsid w:val="4CC84335"/>
    <w:rsid w:val="4CD22B0F"/>
    <w:rsid w:val="4CDA3E72"/>
    <w:rsid w:val="4CE4545C"/>
    <w:rsid w:val="4CE9350A"/>
    <w:rsid w:val="4D014937"/>
    <w:rsid w:val="4D156927"/>
    <w:rsid w:val="4D1E2466"/>
    <w:rsid w:val="4D225F85"/>
    <w:rsid w:val="4D22794B"/>
    <w:rsid w:val="4D297BF3"/>
    <w:rsid w:val="4D2D0EAF"/>
    <w:rsid w:val="4D795A49"/>
    <w:rsid w:val="4D7F0082"/>
    <w:rsid w:val="4D952FD9"/>
    <w:rsid w:val="4D970662"/>
    <w:rsid w:val="4D9A1FBF"/>
    <w:rsid w:val="4D9F40B3"/>
    <w:rsid w:val="4DB33393"/>
    <w:rsid w:val="4DBC3CE3"/>
    <w:rsid w:val="4DCB51C5"/>
    <w:rsid w:val="4DCF1E0D"/>
    <w:rsid w:val="4DD21759"/>
    <w:rsid w:val="4DD632D9"/>
    <w:rsid w:val="4DE05D9E"/>
    <w:rsid w:val="4DE05DF9"/>
    <w:rsid w:val="4DE44800"/>
    <w:rsid w:val="4DEE0709"/>
    <w:rsid w:val="4DF26A56"/>
    <w:rsid w:val="4DF47921"/>
    <w:rsid w:val="4DFC14EA"/>
    <w:rsid w:val="4DFF6815"/>
    <w:rsid w:val="4E0A3427"/>
    <w:rsid w:val="4E124B64"/>
    <w:rsid w:val="4E2423AC"/>
    <w:rsid w:val="4E261AA5"/>
    <w:rsid w:val="4E287F63"/>
    <w:rsid w:val="4E304B5D"/>
    <w:rsid w:val="4E3F66C2"/>
    <w:rsid w:val="4E611B8B"/>
    <w:rsid w:val="4E6279D7"/>
    <w:rsid w:val="4E682F8C"/>
    <w:rsid w:val="4E6A7BB7"/>
    <w:rsid w:val="4E6C5D89"/>
    <w:rsid w:val="4E9133C2"/>
    <w:rsid w:val="4EB23220"/>
    <w:rsid w:val="4EE661F8"/>
    <w:rsid w:val="4EF27A04"/>
    <w:rsid w:val="4F0773B4"/>
    <w:rsid w:val="4F241019"/>
    <w:rsid w:val="4F307BB1"/>
    <w:rsid w:val="4F336227"/>
    <w:rsid w:val="4F3C3EF2"/>
    <w:rsid w:val="4F3D562D"/>
    <w:rsid w:val="4F5C4EE0"/>
    <w:rsid w:val="4F5D14F6"/>
    <w:rsid w:val="4F681AF1"/>
    <w:rsid w:val="4F6E1972"/>
    <w:rsid w:val="4F943166"/>
    <w:rsid w:val="4F9C19A5"/>
    <w:rsid w:val="4FBA02A1"/>
    <w:rsid w:val="4FCB3ED2"/>
    <w:rsid w:val="4FE7106E"/>
    <w:rsid w:val="4FF82FCD"/>
    <w:rsid w:val="50053943"/>
    <w:rsid w:val="50260569"/>
    <w:rsid w:val="50374A3C"/>
    <w:rsid w:val="50487AB0"/>
    <w:rsid w:val="50550E55"/>
    <w:rsid w:val="50901457"/>
    <w:rsid w:val="509F43E4"/>
    <w:rsid w:val="50A54D3E"/>
    <w:rsid w:val="50B82E88"/>
    <w:rsid w:val="50BB32A7"/>
    <w:rsid w:val="50CC5CB2"/>
    <w:rsid w:val="50F1402B"/>
    <w:rsid w:val="50FD2AD9"/>
    <w:rsid w:val="51081E85"/>
    <w:rsid w:val="51097D9A"/>
    <w:rsid w:val="511A650F"/>
    <w:rsid w:val="51237D2E"/>
    <w:rsid w:val="515B06D0"/>
    <w:rsid w:val="51764AF1"/>
    <w:rsid w:val="51996737"/>
    <w:rsid w:val="51B408B8"/>
    <w:rsid w:val="51B80848"/>
    <w:rsid w:val="51CC0868"/>
    <w:rsid w:val="51D5340F"/>
    <w:rsid w:val="52287B99"/>
    <w:rsid w:val="522E717A"/>
    <w:rsid w:val="52382F2A"/>
    <w:rsid w:val="52386E3D"/>
    <w:rsid w:val="523A7DD1"/>
    <w:rsid w:val="523B7711"/>
    <w:rsid w:val="52495D62"/>
    <w:rsid w:val="5271774C"/>
    <w:rsid w:val="527A416D"/>
    <w:rsid w:val="528D7B65"/>
    <w:rsid w:val="529B480F"/>
    <w:rsid w:val="52A65C54"/>
    <w:rsid w:val="52AA11D3"/>
    <w:rsid w:val="52DE008D"/>
    <w:rsid w:val="52EE341E"/>
    <w:rsid w:val="52F37FE6"/>
    <w:rsid w:val="52FC1CAF"/>
    <w:rsid w:val="52FE08FA"/>
    <w:rsid w:val="52FF22FE"/>
    <w:rsid w:val="53004672"/>
    <w:rsid w:val="530B071F"/>
    <w:rsid w:val="531A330F"/>
    <w:rsid w:val="532B6CAF"/>
    <w:rsid w:val="53350D91"/>
    <w:rsid w:val="53412644"/>
    <w:rsid w:val="53433903"/>
    <w:rsid w:val="53517A72"/>
    <w:rsid w:val="5361549D"/>
    <w:rsid w:val="536220DA"/>
    <w:rsid w:val="53650637"/>
    <w:rsid w:val="536A5F90"/>
    <w:rsid w:val="537155BE"/>
    <w:rsid w:val="53757C6B"/>
    <w:rsid w:val="537E1075"/>
    <w:rsid w:val="53835884"/>
    <w:rsid w:val="539A4AC7"/>
    <w:rsid w:val="53A44D07"/>
    <w:rsid w:val="53A46AC8"/>
    <w:rsid w:val="53AB7F1F"/>
    <w:rsid w:val="53AC6F7B"/>
    <w:rsid w:val="53C01F4F"/>
    <w:rsid w:val="53EB297B"/>
    <w:rsid w:val="53EC4BF7"/>
    <w:rsid w:val="53F671DE"/>
    <w:rsid w:val="53F758A1"/>
    <w:rsid w:val="540D5A7F"/>
    <w:rsid w:val="542E2BC2"/>
    <w:rsid w:val="54352A96"/>
    <w:rsid w:val="54447390"/>
    <w:rsid w:val="54484523"/>
    <w:rsid w:val="544B514D"/>
    <w:rsid w:val="545E1D01"/>
    <w:rsid w:val="54674051"/>
    <w:rsid w:val="547C2BFD"/>
    <w:rsid w:val="54935B8F"/>
    <w:rsid w:val="549D3677"/>
    <w:rsid w:val="54A87049"/>
    <w:rsid w:val="54B03E76"/>
    <w:rsid w:val="54BF230B"/>
    <w:rsid w:val="54CC6227"/>
    <w:rsid w:val="54D10F9B"/>
    <w:rsid w:val="54D97871"/>
    <w:rsid w:val="550B5550"/>
    <w:rsid w:val="551D586C"/>
    <w:rsid w:val="55200298"/>
    <w:rsid w:val="55335E1B"/>
    <w:rsid w:val="5536079B"/>
    <w:rsid w:val="554B7EF0"/>
    <w:rsid w:val="556F3D99"/>
    <w:rsid w:val="55720837"/>
    <w:rsid w:val="55860894"/>
    <w:rsid w:val="558F6181"/>
    <w:rsid w:val="55B02DF1"/>
    <w:rsid w:val="55D47A00"/>
    <w:rsid w:val="55D5456D"/>
    <w:rsid w:val="55DC290C"/>
    <w:rsid w:val="55DF08ED"/>
    <w:rsid w:val="55E71B19"/>
    <w:rsid w:val="55EA5D64"/>
    <w:rsid w:val="55F01FA1"/>
    <w:rsid w:val="55FC19B9"/>
    <w:rsid w:val="56130B60"/>
    <w:rsid w:val="56234F28"/>
    <w:rsid w:val="562C1C22"/>
    <w:rsid w:val="56717635"/>
    <w:rsid w:val="56990B7C"/>
    <w:rsid w:val="569E1126"/>
    <w:rsid w:val="56A8690E"/>
    <w:rsid w:val="56B679AB"/>
    <w:rsid w:val="56B80DEB"/>
    <w:rsid w:val="56E0560F"/>
    <w:rsid w:val="56E06E61"/>
    <w:rsid w:val="56EF3C74"/>
    <w:rsid w:val="56F653FE"/>
    <w:rsid w:val="57007337"/>
    <w:rsid w:val="574448FC"/>
    <w:rsid w:val="57561D39"/>
    <w:rsid w:val="575B7AFD"/>
    <w:rsid w:val="57660D3F"/>
    <w:rsid w:val="5785783C"/>
    <w:rsid w:val="578F06BB"/>
    <w:rsid w:val="57CC4BC2"/>
    <w:rsid w:val="57D10760"/>
    <w:rsid w:val="57D1153D"/>
    <w:rsid w:val="57D77297"/>
    <w:rsid w:val="57FA3774"/>
    <w:rsid w:val="58084A3C"/>
    <w:rsid w:val="582772A7"/>
    <w:rsid w:val="5847689F"/>
    <w:rsid w:val="58531B77"/>
    <w:rsid w:val="585D2975"/>
    <w:rsid w:val="585E3492"/>
    <w:rsid w:val="585F64F9"/>
    <w:rsid w:val="586E3E23"/>
    <w:rsid w:val="587E3341"/>
    <w:rsid w:val="587F428B"/>
    <w:rsid w:val="58826620"/>
    <w:rsid w:val="58843A9C"/>
    <w:rsid w:val="58B31855"/>
    <w:rsid w:val="58CF56D8"/>
    <w:rsid w:val="58D31010"/>
    <w:rsid w:val="58D6741E"/>
    <w:rsid w:val="58DB0535"/>
    <w:rsid w:val="58E467E4"/>
    <w:rsid w:val="58E62E0E"/>
    <w:rsid w:val="58EA3D0E"/>
    <w:rsid w:val="58F24A5D"/>
    <w:rsid w:val="58F71269"/>
    <w:rsid w:val="58FE045E"/>
    <w:rsid w:val="58FE78A6"/>
    <w:rsid w:val="59014CEF"/>
    <w:rsid w:val="59017396"/>
    <w:rsid w:val="591E1CF6"/>
    <w:rsid w:val="59561946"/>
    <w:rsid w:val="59670F51"/>
    <w:rsid w:val="596A44F9"/>
    <w:rsid w:val="596C19BB"/>
    <w:rsid w:val="59790BDB"/>
    <w:rsid w:val="597E3F42"/>
    <w:rsid w:val="598653AC"/>
    <w:rsid w:val="59AC3C86"/>
    <w:rsid w:val="59B817D3"/>
    <w:rsid w:val="59C11856"/>
    <w:rsid w:val="59C153AB"/>
    <w:rsid w:val="59D42FDA"/>
    <w:rsid w:val="59DA4E01"/>
    <w:rsid w:val="59F64E82"/>
    <w:rsid w:val="5A0A5DD6"/>
    <w:rsid w:val="5A10435C"/>
    <w:rsid w:val="5A2654CC"/>
    <w:rsid w:val="5A323A44"/>
    <w:rsid w:val="5A395E66"/>
    <w:rsid w:val="5A476FBE"/>
    <w:rsid w:val="5A484352"/>
    <w:rsid w:val="5A5321A5"/>
    <w:rsid w:val="5A783688"/>
    <w:rsid w:val="5A8734AF"/>
    <w:rsid w:val="5A9D3E45"/>
    <w:rsid w:val="5AA4101D"/>
    <w:rsid w:val="5AB17576"/>
    <w:rsid w:val="5ABA59C8"/>
    <w:rsid w:val="5ABD68E6"/>
    <w:rsid w:val="5ABF73D2"/>
    <w:rsid w:val="5ACB3D8A"/>
    <w:rsid w:val="5ACE32A8"/>
    <w:rsid w:val="5AE12FDB"/>
    <w:rsid w:val="5AE1508F"/>
    <w:rsid w:val="5AF80256"/>
    <w:rsid w:val="5B110CC9"/>
    <w:rsid w:val="5B136165"/>
    <w:rsid w:val="5B1851F5"/>
    <w:rsid w:val="5B1F7B5D"/>
    <w:rsid w:val="5B585171"/>
    <w:rsid w:val="5B585B78"/>
    <w:rsid w:val="5B6D62B9"/>
    <w:rsid w:val="5B746CFA"/>
    <w:rsid w:val="5B9A2B59"/>
    <w:rsid w:val="5BA652E6"/>
    <w:rsid w:val="5BC0085A"/>
    <w:rsid w:val="5BE03293"/>
    <w:rsid w:val="5BF03D58"/>
    <w:rsid w:val="5BF20AFB"/>
    <w:rsid w:val="5BF31218"/>
    <w:rsid w:val="5C1A6BB2"/>
    <w:rsid w:val="5C292E8C"/>
    <w:rsid w:val="5C306D31"/>
    <w:rsid w:val="5C37233A"/>
    <w:rsid w:val="5C5355FE"/>
    <w:rsid w:val="5C5A49A5"/>
    <w:rsid w:val="5C6519EA"/>
    <w:rsid w:val="5C6715FE"/>
    <w:rsid w:val="5C6F4105"/>
    <w:rsid w:val="5C936557"/>
    <w:rsid w:val="5CBB7F6F"/>
    <w:rsid w:val="5CC248CE"/>
    <w:rsid w:val="5D042FB1"/>
    <w:rsid w:val="5D080CF3"/>
    <w:rsid w:val="5D3A4C25"/>
    <w:rsid w:val="5D442CB4"/>
    <w:rsid w:val="5D7869AF"/>
    <w:rsid w:val="5D7C3F11"/>
    <w:rsid w:val="5D971C5A"/>
    <w:rsid w:val="5D9D49E0"/>
    <w:rsid w:val="5DA01E9E"/>
    <w:rsid w:val="5DAD3649"/>
    <w:rsid w:val="5DC310BE"/>
    <w:rsid w:val="5DDF1821"/>
    <w:rsid w:val="5DE2656A"/>
    <w:rsid w:val="5DEA2F91"/>
    <w:rsid w:val="5DF94AE0"/>
    <w:rsid w:val="5DFA5883"/>
    <w:rsid w:val="5E224037"/>
    <w:rsid w:val="5E3146A3"/>
    <w:rsid w:val="5E442F62"/>
    <w:rsid w:val="5E6C2C5B"/>
    <w:rsid w:val="5E6E2DD8"/>
    <w:rsid w:val="5E7251A2"/>
    <w:rsid w:val="5E7C3591"/>
    <w:rsid w:val="5E9842F9"/>
    <w:rsid w:val="5E9B5B97"/>
    <w:rsid w:val="5E9D0E18"/>
    <w:rsid w:val="5EA26F25"/>
    <w:rsid w:val="5EA341D7"/>
    <w:rsid w:val="5EA755DE"/>
    <w:rsid w:val="5EAE7678"/>
    <w:rsid w:val="5ED35F0E"/>
    <w:rsid w:val="5EDF7832"/>
    <w:rsid w:val="5EFC1390"/>
    <w:rsid w:val="5EFC3EB6"/>
    <w:rsid w:val="5F03335D"/>
    <w:rsid w:val="5F0368C7"/>
    <w:rsid w:val="5F1544E7"/>
    <w:rsid w:val="5F197EE8"/>
    <w:rsid w:val="5F304531"/>
    <w:rsid w:val="5F312D8D"/>
    <w:rsid w:val="5F3C4923"/>
    <w:rsid w:val="5F4160B0"/>
    <w:rsid w:val="5F5A7800"/>
    <w:rsid w:val="5F6368E9"/>
    <w:rsid w:val="5F7811D3"/>
    <w:rsid w:val="5F9A65E6"/>
    <w:rsid w:val="5F9B2627"/>
    <w:rsid w:val="5FA66B60"/>
    <w:rsid w:val="5FAC7B1F"/>
    <w:rsid w:val="5FB5266F"/>
    <w:rsid w:val="5FB80E3D"/>
    <w:rsid w:val="5FB831B4"/>
    <w:rsid w:val="5FD40999"/>
    <w:rsid w:val="5FE5522B"/>
    <w:rsid w:val="5FF03F08"/>
    <w:rsid w:val="5FF2548E"/>
    <w:rsid w:val="5FF313D3"/>
    <w:rsid w:val="600F05EB"/>
    <w:rsid w:val="602610FD"/>
    <w:rsid w:val="602808B2"/>
    <w:rsid w:val="602C2F4B"/>
    <w:rsid w:val="602D0A71"/>
    <w:rsid w:val="60307A2A"/>
    <w:rsid w:val="603814FF"/>
    <w:rsid w:val="604109A8"/>
    <w:rsid w:val="605D2617"/>
    <w:rsid w:val="60616CDC"/>
    <w:rsid w:val="60624E53"/>
    <w:rsid w:val="606319E5"/>
    <w:rsid w:val="607A77D8"/>
    <w:rsid w:val="607B3C50"/>
    <w:rsid w:val="608B6567"/>
    <w:rsid w:val="60902A4E"/>
    <w:rsid w:val="60AA3E6F"/>
    <w:rsid w:val="60D84E80"/>
    <w:rsid w:val="60FF21D9"/>
    <w:rsid w:val="610C0686"/>
    <w:rsid w:val="611E37D0"/>
    <w:rsid w:val="612C6F7A"/>
    <w:rsid w:val="613021B3"/>
    <w:rsid w:val="61306A6A"/>
    <w:rsid w:val="6131633F"/>
    <w:rsid w:val="613253FD"/>
    <w:rsid w:val="61421F29"/>
    <w:rsid w:val="61637D56"/>
    <w:rsid w:val="616A0F4C"/>
    <w:rsid w:val="61712185"/>
    <w:rsid w:val="618B7207"/>
    <w:rsid w:val="61907E69"/>
    <w:rsid w:val="61A90D68"/>
    <w:rsid w:val="61B43A15"/>
    <w:rsid w:val="61B825BC"/>
    <w:rsid w:val="61DA0425"/>
    <w:rsid w:val="62065A1D"/>
    <w:rsid w:val="6213792C"/>
    <w:rsid w:val="621775E2"/>
    <w:rsid w:val="621C0D9D"/>
    <w:rsid w:val="622F7552"/>
    <w:rsid w:val="6250406E"/>
    <w:rsid w:val="6267666C"/>
    <w:rsid w:val="627D6831"/>
    <w:rsid w:val="62811B1C"/>
    <w:rsid w:val="62A20409"/>
    <w:rsid w:val="62B54B44"/>
    <w:rsid w:val="62E045DA"/>
    <w:rsid w:val="62E454A1"/>
    <w:rsid w:val="62E95123"/>
    <w:rsid w:val="62EF025F"/>
    <w:rsid w:val="62F1706B"/>
    <w:rsid w:val="62F36E4C"/>
    <w:rsid w:val="62F47F8F"/>
    <w:rsid w:val="62F7233F"/>
    <w:rsid w:val="631D4DCC"/>
    <w:rsid w:val="631F3FB4"/>
    <w:rsid w:val="63273E9D"/>
    <w:rsid w:val="63364F75"/>
    <w:rsid w:val="6340438B"/>
    <w:rsid w:val="6353238E"/>
    <w:rsid w:val="63612AB8"/>
    <w:rsid w:val="63640C4D"/>
    <w:rsid w:val="6379289B"/>
    <w:rsid w:val="637D0978"/>
    <w:rsid w:val="638906B4"/>
    <w:rsid w:val="638968B0"/>
    <w:rsid w:val="638A282C"/>
    <w:rsid w:val="6393508F"/>
    <w:rsid w:val="639A3568"/>
    <w:rsid w:val="63A75341"/>
    <w:rsid w:val="63A85E90"/>
    <w:rsid w:val="63A962DB"/>
    <w:rsid w:val="63AB1A91"/>
    <w:rsid w:val="63B75221"/>
    <w:rsid w:val="63B82D47"/>
    <w:rsid w:val="63C74D38"/>
    <w:rsid w:val="63EA73A4"/>
    <w:rsid w:val="63EE4692"/>
    <w:rsid w:val="63FD622D"/>
    <w:rsid w:val="64177A6E"/>
    <w:rsid w:val="643F32F9"/>
    <w:rsid w:val="64582686"/>
    <w:rsid w:val="64673C87"/>
    <w:rsid w:val="64877733"/>
    <w:rsid w:val="64925346"/>
    <w:rsid w:val="64A170D2"/>
    <w:rsid w:val="64A251DD"/>
    <w:rsid w:val="64B654D9"/>
    <w:rsid w:val="64BC182A"/>
    <w:rsid w:val="650242F0"/>
    <w:rsid w:val="65365B2B"/>
    <w:rsid w:val="653F447E"/>
    <w:rsid w:val="65542778"/>
    <w:rsid w:val="655829AF"/>
    <w:rsid w:val="656B70C3"/>
    <w:rsid w:val="658E1FB1"/>
    <w:rsid w:val="658F4798"/>
    <w:rsid w:val="659B1EBA"/>
    <w:rsid w:val="65A11CE5"/>
    <w:rsid w:val="65A83379"/>
    <w:rsid w:val="65B461E9"/>
    <w:rsid w:val="65BE39A8"/>
    <w:rsid w:val="65C23A09"/>
    <w:rsid w:val="65FB3FBE"/>
    <w:rsid w:val="66101A71"/>
    <w:rsid w:val="66171FA7"/>
    <w:rsid w:val="66247D11"/>
    <w:rsid w:val="663B3EC9"/>
    <w:rsid w:val="665A1E94"/>
    <w:rsid w:val="66736112"/>
    <w:rsid w:val="667F5B5B"/>
    <w:rsid w:val="668F1B3D"/>
    <w:rsid w:val="6694262A"/>
    <w:rsid w:val="66990381"/>
    <w:rsid w:val="66B31B01"/>
    <w:rsid w:val="66CE1E80"/>
    <w:rsid w:val="66DB2FD4"/>
    <w:rsid w:val="66E362F9"/>
    <w:rsid w:val="66E47FD9"/>
    <w:rsid w:val="66E520A5"/>
    <w:rsid w:val="66F04175"/>
    <w:rsid w:val="66F127F8"/>
    <w:rsid w:val="67071922"/>
    <w:rsid w:val="673B73C0"/>
    <w:rsid w:val="674743C8"/>
    <w:rsid w:val="675608B6"/>
    <w:rsid w:val="67754402"/>
    <w:rsid w:val="677D54ED"/>
    <w:rsid w:val="678B726C"/>
    <w:rsid w:val="679715F1"/>
    <w:rsid w:val="679D472E"/>
    <w:rsid w:val="679E40A4"/>
    <w:rsid w:val="67B25E27"/>
    <w:rsid w:val="67B4646D"/>
    <w:rsid w:val="67B464CA"/>
    <w:rsid w:val="67C4383B"/>
    <w:rsid w:val="67D35E1A"/>
    <w:rsid w:val="67D839B8"/>
    <w:rsid w:val="67F35317"/>
    <w:rsid w:val="67F73E3E"/>
    <w:rsid w:val="68016A6B"/>
    <w:rsid w:val="680201B7"/>
    <w:rsid w:val="68040309"/>
    <w:rsid w:val="68060525"/>
    <w:rsid w:val="68362BFB"/>
    <w:rsid w:val="683D085A"/>
    <w:rsid w:val="683F1130"/>
    <w:rsid w:val="684456A1"/>
    <w:rsid w:val="68573C08"/>
    <w:rsid w:val="685E1363"/>
    <w:rsid w:val="687731D1"/>
    <w:rsid w:val="6878475E"/>
    <w:rsid w:val="688E1089"/>
    <w:rsid w:val="68993219"/>
    <w:rsid w:val="689E42BA"/>
    <w:rsid w:val="68A026F3"/>
    <w:rsid w:val="68AF6C13"/>
    <w:rsid w:val="68C77CB4"/>
    <w:rsid w:val="68F25680"/>
    <w:rsid w:val="69074555"/>
    <w:rsid w:val="690E07C7"/>
    <w:rsid w:val="69140A20"/>
    <w:rsid w:val="69236A65"/>
    <w:rsid w:val="692E469B"/>
    <w:rsid w:val="69315C48"/>
    <w:rsid w:val="694019EC"/>
    <w:rsid w:val="694841AF"/>
    <w:rsid w:val="69584DB4"/>
    <w:rsid w:val="695B5B89"/>
    <w:rsid w:val="695D5F23"/>
    <w:rsid w:val="696C3D80"/>
    <w:rsid w:val="696D7E94"/>
    <w:rsid w:val="698A5EE4"/>
    <w:rsid w:val="69934A52"/>
    <w:rsid w:val="69C811ED"/>
    <w:rsid w:val="69D33070"/>
    <w:rsid w:val="69E97E75"/>
    <w:rsid w:val="69FB573C"/>
    <w:rsid w:val="69FB5D9E"/>
    <w:rsid w:val="69FF6FDA"/>
    <w:rsid w:val="6A1A3007"/>
    <w:rsid w:val="6A1E645E"/>
    <w:rsid w:val="6A3C6480"/>
    <w:rsid w:val="6A417049"/>
    <w:rsid w:val="6A576E16"/>
    <w:rsid w:val="6A7903E5"/>
    <w:rsid w:val="6A8219B9"/>
    <w:rsid w:val="6A8641F2"/>
    <w:rsid w:val="6A9701A5"/>
    <w:rsid w:val="6AA03032"/>
    <w:rsid w:val="6AA86FEC"/>
    <w:rsid w:val="6ACB20F7"/>
    <w:rsid w:val="6ADA6AC4"/>
    <w:rsid w:val="6ADB11D6"/>
    <w:rsid w:val="6ADF0BB9"/>
    <w:rsid w:val="6B1A2C3C"/>
    <w:rsid w:val="6B221F4E"/>
    <w:rsid w:val="6B31644D"/>
    <w:rsid w:val="6B486C86"/>
    <w:rsid w:val="6B554C72"/>
    <w:rsid w:val="6B673089"/>
    <w:rsid w:val="6B680BAF"/>
    <w:rsid w:val="6B774DF2"/>
    <w:rsid w:val="6B847AD7"/>
    <w:rsid w:val="6B961F07"/>
    <w:rsid w:val="6B9A2DF9"/>
    <w:rsid w:val="6BA56BC7"/>
    <w:rsid w:val="6BAA566B"/>
    <w:rsid w:val="6BAC4619"/>
    <w:rsid w:val="6BB118FD"/>
    <w:rsid w:val="6BC60150"/>
    <w:rsid w:val="6BCD2823"/>
    <w:rsid w:val="6BDD15DD"/>
    <w:rsid w:val="6BDF2966"/>
    <w:rsid w:val="6BE86A5F"/>
    <w:rsid w:val="6C053C7D"/>
    <w:rsid w:val="6C0D357A"/>
    <w:rsid w:val="6C197958"/>
    <w:rsid w:val="6C2076DB"/>
    <w:rsid w:val="6C234DED"/>
    <w:rsid w:val="6C29198B"/>
    <w:rsid w:val="6C3A67D1"/>
    <w:rsid w:val="6C3D2157"/>
    <w:rsid w:val="6C3D2D5C"/>
    <w:rsid w:val="6C4800AA"/>
    <w:rsid w:val="6C4D28F8"/>
    <w:rsid w:val="6C573E9C"/>
    <w:rsid w:val="6C5A7C50"/>
    <w:rsid w:val="6C5C23DC"/>
    <w:rsid w:val="6C6D1126"/>
    <w:rsid w:val="6C986334"/>
    <w:rsid w:val="6CA35B3A"/>
    <w:rsid w:val="6CA41A5D"/>
    <w:rsid w:val="6CA479DF"/>
    <w:rsid w:val="6CAF588C"/>
    <w:rsid w:val="6CB4638E"/>
    <w:rsid w:val="6CBF3C6A"/>
    <w:rsid w:val="6CBF5306"/>
    <w:rsid w:val="6CD930DF"/>
    <w:rsid w:val="6CDC1854"/>
    <w:rsid w:val="6CE70FA1"/>
    <w:rsid w:val="6CE74C15"/>
    <w:rsid w:val="6CF05300"/>
    <w:rsid w:val="6CFA6351"/>
    <w:rsid w:val="6CFC3C40"/>
    <w:rsid w:val="6D2F6F7D"/>
    <w:rsid w:val="6D480984"/>
    <w:rsid w:val="6D8079F9"/>
    <w:rsid w:val="6D8A5754"/>
    <w:rsid w:val="6DB13E57"/>
    <w:rsid w:val="6DC245A2"/>
    <w:rsid w:val="6DC71662"/>
    <w:rsid w:val="6DCD5126"/>
    <w:rsid w:val="6DDB6CB0"/>
    <w:rsid w:val="6DE21877"/>
    <w:rsid w:val="6DE52ACD"/>
    <w:rsid w:val="6DF36E56"/>
    <w:rsid w:val="6DFC0B44"/>
    <w:rsid w:val="6E0458E7"/>
    <w:rsid w:val="6E212037"/>
    <w:rsid w:val="6E263D90"/>
    <w:rsid w:val="6E3B221B"/>
    <w:rsid w:val="6E475779"/>
    <w:rsid w:val="6E51424D"/>
    <w:rsid w:val="6E663C68"/>
    <w:rsid w:val="6E6A3D7F"/>
    <w:rsid w:val="6E7764EF"/>
    <w:rsid w:val="6E8403F6"/>
    <w:rsid w:val="6E963C85"/>
    <w:rsid w:val="6EAD447C"/>
    <w:rsid w:val="6EAE5472"/>
    <w:rsid w:val="6EBC069A"/>
    <w:rsid w:val="6EBE7228"/>
    <w:rsid w:val="6ECD7F59"/>
    <w:rsid w:val="6ECF449B"/>
    <w:rsid w:val="6ED975CA"/>
    <w:rsid w:val="6EED7C80"/>
    <w:rsid w:val="6EF773A4"/>
    <w:rsid w:val="6F1E2E65"/>
    <w:rsid w:val="6F2F2D9E"/>
    <w:rsid w:val="6F343BCA"/>
    <w:rsid w:val="6F4147D9"/>
    <w:rsid w:val="6F581F47"/>
    <w:rsid w:val="6F5B0D5A"/>
    <w:rsid w:val="6F5C35EA"/>
    <w:rsid w:val="6F6B6A15"/>
    <w:rsid w:val="6F7352B1"/>
    <w:rsid w:val="6F947E4B"/>
    <w:rsid w:val="6FA30BDA"/>
    <w:rsid w:val="6FB21D4C"/>
    <w:rsid w:val="6FB80698"/>
    <w:rsid w:val="6FE318CF"/>
    <w:rsid w:val="6FFD5E0F"/>
    <w:rsid w:val="701021F4"/>
    <w:rsid w:val="701C29A6"/>
    <w:rsid w:val="7024611F"/>
    <w:rsid w:val="7038498C"/>
    <w:rsid w:val="7057737D"/>
    <w:rsid w:val="70637B96"/>
    <w:rsid w:val="70797317"/>
    <w:rsid w:val="707E201F"/>
    <w:rsid w:val="7099044B"/>
    <w:rsid w:val="709A06E1"/>
    <w:rsid w:val="709D518F"/>
    <w:rsid w:val="70B76860"/>
    <w:rsid w:val="70C759D3"/>
    <w:rsid w:val="70CD7E32"/>
    <w:rsid w:val="70CF2B23"/>
    <w:rsid w:val="70D70CB1"/>
    <w:rsid w:val="70D80585"/>
    <w:rsid w:val="70E2315F"/>
    <w:rsid w:val="70FA674D"/>
    <w:rsid w:val="710952C1"/>
    <w:rsid w:val="713954C7"/>
    <w:rsid w:val="713F70AB"/>
    <w:rsid w:val="71452CD8"/>
    <w:rsid w:val="71583F2D"/>
    <w:rsid w:val="7158683A"/>
    <w:rsid w:val="715B2F52"/>
    <w:rsid w:val="7167680B"/>
    <w:rsid w:val="71764F23"/>
    <w:rsid w:val="71881188"/>
    <w:rsid w:val="718F158B"/>
    <w:rsid w:val="71946576"/>
    <w:rsid w:val="71967E84"/>
    <w:rsid w:val="7197629F"/>
    <w:rsid w:val="71A61873"/>
    <w:rsid w:val="71AF4936"/>
    <w:rsid w:val="71B12351"/>
    <w:rsid w:val="71BB4E1E"/>
    <w:rsid w:val="71D07496"/>
    <w:rsid w:val="71D75D0F"/>
    <w:rsid w:val="71F437A4"/>
    <w:rsid w:val="721919B3"/>
    <w:rsid w:val="721970A7"/>
    <w:rsid w:val="721A6098"/>
    <w:rsid w:val="721D18D3"/>
    <w:rsid w:val="72310D1A"/>
    <w:rsid w:val="725D6B54"/>
    <w:rsid w:val="727644F9"/>
    <w:rsid w:val="72986FA0"/>
    <w:rsid w:val="729D1A86"/>
    <w:rsid w:val="72A17C99"/>
    <w:rsid w:val="72A2709C"/>
    <w:rsid w:val="72A5093A"/>
    <w:rsid w:val="72AD7197"/>
    <w:rsid w:val="72AF6F7E"/>
    <w:rsid w:val="72BD2C86"/>
    <w:rsid w:val="72CD226C"/>
    <w:rsid w:val="72D27981"/>
    <w:rsid w:val="73047407"/>
    <w:rsid w:val="73047904"/>
    <w:rsid w:val="731A4E85"/>
    <w:rsid w:val="73253EFA"/>
    <w:rsid w:val="73353A6C"/>
    <w:rsid w:val="734C1A6A"/>
    <w:rsid w:val="735663B7"/>
    <w:rsid w:val="735C5949"/>
    <w:rsid w:val="73671287"/>
    <w:rsid w:val="73737DA5"/>
    <w:rsid w:val="73740A39"/>
    <w:rsid w:val="73783823"/>
    <w:rsid w:val="73840550"/>
    <w:rsid w:val="73887B3E"/>
    <w:rsid w:val="73892412"/>
    <w:rsid w:val="73AA7D58"/>
    <w:rsid w:val="73AF2114"/>
    <w:rsid w:val="73AF381F"/>
    <w:rsid w:val="73E159A2"/>
    <w:rsid w:val="73E96BCA"/>
    <w:rsid w:val="73EE4A6E"/>
    <w:rsid w:val="741048BC"/>
    <w:rsid w:val="742E78D4"/>
    <w:rsid w:val="74317498"/>
    <w:rsid w:val="74335A84"/>
    <w:rsid w:val="743A6A13"/>
    <w:rsid w:val="74676A28"/>
    <w:rsid w:val="747E40B6"/>
    <w:rsid w:val="7481790F"/>
    <w:rsid w:val="74A43991"/>
    <w:rsid w:val="74AA2238"/>
    <w:rsid w:val="74AC3224"/>
    <w:rsid w:val="74B21065"/>
    <w:rsid w:val="74BB2C83"/>
    <w:rsid w:val="74C33758"/>
    <w:rsid w:val="74D476FB"/>
    <w:rsid w:val="74D72451"/>
    <w:rsid w:val="74DE4E5F"/>
    <w:rsid w:val="74EB54AB"/>
    <w:rsid w:val="74F0689A"/>
    <w:rsid w:val="74FF6D43"/>
    <w:rsid w:val="750201A2"/>
    <w:rsid w:val="750E70AC"/>
    <w:rsid w:val="75137DDD"/>
    <w:rsid w:val="751A76AF"/>
    <w:rsid w:val="75241FEA"/>
    <w:rsid w:val="75250574"/>
    <w:rsid w:val="75306BE1"/>
    <w:rsid w:val="753649D0"/>
    <w:rsid w:val="754459E0"/>
    <w:rsid w:val="7550443E"/>
    <w:rsid w:val="755F0BCC"/>
    <w:rsid w:val="7561323F"/>
    <w:rsid w:val="756F17F9"/>
    <w:rsid w:val="757E5B9F"/>
    <w:rsid w:val="75825461"/>
    <w:rsid w:val="75907680"/>
    <w:rsid w:val="75916599"/>
    <w:rsid w:val="759926FC"/>
    <w:rsid w:val="75A24276"/>
    <w:rsid w:val="75AA231D"/>
    <w:rsid w:val="75AD6340"/>
    <w:rsid w:val="75DF5F11"/>
    <w:rsid w:val="75E8633A"/>
    <w:rsid w:val="76280742"/>
    <w:rsid w:val="76360227"/>
    <w:rsid w:val="76393874"/>
    <w:rsid w:val="763F09AA"/>
    <w:rsid w:val="764F3FCC"/>
    <w:rsid w:val="7650339F"/>
    <w:rsid w:val="76603C9A"/>
    <w:rsid w:val="766B00E5"/>
    <w:rsid w:val="76832D41"/>
    <w:rsid w:val="768B2C28"/>
    <w:rsid w:val="76AA29C3"/>
    <w:rsid w:val="76BB1CAB"/>
    <w:rsid w:val="76C04050"/>
    <w:rsid w:val="76D67314"/>
    <w:rsid w:val="76E00193"/>
    <w:rsid w:val="76E65049"/>
    <w:rsid w:val="76FA74A7"/>
    <w:rsid w:val="77076007"/>
    <w:rsid w:val="771A36A5"/>
    <w:rsid w:val="77413F7E"/>
    <w:rsid w:val="77464076"/>
    <w:rsid w:val="7758241F"/>
    <w:rsid w:val="777A7D22"/>
    <w:rsid w:val="777E28EC"/>
    <w:rsid w:val="77835654"/>
    <w:rsid w:val="7797109C"/>
    <w:rsid w:val="779A2A38"/>
    <w:rsid w:val="77B4450A"/>
    <w:rsid w:val="77B46E73"/>
    <w:rsid w:val="77E37A12"/>
    <w:rsid w:val="77F42148"/>
    <w:rsid w:val="77FE3468"/>
    <w:rsid w:val="78250553"/>
    <w:rsid w:val="782642CC"/>
    <w:rsid w:val="783B17B1"/>
    <w:rsid w:val="784E2046"/>
    <w:rsid w:val="78546F0C"/>
    <w:rsid w:val="786778FE"/>
    <w:rsid w:val="78830961"/>
    <w:rsid w:val="789D588A"/>
    <w:rsid w:val="78B65E3A"/>
    <w:rsid w:val="78E0091E"/>
    <w:rsid w:val="78EE1C79"/>
    <w:rsid w:val="78F85605"/>
    <w:rsid w:val="78FA66FA"/>
    <w:rsid w:val="79345B6A"/>
    <w:rsid w:val="79424F6E"/>
    <w:rsid w:val="795F3706"/>
    <w:rsid w:val="797239CC"/>
    <w:rsid w:val="797F54AB"/>
    <w:rsid w:val="79831473"/>
    <w:rsid w:val="79983E9C"/>
    <w:rsid w:val="7999527A"/>
    <w:rsid w:val="79AB4A88"/>
    <w:rsid w:val="79AF76C5"/>
    <w:rsid w:val="79C25EE1"/>
    <w:rsid w:val="79CE2967"/>
    <w:rsid w:val="79E30EE8"/>
    <w:rsid w:val="79E34934"/>
    <w:rsid w:val="79EA664C"/>
    <w:rsid w:val="79F9627A"/>
    <w:rsid w:val="79FF6948"/>
    <w:rsid w:val="7A044199"/>
    <w:rsid w:val="7A0657CF"/>
    <w:rsid w:val="7A2F3BBF"/>
    <w:rsid w:val="7A2F459A"/>
    <w:rsid w:val="7A322A39"/>
    <w:rsid w:val="7A517022"/>
    <w:rsid w:val="7A542B32"/>
    <w:rsid w:val="7A6F5001"/>
    <w:rsid w:val="7A7720A0"/>
    <w:rsid w:val="7A837B2B"/>
    <w:rsid w:val="7A9635B3"/>
    <w:rsid w:val="7AA2343E"/>
    <w:rsid w:val="7AD60EB8"/>
    <w:rsid w:val="7ADA73A4"/>
    <w:rsid w:val="7AE66B99"/>
    <w:rsid w:val="7AF34646"/>
    <w:rsid w:val="7AFE508C"/>
    <w:rsid w:val="7B0A3BCA"/>
    <w:rsid w:val="7B1C0EF4"/>
    <w:rsid w:val="7B2014A6"/>
    <w:rsid w:val="7B345AA9"/>
    <w:rsid w:val="7B4048C1"/>
    <w:rsid w:val="7B4C5DF7"/>
    <w:rsid w:val="7B73082F"/>
    <w:rsid w:val="7B7B492E"/>
    <w:rsid w:val="7B9A3D1D"/>
    <w:rsid w:val="7BB46FBD"/>
    <w:rsid w:val="7BC462D5"/>
    <w:rsid w:val="7BC62E00"/>
    <w:rsid w:val="7BC73B55"/>
    <w:rsid w:val="7BCB5B3D"/>
    <w:rsid w:val="7BE35E2A"/>
    <w:rsid w:val="7BF538C2"/>
    <w:rsid w:val="7BF66C24"/>
    <w:rsid w:val="7BFA1CC7"/>
    <w:rsid w:val="7BFB70B3"/>
    <w:rsid w:val="7BFD3595"/>
    <w:rsid w:val="7C0251DA"/>
    <w:rsid w:val="7C0C0E4A"/>
    <w:rsid w:val="7C0E41D1"/>
    <w:rsid w:val="7C1052F2"/>
    <w:rsid w:val="7C21292C"/>
    <w:rsid w:val="7C2668D9"/>
    <w:rsid w:val="7C32497F"/>
    <w:rsid w:val="7C3C69AE"/>
    <w:rsid w:val="7C691974"/>
    <w:rsid w:val="7C817D22"/>
    <w:rsid w:val="7C8A6570"/>
    <w:rsid w:val="7C8B7390"/>
    <w:rsid w:val="7C9B0D0E"/>
    <w:rsid w:val="7CA42B03"/>
    <w:rsid w:val="7CC55E61"/>
    <w:rsid w:val="7CCC5441"/>
    <w:rsid w:val="7CD2318A"/>
    <w:rsid w:val="7CD2702A"/>
    <w:rsid w:val="7CD34C42"/>
    <w:rsid w:val="7CD46B29"/>
    <w:rsid w:val="7CDE3FF9"/>
    <w:rsid w:val="7CE26EBF"/>
    <w:rsid w:val="7CEE3130"/>
    <w:rsid w:val="7CF95B0B"/>
    <w:rsid w:val="7CFC08E8"/>
    <w:rsid w:val="7D1E1A15"/>
    <w:rsid w:val="7D1F6674"/>
    <w:rsid w:val="7D475E29"/>
    <w:rsid w:val="7D480B34"/>
    <w:rsid w:val="7D777A3E"/>
    <w:rsid w:val="7D9005BC"/>
    <w:rsid w:val="7D9879F5"/>
    <w:rsid w:val="7D9F0AD0"/>
    <w:rsid w:val="7DB22BDF"/>
    <w:rsid w:val="7DD12BB7"/>
    <w:rsid w:val="7DF223A2"/>
    <w:rsid w:val="7DFF0955"/>
    <w:rsid w:val="7E0B750E"/>
    <w:rsid w:val="7E1939E8"/>
    <w:rsid w:val="7E2400E7"/>
    <w:rsid w:val="7E2822EA"/>
    <w:rsid w:val="7E2A20CE"/>
    <w:rsid w:val="7E3239CA"/>
    <w:rsid w:val="7E355A7B"/>
    <w:rsid w:val="7E455322"/>
    <w:rsid w:val="7E682F48"/>
    <w:rsid w:val="7E6E3E85"/>
    <w:rsid w:val="7E953F59"/>
    <w:rsid w:val="7E991353"/>
    <w:rsid w:val="7E9C184B"/>
    <w:rsid w:val="7EA72948"/>
    <w:rsid w:val="7EB31EDB"/>
    <w:rsid w:val="7ED61132"/>
    <w:rsid w:val="7EE70CC0"/>
    <w:rsid w:val="7EEB48DB"/>
    <w:rsid w:val="7EF27444"/>
    <w:rsid w:val="7F185A04"/>
    <w:rsid w:val="7F2257ED"/>
    <w:rsid w:val="7F265C58"/>
    <w:rsid w:val="7F3B240A"/>
    <w:rsid w:val="7F4C4618"/>
    <w:rsid w:val="7F4D13A6"/>
    <w:rsid w:val="7F582CF2"/>
    <w:rsid w:val="7F951B40"/>
    <w:rsid w:val="7FA501CC"/>
    <w:rsid w:val="7FA820A8"/>
    <w:rsid w:val="7FAF2DF8"/>
    <w:rsid w:val="7FB90D50"/>
    <w:rsid w:val="7FBE053E"/>
    <w:rsid w:val="7FBF10B0"/>
    <w:rsid w:val="7FCC6F66"/>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qFormat/>
    <w:uiPriority w:val="0"/>
    <w:pPr>
      <w:keepNext/>
      <w:keepLines/>
      <w:spacing w:before="340" w:after="330" w:line="576" w:lineRule="auto"/>
      <w:outlineLvl w:val="0"/>
    </w:pPr>
    <w:rPr>
      <w:b/>
      <w:bCs/>
      <w:kern w:val="44"/>
      <w:sz w:val="44"/>
      <w:szCs w:val="44"/>
    </w:rPr>
  </w:style>
  <w:style w:type="paragraph" w:styleId="6">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7">
    <w:name w:val="heading 3"/>
    <w:basedOn w:val="1"/>
    <w:next w:val="1"/>
    <w:qFormat/>
    <w:uiPriority w:val="0"/>
    <w:pPr>
      <w:keepNext/>
      <w:keepLines/>
      <w:spacing w:before="260" w:after="260" w:line="416" w:lineRule="auto"/>
      <w:outlineLvl w:val="2"/>
    </w:pPr>
    <w:rPr>
      <w:b/>
      <w:bCs/>
      <w:sz w:val="32"/>
      <w:szCs w:val="32"/>
    </w:rPr>
  </w:style>
  <w:style w:type="paragraph" w:styleId="8">
    <w:name w:val="heading 4"/>
    <w:basedOn w:val="1"/>
    <w:next w:val="1"/>
    <w:qFormat/>
    <w:uiPriority w:val="0"/>
    <w:pPr>
      <w:keepNext/>
      <w:keepLines/>
      <w:spacing w:line="360" w:lineRule="auto"/>
      <w:outlineLvl w:val="3"/>
    </w:pPr>
    <w:rPr>
      <w:rFonts w:ascii="Arial" w:hAnsi="Arial"/>
      <w:b/>
      <w:bCs/>
      <w:szCs w:val="28"/>
    </w:rPr>
  </w:style>
  <w:style w:type="paragraph" w:styleId="9">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35">
    <w:name w:val="Default Paragraph Font"/>
    <w:semiHidden/>
    <w:unhideWhenUsed/>
    <w:qFormat/>
    <w:uiPriority w:val="1"/>
  </w:style>
  <w:style w:type="table" w:default="1" w:styleId="33">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widowControl/>
      <w:spacing w:beforeAutospacing="1" w:afterAutospacing="1"/>
      <w:jc w:val="left"/>
    </w:pPr>
    <w:rPr>
      <w:rFonts w:ascii="宋体" w:hAnsi="宋体" w:cs="宋体"/>
      <w:kern w:val="0"/>
      <w:sz w:val="24"/>
    </w:rPr>
  </w:style>
  <w:style w:type="paragraph" w:styleId="4">
    <w:name w:val="Body Text"/>
    <w:basedOn w:val="1"/>
    <w:next w:val="5"/>
    <w:link w:val="76"/>
    <w:qFormat/>
    <w:uiPriority w:val="0"/>
  </w:style>
  <w:style w:type="paragraph" w:customStyle="1" w:styleId="5">
    <w:name w:val="Default"/>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0">
    <w:name w:val="List Number"/>
    <w:basedOn w:val="1"/>
    <w:qFormat/>
    <w:uiPriority w:val="0"/>
    <w:pPr>
      <w:widowControl/>
      <w:spacing w:beforeAutospacing="1" w:afterAutospacing="1"/>
      <w:jc w:val="left"/>
    </w:pPr>
    <w:rPr>
      <w:rFonts w:ascii="宋体" w:hAnsi="宋体" w:cs="宋体"/>
      <w:kern w:val="0"/>
      <w:sz w:val="24"/>
    </w:rPr>
  </w:style>
  <w:style w:type="paragraph" w:styleId="11">
    <w:name w:val="Document Map"/>
    <w:basedOn w:val="1"/>
    <w:link w:val="78"/>
    <w:qFormat/>
    <w:uiPriority w:val="0"/>
    <w:rPr>
      <w:rFonts w:ascii="宋体" w:hAnsi="Calibri"/>
      <w:sz w:val="18"/>
      <w:szCs w:val="18"/>
    </w:rPr>
  </w:style>
  <w:style w:type="paragraph" w:styleId="12">
    <w:name w:val="annotation text"/>
    <w:basedOn w:val="1"/>
    <w:qFormat/>
    <w:uiPriority w:val="0"/>
    <w:pPr>
      <w:jc w:val="left"/>
    </w:pPr>
  </w:style>
  <w:style w:type="paragraph" w:styleId="13">
    <w:name w:val="Body Text 3"/>
    <w:basedOn w:val="1"/>
    <w:qFormat/>
    <w:uiPriority w:val="0"/>
    <w:rPr>
      <w:sz w:val="16"/>
      <w:szCs w:val="16"/>
    </w:rPr>
  </w:style>
  <w:style w:type="paragraph" w:styleId="14">
    <w:name w:val="Body Text Indent"/>
    <w:basedOn w:val="1"/>
    <w:next w:val="15"/>
    <w:qFormat/>
    <w:uiPriority w:val="0"/>
    <w:pPr>
      <w:widowControl/>
      <w:spacing w:beforeAutospacing="1" w:afterAutospacing="1"/>
      <w:jc w:val="left"/>
    </w:pPr>
    <w:rPr>
      <w:rFonts w:ascii="宋体" w:hAnsi="宋体" w:cs="宋体"/>
      <w:kern w:val="0"/>
      <w:sz w:val="24"/>
    </w:rPr>
  </w:style>
  <w:style w:type="paragraph" w:styleId="15">
    <w:name w:val="Body Text First Indent 2"/>
    <w:basedOn w:val="14"/>
    <w:qFormat/>
    <w:uiPriority w:val="0"/>
    <w:pPr>
      <w:ind w:firstLine="420" w:firstLineChars="200"/>
    </w:pPr>
  </w:style>
  <w:style w:type="paragraph" w:styleId="16">
    <w:name w:val="List 2"/>
    <w:basedOn w:val="1"/>
    <w:qFormat/>
    <w:uiPriority w:val="0"/>
    <w:pPr>
      <w:ind w:left="100" w:leftChars="200" w:hanging="200" w:hangingChars="200"/>
    </w:pPr>
  </w:style>
  <w:style w:type="paragraph" w:styleId="17">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8">
    <w:name w:val="toc 3"/>
    <w:basedOn w:val="1"/>
    <w:next w:val="1"/>
    <w:qFormat/>
    <w:uiPriority w:val="0"/>
    <w:pPr>
      <w:tabs>
        <w:tab w:val="left" w:pos="709"/>
        <w:tab w:val="right" w:leader="dot" w:pos="8789"/>
      </w:tabs>
      <w:spacing w:line="400" w:lineRule="atLeast"/>
    </w:pPr>
    <w:rPr>
      <w:rFonts w:ascii="宋体"/>
      <w:kern w:val="0"/>
      <w:szCs w:val="20"/>
    </w:rPr>
  </w:style>
  <w:style w:type="paragraph" w:styleId="19">
    <w:name w:val="Plain Text"/>
    <w:basedOn w:val="1"/>
    <w:qFormat/>
    <w:uiPriority w:val="0"/>
    <w:pPr>
      <w:widowControl/>
      <w:spacing w:beforeAutospacing="1" w:afterAutospacing="1"/>
      <w:jc w:val="left"/>
    </w:pPr>
    <w:rPr>
      <w:rFonts w:ascii="宋体" w:hAnsi="宋体" w:cs="宋体"/>
      <w:kern w:val="0"/>
      <w:sz w:val="24"/>
    </w:rPr>
  </w:style>
  <w:style w:type="paragraph" w:styleId="20">
    <w:name w:val="Date"/>
    <w:basedOn w:val="1"/>
    <w:next w:val="1"/>
    <w:qFormat/>
    <w:uiPriority w:val="0"/>
    <w:pPr>
      <w:ind w:left="100" w:leftChars="2500"/>
    </w:pPr>
    <w:rPr>
      <w:rFonts w:ascii="宋体" w:hAnsi="宋体"/>
      <w:sz w:val="28"/>
    </w:rPr>
  </w:style>
  <w:style w:type="paragraph" w:styleId="21">
    <w:name w:val="Body Text Indent 2"/>
    <w:basedOn w:val="1"/>
    <w:qFormat/>
    <w:uiPriority w:val="0"/>
    <w:pPr>
      <w:spacing w:line="480" w:lineRule="auto"/>
      <w:ind w:left="420" w:leftChars="200"/>
    </w:pPr>
  </w:style>
  <w:style w:type="paragraph" w:styleId="22">
    <w:name w:val="footer"/>
    <w:basedOn w:val="1"/>
    <w:qFormat/>
    <w:uiPriority w:val="0"/>
    <w:pPr>
      <w:tabs>
        <w:tab w:val="center" w:pos="4153"/>
        <w:tab w:val="right" w:pos="8306"/>
      </w:tabs>
      <w:snapToGrid w:val="0"/>
      <w:jc w:val="left"/>
    </w:pPr>
    <w:rPr>
      <w:sz w:val="18"/>
      <w:szCs w:val="18"/>
    </w:rPr>
  </w:style>
  <w:style w:type="paragraph" w:styleId="23">
    <w:name w:val="envelope return"/>
    <w:basedOn w:val="1"/>
    <w:unhideWhenUsed/>
    <w:qFormat/>
    <w:uiPriority w:val="99"/>
    <w:pPr>
      <w:snapToGrid w:val="0"/>
    </w:pPr>
    <w:rPr>
      <w:rFonts w:ascii="Arial" w:hAnsi="Arial"/>
    </w:rPr>
  </w:style>
  <w:style w:type="paragraph" w:styleId="2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0"/>
  </w:style>
  <w:style w:type="paragraph" w:styleId="26">
    <w:name w:val="List"/>
    <w:basedOn w:val="1"/>
    <w:qFormat/>
    <w:uiPriority w:val="0"/>
    <w:pPr>
      <w:ind w:left="200" w:hanging="200" w:hangingChars="200"/>
    </w:pPr>
  </w:style>
  <w:style w:type="paragraph" w:styleId="27">
    <w:name w:val="Body Text 2"/>
    <w:basedOn w:val="1"/>
    <w:qFormat/>
    <w:uiPriority w:val="0"/>
    <w:pPr>
      <w:spacing w:line="480" w:lineRule="auto"/>
    </w:pPr>
  </w:style>
  <w:style w:type="paragraph" w:styleId="28">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9">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30">
    <w:name w:val="Normal (Web)"/>
    <w:basedOn w:val="1"/>
    <w:qFormat/>
    <w:uiPriority w:val="99"/>
    <w:pPr>
      <w:spacing w:before="100" w:beforeAutospacing="1" w:after="100" w:afterAutospacing="1"/>
      <w:jc w:val="left"/>
    </w:pPr>
    <w:rPr>
      <w:kern w:val="0"/>
      <w:sz w:val="24"/>
    </w:rPr>
  </w:style>
  <w:style w:type="paragraph" w:styleId="31">
    <w:name w:val="Title"/>
    <w:basedOn w:val="1"/>
    <w:qFormat/>
    <w:uiPriority w:val="0"/>
    <w:pPr>
      <w:jc w:val="center"/>
      <w:outlineLvl w:val="0"/>
    </w:pPr>
    <w:rPr>
      <w:rFonts w:ascii="Arial" w:hAnsi="Arial" w:cs="Arial"/>
      <w:b/>
      <w:bCs/>
      <w:sz w:val="32"/>
      <w:szCs w:val="32"/>
    </w:rPr>
  </w:style>
  <w:style w:type="paragraph" w:styleId="32">
    <w:name w:val="Body Text First Indent"/>
    <w:basedOn w:val="4"/>
    <w:next w:val="15"/>
    <w:qFormat/>
    <w:uiPriority w:val="0"/>
    <w:pPr>
      <w:spacing w:line="360" w:lineRule="auto"/>
      <w:ind w:firstLine="420" w:firstLineChars="100"/>
    </w:pPr>
    <w:rPr>
      <w:szCs w:val="21"/>
    </w:rPr>
  </w:style>
  <w:style w:type="table" w:styleId="34">
    <w:name w:val="Table Grid"/>
    <w:basedOn w:val="33"/>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6">
    <w:name w:val="Strong"/>
    <w:qFormat/>
    <w:uiPriority w:val="0"/>
    <w:rPr>
      <w:b/>
      <w:bCs/>
      <w:szCs w:val="24"/>
    </w:rPr>
  </w:style>
  <w:style w:type="character" w:styleId="37">
    <w:name w:val="page number"/>
    <w:basedOn w:val="35"/>
    <w:qFormat/>
    <w:uiPriority w:val="0"/>
  </w:style>
  <w:style w:type="character" w:styleId="38">
    <w:name w:val="FollowedHyperlink"/>
    <w:qFormat/>
    <w:uiPriority w:val="0"/>
    <w:rPr>
      <w:color w:val="333333"/>
      <w:szCs w:val="24"/>
      <w:u w:val="none"/>
    </w:rPr>
  </w:style>
  <w:style w:type="character" w:styleId="39">
    <w:name w:val="Emphasis"/>
    <w:basedOn w:val="35"/>
    <w:qFormat/>
    <w:uiPriority w:val="0"/>
  </w:style>
  <w:style w:type="character" w:styleId="40">
    <w:name w:val="HTML Definition"/>
    <w:basedOn w:val="35"/>
    <w:qFormat/>
    <w:uiPriority w:val="0"/>
  </w:style>
  <w:style w:type="character" w:styleId="41">
    <w:name w:val="HTML Typewriter"/>
    <w:basedOn w:val="35"/>
    <w:qFormat/>
    <w:uiPriority w:val="0"/>
    <w:rPr>
      <w:rFonts w:hint="default" w:ascii="monospace" w:hAnsi="monospace" w:eastAsia="monospace" w:cs="monospace"/>
      <w:sz w:val="20"/>
    </w:rPr>
  </w:style>
  <w:style w:type="character" w:styleId="42">
    <w:name w:val="HTML Acronym"/>
    <w:basedOn w:val="35"/>
    <w:qFormat/>
    <w:uiPriority w:val="0"/>
  </w:style>
  <w:style w:type="character" w:styleId="43">
    <w:name w:val="HTML Variable"/>
    <w:basedOn w:val="35"/>
    <w:qFormat/>
    <w:uiPriority w:val="0"/>
  </w:style>
  <w:style w:type="character" w:styleId="44">
    <w:name w:val="Hyperlink"/>
    <w:basedOn w:val="35"/>
    <w:qFormat/>
    <w:uiPriority w:val="0"/>
    <w:rPr>
      <w:color w:val="333333"/>
      <w:szCs w:val="24"/>
      <w:u w:val="none"/>
    </w:rPr>
  </w:style>
  <w:style w:type="character" w:styleId="45">
    <w:name w:val="HTML Code"/>
    <w:basedOn w:val="35"/>
    <w:qFormat/>
    <w:uiPriority w:val="0"/>
    <w:rPr>
      <w:rFonts w:ascii="monospace" w:hAnsi="monospace" w:eastAsia="monospace" w:cs="monospace"/>
      <w:sz w:val="20"/>
    </w:rPr>
  </w:style>
  <w:style w:type="character" w:styleId="46">
    <w:name w:val="HTML Cite"/>
    <w:basedOn w:val="35"/>
    <w:qFormat/>
    <w:uiPriority w:val="0"/>
  </w:style>
  <w:style w:type="character" w:styleId="47">
    <w:name w:val="HTML Keyboard"/>
    <w:basedOn w:val="35"/>
    <w:qFormat/>
    <w:uiPriority w:val="0"/>
    <w:rPr>
      <w:rFonts w:hint="default" w:ascii="monospace" w:hAnsi="monospace" w:eastAsia="monospace" w:cs="monospace"/>
      <w:sz w:val="20"/>
    </w:rPr>
  </w:style>
  <w:style w:type="character" w:styleId="48">
    <w:name w:val="HTML Sample"/>
    <w:basedOn w:val="35"/>
    <w:qFormat/>
    <w:uiPriority w:val="0"/>
    <w:rPr>
      <w:rFonts w:hint="default" w:ascii="monospace" w:hAnsi="monospace" w:eastAsia="monospace" w:cs="monospace"/>
    </w:rPr>
  </w:style>
  <w:style w:type="paragraph" w:customStyle="1" w:styleId="49">
    <w:name w:val="大标题"/>
    <w:basedOn w:val="1"/>
    <w:next w:val="15"/>
    <w:qFormat/>
    <w:uiPriority w:val="0"/>
    <w:pPr>
      <w:jc w:val="center"/>
    </w:pPr>
    <w:rPr>
      <w:rFonts w:ascii="Arial" w:hAnsi="Arial"/>
      <w:b/>
      <w:sz w:val="28"/>
    </w:rPr>
  </w:style>
  <w:style w:type="paragraph" w:customStyle="1" w:styleId="50">
    <w:name w:val="表格文字"/>
    <w:basedOn w:val="1"/>
    <w:next w:val="4"/>
    <w:qFormat/>
    <w:uiPriority w:val="0"/>
    <w:pPr>
      <w:adjustRightInd w:val="0"/>
      <w:spacing w:line="420" w:lineRule="atLeast"/>
      <w:jc w:val="left"/>
      <w:textAlignment w:val="baseline"/>
    </w:pPr>
    <w:rPr>
      <w:kern w:val="0"/>
      <w:szCs w:val="20"/>
    </w:rPr>
  </w:style>
  <w:style w:type="paragraph" w:customStyle="1" w:styleId="51">
    <w:name w:val="正文文本缩进 21"/>
    <w:basedOn w:val="1"/>
    <w:qFormat/>
    <w:uiPriority w:val="0"/>
    <w:pPr>
      <w:ind w:firstLine="570"/>
    </w:pPr>
    <w:rPr>
      <w:sz w:val="32"/>
    </w:rPr>
  </w:style>
  <w:style w:type="paragraph" w:customStyle="1" w:styleId="52">
    <w:name w:val="目录 51"/>
    <w:next w:val="1"/>
    <w:qFormat/>
    <w:uiPriority w:val="0"/>
    <w:pPr>
      <w:wordWrap w:val="0"/>
      <w:ind w:left="1700"/>
      <w:jc w:val="both"/>
    </w:pPr>
    <w:rPr>
      <w:rFonts w:ascii="Calibri" w:hAnsi="Calibri" w:eastAsia="Calibri" w:cs="Times New Roman"/>
      <w:sz w:val="21"/>
      <w:lang w:val="en-US" w:eastAsia="zh-CN" w:bidi="ar-SA"/>
    </w:rPr>
  </w:style>
  <w:style w:type="paragraph" w:customStyle="1" w:styleId="53">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4">
    <w:name w:val="No Spacing1"/>
    <w:basedOn w:val="1"/>
    <w:qFormat/>
    <w:uiPriority w:val="0"/>
    <w:pPr>
      <w:spacing w:line="400" w:lineRule="exact"/>
    </w:pPr>
    <w:rPr>
      <w:sz w:val="24"/>
    </w:rPr>
  </w:style>
  <w:style w:type="paragraph" w:customStyle="1" w:styleId="55">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6">
    <w:name w:val="Char"/>
    <w:basedOn w:val="1"/>
    <w:qFormat/>
    <w:uiPriority w:val="0"/>
  </w:style>
  <w:style w:type="paragraph" w:customStyle="1" w:styleId="57">
    <w:name w:val="正文缩进1"/>
    <w:basedOn w:val="1"/>
    <w:qFormat/>
    <w:uiPriority w:val="0"/>
    <w:pPr>
      <w:widowControl/>
      <w:ind w:firstLine="420"/>
      <w:jc w:val="left"/>
    </w:pPr>
    <w:rPr>
      <w:kern w:val="0"/>
      <w:szCs w:val="20"/>
    </w:rPr>
  </w:style>
  <w:style w:type="paragraph" w:customStyle="1" w:styleId="58">
    <w:name w:val="列出段落2"/>
    <w:basedOn w:val="1"/>
    <w:qFormat/>
    <w:uiPriority w:val="34"/>
    <w:pPr>
      <w:ind w:firstLine="420" w:firstLineChars="200"/>
    </w:pPr>
  </w:style>
  <w:style w:type="paragraph" w:customStyle="1" w:styleId="59">
    <w:name w:val="plaintext"/>
    <w:basedOn w:val="1"/>
    <w:qFormat/>
    <w:uiPriority w:val="0"/>
    <w:pPr>
      <w:widowControl/>
      <w:spacing w:beforeAutospacing="1" w:afterAutospacing="1"/>
      <w:jc w:val="left"/>
    </w:pPr>
    <w:rPr>
      <w:rFonts w:ascii="宋体" w:hAnsi="宋体" w:cs="宋体"/>
      <w:kern w:val="0"/>
      <w:sz w:val="24"/>
    </w:rPr>
  </w:style>
  <w:style w:type="paragraph" w:customStyle="1" w:styleId="60">
    <w:name w:val="1"/>
    <w:basedOn w:val="1"/>
    <w:qFormat/>
    <w:uiPriority w:val="0"/>
    <w:pPr>
      <w:widowControl/>
      <w:spacing w:beforeAutospacing="1" w:afterAutospacing="1"/>
      <w:jc w:val="left"/>
    </w:pPr>
    <w:rPr>
      <w:rFonts w:ascii="宋体" w:hAnsi="宋体" w:cs="宋体"/>
      <w:kern w:val="0"/>
      <w:sz w:val="24"/>
    </w:rPr>
  </w:style>
  <w:style w:type="paragraph" w:styleId="61">
    <w:name w:val="No Spacing"/>
    <w:qFormat/>
    <w:uiPriority w:val="1"/>
    <w:rPr>
      <w:rFonts w:ascii="Calibri" w:hAnsi="Calibri" w:eastAsia="宋体" w:cs="Times New Roman"/>
      <w:sz w:val="22"/>
      <w:szCs w:val="22"/>
      <w:lang w:val="en-US" w:eastAsia="zh-CN" w:bidi="ar-SA"/>
    </w:rPr>
  </w:style>
  <w:style w:type="paragraph" w:customStyle="1" w:styleId="62">
    <w:name w:val="_Style 2"/>
    <w:basedOn w:val="1"/>
    <w:qFormat/>
    <w:uiPriority w:val="34"/>
    <w:pPr>
      <w:ind w:firstLine="420" w:firstLineChars="200"/>
    </w:pPr>
    <w:rPr>
      <w:rFonts w:ascii="Calibri" w:hAnsi="Calibri"/>
    </w:rPr>
  </w:style>
  <w:style w:type="paragraph" w:customStyle="1" w:styleId="63">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4">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5">
    <w:name w:val="Char1"/>
    <w:basedOn w:val="1"/>
    <w:qFormat/>
    <w:uiPriority w:val="0"/>
  </w:style>
  <w:style w:type="paragraph" w:customStyle="1" w:styleId="66">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7">
    <w:name w:val="Table Paragraph"/>
    <w:basedOn w:val="1"/>
    <w:qFormat/>
    <w:uiPriority w:val="1"/>
    <w:pPr>
      <w:jc w:val="left"/>
    </w:pPr>
    <w:rPr>
      <w:rFonts w:ascii="宋体" w:hAnsi="宋体" w:cs="宋体"/>
      <w:kern w:val="0"/>
      <w:sz w:val="22"/>
      <w:szCs w:val="22"/>
      <w:lang w:eastAsia="en-US"/>
    </w:rPr>
  </w:style>
  <w:style w:type="paragraph" w:customStyle="1" w:styleId="68">
    <w:name w:val="无间隔1"/>
    <w:basedOn w:val="1"/>
    <w:qFormat/>
    <w:uiPriority w:val="1"/>
    <w:pPr>
      <w:spacing w:line="400" w:lineRule="exact"/>
    </w:pPr>
    <w:rPr>
      <w:sz w:val="24"/>
    </w:rPr>
  </w:style>
  <w:style w:type="paragraph" w:customStyle="1" w:styleId="69">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70">
    <w:name w:val="3"/>
    <w:basedOn w:val="1"/>
    <w:qFormat/>
    <w:uiPriority w:val="0"/>
    <w:pPr>
      <w:widowControl/>
      <w:spacing w:beforeAutospacing="1" w:afterAutospacing="1"/>
      <w:jc w:val="left"/>
    </w:pPr>
    <w:rPr>
      <w:rFonts w:ascii="宋体" w:hAnsi="宋体" w:cs="宋体"/>
      <w:kern w:val="0"/>
      <w:sz w:val="24"/>
    </w:rPr>
  </w:style>
  <w:style w:type="paragraph" w:customStyle="1" w:styleId="71">
    <w:name w:val="列出段落1"/>
    <w:basedOn w:val="1"/>
    <w:qFormat/>
    <w:uiPriority w:val="34"/>
    <w:pPr>
      <w:ind w:firstLine="420" w:firstLineChars="200"/>
    </w:pPr>
  </w:style>
  <w:style w:type="paragraph" w:customStyle="1" w:styleId="72">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3">
    <w:name w:val="a0"/>
    <w:basedOn w:val="1"/>
    <w:qFormat/>
    <w:uiPriority w:val="0"/>
    <w:pPr>
      <w:widowControl/>
      <w:spacing w:beforeAutospacing="1" w:afterAutospacing="1"/>
      <w:jc w:val="left"/>
    </w:pPr>
    <w:rPr>
      <w:rFonts w:ascii="宋体" w:hAnsi="宋体" w:cs="宋体"/>
      <w:kern w:val="0"/>
      <w:sz w:val="24"/>
    </w:rPr>
  </w:style>
  <w:style w:type="paragraph" w:customStyle="1" w:styleId="74">
    <w:name w:val="default"/>
    <w:basedOn w:val="1"/>
    <w:qFormat/>
    <w:uiPriority w:val="0"/>
    <w:pPr>
      <w:widowControl/>
      <w:spacing w:beforeAutospacing="1" w:afterAutospacing="1"/>
      <w:jc w:val="left"/>
    </w:pPr>
    <w:rPr>
      <w:rFonts w:ascii="宋体" w:hAnsi="宋体" w:cs="宋体"/>
      <w:kern w:val="0"/>
      <w:sz w:val="24"/>
    </w:rPr>
  </w:style>
  <w:style w:type="paragraph" w:customStyle="1" w:styleId="75">
    <w:name w:val="列出段落11"/>
    <w:basedOn w:val="1"/>
    <w:qFormat/>
    <w:uiPriority w:val="0"/>
    <w:pPr>
      <w:ind w:firstLine="420" w:firstLineChars="200"/>
    </w:pPr>
    <w:rPr>
      <w:rFonts w:ascii="Calibri" w:hAnsi="Calibri"/>
      <w:szCs w:val="22"/>
    </w:rPr>
  </w:style>
  <w:style w:type="character" w:customStyle="1" w:styleId="76">
    <w:name w:val="正文文本 Char"/>
    <w:basedOn w:val="35"/>
    <w:link w:val="4"/>
    <w:qFormat/>
    <w:uiPriority w:val="0"/>
  </w:style>
  <w:style w:type="character" w:customStyle="1" w:styleId="77">
    <w:name w:val="apple-converted-space"/>
    <w:basedOn w:val="35"/>
    <w:qFormat/>
    <w:uiPriority w:val="0"/>
  </w:style>
  <w:style w:type="character" w:customStyle="1" w:styleId="78">
    <w:name w:val="文档结构图 Char"/>
    <w:link w:val="11"/>
    <w:qFormat/>
    <w:uiPriority w:val="0"/>
    <w:rPr>
      <w:rFonts w:ascii="宋体"/>
      <w:kern w:val="2"/>
      <w:sz w:val="18"/>
      <w:szCs w:val="18"/>
    </w:rPr>
  </w:style>
  <w:style w:type="character" w:customStyle="1" w:styleId="79">
    <w:name w:val="不明显强调1"/>
    <w:qFormat/>
    <w:uiPriority w:val="19"/>
    <w:rPr>
      <w:i/>
      <w:iCs/>
      <w:color w:val="7F7F7F"/>
      <w:szCs w:val="24"/>
    </w:rPr>
  </w:style>
  <w:style w:type="character" w:customStyle="1" w:styleId="80">
    <w:name w:val="font71"/>
    <w:basedOn w:val="35"/>
    <w:qFormat/>
    <w:uiPriority w:val="0"/>
    <w:rPr>
      <w:rFonts w:hint="eastAsia" w:ascii="宋体" w:hAnsi="宋体" w:eastAsia="宋体" w:cs="宋体"/>
      <w:color w:val="000000"/>
      <w:sz w:val="28"/>
      <w:szCs w:val="28"/>
      <w:u w:val="none"/>
    </w:rPr>
  </w:style>
  <w:style w:type="character" w:customStyle="1" w:styleId="81">
    <w:name w:val="font21"/>
    <w:qFormat/>
    <w:uiPriority w:val="0"/>
    <w:rPr>
      <w:rFonts w:hint="default" w:ascii="Calibri" w:hAnsi="Calibri" w:cs="Calibri"/>
      <w:color w:val="000000"/>
      <w:sz w:val="28"/>
      <w:szCs w:val="28"/>
      <w:u w:val="none"/>
    </w:rPr>
  </w:style>
  <w:style w:type="character" w:customStyle="1" w:styleId="82">
    <w:name w:val="17"/>
    <w:qFormat/>
    <w:uiPriority w:val="0"/>
    <w:rPr>
      <w:rFonts w:hint="eastAsia" w:ascii="宋体" w:hAnsi="宋体" w:eastAsia="宋体"/>
      <w:color w:val="000000"/>
    </w:rPr>
  </w:style>
  <w:style w:type="character" w:customStyle="1" w:styleId="83">
    <w:name w:val="font91"/>
    <w:qFormat/>
    <w:uiPriority w:val="0"/>
    <w:rPr>
      <w:rFonts w:hint="eastAsia" w:ascii="宋体" w:hAnsi="宋体" w:eastAsia="宋体" w:cs="宋体"/>
      <w:color w:val="FF0000"/>
      <w:sz w:val="28"/>
      <w:szCs w:val="28"/>
      <w:u w:val="none"/>
    </w:rPr>
  </w:style>
  <w:style w:type="paragraph" w:customStyle="1" w:styleId="84">
    <w:name w:val="p"/>
    <w:basedOn w:val="1"/>
    <w:qFormat/>
    <w:uiPriority w:val="0"/>
    <w:pPr>
      <w:widowControl/>
      <w:spacing w:line="432" w:lineRule="auto"/>
      <w:jc w:val="left"/>
    </w:pPr>
    <w:rPr>
      <w:rFonts w:ascii="宋体" w:hAnsi="宋体" w:cs="宋体"/>
      <w:kern w:val="0"/>
      <w:sz w:val="24"/>
    </w:rPr>
  </w:style>
  <w:style w:type="paragraph" w:customStyle="1" w:styleId="85">
    <w:name w:val="WPSOffice手动目录 1"/>
    <w:qFormat/>
    <w:uiPriority w:val="0"/>
    <w:rPr>
      <w:rFonts w:ascii="Times New Roman" w:hAnsi="Times New Roman" w:eastAsia="宋体" w:cs="Times New Roman"/>
      <w:lang w:val="en-US" w:eastAsia="zh-CN" w:bidi="ar-SA"/>
    </w:rPr>
  </w:style>
  <w:style w:type="paragraph" w:customStyle="1" w:styleId="86">
    <w:name w:val="*正文_1"/>
    <w:basedOn w:val="1"/>
    <w:next w:val="1"/>
    <w:qFormat/>
    <w:uiPriority w:val="0"/>
    <w:pPr>
      <w:widowControl/>
      <w:ind w:firstLine="482"/>
    </w:pPr>
    <w:rPr>
      <w:rFonts w:ascii="微软雅黑" w:hAnsi="微软雅黑" w:eastAsia="微软雅黑"/>
      <w:kern w:val="0"/>
      <w:szCs w:val="20"/>
    </w:rPr>
  </w:style>
  <w:style w:type="character" w:customStyle="1" w:styleId="87">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8">
    <w:name w:val="列表段落1"/>
    <w:basedOn w:val="1"/>
    <w:qFormat/>
    <w:uiPriority w:val="34"/>
    <w:pPr>
      <w:widowControl/>
      <w:ind w:firstLine="420"/>
      <w:jc w:val="left"/>
    </w:pPr>
    <w:rPr>
      <w:kern w:val="0"/>
    </w:rPr>
  </w:style>
  <w:style w:type="paragraph" w:styleId="89">
    <w:name w:val="List Paragraph"/>
    <w:basedOn w:val="1"/>
    <w:qFormat/>
    <w:uiPriority w:val="34"/>
    <w:pPr>
      <w:ind w:firstLine="420" w:firstLineChars="200"/>
    </w:pPr>
  </w:style>
  <w:style w:type="character" w:customStyle="1" w:styleId="90">
    <w:name w:val="hover18"/>
    <w:basedOn w:val="35"/>
    <w:qFormat/>
    <w:uiPriority w:val="0"/>
  </w:style>
  <w:style w:type="table" w:customStyle="1" w:styleId="91">
    <w:name w:val="Table Normal"/>
    <w:qFormat/>
    <w:uiPriority w:val="0"/>
    <w:tblPr>
      <w:tblCellMar>
        <w:top w:w="0" w:type="dxa"/>
        <w:left w:w="0" w:type="dxa"/>
        <w:bottom w:w="0" w:type="dxa"/>
        <w:right w:w="0" w:type="dxa"/>
      </w:tblCellMar>
    </w:tblPr>
  </w:style>
  <w:style w:type="paragraph" w:customStyle="1" w:styleId="92">
    <w:name w:val="Table Text"/>
    <w:basedOn w:val="1"/>
    <w:semiHidden/>
    <w:qFormat/>
    <w:uiPriority w:val="0"/>
    <w:rPr>
      <w:rFonts w:ascii="宋体" w:hAnsi="宋体" w:eastAsia="宋体" w:cs="宋体"/>
      <w:sz w:val="45"/>
      <w:szCs w:val="45"/>
      <w:lang w:val="en-US" w:eastAsia="en-US" w:bidi="ar-SA"/>
    </w:rPr>
  </w:style>
  <w:style w:type="character" w:customStyle="1" w:styleId="93">
    <w:name w:val="font11"/>
    <w:basedOn w:val="35"/>
    <w:qFormat/>
    <w:uiPriority w:val="0"/>
    <w:rPr>
      <w:rFonts w:ascii="Calibri" w:hAnsi="Calibri" w:cs="Calibri"/>
      <w:color w:val="000000"/>
      <w:sz w:val="24"/>
      <w:szCs w:val="24"/>
      <w:u w:val="none"/>
    </w:rPr>
  </w:style>
  <w:style w:type="paragraph" w:customStyle="1" w:styleId="94">
    <w:name w:val="正文1"/>
    <w:next w:val="1"/>
    <w:qFormat/>
    <w:uiPriority w:val="0"/>
    <w:pPr>
      <w:widowControl w:val="0"/>
      <w:spacing w:line="360" w:lineRule="auto"/>
      <w:jc w:val="both"/>
    </w:pPr>
    <w:rPr>
      <w:rFonts w:ascii="Calibri" w:hAnsi="Calibri" w:eastAsia="宋体" w:cs="Times New Roman"/>
      <w:sz w:val="24"/>
      <w:szCs w:val="22"/>
      <w:lang w:val="en-US" w:eastAsia="zh-CN" w:bidi="ar-SA"/>
    </w:rPr>
  </w:style>
  <w:style w:type="character" w:customStyle="1" w:styleId="95">
    <w:name w:val="font61"/>
    <w:basedOn w:val="35"/>
    <w:qFormat/>
    <w:uiPriority w:val="0"/>
    <w:rPr>
      <w:rFonts w:ascii="宋体" w:hAnsi="宋体" w:eastAsia="宋体" w:cs="宋体"/>
      <w:color w:val="000000"/>
      <w:sz w:val="24"/>
      <w:szCs w:val="24"/>
      <w:u w:val="none"/>
    </w:rPr>
  </w:style>
  <w:style w:type="character" w:customStyle="1" w:styleId="96">
    <w:name w:val="font81"/>
    <w:basedOn w:val="35"/>
    <w:qFormat/>
    <w:uiPriority w:val="0"/>
    <w:rPr>
      <w:rFonts w:hint="default" w:ascii="Times New Roman" w:hAnsi="Times New Roman" w:cs="Times New Roman"/>
      <w:color w:val="000000"/>
      <w:sz w:val="18"/>
      <w:szCs w:val="18"/>
      <w:u w:val="none"/>
    </w:rPr>
  </w:style>
  <w:style w:type="paragraph" w:customStyle="1" w:styleId="97">
    <w:name w:val="表内文字居左"/>
    <w:qFormat/>
    <w:uiPriority w:val="0"/>
    <w:pPr>
      <w:widowControl w:val="0"/>
      <w:adjustRightInd w:val="0"/>
      <w:snapToGrid w:val="0"/>
      <w:jc w:val="both"/>
    </w:pPr>
    <w:rPr>
      <w:rFonts w:ascii="Times New Roman" w:hAnsi="Times New Roman" w:eastAsia="宋体" w:cs="Times New Roman"/>
      <w:kern w:val="2"/>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35</Pages>
  <Words>16313</Words>
  <Characters>17040</Characters>
  <Lines>50</Lines>
  <Paragraphs>68</Paragraphs>
  <TotalTime>30</TotalTime>
  <ScaleCrop>false</ScaleCrop>
  <LinksUpToDate>false</LinksUpToDate>
  <CharactersWithSpaces>18345</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陈壹</cp:lastModifiedBy>
  <cp:lastPrinted>2025-07-21T08:44:00Z</cp:lastPrinted>
  <dcterms:modified xsi:type="dcterms:W3CDTF">2025-08-06T00:37:02Z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DBB65787DE204258916DCA44D6AD650E_13</vt:lpwstr>
  </property>
  <property fmtid="{D5CDD505-2E9C-101B-9397-08002B2CF9AE}" pid="4" name="KSOTemplateDocerSaveRecord">
    <vt:lpwstr>eyJoZGlkIjoiYzIwMjRmYTY4OTJhZjc1NTA1MGQwNDc0NzZhNTkwMmUiLCJ1c2VySWQiOiI0NDQ5MjU4MjIifQ==</vt:lpwstr>
  </property>
</Properties>
</file>