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驻马店市中心医院体外受精（IVF）超净工作台采购项目（二次）</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期：2025年0</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2CF58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D3A8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F3C92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064D7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_Toc8767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F0AA0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F9A6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83FF5A">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1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驻马店市中心医院体外受精（IVF）超净工作台采购项目（二次）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体外受精（IVF）超净工作台采购项目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驻马店市中心医院体外受精（IVF）超净工作台采购项目（二次）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41.50</w:t>
      </w:r>
      <w:r>
        <w:rPr>
          <w:rFonts w:hint="eastAsia" w:ascii="宋体" w:hAnsi="宋体" w:eastAsia="宋体" w:cs="宋体"/>
          <w:color w:val="auto"/>
          <w:szCs w:val="21"/>
          <w:highlight w:val="none"/>
          <w:shd w:val="clear" w:color="auto" w:fill="FFFFFF"/>
          <w:lang w:val="en-US" w:eastAsia="zh-CN"/>
        </w:rPr>
        <w:t>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9562"/>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2、具有良好的商业信誉和健全的财务会计制度（提供经审计的2023年或2024年度财务报告或者其基本开户银行出具的资信证明）；</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615CF8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6F2533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8.2供应商如为代理商的，需提供拟投产品制造商或中国境内办事处或中国总代理经销商针对本项目的授权书</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8:0</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0738"/>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12</w:t>
      </w:r>
      <w:bookmarkStart w:id="107" w:name="_GoBack"/>
      <w:bookmarkEnd w:id="107"/>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7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驻马店市中心医院体外受精（IVF）超净工作台采购项目（二次）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体外受精（IVF）超净工作台</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41.50</w:t>
            </w:r>
            <w:r>
              <w:rPr>
                <w:rFonts w:hint="eastAsia" w:ascii="宋体" w:hAnsi="宋体" w:eastAsia="宋体" w:cs="宋体"/>
                <w:sz w:val="21"/>
                <w:szCs w:val="21"/>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1EBE6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569A4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
          <w:bCs/>
          <w:sz w:val="21"/>
          <w:szCs w:val="21"/>
        </w:rPr>
        <w:t>一、设备用途：</w:t>
      </w:r>
    </w:p>
    <w:p w14:paraId="22F7A7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rPr>
      </w:pPr>
      <w:r>
        <w:rPr>
          <w:rFonts w:hint="eastAsia" w:ascii="宋体" w:hAnsi="宋体" w:eastAsia="宋体" w:cs="宋体"/>
          <w:b/>
          <w:bCs w:val="0"/>
          <w:sz w:val="21"/>
          <w:szCs w:val="21"/>
          <w:lang w:val="en-US" w:eastAsia="zh-CN"/>
        </w:rPr>
        <w:t>提供洁净空间</w:t>
      </w:r>
      <w:r>
        <w:rPr>
          <w:rFonts w:hint="eastAsia" w:ascii="宋体" w:hAnsi="宋体" w:eastAsia="宋体" w:cs="宋体"/>
          <w:bCs/>
          <w:sz w:val="21"/>
          <w:szCs w:val="21"/>
          <w:lang w:val="en-US" w:eastAsia="zh-CN"/>
        </w:rPr>
        <w:t>：配子或胚胎操作区域，需要最高级别的净化空间，包括：空气、粒子、VOC等。</w:t>
      </w:r>
    </w:p>
    <w:p w14:paraId="616AB042">
      <w:pPr>
        <w:keepNext w:val="0"/>
        <w:keepLines w:val="0"/>
        <w:pageBreakBefore w:val="0"/>
        <w:widowControl w:val="0"/>
        <w:numPr>
          <w:ilvl w:val="0"/>
          <w:numId w:val="1"/>
        </w:numPr>
        <w:kinsoku/>
        <w:wordWrap/>
        <w:overflowPunct/>
        <w:topLinePunct w:val="0"/>
        <w:autoSpaceDE/>
        <w:autoSpaceDN/>
        <w:bidi w:val="0"/>
        <w:adjustRightInd/>
        <w:snapToGrid/>
        <w:spacing w:afterAutospacing="0" w:line="360" w:lineRule="auto"/>
        <w:ind w:left="425" w:leftChars="0" w:hanging="425" w:firstLineChars="0"/>
        <w:textAlignment w:val="auto"/>
        <w:rPr>
          <w:rFonts w:hint="eastAsia" w:ascii="宋体" w:hAnsi="宋体" w:eastAsia="宋体" w:cs="宋体"/>
          <w:bCs/>
          <w:sz w:val="21"/>
          <w:szCs w:val="21"/>
        </w:rPr>
      </w:pPr>
      <w:r>
        <w:rPr>
          <w:rFonts w:hint="eastAsia" w:ascii="宋体" w:hAnsi="宋体" w:eastAsia="宋体" w:cs="宋体"/>
          <w:b/>
          <w:bCs w:val="0"/>
          <w:sz w:val="21"/>
          <w:szCs w:val="21"/>
          <w:lang w:val="en-US" w:eastAsia="zh-CN"/>
        </w:rPr>
        <w:t>提供恒温环境</w:t>
      </w:r>
      <w:r>
        <w:rPr>
          <w:rFonts w:hint="eastAsia" w:ascii="宋体" w:hAnsi="宋体" w:eastAsia="宋体" w:cs="宋体"/>
          <w:bCs/>
          <w:sz w:val="21"/>
          <w:szCs w:val="21"/>
          <w:lang w:val="en-US" w:eastAsia="zh-CN"/>
        </w:rPr>
        <w:t>：捡卵、授精等配子、胚胎体外操作需要保持特定温度，工作台内嵌恒温玻璃板与临时转运室可满足温度需求。</w:t>
      </w:r>
    </w:p>
    <w:p w14:paraId="191C97AD">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二、主要技术参数、规格及系统概述 </w:t>
      </w:r>
    </w:p>
    <w:p w14:paraId="5465874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
          <w:bCs w:val="0"/>
          <w:sz w:val="21"/>
          <w:szCs w:val="21"/>
        </w:rPr>
        <w:t>用途</w:t>
      </w:r>
      <w:r>
        <w:rPr>
          <w:rFonts w:hint="eastAsia" w:ascii="宋体" w:hAnsi="宋体" w:eastAsia="宋体" w:cs="宋体"/>
          <w:bCs/>
          <w:sz w:val="21"/>
          <w:szCs w:val="21"/>
        </w:rPr>
        <w:t>：用于辅助生殖实验室配子</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精子、卵子</w:t>
      </w:r>
      <w:r>
        <w:rPr>
          <w:rFonts w:hint="eastAsia" w:ascii="宋体" w:hAnsi="宋体" w:eastAsia="宋体" w:cs="宋体"/>
          <w:bCs/>
          <w:sz w:val="21"/>
          <w:szCs w:val="21"/>
          <w:lang w:eastAsia="zh-CN"/>
        </w:rPr>
        <w:t>）</w:t>
      </w:r>
      <w:r>
        <w:rPr>
          <w:rFonts w:hint="eastAsia" w:ascii="宋体" w:hAnsi="宋体" w:eastAsia="宋体" w:cs="宋体"/>
          <w:bCs/>
          <w:sz w:val="21"/>
          <w:szCs w:val="21"/>
        </w:rPr>
        <w:t>或胚胎体外操作时提供洁净</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恒温</w:t>
      </w:r>
      <w:r>
        <w:rPr>
          <w:rFonts w:hint="eastAsia" w:ascii="宋体" w:hAnsi="宋体" w:eastAsia="宋体" w:cs="宋体"/>
          <w:bCs/>
          <w:sz w:val="21"/>
          <w:szCs w:val="21"/>
        </w:rPr>
        <w:t>环境，内嵌玻璃热板。具备NMPA认证</w:t>
      </w:r>
      <w:r>
        <w:rPr>
          <w:rFonts w:hint="eastAsia" w:ascii="宋体" w:hAnsi="宋体" w:eastAsia="宋体" w:cs="宋体"/>
          <w:bCs/>
          <w:sz w:val="21"/>
          <w:szCs w:val="21"/>
          <w:lang w:val="en-US" w:eastAsia="zh-CN"/>
        </w:rPr>
        <w:t>和CE认证</w:t>
      </w:r>
      <w:r>
        <w:rPr>
          <w:rFonts w:hint="eastAsia" w:ascii="宋体" w:hAnsi="宋体" w:eastAsia="宋体" w:cs="宋体"/>
          <w:bCs/>
          <w:sz w:val="21"/>
          <w:szCs w:val="21"/>
        </w:rPr>
        <w:t>。</w:t>
      </w:r>
    </w:p>
    <w:p w14:paraId="6B102A8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具备双操作区域，预留2台体视镜安装位置，供双人使用。</w:t>
      </w:r>
    </w:p>
    <w:p w14:paraId="341A7C6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工作台洁净区背板内嵌</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21寸液晶显示屏，可连接显微镜CCD</w:t>
      </w:r>
      <w:r>
        <w:rPr>
          <w:rFonts w:hint="eastAsia" w:ascii="宋体" w:hAnsi="宋体" w:eastAsia="宋体" w:cs="宋体"/>
          <w:bCs/>
          <w:sz w:val="21"/>
          <w:szCs w:val="21"/>
          <w:lang w:val="en-US" w:eastAsia="zh-CN"/>
        </w:rPr>
        <w:t>视频影像</w:t>
      </w:r>
      <w:r>
        <w:rPr>
          <w:rFonts w:hint="eastAsia" w:ascii="宋体" w:hAnsi="宋体" w:eastAsia="宋体" w:cs="宋体"/>
          <w:bCs/>
          <w:sz w:val="21"/>
          <w:szCs w:val="21"/>
        </w:rPr>
        <w:t>系统。</w:t>
      </w:r>
    </w:p>
    <w:p w14:paraId="4E97B3C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依场地需求：</w:t>
      </w:r>
      <w:r>
        <w:rPr>
          <w:rFonts w:hint="eastAsia" w:ascii="宋体" w:hAnsi="宋体" w:eastAsia="宋体" w:cs="宋体"/>
          <w:bCs/>
          <w:sz w:val="21"/>
          <w:szCs w:val="21"/>
          <w:highlight w:val="none"/>
          <w:lang w:val="en-US" w:eastAsia="zh-CN"/>
        </w:rPr>
        <w:t>贴墙摆放，</w:t>
      </w:r>
      <w:r>
        <w:rPr>
          <w:rFonts w:hint="eastAsia" w:ascii="宋体" w:hAnsi="宋体" w:eastAsia="宋体" w:cs="宋体"/>
          <w:bCs/>
          <w:sz w:val="21"/>
          <w:szCs w:val="21"/>
        </w:rPr>
        <w:t>工作台外部尺寸（W</w:t>
      </w:r>
      <w:r>
        <w:rPr>
          <w:rFonts w:hint="eastAsia" w:ascii="宋体" w:hAnsi="宋体" w:eastAsia="宋体" w:cs="宋体"/>
          <w:bCs/>
          <w:sz w:val="21"/>
          <w:szCs w:val="21"/>
          <w:lang w:val="en-US" w:eastAsia="zh-CN"/>
        </w:rPr>
        <w:t>×</w:t>
      </w:r>
      <w:r>
        <w:rPr>
          <w:rFonts w:hint="eastAsia" w:ascii="宋体" w:hAnsi="宋体" w:eastAsia="宋体" w:cs="宋体"/>
          <w:bCs/>
          <w:sz w:val="21"/>
          <w:szCs w:val="21"/>
        </w:rPr>
        <w:t>D</w:t>
      </w:r>
      <w:r>
        <w:rPr>
          <w:rFonts w:hint="eastAsia" w:ascii="宋体" w:hAnsi="宋体" w:eastAsia="宋体" w:cs="宋体"/>
          <w:bCs/>
          <w:sz w:val="21"/>
          <w:szCs w:val="21"/>
          <w:lang w:val="en-US" w:eastAsia="zh-CN"/>
        </w:rPr>
        <w:t>×</w:t>
      </w:r>
      <w:r>
        <w:rPr>
          <w:rFonts w:hint="eastAsia" w:ascii="宋体" w:hAnsi="宋体" w:eastAsia="宋体" w:cs="宋体"/>
          <w:bCs/>
          <w:sz w:val="21"/>
          <w:szCs w:val="21"/>
        </w:rPr>
        <w:t>H）</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19</w:t>
      </w:r>
      <w:r>
        <w:rPr>
          <w:rFonts w:hint="eastAsia" w:ascii="宋体" w:hAnsi="宋体" w:eastAsia="宋体" w:cs="宋体"/>
          <w:bCs/>
          <w:sz w:val="21"/>
          <w:szCs w:val="21"/>
          <w:lang w:val="en-US" w:eastAsia="zh-CN"/>
        </w:rPr>
        <w:t>5</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700</w:t>
      </w:r>
      <w:r>
        <w:rPr>
          <w:rFonts w:hint="eastAsia" w:ascii="宋体" w:hAnsi="宋体" w:eastAsia="宋体" w:cs="宋体"/>
          <w:bCs/>
          <w:sz w:val="21"/>
          <w:szCs w:val="21"/>
          <w:lang w:val="en-US" w:eastAsia="zh-CN"/>
        </w:rPr>
        <w:t>×</w:t>
      </w:r>
      <w:r>
        <w:rPr>
          <w:rFonts w:hint="eastAsia" w:ascii="宋体" w:hAnsi="宋体" w:eastAsia="宋体" w:cs="宋体"/>
          <w:bCs/>
          <w:sz w:val="21"/>
          <w:szCs w:val="21"/>
        </w:rPr>
        <w:t>2100-2</w:t>
      </w:r>
      <w:r>
        <w:rPr>
          <w:rFonts w:hint="eastAsia" w:ascii="宋体" w:hAnsi="宋体" w:eastAsia="宋体" w:cs="宋体"/>
          <w:bCs/>
          <w:sz w:val="21"/>
          <w:szCs w:val="21"/>
          <w:lang w:val="en-US" w:eastAsia="zh-CN"/>
        </w:rPr>
        <w:t>20</w:t>
      </w:r>
      <w:r>
        <w:rPr>
          <w:rFonts w:hint="eastAsia" w:ascii="宋体" w:hAnsi="宋体" w:eastAsia="宋体" w:cs="宋体"/>
          <w:bCs/>
          <w:sz w:val="21"/>
          <w:szCs w:val="21"/>
        </w:rPr>
        <w:t>0mm</w:t>
      </w:r>
      <w:r>
        <w:rPr>
          <w:rFonts w:hint="eastAsia" w:ascii="宋体" w:hAnsi="宋体" w:eastAsia="宋体" w:cs="宋体"/>
          <w:bCs/>
          <w:sz w:val="21"/>
          <w:szCs w:val="21"/>
          <w:lang w:eastAsia="zh-CN"/>
        </w:rPr>
        <w:t>，</w:t>
      </w:r>
      <w:r>
        <w:rPr>
          <w:rFonts w:hint="eastAsia" w:ascii="宋体" w:hAnsi="宋体" w:eastAsia="宋体" w:cs="宋体"/>
          <w:bCs/>
          <w:sz w:val="21"/>
          <w:szCs w:val="21"/>
          <w:highlight w:val="none"/>
          <w:lang w:val="en-US" w:eastAsia="zh-CN"/>
        </w:rPr>
        <w:t>脚架离地</w:t>
      </w:r>
      <w:r>
        <w:rPr>
          <w:rFonts w:hint="eastAsia" w:ascii="宋体" w:hAnsi="宋体" w:eastAsia="宋体" w:cs="宋体"/>
          <w:bCs/>
          <w:sz w:val="21"/>
          <w:szCs w:val="21"/>
          <w:highlight w:val="none"/>
        </w:rPr>
        <w:t>高度根据工作需要</w:t>
      </w:r>
      <w:r>
        <w:rPr>
          <w:rFonts w:hint="eastAsia" w:ascii="宋体" w:hAnsi="宋体" w:eastAsia="宋体" w:cs="宋体"/>
          <w:bCs/>
          <w:sz w:val="21"/>
          <w:szCs w:val="21"/>
          <w:highlight w:val="none"/>
          <w:lang w:val="en-US" w:eastAsia="zh-CN"/>
        </w:rPr>
        <w:t>可</w:t>
      </w:r>
      <w:r>
        <w:rPr>
          <w:rFonts w:hint="eastAsia" w:ascii="宋体" w:hAnsi="宋体" w:eastAsia="宋体" w:cs="宋体"/>
          <w:bCs/>
          <w:sz w:val="21"/>
          <w:szCs w:val="21"/>
          <w:highlight w:val="none"/>
        </w:rPr>
        <w:t>调节</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rPr>
        <w:t>净化区体积（W×D×H）</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18</w:t>
      </w:r>
      <w:r>
        <w:rPr>
          <w:rFonts w:hint="eastAsia" w:ascii="宋体" w:hAnsi="宋体" w:eastAsia="宋体" w:cs="宋体"/>
          <w:bCs/>
          <w:sz w:val="21"/>
          <w:szCs w:val="21"/>
          <w:lang w:val="en-US" w:eastAsia="zh-CN"/>
        </w:rPr>
        <w:t>0</w:t>
      </w:r>
      <w:r>
        <w:rPr>
          <w:rFonts w:hint="eastAsia" w:ascii="宋体" w:hAnsi="宋体" w:eastAsia="宋体" w:cs="宋体"/>
          <w:bCs/>
          <w:sz w:val="21"/>
          <w:szCs w:val="21"/>
        </w:rPr>
        <w:t>0</w:t>
      </w:r>
      <w:r>
        <w:rPr>
          <w:rFonts w:hint="eastAsia" w:ascii="宋体" w:hAnsi="宋体" w:eastAsia="宋体" w:cs="宋体"/>
          <w:bCs/>
          <w:sz w:val="21"/>
          <w:szCs w:val="21"/>
          <w:lang w:val="en-US" w:eastAsia="zh-CN"/>
        </w:rPr>
        <w:t>×60</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750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mm</w:t>
      </w:r>
      <w:r>
        <w:rPr>
          <w:rFonts w:hint="eastAsia" w:ascii="宋体" w:hAnsi="宋体" w:eastAsia="宋体" w:cs="宋体"/>
          <w:bCs/>
          <w:sz w:val="21"/>
          <w:szCs w:val="21"/>
          <w:lang w:eastAsia="zh-CN"/>
        </w:rPr>
        <w:t>。</w:t>
      </w:r>
    </w:p>
    <w:p w14:paraId="6E17E06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过滤系统：≥2重过滤系统</w:t>
      </w:r>
      <w:r>
        <w:rPr>
          <w:rFonts w:hint="eastAsia" w:ascii="宋体" w:hAnsi="宋体" w:eastAsia="宋体" w:cs="宋体"/>
          <w:bCs/>
          <w:sz w:val="21"/>
          <w:szCs w:val="21"/>
          <w:lang w:eastAsia="zh-CN"/>
        </w:rPr>
        <w:t>，</w:t>
      </w:r>
      <w:r>
        <w:rPr>
          <w:rFonts w:hint="eastAsia" w:ascii="宋体" w:hAnsi="宋体" w:eastAsia="宋体" w:cs="宋体"/>
          <w:bCs/>
          <w:sz w:val="21"/>
          <w:szCs w:val="21"/>
        </w:rPr>
        <w:t>至少</w:t>
      </w:r>
      <w:r>
        <w:rPr>
          <w:rFonts w:hint="eastAsia" w:ascii="宋体" w:hAnsi="宋体" w:eastAsia="宋体" w:cs="宋体"/>
          <w:bCs/>
          <w:sz w:val="21"/>
          <w:szCs w:val="21"/>
          <w:lang w:val="en-US" w:eastAsia="zh-CN"/>
        </w:rPr>
        <w:t>含</w:t>
      </w:r>
      <w:r>
        <w:rPr>
          <w:rFonts w:hint="eastAsia" w:ascii="宋体" w:hAnsi="宋体" w:eastAsia="宋体" w:cs="宋体"/>
          <w:bCs/>
          <w:sz w:val="21"/>
          <w:szCs w:val="21"/>
        </w:rPr>
        <w:t>预过滤模块、高效过滤模块</w:t>
      </w:r>
      <w:r>
        <w:rPr>
          <w:rFonts w:hint="eastAsia" w:ascii="宋体" w:hAnsi="宋体" w:eastAsia="宋体" w:cs="宋体"/>
          <w:bCs/>
          <w:sz w:val="21"/>
          <w:szCs w:val="21"/>
          <w:lang w:eastAsia="zh-CN"/>
        </w:rPr>
        <w:t>。</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预滤系统符合EU3标准；聚酯材料的前过滤层</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活性碳过滤层，过滤空气中VOC及可溶性化学物质。</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w:t>
      </w:r>
      <w:r>
        <w:rPr>
          <w:rFonts w:hint="eastAsia" w:ascii="宋体" w:hAnsi="宋体" w:eastAsia="宋体" w:cs="宋体"/>
          <w:bCs/>
          <w:sz w:val="21"/>
          <w:szCs w:val="21"/>
        </w:rPr>
        <w:t>高效HEPA过滤层</w:t>
      </w:r>
      <w:r>
        <w:rPr>
          <w:rFonts w:hint="eastAsia" w:ascii="宋体" w:hAnsi="宋体" w:eastAsia="宋体" w:cs="宋体"/>
          <w:bCs/>
          <w:sz w:val="21"/>
          <w:szCs w:val="21"/>
          <w:lang w:eastAsia="zh-CN"/>
        </w:rPr>
        <w:t>：对直径0.3µm以上粒子达到99.999%以上的清除率，负压设计，避免污染颗粒进入净化系统。</w:t>
      </w:r>
    </w:p>
    <w:p w14:paraId="6FD3148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直流电风机，全速工作时噪音≤</w:t>
      </w:r>
      <w:r>
        <w:rPr>
          <w:rFonts w:hint="eastAsia" w:ascii="宋体" w:hAnsi="宋体" w:eastAsia="宋体" w:cs="宋体"/>
          <w:bCs/>
          <w:color w:val="000000" w:themeColor="text1"/>
          <w:sz w:val="21"/>
          <w:szCs w:val="21"/>
          <w14:textFill>
            <w14:solidFill>
              <w14:schemeClr w14:val="tx1"/>
            </w14:solidFill>
          </w14:textFill>
        </w:rPr>
        <w:t>5</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dB</w:t>
      </w:r>
      <w:r>
        <w:rPr>
          <w:rFonts w:hint="eastAsia" w:ascii="宋体" w:hAnsi="宋体" w:eastAsia="宋体" w:cs="宋体"/>
          <w:bCs/>
          <w:sz w:val="21"/>
          <w:szCs w:val="21"/>
        </w:rPr>
        <w:t>，半速工作时噪音≤30dB</w:t>
      </w:r>
      <w:r>
        <w:rPr>
          <w:rFonts w:hint="eastAsia" w:ascii="宋体" w:hAnsi="宋体" w:eastAsia="宋体" w:cs="宋体"/>
          <w:bCs/>
          <w:sz w:val="21"/>
          <w:szCs w:val="21"/>
          <w:lang w:eastAsia="zh-CN"/>
        </w:rPr>
        <w:t>。</w:t>
      </w:r>
    </w:p>
    <w:p w14:paraId="1DE5040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垂直风设计，进风口及预过滤膜位于工作站顶端</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直接顶部更换</w:t>
      </w:r>
      <w:r>
        <w:rPr>
          <w:rFonts w:hint="eastAsia" w:ascii="宋体" w:hAnsi="宋体" w:eastAsia="宋体" w:cs="宋体"/>
          <w:bCs/>
          <w:sz w:val="21"/>
          <w:szCs w:val="21"/>
        </w:rPr>
        <w:t xml:space="preserve">。风速 (m/s) </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0.32，风速不均一性</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val="en-US" w:eastAsia="zh-CN"/>
        </w:rPr>
        <w:t>±</w:t>
      </w:r>
      <w:r>
        <w:rPr>
          <w:rFonts w:hint="eastAsia" w:ascii="宋体" w:hAnsi="宋体" w:eastAsia="宋体" w:cs="宋体"/>
          <w:bCs/>
          <w:sz w:val="21"/>
          <w:szCs w:val="21"/>
        </w:rPr>
        <w:t>10%，风速可选，数字液晶屏显示</w:t>
      </w:r>
      <w:r>
        <w:rPr>
          <w:rFonts w:hint="eastAsia" w:ascii="宋体" w:hAnsi="宋体" w:eastAsia="宋体" w:cs="宋体"/>
          <w:bCs/>
          <w:sz w:val="21"/>
          <w:szCs w:val="21"/>
          <w:lang w:eastAsia="zh-CN"/>
        </w:rPr>
        <w:t>。</w:t>
      </w:r>
    </w:p>
    <w:p w14:paraId="358292C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报警系统：风速报警系统，当风流速率低于标准风流速率时报警。</w:t>
      </w:r>
    </w:p>
    <w:p w14:paraId="62AB64E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▲数显式控制面板与操作区分离，防止操作误触，可预设程序定时自动开机，提前加热台面。</w:t>
      </w:r>
    </w:p>
    <w:p w14:paraId="2DCB312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▲台面整块加热，配置2个标准恒温台</w:t>
      </w:r>
      <w:r>
        <w:rPr>
          <w:rFonts w:hint="eastAsia" w:ascii="宋体" w:hAnsi="宋体" w:eastAsia="宋体" w:cs="宋体"/>
          <w:bCs/>
          <w:sz w:val="21"/>
          <w:szCs w:val="21"/>
          <w:lang w:eastAsia="zh-CN"/>
        </w:rPr>
        <w:t>，</w:t>
      </w:r>
      <w:r>
        <w:rPr>
          <w:rFonts w:hint="eastAsia" w:ascii="宋体" w:hAnsi="宋体" w:eastAsia="宋体" w:cs="宋体"/>
          <w:bCs/>
          <w:sz w:val="21"/>
          <w:szCs w:val="21"/>
        </w:rPr>
        <w:t>深度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长度≥4</w:t>
      </w:r>
      <w:r>
        <w:rPr>
          <w:rFonts w:hint="eastAsia" w:ascii="宋体" w:hAnsi="宋体" w:eastAsia="宋体" w:cs="宋体"/>
          <w:bCs/>
          <w:sz w:val="21"/>
          <w:szCs w:val="21"/>
          <w:lang w:val="en-US" w:eastAsia="zh-CN"/>
        </w:rPr>
        <w:t>0</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6</w:t>
      </w:r>
      <w:r>
        <w:rPr>
          <w:rFonts w:hint="eastAsia" w:ascii="宋体" w:hAnsi="宋体" w:eastAsia="宋体" w:cs="宋体"/>
          <w:bCs/>
          <w:sz w:val="21"/>
          <w:szCs w:val="21"/>
          <w:lang w:val="en-US" w:eastAsia="zh-CN"/>
        </w:rPr>
        <w:t>5</w:t>
      </w:r>
      <w:r>
        <w:rPr>
          <w:rFonts w:hint="eastAsia" w:ascii="宋体" w:hAnsi="宋体" w:eastAsia="宋体" w:cs="宋体"/>
          <w:bCs/>
          <w:sz w:val="21"/>
          <w:szCs w:val="21"/>
        </w:rPr>
        <w:t>0mm。</w:t>
      </w:r>
    </w:p>
    <w:p w14:paraId="12E6F5B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恒温台面温度不均一性≤</w:t>
      </w:r>
      <w:r>
        <w:rPr>
          <w:rFonts w:hint="eastAsia" w:ascii="宋体" w:hAnsi="宋体" w:eastAsia="宋体" w:cs="宋体"/>
          <w:bCs/>
          <w:sz w:val="21"/>
          <w:szCs w:val="21"/>
          <w:lang w:val="en-US" w:eastAsia="zh-CN"/>
        </w:rPr>
        <w:t>±</w:t>
      </w:r>
      <w:r>
        <w:rPr>
          <w:rFonts w:hint="eastAsia" w:ascii="宋体" w:hAnsi="宋体" w:eastAsia="宋体" w:cs="宋体"/>
          <w:bCs/>
          <w:sz w:val="21"/>
          <w:szCs w:val="21"/>
        </w:rPr>
        <w:t>0.2℃，可调节温度≤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0.</w:t>
      </w:r>
      <w:r>
        <w:rPr>
          <w:rFonts w:hint="eastAsia" w:ascii="宋体" w:hAnsi="宋体" w:eastAsia="宋体" w:cs="宋体"/>
          <w:bCs/>
          <w:sz w:val="21"/>
          <w:szCs w:val="21"/>
          <w:lang w:val="en-US" w:eastAsia="zh-CN"/>
        </w:rPr>
        <w:t>1</w:t>
      </w:r>
      <w:r>
        <w:rPr>
          <w:rFonts w:hint="eastAsia" w:ascii="宋体" w:hAnsi="宋体" w:eastAsia="宋体" w:cs="宋体"/>
          <w:bCs/>
          <w:sz w:val="21"/>
          <w:szCs w:val="21"/>
        </w:rPr>
        <w:t>℃</w:t>
      </w:r>
      <w:r>
        <w:rPr>
          <w:rFonts w:hint="eastAsia" w:ascii="宋体" w:hAnsi="宋体" w:eastAsia="宋体" w:cs="宋体"/>
          <w:bCs/>
          <w:sz w:val="21"/>
          <w:szCs w:val="21"/>
          <w:lang w:eastAsia="zh-CN"/>
        </w:rPr>
        <w:t>。</w:t>
      </w:r>
    </w:p>
    <w:p w14:paraId="0CA4ED1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白色台面</w:t>
      </w:r>
      <w:r>
        <w:rPr>
          <w:rFonts w:hint="eastAsia" w:ascii="宋体" w:hAnsi="宋体" w:eastAsia="宋体" w:cs="宋体"/>
          <w:bCs/>
          <w:sz w:val="21"/>
          <w:szCs w:val="21"/>
          <w:lang w:eastAsia="zh-CN"/>
        </w:rPr>
        <w:t>，</w:t>
      </w:r>
      <w:r>
        <w:rPr>
          <w:rFonts w:hint="eastAsia" w:ascii="宋体" w:hAnsi="宋体" w:eastAsia="宋体" w:cs="宋体"/>
          <w:bCs/>
          <w:sz w:val="21"/>
          <w:szCs w:val="21"/>
        </w:rPr>
        <w:t>暗光操作</w:t>
      </w:r>
      <w:r>
        <w:rPr>
          <w:rFonts w:hint="eastAsia" w:ascii="宋体" w:hAnsi="宋体" w:eastAsia="宋体" w:cs="宋体"/>
          <w:bCs/>
          <w:sz w:val="21"/>
          <w:szCs w:val="21"/>
          <w:lang w:val="en-US" w:eastAsia="zh-CN"/>
        </w:rPr>
        <w:t>下</w:t>
      </w:r>
      <w:r>
        <w:rPr>
          <w:rFonts w:hint="eastAsia" w:ascii="宋体" w:hAnsi="宋体" w:eastAsia="宋体" w:cs="宋体"/>
          <w:bCs/>
          <w:sz w:val="21"/>
          <w:szCs w:val="21"/>
        </w:rPr>
        <w:t>易于辨识标记，台面抗划痕抗指纹处理。恒温区域边界有</w:t>
      </w:r>
      <w:r>
        <w:rPr>
          <w:rFonts w:hint="eastAsia" w:ascii="宋体" w:hAnsi="宋体" w:eastAsia="宋体" w:cs="宋体"/>
          <w:bCs/>
          <w:sz w:val="21"/>
          <w:szCs w:val="21"/>
          <w:lang w:val="en-US" w:eastAsia="zh-CN"/>
        </w:rPr>
        <w:t>清晰</w:t>
      </w:r>
      <w:r>
        <w:rPr>
          <w:rFonts w:hint="eastAsia" w:ascii="宋体" w:hAnsi="宋体" w:eastAsia="宋体" w:cs="宋体"/>
          <w:bCs/>
          <w:sz w:val="21"/>
          <w:szCs w:val="21"/>
        </w:rPr>
        <w:t>线条标示。</w:t>
      </w:r>
    </w:p>
    <w:p w14:paraId="32904E2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台面具备胚胎无毒无放射性安全测试认证报告或其他安全认证报告。</w:t>
      </w:r>
    </w:p>
    <w:p w14:paraId="68D7A23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▲配内嵌式临时转运室，顶盖与台面平齐，顶盖及底部独立温度控制，上盖可拆卸进行清洁消毒</w:t>
      </w:r>
      <w:r>
        <w:rPr>
          <w:rFonts w:hint="eastAsia" w:ascii="宋体" w:hAnsi="宋体" w:eastAsia="宋体" w:cs="宋体"/>
          <w:bCs/>
          <w:sz w:val="21"/>
          <w:szCs w:val="21"/>
          <w:lang w:eastAsia="zh-CN"/>
        </w:rPr>
        <w:t>。</w:t>
      </w:r>
    </w:p>
    <w:p w14:paraId="34852A5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Cs/>
          <w:sz w:val="21"/>
          <w:szCs w:val="21"/>
        </w:rPr>
        <w:t>体视显微镜物镜下方位置配备直径≤90mm的恒温玻璃，</w:t>
      </w:r>
      <w:r>
        <w:rPr>
          <w:rFonts w:hint="eastAsia" w:ascii="宋体" w:hAnsi="宋体" w:eastAsia="宋体" w:cs="宋体"/>
          <w:b/>
          <w:bCs w:val="0"/>
          <w:sz w:val="21"/>
          <w:szCs w:val="21"/>
          <w:u w:val="single"/>
          <w:lang w:val="en-US" w:eastAsia="zh-CN"/>
        </w:rPr>
        <w:t>与</w:t>
      </w:r>
      <w:r>
        <w:rPr>
          <w:rFonts w:hint="eastAsia" w:ascii="宋体" w:hAnsi="宋体" w:eastAsia="宋体" w:cs="宋体"/>
          <w:b/>
          <w:bCs w:val="0"/>
          <w:sz w:val="21"/>
          <w:szCs w:val="21"/>
          <w:u w:val="single"/>
        </w:rPr>
        <w:t>台面平齐</w:t>
      </w:r>
      <w:r>
        <w:rPr>
          <w:rFonts w:hint="eastAsia" w:ascii="宋体" w:hAnsi="宋体" w:eastAsia="宋体" w:cs="宋体"/>
          <w:bCs/>
          <w:sz w:val="21"/>
          <w:szCs w:val="21"/>
        </w:rPr>
        <w:t>，大于观测孔面积，独立控温，调节精度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0.1℃</w:t>
      </w:r>
      <w:r>
        <w:rPr>
          <w:rFonts w:hint="eastAsia" w:ascii="宋体" w:hAnsi="宋体" w:eastAsia="宋体" w:cs="宋体"/>
          <w:bCs/>
          <w:sz w:val="21"/>
          <w:szCs w:val="21"/>
          <w:lang w:eastAsia="zh-CN"/>
        </w:rPr>
        <w:t>。</w:t>
      </w:r>
    </w:p>
    <w:p w14:paraId="4392D5D9">
      <w:pPr>
        <w:keepNext w:val="0"/>
        <w:keepLines w:val="0"/>
        <w:pageBreakBefore w:val="0"/>
        <w:widowControl w:val="0"/>
        <w:numPr>
          <w:ilvl w:val="0"/>
          <w:numId w:val="3"/>
        </w:numPr>
        <w:kinsoku/>
        <w:wordWrap/>
        <w:overflowPunct/>
        <w:topLinePunct w:val="0"/>
        <w:autoSpaceDE/>
        <w:autoSpaceDN/>
        <w:bidi w:val="0"/>
        <w:adjustRightInd/>
        <w:snapToGrid w:val="0"/>
        <w:spacing w:line="460" w:lineRule="exact"/>
        <w:ind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587D251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lang w:val="en-US" w:eastAsia="zh-CN"/>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8305F6D">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160CEC8F">
      <w:pPr>
        <w:pStyle w:val="50"/>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default"/>
          <w:lang w:val="en-US" w:eastAsia="zh-CN"/>
        </w:rPr>
      </w:pPr>
      <w:r>
        <w:rPr>
          <w:rFonts w:hint="eastAsia" w:ascii="宋体" w:hAnsi="宋体" w:cs="宋体"/>
          <w:color w:val="auto"/>
          <w:kern w:val="0"/>
          <w:sz w:val="21"/>
          <w:szCs w:val="21"/>
          <w:highlight w:val="none"/>
          <w:shd w:val="clear" w:color="auto" w:fill="FFFFFF"/>
          <w:lang w:val="en-US" w:eastAsia="zh-CN" w:bidi="ar-SA"/>
        </w:rPr>
        <w:t>3.商品包装和快递包装应符合《商品包装政府采购需求标准（试行）》和《快递包装政府采购需求标准（试行）》规定。</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符合国家质量标准、部颁标准、行业标准，满足磋商文件规定标准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自成交通知书发出之日起30日内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w:t>
            </w:r>
            <w:r>
              <w:rPr>
                <w:rFonts w:hint="eastAsia" w:ascii="宋体" w:hAnsi="宋体" w:eastAsia="宋体" w:cs="宋体"/>
                <w:sz w:val="21"/>
                <w:szCs w:val="21"/>
                <w:highlight w:val="none"/>
                <w:lang w:val="en-US" w:eastAsia="zh-CN"/>
              </w:rPr>
              <w:t>，出具相关服务承诺书</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8"/>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4235DEB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6111654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sz w:val="21"/>
                <w:szCs w:val="21"/>
                <w:lang w:val="en-US" w:eastAsia="zh-CN"/>
              </w:rPr>
              <w:t>成交供应商交付设备时，应按照《国家食品药品监督管理总局》第18号令第17条的要求提供相应的维护手册、维修手册、软件备份、故障代码表、备件清单、零部件、维修密码等维护维修必需的材料和信息。</w:t>
            </w:r>
          </w:p>
          <w:p w14:paraId="345C163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sz w:val="21"/>
                <w:szCs w:val="21"/>
                <w:lang w:val="en-US" w:eastAsia="zh-CN"/>
              </w:rPr>
              <w:t>所有设备按照医院实际要求免费开放端口，免费为医院对接院内信息系统。质保期内免费进行软件升级</w:t>
            </w:r>
          </w:p>
          <w:p w14:paraId="32C3824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g</w:t>
            </w:r>
            <w:r>
              <w:rPr>
                <w:rFonts w:hint="eastAsia" w:ascii="宋体" w:hAnsi="宋体" w:eastAsia="宋体" w:cs="宋体"/>
                <w:color w:val="auto"/>
                <w:sz w:val="21"/>
                <w:szCs w:val="21"/>
                <w:highlight w:val="none"/>
                <w:lang w:val="en-US" w:eastAsia="zh-CN"/>
              </w:rPr>
              <w:t>、除火灾、洪水、地震等天灾外，在保修期内，由于货物故障所产生的所有费用均由供应商负责。</w:t>
            </w:r>
          </w:p>
          <w:p w14:paraId="29CAED8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培训：免费提供操作培训和维修培训。</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lang w:val="en-US" w:eastAsia="zh-CN"/>
              </w:rPr>
              <w:t>要求设备为最新出厂设备，出厂日期不得早于招标日期6个月</w:t>
            </w:r>
          </w:p>
        </w:tc>
      </w:tr>
    </w:tbl>
    <w:p w14:paraId="19458F4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57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26279"/>
            <w:bookmarkStart w:id="38" w:name="_Toc30169"/>
            <w:bookmarkStart w:id="39" w:name="_Toc9566"/>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highlight w:val="none"/>
                <w:lang w:val="en-US" w:eastAsia="zh-CN"/>
              </w:rPr>
              <w:t>驻马店市中心医院体外受精（IVF）超净工作台采购项目（二次）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9400"/>
            <w:bookmarkStart w:id="41" w:name="_Toc23424"/>
            <w:bookmarkStart w:id="42" w:name="_Toc28320"/>
            <w:bookmarkStart w:id="43" w:name="_Toc10981"/>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0330"/>
            <w:bookmarkStart w:id="45" w:name="_Toc26199"/>
            <w:bookmarkStart w:id="46" w:name="_Toc3148"/>
            <w:bookmarkStart w:id="47"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41.5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41.5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41.5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41.5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4.2、具有良好的商业信誉和健全的财务会计制度（提供经审计的2023年或2024年度财务报告或者其基本开户银行出具的资信证明）；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FC084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4.8.2供应商如为代理商的，需提供拟投产品制造商或中国境内办事处或中国总代理经销商针对本项目的授权书。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8767"/>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1.产品技术参数（35分）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三、技术要求”技术参数、性能及产品功能等的响应，所投产品全部满足磋商文件要求得35分，带“</w:t>
            </w:r>
            <w:r>
              <w:rPr>
                <w:rFonts w:hint="eastAsia" w:ascii="宋体" w:hAnsi="宋体" w:eastAsia="宋体" w:cs="宋体"/>
                <w:bCs/>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技术参数，有一项不满足的扣5分，扣完为止；不带“</w:t>
            </w:r>
            <w:r>
              <w:rPr>
                <w:rFonts w:hint="eastAsia" w:ascii="宋体" w:hAnsi="宋体" w:eastAsia="宋体" w:cs="宋体"/>
                <w:bCs/>
                <w:sz w:val="21"/>
                <w:szCs w:val="21"/>
                <w:highlight w:val="none"/>
              </w:rPr>
              <w:t>▲</w:t>
            </w:r>
            <w:r>
              <w:rPr>
                <w:rFonts w:hint="eastAsia" w:ascii="宋体" w:hAnsi="宋体" w:eastAsia="宋体" w:cs="宋体"/>
                <w:color w:val="auto"/>
                <w:sz w:val="21"/>
                <w:szCs w:val="21"/>
                <w:highlight w:val="none"/>
                <w:lang w:val="en-US" w:eastAsia="zh-CN"/>
              </w:rPr>
              <w:t xml:space="preserve">”号的技术参数为一般性技术参数，有一项不满足的扣3分，扣完为止；如得分为0，则磋商无效。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EF2FF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2）供应商所投产品需提供医疗器械注册证【含附件：产品技术要求（如有）】</w:t>
            </w:r>
            <w:r>
              <w:rPr>
                <w:rFonts w:hint="eastAsia" w:ascii="宋体" w:hAnsi="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根据供应商提供的售后服务人员配备及专业技术能力说明、故障响应时间、应急维修措施预案、培训方案等进行打分。</w:t>
            </w:r>
          </w:p>
          <w:p w14:paraId="7021B8F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服务承诺符合本项目特点，故障响应时间快、应急维修措施预案较合理，有较具体的培训方案的得5分；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服务承诺符合本项目特点，故障响应时间较长、应急维修措施预案不完备，培训方案不完备的得2分；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1154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8" w:name="_Toc2995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24743"/>
      <w:bookmarkStart w:id="71"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4560"/>
      <w:bookmarkStart w:id="73" w:name="_Toc8818"/>
      <w:r>
        <w:rPr>
          <w:rFonts w:hint="eastAsia" w:ascii="宋体" w:hAnsi="宋体" w:eastAsia="宋体" w:cs="宋体"/>
          <w:color w:val="auto"/>
          <w:sz w:val="28"/>
          <w:szCs w:val="28"/>
          <w:highlight w:val="none"/>
          <w:lang w:val="en-US" w:eastAsia="zh-CN"/>
        </w:rPr>
        <w:t>附件2      竞争性磋商响应书（格式）</w:t>
      </w:r>
      <w:bookmarkEnd w:id="72"/>
      <w:bookmarkEnd w:id="73"/>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初次报价一览表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0"/>
                <w:kern w:val="0"/>
                <w:sz w:val="24"/>
                <w:highlight w:val="none"/>
                <w14:textFill>
                  <w14:solidFill>
                    <w14:schemeClr w14:val="tx1"/>
                  </w14:solidFill>
                </w14:textFill>
              </w:rPr>
              <w:t>报价(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rFonts w:hint="eastAsia" w:ascii="宋体" w:hAnsi="宋体" w:eastAsia="宋体" w:cs="宋体"/>
                <w:sz w:val="21"/>
                <w:szCs w:val="21"/>
                <w:vertAlign w:val="baseline"/>
              </w:rPr>
            </w:pPr>
          </w:p>
        </w:tc>
        <w:tc>
          <w:tcPr>
            <w:tcW w:w="1046" w:type="dxa"/>
            <w:vAlign w:val="center"/>
          </w:tcPr>
          <w:p w14:paraId="135D21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27396"/>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18976"/>
            <w:r>
              <w:rPr>
                <w:rFonts w:hint="eastAsia" w:ascii="宋体" w:hAnsi="宋体" w:eastAsia="宋体" w:cs="宋体"/>
                <w:b/>
                <w:sz w:val="21"/>
                <w:szCs w:val="21"/>
              </w:rPr>
              <w:t>收费编码</w:t>
            </w:r>
            <w:bookmarkEnd w:id="86"/>
          </w:p>
          <w:p w14:paraId="0E7218A7">
            <w:pPr>
              <w:widowControl w:val="0"/>
              <w:spacing w:line="320" w:lineRule="exact"/>
              <w:jc w:val="center"/>
              <w:outlineLvl w:val="0"/>
              <w:rPr>
                <w:rFonts w:hint="eastAsia" w:ascii="宋体" w:hAnsi="宋体" w:eastAsia="宋体" w:cs="宋体"/>
                <w:sz w:val="21"/>
                <w:szCs w:val="21"/>
                <w:vertAlign w:val="baseline"/>
              </w:rPr>
            </w:pPr>
            <w:bookmarkStart w:id="87" w:name="_Toc10802"/>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rFonts w:hint="eastAsia" w:ascii="宋体" w:hAnsi="宋体" w:eastAsia="宋体" w:cs="宋体"/>
                <w:vertAlign w:val="baseline"/>
              </w:rPr>
            </w:pPr>
          </w:p>
        </w:tc>
        <w:tc>
          <w:tcPr>
            <w:tcW w:w="1447" w:type="dxa"/>
            <w:vMerge w:val="restart"/>
          </w:tcPr>
          <w:p w14:paraId="1411B170">
            <w:pPr>
              <w:widowControl w:val="0"/>
              <w:rPr>
                <w:rFonts w:hint="eastAsia" w:ascii="宋体" w:hAnsi="宋体" w:eastAsia="宋体" w:cs="宋体"/>
                <w:vertAlign w:val="baseline"/>
              </w:rPr>
            </w:pPr>
          </w:p>
        </w:tc>
        <w:tc>
          <w:tcPr>
            <w:tcW w:w="1447" w:type="dxa"/>
          </w:tcPr>
          <w:p w14:paraId="538C956D">
            <w:pPr>
              <w:widowControl w:val="0"/>
              <w:rPr>
                <w:rFonts w:hint="eastAsia" w:ascii="宋体" w:hAnsi="宋体" w:eastAsia="宋体" w:cs="宋体"/>
                <w:vertAlign w:val="baseline"/>
              </w:rPr>
            </w:pPr>
          </w:p>
        </w:tc>
        <w:tc>
          <w:tcPr>
            <w:tcW w:w="1046" w:type="dxa"/>
          </w:tcPr>
          <w:p w14:paraId="74877ABD">
            <w:pPr>
              <w:widowControl w:val="0"/>
              <w:rPr>
                <w:rFonts w:hint="eastAsia" w:ascii="宋体" w:hAnsi="宋体" w:eastAsia="宋体" w:cs="宋体"/>
                <w:vertAlign w:val="baseline"/>
              </w:rPr>
            </w:pPr>
          </w:p>
        </w:tc>
        <w:tc>
          <w:tcPr>
            <w:tcW w:w="1046" w:type="dxa"/>
          </w:tcPr>
          <w:p w14:paraId="46285D21">
            <w:pPr>
              <w:widowControl w:val="0"/>
              <w:rPr>
                <w:rFonts w:hint="eastAsia" w:ascii="宋体" w:hAnsi="宋体" w:eastAsia="宋体" w:cs="宋体"/>
                <w:vertAlign w:val="baseline"/>
              </w:rPr>
            </w:pPr>
          </w:p>
        </w:tc>
        <w:tc>
          <w:tcPr>
            <w:tcW w:w="1046" w:type="dxa"/>
          </w:tcPr>
          <w:p w14:paraId="30AA1993">
            <w:pPr>
              <w:widowControl w:val="0"/>
              <w:rPr>
                <w:rFonts w:hint="eastAsia" w:ascii="宋体" w:hAnsi="宋体" w:eastAsia="宋体" w:cs="宋体"/>
                <w:vertAlign w:val="baseline"/>
              </w:rPr>
            </w:pPr>
          </w:p>
        </w:tc>
        <w:tc>
          <w:tcPr>
            <w:tcW w:w="1164" w:type="dxa"/>
          </w:tcPr>
          <w:p w14:paraId="3FDE21BE">
            <w:pPr>
              <w:widowControl w:val="0"/>
              <w:rPr>
                <w:rFonts w:hint="eastAsia" w:ascii="宋体" w:hAnsi="宋体" w:eastAsia="宋体" w:cs="宋体"/>
                <w:vertAlign w:val="baseline"/>
              </w:rPr>
            </w:pPr>
          </w:p>
        </w:tc>
        <w:tc>
          <w:tcPr>
            <w:tcW w:w="929" w:type="dxa"/>
          </w:tcPr>
          <w:p w14:paraId="4E71EAFD">
            <w:pPr>
              <w:widowControl w:val="0"/>
              <w:rPr>
                <w:rFonts w:hint="eastAsia" w:ascii="宋体" w:hAnsi="宋体" w:eastAsia="宋体" w:cs="宋体"/>
                <w:vertAlign w:val="baseline"/>
              </w:rPr>
            </w:pPr>
          </w:p>
        </w:tc>
        <w:tc>
          <w:tcPr>
            <w:tcW w:w="929" w:type="dxa"/>
          </w:tcPr>
          <w:p w14:paraId="2A5C917F">
            <w:pPr>
              <w:widowControl w:val="0"/>
              <w:rPr>
                <w:rFonts w:hint="eastAsia" w:ascii="宋体" w:hAnsi="宋体" w:eastAsia="宋体" w:cs="宋体"/>
                <w:vertAlign w:val="baseline"/>
              </w:rPr>
            </w:pPr>
          </w:p>
        </w:tc>
        <w:tc>
          <w:tcPr>
            <w:tcW w:w="1046" w:type="dxa"/>
          </w:tcPr>
          <w:p w14:paraId="2BC032BB">
            <w:pPr>
              <w:widowControl w:val="0"/>
              <w:rPr>
                <w:rFonts w:hint="eastAsia" w:ascii="宋体" w:hAnsi="宋体" w:eastAsia="宋体" w:cs="宋体"/>
                <w:vertAlign w:val="baseline"/>
              </w:rPr>
            </w:pPr>
          </w:p>
        </w:tc>
        <w:tc>
          <w:tcPr>
            <w:tcW w:w="1609" w:type="dxa"/>
          </w:tcPr>
          <w:p w14:paraId="43AF7AB5">
            <w:pPr>
              <w:widowControl w:val="0"/>
              <w:rPr>
                <w:rFonts w:hint="eastAsia" w:ascii="宋体" w:hAnsi="宋体" w:eastAsia="宋体" w:cs="宋体"/>
                <w:vertAlign w:val="baseline"/>
              </w:rPr>
            </w:pPr>
          </w:p>
        </w:tc>
        <w:tc>
          <w:tcPr>
            <w:tcW w:w="1908" w:type="dxa"/>
          </w:tcPr>
          <w:p w14:paraId="351E7283">
            <w:pPr>
              <w:widowControl w:val="0"/>
              <w:rPr>
                <w:rFonts w:hint="eastAsia" w:ascii="宋体" w:hAnsi="宋体" w:eastAsia="宋体" w:cs="宋体"/>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rFonts w:hint="eastAsia" w:ascii="宋体" w:hAnsi="宋体" w:eastAsia="宋体" w:cs="宋体"/>
                <w:vertAlign w:val="baseline"/>
              </w:rPr>
            </w:pPr>
          </w:p>
        </w:tc>
        <w:tc>
          <w:tcPr>
            <w:tcW w:w="1447" w:type="dxa"/>
            <w:vMerge w:val="continue"/>
          </w:tcPr>
          <w:p w14:paraId="040A03DA">
            <w:pPr>
              <w:widowControl w:val="0"/>
              <w:rPr>
                <w:rFonts w:hint="eastAsia" w:ascii="宋体" w:hAnsi="宋体" w:eastAsia="宋体" w:cs="宋体"/>
                <w:vertAlign w:val="baseline"/>
              </w:rPr>
            </w:pPr>
          </w:p>
        </w:tc>
        <w:tc>
          <w:tcPr>
            <w:tcW w:w="1447" w:type="dxa"/>
          </w:tcPr>
          <w:p w14:paraId="6D655FCD">
            <w:pPr>
              <w:widowControl w:val="0"/>
              <w:rPr>
                <w:rFonts w:hint="eastAsia" w:ascii="宋体" w:hAnsi="宋体" w:eastAsia="宋体" w:cs="宋体"/>
                <w:vertAlign w:val="baseline"/>
              </w:rPr>
            </w:pPr>
          </w:p>
        </w:tc>
        <w:tc>
          <w:tcPr>
            <w:tcW w:w="1046" w:type="dxa"/>
          </w:tcPr>
          <w:p w14:paraId="5E1CE5CD">
            <w:pPr>
              <w:widowControl w:val="0"/>
              <w:rPr>
                <w:rFonts w:hint="eastAsia" w:ascii="宋体" w:hAnsi="宋体" w:eastAsia="宋体" w:cs="宋体"/>
                <w:vertAlign w:val="baseline"/>
              </w:rPr>
            </w:pPr>
          </w:p>
        </w:tc>
        <w:tc>
          <w:tcPr>
            <w:tcW w:w="1046" w:type="dxa"/>
          </w:tcPr>
          <w:p w14:paraId="6FFF8D39">
            <w:pPr>
              <w:widowControl w:val="0"/>
              <w:rPr>
                <w:rFonts w:hint="eastAsia" w:ascii="宋体" w:hAnsi="宋体" w:eastAsia="宋体" w:cs="宋体"/>
                <w:vertAlign w:val="baseline"/>
              </w:rPr>
            </w:pPr>
          </w:p>
        </w:tc>
        <w:tc>
          <w:tcPr>
            <w:tcW w:w="1046" w:type="dxa"/>
          </w:tcPr>
          <w:p w14:paraId="69EFFFF9">
            <w:pPr>
              <w:widowControl w:val="0"/>
              <w:rPr>
                <w:rFonts w:hint="eastAsia" w:ascii="宋体" w:hAnsi="宋体" w:eastAsia="宋体" w:cs="宋体"/>
                <w:vertAlign w:val="baseline"/>
              </w:rPr>
            </w:pPr>
          </w:p>
        </w:tc>
        <w:tc>
          <w:tcPr>
            <w:tcW w:w="1164" w:type="dxa"/>
          </w:tcPr>
          <w:p w14:paraId="0D9181D5">
            <w:pPr>
              <w:widowControl w:val="0"/>
              <w:rPr>
                <w:rFonts w:hint="eastAsia" w:ascii="宋体" w:hAnsi="宋体" w:eastAsia="宋体" w:cs="宋体"/>
                <w:vertAlign w:val="baseline"/>
              </w:rPr>
            </w:pPr>
          </w:p>
        </w:tc>
        <w:tc>
          <w:tcPr>
            <w:tcW w:w="929" w:type="dxa"/>
          </w:tcPr>
          <w:p w14:paraId="13E08F75">
            <w:pPr>
              <w:widowControl w:val="0"/>
              <w:rPr>
                <w:rFonts w:hint="eastAsia" w:ascii="宋体" w:hAnsi="宋体" w:eastAsia="宋体" w:cs="宋体"/>
                <w:vertAlign w:val="baseline"/>
              </w:rPr>
            </w:pPr>
          </w:p>
        </w:tc>
        <w:tc>
          <w:tcPr>
            <w:tcW w:w="929" w:type="dxa"/>
          </w:tcPr>
          <w:p w14:paraId="55638291">
            <w:pPr>
              <w:widowControl w:val="0"/>
              <w:rPr>
                <w:rFonts w:hint="eastAsia" w:ascii="宋体" w:hAnsi="宋体" w:eastAsia="宋体" w:cs="宋体"/>
                <w:vertAlign w:val="baseline"/>
              </w:rPr>
            </w:pPr>
          </w:p>
        </w:tc>
        <w:tc>
          <w:tcPr>
            <w:tcW w:w="1046" w:type="dxa"/>
          </w:tcPr>
          <w:p w14:paraId="18AD76A8">
            <w:pPr>
              <w:widowControl w:val="0"/>
              <w:rPr>
                <w:rFonts w:hint="eastAsia" w:ascii="宋体" w:hAnsi="宋体" w:eastAsia="宋体" w:cs="宋体"/>
                <w:vertAlign w:val="baseline"/>
              </w:rPr>
            </w:pPr>
          </w:p>
        </w:tc>
        <w:tc>
          <w:tcPr>
            <w:tcW w:w="1609" w:type="dxa"/>
          </w:tcPr>
          <w:p w14:paraId="3E848191">
            <w:pPr>
              <w:widowControl w:val="0"/>
              <w:rPr>
                <w:rFonts w:hint="eastAsia" w:ascii="宋体" w:hAnsi="宋体" w:eastAsia="宋体" w:cs="宋体"/>
                <w:vertAlign w:val="baseline"/>
              </w:rPr>
            </w:pPr>
          </w:p>
        </w:tc>
        <w:tc>
          <w:tcPr>
            <w:tcW w:w="1908" w:type="dxa"/>
          </w:tcPr>
          <w:p w14:paraId="4A951FB8">
            <w:pPr>
              <w:widowControl w:val="0"/>
              <w:rPr>
                <w:rFonts w:hint="eastAsia" w:ascii="宋体" w:hAnsi="宋体" w:eastAsia="宋体" w:cs="宋体"/>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rFonts w:hint="eastAsia" w:ascii="宋体" w:hAnsi="宋体" w:eastAsia="宋体" w:cs="宋体"/>
                <w:vertAlign w:val="baseline"/>
              </w:rPr>
            </w:pPr>
          </w:p>
        </w:tc>
        <w:tc>
          <w:tcPr>
            <w:tcW w:w="1447" w:type="dxa"/>
            <w:vMerge w:val="restart"/>
          </w:tcPr>
          <w:p w14:paraId="0D9E80CF">
            <w:pPr>
              <w:widowControl w:val="0"/>
              <w:rPr>
                <w:rFonts w:hint="eastAsia" w:ascii="宋体" w:hAnsi="宋体" w:eastAsia="宋体" w:cs="宋体"/>
                <w:vertAlign w:val="baseline"/>
              </w:rPr>
            </w:pPr>
          </w:p>
        </w:tc>
        <w:tc>
          <w:tcPr>
            <w:tcW w:w="1447" w:type="dxa"/>
          </w:tcPr>
          <w:p w14:paraId="1E7399C3">
            <w:pPr>
              <w:widowControl w:val="0"/>
              <w:rPr>
                <w:rFonts w:hint="eastAsia" w:ascii="宋体" w:hAnsi="宋体" w:eastAsia="宋体" w:cs="宋体"/>
                <w:vertAlign w:val="baseline"/>
              </w:rPr>
            </w:pPr>
          </w:p>
        </w:tc>
        <w:tc>
          <w:tcPr>
            <w:tcW w:w="1046" w:type="dxa"/>
          </w:tcPr>
          <w:p w14:paraId="3F37E071">
            <w:pPr>
              <w:widowControl w:val="0"/>
              <w:rPr>
                <w:rFonts w:hint="eastAsia" w:ascii="宋体" w:hAnsi="宋体" w:eastAsia="宋体" w:cs="宋体"/>
                <w:vertAlign w:val="baseline"/>
              </w:rPr>
            </w:pPr>
          </w:p>
        </w:tc>
        <w:tc>
          <w:tcPr>
            <w:tcW w:w="1046" w:type="dxa"/>
          </w:tcPr>
          <w:p w14:paraId="3C6E9A35">
            <w:pPr>
              <w:widowControl w:val="0"/>
              <w:rPr>
                <w:rFonts w:hint="eastAsia" w:ascii="宋体" w:hAnsi="宋体" w:eastAsia="宋体" w:cs="宋体"/>
                <w:vertAlign w:val="baseline"/>
              </w:rPr>
            </w:pPr>
          </w:p>
        </w:tc>
        <w:tc>
          <w:tcPr>
            <w:tcW w:w="1046" w:type="dxa"/>
          </w:tcPr>
          <w:p w14:paraId="439A493E">
            <w:pPr>
              <w:widowControl w:val="0"/>
              <w:rPr>
                <w:rFonts w:hint="eastAsia" w:ascii="宋体" w:hAnsi="宋体" w:eastAsia="宋体" w:cs="宋体"/>
                <w:vertAlign w:val="baseline"/>
              </w:rPr>
            </w:pPr>
          </w:p>
        </w:tc>
        <w:tc>
          <w:tcPr>
            <w:tcW w:w="1164" w:type="dxa"/>
          </w:tcPr>
          <w:p w14:paraId="6DA472CA">
            <w:pPr>
              <w:widowControl w:val="0"/>
              <w:rPr>
                <w:rFonts w:hint="eastAsia" w:ascii="宋体" w:hAnsi="宋体" w:eastAsia="宋体" w:cs="宋体"/>
                <w:vertAlign w:val="baseline"/>
              </w:rPr>
            </w:pPr>
          </w:p>
        </w:tc>
        <w:tc>
          <w:tcPr>
            <w:tcW w:w="929" w:type="dxa"/>
          </w:tcPr>
          <w:p w14:paraId="7A944B46">
            <w:pPr>
              <w:widowControl w:val="0"/>
              <w:rPr>
                <w:rFonts w:hint="eastAsia" w:ascii="宋体" w:hAnsi="宋体" w:eastAsia="宋体" w:cs="宋体"/>
                <w:vertAlign w:val="baseline"/>
              </w:rPr>
            </w:pPr>
          </w:p>
        </w:tc>
        <w:tc>
          <w:tcPr>
            <w:tcW w:w="929" w:type="dxa"/>
          </w:tcPr>
          <w:p w14:paraId="4B709168">
            <w:pPr>
              <w:widowControl w:val="0"/>
              <w:rPr>
                <w:rFonts w:hint="eastAsia" w:ascii="宋体" w:hAnsi="宋体" w:eastAsia="宋体" w:cs="宋体"/>
                <w:vertAlign w:val="baseline"/>
              </w:rPr>
            </w:pPr>
          </w:p>
        </w:tc>
        <w:tc>
          <w:tcPr>
            <w:tcW w:w="1046" w:type="dxa"/>
          </w:tcPr>
          <w:p w14:paraId="0406CE2F">
            <w:pPr>
              <w:widowControl w:val="0"/>
              <w:rPr>
                <w:rFonts w:hint="eastAsia" w:ascii="宋体" w:hAnsi="宋体" w:eastAsia="宋体" w:cs="宋体"/>
                <w:vertAlign w:val="baseline"/>
              </w:rPr>
            </w:pPr>
          </w:p>
        </w:tc>
        <w:tc>
          <w:tcPr>
            <w:tcW w:w="1609" w:type="dxa"/>
          </w:tcPr>
          <w:p w14:paraId="51830342">
            <w:pPr>
              <w:widowControl w:val="0"/>
              <w:rPr>
                <w:rFonts w:hint="eastAsia" w:ascii="宋体" w:hAnsi="宋体" w:eastAsia="宋体" w:cs="宋体"/>
                <w:vertAlign w:val="baseline"/>
              </w:rPr>
            </w:pPr>
          </w:p>
        </w:tc>
        <w:tc>
          <w:tcPr>
            <w:tcW w:w="1908" w:type="dxa"/>
          </w:tcPr>
          <w:p w14:paraId="3E3FE638">
            <w:pPr>
              <w:widowControl w:val="0"/>
              <w:rPr>
                <w:rFonts w:hint="eastAsia" w:ascii="宋体" w:hAnsi="宋体" w:eastAsia="宋体" w:cs="宋体"/>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rFonts w:hint="eastAsia" w:ascii="宋体" w:hAnsi="宋体" w:eastAsia="宋体" w:cs="宋体"/>
                <w:vertAlign w:val="baseline"/>
              </w:rPr>
            </w:pPr>
          </w:p>
        </w:tc>
        <w:tc>
          <w:tcPr>
            <w:tcW w:w="1447" w:type="dxa"/>
            <w:vMerge w:val="continue"/>
          </w:tcPr>
          <w:p w14:paraId="321CC1BD">
            <w:pPr>
              <w:widowControl w:val="0"/>
              <w:rPr>
                <w:rFonts w:hint="eastAsia" w:ascii="宋体" w:hAnsi="宋体" w:eastAsia="宋体" w:cs="宋体"/>
                <w:vertAlign w:val="baseline"/>
              </w:rPr>
            </w:pPr>
          </w:p>
        </w:tc>
        <w:tc>
          <w:tcPr>
            <w:tcW w:w="1447" w:type="dxa"/>
          </w:tcPr>
          <w:p w14:paraId="177DB5E9">
            <w:pPr>
              <w:widowControl w:val="0"/>
              <w:rPr>
                <w:rFonts w:hint="eastAsia" w:ascii="宋体" w:hAnsi="宋体" w:eastAsia="宋体" w:cs="宋体"/>
                <w:vertAlign w:val="baseline"/>
              </w:rPr>
            </w:pPr>
          </w:p>
        </w:tc>
        <w:tc>
          <w:tcPr>
            <w:tcW w:w="1046" w:type="dxa"/>
          </w:tcPr>
          <w:p w14:paraId="74208401">
            <w:pPr>
              <w:widowControl w:val="0"/>
              <w:rPr>
                <w:rFonts w:hint="eastAsia" w:ascii="宋体" w:hAnsi="宋体" w:eastAsia="宋体" w:cs="宋体"/>
                <w:vertAlign w:val="baseline"/>
              </w:rPr>
            </w:pPr>
          </w:p>
        </w:tc>
        <w:tc>
          <w:tcPr>
            <w:tcW w:w="1046" w:type="dxa"/>
          </w:tcPr>
          <w:p w14:paraId="1C3E1A61">
            <w:pPr>
              <w:widowControl w:val="0"/>
              <w:rPr>
                <w:rFonts w:hint="eastAsia" w:ascii="宋体" w:hAnsi="宋体" w:eastAsia="宋体" w:cs="宋体"/>
                <w:vertAlign w:val="baseline"/>
              </w:rPr>
            </w:pPr>
          </w:p>
        </w:tc>
        <w:tc>
          <w:tcPr>
            <w:tcW w:w="1046" w:type="dxa"/>
          </w:tcPr>
          <w:p w14:paraId="045B7522">
            <w:pPr>
              <w:widowControl w:val="0"/>
              <w:rPr>
                <w:rFonts w:hint="eastAsia" w:ascii="宋体" w:hAnsi="宋体" w:eastAsia="宋体" w:cs="宋体"/>
                <w:vertAlign w:val="baseline"/>
              </w:rPr>
            </w:pPr>
          </w:p>
        </w:tc>
        <w:tc>
          <w:tcPr>
            <w:tcW w:w="1164" w:type="dxa"/>
          </w:tcPr>
          <w:p w14:paraId="495D32C7">
            <w:pPr>
              <w:widowControl w:val="0"/>
              <w:rPr>
                <w:rFonts w:hint="eastAsia" w:ascii="宋体" w:hAnsi="宋体" w:eastAsia="宋体" w:cs="宋体"/>
                <w:vertAlign w:val="baseline"/>
              </w:rPr>
            </w:pPr>
          </w:p>
        </w:tc>
        <w:tc>
          <w:tcPr>
            <w:tcW w:w="929" w:type="dxa"/>
          </w:tcPr>
          <w:p w14:paraId="2C00F716">
            <w:pPr>
              <w:widowControl w:val="0"/>
              <w:rPr>
                <w:rFonts w:hint="eastAsia" w:ascii="宋体" w:hAnsi="宋体" w:eastAsia="宋体" w:cs="宋体"/>
                <w:vertAlign w:val="baseline"/>
              </w:rPr>
            </w:pPr>
          </w:p>
        </w:tc>
        <w:tc>
          <w:tcPr>
            <w:tcW w:w="929" w:type="dxa"/>
          </w:tcPr>
          <w:p w14:paraId="6707E9BC">
            <w:pPr>
              <w:widowControl w:val="0"/>
              <w:rPr>
                <w:rFonts w:hint="eastAsia" w:ascii="宋体" w:hAnsi="宋体" w:eastAsia="宋体" w:cs="宋体"/>
                <w:vertAlign w:val="baseline"/>
              </w:rPr>
            </w:pPr>
          </w:p>
        </w:tc>
        <w:tc>
          <w:tcPr>
            <w:tcW w:w="1046" w:type="dxa"/>
          </w:tcPr>
          <w:p w14:paraId="3D0459B3">
            <w:pPr>
              <w:widowControl w:val="0"/>
              <w:rPr>
                <w:rFonts w:hint="eastAsia" w:ascii="宋体" w:hAnsi="宋体" w:eastAsia="宋体" w:cs="宋体"/>
                <w:vertAlign w:val="baseline"/>
              </w:rPr>
            </w:pPr>
          </w:p>
        </w:tc>
        <w:tc>
          <w:tcPr>
            <w:tcW w:w="1609" w:type="dxa"/>
          </w:tcPr>
          <w:p w14:paraId="079689F5">
            <w:pPr>
              <w:widowControl w:val="0"/>
              <w:rPr>
                <w:rFonts w:hint="eastAsia" w:ascii="宋体" w:hAnsi="宋体" w:eastAsia="宋体" w:cs="宋体"/>
                <w:vertAlign w:val="baseline"/>
              </w:rPr>
            </w:pPr>
          </w:p>
        </w:tc>
        <w:tc>
          <w:tcPr>
            <w:tcW w:w="1908" w:type="dxa"/>
          </w:tcPr>
          <w:p w14:paraId="60DE824B">
            <w:pPr>
              <w:widowControl w:val="0"/>
              <w:rPr>
                <w:rFonts w:hint="eastAsia" w:ascii="宋体" w:hAnsi="宋体" w:eastAsia="宋体" w:cs="宋体"/>
                <w:vertAlign w:val="baseline"/>
              </w:rPr>
            </w:pPr>
          </w:p>
        </w:tc>
      </w:tr>
    </w:tbl>
    <w:p w14:paraId="5C36BDA2">
      <w:pPr>
        <w:rPr>
          <w:rFonts w:hint="eastAsia" w:ascii="宋体" w:hAnsi="宋体" w:eastAsia="宋体" w:cs="宋体"/>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此表为产品配套试剂报价表，如没有，无需制作，可自行删除。</w:t>
      </w:r>
    </w:p>
    <w:p w14:paraId="3C312762">
      <w:pPr>
        <w:pStyle w:val="24"/>
        <w:rPr>
          <w:rFonts w:hint="eastAsia" w:ascii="宋体" w:hAnsi="宋体" w:eastAsia="宋体" w:cs="宋体"/>
          <w:color w:val="000000" w:themeColor="text1"/>
          <w:kern w:val="0"/>
          <w:sz w:val="24"/>
          <w:highlight w:val="none"/>
          <w14:textFill>
            <w14:solidFill>
              <w14:schemeClr w14:val="tx1"/>
            </w14:solidFill>
          </w14:textFill>
        </w:rPr>
      </w:pPr>
    </w:p>
    <w:p w14:paraId="5E4799AD">
      <w:pPr>
        <w:pStyle w:val="24"/>
        <w:rPr>
          <w:rFonts w:hint="eastAsia" w:ascii="宋体" w:hAnsi="宋体" w:eastAsia="宋体" w:cs="宋体"/>
          <w:color w:val="000000" w:themeColor="text1"/>
          <w:kern w:val="0"/>
          <w:sz w:val="24"/>
          <w:highlight w:val="none"/>
          <w14:textFill>
            <w14:solidFill>
              <w14:schemeClr w14:val="tx1"/>
            </w14:solidFill>
          </w14:textFill>
        </w:rPr>
      </w:pPr>
    </w:p>
    <w:p w14:paraId="152C8C36">
      <w:pPr>
        <w:pStyle w:val="24"/>
        <w:rPr>
          <w:rFonts w:hint="eastAsia" w:ascii="宋体" w:hAnsi="宋体" w:eastAsia="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rFonts w:hint="eastAsia" w:ascii="宋体" w:hAnsi="宋体" w:eastAsia="宋体" w:cs="宋体"/>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p w14:paraId="1411086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投标单价</w:t>
            </w:r>
          </w:p>
          <w:p w14:paraId="59672E7B">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rFonts w:hint="eastAsia" w:ascii="宋体" w:hAnsi="宋体" w:eastAsia="宋体" w:cs="宋体"/>
                <w:vertAlign w:val="baseline"/>
              </w:rPr>
            </w:pPr>
          </w:p>
        </w:tc>
        <w:tc>
          <w:tcPr>
            <w:tcW w:w="1393" w:type="dxa"/>
          </w:tcPr>
          <w:p w14:paraId="0F341263">
            <w:pPr>
              <w:widowControl w:val="0"/>
              <w:rPr>
                <w:rFonts w:hint="eastAsia" w:ascii="宋体" w:hAnsi="宋体" w:eastAsia="宋体" w:cs="宋体"/>
                <w:vertAlign w:val="baseline"/>
              </w:rPr>
            </w:pPr>
          </w:p>
        </w:tc>
        <w:tc>
          <w:tcPr>
            <w:tcW w:w="1060" w:type="dxa"/>
          </w:tcPr>
          <w:p w14:paraId="5E2811FC">
            <w:pPr>
              <w:widowControl w:val="0"/>
              <w:rPr>
                <w:rFonts w:hint="eastAsia" w:ascii="宋体" w:hAnsi="宋体" w:eastAsia="宋体" w:cs="宋体"/>
                <w:vertAlign w:val="baseline"/>
              </w:rPr>
            </w:pPr>
          </w:p>
        </w:tc>
        <w:tc>
          <w:tcPr>
            <w:tcW w:w="1060" w:type="dxa"/>
          </w:tcPr>
          <w:p w14:paraId="4138DDFD">
            <w:pPr>
              <w:widowControl w:val="0"/>
              <w:rPr>
                <w:rFonts w:hint="eastAsia" w:ascii="宋体" w:hAnsi="宋体" w:eastAsia="宋体" w:cs="宋体"/>
                <w:vertAlign w:val="baseline"/>
              </w:rPr>
            </w:pPr>
          </w:p>
        </w:tc>
        <w:tc>
          <w:tcPr>
            <w:tcW w:w="1060" w:type="dxa"/>
          </w:tcPr>
          <w:p w14:paraId="23110391">
            <w:pPr>
              <w:widowControl w:val="0"/>
              <w:rPr>
                <w:rFonts w:hint="eastAsia" w:ascii="宋体" w:hAnsi="宋体" w:eastAsia="宋体" w:cs="宋体"/>
                <w:vertAlign w:val="baseline"/>
              </w:rPr>
            </w:pPr>
          </w:p>
        </w:tc>
        <w:tc>
          <w:tcPr>
            <w:tcW w:w="1060" w:type="dxa"/>
          </w:tcPr>
          <w:p w14:paraId="403934A1">
            <w:pPr>
              <w:widowControl w:val="0"/>
              <w:rPr>
                <w:rFonts w:hint="eastAsia" w:ascii="宋体" w:hAnsi="宋体" w:eastAsia="宋体" w:cs="宋体"/>
                <w:vertAlign w:val="baseline"/>
              </w:rPr>
            </w:pPr>
          </w:p>
        </w:tc>
        <w:tc>
          <w:tcPr>
            <w:tcW w:w="1060" w:type="dxa"/>
          </w:tcPr>
          <w:p w14:paraId="542CE9FA">
            <w:pPr>
              <w:widowControl w:val="0"/>
              <w:rPr>
                <w:rFonts w:hint="eastAsia" w:ascii="宋体" w:hAnsi="宋体" w:eastAsia="宋体" w:cs="宋体"/>
                <w:vertAlign w:val="baseline"/>
              </w:rPr>
            </w:pPr>
          </w:p>
        </w:tc>
        <w:tc>
          <w:tcPr>
            <w:tcW w:w="1277" w:type="dxa"/>
          </w:tcPr>
          <w:p w14:paraId="1C229079">
            <w:pPr>
              <w:widowControl w:val="0"/>
              <w:rPr>
                <w:rFonts w:hint="eastAsia" w:ascii="宋体" w:hAnsi="宋体" w:eastAsia="宋体" w:cs="宋体"/>
                <w:vertAlign w:val="baseline"/>
              </w:rPr>
            </w:pPr>
          </w:p>
        </w:tc>
        <w:tc>
          <w:tcPr>
            <w:tcW w:w="1486" w:type="dxa"/>
          </w:tcPr>
          <w:p w14:paraId="0535F847">
            <w:pPr>
              <w:widowControl w:val="0"/>
              <w:rPr>
                <w:rFonts w:hint="eastAsia" w:ascii="宋体" w:hAnsi="宋体" w:eastAsia="宋体" w:cs="宋体"/>
                <w:vertAlign w:val="baseline"/>
              </w:rPr>
            </w:pPr>
          </w:p>
        </w:tc>
        <w:tc>
          <w:tcPr>
            <w:tcW w:w="1560" w:type="dxa"/>
          </w:tcPr>
          <w:p w14:paraId="2034F975">
            <w:pPr>
              <w:widowControl w:val="0"/>
              <w:rPr>
                <w:rFonts w:hint="eastAsia" w:ascii="宋体" w:hAnsi="宋体" w:eastAsia="宋体" w:cs="宋体"/>
                <w:vertAlign w:val="baseline"/>
              </w:rPr>
            </w:pPr>
          </w:p>
        </w:tc>
        <w:tc>
          <w:tcPr>
            <w:tcW w:w="1080" w:type="dxa"/>
          </w:tcPr>
          <w:p w14:paraId="04DE4CC0">
            <w:pPr>
              <w:widowControl w:val="0"/>
              <w:rPr>
                <w:rFonts w:hint="eastAsia" w:ascii="宋体" w:hAnsi="宋体" w:eastAsia="宋体" w:cs="宋体"/>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rFonts w:hint="eastAsia" w:ascii="宋体" w:hAnsi="宋体" w:eastAsia="宋体" w:cs="宋体"/>
                <w:vertAlign w:val="baseline"/>
              </w:rPr>
            </w:pPr>
          </w:p>
        </w:tc>
        <w:tc>
          <w:tcPr>
            <w:tcW w:w="1393" w:type="dxa"/>
          </w:tcPr>
          <w:p w14:paraId="6F728AC8">
            <w:pPr>
              <w:widowControl w:val="0"/>
              <w:rPr>
                <w:rFonts w:hint="eastAsia" w:ascii="宋体" w:hAnsi="宋体" w:eastAsia="宋体" w:cs="宋体"/>
                <w:vertAlign w:val="baseline"/>
              </w:rPr>
            </w:pPr>
          </w:p>
        </w:tc>
        <w:tc>
          <w:tcPr>
            <w:tcW w:w="1060" w:type="dxa"/>
          </w:tcPr>
          <w:p w14:paraId="5DC1D47F">
            <w:pPr>
              <w:widowControl w:val="0"/>
              <w:rPr>
                <w:rFonts w:hint="eastAsia" w:ascii="宋体" w:hAnsi="宋体" w:eastAsia="宋体" w:cs="宋体"/>
                <w:vertAlign w:val="baseline"/>
              </w:rPr>
            </w:pPr>
          </w:p>
        </w:tc>
        <w:tc>
          <w:tcPr>
            <w:tcW w:w="1060" w:type="dxa"/>
          </w:tcPr>
          <w:p w14:paraId="0736C76F">
            <w:pPr>
              <w:widowControl w:val="0"/>
              <w:rPr>
                <w:rFonts w:hint="eastAsia" w:ascii="宋体" w:hAnsi="宋体" w:eastAsia="宋体" w:cs="宋体"/>
                <w:vertAlign w:val="baseline"/>
              </w:rPr>
            </w:pPr>
          </w:p>
        </w:tc>
        <w:tc>
          <w:tcPr>
            <w:tcW w:w="1060" w:type="dxa"/>
          </w:tcPr>
          <w:p w14:paraId="41FF43D8">
            <w:pPr>
              <w:widowControl w:val="0"/>
              <w:rPr>
                <w:rFonts w:hint="eastAsia" w:ascii="宋体" w:hAnsi="宋体" w:eastAsia="宋体" w:cs="宋体"/>
                <w:vertAlign w:val="baseline"/>
              </w:rPr>
            </w:pPr>
          </w:p>
        </w:tc>
        <w:tc>
          <w:tcPr>
            <w:tcW w:w="1060" w:type="dxa"/>
          </w:tcPr>
          <w:p w14:paraId="739BF70B">
            <w:pPr>
              <w:widowControl w:val="0"/>
              <w:rPr>
                <w:rFonts w:hint="eastAsia" w:ascii="宋体" w:hAnsi="宋体" w:eastAsia="宋体" w:cs="宋体"/>
                <w:vertAlign w:val="baseline"/>
              </w:rPr>
            </w:pPr>
          </w:p>
        </w:tc>
        <w:tc>
          <w:tcPr>
            <w:tcW w:w="1060" w:type="dxa"/>
          </w:tcPr>
          <w:p w14:paraId="21217D12">
            <w:pPr>
              <w:widowControl w:val="0"/>
              <w:rPr>
                <w:rFonts w:hint="eastAsia" w:ascii="宋体" w:hAnsi="宋体" w:eastAsia="宋体" w:cs="宋体"/>
                <w:vertAlign w:val="baseline"/>
              </w:rPr>
            </w:pPr>
          </w:p>
        </w:tc>
        <w:tc>
          <w:tcPr>
            <w:tcW w:w="1277" w:type="dxa"/>
          </w:tcPr>
          <w:p w14:paraId="2D25857A">
            <w:pPr>
              <w:widowControl w:val="0"/>
              <w:rPr>
                <w:rFonts w:hint="eastAsia" w:ascii="宋体" w:hAnsi="宋体" w:eastAsia="宋体" w:cs="宋体"/>
                <w:vertAlign w:val="baseline"/>
              </w:rPr>
            </w:pPr>
          </w:p>
        </w:tc>
        <w:tc>
          <w:tcPr>
            <w:tcW w:w="1486" w:type="dxa"/>
          </w:tcPr>
          <w:p w14:paraId="4976030C">
            <w:pPr>
              <w:widowControl w:val="0"/>
              <w:rPr>
                <w:rFonts w:hint="eastAsia" w:ascii="宋体" w:hAnsi="宋体" w:eastAsia="宋体" w:cs="宋体"/>
                <w:vertAlign w:val="baseline"/>
              </w:rPr>
            </w:pPr>
          </w:p>
        </w:tc>
        <w:tc>
          <w:tcPr>
            <w:tcW w:w="1560" w:type="dxa"/>
          </w:tcPr>
          <w:p w14:paraId="5664F5DB">
            <w:pPr>
              <w:widowControl w:val="0"/>
              <w:rPr>
                <w:rFonts w:hint="eastAsia" w:ascii="宋体" w:hAnsi="宋体" w:eastAsia="宋体" w:cs="宋体"/>
                <w:vertAlign w:val="baseline"/>
              </w:rPr>
            </w:pPr>
          </w:p>
        </w:tc>
        <w:tc>
          <w:tcPr>
            <w:tcW w:w="1080" w:type="dxa"/>
          </w:tcPr>
          <w:p w14:paraId="366DE966">
            <w:pPr>
              <w:widowControl w:val="0"/>
              <w:rPr>
                <w:rFonts w:hint="eastAsia" w:ascii="宋体" w:hAnsi="宋体" w:eastAsia="宋体" w:cs="宋体"/>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rFonts w:hint="eastAsia" w:ascii="宋体" w:hAnsi="宋体" w:eastAsia="宋体" w:cs="宋体"/>
                <w:vertAlign w:val="baseline"/>
              </w:rPr>
            </w:pPr>
          </w:p>
        </w:tc>
        <w:tc>
          <w:tcPr>
            <w:tcW w:w="1393" w:type="dxa"/>
          </w:tcPr>
          <w:p w14:paraId="0D8A01B7">
            <w:pPr>
              <w:widowControl w:val="0"/>
              <w:rPr>
                <w:rFonts w:hint="eastAsia" w:ascii="宋体" w:hAnsi="宋体" w:eastAsia="宋体" w:cs="宋体"/>
                <w:vertAlign w:val="baseline"/>
              </w:rPr>
            </w:pPr>
          </w:p>
        </w:tc>
        <w:tc>
          <w:tcPr>
            <w:tcW w:w="1060" w:type="dxa"/>
          </w:tcPr>
          <w:p w14:paraId="5D2869C6">
            <w:pPr>
              <w:widowControl w:val="0"/>
              <w:rPr>
                <w:rFonts w:hint="eastAsia" w:ascii="宋体" w:hAnsi="宋体" w:eastAsia="宋体" w:cs="宋体"/>
                <w:vertAlign w:val="baseline"/>
              </w:rPr>
            </w:pPr>
          </w:p>
        </w:tc>
        <w:tc>
          <w:tcPr>
            <w:tcW w:w="1060" w:type="dxa"/>
          </w:tcPr>
          <w:p w14:paraId="1AA351AF">
            <w:pPr>
              <w:widowControl w:val="0"/>
              <w:rPr>
                <w:rFonts w:hint="eastAsia" w:ascii="宋体" w:hAnsi="宋体" w:eastAsia="宋体" w:cs="宋体"/>
                <w:vertAlign w:val="baseline"/>
              </w:rPr>
            </w:pPr>
          </w:p>
        </w:tc>
        <w:tc>
          <w:tcPr>
            <w:tcW w:w="1060" w:type="dxa"/>
          </w:tcPr>
          <w:p w14:paraId="140B3B78">
            <w:pPr>
              <w:widowControl w:val="0"/>
              <w:rPr>
                <w:rFonts w:hint="eastAsia" w:ascii="宋体" w:hAnsi="宋体" w:eastAsia="宋体" w:cs="宋体"/>
                <w:vertAlign w:val="baseline"/>
              </w:rPr>
            </w:pPr>
          </w:p>
        </w:tc>
        <w:tc>
          <w:tcPr>
            <w:tcW w:w="1060" w:type="dxa"/>
          </w:tcPr>
          <w:p w14:paraId="7187B6F3">
            <w:pPr>
              <w:widowControl w:val="0"/>
              <w:rPr>
                <w:rFonts w:hint="eastAsia" w:ascii="宋体" w:hAnsi="宋体" w:eastAsia="宋体" w:cs="宋体"/>
                <w:vertAlign w:val="baseline"/>
              </w:rPr>
            </w:pPr>
          </w:p>
        </w:tc>
        <w:tc>
          <w:tcPr>
            <w:tcW w:w="1060" w:type="dxa"/>
          </w:tcPr>
          <w:p w14:paraId="782C0C79">
            <w:pPr>
              <w:widowControl w:val="0"/>
              <w:rPr>
                <w:rFonts w:hint="eastAsia" w:ascii="宋体" w:hAnsi="宋体" w:eastAsia="宋体" w:cs="宋体"/>
                <w:vertAlign w:val="baseline"/>
              </w:rPr>
            </w:pPr>
          </w:p>
        </w:tc>
        <w:tc>
          <w:tcPr>
            <w:tcW w:w="1277" w:type="dxa"/>
          </w:tcPr>
          <w:p w14:paraId="3BA3AD13">
            <w:pPr>
              <w:widowControl w:val="0"/>
              <w:rPr>
                <w:rFonts w:hint="eastAsia" w:ascii="宋体" w:hAnsi="宋体" w:eastAsia="宋体" w:cs="宋体"/>
                <w:vertAlign w:val="baseline"/>
              </w:rPr>
            </w:pPr>
          </w:p>
        </w:tc>
        <w:tc>
          <w:tcPr>
            <w:tcW w:w="1486" w:type="dxa"/>
          </w:tcPr>
          <w:p w14:paraId="3F864AE3">
            <w:pPr>
              <w:widowControl w:val="0"/>
              <w:rPr>
                <w:rFonts w:hint="eastAsia" w:ascii="宋体" w:hAnsi="宋体" w:eastAsia="宋体" w:cs="宋体"/>
                <w:vertAlign w:val="baseline"/>
              </w:rPr>
            </w:pPr>
          </w:p>
        </w:tc>
        <w:tc>
          <w:tcPr>
            <w:tcW w:w="1560" w:type="dxa"/>
          </w:tcPr>
          <w:p w14:paraId="6D48088E">
            <w:pPr>
              <w:widowControl w:val="0"/>
              <w:rPr>
                <w:rFonts w:hint="eastAsia" w:ascii="宋体" w:hAnsi="宋体" w:eastAsia="宋体" w:cs="宋体"/>
                <w:vertAlign w:val="baseline"/>
              </w:rPr>
            </w:pPr>
          </w:p>
        </w:tc>
        <w:tc>
          <w:tcPr>
            <w:tcW w:w="1080" w:type="dxa"/>
          </w:tcPr>
          <w:p w14:paraId="09F3E95E">
            <w:pPr>
              <w:widowControl w:val="0"/>
              <w:rPr>
                <w:rFonts w:hint="eastAsia" w:ascii="宋体" w:hAnsi="宋体" w:eastAsia="宋体" w:cs="宋体"/>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rFonts w:hint="eastAsia" w:ascii="宋体" w:hAnsi="宋体" w:eastAsia="宋体" w:cs="宋体"/>
                <w:vertAlign w:val="baseline"/>
              </w:rPr>
            </w:pPr>
          </w:p>
        </w:tc>
        <w:tc>
          <w:tcPr>
            <w:tcW w:w="1543" w:type="dxa"/>
            <w:vMerge w:val="continue"/>
          </w:tcPr>
          <w:p w14:paraId="4D0CA1FD">
            <w:pPr>
              <w:widowControl w:val="0"/>
              <w:rPr>
                <w:rFonts w:hint="eastAsia" w:ascii="宋体" w:hAnsi="宋体" w:eastAsia="宋体" w:cs="宋体"/>
                <w:vertAlign w:val="baseline"/>
              </w:rPr>
            </w:pPr>
          </w:p>
        </w:tc>
        <w:tc>
          <w:tcPr>
            <w:tcW w:w="1393" w:type="dxa"/>
          </w:tcPr>
          <w:p w14:paraId="23AB6B66">
            <w:pPr>
              <w:widowControl w:val="0"/>
              <w:rPr>
                <w:rFonts w:hint="eastAsia" w:ascii="宋体" w:hAnsi="宋体" w:eastAsia="宋体" w:cs="宋体"/>
                <w:vertAlign w:val="baseline"/>
              </w:rPr>
            </w:pPr>
          </w:p>
        </w:tc>
        <w:tc>
          <w:tcPr>
            <w:tcW w:w="1060" w:type="dxa"/>
          </w:tcPr>
          <w:p w14:paraId="6B29D694">
            <w:pPr>
              <w:widowControl w:val="0"/>
              <w:rPr>
                <w:rFonts w:hint="eastAsia" w:ascii="宋体" w:hAnsi="宋体" w:eastAsia="宋体" w:cs="宋体"/>
                <w:vertAlign w:val="baseline"/>
              </w:rPr>
            </w:pPr>
          </w:p>
        </w:tc>
        <w:tc>
          <w:tcPr>
            <w:tcW w:w="1060" w:type="dxa"/>
          </w:tcPr>
          <w:p w14:paraId="424656BF">
            <w:pPr>
              <w:widowControl w:val="0"/>
              <w:rPr>
                <w:rFonts w:hint="eastAsia" w:ascii="宋体" w:hAnsi="宋体" w:eastAsia="宋体" w:cs="宋体"/>
                <w:vertAlign w:val="baseline"/>
              </w:rPr>
            </w:pPr>
          </w:p>
        </w:tc>
        <w:tc>
          <w:tcPr>
            <w:tcW w:w="1060" w:type="dxa"/>
          </w:tcPr>
          <w:p w14:paraId="747DFEFE">
            <w:pPr>
              <w:widowControl w:val="0"/>
              <w:rPr>
                <w:rFonts w:hint="eastAsia" w:ascii="宋体" w:hAnsi="宋体" w:eastAsia="宋体" w:cs="宋体"/>
                <w:vertAlign w:val="baseline"/>
              </w:rPr>
            </w:pPr>
          </w:p>
        </w:tc>
        <w:tc>
          <w:tcPr>
            <w:tcW w:w="1060" w:type="dxa"/>
          </w:tcPr>
          <w:p w14:paraId="3CDE67A2">
            <w:pPr>
              <w:widowControl w:val="0"/>
              <w:rPr>
                <w:rFonts w:hint="eastAsia" w:ascii="宋体" w:hAnsi="宋体" w:eastAsia="宋体" w:cs="宋体"/>
                <w:vertAlign w:val="baseline"/>
              </w:rPr>
            </w:pPr>
          </w:p>
        </w:tc>
        <w:tc>
          <w:tcPr>
            <w:tcW w:w="1060" w:type="dxa"/>
          </w:tcPr>
          <w:p w14:paraId="5D8AC925">
            <w:pPr>
              <w:widowControl w:val="0"/>
              <w:rPr>
                <w:rFonts w:hint="eastAsia" w:ascii="宋体" w:hAnsi="宋体" w:eastAsia="宋体" w:cs="宋体"/>
                <w:vertAlign w:val="baseline"/>
              </w:rPr>
            </w:pPr>
          </w:p>
        </w:tc>
        <w:tc>
          <w:tcPr>
            <w:tcW w:w="1277" w:type="dxa"/>
          </w:tcPr>
          <w:p w14:paraId="3D2C7340">
            <w:pPr>
              <w:widowControl w:val="0"/>
              <w:rPr>
                <w:rFonts w:hint="eastAsia" w:ascii="宋体" w:hAnsi="宋体" w:eastAsia="宋体" w:cs="宋体"/>
                <w:vertAlign w:val="baseline"/>
              </w:rPr>
            </w:pPr>
          </w:p>
        </w:tc>
        <w:tc>
          <w:tcPr>
            <w:tcW w:w="1486" w:type="dxa"/>
          </w:tcPr>
          <w:p w14:paraId="4A016A1F">
            <w:pPr>
              <w:widowControl w:val="0"/>
              <w:rPr>
                <w:rFonts w:hint="eastAsia" w:ascii="宋体" w:hAnsi="宋体" w:eastAsia="宋体" w:cs="宋体"/>
                <w:vertAlign w:val="baseline"/>
              </w:rPr>
            </w:pPr>
          </w:p>
        </w:tc>
        <w:tc>
          <w:tcPr>
            <w:tcW w:w="1560" w:type="dxa"/>
          </w:tcPr>
          <w:p w14:paraId="6AA74C35">
            <w:pPr>
              <w:widowControl w:val="0"/>
              <w:rPr>
                <w:rFonts w:hint="eastAsia" w:ascii="宋体" w:hAnsi="宋体" w:eastAsia="宋体" w:cs="宋体"/>
                <w:vertAlign w:val="baseline"/>
              </w:rPr>
            </w:pPr>
          </w:p>
        </w:tc>
        <w:tc>
          <w:tcPr>
            <w:tcW w:w="1080" w:type="dxa"/>
          </w:tcPr>
          <w:p w14:paraId="091E8271">
            <w:pPr>
              <w:widowControl w:val="0"/>
              <w:rPr>
                <w:rFonts w:hint="eastAsia" w:ascii="宋体" w:hAnsi="宋体" w:eastAsia="宋体" w:cs="宋体"/>
                <w:vertAlign w:val="baseline"/>
              </w:rPr>
            </w:pPr>
          </w:p>
        </w:tc>
      </w:tr>
    </w:tbl>
    <w:p w14:paraId="22CB90DF">
      <w:pPr>
        <w:rPr>
          <w:rFonts w:hint="eastAsia" w:ascii="宋体" w:hAnsi="宋体" w:eastAsia="宋体" w:cs="宋体"/>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此表为产品配套耗材报价表，如没有，无需制作，可自行删除。</w:t>
      </w:r>
    </w:p>
    <w:p w14:paraId="66DBF250">
      <w:pPr>
        <w:pStyle w:val="24"/>
        <w:rPr>
          <w:rFonts w:hint="eastAsia" w:ascii="宋体" w:hAnsi="宋体" w:eastAsia="宋体" w:cs="宋体"/>
          <w:color w:val="000000" w:themeColor="text1"/>
          <w:kern w:val="0"/>
          <w:sz w:val="24"/>
          <w:highlight w:val="none"/>
          <w14:textFill>
            <w14:solidFill>
              <w14:schemeClr w14:val="tx1"/>
            </w14:solidFill>
          </w14:textFill>
        </w:rPr>
      </w:pPr>
    </w:p>
    <w:p w14:paraId="02699B8D">
      <w:pPr>
        <w:pStyle w:val="24"/>
        <w:rPr>
          <w:rFonts w:hint="eastAsia" w:ascii="宋体" w:hAnsi="宋体" w:eastAsia="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vertAlign w:val="baseline"/>
                <w:lang w:val="en-US" w:eastAsia="zh-CN"/>
              </w:rPr>
            </w:pPr>
          </w:p>
        </w:tc>
        <w:tc>
          <w:tcPr>
            <w:tcW w:w="1676" w:type="dxa"/>
            <w:vAlign w:val="center"/>
          </w:tcPr>
          <w:p w14:paraId="2B2FB324">
            <w:pPr>
              <w:widowControl w:val="0"/>
              <w:jc w:val="center"/>
              <w:rPr>
                <w:rFonts w:hint="eastAsia" w:ascii="宋体" w:hAnsi="宋体" w:eastAsia="宋体" w:cs="宋体"/>
                <w:vertAlign w:val="baseline"/>
                <w:lang w:val="en-US" w:eastAsia="zh-CN"/>
              </w:rPr>
            </w:pPr>
          </w:p>
        </w:tc>
        <w:tc>
          <w:tcPr>
            <w:tcW w:w="1238" w:type="dxa"/>
            <w:vAlign w:val="center"/>
          </w:tcPr>
          <w:p w14:paraId="3FFED3C5">
            <w:pPr>
              <w:widowControl w:val="0"/>
              <w:jc w:val="center"/>
              <w:rPr>
                <w:rFonts w:hint="eastAsia" w:ascii="宋体" w:hAnsi="宋体" w:eastAsia="宋体" w:cs="宋体"/>
                <w:vertAlign w:val="baseline"/>
                <w:lang w:val="en-US" w:eastAsia="zh-CN"/>
              </w:rPr>
            </w:pPr>
          </w:p>
        </w:tc>
        <w:tc>
          <w:tcPr>
            <w:tcW w:w="1238" w:type="dxa"/>
            <w:vAlign w:val="center"/>
          </w:tcPr>
          <w:p w14:paraId="1FC676C2">
            <w:pPr>
              <w:widowControl w:val="0"/>
              <w:jc w:val="center"/>
              <w:rPr>
                <w:rFonts w:hint="eastAsia" w:ascii="宋体" w:hAnsi="宋体" w:eastAsia="宋体" w:cs="宋体"/>
                <w:vertAlign w:val="baseline"/>
                <w:lang w:val="en-US" w:eastAsia="zh-CN"/>
              </w:rPr>
            </w:pPr>
          </w:p>
        </w:tc>
        <w:tc>
          <w:tcPr>
            <w:tcW w:w="1238" w:type="dxa"/>
            <w:vAlign w:val="center"/>
          </w:tcPr>
          <w:p w14:paraId="25AACED3">
            <w:pPr>
              <w:widowControl w:val="0"/>
              <w:jc w:val="center"/>
              <w:rPr>
                <w:rFonts w:hint="eastAsia" w:ascii="宋体" w:hAnsi="宋体" w:eastAsia="宋体" w:cs="宋体"/>
                <w:vertAlign w:val="baseline"/>
                <w:lang w:val="en-US" w:eastAsia="zh-CN"/>
              </w:rPr>
            </w:pPr>
          </w:p>
        </w:tc>
        <w:tc>
          <w:tcPr>
            <w:tcW w:w="1023" w:type="dxa"/>
            <w:vAlign w:val="center"/>
          </w:tcPr>
          <w:p w14:paraId="749D014C">
            <w:pPr>
              <w:widowControl w:val="0"/>
              <w:jc w:val="center"/>
              <w:rPr>
                <w:rFonts w:hint="eastAsia" w:ascii="宋体" w:hAnsi="宋体" w:eastAsia="宋体" w:cs="宋体"/>
                <w:vertAlign w:val="baseline"/>
                <w:lang w:val="en-US" w:eastAsia="zh-CN"/>
              </w:rPr>
            </w:pPr>
          </w:p>
        </w:tc>
        <w:tc>
          <w:tcPr>
            <w:tcW w:w="1800" w:type="dxa"/>
            <w:vAlign w:val="center"/>
          </w:tcPr>
          <w:p w14:paraId="05134611">
            <w:pPr>
              <w:widowControl w:val="0"/>
              <w:jc w:val="center"/>
              <w:rPr>
                <w:rFonts w:hint="eastAsia" w:ascii="宋体" w:hAnsi="宋体" w:eastAsia="宋体" w:cs="宋体"/>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vertAlign w:val="baseline"/>
                <w:lang w:val="en-US" w:eastAsia="zh-CN"/>
              </w:rPr>
            </w:pPr>
          </w:p>
        </w:tc>
        <w:tc>
          <w:tcPr>
            <w:tcW w:w="1676" w:type="dxa"/>
            <w:vAlign w:val="center"/>
          </w:tcPr>
          <w:p w14:paraId="31FB795C">
            <w:pPr>
              <w:widowControl w:val="0"/>
              <w:jc w:val="center"/>
              <w:rPr>
                <w:rFonts w:hint="eastAsia" w:ascii="宋体" w:hAnsi="宋体" w:eastAsia="宋体" w:cs="宋体"/>
                <w:vertAlign w:val="baseline"/>
                <w:lang w:val="en-US" w:eastAsia="zh-CN"/>
              </w:rPr>
            </w:pPr>
          </w:p>
        </w:tc>
        <w:tc>
          <w:tcPr>
            <w:tcW w:w="1238" w:type="dxa"/>
            <w:vAlign w:val="center"/>
          </w:tcPr>
          <w:p w14:paraId="3DDF1F3E">
            <w:pPr>
              <w:widowControl w:val="0"/>
              <w:jc w:val="center"/>
              <w:rPr>
                <w:rFonts w:hint="eastAsia" w:ascii="宋体" w:hAnsi="宋体" w:eastAsia="宋体" w:cs="宋体"/>
                <w:vertAlign w:val="baseline"/>
                <w:lang w:val="en-US" w:eastAsia="zh-CN"/>
              </w:rPr>
            </w:pPr>
          </w:p>
        </w:tc>
        <w:tc>
          <w:tcPr>
            <w:tcW w:w="1238" w:type="dxa"/>
            <w:vAlign w:val="center"/>
          </w:tcPr>
          <w:p w14:paraId="1AE826AF">
            <w:pPr>
              <w:widowControl w:val="0"/>
              <w:jc w:val="center"/>
              <w:rPr>
                <w:rFonts w:hint="eastAsia" w:ascii="宋体" w:hAnsi="宋体" w:eastAsia="宋体" w:cs="宋体"/>
                <w:vertAlign w:val="baseline"/>
                <w:lang w:val="en-US" w:eastAsia="zh-CN"/>
              </w:rPr>
            </w:pPr>
          </w:p>
        </w:tc>
        <w:tc>
          <w:tcPr>
            <w:tcW w:w="1238" w:type="dxa"/>
            <w:vAlign w:val="center"/>
          </w:tcPr>
          <w:p w14:paraId="439C5F96">
            <w:pPr>
              <w:widowControl w:val="0"/>
              <w:jc w:val="center"/>
              <w:rPr>
                <w:rFonts w:hint="eastAsia" w:ascii="宋体" w:hAnsi="宋体" w:eastAsia="宋体" w:cs="宋体"/>
                <w:vertAlign w:val="baseline"/>
                <w:lang w:val="en-US" w:eastAsia="zh-CN"/>
              </w:rPr>
            </w:pPr>
          </w:p>
        </w:tc>
        <w:tc>
          <w:tcPr>
            <w:tcW w:w="1023" w:type="dxa"/>
            <w:vAlign w:val="center"/>
          </w:tcPr>
          <w:p w14:paraId="674CDC80">
            <w:pPr>
              <w:widowControl w:val="0"/>
              <w:jc w:val="center"/>
              <w:rPr>
                <w:rFonts w:hint="eastAsia" w:ascii="宋体" w:hAnsi="宋体" w:eastAsia="宋体" w:cs="宋体"/>
                <w:vertAlign w:val="baseline"/>
                <w:lang w:val="en-US" w:eastAsia="zh-CN"/>
              </w:rPr>
            </w:pPr>
          </w:p>
        </w:tc>
        <w:tc>
          <w:tcPr>
            <w:tcW w:w="1800" w:type="dxa"/>
            <w:vAlign w:val="center"/>
          </w:tcPr>
          <w:p w14:paraId="1CB5057F">
            <w:pPr>
              <w:widowControl w:val="0"/>
              <w:jc w:val="center"/>
              <w:rPr>
                <w:rFonts w:hint="eastAsia" w:ascii="宋体" w:hAnsi="宋体" w:eastAsia="宋体" w:cs="宋体"/>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vertAlign w:val="baseline"/>
                <w:lang w:val="en-US" w:eastAsia="zh-CN"/>
              </w:rPr>
            </w:pPr>
          </w:p>
        </w:tc>
        <w:tc>
          <w:tcPr>
            <w:tcW w:w="1676" w:type="dxa"/>
            <w:vAlign w:val="center"/>
          </w:tcPr>
          <w:p w14:paraId="4953F941">
            <w:pPr>
              <w:widowControl w:val="0"/>
              <w:jc w:val="center"/>
              <w:rPr>
                <w:rFonts w:hint="eastAsia" w:ascii="宋体" w:hAnsi="宋体" w:eastAsia="宋体" w:cs="宋体"/>
                <w:vertAlign w:val="baseline"/>
                <w:lang w:val="en-US" w:eastAsia="zh-CN"/>
              </w:rPr>
            </w:pPr>
          </w:p>
        </w:tc>
        <w:tc>
          <w:tcPr>
            <w:tcW w:w="1238" w:type="dxa"/>
            <w:vAlign w:val="center"/>
          </w:tcPr>
          <w:p w14:paraId="60D4163C">
            <w:pPr>
              <w:widowControl w:val="0"/>
              <w:jc w:val="center"/>
              <w:rPr>
                <w:rFonts w:hint="eastAsia" w:ascii="宋体" w:hAnsi="宋体" w:eastAsia="宋体" w:cs="宋体"/>
                <w:vertAlign w:val="baseline"/>
                <w:lang w:val="en-US" w:eastAsia="zh-CN"/>
              </w:rPr>
            </w:pPr>
          </w:p>
        </w:tc>
        <w:tc>
          <w:tcPr>
            <w:tcW w:w="1238" w:type="dxa"/>
            <w:vAlign w:val="center"/>
          </w:tcPr>
          <w:p w14:paraId="7F5D0506">
            <w:pPr>
              <w:widowControl w:val="0"/>
              <w:jc w:val="center"/>
              <w:rPr>
                <w:rFonts w:hint="eastAsia" w:ascii="宋体" w:hAnsi="宋体" w:eastAsia="宋体" w:cs="宋体"/>
                <w:vertAlign w:val="baseline"/>
                <w:lang w:val="en-US" w:eastAsia="zh-CN"/>
              </w:rPr>
            </w:pPr>
          </w:p>
        </w:tc>
        <w:tc>
          <w:tcPr>
            <w:tcW w:w="1238" w:type="dxa"/>
            <w:vAlign w:val="center"/>
          </w:tcPr>
          <w:p w14:paraId="72E86AD5">
            <w:pPr>
              <w:widowControl w:val="0"/>
              <w:jc w:val="center"/>
              <w:rPr>
                <w:rFonts w:hint="eastAsia" w:ascii="宋体" w:hAnsi="宋体" w:eastAsia="宋体" w:cs="宋体"/>
                <w:vertAlign w:val="baseline"/>
                <w:lang w:val="en-US" w:eastAsia="zh-CN"/>
              </w:rPr>
            </w:pPr>
          </w:p>
        </w:tc>
        <w:tc>
          <w:tcPr>
            <w:tcW w:w="1023" w:type="dxa"/>
            <w:vAlign w:val="center"/>
          </w:tcPr>
          <w:p w14:paraId="7134BF0D">
            <w:pPr>
              <w:widowControl w:val="0"/>
              <w:jc w:val="center"/>
              <w:rPr>
                <w:rFonts w:hint="eastAsia" w:ascii="宋体" w:hAnsi="宋体" w:eastAsia="宋体" w:cs="宋体"/>
                <w:vertAlign w:val="baseline"/>
                <w:lang w:val="en-US" w:eastAsia="zh-CN"/>
              </w:rPr>
            </w:pPr>
          </w:p>
        </w:tc>
        <w:tc>
          <w:tcPr>
            <w:tcW w:w="1800" w:type="dxa"/>
            <w:vAlign w:val="center"/>
          </w:tcPr>
          <w:p w14:paraId="0EB3CD05">
            <w:pPr>
              <w:widowControl w:val="0"/>
              <w:jc w:val="center"/>
              <w:rPr>
                <w:rFonts w:hint="eastAsia" w:ascii="宋体" w:hAnsi="宋体" w:eastAsia="宋体" w:cs="宋体"/>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vertAlign w:val="baseline"/>
                <w:lang w:val="en-US" w:eastAsia="zh-CN"/>
              </w:rPr>
            </w:pPr>
          </w:p>
        </w:tc>
        <w:tc>
          <w:tcPr>
            <w:tcW w:w="1676" w:type="dxa"/>
            <w:vAlign w:val="center"/>
          </w:tcPr>
          <w:p w14:paraId="3A245A35">
            <w:pPr>
              <w:widowControl w:val="0"/>
              <w:jc w:val="center"/>
              <w:rPr>
                <w:rFonts w:hint="eastAsia" w:ascii="宋体" w:hAnsi="宋体" w:eastAsia="宋体" w:cs="宋体"/>
                <w:vertAlign w:val="baseline"/>
                <w:lang w:val="en-US" w:eastAsia="zh-CN"/>
              </w:rPr>
            </w:pPr>
          </w:p>
        </w:tc>
        <w:tc>
          <w:tcPr>
            <w:tcW w:w="1238" w:type="dxa"/>
            <w:vAlign w:val="center"/>
          </w:tcPr>
          <w:p w14:paraId="6D057E85">
            <w:pPr>
              <w:widowControl w:val="0"/>
              <w:jc w:val="center"/>
              <w:rPr>
                <w:rFonts w:hint="eastAsia" w:ascii="宋体" w:hAnsi="宋体" w:eastAsia="宋体" w:cs="宋体"/>
                <w:vertAlign w:val="baseline"/>
                <w:lang w:val="en-US" w:eastAsia="zh-CN"/>
              </w:rPr>
            </w:pPr>
          </w:p>
        </w:tc>
        <w:tc>
          <w:tcPr>
            <w:tcW w:w="1238" w:type="dxa"/>
            <w:vAlign w:val="center"/>
          </w:tcPr>
          <w:p w14:paraId="515422B7">
            <w:pPr>
              <w:widowControl w:val="0"/>
              <w:jc w:val="center"/>
              <w:rPr>
                <w:rFonts w:hint="eastAsia" w:ascii="宋体" w:hAnsi="宋体" w:eastAsia="宋体" w:cs="宋体"/>
                <w:vertAlign w:val="baseline"/>
                <w:lang w:val="en-US" w:eastAsia="zh-CN"/>
              </w:rPr>
            </w:pPr>
          </w:p>
        </w:tc>
        <w:tc>
          <w:tcPr>
            <w:tcW w:w="1238" w:type="dxa"/>
            <w:vAlign w:val="center"/>
          </w:tcPr>
          <w:p w14:paraId="161FB83F">
            <w:pPr>
              <w:widowControl w:val="0"/>
              <w:jc w:val="center"/>
              <w:rPr>
                <w:rFonts w:hint="eastAsia" w:ascii="宋体" w:hAnsi="宋体" w:eastAsia="宋体" w:cs="宋体"/>
                <w:vertAlign w:val="baseline"/>
                <w:lang w:val="en-US" w:eastAsia="zh-CN"/>
              </w:rPr>
            </w:pPr>
          </w:p>
        </w:tc>
        <w:tc>
          <w:tcPr>
            <w:tcW w:w="1023" w:type="dxa"/>
            <w:vAlign w:val="center"/>
          </w:tcPr>
          <w:p w14:paraId="77DF5323">
            <w:pPr>
              <w:widowControl w:val="0"/>
              <w:jc w:val="center"/>
              <w:rPr>
                <w:rFonts w:hint="eastAsia" w:ascii="宋体" w:hAnsi="宋体" w:eastAsia="宋体" w:cs="宋体"/>
                <w:vertAlign w:val="baseline"/>
                <w:lang w:val="en-US" w:eastAsia="zh-CN"/>
              </w:rPr>
            </w:pPr>
          </w:p>
        </w:tc>
        <w:tc>
          <w:tcPr>
            <w:tcW w:w="1800" w:type="dxa"/>
            <w:vAlign w:val="center"/>
          </w:tcPr>
          <w:p w14:paraId="1D8AAC89">
            <w:pPr>
              <w:widowControl w:val="0"/>
              <w:jc w:val="center"/>
              <w:rPr>
                <w:rFonts w:hint="eastAsia" w:ascii="宋体" w:hAnsi="宋体" w:eastAsia="宋体" w:cs="宋体"/>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vertAlign w:val="baseline"/>
                <w:lang w:val="en-US" w:eastAsia="zh-CN"/>
              </w:rPr>
            </w:pPr>
          </w:p>
        </w:tc>
        <w:tc>
          <w:tcPr>
            <w:tcW w:w="1676" w:type="dxa"/>
            <w:vAlign w:val="center"/>
          </w:tcPr>
          <w:p w14:paraId="6E777249">
            <w:pPr>
              <w:widowControl w:val="0"/>
              <w:jc w:val="center"/>
              <w:rPr>
                <w:rFonts w:hint="eastAsia" w:ascii="宋体" w:hAnsi="宋体" w:eastAsia="宋体" w:cs="宋体"/>
                <w:vertAlign w:val="baseline"/>
                <w:lang w:val="en-US" w:eastAsia="zh-CN"/>
              </w:rPr>
            </w:pPr>
          </w:p>
        </w:tc>
        <w:tc>
          <w:tcPr>
            <w:tcW w:w="1238" w:type="dxa"/>
            <w:vAlign w:val="center"/>
          </w:tcPr>
          <w:p w14:paraId="4DE2A82B">
            <w:pPr>
              <w:widowControl w:val="0"/>
              <w:jc w:val="center"/>
              <w:rPr>
                <w:rFonts w:hint="eastAsia" w:ascii="宋体" w:hAnsi="宋体" w:eastAsia="宋体" w:cs="宋体"/>
                <w:vertAlign w:val="baseline"/>
                <w:lang w:val="en-US" w:eastAsia="zh-CN"/>
              </w:rPr>
            </w:pPr>
          </w:p>
        </w:tc>
        <w:tc>
          <w:tcPr>
            <w:tcW w:w="1238" w:type="dxa"/>
            <w:vAlign w:val="center"/>
          </w:tcPr>
          <w:p w14:paraId="7C5B0392">
            <w:pPr>
              <w:widowControl w:val="0"/>
              <w:jc w:val="center"/>
              <w:rPr>
                <w:rFonts w:hint="eastAsia" w:ascii="宋体" w:hAnsi="宋体" w:eastAsia="宋体" w:cs="宋体"/>
                <w:vertAlign w:val="baseline"/>
                <w:lang w:val="en-US" w:eastAsia="zh-CN"/>
              </w:rPr>
            </w:pPr>
          </w:p>
        </w:tc>
        <w:tc>
          <w:tcPr>
            <w:tcW w:w="1238" w:type="dxa"/>
            <w:vAlign w:val="center"/>
          </w:tcPr>
          <w:p w14:paraId="17137530">
            <w:pPr>
              <w:widowControl w:val="0"/>
              <w:jc w:val="center"/>
              <w:rPr>
                <w:rFonts w:hint="eastAsia" w:ascii="宋体" w:hAnsi="宋体" w:eastAsia="宋体" w:cs="宋体"/>
                <w:vertAlign w:val="baseline"/>
                <w:lang w:val="en-US" w:eastAsia="zh-CN"/>
              </w:rPr>
            </w:pPr>
          </w:p>
        </w:tc>
        <w:tc>
          <w:tcPr>
            <w:tcW w:w="1023" w:type="dxa"/>
            <w:vAlign w:val="center"/>
          </w:tcPr>
          <w:p w14:paraId="1138018C">
            <w:pPr>
              <w:widowControl w:val="0"/>
              <w:jc w:val="center"/>
              <w:rPr>
                <w:rFonts w:hint="eastAsia" w:ascii="宋体" w:hAnsi="宋体" w:eastAsia="宋体" w:cs="宋体"/>
                <w:vertAlign w:val="baseline"/>
                <w:lang w:val="en-US" w:eastAsia="zh-CN"/>
              </w:rPr>
            </w:pPr>
          </w:p>
        </w:tc>
        <w:tc>
          <w:tcPr>
            <w:tcW w:w="1800" w:type="dxa"/>
            <w:vAlign w:val="center"/>
          </w:tcPr>
          <w:p w14:paraId="4CA32857">
            <w:pPr>
              <w:widowControl w:val="0"/>
              <w:jc w:val="center"/>
              <w:rPr>
                <w:rFonts w:hint="eastAsia" w:ascii="宋体" w:hAnsi="宋体" w:eastAsia="宋体" w:cs="宋体"/>
                <w:vertAlign w:val="baseline"/>
                <w:lang w:val="en-US" w:eastAsia="zh-CN"/>
              </w:rPr>
            </w:pPr>
          </w:p>
        </w:tc>
      </w:tr>
    </w:tbl>
    <w:p w14:paraId="4690C867">
      <w:pPr>
        <w:rPr>
          <w:rFonts w:hint="eastAsia" w:ascii="宋体" w:hAnsi="宋体" w:eastAsia="宋体" w:cs="宋体"/>
          <w:lang w:val="en-US" w:eastAsia="zh-CN"/>
        </w:rPr>
      </w:pPr>
    </w:p>
    <w:p w14:paraId="3F22E3BC">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ascii="宋体" w:hAnsi="宋体" w:eastAsia="宋体" w:cs="宋体"/>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lang w:val="en-US" w:eastAsia="zh-CN"/>
        </w:rPr>
      </w:pPr>
    </w:p>
    <w:p w14:paraId="591F39D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AC264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C2F6EB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1FCD9D6">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E63C69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4084F2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27DB8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3E6835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47EFB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A5A959A">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50115A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35950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0B7289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B505EE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CA18EF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E07BA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8E426C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3EB9A2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424AE2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DE512C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ascii="宋体" w:hAnsi="宋体" w:eastAsia="宋体" w:cs="宋体"/>
          <w:lang w:val="en-US" w:eastAsia="zh-CN"/>
        </w:rPr>
      </w:pPr>
    </w:p>
    <w:p w14:paraId="47176292">
      <w:pPr>
        <w:bidi w:val="0"/>
        <w:rPr>
          <w:rFonts w:hint="eastAsia" w:ascii="宋体" w:hAnsi="宋体" w:eastAsia="宋体" w:cs="宋体"/>
          <w:lang w:val="en-US" w:eastAsia="zh-CN"/>
        </w:rPr>
      </w:pPr>
    </w:p>
    <w:p w14:paraId="04543762">
      <w:pPr>
        <w:bidi w:val="0"/>
        <w:rPr>
          <w:rFonts w:hint="eastAsia" w:ascii="宋体" w:hAnsi="宋体" w:eastAsia="宋体" w:cs="宋体"/>
          <w:lang w:val="en-US" w:eastAsia="zh-CN"/>
        </w:rPr>
      </w:pPr>
      <w:r>
        <w:rPr>
          <w:rFonts w:hint="eastAsia" w:ascii="宋体" w:hAnsi="宋体" w:eastAsia="宋体" w:cs="宋体"/>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0420"/>
      <w:bookmarkStart w:id="89" w:name="_Toc24168"/>
      <w:bookmarkStart w:id="90" w:name="_Toc2996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2038" w:type="dxa"/>
            <w:noWrap w:val="0"/>
            <w:vAlign w:val="center"/>
          </w:tcPr>
          <w:p w14:paraId="7F9203F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C0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765865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13C71E4E">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198" w:type="dxa"/>
            <w:noWrap w:val="0"/>
            <w:vAlign w:val="center"/>
          </w:tcPr>
          <w:p w14:paraId="3DE9E5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9A359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28F4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E410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DB3056D">
      <w:pPr>
        <w:rPr>
          <w:rFonts w:hint="eastAsia" w:ascii="宋体" w:hAnsi="宋体" w:eastAsia="宋体" w:cs="宋体"/>
          <w:b/>
          <w:color w:val="auto"/>
          <w:kern w:val="0"/>
          <w:sz w:val="21"/>
          <w:szCs w:val="21"/>
          <w:highlight w:val="none"/>
        </w:rPr>
      </w:pPr>
    </w:p>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69D8A673">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28621"/>
      <w:bookmarkStart w:id="9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30519"/>
      <w:bookmarkStart w:id="95" w:name="_Toc13976"/>
      <w:bookmarkStart w:id="96" w:name="_Toc1293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4693"/>
      <w:bookmarkStart w:id="98" w:name="_Toc18105"/>
      <w:bookmarkStart w:id="99" w:name="_Toc3342"/>
      <w:r>
        <w:rPr>
          <w:rFonts w:hint="eastAsia" w:ascii="宋体" w:hAnsi="宋体" w:eastAsia="宋体" w:cs="宋体"/>
          <w:color w:val="auto"/>
          <w:sz w:val="28"/>
          <w:szCs w:val="28"/>
          <w:highlight w:val="none"/>
          <w:lang w:val="en-US" w:eastAsia="zh-CN"/>
        </w:rPr>
        <w:t>附件9          证明文件</w:t>
      </w:r>
      <w:bookmarkEnd w:id="97"/>
      <w:bookmarkEnd w:id="98"/>
      <w:bookmarkEnd w:id="99"/>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2 </w:t>
      </w:r>
      <w:bookmarkStart w:id="100" w:name="_Toc17966"/>
      <w:r>
        <w:rPr>
          <w:rFonts w:hint="eastAsia" w:ascii="宋体" w:hAnsi="宋体" w:eastAsia="宋体" w:cs="宋体"/>
          <w:b/>
          <w:bCs w:val="0"/>
          <w:color w:val="auto"/>
          <w:sz w:val="21"/>
          <w:szCs w:val="21"/>
          <w:highlight w:val="none"/>
          <w:lang w:val="en-US" w:eastAsia="zh-CN"/>
        </w:rPr>
        <w:t>评分标准中需提供的证明材料（除技术要求证明材料外）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6083"/>
      <w:bookmarkStart w:id="102" w:name="_Toc13726"/>
      <w:bookmarkStart w:id="103" w:name="_Toc12888"/>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31685"/>
      <w:bookmarkStart w:id="105" w:name="_Toc23394"/>
      <w:bookmarkStart w:id="10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驻马店市中心医院体外受精（IVF）超净工作台采购项目（二次）采购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011C"/>
    <w:multiLevelType w:val="singleLevel"/>
    <w:tmpl w:val="87D0011C"/>
    <w:lvl w:ilvl="0" w:tentative="0">
      <w:start w:val="1"/>
      <w:numFmt w:val="decimal"/>
      <w:lvlText w:val="%1."/>
      <w:lvlJc w:val="left"/>
      <w:pPr>
        <w:ind w:left="425" w:hanging="425"/>
      </w:pPr>
      <w:rPr>
        <w:rFonts w:hint="default"/>
      </w:rPr>
    </w:lvl>
  </w:abstractNum>
  <w:abstractNum w:abstractNumId="1">
    <w:nsid w:val="B03DC412"/>
    <w:multiLevelType w:val="singleLevel"/>
    <w:tmpl w:val="B03DC412"/>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25734F1F"/>
    <w:multiLevelType w:val="singleLevel"/>
    <w:tmpl w:val="25734F1F"/>
    <w:lvl w:ilvl="0" w:tentative="0">
      <w:start w:val="1"/>
      <w:numFmt w:val="decimal"/>
      <w:lvlText w:val="%1."/>
      <w:lvlJc w:val="left"/>
      <w:pPr>
        <w:ind w:left="425" w:hanging="425"/>
      </w:pPr>
      <w:rPr>
        <w:rFonts w:hint="default"/>
        <w:b/>
        <w:bCs/>
      </w:r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7E12A3"/>
    <w:rsid w:val="05806815"/>
    <w:rsid w:val="058251D3"/>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C0A60"/>
    <w:rsid w:val="08C52D6F"/>
    <w:rsid w:val="08DB66CD"/>
    <w:rsid w:val="08E42BE4"/>
    <w:rsid w:val="08E616F2"/>
    <w:rsid w:val="08EF0201"/>
    <w:rsid w:val="08F41DE8"/>
    <w:rsid w:val="092B1742"/>
    <w:rsid w:val="093D1475"/>
    <w:rsid w:val="094840A2"/>
    <w:rsid w:val="09644C54"/>
    <w:rsid w:val="09737462"/>
    <w:rsid w:val="09741BE6"/>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E1258C"/>
    <w:rsid w:val="0BF16C73"/>
    <w:rsid w:val="0BF72F1E"/>
    <w:rsid w:val="0C0A7D34"/>
    <w:rsid w:val="0C191D25"/>
    <w:rsid w:val="0C230DF6"/>
    <w:rsid w:val="0C3152C1"/>
    <w:rsid w:val="0C3957A5"/>
    <w:rsid w:val="0C3C77C2"/>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B38F0"/>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52407"/>
    <w:rsid w:val="0FDB5F4F"/>
    <w:rsid w:val="0FE7592C"/>
    <w:rsid w:val="0FFC17A5"/>
    <w:rsid w:val="0FFD20F0"/>
    <w:rsid w:val="10097E7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B6196"/>
    <w:rsid w:val="111D7BC2"/>
    <w:rsid w:val="11250F40"/>
    <w:rsid w:val="113329E7"/>
    <w:rsid w:val="113F294C"/>
    <w:rsid w:val="11437C85"/>
    <w:rsid w:val="11575085"/>
    <w:rsid w:val="1166372C"/>
    <w:rsid w:val="11700D10"/>
    <w:rsid w:val="117074FA"/>
    <w:rsid w:val="1178125A"/>
    <w:rsid w:val="118441E0"/>
    <w:rsid w:val="1196056D"/>
    <w:rsid w:val="11B85B3D"/>
    <w:rsid w:val="11CD20A0"/>
    <w:rsid w:val="11D34654"/>
    <w:rsid w:val="12010480"/>
    <w:rsid w:val="120E707F"/>
    <w:rsid w:val="121D0051"/>
    <w:rsid w:val="12241424"/>
    <w:rsid w:val="12413D84"/>
    <w:rsid w:val="127A7D1C"/>
    <w:rsid w:val="12836D8B"/>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B2187"/>
    <w:rsid w:val="1A125525"/>
    <w:rsid w:val="1A2A15A2"/>
    <w:rsid w:val="1A5F4342"/>
    <w:rsid w:val="1A616E2C"/>
    <w:rsid w:val="1A715D02"/>
    <w:rsid w:val="1A7A7F4B"/>
    <w:rsid w:val="1A7F369B"/>
    <w:rsid w:val="1A8C5D82"/>
    <w:rsid w:val="1A994988"/>
    <w:rsid w:val="1A9B546C"/>
    <w:rsid w:val="1A9E141F"/>
    <w:rsid w:val="1AA3511F"/>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922A5"/>
    <w:rsid w:val="1B721452"/>
    <w:rsid w:val="1B8C18B7"/>
    <w:rsid w:val="1B920007"/>
    <w:rsid w:val="1BB73AE1"/>
    <w:rsid w:val="1BDA6D68"/>
    <w:rsid w:val="1BF14125"/>
    <w:rsid w:val="1C002CEE"/>
    <w:rsid w:val="1C4032FE"/>
    <w:rsid w:val="1C4E77C9"/>
    <w:rsid w:val="1C555978"/>
    <w:rsid w:val="1C6554A1"/>
    <w:rsid w:val="1C7971B7"/>
    <w:rsid w:val="1C8036FB"/>
    <w:rsid w:val="1C917D91"/>
    <w:rsid w:val="1CA90172"/>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8533C6"/>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B64FA"/>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7572C3"/>
    <w:rsid w:val="25790E85"/>
    <w:rsid w:val="257B7155"/>
    <w:rsid w:val="25965D3D"/>
    <w:rsid w:val="25972C60"/>
    <w:rsid w:val="25974C6F"/>
    <w:rsid w:val="259D1676"/>
    <w:rsid w:val="25A353EB"/>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B09BF"/>
    <w:rsid w:val="282E4F00"/>
    <w:rsid w:val="283C23DF"/>
    <w:rsid w:val="283D69F1"/>
    <w:rsid w:val="283F090E"/>
    <w:rsid w:val="284C16F5"/>
    <w:rsid w:val="28570AB5"/>
    <w:rsid w:val="285F2CDC"/>
    <w:rsid w:val="28622C36"/>
    <w:rsid w:val="2869172C"/>
    <w:rsid w:val="286C70E0"/>
    <w:rsid w:val="288C2D07"/>
    <w:rsid w:val="289E7E22"/>
    <w:rsid w:val="28C2534B"/>
    <w:rsid w:val="28C5525A"/>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A25D0"/>
    <w:rsid w:val="36FB00F6"/>
    <w:rsid w:val="37103BA1"/>
    <w:rsid w:val="37224581"/>
    <w:rsid w:val="3735197D"/>
    <w:rsid w:val="373756A2"/>
    <w:rsid w:val="374A416C"/>
    <w:rsid w:val="375A4E1C"/>
    <w:rsid w:val="375E0DA6"/>
    <w:rsid w:val="377639AE"/>
    <w:rsid w:val="378142CB"/>
    <w:rsid w:val="378B61A6"/>
    <w:rsid w:val="3794423A"/>
    <w:rsid w:val="37B90F0B"/>
    <w:rsid w:val="37CD3F98"/>
    <w:rsid w:val="37D20E57"/>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97929"/>
    <w:rsid w:val="3876113B"/>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646E5"/>
    <w:rsid w:val="3BCA44BE"/>
    <w:rsid w:val="3BD639A7"/>
    <w:rsid w:val="3C033CD5"/>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6F231C"/>
    <w:rsid w:val="437102E7"/>
    <w:rsid w:val="437C210F"/>
    <w:rsid w:val="43847F02"/>
    <w:rsid w:val="438F113C"/>
    <w:rsid w:val="439E7EFB"/>
    <w:rsid w:val="43B1568A"/>
    <w:rsid w:val="43B64E08"/>
    <w:rsid w:val="43BD7F58"/>
    <w:rsid w:val="43D43ECA"/>
    <w:rsid w:val="43DD12AF"/>
    <w:rsid w:val="43DD452F"/>
    <w:rsid w:val="43DE6CD4"/>
    <w:rsid w:val="43E51150"/>
    <w:rsid w:val="43EA7528"/>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76582E"/>
    <w:rsid w:val="48895289"/>
    <w:rsid w:val="48A16B62"/>
    <w:rsid w:val="48AE0D54"/>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E1C69"/>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4229EF"/>
    <w:rsid w:val="515B06D0"/>
    <w:rsid w:val="51764AF1"/>
    <w:rsid w:val="51884D75"/>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F55FA"/>
    <w:rsid w:val="53517A72"/>
    <w:rsid w:val="5361549D"/>
    <w:rsid w:val="536220DA"/>
    <w:rsid w:val="53650637"/>
    <w:rsid w:val="536A5F90"/>
    <w:rsid w:val="537155BE"/>
    <w:rsid w:val="53757C6B"/>
    <w:rsid w:val="537E1075"/>
    <w:rsid w:val="539A4AC7"/>
    <w:rsid w:val="53A44D07"/>
    <w:rsid w:val="53A46AC8"/>
    <w:rsid w:val="53AB7F1F"/>
    <w:rsid w:val="53AC6F7B"/>
    <w:rsid w:val="53C01F4F"/>
    <w:rsid w:val="53C51418"/>
    <w:rsid w:val="53EB297B"/>
    <w:rsid w:val="53EC4BF7"/>
    <w:rsid w:val="53F671DE"/>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6F20DD"/>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B23F7A"/>
    <w:rsid w:val="5ED35F0E"/>
    <w:rsid w:val="5EDF7832"/>
    <w:rsid w:val="5EFC1390"/>
    <w:rsid w:val="5EFC3EB6"/>
    <w:rsid w:val="5F014081"/>
    <w:rsid w:val="5F03335D"/>
    <w:rsid w:val="5F0368C7"/>
    <w:rsid w:val="5F090D52"/>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A0DC7"/>
    <w:rsid w:val="66CE1E80"/>
    <w:rsid w:val="66E225B5"/>
    <w:rsid w:val="66E362F9"/>
    <w:rsid w:val="66E47FD9"/>
    <w:rsid w:val="66E520A5"/>
    <w:rsid w:val="66E57F50"/>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C811ED"/>
    <w:rsid w:val="69D33070"/>
    <w:rsid w:val="69E97E75"/>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42F5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05385"/>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169EA"/>
    <w:rsid w:val="73AB01D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991353"/>
    <w:rsid w:val="7E9B5353"/>
    <w:rsid w:val="7E9C184B"/>
    <w:rsid w:val="7EA72948"/>
    <w:rsid w:val="7EB31EDB"/>
    <w:rsid w:val="7EC16AF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15954</Words>
  <Characters>16767</Characters>
  <Lines>50</Lines>
  <Paragraphs>68</Paragraphs>
  <TotalTime>2</TotalTime>
  <ScaleCrop>false</ScaleCrop>
  <LinksUpToDate>false</LinksUpToDate>
  <CharactersWithSpaces>17211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2025-08-12T07:11:36Z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