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驻马店市中心医院飞利浦16排CT全保（除球管与第三方产品）</w:t>
      </w:r>
      <w:r>
        <w:rPr>
          <w:rFonts w:hint="eastAsia" w:cs="宋体"/>
          <w:b/>
          <w:bCs/>
          <w:color w:val="auto"/>
          <w:sz w:val="44"/>
          <w:szCs w:val="44"/>
          <w:highlight w:val="none"/>
          <w:lang w:val="en-US" w:eastAsia="zh-CN"/>
        </w:rPr>
        <w:t>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河南省机电设备国际招标有限公司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08</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驻马店市中心医院飞利浦16排CT全保（除球管与第三方产品）项目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飞利浦16排CT全保（除球管与第三方产品）</w:t>
      </w:r>
      <w:r>
        <w:rPr>
          <w:rFonts w:hint="eastAsia" w:ascii="宋体" w:hAnsi="宋体" w:cs="宋体"/>
          <w:color w:val="auto"/>
          <w:u w:val="singl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驻马店市中心医院飞利浦16排CT全保（除球管与第三方产品）项目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27B5406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4、服务期限：1年；</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、合同履行期限：</w:t>
      </w:r>
      <w:r>
        <w:rPr>
          <w:rFonts w:hint="eastAsia" w:ascii="宋体" w:hAnsi="宋体" w:cs="宋体"/>
          <w:color w:val="auto"/>
          <w:szCs w:val="21"/>
          <w:highlight w:val="none"/>
          <w:shd w:val="clear" w:color="auto" w:fill="FFFFFF"/>
          <w:lang w:val="en-US" w:eastAsia="zh-CN"/>
        </w:rPr>
        <w:t>同服务期限；</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符合现行国家、省、市地方相关规范和标准，满足</w:t>
      </w:r>
      <w:r>
        <w:rPr>
          <w:rFonts w:hint="eastAsia" w:ascii="宋体" w:hAnsi="宋体" w:cs="宋体"/>
          <w:color w:val="auto"/>
          <w:szCs w:val="21"/>
          <w:highlight w:val="none"/>
          <w:shd w:val="clear" w:color="auto" w:fill="FFFFFF"/>
          <w:lang w:val="en-US" w:eastAsia="zh-CN"/>
        </w:rPr>
        <w:t>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30971"/>
      <w:bookmarkStart w:id="10" w:name="_Toc782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10738"/>
      <w:bookmarkStart w:id="16" w:name="_Toc15111"/>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604"/>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驻马店市中心医院飞利浦16排CT全保（除球管与第三方产品）项目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979"/>
        <w:gridCol w:w="2529"/>
        <w:gridCol w:w="933"/>
        <w:gridCol w:w="867"/>
        <w:gridCol w:w="1091"/>
        <w:gridCol w:w="1086"/>
        <w:gridCol w:w="1217"/>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79"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529"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3"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8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91"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86"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17" w:type="dxa"/>
            <w:vAlign w:val="center"/>
          </w:tcPr>
          <w:p w14:paraId="0D5173F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97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252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飞利浦16排CT全保（除球管与第三方产品）</w:t>
            </w:r>
          </w:p>
        </w:tc>
        <w:tc>
          <w:tcPr>
            <w:tcW w:w="933"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年</w:t>
            </w:r>
          </w:p>
        </w:tc>
        <w:tc>
          <w:tcPr>
            <w:tcW w:w="8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1</w:t>
            </w:r>
          </w:p>
        </w:tc>
        <w:tc>
          <w:tcPr>
            <w:tcW w:w="109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28万元</w:t>
            </w:r>
          </w:p>
        </w:tc>
        <w:tc>
          <w:tcPr>
            <w:tcW w:w="108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自筹</w:t>
            </w:r>
          </w:p>
        </w:tc>
        <w:tc>
          <w:tcPr>
            <w:tcW w:w="1217"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2"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72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28万元</w:t>
            </w:r>
          </w:p>
        </w:tc>
      </w:tr>
      <w:tr w14:paraId="6F3F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62" w:type="dxa"/>
            <w:gridSpan w:val="2"/>
            <w:vAlign w:val="center"/>
          </w:tcPr>
          <w:p w14:paraId="7E38E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color w:val="auto"/>
                <w:highlight w:val="none"/>
              </w:rPr>
            </w:pPr>
            <w:r>
              <w:rPr>
                <w:rFonts w:hint="eastAsia" w:ascii="宋体" w:hAnsi="宋体" w:eastAsia="宋体" w:cs="宋体"/>
                <w:b/>
                <w:bCs/>
                <w:color w:val="auto"/>
                <w:sz w:val="21"/>
                <w:szCs w:val="21"/>
                <w:highlight w:val="none"/>
                <w:vertAlign w:val="baseline"/>
                <w:lang w:val="en-US" w:eastAsia="zh-CN"/>
              </w:rPr>
              <w:t>备注</w:t>
            </w:r>
          </w:p>
        </w:tc>
        <w:tc>
          <w:tcPr>
            <w:tcW w:w="7723" w:type="dxa"/>
            <w:gridSpan w:val="6"/>
            <w:vAlign w:val="center"/>
          </w:tcPr>
          <w:p w14:paraId="14005A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w:t>
            </w:r>
          </w:p>
        </w:tc>
      </w:tr>
    </w:tbl>
    <w:p w14:paraId="028B9CE9">
      <w:pPr>
        <w:rPr>
          <w:rFonts w:hint="default"/>
          <w:b/>
          <w:bCs/>
          <w:color w:val="auto"/>
          <w:lang w:val="en-US" w:eastAsia="zh-CN"/>
        </w:rPr>
      </w:pPr>
      <w:r>
        <w:rPr>
          <w:rFonts w:hint="eastAsia"/>
          <w:b/>
          <w:bCs/>
          <w:color w:val="auto"/>
          <w:lang w:val="en-US" w:eastAsia="zh-CN"/>
        </w:rPr>
        <w:t>三、技术要求</w:t>
      </w:r>
    </w:p>
    <w:p w14:paraId="07ADDFE1">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5B404791">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4DD8ACE2">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3)为本医院配置具备维修资质的固定工程师不少于2人，本设备维修经验不少于2年，需提供证明材料（培训证书）和承诺函</w:t>
      </w:r>
    </w:p>
    <w:p w14:paraId="69BAD9B7">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所换备件必须是全新合格的产品，并满足设备运行要求, 进口配件需提供商检及海关报关单等材料。因所换备件造成的设备故障及医院损失，由投标人全权负责</w:t>
      </w:r>
    </w:p>
    <w:p w14:paraId="0C126750">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软硬件及工作站免费安全升级，并开放维修密码等</w:t>
      </w:r>
    </w:p>
    <w:p w14:paraId="30B1AE65">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提供24小时远程技术支持及临床应用支持，签署由招标人提供的信息系统数据安全保密承诺书</w:t>
      </w:r>
    </w:p>
    <w:p w14:paraId="6307C41C">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7）如需更换备件，国内备件仓库有货的备件在2个工作日内送达医院，进口配件5个工作日送达；非标件和不可抗力除外</w:t>
      </w:r>
    </w:p>
    <w:p w14:paraId="2F5203C3">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8）定期进行安全检查及质量保障，保证24h*365天维修热线连接；提供全国400热线服务电话</w:t>
      </w:r>
    </w:p>
    <w:p w14:paraId="06CD8732">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9）紧急人工和工程师现场紧急维修服务</w:t>
      </w:r>
    </w:p>
    <w:p w14:paraId="4A72998A">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10）提供ISO9001和13485质量认证证书</w:t>
      </w:r>
    </w:p>
    <w:p w14:paraId="376B7907">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11）工程师需配备有专用工具，工程师的工具符合国家检测和校准的规定（提供相关校准证明）</w:t>
      </w:r>
    </w:p>
    <w:p w14:paraId="36876EC6">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12）保修期最后一个月内更换的配件，中标公司应保证自更换之日起三个月内正常使用，如三个月内出现故障，由中标公司承担维修费用。</w:t>
      </w:r>
    </w:p>
    <w:p w14:paraId="04E72394">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13）须有具备应用培训工程师且提供原厂认证的培训证书。</w:t>
      </w:r>
    </w:p>
    <w:p w14:paraId="0CE7248E">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 对我院的维修工程师提供每年至少2人次的专业培训，并提供培训证明材料。</w:t>
      </w:r>
    </w:p>
    <w:p w14:paraId="4EE2D821">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15）每年制定临床使用人员的使用维护培训计划，按计划进行培训并提供记录。</w:t>
      </w:r>
    </w:p>
    <w:p w14:paraId="4422C6D5">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1"/>
        <w:rPr>
          <w:rFonts w:hint="eastAsia" w:ascii="宋体" w:hAnsi="宋体" w:eastAsia="宋体" w:cs="宋体"/>
          <w:b/>
          <w:bCs/>
          <w:color w:val="auto"/>
          <w:kern w:val="2"/>
          <w:sz w:val="21"/>
          <w:szCs w:val="24"/>
          <w:highlight w:val="none"/>
          <w:lang w:val="en-US" w:eastAsia="zh-CN" w:bidi="ar-SA"/>
        </w:rPr>
      </w:pPr>
    </w:p>
    <w:p w14:paraId="41737D04">
      <w:pPr>
        <w:pStyle w:val="51"/>
        <w:rPr>
          <w:rFonts w:hint="eastAsia" w:ascii="宋体" w:hAnsi="宋体" w:eastAsia="宋体" w:cs="宋体"/>
          <w:b/>
          <w:bCs/>
          <w:color w:val="auto"/>
          <w:kern w:val="2"/>
          <w:sz w:val="21"/>
          <w:szCs w:val="24"/>
          <w:highlight w:val="none"/>
          <w:lang w:val="en-US" w:eastAsia="zh-CN" w:bidi="ar-SA"/>
        </w:rPr>
      </w:pP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w:t>
            </w:r>
            <w:r>
              <w:rPr>
                <w:rFonts w:hint="eastAsia" w:ascii="宋体" w:hAnsi="宋体" w:eastAsia="宋体" w:cs="宋体"/>
                <w:color w:val="auto"/>
                <w:szCs w:val="21"/>
                <w:highlight w:val="none"/>
                <w:shd w:val="clear" w:color="auto" w:fill="FFFFFF"/>
                <w:lang w:val="en-US" w:eastAsia="zh-CN"/>
              </w:rPr>
              <w:t>满足</w:t>
            </w:r>
            <w:r>
              <w:rPr>
                <w:rFonts w:hint="eastAsia" w:ascii="宋体" w:hAnsi="宋体" w:cs="宋体"/>
                <w:color w:val="auto"/>
                <w:szCs w:val="21"/>
                <w:highlight w:val="none"/>
                <w:shd w:val="clear" w:color="auto" w:fill="FFFFFF"/>
                <w:lang w:val="en-US" w:eastAsia="zh-CN"/>
              </w:rPr>
              <w:t>磋商文件要求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周一至周日，7天24小时包括法定节假日</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20分钟内电话响应，2小时内工程师到达现场，一般故障24小时内维修完毕。如需外地专家支持，4小时内响应，24小时内到达现场。</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维保要求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投标人保证我院保修的设备正常开机率大于95% （一年按365天计算），且单次维修不能超过1天，否则设备维修占用日期每增加一天，保修时间往后顺延七天。</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先服务后付款，服务六个月之后支付50%合同款，服务期满后支付余下50%合同款。</w:t>
            </w:r>
          </w:p>
        </w:tc>
      </w:tr>
    </w:tbl>
    <w:p w14:paraId="599A6553">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驻马店市中心医院飞利浦16排CT全保（除球管与第三方产品）项目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特定资格要求：供应商须是在中华人民共和国境内注册的设备原制造厂商或原制造厂商授权的单位或具备相关设备维修能力的单位（提供证明文件）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价格部</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160CCDD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88C190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5DBC0F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5F03394">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58</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3E3F254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1.服务能力响应程度</w:t>
            </w:r>
          </w:p>
          <w:p w14:paraId="29FBC4C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683C5BA6">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文件第二章 采购需求</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每有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若</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31853A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响应表</w:t>
            </w:r>
            <w:r>
              <w:rPr>
                <w:rFonts w:hint="eastAsia" w:ascii="宋体" w:hAnsi="宋体" w:eastAsia="宋体" w:cs="宋体"/>
                <w:color w:val="auto"/>
                <w:sz w:val="21"/>
                <w:szCs w:val="21"/>
                <w:highlight w:val="none"/>
                <w:lang w:val="en-US" w:eastAsia="zh-CN"/>
              </w:rPr>
              <w:t>，并标注偏离情况。</w:t>
            </w:r>
          </w:p>
          <w:p w14:paraId="233F2D5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3C9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24EDBC3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462FA1">
            <w:pPr>
              <w:keepNext w:val="0"/>
              <w:keepLines w:val="0"/>
              <w:pageBreakBefore w:val="0"/>
              <w:kinsoku/>
              <w:wordWrap/>
              <w:overflowPunct/>
              <w:topLinePunct w:val="0"/>
              <w:bidi w:val="0"/>
              <w:snapToGrid w:val="0"/>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p>
          <w:p w14:paraId="04001B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91002D8">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lang w:val="en-US" w:eastAsia="zh-CN"/>
              </w:rPr>
              <w:t>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w:t>
            </w:r>
            <w:r>
              <w:rPr>
                <w:rFonts w:hint="eastAsia" w:ascii="宋体" w:hAnsi="宋体" w:cs="宋体"/>
                <w:b w:val="0"/>
                <w:bCs w:val="0"/>
                <w:color w:val="auto"/>
                <w:sz w:val="21"/>
                <w:szCs w:val="21"/>
                <w:highlight w:val="none"/>
                <w:lang w:val="en-US" w:eastAsia="zh-CN"/>
              </w:rPr>
              <w:t>）进行评审</w:t>
            </w:r>
            <w:r>
              <w:rPr>
                <w:rFonts w:hint="eastAsia" w:ascii="宋体" w:hAnsi="宋体" w:cs="宋体"/>
                <w:color w:val="auto"/>
                <w:highlight w:val="none"/>
                <w:lang w:val="en-US" w:eastAsia="zh-CN"/>
              </w:rPr>
              <w:t>：</w:t>
            </w:r>
          </w:p>
          <w:p w14:paraId="0DFE48C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3AC57DE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5D62D0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5EE0EE9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1A9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77E4FBF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296D66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.备品备件</w:t>
            </w:r>
          </w:p>
          <w:p w14:paraId="265CF1B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72742464">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7919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4FC5373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7EA505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52E9AB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9FE61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p>
          <w:p w14:paraId="0C77D6D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922" w:type="dxa"/>
            <w:noWrap w:val="0"/>
            <w:vAlign w:val="center"/>
          </w:tcPr>
          <w:p w14:paraId="12D9C43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1F2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593B024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FE928A4">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r>
              <w:rPr>
                <w:rFonts w:hint="eastAsia" w:ascii="宋体" w:hAnsi="宋体" w:cs="宋体"/>
                <w:b w:val="0"/>
                <w:bCs w:val="0"/>
                <w:color w:val="auto"/>
                <w:sz w:val="21"/>
                <w:szCs w:val="21"/>
                <w:highlight w:val="none"/>
                <w:lang w:val="en-US" w:eastAsia="zh-CN"/>
              </w:rPr>
              <w:t>方案</w:t>
            </w:r>
          </w:p>
          <w:p w14:paraId="630EC0F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31FCC1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b w:val="0"/>
                <w:bCs w:val="0"/>
                <w:color w:val="auto"/>
                <w:sz w:val="21"/>
                <w:szCs w:val="21"/>
                <w:highlight w:val="none"/>
                <w:lang w:val="en-US" w:eastAsia="zh-CN"/>
              </w:rPr>
              <w:t>）</w:t>
            </w:r>
            <w:r>
              <w:rPr>
                <w:rFonts w:hint="eastAsia" w:ascii="宋体" w:hAnsi="宋体" w:cs="宋体"/>
                <w:color w:val="auto"/>
                <w:highlight w:val="none"/>
                <w:lang w:val="en-US" w:eastAsia="zh-CN"/>
              </w:rPr>
              <w:t>进行评审</w:t>
            </w:r>
            <w:r>
              <w:rPr>
                <w:rFonts w:hint="eastAsia" w:ascii="宋体" w:hAnsi="宋体" w:eastAsia="宋体" w:cs="宋体"/>
                <w:color w:val="auto"/>
                <w:highlight w:val="none"/>
              </w:rPr>
              <w:t>；</w:t>
            </w:r>
          </w:p>
          <w:p w14:paraId="181E196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5E214A6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B815A2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2E28389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7A24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09657C6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68C8D6B">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3.项目人员配备方案</w:t>
            </w:r>
          </w:p>
          <w:p w14:paraId="2F5198F1">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highlight w:val="none"/>
                <w:lang w:val="en-US" w:eastAsia="zh-CN"/>
              </w:rPr>
              <w:t>（7分）</w:t>
            </w:r>
          </w:p>
        </w:tc>
        <w:tc>
          <w:tcPr>
            <w:tcW w:w="6922" w:type="dxa"/>
            <w:noWrap w:val="0"/>
            <w:vAlign w:val="center"/>
          </w:tcPr>
          <w:p w14:paraId="7BAC8E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根据供应商针对本项目提供的项目人员配备方案进行评审：</w:t>
            </w:r>
          </w:p>
          <w:p w14:paraId="50B6E8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1）人员配备安排合理、专业技术能力强、设备维护经验丰富且持证上岗，能完全满足采购需求的得7分；</w:t>
            </w:r>
          </w:p>
          <w:p w14:paraId="33EBB4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2）人员配备基本满足采购需求的得4分；</w:t>
            </w:r>
          </w:p>
          <w:p w14:paraId="3ED56FF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3）人员配备不能满足采购需求的得1分；</w:t>
            </w:r>
          </w:p>
          <w:p w14:paraId="12331E4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0EE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337C7A6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6AB8EB6F">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4.培训方案</w:t>
            </w:r>
          </w:p>
          <w:p w14:paraId="0ADB076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（4分）</w:t>
            </w:r>
          </w:p>
        </w:tc>
        <w:tc>
          <w:tcPr>
            <w:tcW w:w="6922" w:type="dxa"/>
            <w:noWrap w:val="0"/>
            <w:vAlign w:val="center"/>
          </w:tcPr>
          <w:p w14:paraId="42C666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600375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011D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1C29AE8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9C0AD4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.其他优惠承诺</w:t>
            </w:r>
          </w:p>
          <w:p w14:paraId="1FB00F1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48DD885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未提供不得分。</w:t>
            </w:r>
            <w:r>
              <w:rPr>
                <w:rFonts w:hint="eastAsia" w:ascii="宋体" w:hAnsi="宋体" w:eastAsia="宋体" w:cs="宋体"/>
                <w:color w:val="auto"/>
                <w:sz w:val="24"/>
                <w:szCs w:val="24"/>
                <w:highlight w:val="none"/>
                <w:lang w:val="en-US" w:eastAsia="zh-CN"/>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CAF5C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Spec="center" w:tblpY="299"/>
        <w:tblOverlap w:val="never"/>
        <w:tblW w:w="9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71514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900" w:type="dxa"/>
            <w:tcBorders>
              <w:top w:val="single" w:color="auto" w:sz="4" w:space="0"/>
              <w:left w:val="single" w:color="auto" w:sz="4" w:space="0"/>
              <w:bottom w:val="nil"/>
              <w:right w:val="single" w:color="auto" w:sz="4" w:space="0"/>
            </w:tcBorders>
            <w:vAlign w:val="center"/>
          </w:tcPr>
          <w:p w14:paraId="39D3228D">
            <w:pPr>
              <w:widowControl/>
              <w:tabs>
                <w:tab w:val="left" w:pos="1418"/>
              </w:tabs>
              <w:snapToGrid w:val="0"/>
              <w:spacing w:before="50" w:after="50" w:line="360" w:lineRule="exact"/>
              <w:jc w:val="both"/>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6F4213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44B9287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29C6657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7EAEF8B">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28552CD0">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6CCD06C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58B3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013CA0E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6C2B86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166423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058635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9AC40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DB7E24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94F340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55FC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0042F68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46C364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144E55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4064B5C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39A792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4CD1D28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090D8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575E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290F08D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562322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44E40F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BC3F0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82BF86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2914F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6F0B65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3F25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442CA1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329A72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195D4E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E65F95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42EA4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5E964D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9A82A7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D411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6BC756B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111178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5086BAA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DFDB82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4F4230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CBB61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7D6699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670C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7125A6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967590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30782E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475A64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034C4B0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B7D605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FEB33A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8302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72" w:type="dxa"/>
            <w:gridSpan w:val="5"/>
            <w:tcBorders>
              <w:top w:val="single" w:color="auto" w:sz="4" w:space="0"/>
              <w:left w:val="single" w:color="auto" w:sz="4" w:space="0"/>
              <w:bottom w:val="single" w:color="auto" w:sz="4" w:space="0"/>
              <w:right w:val="single" w:color="auto" w:sz="4" w:space="0"/>
            </w:tcBorders>
            <w:vAlign w:val="top"/>
          </w:tcPr>
          <w:p w14:paraId="11BF8069">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115F5C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BCAFFA0">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350B2D08">
      <w:pPr>
        <w:jc w:val="right"/>
        <w:rPr>
          <w:rFonts w:hint="eastAsia" w:ascii="宋体" w:hAnsi="宋体" w:cs="宋体"/>
          <w:color w:val="auto"/>
          <w:kern w:val="0"/>
          <w:sz w:val="24"/>
          <w:highlight w:val="none"/>
          <w:lang w:val="en-US"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30519"/>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8105"/>
      <w:bookmarkStart w:id="93" w:name="_Toc3342"/>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3726"/>
      <w:bookmarkStart w:id="98" w:name="_Toc12888"/>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31685"/>
      <w:bookmarkStart w:id="101" w:name="_Toc250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驻马店市中心医院飞利浦16排CT全保（除球管与第三方产品）项目竞争性磋商文件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3E7F8F"/>
    <w:rsid w:val="054C0111"/>
    <w:rsid w:val="05545DD3"/>
    <w:rsid w:val="05574DA8"/>
    <w:rsid w:val="056E2AD6"/>
    <w:rsid w:val="05720B50"/>
    <w:rsid w:val="05806815"/>
    <w:rsid w:val="05811717"/>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47C3A"/>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17947"/>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671EA"/>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5E2A01"/>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20B7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37298"/>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52ECC"/>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E25001"/>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16593</Words>
  <Characters>17343</Characters>
  <Lines>50</Lines>
  <Paragraphs>68</Paragraphs>
  <TotalTime>0</TotalTime>
  <ScaleCrop>false</ScaleCrop>
  <LinksUpToDate>false</LinksUpToDate>
  <CharactersWithSpaces>18326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2025-08-26T01:58:39Z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