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4B8AE05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52"/>
          <w:szCs w:val="52"/>
          <w:highlight w:val="none"/>
        </w:rPr>
      </w:pPr>
      <w:r>
        <w:rPr>
          <w:rFonts w:hint="eastAsia" w:cs="宋体"/>
          <w:b/>
          <w:bCs/>
          <w:color w:val="auto"/>
          <w:sz w:val="48"/>
          <w:szCs w:val="48"/>
          <w:highlight w:val="none"/>
          <w:lang w:val="en-US" w:eastAsia="zh-CN"/>
        </w:rPr>
        <w:t>驻马店市中心医院视频宣传服务项目</w:t>
      </w:r>
    </w:p>
    <w:p w14:paraId="20826E73">
      <w:pPr>
        <w:pStyle w:val="20"/>
        <w:bidi w:val="0"/>
        <w:jc w:val="center"/>
        <w:rPr>
          <w:rStyle w:val="44"/>
          <w:rFonts w:hint="eastAsia" w:ascii="宋体" w:hAnsi="宋体" w:eastAsia="宋体" w:cs="宋体"/>
          <w:b/>
          <w:bCs/>
          <w:color w:val="auto"/>
          <w:sz w:val="48"/>
          <w:szCs w:val="48"/>
          <w:highlight w:val="none"/>
        </w:rPr>
      </w:pPr>
    </w:p>
    <w:p w14:paraId="53B7944D">
      <w:pPr>
        <w:pStyle w:val="20"/>
        <w:bidi w:val="0"/>
        <w:jc w:val="center"/>
        <w:rPr>
          <w:rStyle w:val="44"/>
          <w:rFonts w:hint="eastAsia" w:ascii="宋体" w:hAnsi="宋体" w:eastAsia="宋体" w:cs="宋体"/>
          <w:b/>
          <w:bCs/>
          <w:color w:val="auto"/>
          <w:sz w:val="48"/>
          <w:szCs w:val="48"/>
          <w:highlight w:val="none"/>
        </w:rPr>
      </w:pPr>
    </w:p>
    <w:p w14:paraId="1BC44121">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采购代理机构：河南庆耀工程管理有限公司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 xml:space="preserve"> 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驻马店市中心医院视频宣传服务项目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驻马店市中心医院视频宣传服务项目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1、项目名称：驻马店市中心医院视频宣传服务项目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 xml:space="preserve">、预算金额： 20万元 </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4、合同履行期限：自合同签订之日起1年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2"/>
          <w:sz w:val="21"/>
          <w:szCs w:val="24"/>
          <w:highlight w:val="none"/>
          <w:lang w:val="en-US" w:eastAsia="zh-CN" w:bidi="ar-SA"/>
        </w:rPr>
        <w:t>符合国家现行规定的质量标准和技术要求，满足采购人需求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6639"/>
      <w:bookmarkStart w:id="5" w:name="_Toc27704"/>
      <w:bookmarkStart w:id="6" w:name="_Toc18607"/>
      <w:bookmarkStart w:id="7"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30643"/>
      <w:bookmarkStart w:id="10" w:name="_Toc7823"/>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FF"/>
          <w:szCs w:val="21"/>
          <w:highlight w:val="none"/>
          <w:shd w:val="clear" w:color="auto" w:fill="FFFFFF"/>
        </w:rPr>
        <w:t>202</w:t>
      </w:r>
      <w:r>
        <w:rPr>
          <w:rFonts w:hint="eastAsia" w:ascii="宋体" w:hAnsi="宋体" w:eastAsia="宋体" w:cs="宋体"/>
          <w:color w:val="0000FF"/>
          <w:szCs w:val="21"/>
          <w:highlight w:val="none"/>
          <w:shd w:val="clear" w:color="auto" w:fill="FFFFFF"/>
          <w:lang w:val="en-US" w:eastAsia="zh-CN"/>
        </w:rPr>
        <w:t>5</w:t>
      </w:r>
      <w:r>
        <w:rPr>
          <w:rFonts w:hint="eastAsia" w:ascii="宋体" w:hAnsi="宋体" w:eastAsia="宋体" w:cs="宋体"/>
          <w:color w:val="0000FF"/>
          <w:szCs w:val="21"/>
          <w:highlight w:val="none"/>
          <w:shd w:val="clear" w:color="auto" w:fill="FFFFFF"/>
        </w:rPr>
        <w:t>年</w:t>
      </w:r>
      <w:r>
        <w:rPr>
          <w:rFonts w:hint="eastAsia" w:ascii="宋体" w:hAnsi="宋体" w:cs="宋体"/>
          <w:color w:val="0000FF"/>
          <w:szCs w:val="21"/>
          <w:highlight w:val="none"/>
          <w:shd w:val="clear" w:color="auto" w:fill="FFFFFF"/>
          <w:lang w:val="en-US" w:eastAsia="zh-CN"/>
        </w:rPr>
        <w:t>9</w:t>
      </w:r>
      <w:r>
        <w:rPr>
          <w:rFonts w:hint="eastAsia" w:ascii="宋体" w:hAnsi="宋体" w:eastAsia="宋体" w:cs="宋体"/>
          <w:color w:val="0000FF"/>
          <w:szCs w:val="21"/>
          <w:highlight w:val="none"/>
          <w:shd w:val="clear" w:color="auto" w:fill="FFFFFF"/>
        </w:rPr>
        <w:t>月</w:t>
      </w:r>
      <w:r>
        <w:rPr>
          <w:rFonts w:hint="eastAsia" w:ascii="宋体" w:hAnsi="宋体" w:cs="宋体"/>
          <w:color w:val="0000FF"/>
          <w:szCs w:val="21"/>
          <w:highlight w:val="none"/>
          <w:shd w:val="clear" w:color="auto" w:fill="FFFFFF"/>
          <w:lang w:val="en-US" w:eastAsia="zh-CN"/>
        </w:rPr>
        <w:t>2</w:t>
      </w:r>
      <w:r>
        <w:rPr>
          <w:rFonts w:hint="eastAsia" w:ascii="宋体" w:hAnsi="宋体" w:eastAsia="宋体" w:cs="宋体"/>
          <w:color w:val="0000FF"/>
          <w:szCs w:val="21"/>
          <w:highlight w:val="none"/>
          <w:shd w:val="clear" w:color="auto" w:fill="FFFFFF"/>
        </w:rPr>
        <w:t>日-202</w:t>
      </w:r>
      <w:r>
        <w:rPr>
          <w:rFonts w:hint="eastAsia" w:ascii="宋体" w:hAnsi="宋体" w:eastAsia="宋体" w:cs="宋体"/>
          <w:color w:val="0000FF"/>
          <w:szCs w:val="21"/>
          <w:highlight w:val="none"/>
          <w:shd w:val="clear" w:color="auto" w:fill="FFFFFF"/>
          <w:lang w:val="en-US" w:eastAsia="zh-CN"/>
        </w:rPr>
        <w:t>5</w:t>
      </w:r>
      <w:r>
        <w:rPr>
          <w:rFonts w:hint="eastAsia" w:ascii="宋体" w:hAnsi="宋体" w:eastAsia="宋体" w:cs="宋体"/>
          <w:color w:val="0000FF"/>
          <w:szCs w:val="21"/>
          <w:highlight w:val="none"/>
          <w:shd w:val="clear" w:color="auto" w:fill="FFFFFF"/>
        </w:rPr>
        <w:t>年</w:t>
      </w:r>
      <w:r>
        <w:rPr>
          <w:rFonts w:hint="eastAsia" w:ascii="宋体" w:hAnsi="宋体" w:cs="宋体"/>
          <w:color w:val="0000FF"/>
          <w:szCs w:val="21"/>
          <w:highlight w:val="none"/>
          <w:shd w:val="clear" w:color="auto" w:fill="FFFFFF"/>
          <w:lang w:val="en-US" w:eastAsia="zh-CN"/>
        </w:rPr>
        <w:t>9</w:t>
      </w:r>
      <w:r>
        <w:rPr>
          <w:rFonts w:hint="eastAsia" w:ascii="宋体" w:hAnsi="宋体" w:eastAsia="宋体" w:cs="宋体"/>
          <w:color w:val="0000FF"/>
          <w:szCs w:val="21"/>
          <w:highlight w:val="none"/>
          <w:shd w:val="clear" w:color="auto" w:fill="FFFFFF"/>
        </w:rPr>
        <w:t>月</w:t>
      </w:r>
      <w:r>
        <w:rPr>
          <w:rFonts w:hint="eastAsia" w:ascii="宋体" w:hAnsi="宋体" w:cs="宋体"/>
          <w:color w:val="0000FF"/>
          <w:szCs w:val="21"/>
          <w:highlight w:val="none"/>
          <w:shd w:val="clear" w:color="auto" w:fill="FFFFFF"/>
          <w:lang w:val="en-US" w:eastAsia="zh-CN"/>
        </w:rPr>
        <w:t xml:space="preserve"> 4</w:t>
      </w:r>
      <w:r>
        <w:rPr>
          <w:rFonts w:hint="eastAsia" w:ascii="宋体" w:hAnsi="宋体" w:eastAsia="宋体" w:cs="宋体"/>
          <w:color w:val="0000FF"/>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1139111856@qq.com,并标明XX公司XX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10738"/>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河南庆耀工程管理有限公司</w:t>
      </w:r>
    </w:p>
    <w:p w14:paraId="7608B205">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地址：河南省郑州市高新技术产业开发区电厂路80号</w:t>
      </w:r>
    </w:p>
    <w:p w14:paraId="58FC408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：时女士</w:t>
      </w:r>
    </w:p>
    <w:p w14:paraId="4E1B99E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17760247360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B1A6D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694D19A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9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 1</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一、项目名称：驻马店市中心医院视频宣传服务</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pPr w:leftFromText="180" w:rightFromText="180" w:vertAnchor="text" w:horzAnchor="page" w:tblpX="1249" w:tblpY="426"/>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42"/>
        <w:gridCol w:w="5"/>
        <w:gridCol w:w="2030"/>
        <w:gridCol w:w="808"/>
        <w:gridCol w:w="919"/>
        <w:gridCol w:w="1308"/>
        <w:gridCol w:w="9"/>
        <w:gridCol w:w="1055"/>
        <w:gridCol w:w="5"/>
        <w:gridCol w:w="117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56"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包号</w:t>
            </w:r>
          </w:p>
        </w:tc>
        <w:tc>
          <w:tcPr>
            <w:tcW w:w="942"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序号</w:t>
            </w:r>
          </w:p>
        </w:tc>
        <w:tc>
          <w:tcPr>
            <w:tcW w:w="2035"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标的名称</w:t>
            </w:r>
          </w:p>
        </w:tc>
        <w:tc>
          <w:tcPr>
            <w:tcW w:w="808"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单位</w:t>
            </w:r>
          </w:p>
        </w:tc>
        <w:tc>
          <w:tcPr>
            <w:tcW w:w="919"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数量</w:t>
            </w:r>
          </w:p>
        </w:tc>
        <w:tc>
          <w:tcPr>
            <w:tcW w:w="1317" w:type="dxa"/>
            <w:gridSpan w:val="2"/>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预算</w:t>
            </w:r>
          </w:p>
        </w:tc>
        <w:tc>
          <w:tcPr>
            <w:tcW w:w="1055"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性质</w:t>
            </w:r>
          </w:p>
        </w:tc>
        <w:tc>
          <w:tcPr>
            <w:tcW w:w="1184" w:type="dxa"/>
            <w:gridSpan w:val="2"/>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6"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4"/>
                <w:szCs w:val="24"/>
                <w:u w:val="none"/>
                <w:vertAlign w:val="baseline"/>
                <w:lang w:val="en-US" w:eastAsia="zh-CN"/>
              </w:rPr>
            </w:pPr>
          </w:p>
        </w:tc>
        <w:tc>
          <w:tcPr>
            <w:tcW w:w="2035"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视频宣传服务</w:t>
            </w:r>
          </w:p>
        </w:tc>
        <w:tc>
          <w:tcPr>
            <w:tcW w:w="808"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一年</w:t>
            </w:r>
          </w:p>
        </w:tc>
        <w:tc>
          <w:tcPr>
            <w:tcW w:w="919"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p>
        </w:tc>
        <w:tc>
          <w:tcPr>
            <w:tcW w:w="1317" w:type="dxa"/>
            <w:gridSpan w:val="2"/>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20万元</w:t>
            </w:r>
          </w:p>
        </w:tc>
        <w:tc>
          <w:tcPr>
            <w:tcW w:w="1055"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6"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2035"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808"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919"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317" w:type="dxa"/>
            <w:gridSpan w:val="2"/>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055"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6" w:type="dxa"/>
            <w:vAlign w:val="center"/>
          </w:tcPr>
          <w:p w14:paraId="66575C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2035" w:type="dxa"/>
            <w:gridSpan w:val="2"/>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808"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19"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317" w:type="dxa"/>
            <w:gridSpan w:val="2"/>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055"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03"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2030"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808"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919"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308"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069" w:type="dxa"/>
            <w:gridSpan w:val="3"/>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179"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318" w:type="dxa"/>
            <w:gridSpan w:val="9"/>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招一家供应商，服务期限一年</w:t>
            </w:r>
          </w:p>
        </w:tc>
      </w:tr>
    </w:tbl>
    <w:p w14:paraId="1E44FC44">
      <w:pPr>
        <w:rPr>
          <w:rFonts w:hint="eastAsia" w:ascii="宋体" w:hAnsi="宋体" w:cs="宋体"/>
          <w:b/>
          <w:bCs/>
          <w:color w:val="auto"/>
          <w:kern w:val="2"/>
          <w:sz w:val="21"/>
          <w:szCs w:val="24"/>
          <w:highlight w:val="none"/>
          <w:lang w:val="en-US" w:eastAsia="zh-CN" w:bidi="ar-SA"/>
        </w:rPr>
      </w:pPr>
    </w:p>
    <w:p w14:paraId="0593931D">
      <w:pPr>
        <w:rPr>
          <w:rFonts w:hint="eastAsia"/>
          <w:b/>
          <w:bCs/>
          <w:color w:val="auto"/>
          <w:lang w:val="en-US" w:eastAsia="zh-CN"/>
        </w:rPr>
      </w:pPr>
    </w:p>
    <w:p w14:paraId="028B9CE9">
      <w:pPr>
        <w:rPr>
          <w:rFonts w:hint="default"/>
          <w:b/>
          <w:bCs/>
          <w:color w:val="auto"/>
          <w:lang w:val="en-US" w:eastAsia="zh-CN"/>
        </w:rPr>
      </w:pPr>
      <w:r>
        <w:rPr>
          <w:rFonts w:hint="eastAsia"/>
          <w:b/>
          <w:bCs/>
          <w:color w:val="auto"/>
          <w:lang w:val="en-US" w:eastAsia="zh-CN"/>
        </w:rPr>
        <w:t>三、技术要求</w:t>
      </w:r>
    </w:p>
    <w:p w14:paraId="772FF19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1.技术要求</w:t>
      </w:r>
    </w:p>
    <w:p w14:paraId="386454B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（1）在抖音账号开设名医专栏。</w:t>
      </w:r>
    </w:p>
    <w:p w14:paraId="6B24283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（2）抖音和视频号的年度整体播放量不低于300万。（提供相关后台截图）     </w:t>
      </w:r>
    </w:p>
    <w:p w14:paraId="0DDE1D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（3）新媒体平台发布医生科普视频，每年不少于50条。视频风格统一。       </w:t>
      </w:r>
    </w:p>
    <w:p w14:paraId="0E39368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（4）视频分辨率与格式：视频应支持高清分辨率（如1080P或更高，甚至4K），以确保画面清晰细腻。</w:t>
      </w:r>
    </w:p>
    <w:p w14:paraId="43ECDA4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（5）格式使用常见的视频编码格式（如H.264/AVC等），以确保兼容性。</w:t>
      </w:r>
    </w:p>
    <w:p w14:paraId="33F7086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（6）拍摄设备：使用专业的摄像设备（如高清摄像机、单反、无人机、话筒或小蜜蜂等），以捕捉高质量的影像素材。</w:t>
      </w:r>
    </w:p>
    <w:p w14:paraId="270A8F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（7）配备稳定器、三脚架、滑轨等辅助设备，以确保画面稳定流畅。</w:t>
      </w:r>
    </w:p>
    <w:p w14:paraId="091BC97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（8）后期制作：要求具备专业的视频剪辑和后期制作能力，包括剪辑软件（如Adobe Premiere Pro、AE等）的熟练运用。</w:t>
      </w:r>
    </w:p>
    <w:p w14:paraId="0A0DC23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（9）视频应经过精心剪辑，包含适当的转场效果、字幕、配乐等，以提升观看体验。</w:t>
      </w:r>
    </w:p>
    <w:p w14:paraId="33BE60D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（10）特效与动画：要求具备熟练制作特效和动画的能力，以增强视频的吸引力和表现力。</w:t>
      </w:r>
    </w:p>
    <w:p w14:paraId="2DCDD59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（11）特效和动画应与视频内容紧密结合，避免过度使用或脱离实际。</w:t>
      </w:r>
    </w:p>
    <w:p w14:paraId="6C905C9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685B0C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50B3E624">
      <w:pPr>
        <w:spacing w:line="560" w:lineRule="exact"/>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服务清单</w:t>
      </w:r>
    </w:p>
    <w:tbl>
      <w:tblPr>
        <w:tblStyle w:val="34"/>
        <w:tblW w:w="7410"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3596"/>
        <w:gridCol w:w="1290"/>
        <w:gridCol w:w="1275"/>
      </w:tblGrid>
      <w:tr w14:paraId="4AFA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9" w:type="dxa"/>
            <w:vAlign w:val="center"/>
          </w:tcPr>
          <w:p w14:paraId="45CD78E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3596" w:type="dxa"/>
            <w:vAlign w:val="center"/>
          </w:tcPr>
          <w:p w14:paraId="33D16D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290" w:type="dxa"/>
            <w:vAlign w:val="center"/>
          </w:tcPr>
          <w:p w14:paraId="6C8EFCE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1275" w:type="dxa"/>
            <w:vAlign w:val="center"/>
          </w:tcPr>
          <w:p w14:paraId="471319E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r>
      <w:tr w14:paraId="5C37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14:paraId="46F120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596" w:type="dxa"/>
            <w:vAlign w:val="center"/>
          </w:tcPr>
          <w:p w14:paraId="7657546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采访拍摄制作科普视频</w:t>
            </w:r>
          </w:p>
        </w:tc>
        <w:tc>
          <w:tcPr>
            <w:tcW w:w="1290" w:type="dxa"/>
            <w:vAlign w:val="center"/>
          </w:tcPr>
          <w:p w14:paraId="1FB1A5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期</w:t>
            </w:r>
          </w:p>
        </w:tc>
        <w:tc>
          <w:tcPr>
            <w:tcW w:w="1275" w:type="dxa"/>
            <w:vAlign w:val="center"/>
          </w:tcPr>
          <w:p w14:paraId="17E6E9E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r>
      <w:tr w14:paraId="518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Align w:val="center"/>
          </w:tcPr>
          <w:p w14:paraId="0E99DC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596" w:type="dxa"/>
            <w:vAlign w:val="center"/>
          </w:tcPr>
          <w:p w14:paraId="525651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重大活动宣传片</w:t>
            </w:r>
          </w:p>
        </w:tc>
        <w:tc>
          <w:tcPr>
            <w:tcW w:w="1290" w:type="dxa"/>
            <w:vAlign w:val="center"/>
          </w:tcPr>
          <w:p w14:paraId="602386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部</w:t>
            </w:r>
          </w:p>
        </w:tc>
        <w:tc>
          <w:tcPr>
            <w:tcW w:w="1275" w:type="dxa"/>
            <w:vAlign w:val="center"/>
          </w:tcPr>
          <w:p w14:paraId="06D510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r>
      <w:tr w14:paraId="424F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49" w:type="dxa"/>
            <w:vAlign w:val="center"/>
          </w:tcPr>
          <w:p w14:paraId="28A171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596" w:type="dxa"/>
            <w:vAlign w:val="center"/>
          </w:tcPr>
          <w:p w14:paraId="74774A4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医院重大活动直播</w:t>
            </w:r>
          </w:p>
        </w:tc>
        <w:tc>
          <w:tcPr>
            <w:tcW w:w="1290" w:type="dxa"/>
            <w:vAlign w:val="center"/>
          </w:tcPr>
          <w:p w14:paraId="6435691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场</w:t>
            </w:r>
          </w:p>
        </w:tc>
        <w:tc>
          <w:tcPr>
            <w:tcW w:w="1275" w:type="dxa"/>
            <w:vAlign w:val="center"/>
          </w:tcPr>
          <w:p w14:paraId="344192B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6404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49" w:type="dxa"/>
            <w:vAlign w:val="center"/>
          </w:tcPr>
          <w:p w14:paraId="383505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596" w:type="dxa"/>
            <w:vAlign w:val="center"/>
          </w:tcPr>
          <w:p w14:paraId="2CFFC2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邀约网红到医院打卡</w:t>
            </w:r>
          </w:p>
        </w:tc>
        <w:tc>
          <w:tcPr>
            <w:tcW w:w="1290" w:type="dxa"/>
            <w:vAlign w:val="center"/>
          </w:tcPr>
          <w:p w14:paraId="067865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期</w:t>
            </w:r>
          </w:p>
        </w:tc>
        <w:tc>
          <w:tcPr>
            <w:tcW w:w="1275" w:type="dxa"/>
            <w:vAlign w:val="center"/>
          </w:tcPr>
          <w:p w14:paraId="3A1BC3C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3929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49" w:type="dxa"/>
            <w:vAlign w:val="center"/>
          </w:tcPr>
          <w:p w14:paraId="0FCB64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596" w:type="dxa"/>
            <w:vAlign w:val="center"/>
          </w:tcPr>
          <w:p w14:paraId="6346D0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舆情分析研判、培训</w:t>
            </w:r>
          </w:p>
        </w:tc>
        <w:tc>
          <w:tcPr>
            <w:tcW w:w="1290" w:type="dxa"/>
            <w:vAlign w:val="center"/>
          </w:tcPr>
          <w:p w14:paraId="58481A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7BB6A2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6473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49" w:type="dxa"/>
            <w:vAlign w:val="center"/>
          </w:tcPr>
          <w:p w14:paraId="372737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596" w:type="dxa"/>
            <w:vAlign w:val="center"/>
          </w:tcPr>
          <w:p w14:paraId="11CB1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重要内容推省台、央视</w:t>
            </w:r>
          </w:p>
        </w:tc>
        <w:tc>
          <w:tcPr>
            <w:tcW w:w="1290" w:type="dxa"/>
            <w:vAlign w:val="center"/>
          </w:tcPr>
          <w:p w14:paraId="6EFA5F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29531A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5934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49" w:type="dxa"/>
            <w:vAlign w:val="center"/>
          </w:tcPr>
          <w:p w14:paraId="51A369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596" w:type="dxa"/>
            <w:vAlign w:val="center"/>
          </w:tcPr>
          <w:p w14:paraId="292577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短视频拍摄、运营培训</w:t>
            </w:r>
          </w:p>
        </w:tc>
        <w:tc>
          <w:tcPr>
            <w:tcW w:w="1290" w:type="dxa"/>
            <w:vAlign w:val="center"/>
          </w:tcPr>
          <w:p w14:paraId="1DCC98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3701B8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bl>
    <w:p w14:paraId="7B9354F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p>
    <w:p w14:paraId="106ADF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符合国家现行规定的质量标准和技术要求，满足采购人需求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自合同签订之日起1年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8547AC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自成交通知书发出之日起30</w:t>
            </w:r>
            <w:r>
              <w:rPr>
                <w:rFonts w:hint="eastAsia" w:ascii="宋体" w:hAnsi="宋体" w:eastAsia="宋体" w:cs="宋体"/>
                <w:color w:val="auto"/>
                <w:kern w:val="0"/>
                <w:szCs w:val="21"/>
                <w:highlight w:val="none"/>
                <w:lang w:val="en-US" w:eastAsia="zh-CN"/>
              </w:rPr>
              <w:t>日</w:t>
            </w:r>
            <w:r>
              <w:rPr>
                <w:rFonts w:hint="eastAsia" w:ascii="宋体" w:hAnsi="宋体" w:eastAsia="宋体" w:cs="宋体"/>
                <w:color w:val="auto"/>
                <w:kern w:val="0"/>
                <w:szCs w:val="21"/>
                <w:highlight w:val="none"/>
              </w:rPr>
              <w:t>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具体以合同签订为准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 xml:space="preserve">拍摄完成后根据采购人需求，由采购人审核后发布。       </w:t>
            </w:r>
          </w:p>
        </w:tc>
      </w:tr>
    </w:tbl>
    <w:p w14:paraId="0A207B5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B5A251">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驻马店市中心医院视频宣传服务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20万元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20 </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20 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p>
        </w:tc>
        <w:tc>
          <w:tcPr>
            <w:tcW w:w="8284" w:type="dxa"/>
            <w:gridSpan w:val="2"/>
            <w:noWrap w:val="0"/>
            <w:vAlign w:val="center"/>
          </w:tcPr>
          <w:p w14:paraId="563D0F3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67E1851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757D046">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p>
        </w:tc>
        <w:tc>
          <w:tcPr>
            <w:tcW w:w="1362" w:type="dxa"/>
            <w:shd w:val="clear" w:color="auto" w:fill="auto"/>
            <w:noWrap w:val="0"/>
            <w:vAlign w:val="center"/>
          </w:tcPr>
          <w:p w14:paraId="5960FBB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922" w:type="dxa"/>
            <w:shd w:val="clear" w:color="auto" w:fill="auto"/>
            <w:noWrap w:val="0"/>
            <w:vAlign w:val="center"/>
          </w:tcPr>
          <w:p w14:paraId="588AF1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37FC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198" w:type="dxa"/>
            <w:vMerge w:val="continue"/>
            <w:noWrap w:val="0"/>
            <w:vAlign w:val="center"/>
          </w:tcPr>
          <w:p w14:paraId="5E1F13D8">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5FF4F0A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922" w:type="dxa"/>
            <w:shd w:val="clear" w:color="auto" w:fill="auto"/>
            <w:noWrap w:val="0"/>
            <w:vAlign w:val="center"/>
          </w:tcPr>
          <w:p w14:paraId="349094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制定的实施计划</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质量及</w:t>
            </w:r>
            <w:r>
              <w:rPr>
                <w:rFonts w:hint="eastAsia" w:ascii="宋体" w:hAnsi="宋体" w:cs="宋体"/>
                <w:b w:val="0"/>
                <w:bCs w:val="0"/>
                <w:color w:val="auto"/>
                <w:sz w:val="21"/>
                <w:szCs w:val="21"/>
                <w:highlight w:val="none"/>
                <w:lang w:val="en-US" w:eastAsia="zh-CN"/>
              </w:rPr>
              <w:t>安全保障措施、</w:t>
            </w:r>
            <w:r>
              <w:rPr>
                <w:rFonts w:hint="eastAsia" w:asciiTheme="minorEastAsia" w:hAnsiTheme="minorEastAsia" w:eastAsiaTheme="minorEastAsia" w:cstheme="minorEastAsia"/>
                <w:color w:val="auto"/>
                <w:kern w:val="2"/>
                <w:sz w:val="21"/>
                <w:szCs w:val="21"/>
                <w:highlight w:val="none"/>
                <w:lang w:val="en-US" w:eastAsia="zh-CN" w:bidi="ar-SA"/>
              </w:rPr>
              <w:t>应急方案</w:t>
            </w:r>
            <w:r>
              <w:rPr>
                <w:rFonts w:hint="eastAsia" w:ascii="宋体" w:hAnsi="宋体" w:eastAsia="宋体" w:cs="宋体"/>
                <w:b w:val="0"/>
                <w:bCs w:val="0"/>
                <w:color w:val="auto"/>
                <w:sz w:val="21"/>
                <w:szCs w:val="21"/>
                <w:highlight w:val="none"/>
                <w:lang w:val="en-US" w:eastAsia="zh-CN"/>
              </w:rPr>
              <w:t>。</w:t>
            </w:r>
          </w:p>
          <w:p w14:paraId="77A562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shd w:val="clear" w:color="auto" w:fill="auto"/>
            <w:noWrap w:val="0"/>
            <w:vAlign w:val="center"/>
          </w:tcPr>
          <w:p w14:paraId="077450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服务团队</w:t>
            </w:r>
          </w:p>
          <w:p w14:paraId="0E5CB17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922" w:type="dxa"/>
            <w:shd w:val="clear" w:color="auto" w:fill="auto"/>
            <w:noWrap w:val="0"/>
            <w:vAlign w:val="center"/>
          </w:tcPr>
          <w:p w14:paraId="7B3C21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服务团队组织结构合理，人员分工及职责明确、持证上岗。</w:t>
            </w:r>
          </w:p>
          <w:p w14:paraId="5932B5E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完全满足采购需求的得7-10分；基本满足的得4-6分；一般满足采购的得1-3分。缺项得0分。</w:t>
            </w:r>
          </w:p>
        </w:tc>
      </w:tr>
      <w:tr w14:paraId="66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98" w:type="dxa"/>
            <w:vMerge w:val="continue"/>
            <w:noWrap w:val="0"/>
            <w:vAlign w:val="center"/>
          </w:tcPr>
          <w:p w14:paraId="0769F626">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0FEAF0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w:t>
            </w:r>
          </w:p>
          <w:p w14:paraId="4FB902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（4分）</w:t>
            </w:r>
          </w:p>
        </w:tc>
        <w:tc>
          <w:tcPr>
            <w:tcW w:w="6922" w:type="dxa"/>
            <w:shd w:val="clear" w:color="auto" w:fill="auto"/>
            <w:noWrap w:val="0"/>
            <w:vAlign w:val="center"/>
          </w:tcPr>
          <w:p w14:paraId="397F1B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年1月1日具有的类似服务业绩(以合同文件为准），每提供一份得2分，最多得4分。</w:t>
            </w:r>
          </w:p>
        </w:tc>
      </w:tr>
      <w:tr w14:paraId="3928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98" w:type="dxa"/>
            <w:vMerge w:val="continue"/>
            <w:noWrap w:val="0"/>
            <w:vAlign w:val="center"/>
          </w:tcPr>
          <w:p w14:paraId="29DAD672">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1DFE93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w:t>
            </w:r>
          </w:p>
          <w:p w14:paraId="01FC9B1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分)</w:t>
            </w:r>
          </w:p>
        </w:tc>
        <w:tc>
          <w:tcPr>
            <w:tcW w:w="6922" w:type="dxa"/>
            <w:shd w:val="clear" w:color="auto" w:fill="auto"/>
            <w:noWrap w:val="0"/>
            <w:vAlign w:val="center"/>
          </w:tcPr>
          <w:p w14:paraId="0CD65460">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服务网点设立情况（提供专业技术人员联系方式和服务站地址）、培训方案、服务及时率、服务到位程度及增值服务等；</w:t>
            </w:r>
          </w:p>
          <w:p w14:paraId="3840BD6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分，具体、完善、合理性程度一般得</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分，具体、完善、合理性程度差得1-</w:t>
            </w:r>
            <w:r>
              <w:rPr>
                <w:rFonts w:hint="eastAsia" w:ascii="宋体" w:hAnsi="宋体" w:cs="宋体"/>
                <w:color w:val="auto"/>
                <w:highlight w:val="none"/>
                <w:lang w:val="en-US" w:eastAsia="zh-CN"/>
              </w:rPr>
              <w:t>3</w:t>
            </w:r>
            <w:r>
              <w:rPr>
                <w:rFonts w:hint="eastAsia" w:ascii="宋体" w:hAnsi="宋体" w:eastAsia="宋体" w:cs="宋体"/>
                <w:color w:val="auto"/>
                <w:highlight w:val="none"/>
              </w:rPr>
              <w:t>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FA7C5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293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3342"/>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3394"/>
      <w:bookmarkStart w:id="100" w:name="_Toc25094"/>
      <w:bookmarkStart w:id="101"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驻马店市中心医院视频宣传服务项目竞争性磋商文件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D790E"/>
    <w:rsid w:val="075E3193"/>
    <w:rsid w:val="078E18EB"/>
    <w:rsid w:val="07AA2823"/>
    <w:rsid w:val="07B02D9F"/>
    <w:rsid w:val="07B10EA5"/>
    <w:rsid w:val="07C510CB"/>
    <w:rsid w:val="07CD6512"/>
    <w:rsid w:val="07CE3FA1"/>
    <w:rsid w:val="07DA1856"/>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07FA1"/>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AA7C37"/>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2533BC"/>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93EF2"/>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13629</Words>
  <Characters>14349</Characters>
  <Lines>50</Lines>
  <Paragraphs>68</Paragraphs>
  <TotalTime>1</TotalTime>
  <ScaleCrop>false</ScaleCrop>
  <LinksUpToDate>false</LinksUpToDate>
  <CharactersWithSpaces>14931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2025-09-01T00:08:58Z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CDD4C6CCE51B4AC5A846F71DA5FDB527_13</vt:lpwstr>
  </property>
  <property fmtid="{D5CDD505-2E9C-101B-9397-08002B2CF9AE}" pid="4" name="KSOTemplateDocerSaveRecord">
    <vt:lpwstr>eyJoZGlkIjoiYzIwMjRmYTY4OTJhZjc1NTA1MGQwNDc0NzZhNTkwMmUiLCJ1c2VySWQiOiIxNjg0NTc5MjM2In0=</vt:lpwstr>
  </property>
</Properties>
</file>