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2"/>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多功能冷冻治疗仪采购项目</w:t>
      </w:r>
    </w:p>
    <w:p w14:paraId="72164425">
      <w:pPr>
        <w:pStyle w:val="22"/>
        <w:bidi w:val="0"/>
        <w:jc w:val="center"/>
        <w:rPr>
          <w:rStyle w:val="46"/>
          <w:rFonts w:hint="eastAsia" w:ascii="宋体" w:hAnsi="宋体" w:eastAsia="宋体" w:cs="宋体"/>
          <w:b/>
          <w:bCs/>
          <w:color w:val="auto"/>
          <w:sz w:val="44"/>
          <w:szCs w:val="44"/>
          <w:highlight w:val="none"/>
        </w:rPr>
      </w:pPr>
    </w:p>
    <w:p w14:paraId="2962C736">
      <w:pPr>
        <w:pStyle w:val="22"/>
        <w:bidi w:val="0"/>
        <w:jc w:val="center"/>
        <w:rPr>
          <w:rStyle w:val="46"/>
          <w:rFonts w:hint="eastAsia" w:ascii="宋体" w:hAnsi="宋体" w:eastAsia="宋体" w:cs="宋体"/>
          <w:b/>
          <w:bCs/>
          <w:color w:val="auto"/>
          <w:sz w:val="44"/>
          <w:szCs w:val="44"/>
          <w:highlight w:val="none"/>
        </w:rPr>
      </w:pPr>
    </w:p>
    <w:p w14:paraId="44E388B3">
      <w:pPr>
        <w:pStyle w:val="22"/>
        <w:bidi w:val="0"/>
        <w:jc w:val="center"/>
        <w:rPr>
          <w:rStyle w:val="46"/>
          <w:rFonts w:hint="eastAsia" w:ascii="宋体" w:hAnsi="宋体" w:eastAsia="宋体" w:cs="宋体"/>
          <w:b/>
          <w:bCs/>
          <w:color w:val="auto"/>
          <w:sz w:val="48"/>
          <w:szCs w:val="48"/>
          <w:highlight w:val="none"/>
        </w:rPr>
      </w:pPr>
    </w:p>
    <w:p w14:paraId="158E927F">
      <w:pPr>
        <w:pStyle w:val="22"/>
        <w:bidi w:val="0"/>
        <w:jc w:val="center"/>
        <w:rPr>
          <w:rStyle w:val="46"/>
          <w:rFonts w:hint="eastAsia" w:ascii="宋体" w:hAnsi="宋体" w:eastAsia="宋体" w:cs="宋体"/>
          <w:b/>
          <w:bCs/>
          <w:color w:val="auto"/>
          <w:sz w:val="48"/>
          <w:szCs w:val="48"/>
          <w:highlight w:val="none"/>
        </w:rPr>
      </w:pPr>
    </w:p>
    <w:p w14:paraId="5ABC8E99">
      <w:pPr>
        <w:pStyle w:val="22"/>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2"/>
        <w:bidi w:val="0"/>
        <w:jc w:val="center"/>
        <w:rPr>
          <w:rStyle w:val="46"/>
          <w:rFonts w:hint="eastAsia" w:ascii="宋体" w:hAnsi="宋体" w:eastAsia="宋体" w:cs="宋体"/>
          <w:b/>
          <w:bCs/>
          <w:color w:val="auto"/>
          <w:sz w:val="48"/>
          <w:szCs w:val="48"/>
          <w:highlight w:val="none"/>
        </w:rPr>
      </w:pPr>
    </w:p>
    <w:p w14:paraId="18181E0E">
      <w:pPr>
        <w:pStyle w:val="22"/>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09</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多功能冷冻治疗仪采购项目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多功能冷冻治疗仪采购项目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多功能冷冻治疗仪采购项目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490000元；</w:t>
      </w:r>
    </w:p>
    <w:p w14:paraId="7156B8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4、交货期：合同签订后30日内交货，最终以合同约定内容为准</w:t>
      </w:r>
      <w:r>
        <w:rPr>
          <w:rFonts w:hint="eastAsia" w:ascii="宋体" w:hAnsi="宋体" w:cs="宋体"/>
          <w:color w:val="auto"/>
          <w:szCs w:val="21"/>
          <w:highlight w:val="none"/>
          <w:shd w:val="clear" w:color="auto" w:fill="FFFFFF"/>
          <w:lang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8607"/>
      <w:bookmarkStart w:id="6" w:name="_Toc27704"/>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643"/>
      <w:bookmarkStart w:id="10" w:name="_Toc9562"/>
      <w:bookmarkStart w:id="11" w:name="_Toc30971"/>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7C3C9D5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AB7EEB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8.2、供应商如为代理商的并所投产品如为进口产品的，需提供拟投产品制造商或中国境内办事处或中国总代理经销商针对本项目的授权书。</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22</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11"/>
      <w:bookmarkStart w:id="15" w:name="_Toc27480"/>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31928"/>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9</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19</w:t>
      </w:r>
      <w:bookmarkStart w:id="101" w:name="_GoBack"/>
      <w:bookmarkEnd w:id="101"/>
      <w:r>
        <w:rPr>
          <w:rFonts w:hint="eastAsia" w:ascii="宋体" w:hAnsi="宋体" w:eastAsia="宋体" w:cs="宋体"/>
          <w:color w:val="FF0000"/>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8"/>
          <w:szCs w:val="28"/>
          <w:highlight w:val="none"/>
          <w:u w:val="none"/>
          <w:lang w:val="en-US" w:eastAsia="zh-CN"/>
        </w:rPr>
      </w:pPr>
      <w:r>
        <w:rPr>
          <w:rFonts w:hint="eastAsia" w:ascii="宋体" w:hAnsi="宋体" w:eastAsia="宋体" w:cs="宋体"/>
          <w:b/>
          <w:bCs/>
          <w:i w:val="0"/>
          <w:iCs/>
          <w:color w:val="auto"/>
          <w:sz w:val="28"/>
          <w:szCs w:val="28"/>
          <w:highlight w:val="none"/>
          <w:u w:val="none"/>
          <w:lang w:val="en-US" w:eastAsia="zh-CN"/>
        </w:rPr>
        <w:t>一、项目名称：</w:t>
      </w:r>
      <w:r>
        <w:rPr>
          <w:rFonts w:hint="eastAsia" w:ascii="宋体" w:hAnsi="宋体" w:eastAsia="宋体" w:cs="宋体"/>
          <w:b w:val="0"/>
          <w:bCs w:val="0"/>
          <w:i w:val="0"/>
          <w:iCs/>
          <w:color w:val="auto"/>
          <w:sz w:val="28"/>
          <w:szCs w:val="28"/>
          <w:highlight w:val="none"/>
          <w:u w:val="none"/>
          <w:lang w:val="en-US" w:eastAsia="zh-CN"/>
        </w:rPr>
        <w:t>驻马店市中心医院</w:t>
      </w:r>
      <w:r>
        <w:rPr>
          <w:rFonts w:hint="eastAsia" w:ascii="宋体" w:hAnsi="宋体" w:cs="宋体"/>
          <w:b w:val="0"/>
          <w:bCs w:val="0"/>
          <w:i w:val="0"/>
          <w:iCs/>
          <w:color w:val="auto"/>
          <w:sz w:val="28"/>
          <w:szCs w:val="28"/>
          <w:highlight w:val="none"/>
          <w:u w:val="none"/>
          <w:lang w:val="en-US" w:eastAsia="zh-CN"/>
        </w:rPr>
        <w:t>多功能冷冻治疗仪采购项目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5C5B6DF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是否接受进口产品</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t>多功能冷冻治疗仪</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490000元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财政+自筹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是</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490000元</w:t>
            </w: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bCs/>
                <w:szCs w:val="21"/>
                <w:highlight w:val="none"/>
              </w:rPr>
              <w:t>无</w:t>
            </w:r>
          </w:p>
        </w:tc>
      </w:tr>
    </w:tbl>
    <w:p w14:paraId="6047AA6B">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技术要求</w:t>
      </w:r>
    </w:p>
    <w:p w14:paraId="745AF2FC">
      <w:pPr>
        <w:keepNext w:val="0"/>
        <w:keepLines w:val="0"/>
        <w:pageBreakBefore w:val="0"/>
        <w:widowControl w:val="0"/>
        <w:kinsoku/>
        <w:wordWrap/>
        <w:overflowPunct/>
        <w:topLinePunct w:val="0"/>
        <w:autoSpaceDE/>
        <w:autoSpaceDN/>
        <w:bidi w:val="0"/>
        <w:adjustRightInd/>
        <w:spacing w:line="360" w:lineRule="auto"/>
        <w:ind w:firstLine="482" w:firstLineChars="20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多功能冷冻治疗仪技术参数</w:t>
      </w:r>
    </w:p>
    <w:p w14:paraId="2A03AA7A">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（一）</w:t>
      </w:r>
      <w:r>
        <w:rPr>
          <w:rFonts w:hint="eastAsia" w:ascii="宋体" w:hAnsi="宋体" w:eastAsia="宋体" w:cs="宋体"/>
          <w:b/>
          <w:bCs/>
          <w:sz w:val="21"/>
          <w:szCs w:val="21"/>
          <w:highlight w:val="none"/>
          <w:lang w:val="en-US" w:eastAsia="zh-CN"/>
        </w:rPr>
        <w:t>设备用途</w:t>
      </w:r>
    </w:p>
    <w:p w14:paraId="5A828ED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临床应用于人体局部组织的冻结并使其失活。呼吸科用于气管支气管肿瘤，气管内管腔瘢痕狭窄、肉芽肿性病变、管腔病变或活检后引起的出血，气道内坏死物及异物的取出，支气管内膜结核，冷冻取活检。</w:t>
      </w:r>
    </w:p>
    <w:p w14:paraId="30C6FA12">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rPr>
        <w:t>技术参数要求</w:t>
      </w:r>
    </w:p>
    <w:p w14:paraId="74E3B218">
      <w:pPr>
        <w:keepNext w:val="0"/>
        <w:keepLines w:val="0"/>
        <w:pageBreakBefore w:val="0"/>
        <w:widowControl w:val="0"/>
        <w:kinsoku/>
        <w:wordWrap/>
        <w:overflowPunct/>
        <w:topLinePunct w:val="0"/>
        <w:autoSpaceDE/>
        <w:autoSpaceDN/>
        <w:bidi w:val="0"/>
        <w:adjustRightInd/>
        <w:spacing w:line="360" w:lineRule="auto"/>
        <w:ind w:right="-90"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探针具有≥4种探</w:t>
      </w:r>
      <w:r>
        <w:rPr>
          <w:rFonts w:hint="eastAsia" w:ascii="宋体" w:hAnsi="宋体" w:eastAsia="宋体" w:cs="宋体"/>
          <w:sz w:val="21"/>
          <w:szCs w:val="21"/>
        </w:rPr>
        <w:t>针规格型号可选</w:t>
      </w:r>
      <w:r>
        <w:rPr>
          <w:rFonts w:hint="eastAsia" w:ascii="宋体" w:hAnsi="宋体" w:eastAsia="宋体" w:cs="宋体"/>
          <w:sz w:val="21"/>
          <w:szCs w:val="21"/>
          <w:lang w:eastAsia="zh-CN"/>
        </w:rPr>
        <w:t>，</w:t>
      </w:r>
      <w:r>
        <w:rPr>
          <w:rFonts w:hint="eastAsia" w:ascii="宋体" w:hAnsi="宋体" w:eastAsia="宋体" w:cs="宋体"/>
          <w:sz w:val="21"/>
          <w:szCs w:val="21"/>
        </w:rPr>
        <w:t>最小直径≤1.1mm必备，适用于包括支气管远端的不同支气管位置活检。冷冻探针可重复使用，可适用于低温等离子消毒。</w:t>
      </w:r>
    </w:p>
    <w:p w14:paraId="289D6747">
      <w:pPr>
        <w:keepNext w:val="0"/>
        <w:keepLines w:val="0"/>
        <w:pageBreakBefore w:val="0"/>
        <w:widowControl w:val="0"/>
        <w:kinsoku/>
        <w:wordWrap/>
        <w:overflowPunct/>
        <w:topLinePunct w:val="0"/>
        <w:autoSpaceDE/>
        <w:autoSpaceDN/>
        <w:bidi w:val="0"/>
        <w:adjustRightInd/>
        <w:spacing w:line="360" w:lineRule="auto"/>
        <w:ind w:right="-9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冷冻温度可多级调节（≥3个工作温度调节档位）和控制功能，满足临床应用需求。</w:t>
      </w:r>
    </w:p>
    <w:p w14:paraId="3710A913">
      <w:pPr>
        <w:keepNext w:val="0"/>
        <w:keepLines w:val="0"/>
        <w:pageBreakBefore w:val="0"/>
        <w:widowControl w:val="0"/>
        <w:kinsoku/>
        <w:wordWrap/>
        <w:overflowPunct/>
        <w:topLinePunct w:val="0"/>
        <w:autoSpaceDE/>
        <w:autoSpaceDN/>
        <w:bidi w:val="0"/>
        <w:adjustRightInd/>
        <w:spacing w:line="360" w:lineRule="auto"/>
        <w:ind w:right="-9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探头温度在模拟体内测试环境下-15℃至-50℃可选</w:t>
      </w:r>
    </w:p>
    <w:p w14:paraId="07283E1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探针降温时间＜4s</w:t>
      </w:r>
    </w:p>
    <w:p w14:paraId="110D8CE2">
      <w:pPr>
        <w:keepNext w:val="0"/>
        <w:keepLines w:val="0"/>
        <w:pageBreakBefore w:val="0"/>
        <w:widowControl w:val="0"/>
        <w:kinsoku/>
        <w:wordWrap/>
        <w:overflowPunct/>
        <w:topLinePunct w:val="0"/>
        <w:autoSpaceDE/>
        <w:autoSpaceDN/>
        <w:bidi w:val="0"/>
        <w:adjustRightInd/>
        <w:spacing w:line="360" w:lineRule="auto"/>
        <w:ind w:right="-9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冷冻回温时间＜5s</w:t>
      </w:r>
    </w:p>
    <w:p w14:paraId="4612363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主机具有时间定时功能，设置冷冻定时，并显示冷冻时间，当冷冻到达设定冷冻时间时治疗机报警提示，液晶屏显示，液晶屏操控</w:t>
      </w:r>
      <w:r>
        <w:rPr>
          <w:rFonts w:hint="eastAsia" w:ascii="宋体" w:hAnsi="宋体" w:eastAsia="宋体" w:cs="宋体"/>
          <w:sz w:val="21"/>
          <w:szCs w:val="21"/>
          <w:lang w:eastAsia="zh-CN"/>
        </w:rPr>
        <w:t>。</w:t>
      </w:r>
    </w:p>
    <w:p w14:paraId="175A4BF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7</w:t>
      </w:r>
      <w:r>
        <w:rPr>
          <w:rFonts w:hint="eastAsia" w:ascii="宋体" w:hAnsi="宋体" w:eastAsia="宋体" w:cs="宋体"/>
          <w:sz w:val="21"/>
          <w:szCs w:val="21"/>
          <w:lang w:eastAsia="zh-CN"/>
        </w:rPr>
        <w:t>、</w:t>
      </w:r>
      <w:r>
        <w:rPr>
          <w:rFonts w:hint="eastAsia" w:ascii="宋体" w:hAnsi="宋体" w:eastAsia="宋体" w:cs="宋体"/>
          <w:sz w:val="21"/>
          <w:szCs w:val="21"/>
        </w:rPr>
        <w:t>主机具有自动压力检测和控制功能，屏幕可显示及提示</w:t>
      </w:r>
      <w:r>
        <w:rPr>
          <w:rFonts w:hint="eastAsia" w:ascii="宋体" w:hAnsi="宋体" w:eastAsia="宋体" w:cs="宋体"/>
          <w:sz w:val="21"/>
          <w:szCs w:val="21"/>
          <w:lang w:eastAsia="zh-CN"/>
        </w:rPr>
        <w:t>。</w:t>
      </w:r>
    </w:p>
    <w:p w14:paraId="39B55BE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w:t>
      </w:r>
      <w:r>
        <w:rPr>
          <w:rFonts w:hint="eastAsia" w:ascii="宋体" w:hAnsi="宋体" w:eastAsia="宋体" w:cs="宋体"/>
          <w:sz w:val="21"/>
          <w:szCs w:val="21"/>
        </w:rPr>
        <w:t>防护级别为CF型</w:t>
      </w:r>
    </w:p>
    <w:p w14:paraId="3678DB0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w:t>
      </w:r>
      <w:r>
        <w:rPr>
          <w:rFonts w:hint="eastAsia" w:ascii="宋体" w:hAnsi="宋体" w:eastAsia="宋体" w:cs="宋体"/>
          <w:sz w:val="21"/>
          <w:szCs w:val="21"/>
        </w:rPr>
        <w:t>工作压力：4.5-6.5Mpa</w:t>
      </w:r>
    </w:p>
    <w:p w14:paraId="3D27507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w:t>
      </w:r>
      <w:r>
        <w:rPr>
          <w:rFonts w:hint="eastAsia" w:ascii="宋体" w:hAnsi="宋体" w:eastAsia="宋体" w:cs="宋体"/>
          <w:sz w:val="21"/>
          <w:szCs w:val="21"/>
        </w:rPr>
        <w:t>主机具有可自行根据手术需要选择合适冷冻档位及时间的功能</w:t>
      </w:r>
    </w:p>
    <w:p w14:paraId="3BCD1B0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eastAsia="zh-CN"/>
        </w:rPr>
        <w:t>、</w:t>
      </w:r>
      <w:r>
        <w:rPr>
          <w:rFonts w:hint="eastAsia" w:ascii="宋体" w:hAnsi="宋体" w:eastAsia="宋体" w:cs="宋体"/>
          <w:sz w:val="21"/>
          <w:szCs w:val="21"/>
        </w:rPr>
        <w:t>脚踏开关符合医用脚踏开关要求，防尘防水，等级不低于IP68</w:t>
      </w:r>
    </w:p>
    <w:p w14:paraId="1A4A6543">
      <w:pPr>
        <w:keepNext w:val="0"/>
        <w:keepLines w:val="0"/>
        <w:pageBreakBefore w:val="0"/>
        <w:widowControl w:val="0"/>
        <w:kinsoku/>
        <w:wordWrap/>
        <w:overflowPunct/>
        <w:topLinePunct w:val="0"/>
        <w:autoSpaceDE/>
        <w:autoSpaceDN/>
        <w:bidi w:val="0"/>
        <w:adjustRightInd/>
        <w:spacing w:line="360" w:lineRule="auto"/>
        <w:ind w:right="-9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lang w:eastAsia="zh-CN"/>
        </w:rPr>
        <w:t>、</w:t>
      </w:r>
      <w:r>
        <w:rPr>
          <w:rFonts w:hint="eastAsia" w:ascii="宋体" w:hAnsi="宋体" w:eastAsia="宋体" w:cs="宋体"/>
          <w:sz w:val="21"/>
          <w:szCs w:val="21"/>
        </w:rPr>
        <w:t>即插即用，不需要参数配置。</w:t>
      </w:r>
    </w:p>
    <w:p w14:paraId="51150B1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13</w:t>
      </w:r>
      <w:r>
        <w:rPr>
          <w:rFonts w:hint="eastAsia" w:ascii="宋体" w:hAnsi="宋体" w:eastAsia="宋体" w:cs="宋体"/>
          <w:sz w:val="21"/>
          <w:szCs w:val="21"/>
          <w:lang w:eastAsia="zh-CN"/>
        </w:rPr>
        <w:t>、</w:t>
      </w:r>
      <w:r>
        <w:rPr>
          <w:rFonts w:hint="eastAsia" w:ascii="宋体" w:hAnsi="宋体" w:eastAsia="宋体" w:cs="宋体"/>
          <w:sz w:val="21"/>
          <w:szCs w:val="21"/>
        </w:rPr>
        <w:t>可存储运行模式（≥10组），方便操作</w:t>
      </w:r>
      <w:r>
        <w:rPr>
          <w:rFonts w:hint="eastAsia" w:ascii="宋体" w:hAnsi="宋体" w:eastAsia="宋体" w:cs="宋体"/>
          <w:sz w:val="21"/>
          <w:szCs w:val="21"/>
          <w:lang w:eastAsia="zh-CN"/>
        </w:rPr>
        <w:t>。</w:t>
      </w:r>
    </w:p>
    <w:p w14:paraId="2E6B6D8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lang w:eastAsia="zh-CN"/>
        </w:rPr>
        <w:t>、</w:t>
      </w:r>
      <w:r>
        <w:rPr>
          <w:rFonts w:hint="eastAsia" w:ascii="宋体" w:hAnsi="宋体" w:eastAsia="宋体" w:cs="宋体"/>
          <w:sz w:val="21"/>
          <w:szCs w:val="21"/>
        </w:rPr>
        <w:t>计时功能以视觉和听觉两种方式提示用户激活时间</w:t>
      </w:r>
    </w:p>
    <w:p w14:paraId="682161F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lang w:eastAsia="zh-CN"/>
        </w:rPr>
        <w:t>、</w:t>
      </w:r>
      <w:r>
        <w:rPr>
          <w:rFonts w:hint="eastAsia" w:ascii="宋体" w:hAnsi="宋体" w:eastAsia="宋体" w:cs="宋体"/>
          <w:sz w:val="21"/>
          <w:szCs w:val="21"/>
        </w:rPr>
        <w:t>带时间计数功能</w:t>
      </w:r>
    </w:p>
    <w:p w14:paraId="684EFE1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w:t>
      </w:r>
      <w:r>
        <w:rPr>
          <w:rFonts w:hint="eastAsia" w:ascii="宋体" w:hAnsi="宋体" w:eastAsia="宋体" w:cs="宋体"/>
          <w:sz w:val="21"/>
          <w:szCs w:val="21"/>
          <w:lang w:eastAsia="zh-CN"/>
        </w:rPr>
        <w:t>、</w:t>
      </w:r>
      <w:r>
        <w:rPr>
          <w:rFonts w:hint="eastAsia" w:ascii="宋体" w:hAnsi="宋体" w:eastAsia="宋体" w:cs="宋体"/>
          <w:sz w:val="21"/>
          <w:szCs w:val="21"/>
        </w:rPr>
        <w:t>制冷剂为二氧化碳，最低制冷温度不低于-60℃</w:t>
      </w:r>
    </w:p>
    <w:p w14:paraId="0B9CF2D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lang w:eastAsia="zh-CN"/>
        </w:rPr>
        <w:t>、配备</w:t>
      </w:r>
      <w:r>
        <w:rPr>
          <w:rFonts w:hint="eastAsia" w:ascii="宋体" w:hAnsi="宋体" w:eastAsia="宋体" w:cs="宋体"/>
          <w:sz w:val="21"/>
          <w:szCs w:val="21"/>
        </w:rPr>
        <w:t>钢瓶10升×2个</w:t>
      </w:r>
    </w:p>
    <w:p w14:paraId="2E3F0D6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配备2根以上不同直径规格的冷冻探针，直径≤1.1mm必配</w:t>
      </w:r>
      <w:r>
        <w:rPr>
          <w:rFonts w:hint="eastAsia" w:ascii="宋体" w:hAnsi="宋体" w:eastAsia="宋体" w:cs="宋体"/>
          <w:sz w:val="21"/>
          <w:szCs w:val="21"/>
          <w:lang w:eastAsia="zh-CN"/>
        </w:rPr>
        <w:t>。</w:t>
      </w:r>
    </w:p>
    <w:p w14:paraId="2B5D1BA1">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07E9FAEF">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0E90FC9E">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4755D42B">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0BBC6356">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422EBF3F">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其他要求</w:t>
      </w:r>
    </w:p>
    <w:p w14:paraId="2EEB99A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88454D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558EFD8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3.商品包装和快递包装应符合《商品包装政府采购需求标准（试行）》和《快递包装政府采购需求标准（试行）》规定。</w:t>
      </w:r>
    </w:p>
    <w:p w14:paraId="15262D99">
      <w:pPr>
        <w:pStyle w:val="25"/>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color w:val="auto"/>
          <w:sz w:val="21"/>
          <w:szCs w:val="21"/>
          <w:highlight w:val="none"/>
          <w:lang w:val="en-US" w:eastAsia="zh-CN"/>
        </w:rPr>
      </w:pPr>
    </w:p>
    <w:p w14:paraId="3E0908D4">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7D9DC32A">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4074270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合同签订后30日内交货，最终以合同约定内容为准。        </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2AC64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07323D">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8"/>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从产品入库之日起，整机包修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53DEA6B7">
            <w:pPr>
              <w:pStyle w:val="8"/>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tc>
      </w:tr>
      <w:tr w14:paraId="1985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8D833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65F8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F4B5D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362979BB">
      <w:pPr>
        <w:pStyle w:val="25"/>
        <w:rPr>
          <w:rFonts w:hint="eastAsia" w:ascii="宋体" w:hAnsi="宋体" w:eastAsia="宋体" w:cs="宋体"/>
          <w:color w:val="auto"/>
          <w:highlight w:val="none"/>
        </w:rPr>
      </w:pPr>
    </w:p>
    <w:p w14:paraId="72AD080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5D17F41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4D61425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1E66F98B">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530257E5">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2AD5A9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多功能冷冻治疗仪采购项目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3424"/>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490000元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490000元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采购资金来源：财政+自筹。</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490000元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490000元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2E9C655">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660215E5">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8.1、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8.2、供应商如为代理商的并所投产品如为进口产品的，需提供拟投产品制造商或中国境内办事处或中国总代理经销商针对本项目的授权书。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有效期、交货期、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有效期、交货期、</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中要求列入报价的费用（含配置、功能），漏（缺）报的视同已含在投标总价中。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47"/>
        <w:gridCol w:w="6296"/>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E87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noWrap w:val="0"/>
            <w:vAlign w:val="center"/>
          </w:tcPr>
          <w:p w14:paraId="3FC23C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2959A2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08879D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5FF6BB5E">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03C39A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53</w:t>
            </w:r>
            <w:r>
              <w:rPr>
                <w:rFonts w:hint="eastAsia" w:ascii="宋体" w:hAnsi="宋体" w:eastAsia="宋体" w:cs="宋体"/>
                <w:b w:val="0"/>
                <w:bCs w:val="0"/>
                <w:color w:val="auto"/>
                <w:sz w:val="21"/>
                <w:szCs w:val="21"/>
                <w:highlight w:val="none"/>
                <w:lang w:eastAsia="zh-CN"/>
              </w:rPr>
              <w:t>分）</w:t>
            </w:r>
          </w:p>
        </w:tc>
        <w:tc>
          <w:tcPr>
            <w:tcW w:w="1947"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36</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70FC7BD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60AEAB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81BDD0">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3211398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14:textFill>
                  <w14:solidFill>
                    <w14:schemeClr w14:val="tx1"/>
                  </w14:solidFill>
                </w14:textFill>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14:textFill>
                  <w14:solidFill>
                    <w14:schemeClr w14:val="tx1"/>
                  </w14:solidFill>
                </w14:textFill>
              </w:rPr>
              <w:t>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736B7B20">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p>
          <w:p w14:paraId="6547966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296"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安全性较高的得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分；所投产品较好，操控性较强、性能较好、技术较先进的得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296"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w:t>
            </w:r>
            <w:r>
              <w:rPr>
                <w:rFonts w:hint="eastAsia" w:ascii="宋体" w:hAnsi="宋体" w:cs="宋体"/>
                <w:color w:val="auto"/>
                <w:sz w:val="21"/>
                <w:szCs w:val="21"/>
                <w:highlight w:val="none"/>
                <w:lang w:val="en-US" w:eastAsia="zh-CN"/>
              </w:rPr>
              <w:t>交货期</w:t>
            </w:r>
            <w:r>
              <w:rPr>
                <w:rFonts w:hint="eastAsia" w:ascii="宋体" w:hAnsi="宋体" w:eastAsia="宋体" w:cs="宋体"/>
                <w:color w:val="auto"/>
                <w:sz w:val="21"/>
                <w:szCs w:val="21"/>
                <w:highlight w:val="none"/>
                <w:lang w:val="en-US" w:eastAsia="zh-CN"/>
              </w:rPr>
              <w:t>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lang w:eastAsia="zh-CN"/>
              </w:rPr>
              <w:t>分)</w:t>
            </w:r>
          </w:p>
        </w:tc>
        <w:tc>
          <w:tcPr>
            <w:tcW w:w="1947" w:type="dxa"/>
            <w:tcBorders>
              <w:top w:val="single" w:color="auto" w:sz="4" w:space="0"/>
            </w:tcBorders>
            <w:noWrap w:val="0"/>
            <w:vAlign w:val="center"/>
          </w:tcPr>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质保期（4分）</w:t>
            </w:r>
          </w:p>
        </w:tc>
        <w:tc>
          <w:tcPr>
            <w:tcW w:w="6296"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296"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296"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分）</w:t>
            </w:r>
          </w:p>
        </w:tc>
        <w:tc>
          <w:tcPr>
            <w:tcW w:w="6296" w:type="dxa"/>
            <w:noWrap w:val="0"/>
            <w:vAlign w:val="center"/>
          </w:tcPr>
          <w:p w14:paraId="5DE4159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5418698D">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56DBF7C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较合理，有较具体的培训方案的得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2E963BF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51F6ADD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32BE99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eastAsia="zh-CN"/>
        </w:rPr>
        <w:t>全称并</w:t>
      </w:r>
      <w:r>
        <w:rPr>
          <w:rFonts w:hint="eastAsia" w:ascii="宋体" w:hAnsi="宋体" w:eastAsia="宋体" w:cs="宋体"/>
          <w:color w:val="auto"/>
          <w:kern w:val="0"/>
          <w:sz w:val="28"/>
          <w:szCs w:val="28"/>
          <w:highlight w:val="none"/>
          <w:lang w:val="en-US" w:eastAsia="zh-CN"/>
        </w:rPr>
        <w:t>加</w:t>
      </w:r>
      <w:r>
        <w:rPr>
          <w:rFonts w:hint="eastAsia" w:ascii="宋体" w:hAnsi="宋体" w:eastAsia="宋体" w:cs="宋体"/>
          <w:color w:val="auto"/>
          <w:kern w:val="0"/>
          <w:sz w:val="28"/>
          <w:szCs w:val="28"/>
          <w:highlight w:val="none"/>
          <w:lang w:eastAsia="zh-CN"/>
        </w:rPr>
        <w:t>盖</w:t>
      </w:r>
      <w:r>
        <w:rPr>
          <w:rFonts w:hint="eastAsia" w:ascii="宋体" w:hAnsi="宋体" w:eastAsia="宋体" w:cs="宋体"/>
          <w:color w:val="auto"/>
          <w:kern w:val="0"/>
          <w:sz w:val="28"/>
          <w:szCs w:val="28"/>
          <w:highlight w:val="none"/>
          <w:lang w:val="en-US" w:eastAsia="zh-CN"/>
        </w:rPr>
        <w:t>公</w:t>
      </w:r>
      <w:r>
        <w:rPr>
          <w:rFonts w:hint="eastAsia" w:ascii="宋体" w:hAnsi="宋体" w:eastAsia="宋体" w:cs="宋体"/>
          <w:color w:val="auto"/>
          <w:kern w:val="0"/>
          <w:sz w:val="28"/>
          <w:szCs w:val="28"/>
          <w:highlight w:val="none"/>
          <w:lang w:eastAsia="zh-CN"/>
        </w:rPr>
        <w:t>章</w:t>
      </w:r>
      <w:r>
        <w:rPr>
          <w:rFonts w:hint="eastAsia" w:ascii="宋体" w:hAnsi="宋体" w:eastAsia="宋体" w:cs="宋体"/>
          <w:color w:val="auto"/>
          <w:kern w:val="0"/>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3"/>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3"/>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bookmarkEnd w:id="72"/>
    <w:bookmarkEnd w:id="73"/>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2004"/>
      <w:bookmarkStart w:id="79" w:name="_Toc2498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0B5482E7">
      <w:pPr>
        <w:pStyle w:val="34"/>
        <w:ind w:firstLine="3990" w:firstLineChars="1900"/>
        <w:rPr>
          <w:rFonts w:hint="eastAsia" w:ascii="宋体" w:hAnsi="宋体" w:eastAsia="宋体" w:cs="宋体"/>
          <w:color w:val="auto"/>
          <w:sz w:val="21"/>
          <w:szCs w:val="21"/>
          <w:highlight w:val="none"/>
          <w:lang w:eastAsia="zh-CN"/>
        </w:rPr>
      </w:pPr>
    </w:p>
    <w:p w14:paraId="4092F63B">
      <w:pPr>
        <w:widowControl/>
        <w:snapToGrid w:val="0"/>
        <w:spacing w:line="440" w:lineRule="exact"/>
        <w:jc w:val="left"/>
        <w:rPr>
          <w:rFonts w:hint="eastAsia" w:ascii="宋体" w:hAnsi="宋体" w:eastAsia="宋体" w:cs="宋体"/>
          <w:b w:val="0"/>
          <w:bCs w:val="0"/>
          <w:color w:val="auto"/>
          <w:sz w:val="21"/>
          <w:szCs w:val="21"/>
          <w:highlight w:val="yellow"/>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yellow"/>
        </w:rPr>
      </w:pP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9"/>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5"/>
        <w:rPr>
          <w:rFonts w:hint="eastAsia" w:ascii="宋体" w:hAnsi="宋体" w:cs="宋体"/>
          <w:color w:val="auto"/>
          <w:kern w:val="0"/>
          <w:sz w:val="24"/>
          <w:highlight w:val="none"/>
        </w:rPr>
      </w:pPr>
    </w:p>
    <w:p w14:paraId="5E4799AD">
      <w:pPr>
        <w:pStyle w:val="25"/>
        <w:rPr>
          <w:rFonts w:hint="eastAsia" w:ascii="宋体" w:hAnsi="宋体" w:cs="宋体"/>
          <w:color w:val="auto"/>
          <w:kern w:val="0"/>
          <w:sz w:val="24"/>
          <w:highlight w:val="none"/>
        </w:rPr>
      </w:pPr>
    </w:p>
    <w:p w14:paraId="152C8C36">
      <w:pPr>
        <w:pStyle w:val="25"/>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2E41A5BB">
      <w:pPr>
        <w:rPr>
          <w:rFonts w:hint="eastAsia"/>
        </w:rPr>
        <w:sectPr>
          <w:pgSz w:w="16838" w:h="11906" w:orient="landscape"/>
          <w:pgMar w:top="1474" w:right="1417" w:bottom="1474" w:left="1417" w:header="851" w:footer="624" w:gutter="0"/>
          <w:pgNumType w:fmt="decimal"/>
          <w:cols w:space="720" w:num="1"/>
          <w:docGrid w:type="lines" w:linePitch="319" w:charSpace="0"/>
        </w:sect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2、所投产品若有注册证，报价明细表中规格或型号、产地等信息若与注册证不一致，以投标产品注册证信息为准。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5"/>
        <w:rPr>
          <w:rFonts w:hint="eastAsia" w:ascii="宋体" w:hAnsi="宋体" w:cs="宋体"/>
          <w:color w:val="auto"/>
          <w:kern w:val="0"/>
          <w:sz w:val="24"/>
          <w:highlight w:val="none"/>
          <w:lang w:val="en-US" w:eastAsia="zh-CN"/>
        </w:rPr>
      </w:pPr>
    </w:p>
    <w:p w14:paraId="0C409640">
      <w:pPr>
        <w:pStyle w:val="25"/>
        <w:rPr>
          <w:rFonts w:hint="eastAsia" w:ascii="宋体" w:hAnsi="宋体" w:cs="宋体"/>
          <w:color w:val="auto"/>
          <w:kern w:val="0"/>
          <w:sz w:val="24"/>
          <w:highlight w:val="none"/>
          <w:lang w:val="en-US" w:eastAsia="zh-CN"/>
        </w:rPr>
      </w:pPr>
    </w:p>
    <w:p w14:paraId="1C9EAA97">
      <w:pPr>
        <w:pStyle w:val="25"/>
        <w:rPr>
          <w:rFonts w:hint="eastAsia" w:ascii="宋体" w:hAnsi="宋体" w:cs="宋体"/>
          <w:color w:val="auto"/>
          <w:kern w:val="0"/>
          <w:sz w:val="24"/>
          <w:highlight w:val="none"/>
          <w:lang w:val="en-US" w:eastAsia="zh-CN"/>
        </w:rPr>
      </w:pPr>
    </w:p>
    <w:p w14:paraId="21B00144">
      <w:pPr>
        <w:pStyle w:val="25"/>
        <w:rPr>
          <w:rFonts w:hint="eastAsia" w:ascii="宋体" w:hAnsi="宋体" w:cs="宋体"/>
          <w:color w:val="auto"/>
          <w:kern w:val="0"/>
          <w:sz w:val="24"/>
          <w:highlight w:val="none"/>
          <w:lang w:val="en-US" w:eastAsia="zh-CN"/>
        </w:rPr>
      </w:pPr>
    </w:p>
    <w:p w14:paraId="2A74BFB0">
      <w:pPr>
        <w:pStyle w:val="25"/>
        <w:rPr>
          <w:rFonts w:hint="eastAsia" w:ascii="宋体" w:hAnsi="宋体" w:cs="宋体"/>
          <w:color w:val="auto"/>
          <w:kern w:val="0"/>
          <w:sz w:val="24"/>
          <w:highlight w:val="none"/>
          <w:lang w:val="en-US" w:eastAsia="zh-CN"/>
        </w:rPr>
      </w:pPr>
    </w:p>
    <w:p w14:paraId="3EF3AB43">
      <w:pPr>
        <w:pStyle w:val="25"/>
        <w:rPr>
          <w:rFonts w:hint="eastAsia" w:ascii="宋体" w:hAnsi="宋体" w:cs="宋体"/>
          <w:color w:val="auto"/>
          <w:kern w:val="0"/>
          <w:sz w:val="24"/>
          <w:highlight w:val="none"/>
          <w:lang w:val="en-US" w:eastAsia="zh-CN"/>
        </w:rPr>
      </w:pPr>
    </w:p>
    <w:p w14:paraId="4AAC2649">
      <w:pPr>
        <w:pStyle w:val="25"/>
        <w:rPr>
          <w:rFonts w:hint="default" w:ascii="宋体" w:hAnsi="宋体" w:cs="宋体"/>
          <w:color w:val="auto"/>
          <w:kern w:val="0"/>
          <w:sz w:val="24"/>
          <w:highlight w:val="none"/>
          <w:lang w:val="en-US" w:eastAsia="zh-CN"/>
        </w:rPr>
      </w:pPr>
    </w:p>
    <w:p w14:paraId="5C2F6EBC">
      <w:pPr>
        <w:pStyle w:val="25"/>
        <w:rPr>
          <w:rFonts w:hint="default" w:ascii="宋体" w:hAnsi="宋体" w:cs="宋体"/>
          <w:color w:val="auto"/>
          <w:kern w:val="0"/>
          <w:sz w:val="24"/>
          <w:highlight w:val="none"/>
          <w:lang w:val="en-US" w:eastAsia="zh-CN"/>
        </w:rPr>
      </w:pPr>
    </w:p>
    <w:p w14:paraId="51FCD9D6">
      <w:pPr>
        <w:pStyle w:val="25"/>
        <w:rPr>
          <w:rFonts w:hint="default" w:ascii="宋体" w:hAnsi="宋体" w:cs="宋体"/>
          <w:color w:val="auto"/>
          <w:kern w:val="0"/>
          <w:sz w:val="24"/>
          <w:highlight w:val="none"/>
          <w:lang w:val="en-US" w:eastAsia="zh-CN"/>
        </w:rPr>
      </w:pPr>
    </w:p>
    <w:p w14:paraId="1E63C69E">
      <w:pPr>
        <w:pStyle w:val="25"/>
        <w:rPr>
          <w:rFonts w:hint="default" w:ascii="宋体" w:hAnsi="宋体" w:cs="宋体"/>
          <w:color w:val="auto"/>
          <w:kern w:val="0"/>
          <w:sz w:val="24"/>
          <w:highlight w:val="none"/>
          <w:lang w:val="en-US" w:eastAsia="zh-CN"/>
        </w:rPr>
      </w:pPr>
    </w:p>
    <w:p w14:paraId="14084F2D">
      <w:pPr>
        <w:pStyle w:val="25"/>
        <w:rPr>
          <w:rFonts w:hint="default" w:ascii="宋体" w:hAnsi="宋体" w:cs="宋体"/>
          <w:color w:val="auto"/>
          <w:kern w:val="0"/>
          <w:sz w:val="24"/>
          <w:highlight w:val="none"/>
          <w:lang w:val="en-US" w:eastAsia="zh-CN"/>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auto"/>
          <w:kern w:val="0"/>
          <w:sz w:val="24"/>
          <w:highlight w:val="none"/>
          <w:lang w:val="en-US" w:eastAsia="zh-C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5"/>
        <w:rPr>
          <w:rFonts w:hint="default" w:ascii="宋体" w:hAnsi="宋体" w:cs="宋体"/>
          <w:color w:val="auto"/>
          <w:kern w:val="0"/>
          <w:sz w:val="24"/>
          <w:highlight w:val="none"/>
          <w:lang w:val="en-US" w:eastAsia="zh-CN"/>
        </w:rPr>
      </w:pPr>
    </w:p>
    <w:p w14:paraId="1C27DB87">
      <w:pPr>
        <w:pStyle w:val="25"/>
        <w:rPr>
          <w:rFonts w:hint="default" w:ascii="宋体" w:hAnsi="宋体" w:cs="宋体"/>
          <w:color w:val="auto"/>
          <w:kern w:val="0"/>
          <w:sz w:val="24"/>
          <w:highlight w:val="none"/>
          <w:lang w:val="en-US" w:eastAsia="zh-CN"/>
        </w:rPr>
      </w:pPr>
    </w:p>
    <w:p w14:paraId="43E68354">
      <w:pPr>
        <w:pStyle w:val="25"/>
        <w:rPr>
          <w:rFonts w:hint="default" w:ascii="宋体" w:hAnsi="宋体" w:cs="宋体"/>
          <w:color w:val="auto"/>
          <w:kern w:val="0"/>
          <w:sz w:val="24"/>
          <w:highlight w:val="none"/>
          <w:lang w:val="en-US" w:eastAsia="zh-CN"/>
        </w:rPr>
      </w:pPr>
    </w:p>
    <w:p w14:paraId="650115AD">
      <w:pPr>
        <w:pStyle w:val="25"/>
        <w:rPr>
          <w:rFonts w:hint="default" w:ascii="宋体" w:hAnsi="宋体" w:cs="宋体"/>
          <w:color w:val="auto"/>
          <w:kern w:val="0"/>
          <w:sz w:val="84"/>
          <w:szCs w:val="84"/>
          <w:highlight w:val="none"/>
          <w:lang w:val="en-US" w:eastAsia="zh-CN"/>
        </w:rPr>
      </w:pPr>
    </w:p>
    <w:p w14:paraId="4A359505">
      <w:pPr>
        <w:pStyle w:val="25"/>
        <w:rPr>
          <w:rFonts w:hint="default" w:ascii="宋体" w:hAnsi="宋体" w:cs="宋体"/>
          <w:color w:val="auto"/>
          <w:kern w:val="0"/>
          <w:sz w:val="84"/>
          <w:szCs w:val="84"/>
          <w:highlight w:val="none"/>
          <w:lang w:val="en-US" w:eastAsia="zh-CN"/>
        </w:rPr>
      </w:pPr>
    </w:p>
    <w:p w14:paraId="02993081">
      <w:pPr>
        <w:rPr>
          <w:rFonts w:hint="eastAsia" w:ascii="宋体" w:hAnsi="宋体" w:eastAsia="宋体" w:cs="宋体"/>
          <w:color w:val="auto"/>
          <w:sz w:val="84"/>
          <w:szCs w:val="84"/>
          <w:highlight w:val="none"/>
          <w:lang w:val="en-US" w:eastAsia="zh-CN"/>
        </w:rPr>
      </w:pPr>
      <w:bookmarkStart w:id="80" w:name="_Toc15804"/>
      <w:bookmarkStart w:id="81" w:name="_Toc226"/>
      <w:r>
        <w:rPr>
          <w:rFonts w:hint="eastAsia" w:ascii="宋体" w:hAnsi="宋体" w:eastAsia="宋体" w:cs="宋体"/>
          <w:color w:val="auto"/>
          <w:sz w:val="84"/>
          <w:szCs w:val="84"/>
          <w:highlight w:val="none"/>
          <w:lang w:val="en-US" w:eastAsia="zh-CN"/>
        </w:rPr>
        <w:br w:type="page"/>
      </w: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0BED208E">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50BB9001">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6182A3E4">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C43BD33">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6</w:t>
            </w:r>
          </w:p>
        </w:tc>
        <w:tc>
          <w:tcPr>
            <w:tcW w:w="2301" w:type="dxa"/>
            <w:shd w:val="clear" w:color="auto" w:fill="auto"/>
            <w:noWrap w:val="0"/>
            <w:vAlign w:val="center"/>
          </w:tcPr>
          <w:p w14:paraId="56FFBDC6">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4D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shd w:val="clear" w:color="auto" w:fill="auto"/>
            <w:vAlign w:val="center"/>
          </w:tcPr>
          <w:p w14:paraId="62950205">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7</w:t>
            </w:r>
          </w:p>
        </w:tc>
        <w:tc>
          <w:tcPr>
            <w:tcW w:w="0" w:type="auto"/>
            <w:shd w:val="clear" w:color="auto" w:fill="auto"/>
            <w:vAlign w:val="center"/>
          </w:tcPr>
          <w:p w14:paraId="68964669">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asciiTheme="majorEastAsia" w:hAnsiTheme="majorEastAsia" w:eastAsiaTheme="majorEastAsia"/>
                <w:sz w:val="21"/>
                <w:szCs w:val="21"/>
                <w:highlight w:val="none"/>
              </w:rPr>
              <w:t>其他要求</w:t>
            </w:r>
          </w:p>
        </w:tc>
        <w:tc>
          <w:tcPr>
            <w:tcW w:w="0" w:type="auto"/>
          </w:tcPr>
          <w:p w14:paraId="61DB02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ED75E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4F6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F4B5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8"/>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D1984C2">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24693"/>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3726"/>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rPr>
        <w:t xml:space="preserve">               </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84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5094"/>
      <w:bookmarkStart w:id="100" w:name="_Toc233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驻马店市中心医院多功能冷冻治疗仪采购项目竞争性磋商文件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1318F7"/>
    <w:rsid w:val="042E37DB"/>
    <w:rsid w:val="04416C20"/>
    <w:rsid w:val="04732647"/>
    <w:rsid w:val="047968B1"/>
    <w:rsid w:val="04870542"/>
    <w:rsid w:val="04B30F7A"/>
    <w:rsid w:val="050E236F"/>
    <w:rsid w:val="05111DAD"/>
    <w:rsid w:val="05212F61"/>
    <w:rsid w:val="05421D44"/>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F259D"/>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4E69"/>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0A6645"/>
    <w:rsid w:val="0A2F0DBE"/>
    <w:rsid w:val="0A321AC2"/>
    <w:rsid w:val="0A343D4E"/>
    <w:rsid w:val="0A344626"/>
    <w:rsid w:val="0A3E6D2E"/>
    <w:rsid w:val="0A4232E4"/>
    <w:rsid w:val="0A4F145F"/>
    <w:rsid w:val="0A8455AD"/>
    <w:rsid w:val="0A8729A8"/>
    <w:rsid w:val="0ABA2D7D"/>
    <w:rsid w:val="0AD13A85"/>
    <w:rsid w:val="0AE0655C"/>
    <w:rsid w:val="0AFA5870"/>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EF6AA6"/>
    <w:rsid w:val="0BF16C73"/>
    <w:rsid w:val="0BF72F1E"/>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847289"/>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267818"/>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1FC1ECD"/>
    <w:rsid w:val="12010480"/>
    <w:rsid w:val="120E707F"/>
    <w:rsid w:val="12126520"/>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4005579"/>
    <w:rsid w:val="142123F7"/>
    <w:rsid w:val="142A11D8"/>
    <w:rsid w:val="144B544C"/>
    <w:rsid w:val="145B7B45"/>
    <w:rsid w:val="14627FE2"/>
    <w:rsid w:val="14717443"/>
    <w:rsid w:val="14825F8A"/>
    <w:rsid w:val="148C70AD"/>
    <w:rsid w:val="148D52E3"/>
    <w:rsid w:val="14992B90"/>
    <w:rsid w:val="149F10C7"/>
    <w:rsid w:val="14A17593"/>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32C0C"/>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56F88"/>
    <w:rsid w:val="1A125525"/>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9E4196"/>
    <w:rsid w:val="1BB73AE1"/>
    <w:rsid w:val="1BC82E20"/>
    <w:rsid w:val="1BDA6D68"/>
    <w:rsid w:val="1BF14125"/>
    <w:rsid w:val="1C002CEE"/>
    <w:rsid w:val="1C3B5CE8"/>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BE4C66"/>
    <w:rsid w:val="1FC11109"/>
    <w:rsid w:val="1FDA3223"/>
    <w:rsid w:val="1FDE2C12"/>
    <w:rsid w:val="1FEF08C8"/>
    <w:rsid w:val="1FF72E6A"/>
    <w:rsid w:val="1FFB6F12"/>
    <w:rsid w:val="201B3ED4"/>
    <w:rsid w:val="20230F6D"/>
    <w:rsid w:val="20310B02"/>
    <w:rsid w:val="20344F28"/>
    <w:rsid w:val="20484530"/>
    <w:rsid w:val="206F0406"/>
    <w:rsid w:val="207417C9"/>
    <w:rsid w:val="20784063"/>
    <w:rsid w:val="207E346A"/>
    <w:rsid w:val="208E12C3"/>
    <w:rsid w:val="209502A3"/>
    <w:rsid w:val="20EA3839"/>
    <w:rsid w:val="2100305C"/>
    <w:rsid w:val="210F579E"/>
    <w:rsid w:val="21163FF0"/>
    <w:rsid w:val="211B39F2"/>
    <w:rsid w:val="212550B5"/>
    <w:rsid w:val="21592B62"/>
    <w:rsid w:val="215D400B"/>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3E440B"/>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6E2A6A"/>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EE6EA1"/>
    <w:rsid w:val="2FFE7D49"/>
    <w:rsid w:val="3002294D"/>
    <w:rsid w:val="3011153D"/>
    <w:rsid w:val="30142680"/>
    <w:rsid w:val="302567CF"/>
    <w:rsid w:val="302A11B1"/>
    <w:rsid w:val="302A5C42"/>
    <w:rsid w:val="30305A30"/>
    <w:rsid w:val="30340091"/>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4B2107"/>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43766"/>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F1648"/>
    <w:rsid w:val="36751D82"/>
    <w:rsid w:val="36910587"/>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B90F0B"/>
    <w:rsid w:val="37C75A47"/>
    <w:rsid w:val="37CD3F98"/>
    <w:rsid w:val="37DF75BA"/>
    <w:rsid w:val="37E148E2"/>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47E3A"/>
    <w:rsid w:val="39BC5ED6"/>
    <w:rsid w:val="39D27231"/>
    <w:rsid w:val="39E82BB3"/>
    <w:rsid w:val="39EB39E0"/>
    <w:rsid w:val="39EE7A9E"/>
    <w:rsid w:val="39EF02D4"/>
    <w:rsid w:val="3A0D6176"/>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BEC1564"/>
    <w:rsid w:val="3C061F3A"/>
    <w:rsid w:val="3C0A04F9"/>
    <w:rsid w:val="3C495480"/>
    <w:rsid w:val="3C4C3A42"/>
    <w:rsid w:val="3C557EA4"/>
    <w:rsid w:val="3C6F0167"/>
    <w:rsid w:val="3C71667B"/>
    <w:rsid w:val="3C7C75E3"/>
    <w:rsid w:val="3C914F3B"/>
    <w:rsid w:val="3CA52FDE"/>
    <w:rsid w:val="3CB34155"/>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53902"/>
    <w:rsid w:val="3E36303B"/>
    <w:rsid w:val="3E526044"/>
    <w:rsid w:val="3E5C591E"/>
    <w:rsid w:val="3E6C2B3A"/>
    <w:rsid w:val="3E8C5311"/>
    <w:rsid w:val="3E8E7E55"/>
    <w:rsid w:val="3EB61473"/>
    <w:rsid w:val="3EC66011"/>
    <w:rsid w:val="3ED25BE0"/>
    <w:rsid w:val="3ED75B7F"/>
    <w:rsid w:val="3EEF6792"/>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25B21"/>
    <w:rsid w:val="40394FD1"/>
    <w:rsid w:val="40425879"/>
    <w:rsid w:val="40532CA8"/>
    <w:rsid w:val="4053669A"/>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D50D11"/>
    <w:rsid w:val="44FB1C9C"/>
    <w:rsid w:val="45321187"/>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43AAB"/>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B90223"/>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5521CD"/>
    <w:rsid w:val="50901457"/>
    <w:rsid w:val="509F43E4"/>
    <w:rsid w:val="50A54D3E"/>
    <w:rsid w:val="50B82E88"/>
    <w:rsid w:val="50BB32A7"/>
    <w:rsid w:val="50CC5CB2"/>
    <w:rsid w:val="50ED1473"/>
    <w:rsid w:val="50F1402B"/>
    <w:rsid w:val="50FD2AD9"/>
    <w:rsid w:val="51081E85"/>
    <w:rsid w:val="51097D9A"/>
    <w:rsid w:val="511A650F"/>
    <w:rsid w:val="51237D2E"/>
    <w:rsid w:val="51327CF6"/>
    <w:rsid w:val="513D15DF"/>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5002762"/>
    <w:rsid w:val="550B5550"/>
    <w:rsid w:val="551D586C"/>
    <w:rsid w:val="55200298"/>
    <w:rsid w:val="55335E1B"/>
    <w:rsid w:val="55345D50"/>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D3069F"/>
    <w:rsid w:val="56E0560F"/>
    <w:rsid w:val="56E06E61"/>
    <w:rsid w:val="56EF3C74"/>
    <w:rsid w:val="56F653FE"/>
    <w:rsid w:val="57007337"/>
    <w:rsid w:val="57295209"/>
    <w:rsid w:val="574448FC"/>
    <w:rsid w:val="57561D39"/>
    <w:rsid w:val="575B7AFD"/>
    <w:rsid w:val="57660D3F"/>
    <w:rsid w:val="5785783C"/>
    <w:rsid w:val="578F06BB"/>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872CD"/>
    <w:rsid w:val="5C5A49A5"/>
    <w:rsid w:val="5C6519EA"/>
    <w:rsid w:val="5C6715FE"/>
    <w:rsid w:val="5C6F4105"/>
    <w:rsid w:val="5C841E70"/>
    <w:rsid w:val="5CAF45D9"/>
    <w:rsid w:val="5CBB7F6F"/>
    <w:rsid w:val="5CC248CE"/>
    <w:rsid w:val="5CC826A5"/>
    <w:rsid w:val="5CF1327E"/>
    <w:rsid w:val="5D042FB1"/>
    <w:rsid w:val="5D2D2508"/>
    <w:rsid w:val="5D442CB4"/>
    <w:rsid w:val="5D49755E"/>
    <w:rsid w:val="5D7C3F11"/>
    <w:rsid w:val="5D971C5A"/>
    <w:rsid w:val="5D9D49E0"/>
    <w:rsid w:val="5DA01E9E"/>
    <w:rsid w:val="5DAD3649"/>
    <w:rsid w:val="5DC310BE"/>
    <w:rsid w:val="5DC32E6C"/>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67666C"/>
    <w:rsid w:val="62707B03"/>
    <w:rsid w:val="627D6831"/>
    <w:rsid w:val="62811B1C"/>
    <w:rsid w:val="62A20409"/>
    <w:rsid w:val="62AC0373"/>
    <w:rsid w:val="62B54B44"/>
    <w:rsid w:val="62D60F4C"/>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243F39"/>
    <w:rsid w:val="643F32F9"/>
    <w:rsid w:val="64582686"/>
    <w:rsid w:val="64673C87"/>
    <w:rsid w:val="64877733"/>
    <w:rsid w:val="64925346"/>
    <w:rsid w:val="64A170D2"/>
    <w:rsid w:val="64A251DD"/>
    <w:rsid w:val="64BC182A"/>
    <w:rsid w:val="650242F0"/>
    <w:rsid w:val="65365B2B"/>
    <w:rsid w:val="653F447E"/>
    <w:rsid w:val="65542778"/>
    <w:rsid w:val="655829AF"/>
    <w:rsid w:val="65640326"/>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C717A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41085"/>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A53B0"/>
    <w:rsid w:val="6A1E645E"/>
    <w:rsid w:val="6A3C6480"/>
    <w:rsid w:val="6A417049"/>
    <w:rsid w:val="6A576E16"/>
    <w:rsid w:val="6A7903E5"/>
    <w:rsid w:val="6A8219B9"/>
    <w:rsid w:val="6A8641F2"/>
    <w:rsid w:val="6A9701A5"/>
    <w:rsid w:val="6AA03032"/>
    <w:rsid w:val="6AA86FEC"/>
    <w:rsid w:val="6AB97AD1"/>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80C69"/>
    <w:rsid w:val="6C4B4758"/>
    <w:rsid w:val="6C4D28F8"/>
    <w:rsid w:val="6C573E9C"/>
    <w:rsid w:val="6C5C23DC"/>
    <w:rsid w:val="6C6D1126"/>
    <w:rsid w:val="6C8E1FC4"/>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23CA2"/>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51424D"/>
    <w:rsid w:val="6E663C68"/>
    <w:rsid w:val="6E7764EF"/>
    <w:rsid w:val="6E8403F6"/>
    <w:rsid w:val="6E98530F"/>
    <w:rsid w:val="6EAD447C"/>
    <w:rsid w:val="6EAE5472"/>
    <w:rsid w:val="6EBC069A"/>
    <w:rsid w:val="6ECD7F59"/>
    <w:rsid w:val="6ECF2622"/>
    <w:rsid w:val="6ECF449B"/>
    <w:rsid w:val="6ED975CA"/>
    <w:rsid w:val="6EED7C80"/>
    <w:rsid w:val="6EF03395"/>
    <w:rsid w:val="6EF72E99"/>
    <w:rsid w:val="6EF773A4"/>
    <w:rsid w:val="6F174DC6"/>
    <w:rsid w:val="6F1E2E65"/>
    <w:rsid w:val="6F2F2D9E"/>
    <w:rsid w:val="6F4147D9"/>
    <w:rsid w:val="6F561247"/>
    <w:rsid w:val="6F581F47"/>
    <w:rsid w:val="6F5B0D5A"/>
    <w:rsid w:val="6F5C35EA"/>
    <w:rsid w:val="6F63625D"/>
    <w:rsid w:val="6F6B6A15"/>
    <w:rsid w:val="6F947E4B"/>
    <w:rsid w:val="6FA30BDA"/>
    <w:rsid w:val="6FA80114"/>
    <w:rsid w:val="6FB21D4C"/>
    <w:rsid w:val="6FB80698"/>
    <w:rsid w:val="6FFD5E0F"/>
    <w:rsid w:val="701021F4"/>
    <w:rsid w:val="701C29A6"/>
    <w:rsid w:val="701D200D"/>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5786E"/>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A559B"/>
    <w:rsid w:val="742E78D4"/>
    <w:rsid w:val="74317498"/>
    <w:rsid w:val="74335A84"/>
    <w:rsid w:val="743A6A13"/>
    <w:rsid w:val="74676A28"/>
    <w:rsid w:val="747E40B6"/>
    <w:rsid w:val="74AA2238"/>
    <w:rsid w:val="74AC3224"/>
    <w:rsid w:val="74B21065"/>
    <w:rsid w:val="74BB2C83"/>
    <w:rsid w:val="74C33758"/>
    <w:rsid w:val="74D476FB"/>
    <w:rsid w:val="74D72451"/>
    <w:rsid w:val="74DD260E"/>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521A4"/>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E37A12"/>
    <w:rsid w:val="77F42148"/>
    <w:rsid w:val="77FE3468"/>
    <w:rsid w:val="78232A2D"/>
    <w:rsid w:val="78250553"/>
    <w:rsid w:val="783B17B1"/>
    <w:rsid w:val="784E2046"/>
    <w:rsid w:val="78546F0C"/>
    <w:rsid w:val="786778FE"/>
    <w:rsid w:val="789D588A"/>
    <w:rsid w:val="78B65E3A"/>
    <w:rsid w:val="78C94F9D"/>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140880"/>
    <w:rsid w:val="7A2F3BBF"/>
    <w:rsid w:val="7A2F459A"/>
    <w:rsid w:val="7A322A39"/>
    <w:rsid w:val="7A517022"/>
    <w:rsid w:val="7A6F5001"/>
    <w:rsid w:val="7A7720A0"/>
    <w:rsid w:val="7A8C2B0C"/>
    <w:rsid w:val="7A9635B3"/>
    <w:rsid w:val="7AA2343E"/>
    <w:rsid w:val="7AD60EB8"/>
    <w:rsid w:val="7ADA73A4"/>
    <w:rsid w:val="7AE66B99"/>
    <w:rsid w:val="7AF34646"/>
    <w:rsid w:val="7AFE508C"/>
    <w:rsid w:val="7B0A3BCA"/>
    <w:rsid w:val="7B1C0EF4"/>
    <w:rsid w:val="7B212805"/>
    <w:rsid w:val="7B2528D6"/>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D12BB7"/>
    <w:rsid w:val="7DD467B5"/>
    <w:rsid w:val="7DF223A2"/>
    <w:rsid w:val="7DFA791B"/>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350C1"/>
    <w:rsid w:val="7F265C58"/>
    <w:rsid w:val="7F3B240A"/>
    <w:rsid w:val="7F4C4618"/>
    <w:rsid w:val="7F4D13A6"/>
    <w:rsid w:val="7F582CF2"/>
    <w:rsid w:val="7F7D6E0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9"/>
    <w:autoRedefine/>
    <w:qFormat/>
    <w:uiPriority w:val="0"/>
    <w:rPr>
      <w:rFonts w:ascii="宋体" w:hAnsi="Calibri"/>
      <w:sz w:val="18"/>
      <w:szCs w:val="18"/>
    </w:rPr>
  </w:style>
  <w:style w:type="paragraph" w:styleId="17">
    <w:name w:val="annotation text"/>
    <w:basedOn w:val="1"/>
    <w:autoRedefine/>
    <w:qFormat/>
    <w:uiPriority w:val="0"/>
    <w:pPr>
      <w:jc w:val="left"/>
    </w:pPr>
  </w:style>
  <w:style w:type="paragraph" w:styleId="18">
    <w:name w:val="Body Text 3"/>
    <w:basedOn w:val="1"/>
    <w:autoRedefine/>
    <w:qFormat/>
    <w:uiPriority w:val="0"/>
    <w:rPr>
      <w:sz w:val="16"/>
      <w:szCs w:val="16"/>
    </w:rPr>
  </w:style>
  <w:style w:type="paragraph" w:styleId="19">
    <w:name w:val="List 2"/>
    <w:basedOn w:val="1"/>
    <w:autoRedefine/>
    <w:qFormat/>
    <w:uiPriority w:val="0"/>
    <w:pPr>
      <w:ind w:left="100" w:leftChars="200" w:hanging="200" w:hangingChars="200"/>
    </w:pPr>
  </w:style>
  <w:style w:type="paragraph" w:styleId="20">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1">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2">
    <w:name w:val="Plain Text"/>
    <w:basedOn w:val="1"/>
    <w:autoRedefine/>
    <w:qFormat/>
    <w:uiPriority w:val="0"/>
    <w:pPr>
      <w:widowControl/>
      <w:spacing w:beforeAutospacing="1" w:afterAutospacing="1"/>
      <w:jc w:val="left"/>
    </w:pPr>
    <w:rPr>
      <w:rFonts w:ascii="宋体" w:hAnsi="宋体" w:cs="宋体"/>
      <w:kern w:val="0"/>
      <w:sz w:val="24"/>
    </w:rPr>
  </w:style>
  <w:style w:type="paragraph" w:styleId="23">
    <w:name w:val="Date"/>
    <w:basedOn w:val="1"/>
    <w:next w:val="1"/>
    <w:autoRedefine/>
    <w:qFormat/>
    <w:uiPriority w:val="0"/>
    <w:pPr>
      <w:ind w:left="100" w:leftChars="2500"/>
    </w:pPr>
    <w:rPr>
      <w:rFonts w:ascii="宋体" w:hAnsi="宋体"/>
      <w:sz w:val="28"/>
    </w:r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5"/>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4"/>
    <w:autoRedefine/>
    <w:qFormat/>
    <w:uiPriority w:val="0"/>
  </w:style>
  <w:style w:type="character" w:customStyle="1" w:styleId="78">
    <w:name w:val="apple-converted-space"/>
    <w:basedOn w:val="37"/>
    <w:autoRedefine/>
    <w:qFormat/>
    <w:uiPriority w:val="0"/>
  </w:style>
  <w:style w:type="character" w:customStyle="1" w:styleId="79">
    <w:name w:val="文档结构图 Char"/>
    <w:link w:val="16"/>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15680</Words>
  <Characters>16452</Characters>
  <Lines>50</Lines>
  <Paragraphs>68</Paragraphs>
  <TotalTime>8</TotalTime>
  <ScaleCrop>false</ScaleCrop>
  <LinksUpToDate>false</LinksUpToDate>
  <CharactersWithSpaces>16977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2025-09-19T07:14:21Z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