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磁场刺激仪采购项目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磁场刺激仪采购项目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磁场刺激仪采购项目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磁场刺激仪采购项目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380000元；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bookmarkStart w:id="101" w:name="_GoBack"/>
      <w:bookmarkEnd w:id="101"/>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15135"/>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27370"/>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19</w:t>
      </w:r>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8"/>
          <w:szCs w:val="28"/>
          <w:highlight w:val="none"/>
          <w:u w:val="none"/>
          <w:lang w:val="en-US" w:eastAsia="zh-CN"/>
        </w:rPr>
      </w:pPr>
      <w:r>
        <w:rPr>
          <w:rFonts w:hint="eastAsia" w:ascii="宋体" w:hAnsi="宋体" w:eastAsia="宋体" w:cs="宋体"/>
          <w:b/>
          <w:bCs/>
          <w:i w:val="0"/>
          <w:iCs/>
          <w:color w:val="auto"/>
          <w:sz w:val="28"/>
          <w:szCs w:val="28"/>
          <w:highlight w:val="none"/>
          <w:u w:val="none"/>
          <w:lang w:val="en-US" w:eastAsia="zh-CN"/>
        </w:rPr>
        <w:t>一、项目名称：</w:t>
      </w:r>
      <w:r>
        <w:rPr>
          <w:rFonts w:hint="eastAsia" w:ascii="宋体" w:hAnsi="宋体" w:eastAsia="宋体" w:cs="宋体"/>
          <w:b w:val="0"/>
          <w:bCs w:val="0"/>
          <w:i w:val="0"/>
          <w:iCs/>
          <w:color w:val="auto"/>
          <w:sz w:val="28"/>
          <w:szCs w:val="28"/>
          <w:highlight w:val="none"/>
          <w:u w:val="none"/>
          <w:lang w:val="en-US" w:eastAsia="zh-CN"/>
        </w:rPr>
        <w:t>驻马店市中心医院</w:t>
      </w:r>
      <w:r>
        <w:rPr>
          <w:rFonts w:hint="eastAsia" w:ascii="宋体" w:hAnsi="宋体" w:cs="宋体"/>
          <w:b w:val="0"/>
          <w:bCs w:val="0"/>
          <w:i w:val="0"/>
          <w:iCs/>
          <w:color w:val="auto"/>
          <w:sz w:val="28"/>
          <w:szCs w:val="28"/>
          <w:highlight w:val="none"/>
          <w:u w:val="none"/>
          <w:lang w:val="en-US" w:eastAsia="zh-CN"/>
        </w:rPr>
        <w:t>磁场刺激仪采购项目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磁场刺激仪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380000元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380000元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7618DC7D">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技术要求：</w:t>
      </w:r>
    </w:p>
    <w:p w14:paraId="63820FF6">
      <w:pPr>
        <w:keepNext w:val="0"/>
        <w:keepLines w:val="0"/>
        <w:pageBreakBefore w:val="0"/>
        <w:numPr>
          <w:ilvl w:val="0"/>
          <w:numId w:val="0"/>
        </w:numPr>
        <w:shd w:val="clear" w:color="auto" w:fill="auto"/>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color w:val="auto"/>
          <w:sz w:val="24"/>
          <w:szCs w:val="24"/>
          <w:highlight w:val="none"/>
          <w:lang w:val="en-US" w:eastAsia="zh-CN"/>
        </w:rPr>
        <w:t>（一）技术参数</w:t>
      </w:r>
    </w:p>
    <w:p w14:paraId="1385B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磁场刺激仪技术参数</w:t>
      </w:r>
    </w:p>
    <w:p w14:paraId="772AD3F8">
      <w:pPr>
        <w:pStyle w:val="91"/>
        <w:keepNext w:val="0"/>
        <w:keepLines w:val="0"/>
        <w:pageBreakBefore w:val="0"/>
        <w:widowControl w:val="0"/>
        <w:kinsoku/>
        <w:wordWrap/>
        <w:overflowPunct/>
        <w:topLinePunct w:val="0"/>
        <w:autoSpaceDE/>
        <w:autoSpaceDN/>
        <w:bidi w:val="0"/>
        <w:adjustRightInd/>
        <w:snapToGrid/>
        <w:spacing w:line="360" w:lineRule="auto"/>
        <w:ind w:left="2" w:firstLine="422" w:firstLineChars="200"/>
        <w:textAlignment w:val="auto"/>
        <w:rPr>
          <w:rFonts w:hint="eastAsia" w:ascii="宋体" w:hAnsi="宋体" w:eastAsia="宋体" w:cs="宋体"/>
          <w:b/>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sz w:val="21"/>
          <w:szCs w:val="21"/>
        </w:rPr>
        <w:t>性能参数：</w:t>
      </w:r>
    </w:p>
    <w:p w14:paraId="341741E6">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安全结构：刺激发生器与液冷系统采用分体式，实现液电分离。</w:t>
      </w:r>
    </w:p>
    <w:p w14:paraId="3CFFD0D3">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动态参数调节：治疗过程中可实时调整刺激强度与</w:t>
      </w:r>
      <w:r>
        <w:rPr>
          <w:rFonts w:hint="eastAsia" w:ascii="宋体" w:hAnsi="宋体" w:eastAsia="宋体" w:cs="宋体"/>
          <w:sz w:val="21"/>
          <w:szCs w:val="21"/>
          <w:highlight w:val="none"/>
          <w:lang w:val="en-US" w:eastAsia="zh-CN"/>
        </w:rPr>
        <w:t>刺激</w:t>
      </w:r>
      <w:r>
        <w:rPr>
          <w:rFonts w:hint="eastAsia" w:ascii="宋体" w:hAnsi="宋体" w:eastAsia="宋体" w:cs="宋体"/>
          <w:sz w:val="21"/>
          <w:szCs w:val="21"/>
          <w:highlight w:val="none"/>
        </w:rPr>
        <w:t>频率，无需结束治疗</w:t>
      </w:r>
      <w:r>
        <w:rPr>
          <w:rFonts w:hint="eastAsia" w:ascii="宋体" w:hAnsi="宋体" w:eastAsia="宋体" w:cs="宋体"/>
          <w:sz w:val="21"/>
          <w:szCs w:val="21"/>
          <w:highlight w:val="none"/>
          <w:lang w:val="en-US" w:eastAsia="zh-CN"/>
        </w:rPr>
        <w:t>调整</w:t>
      </w:r>
      <w:r>
        <w:rPr>
          <w:rFonts w:hint="eastAsia" w:ascii="宋体" w:hAnsi="宋体" w:eastAsia="宋体" w:cs="宋体"/>
          <w:sz w:val="21"/>
          <w:szCs w:val="21"/>
          <w:highlight w:val="none"/>
        </w:rPr>
        <w:t>。</w:t>
      </w:r>
    </w:p>
    <w:p w14:paraId="150B133F">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权限管理功能：通过管理员账号</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rPr>
        <w:t>实现操作权限分级控制，防止误操作</w:t>
      </w:r>
      <w:r>
        <w:rPr>
          <w:rFonts w:hint="eastAsia" w:ascii="宋体" w:hAnsi="宋体" w:eastAsia="宋体" w:cs="宋体"/>
          <w:sz w:val="21"/>
          <w:szCs w:val="21"/>
          <w:highlight w:val="none"/>
          <w:lang w:eastAsia="zh-CN"/>
        </w:rPr>
        <w:t>。</w:t>
      </w:r>
    </w:p>
    <w:p w14:paraId="30430C94">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散热系统特性：采用主动液冷散热技术（非静态液冷或外循环液冷），降温效率高且温度恒定；集成故障自动检测机制，冷却系统异常时自动切断磁场输出。</w:t>
      </w:r>
    </w:p>
    <w:p w14:paraId="287D100B">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网络互联能力：支持设备联网状态监测，可与 HIS 系统、康复管理平台等实现数据互通。</w:t>
      </w:r>
    </w:p>
    <w:p w14:paraId="75B3D289">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磁场输出性能</w:t>
      </w:r>
    </w:p>
    <w:p w14:paraId="2F4C8B0F">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磁感应强度范围：≥6T，误差控制，误差± 20%</w:t>
      </w:r>
    </w:p>
    <w:p w14:paraId="184B70EE">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脉冲宽度：120μs，误差 ±10%；</w:t>
      </w:r>
    </w:p>
    <w:p w14:paraId="6639CD72">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脉冲上升时间：60μs，误差 ±10μs；</w:t>
      </w:r>
    </w:p>
    <w:p w14:paraId="25878E64">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输出频率调节：</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Hz 连续可调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允许误差</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p>
    <w:p w14:paraId="78BC5030">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肌电信号参数：</w:t>
      </w:r>
    </w:p>
    <w:p w14:paraId="5E271CA0">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示值准确度：误差不大于±10%或者±2μV，取其中最大值。</w:t>
      </w:r>
    </w:p>
    <w:p w14:paraId="216934D0">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分辨率：≤2μV。</w:t>
      </w:r>
    </w:p>
    <w:p w14:paraId="2C7612FC">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系统噪声：≤1μV。</w:t>
      </w:r>
    </w:p>
    <w:p w14:paraId="2FFDA1BB">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通频带：20Hz～480Hz（-3dB）(不包括陷波波段)。</w:t>
      </w:r>
    </w:p>
    <w:p w14:paraId="5A4ACBDB">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差模输入阻抗：＞5MΩ。</w:t>
      </w:r>
    </w:p>
    <w:p w14:paraId="5FFC686D">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共模抑制比：＞100dB。</w:t>
      </w:r>
    </w:p>
    <w:p w14:paraId="0D58F1CD">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工频陷波器：应有50Hz陷波滤波器，衰减后幅值应不大于5μV。</w:t>
      </w:r>
    </w:p>
    <w:p w14:paraId="702A5E5E">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电生理监测模块：内置双通道运动诱发电位（MEP）实时监测系统。</w:t>
      </w:r>
    </w:p>
    <w:p w14:paraId="56A849CF">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超温保护机制：当刺激线圈表面温度超过 ≥4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℃时，自动停止磁场输出。</w:t>
      </w:r>
    </w:p>
    <w:p w14:paraId="5830744E">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数据管理系统</w:t>
      </w:r>
    </w:p>
    <w:p w14:paraId="0DA669B2">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病例库功能：患者信息存储、导出及评估报告打印；</w:t>
      </w:r>
    </w:p>
    <w:p w14:paraId="6732DC83">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方案自定义：允许基于临床需求编辑个性化治疗方案；</w:t>
      </w:r>
    </w:p>
    <w:p w14:paraId="6BF76B9E">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快速检索：可通过患者姓名 / 病历号查询信息，方案库支持关键词检索、收藏置顶；</w:t>
      </w:r>
    </w:p>
    <w:p w14:paraId="4D0C64AD">
      <w:pPr>
        <w:pStyle w:val="91"/>
        <w:keepNext w:val="0"/>
        <w:keepLines w:val="0"/>
        <w:pageBreakBefore w:val="0"/>
        <w:widowControl w:val="0"/>
        <w:numPr>
          <w:ilvl w:val="1"/>
          <w:numId w:val="2"/>
        </w:numPr>
        <w:kinsoku/>
        <w:wordWrap/>
        <w:overflowPunct/>
        <w:topLinePunct w:val="0"/>
        <w:autoSpaceDE/>
        <w:autoSpaceDN/>
        <w:bidi w:val="0"/>
        <w:adjustRightInd/>
        <w:snapToGrid/>
        <w:spacing w:line="360" w:lineRule="auto"/>
        <w:ind w:left="12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海量存储：患者基本信息、治疗方案及记录的实时查询、编辑与备份导出。</w:t>
      </w:r>
    </w:p>
    <w:p w14:paraId="6EC512F4">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实时显示连接线圈的温度，显示精度≥0.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p w14:paraId="5699B91C">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刺激模式多样性：支持单脉冲经颅磁刺激(single-pulse TMS,spTMS)、重复经颅磁刺激（repetitive transcranial magnetic stimulation,rTMS）及爆发模式(theta burst stimulation ,TBS)等多种治疗模式切换。</w:t>
      </w:r>
    </w:p>
    <w:p w14:paraId="4F4B91C0">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定位辅助功能：提供专业 3D 解剖图谱，支持自定义图片上传及放大查看，辅助精准靶点定位。</w:t>
      </w:r>
    </w:p>
    <w:p w14:paraId="3A9B8E9C">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冷却系统可视化：四档水位高度实时显示液位状态，可实时观测冷却液液位及线圈温度状态。</w:t>
      </w:r>
    </w:p>
    <w:p w14:paraId="20A49F25">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预适应强度功能：具备≥</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档预适应强度调节档位，可按需开启 / 关闭，降低患者对高强度刺激的应激反应，提升治疗顺应性。</w:t>
      </w:r>
    </w:p>
    <w:p w14:paraId="027745BF">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磁刺激可调参数包括</w:t>
      </w:r>
      <w:r>
        <w:rPr>
          <w:rFonts w:hint="eastAsia" w:ascii="宋体" w:hAnsi="宋体" w:eastAsia="宋体" w:cs="宋体"/>
          <w:sz w:val="21"/>
          <w:szCs w:val="21"/>
          <w:highlight w:val="none"/>
        </w:rPr>
        <w:t>刺激频率、刺激强度、刺激个数、间歇时间等参数可完全独立调节，无强制关联。</w:t>
      </w:r>
    </w:p>
    <w:p w14:paraId="0615366A">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肌电诱发检测模块可实现盆底运功诱发检查，对骶神经的精准定位治疗和阴部神经的传导速度测定。</w:t>
      </w:r>
    </w:p>
    <w:p w14:paraId="6E270094">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实现头部+骶神经、盆底肌联合磁刺激治疗，可以治疗患者的不同症状，满足临床不同需求。</w:t>
      </w:r>
    </w:p>
    <w:p w14:paraId="61CC6BC6">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sz w:val="21"/>
          <w:szCs w:val="21"/>
          <w:highlight w:val="none"/>
        </w:rPr>
        <w:t>频率调制能力：至少具有</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种刺激方式，满足不同病症患者的个性化治疗需求。</w:t>
      </w:r>
    </w:p>
    <w:p w14:paraId="04AE6E6B">
      <w:pPr>
        <w:pStyle w:val="9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000000"/>
          <w:sz w:val="21"/>
          <w:szCs w:val="21"/>
        </w:rPr>
      </w:pPr>
      <w:r>
        <w:rPr>
          <w:rFonts w:hint="eastAsia" w:ascii="宋体" w:hAnsi="宋体" w:eastAsia="宋体" w:cs="宋体"/>
          <w:sz w:val="21"/>
          <w:szCs w:val="21"/>
          <w:highlight w:val="none"/>
          <w:lang w:val="en-US" w:eastAsia="zh-CN"/>
        </w:rPr>
        <w:t>刺激线圈和高压储能电容的使用次数</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8500000次。（提供证明文件）</w:t>
      </w:r>
    </w:p>
    <w:p w14:paraId="69750023">
      <w:pPr>
        <w:pStyle w:val="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★22.使用期限：≥10年。（提供证明文件）</w:t>
      </w:r>
    </w:p>
    <w:p w14:paraId="39AB9544">
      <w:pPr>
        <w:pStyle w:val="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1"/>
          <w:szCs w:val="21"/>
        </w:rPr>
      </w:pPr>
    </w:p>
    <w:p w14:paraId="199CBBF3">
      <w:pPr>
        <w:pStyle w:val="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配置清单</w:t>
      </w:r>
      <w:r>
        <w:rPr>
          <w:rFonts w:hint="eastAsia" w:ascii="宋体" w:hAnsi="宋体" w:eastAsia="宋体" w:cs="宋体"/>
          <w:b/>
          <w:bCs/>
          <w:sz w:val="21"/>
          <w:szCs w:val="21"/>
          <w:lang w:eastAsia="zh-CN"/>
        </w:rPr>
        <w:t>（包含但不限于）：</w:t>
      </w:r>
    </w:p>
    <w:p w14:paraId="0D447482">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eastAsia="zh-CN"/>
        </w:rPr>
        <w:t>刺激发生器</w:t>
      </w:r>
      <w:r>
        <w:rPr>
          <w:rFonts w:hint="eastAsia" w:ascii="宋体" w:hAnsi="宋体" w:eastAsia="宋体" w:cs="宋体"/>
          <w:color w:val="000000"/>
          <w:sz w:val="21"/>
          <w:szCs w:val="21"/>
          <w:lang w:val="en-US" w:eastAsia="zh-CN"/>
        </w:rPr>
        <w:t xml:space="preserve">  1台</w:t>
      </w:r>
    </w:p>
    <w:p w14:paraId="32832CE3">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rPr>
        <w:t>液冷系统</w:t>
      </w:r>
      <w:r>
        <w:rPr>
          <w:rFonts w:hint="eastAsia" w:ascii="宋体" w:hAnsi="宋体" w:eastAsia="宋体" w:cs="宋体"/>
          <w:color w:val="000000"/>
          <w:sz w:val="21"/>
          <w:szCs w:val="21"/>
          <w:lang w:val="en-US" w:eastAsia="zh-CN"/>
        </w:rPr>
        <w:t xml:space="preserve">  1套</w:t>
      </w:r>
    </w:p>
    <w:p w14:paraId="09ECF7C1">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刺激</w:t>
      </w:r>
      <w:r>
        <w:rPr>
          <w:rFonts w:hint="eastAsia" w:ascii="宋体" w:hAnsi="宋体" w:eastAsia="宋体" w:cs="宋体"/>
          <w:sz w:val="21"/>
          <w:szCs w:val="21"/>
          <w:highlight w:val="none"/>
        </w:rPr>
        <w:t>线圈</w:t>
      </w:r>
      <w:r>
        <w:rPr>
          <w:rFonts w:hint="eastAsia" w:ascii="宋体" w:hAnsi="宋体" w:eastAsia="宋体" w:cs="宋体"/>
          <w:sz w:val="21"/>
          <w:szCs w:val="21"/>
          <w:highlight w:val="none"/>
          <w:lang w:eastAsia="zh-CN"/>
        </w:rPr>
        <w:t>圆拍</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sz w:val="21"/>
          <w:szCs w:val="21"/>
          <w:lang w:val="en-US" w:eastAsia="zh-CN"/>
        </w:rPr>
        <w:t xml:space="preserve"> 1个</w:t>
      </w:r>
    </w:p>
    <w:p w14:paraId="0E4B65AF">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kern w:val="2"/>
          <w:sz w:val="21"/>
          <w:szCs w:val="21"/>
          <w:highlight w:val="none"/>
          <w:lang w:val="en-US" w:eastAsia="zh-CN" w:bidi="ar-SA"/>
        </w:rPr>
        <w:t>刺激线圈支架</w:t>
      </w:r>
      <w:r>
        <w:rPr>
          <w:rFonts w:hint="eastAsia" w:ascii="宋体" w:hAnsi="宋体" w:eastAsia="宋体" w:cs="宋体"/>
          <w:color w:val="000000"/>
          <w:sz w:val="21"/>
          <w:szCs w:val="21"/>
          <w:lang w:val="en-US" w:eastAsia="zh-CN"/>
        </w:rPr>
        <w:t xml:space="preserve">  1个</w:t>
      </w:r>
    </w:p>
    <w:p w14:paraId="582A3788">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推车</w:t>
      </w:r>
      <w:r>
        <w:rPr>
          <w:rFonts w:hint="eastAsia" w:ascii="宋体" w:hAnsi="宋体" w:eastAsia="宋体" w:cs="宋体"/>
          <w:color w:val="000000"/>
          <w:sz w:val="21"/>
          <w:szCs w:val="21"/>
          <w:lang w:val="en-US" w:eastAsia="zh-CN"/>
        </w:rPr>
        <w:t xml:space="preserve">  1台</w:t>
      </w:r>
    </w:p>
    <w:p w14:paraId="595F08D8">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eastAsia="zh-CN"/>
        </w:rPr>
        <w:t>MEP</w:t>
      </w:r>
      <w:r>
        <w:rPr>
          <w:rFonts w:hint="eastAsia" w:ascii="宋体" w:hAnsi="宋体" w:eastAsia="宋体" w:cs="宋体"/>
          <w:sz w:val="21"/>
          <w:szCs w:val="21"/>
          <w:highlight w:val="none"/>
          <w:lang w:val="en-US" w:eastAsia="zh-CN"/>
        </w:rPr>
        <w:t xml:space="preserve">模块  </w:t>
      </w:r>
      <w:r>
        <w:rPr>
          <w:rFonts w:hint="eastAsia" w:ascii="宋体" w:hAnsi="宋体" w:eastAsia="宋体" w:cs="宋体"/>
          <w:color w:val="000000"/>
          <w:sz w:val="21"/>
          <w:szCs w:val="21"/>
          <w:lang w:val="en-US" w:eastAsia="zh-CN"/>
        </w:rPr>
        <w:t>1套</w:t>
      </w:r>
    </w:p>
    <w:p w14:paraId="09DAAF70">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定位帽</w:t>
      </w:r>
      <w:r>
        <w:rPr>
          <w:rFonts w:hint="eastAsia" w:ascii="宋体" w:hAnsi="宋体" w:eastAsia="宋体" w:cs="宋体"/>
          <w:color w:val="000000"/>
          <w:sz w:val="21"/>
          <w:szCs w:val="21"/>
          <w:lang w:val="en-US" w:eastAsia="zh-CN"/>
        </w:rPr>
        <w:t xml:space="preserve">  1顶</w:t>
      </w:r>
    </w:p>
    <w:p w14:paraId="79827CDB">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highlight w:val="none"/>
          <w:lang w:val="en-US" w:eastAsia="zh-CN"/>
        </w:rPr>
        <w:t>一体机电脑</w:t>
      </w:r>
      <w:r>
        <w:rPr>
          <w:rFonts w:hint="eastAsia" w:ascii="宋体" w:hAnsi="宋体" w:eastAsia="宋体" w:cs="宋体"/>
          <w:color w:val="000000"/>
          <w:sz w:val="21"/>
          <w:szCs w:val="21"/>
          <w:lang w:val="en-US" w:eastAsia="zh-CN"/>
        </w:rPr>
        <w:t xml:space="preserve">  1台</w:t>
      </w:r>
    </w:p>
    <w:p w14:paraId="2E054C0D">
      <w:pPr>
        <w:pStyle w:val="91"/>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highlight w:val="none"/>
          <w:lang w:val="en-US" w:eastAsia="zh-CN"/>
        </w:rPr>
        <w:t>无线鼠标键盘</w:t>
      </w:r>
      <w:r>
        <w:rPr>
          <w:rFonts w:hint="eastAsia" w:ascii="宋体" w:hAnsi="宋体" w:eastAsia="宋体" w:cs="宋体"/>
          <w:color w:val="000000"/>
          <w:sz w:val="21"/>
          <w:szCs w:val="21"/>
          <w:lang w:val="en-US" w:eastAsia="zh-CN"/>
        </w:rPr>
        <w:t xml:space="preserve">  1套</w:t>
      </w:r>
    </w:p>
    <w:p w14:paraId="2B5D1BA1">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422EBF3F">
      <w:pPr>
        <w:pStyle w:val="25"/>
        <w:keepNext w:val="0"/>
        <w:keepLines w:val="0"/>
        <w:pageBreakBefore w:val="0"/>
        <w:kinsoku/>
        <w:wordWrap/>
        <w:overflowPunct/>
        <w:topLinePunct w:val="0"/>
        <w:autoSpaceDE/>
        <w:autoSpaceDN/>
        <w:bidi w:val="0"/>
        <w:adjustRightInd/>
        <w:spacing w:line="360" w:lineRule="auto"/>
        <w:textAlignment w:val="auto"/>
        <w:rPr>
          <w:rFonts w:hint="eastAsia" w:ascii="宋体" w:hAnsi="宋体"/>
          <w:bCs/>
          <w:color w:val="FF0000"/>
          <w:sz w:val="24"/>
          <w:lang w:val="en-US" w:eastAsia="zh-CN"/>
        </w:rPr>
      </w:pPr>
    </w:p>
    <w:p w14:paraId="2120E6CF">
      <w:pPr>
        <w:pStyle w:val="8"/>
        <w:keepNext w:val="0"/>
        <w:keepLines w:val="0"/>
        <w:pageBreakBefore w:val="0"/>
        <w:kinsoku/>
        <w:wordWrap/>
        <w:overflowPunct/>
        <w:topLinePunct w:val="0"/>
        <w:autoSpaceDE/>
        <w:autoSpaceDN/>
        <w:bidi w:val="0"/>
        <w:adjustRightInd/>
        <w:snapToGrid w:val="0"/>
        <w:spacing w:beforeAutospacing="0" w:afterAutospacing="0" w:line="360" w:lineRule="auto"/>
        <w:jc w:val="both"/>
        <w:textAlignment w:val="auto"/>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7B36A811">
      <w:pPr>
        <w:pStyle w:val="2"/>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A7796F4">
      <w:pPr>
        <w:rPr>
          <w:rFonts w:hint="eastAsia"/>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磁场刺激仪采购项目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380000元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380000元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380000元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380000元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70FC7B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r>
              <w:rPr>
                <w:rFonts w:hint="eastAsia" w:ascii="宋体" w:hAnsi="宋体" w:eastAsia="宋体" w:cs="宋体"/>
                <w:color w:val="auto"/>
                <w:sz w:val="21"/>
                <w:szCs w:val="21"/>
                <w:highlight w:val="none"/>
                <w:lang w:val="en-US" w:eastAsia="zh-CN"/>
              </w:rPr>
              <w:t xml:space="preserve">如得分为0，则磋商无效。 </w:t>
            </w:r>
          </w:p>
          <w:p w14:paraId="60AEAB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81BDD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211398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736B7B20">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5DE4159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5418698D">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56DBF7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2E963BF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51F6ADD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32BE99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全称并</w:t>
      </w:r>
      <w:r>
        <w:rPr>
          <w:rFonts w:hint="eastAsia" w:ascii="宋体" w:hAnsi="宋体" w:eastAsia="宋体" w:cs="宋体"/>
          <w:color w:val="auto"/>
          <w:kern w:val="0"/>
          <w:sz w:val="28"/>
          <w:szCs w:val="28"/>
          <w:highlight w:val="none"/>
          <w:lang w:val="en-US" w:eastAsia="zh-CN"/>
        </w:rPr>
        <w:t>加</w:t>
      </w:r>
      <w:r>
        <w:rPr>
          <w:rFonts w:hint="eastAsia" w:ascii="宋体" w:hAnsi="宋体" w:eastAsia="宋体" w:cs="宋体"/>
          <w:color w:val="auto"/>
          <w:kern w:val="0"/>
          <w:sz w:val="28"/>
          <w:szCs w:val="28"/>
          <w:highlight w:val="none"/>
          <w:lang w:eastAsia="zh-CN"/>
        </w:rPr>
        <w:t>盖</w:t>
      </w:r>
      <w:r>
        <w:rPr>
          <w:rFonts w:hint="eastAsia" w:ascii="宋体" w:hAnsi="宋体" w:eastAsia="宋体" w:cs="宋体"/>
          <w:color w:val="auto"/>
          <w:kern w:val="0"/>
          <w:sz w:val="28"/>
          <w:szCs w:val="28"/>
          <w:highlight w:val="none"/>
          <w:lang w:val="en-US" w:eastAsia="zh-CN"/>
        </w:rPr>
        <w:t>公</w:t>
      </w:r>
      <w:r>
        <w:rPr>
          <w:rFonts w:hint="eastAsia" w:ascii="宋体" w:hAnsi="宋体" w:eastAsia="宋体" w:cs="宋体"/>
          <w:color w:val="auto"/>
          <w:kern w:val="0"/>
          <w:sz w:val="28"/>
          <w:szCs w:val="28"/>
          <w:highlight w:val="none"/>
          <w:lang w:eastAsia="zh-CN"/>
        </w:rPr>
        <w:t>章</w:t>
      </w:r>
      <w:r>
        <w:rPr>
          <w:rFonts w:hint="eastAsia" w:ascii="宋体" w:hAnsi="宋体" w:eastAsia="宋体" w:cs="宋体"/>
          <w:color w:val="auto"/>
          <w:kern w:val="0"/>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2"/>
        <w:rPr>
          <w:rFonts w:hint="eastAsia"/>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226"/>
      <w:bookmarkStart w:id="81" w:name="_Toc15804"/>
      <w:r>
        <w:rPr>
          <w:rFonts w:hint="eastAsia" w:ascii="宋体" w:hAnsi="宋体" w:eastAsia="宋体" w:cs="宋体"/>
          <w:color w:val="auto"/>
          <w:sz w:val="84"/>
          <w:szCs w:val="84"/>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rPr>
        <w:t xml:space="preserve">               </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驻马店市中心医院磁场刺激仪采购项目竞争性磋商文件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04F6C06A"/>
    <w:multiLevelType w:val="multilevel"/>
    <w:tmpl w:val="04F6C06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2">
    <w:nsid w:val="215C59CB"/>
    <w:multiLevelType w:val="singleLevel"/>
    <w:tmpl w:val="215C59CB"/>
    <w:lvl w:ilvl="0" w:tentative="0">
      <w:start w:val="1"/>
      <w:numFmt w:val="decimal"/>
      <w:lvlText w:val="%1."/>
      <w:lvlJc w:val="left"/>
      <w:pPr>
        <w:tabs>
          <w:tab w:val="left" w:pos="312"/>
        </w:tabs>
      </w:pPr>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111DAD"/>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259D"/>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0A6645"/>
    <w:rsid w:val="0A2F0DBE"/>
    <w:rsid w:val="0A321AC2"/>
    <w:rsid w:val="0A343D4E"/>
    <w:rsid w:val="0A344626"/>
    <w:rsid w:val="0A3E6D2E"/>
    <w:rsid w:val="0A4232E4"/>
    <w:rsid w:val="0A4F145F"/>
    <w:rsid w:val="0A8455AD"/>
    <w:rsid w:val="0A8729A8"/>
    <w:rsid w:val="0ABA2D7D"/>
    <w:rsid w:val="0AD13A85"/>
    <w:rsid w:val="0AE0655C"/>
    <w:rsid w:val="0AFA5870"/>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EF6AA6"/>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267818"/>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1FC1ECD"/>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56F88"/>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E4196"/>
    <w:rsid w:val="1BB73AE1"/>
    <w:rsid w:val="1BC82E20"/>
    <w:rsid w:val="1BDA6D68"/>
    <w:rsid w:val="1BF14125"/>
    <w:rsid w:val="1C002CEE"/>
    <w:rsid w:val="1C3B5CE8"/>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5D400B"/>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3E440B"/>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B2107"/>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BEC1564"/>
    <w:rsid w:val="3C061F3A"/>
    <w:rsid w:val="3C0A04F9"/>
    <w:rsid w:val="3C495480"/>
    <w:rsid w:val="3C4C3A42"/>
    <w:rsid w:val="3C557EA4"/>
    <w:rsid w:val="3C6F0167"/>
    <w:rsid w:val="3C71667B"/>
    <w:rsid w:val="3C7C75E3"/>
    <w:rsid w:val="3C914F3B"/>
    <w:rsid w:val="3CA52FDE"/>
    <w:rsid w:val="3CB34155"/>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25B21"/>
    <w:rsid w:val="40394FD1"/>
    <w:rsid w:val="40425879"/>
    <w:rsid w:val="40532CA8"/>
    <w:rsid w:val="4053669A"/>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30550"/>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5521CD"/>
    <w:rsid w:val="50901457"/>
    <w:rsid w:val="509F43E4"/>
    <w:rsid w:val="50A54D3E"/>
    <w:rsid w:val="50B82E88"/>
    <w:rsid w:val="50BB32A7"/>
    <w:rsid w:val="50CC5CB2"/>
    <w:rsid w:val="50ED1473"/>
    <w:rsid w:val="50F1402B"/>
    <w:rsid w:val="50FD2AD9"/>
    <w:rsid w:val="51081E85"/>
    <w:rsid w:val="51097D9A"/>
    <w:rsid w:val="511A650F"/>
    <w:rsid w:val="51237D2E"/>
    <w:rsid w:val="51327CF6"/>
    <w:rsid w:val="513D15DF"/>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D3069F"/>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67666C"/>
    <w:rsid w:val="62707B03"/>
    <w:rsid w:val="627D6831"/>
    <w:rsid w:val="62811B1C"/>
    <w:rsid w:val="62A20409"/>
    <w:rsid w:val="62AC0373"/>
    <w:rsid w:val="62B54B44"/>
    <w:rsid w:val="62D60F4C"/>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243F39"/>
    <w:rsid w:val="643F32F9"/>
    <w:rsid w:val="64582686"/>
    <w:rsid w:val="64673C87"/>
    <w:rsid w:val="64877733"/>
    <w:rsid w:val="64925346"/>
    <w:rsid w:val="64A170D2"/>
    <w:rsid w:val="64A251DD"/>
    <w:rsid w:val="64BC182A"/>
    <w:rsid w:val="650242F0"/>
    <w:rsid w:val="65365B2B"/>
    <w:rsid w:val="653F447E"/>
    <w:rsid w:val="65542778"/>
    <w:rsid w:val="655829AF"/>
    <w:rsid w:val="65640326"/>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C717A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A53B0"/>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80C69"/>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23CA2"/>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929DE"/>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C94F9D"/>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D12BB7"/>
    <w:rsid w:val="7DF223A2"/>
    <w:rsid w:val="7DFA791B"/>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350C1"/>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16136</Words>
  <Characters>17014</Characters>
  <Lines>50</Lines>
  <Paragraphs>68</Paragraphs>
  <TotalTime>0</TotalTime>
  <ScaleCrop>false</ScaleCrop>
  <LinksUpToDate>false</LinksUpToDate>
  <CharactersWithSpaces>17581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2025-09-19T07:07:43Z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