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驻马店市中心医院</w:t>
      </w:r>
      <w:r>
        <w:rPr>
          <w:rFonts w:hint="eastAsia" w:cs="宋体"/>
          <w:b/>
          <w:bCs/>
          <w:color w:val="auto"/>
          <w:sz w:val="44"/>
          <w:szCs w:val="44"/>
          <w:highlight w:val="none"/>
          <w:lang w:val="en-US" w:eastAsia="zh-CN"/>
        </w:rPr>
        <w:t>中心院区血液净化室中央空调采购项目</w:t>
      </w:r>
    </w:p>
    <w:p w14:paraId="72164425">
      <w:pPr>
        <w:pStyle w:val="20"/>
        <w:bidi w:val="0"/>
        <w:jc w:val="center"/>
        <w:rPr>
          <w:rStyle w:val="45"/>
          <w:rFonts w:hint="eastAsia" w:ascii="宋体" w:hAnsi="宋体" w:eastAsia="宋体" w:cs="宋体"/>
          <w:b/>
          <w:bCs/>
          <w:color w:val="auto"/>
          <w:sz w:val="44"/>
          <w:szCs w:val="44"/>
          <w:highlight w:val="none"/>
        </w:rPr>
      </w:pPr>
      <w:r>
        <w:rPr>
          <w:rStyle w:val="45"/>
          <w:rFonts w:hint="eastAsia" w:cs="宋体"/>
          <w:b/>
          <w:bCs/>
          <w:color w:val="auto"/>
          <w:sz w:val="44"/>
          <w:szCs w:val="44"/>
          <w:highlight w:val="none"/>
          <w:lang w:val="en-US" w:eastAsia="zh-CN"/>
        </w:rPr>
        <w:t>竞争性磋商</w:t>
      </w:r>
      <w:r>
        <w:rPr>
          <w:rStyle w:val="45"/>
          <w:rFonts w:hint="eastAsia" w:ascii="宋体" w:hAnsi="宋体" w:eastAsia="宋体" w:cs="宋体"/>
          <w:b/>
          <w:bCs/>
          <w:color w:val="auto"/>
          <w:sz w:val="44"/>
          <w:szCs w:val="44"/>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河南良智行工程管理咨询有限公司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日        期：2025年 </w:t>
      </w:r>
      <w:r>
        <w:rPr>
          <w:rFonts w:hint="eastAsia" w:ascii="宋体" w:hAnsi="宋体" w:cs="宋体"/>
          <w:b/>
          <w:bCs/>
          <w:color w:val="auto"/>
          <w:spacing w:val="-10"/>
          <w:sz w:val="34"/>
          <w:szCs w:val="34"/>
          <w:highlight w:val="none"/>
          <w:lang w:val="en-US" w:eastAsia="zh-CN"/>
        </w:rPr>
        <w:t>9</w:t>
      </w:r>
      <w:r>
        <w:rPr>
          <w:rFonts w:hint="eastAsia" w:ascii="宋体" w:hAnsi="宋体" w:eastAsia="宋体" w:cs="宋体"/>
          <w:b/>
          <w:bCs/>
          <w:color w:val="auto"/>
          <w:spacing w:val="-10"/>
          <w:sz w:val="34"/>
          <w:szCs w:val="34"/>
          <w:highlight w:val="none"/>
          <w:lang w:val="en-US" w:eastAsia="zh-CN"/>
        </w:rPr>
        <w:t xml:space="preserve"> 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驻马店市中心医院中心院区血液净化室中央空调采购项目竞争性磋商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驻马店市中心医院中心院区血液净化室中央空调采购项目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驻马店市中心医院中心院区血液净化室中央空调采购项目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7.5万元</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：合同签订后30日内</w:t>
      </w:r>
    </w:p>
    <w:p w14:paraId="3E64BF7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、质量要求：符合国家质量标准、部颁标准、行业标准</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8607"/>
      <w:bookmarkStart w:id="5" w:name="_Toc16639"/>
      <w:bookmarkStart w:id="6" w:name="_Toc27704"/>
      <w:bookmarkStart w:id="7" w:name="_Toc23626"/>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23395"/>
      <w:bookmarkStart w:id="9" w:name="_Toc30971"/>
      <w:bookmarkStart w:id="10" w:name="_Toc7823"/>
      <w:bookmarkStart w:id="11" w:name="_Toc30643"/>
      <w:bookmarkStart w:id="12" w:name="_Toc9562"/>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6A87BEFA">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kern w:val="2"/>
          <w:sz w:val="21"/>
          <w:szCs w:val="21"/>
          <w:shd w:val="clear" w:fill="FFFFFF"/>
          <w:lang w:val="en-US" w:eastAsia="zh-CN" w:bidi="ar-SA"/>
        </w:rPr>
        <w:t>8、</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23</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 xml:space="preserve">25 </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yuliangzhi1818@163.com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5869"/>
      <w:bookmarkStart w:id="14" w:name="_Toc15111"/>
      <w:bookmarkStart w:id="15" w:name="_Toc15135"/>
      <w:bookmarkStart w:id="16" w:name="_Toc10738"/>
      <w:bookmarkStart w:id="17" w:name="_Toc27480"/>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9784"/>
      <w:bookmarkStart w:id="19" w:name="_Toc20287"/>
      <w:bookmarkStart w:id="20" w:name="_Toc30918"/>
      <w:bookmarkStart w:id="21" w:name="_Toc6523"/>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604"/>
      <w:bookmarkStart w:id="25" w:name="_Toc27370"/>
      <w:bookmarkStart w:id="26" w:name="_Toc24274"/>
      <w:bookmarkStart w:id="27" w:name="_Toc31928"/>
      <w:bookmarkStart w:id="28" w:name="_Toc16291"/>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采购代理机构：河南良智行工程管理咨询有限公司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地址：河南省郑州市惠济区江山路西、008乡道南弘泰小区1号楼1单元3层302号</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cs="宋体"/>
          <w:kern w:val="0"/>
          <w:szCs w:val="21"/>
          <w:shd w:val="clear" w:color="auto" w:fill="FFFFFF"/>
        </w:rPr>
        <w:t>李先生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w:t>
      </w:r>
      <w:r>
        <w:rPr>
          <w:rFonts w:hint="eastAsia" w:ascii="宋体" w:hAnsi="宋体" w:cs="宋体"/>
          <w:kern w:val="0"/>
          <w:szCs w:val="21"/>
          <w:shd w:val="clear" w:color="auto" w:fill="FFFFFF"/>
        </w:rPr>
        <w:t>18137895617</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 xml:space="preserve"> 9 </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22</w:t>
      </w:r>
      <w:bookmarkStart w:id="101" w:name="_GoBack"/>
      <w:bookmarkEnd w:id="101"/>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23610"/>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eastAsia="宋体" w:cs="宋体"/>
          <w:b w:val="0"/>
          <w:bCs w:val="0"/>
          <w:i w:val="0"/>
          <w:iCs/>
          <w:color w:val="auto"/>
          <w:sz w:val="21"/>
          <w:szCs w:val="21"/>
          <w:highlight w:val="none"/>
          <w:u w:val="none"/>
          <w:lang w:val="en-US" w:eastAsia="zh-CN"/>
        </w:rPr>
        <w:t>驻马店市中心医院中心院区血液净化室中央空调采购项目</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990"/>
        <w:gridCol w:w="5"/>
        <w:gridCol w:w="2134"/>
        <w:gridCol w:w="850"/>
        <w:gridCol w:w="967"/>
        <w:gridCol w:w="1384"/>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3F52256E">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990" w:type="dxa"/>
            <w:vAlign w:val="center"/>
          </w:tcPr>
          <w:p w14:paraId="7BB03108">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139" w:type="dxa"/>
            <w:gridSpan w:val="2"/>
            <w:vAlign w:val="center"/>
          </w:tcPr>
          <w:p w14:paraId="1C81871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850" w:type="dxa"/>
            <w:vAlign w:val="center"/>
          </w:tcPr>
          <w:p w14:paraId="2AF52A7A">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967" w:type="dxa"/>
            <w:vAlign w:val="center"/>
          </w:tcPr>
          <w:p w14:paraId="78A9F1D6">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384" w:type="dxa"/>
            <w:vAlign w:val="center"/>
          </w:tcPr>
          <w:p w14:paraId="665A7C5C">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资金</w:t>
            </w:r>
          </w:p>
          <w:p w14:paraId="2259F43F">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预算</w:t>
            </w:r>
          </w:p>
        </w:tc>
        <w:tc>
          <w:tcPr>
            <w:tcW w:w="1110" w:type="dxa"/>
            <w:vAlign w:val="center"/>
          </w:tcPr>
          <w:p w14:paraId="0C32BA6B">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资金</w:t>
            </w:r>
          </w:p>
          <w:p w14:paraId="0F2FBFFE">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性质</w:t>
            </w:r>
          </w:p>
        </w:tc>
        <w:tc>
          <w:tcPr>
            <w:tcW w:w="1245" w:type="dxa"/>
            <w:vAlign w:val="center"/>
          </w:tcPr>
          <w:p w14:paraId="0D5173FD">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国产/</w:t>
            </w:r>
          </w:p>
          <w:p w14:paraId="5E8880A2">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99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2139" w:type="dxa"/>
            <w:gridSpan w:val="2"/>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中心院区血液净化室中央空调采购</w:t>
            </w:r>
          </w:p>
        </w:tc>
        <w:tc>
          <w:tcPr>
            <w:tcW w:w="8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w:t>
            </w:r>
          </w:p>
        </w:tc>
        <w:tc>
          <w:tcPr>
            <w:tcW w:w="967"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附后</w:t>
            </w:r>
          </w:p>
        </w:tc>
        <w:tc>
          <w:tcPr>
            <w:tcW w:w="1384"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7.5万元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5" w:type="dxa"/>
            <w:gridSpan w:val="3"/>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合计</w:t>
            </w:r>
          </w:p>
        </w:tc>
        <w:tc>
          <w:tcPr>
            <w:tcW w:w="7690" w:type="dxa"/>
            <w:gridSpan w:val="6"/>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7.5万元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0"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695" w:type="dxa"/>
            <w:gridSpan w:val="7"/>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w:t>
            </w:r>
          </w:p>
        </w:tc>
      </w:tr>
    </w:tbl>
    <w:p w14:paraId="075F9113">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0E84755">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lang w:val="en-US" w:eastAsia="zh-CN" w:bidi="ar-SA"/>
        </w:rPr>
        <w:t>三、</w:t>
      </w:r>
      <w:r>
        <w:rPr>
          <w:rFonts w:hint="eastAsia" w:ascii="宋体" w:hAnsi="宋体" w:eastAsia="宋体" w:cs="宋体"/>
          <w:b/>
          <w:bCs/>
          <w:color w:val="auto"/>
          <w:kern w:val="2"/>
          <w:sz w:val="21"/>
          <w:szCs w:val="24"/>
          <w:highlight w:val="none"/>
          <w:lang w:val="en-US" w:eastAsia="zh-CN" w:bidi="ar-SA"/>
        </w:rPr>
        <w:t>技术要求：</w:t>
      </w:r>
    </w:p>
    <w:p w14:paraId="675CA7E8">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tbl>
      <w:tblPr>
        <w:tblStyle w:val="34"/>
        <w:tblW w:w="5258" w:type="pct"/>
        <w:jc w:val="center"/>
        <w:tblLayout w:type="autofit"/>
        <w:tblCellMar>
          <w:top w:w="0" w:type="dxa"/>
          <w:left w:w="108" w:type="dxa"/>
          <w:bottom w:w="0" w:type="dxa"/>
          <w:right w:w="108" w:type="dxa"/>
        </w:tblCellMar>
      </w:tblPr>
      <w:tblGrid>
        <w:gridCol w:w="762"/>
        <w:gridCol w:w="1954"/>
        <w:gridCol w:w="2828"/>
        <w:gridCol w:w="871"/>
        <w:gridCol w:w="840"/>
        <w:gridCol w:w="1162"/>
        <w:gridCol w:w="1230"/>
      </w:tblGrid>
      <w:tr w14:paraId="0BBE9F24">
        <w:tblPrEx>
          <w:tblCellMar>
            <w:top w:w="0" w:type="dxa"/>
            <w:left w:w="108" w:type="dxa"/>
            <w:bottom w:w="0" w:type="dxa"/>
            <w:right w:w="108" w:type="dxa"/>
          </w:tblCellMar>
        </w:tblPrEx>
        <w:trPr>
          <w:trHeight w:val="569" w:hRule="atLeast"/>
          <w:jc w:val="center"/>
        </w:trPr>
        <w:tc>
          <w:tcPr>
            <w:tcW w:w="395" w:type="pct"/>
            <w:tcBorders>
              <w:top w:val="single" w:color="auto" w:sz="4" w:space="0"/>
              <w:left w:val="single" w:color="auto" w:sz="4" w:space="0"/>
              <w:bottom w:val="single" w:color="auto" w:sz="4" w:space="0"/>
              <w:right w:val="single" w:color="auto" w:sz="4" w:space="0"/>
            </w:tcBorders>
            <w:noWrap w:val="0"/>
            <w:vAlign w:val="center"/>
          </w:tcPr>
          <w:p w14:paraId="5FDBB404">
            <w:pPr>
              <w:keepNext w:val="0"/>
              <w:keepLines w:val="0"/>
              <w:suppressLineNumbers w:val="0"/>
              <w:spacing w:before="0" w:beforeAutospacing="0" w:after="0" w:afterAutospacing="0"/>
              <w:ind w:left="0" w:right="0"/>
              <w:jc w:val="left"/>
              <w:rPr>
                <w:rFonts w:hint="default" w:ascii="宋体" w:cs="宋体"/>
                <w:b/>
                <w:bCs/>
                <w:color w:val="000000"/>
                <w:kern w:val="0"/>
                <w:sz w:val="24"/>
              </w:rPr>
            </w:pPr>
            <w:r>
              <w:rPr>
                <w:rFonts w:hint="eastAsia" w:ascii="宋体" w:hAnsi="宋体" w:cs="宋体"/>
                <w:b/>
                <w:bCs/>
                <w:color w:val="000000"/>
                <w:kern w:val="0"/>
                <w:sz w:val="24"/>
              </w:rPr>
              <w:t>序号</w:t>
            </w:r>
          </w:p>
        </w:tc>
        <w:tc>
          <w:tcPr>
            <w:tcW w:w="1012" w:type="pct"/>
            <w:tcBorders>
              <w:top w:val="single" w:color="auto" w:sz="4" w:space="0"/>
              <w:left w:val="single" w:color="auto" w:sz="4" w:space="0"/>
              <w:bottom w:val="single" w:color="auto" w:sz="4" w:space="0"/>
              <w:right w:val="single" w:color="auto" w:sz="4" w:space="0"/>
            </w:tcBorders>
            <w:noWrap w:val="0"/>
            <w:vAlign w:val="center"/>
          </w:tcPr>
          <w:p w14:paraId="13742061">
            <w:pPr>
              <w:keepNext w:val="0"/>
              <w:keepLines w:val="0"/>
              <w:suppressLineNumbers w:val="0"/>
              <w:spacing w:before="0" w:beforeAutospacing="0" w:after="0" w:afterAutospacing="0"/>
              <w:ind w:left="0" w:right="0"/>
              <w:jc w:val="left"/>
              <w:rPr>
                <w:rFonts w:hint="default" w:ascii="宋体" w:cs="宋体"/>
                <w:b/>
                <w:bCs/>
                <w:color w:val="000000"/>
                <w:kern w:val="0"/>
                <w:sz w:val="24"/>
              </w:rPr>
            </w:pPr>
            <w:r>
              <w:rPr>
                <w:rFonts w:hint="eastAsia" w:ascii="宋体" w:hAnsi="宋体" w:cs="宋体"/>
                <w:b/>
                <w:bCs/>
                <w:color w:val="000000"/>
                <w:kern w:val="0"/>
                <w:sz w:val="24"/>
              </w:rPr>
              <w:t>设备名称</w:t>
            </w:r>
          </w:p>
        </w:tc>
        <w:tc>
          <w:tcPr>
            <w:tcW w:w="1465" w:type="pct"/>
            <w:tcBorders>
              <w:top w:val="single" w:color="auto" w:sz="4" w:space="0"/>
              <w:left w:val="single" w:color="auto" w:sz="4" w:space="0"/>
              <w:bottom w:val="single" w:color="auto" w:sz="4" w:space="0"/>
              <w:right w:val="single" w:color="auto" w:sz="4" w:space="0"/>
            </w:tcBorders>
            <w:noWrap w:val="0"/>
            <w:vAlign w:val="center"/>
          </w:tcPr>
          <w:p w14:paraId="0D6AD69F">
            <w:pPr>
              <w:keepNext w:val="0"/>
              <w:keepLines w:val="0"/>
              <w:suppressLineNumbers w:val="0"/>
              <w:spacing w:before="0" w:beforeAutospacing="0" w:after="0" w:afterAutospacing="0"/>
              <w:ind w:left="0" w:right="0"/>
              <w:jc w:val="center"/>
              <w:rPr>
                <w:rFonts w:hint="default" w:ascii="宋体" w:cs="宋体"/>
                <w:b/>
                <w:bCs/>
                <w:color w:val="000000"/>
                <w:kern w:val="0"/>
                <w:sz w:val="24"/>
              </w:rPr>
            </w:pPr>
            <w:r>
              <w:rPr>
                <w:rFonts w:hint="eastAsia" w:ascii="宋体" w:hAnsi="宋体" w:cs="宋体"/>
                <w:b/>
                <w:bCs/>
                <w:color w:val="000000"/>
                <w:kern w:val="0"/>
                <w:sz w:val="24"/>
              </w:rPr>
              <w:t>规格及技术参数</w:t>
            </w:r>
          </w:p>
        </w:tc>
        <w:tc>
          <w:tcPr>
            <w:tcW w:w="451" w:type="pct"/>
            <w:tcBorders>
              <w:top w:val="single" w:color="auto" w:sz="4" w:space="0"/>
              <w:left w:val="single" w:color="auto" w:sz="4" w:space="0"/>
              <w:bottom w:val="single" w:color="auto" w:sz="4" w:space="0"/>
              <w:right w:val="single" w:color="auto" w:sz="4" w:space="0"/>
            </w:tcBorders>
            <w:noWrap w:val="0"/>
            <w:vAlign w:val="center"/>
          </w:tcPr>
          <w:p w14:paraId="30118FD2">
            <w:pPr>
              <w:keepNext w:val="0"/>
              <w:keepLines w:val="0"/>
              <w:suppressLineNumbers w:val="0"/>
              <w:spacing w:before="0" w:beforeAutospacing="0" w:after="0" w:afterAutospacing="0"/>
              <w:ind w:left="0" w:right="0"/>
              <w:jc w:val="center"/>
              <w:rPr>
                <w:rFonts w:hint="default" w:ascii="宋体" w:cs="宋体"/>
                <w:b/>
                <w:bCs/>
                <w:color w:val="000000"/>
                <w:kern w:val="0"/>
                <w:sz w:val="24"/>
              </w:rPr>
            </w:pPr>
            <w:r>
              <w:rPr>
                <w:rFonts w:hint="eastAsia" w:ascii="宋体" w:hAnsi="宋体" w:cs="宋体"/>
                <w:b/>
                <w:bCs/>
                <w:color w:val="000000"/>
                <w:kern w:val="0"/>
                <w:sz w:val="24"/>
              </w:rPr>
              <w:t>单位</w:t>
            </w:r>
          </w:p>
        </w:tc>
        <w:tc>
          <w:tcPr>
            <w:tcW w:w="435" w:type="pct"/>
            <w:tcBorders>
              <w:top w:val="single" w:color="auto" w:sz="4" w:space="0"/>
              <w:left w:val="single" w:color="auto" w:sz="4" w:space="0"/>
              <w:bottom w:val="single" w:color="auto" w:sz="4" w:space="0"/>
              <w:right w:val="single" w:color="auto" w:sz="4" w:space="0"/>
            </w:tcBorders>
            <w:noWrap w:val="0"/>
            <w:vAlign w:val="center"/>
          </w:tcPr>
          <w:p w14:paraId="3030729F">
            <w:pPr>
              <w:keepNext w:val="0"/>
              <w:keepLines w:val="0"/>
              <w:suppressLineNumbers w:val="0"/>
              <w:spacing w:before="0" w:beforeAutospacing="0" w:after="0" w:afterAutospacing="0"/>
              <w:ind w:left="0" w:right="0"/>
              <w:jc w:val="center"/>
              <w:rPr>
                <w:rFonts w:hint="default" w:ascii="宋体" w:cs="宋体"/>
                <w:color w:val="000000"/>
                <w:kern w:val="0"/>
                <w:sz w:val="24"/>
              </w:rPr>
            </w:pPr>
            <w:r>
              <w:rPr>
                <w:rFonts w:hint="eastAsia" w:ascii="宋体" w:hAnsi="宋体" w:cs="宋体"/>
                <w:b/>
                <w:bCs/>
                <w:color w:val="000000"/>
                <w:kern w:val="0"/>
                <w:sz w:val="24"/>
              </w:rPr>
              <w:t>数量</w:t>
            </w:r>
          </w:p>
        </w:tc>
        <w:tc>
          <w:tcPr>
            <w:tcW w:w="602" w:type="pct"/>
            <w:tcBorders>
              <w:top w:val="single" w:color="auto" w:sz="4" w:space="0"/>
              <w:left w:val="single" w:color="auto" w:sz="4" w:space="0"/>
              <w:bottom w:val="single" w:color="auto" w:sz="4" w:space="0"/>
              <w:right w:val="single" w:color="auto" w:sz="4" w:space="0"/>
            </w:tcBorders>
            <w:noWrap w:val="0"/>
            <w:vAlign w:val="center"/>
          </w:tcPr>
          <w:p w14:paraId="757307DD">
            <w:pPr>
              <w:keepNext w:val="0"/>
              <w:keepLines w:val="0"/>
              <w:suppressLineNumbers w:val="0"/>
              <w:spacing w:before="0" w:beforeAutospacing="0" w:after="0" w:afterAutospacing="0"/>
              <w:ind w:left="0" w:right="0"/>
              <w:jc w:val="center"/>
              <w:rPr>
                <w:rFonts w:hint="eastAsia" w:ascii="宋体" w:hAnsi="宋体" w:cs="宋体" w:eastAsiaTheme="minorEastAsia"/>
                <w:b/>
                <w:bCs/>
                <w:color w:val="000000"/>
                <w:kern w:val="0"/>
                <w:sz w:val="24"/>
                <w:lang w:val="en-US" w:eastAsia="zh-CN"/>
              </w:rPr>
            </w:pPr>
            <w:r>
              <w:rPr>
                <w:rFonts w:hint="eastAsia" w:ascii="宋体" w:hAnsi="宋体" w:cs="宋体"/>
                <w:b/>
                <w:bCs/>
                <w:color w:val="000000"/>
                <w:kern w:val="0"/>
                <w:sz w:val="24"/>
                <w:lang w:val="en-US" w:eastAsia="zh-CN"/>
              </w:rPr>
              <w:t>单价（元）</w:t>
            </w:r>
          </w:p>
        </w:tc>
        <w:tc>
          <w:tcPr>
            <w:tcW w:w="637" w:type="pct"/>
            <w:tcBorders>
              <w:top w:val="single" w:color="auto" w:sz="4" w:space="0"/>
              <w:left w:val="single" w:color="auto" w:sz="4" w:space="0"/>
              <w:bottom w:val="single" w:color="auto" w:sz="4" w:space="0"/>
              <w:right w:val="single" w:color="auto" w:sz="4" w:space="0"/>
            </w:tcBorders>
            <w:noWrap w:val="0"/>
            <w:vAlign w:val="center"/>
          </w:tcPr>
          <w:p w14:paraId="79E7328D">
            <w:pPr>
              <w:keepNext w:val="0"/>
              <w:keepLines w:val="0"/>
              <w:suppressLineNumbers w:val="0"/>
              <w:spacing w:before="0" w:beforeAutospacing="0" w:after="0" w:afterAutospacing="0"/>
              <w:ind w:left="0" w:right="0"/>
              <w:jc w:val="center"/>
              <w:rPr>
                <w:rFonts w:hint="eastAsia" w:ascii="宋体" w:hAnsi="宋体" w:cs="宋体"/>
                <w:b/>
                <w:bCs/>
                <w:color w:val="000000"/>
                <w:kern w:val="0"/>
                <w:sz w:val="24"/>
                <w:lang w:val="en-US" w:eastAsia="zh-CN"/>
              </w:rPr>
            </w:pPr>
            <w:r>
              <w:rPr>
                <w:rFonts w:hint="eastAsia" w:ascii="宋体" w:hAnsi="宋体" w:cs="宋体"/>
                <w:b/>
                <w:bCs/>
                <w:color w:val="000000"/>
                <w:kern w:val="0"/>
                <w:sz w:val="24"/>
                <w:lang w:val="en-US" w:eastAsia="zh-CN"/>
              </w:rPr>
              <w:t>总价</w:t>
            </w:r>
          </w:p>
          <w:p w14:paraId="0D2562D8">
            <w:pPr>
              <w:keepNext w:val="0"/>
              <w:keepLines w:val="0"/>
              <w:suppressLineNumbers w:val="0"/>
              <w:spacing w:before="0" w:beforeAutospacing="0" w:after="0" w:afterAutospacing="0"/>
              <w:ind w:left="0" w:right="0"/>
              <w:jc w:val="center"/>
              <w:rPr>
                <w:rFonts w:hint="default" w:ascii="宋体" w:hAnsi="宋体" w:cs="宋体"/>
                <w:b/>
                <w:bCs/>
                <w:color w:val="000000"/>
                <w:kern w:val="0"/>
                <w:sz w:val="24"/>
                <w:lang w:val="en-US" w:eastAsia="zh-CN"/>
              </w:rPr>
            </w:pPr>
            <w:r>
              <w:rPr>
                <w:rFonts w:hint="eastAsia" w:ascii="宋体" w:hAnsi="宋体" w:cs="宋体"/>
                <w:b/>
                <w:bCs/>
                <w:color w:val="000000"/>
                <w:kern w:val="0"/>
                <w:sz w:val="24"/>
                <w:lang w:val="en-US" w:eastAsia="zh-CN"/>
              </w:rPr>
              <w:t>（元）</w:t>
            </w:r>
          </w:p>
        </w:tc>
      </w:tr>
      <w:tr w14:paraId="6807BCA3">
        <w:tblPrEx>
          <w:tblCellMar>
            <w:top w:w="0" w:type="dxa"/>
            <w:left w:w="108" w:type="dxa"/>
            <w:bottom w:w="0" w:type="dxa"/>
            <w:right w:w="108" w:type="dxa"/>
          </w:tblCellMar>
        </w:tblPrEx>
        <w:trPr>
          <w:trHeight w:val="3444" w:hRule="atLeast"/>
          <w:jc w:val="center"/>
        </w:trPr>
        <w:tc>
          <w:tcPr>
            <w:tcW w:w="395" w:type="pct"/>
            <w:tcBorders>
              <w:top w:val="nil"/>
              <w:left w:val="single" w:color="auto" w:sz="4" w:space="0"/>
              <w:bottom w:val="single" w:color="auto" w:sz="4" w:space="0"/>
              <w:right w:val="single" w:color="auto" w:sz="4" w:space="0"/>
            </w:tcBorders>
            <w:shd w:val="clear" w:color="auto" w:fill="auto"/>
            <w:noWrap w:val="0"/>
            <w:vAlign w:val="center"/>
          </w:tcPr>
          <w:p w14:paraId="0A5CB6F1">
            <w:pPr>
              <w:keepNext w:val="0"/>
              <w:keepLines w:val="0"/>
              <w:suppressLineNumbers w:val="0"/>
              <w:spacing w:before="0" w:beforeAutospacing="0" w:after="0" w:afterAutospacing="0"/>
              <w:ind w:left="0" w:right="0"/>
              <w:jc w:val="center"/>
              <w:rPr>
                <w:rFonts w:hint="default" w:ascii="宋体" w:cs="宋体"/>
                <w:color w:val="000000"/>
                <w:kern w:val="0"/>
                <w:sz w:val="21"/>
                <w:szCs w:val="21"/>
              </w:rPr>
            </w:pPr>
            <w:r>
              <w:rPr>
                <w:rFonts w:hint="default" w:ascii="宋体" w:hAnsi="宋体" w:cs="宋体"/>
                <w:color w:val="000000"/>
                <w:kern w:val="0"/>
                <w:sz w:val="21"/>
                <w:szCs w:val="21"/>
              </w:rPr>
              <w:t>1</w:t>
            </w:r>
          </w:p>
        </w:tc>
        <w:tc>
          <w:tcPr>
            <w:tcW w:w="1012" w:type="pct"/>
            <w:tcBorders>
              <w:top w:val="nil"/>
              <w:left w:val="nil"/>
              <w:bottom w:val="single" w:color="auto" w:sz="4" w:space="0"/>
              <w:right w:val="single" w:color="auto" w:sz="4" w:space="0"/>
            </w:tcBorders>
            <w:shd w:val="clear" w:color="auto" w:fill="auto"/>
            <w:noWrap w:val="0"/>
            <w:vAlign w:val="center"/>
          </w:tcPr>
          <w:p w14:paraId="0F1F242D">
            <w:pPr>
              <w:keepNext w:val="0"/>
              <w:keepLines w:val="0"/>
              <w:suppressLineNumbers w:val="0"/>
              <w:spacing w:before="0" w:beforeAutospacing="0" w:after="0" w:afterAutospacing="0"/>
              <w:ind w:left="0" w:right="0"/>
              <w:jc w:val="left"/>
              <w:rPr>
                <w:rFonts w:hint="default" w:ascii="宋体" w:cs="宋体" w:eastAsiaTheme="minorEastAsia"/>
                <w:color w:val="000000"/>
                <w:kern w:val="0"/>
                <w:sz w:val="21"/>
                <w:szCs w:val="21"/>
                <w:lang w:val="en-US" w:eastAsia="zh-CN"/>
              </w:rPr>
            </w:pPr>
            <w:r>
              <w:rPr>
                <w:rFonts w:hint="eastAsia" w:ascii="宋体" w:hAnsi="宋体" w:cs="宋体"/>
                <w:color w:val="000000"/>
                <w:kern w:val="0"/>
                <w:sz w:val="21"/>
                <w:szCs w:val="21"/>
                <w:lang w:val="en-US" w:eastAsia="zh-CN"/>
              </w:rPr>
              <w:t>直流变频室外机</w:t>
            </w:r>
          </w:p>
        </w:tc>
        <w:tc>
          <w:tcPr>
            <w:tcW w:w="1465" w:type="pct"/>
            <w:tcBorders>
              <w:top w:val="nil"/>
              <w:left w:val="nil"/>
              <w:bottom w:val="single" w:color="auto" w:sz="4" w:space="0"/>
              <w:right w:val="single" w:color="auto" w:sz="4" w:space="0"/>
            </w:tcBorders>
            <w:shd w:val="clear" w:color="auto" w:fill="FFFFFF"/>
            <w:noWrap w:val="0"/>
            <w:vAlign w:val="center"/>
          </w:tcPr>
          <w:p w14:paraId="34BA0B03">
            <w:pPr>
              <w:keepNext w:val="0"/>
              <w:keepLines w:val="0"/>
              <w:widowControl/>
              <w:suppressLineNumbers w:val="0"/>
              <w:spacing w:before="0" w:beforeAutospacing="0" w:after="0" w:afterAutospacing="0" w:line="240" w:lineRule="auto"/>
              <w:ind w:left="0" w:right="0" w:hanging="4"/>
              <w:rPr>
                <w:rFonts w:hint="eastAsia" w:ascii="宋体" w:hAnsi="宋体" w:cs="宋体"/>
                <w:color w:val="000000"/>
                <w:kern w:val="0"/>
                <w:sz w:val="21"/>
                <w:szCs w:val="21"/>
                <w:highlight w:val="yellow"/>
              </w:rPr>
            </w:pPr>
          </w:p>
          <w:p w14:paraId="2025BFC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eastAsia" w:ascii="宋体" w:hAnsi="宋体" w:cs="宋体"/>
                <w:kern w:val="0"/>
                <w:sz w:val="21"/>
                <w:szCs w:val="21"/>
              </w:rPr>
            </w:pPr>
            <w:r>
              <w:rPr>
                <w:rFonts w:hint="eastAsia" w:ascii="宋体" w:hAnsi="宋体" w:cs="宋体"/>
                <w:kern w:val="0"/>
                <w:sz w:val="21"/>
                <w:szCs w:val="21"/>
              </w:rPr>
              <w:t>制冷量/制热量：</w:t>
            </w:r>
          </w:p>
          <w:p w14:paraId="6FEBB23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eastAsia" w:ascii="宋体" w:hAnsi="宋体" w:cs="宋体"/>
                <w:kern w:val="0"/>
                <w:sz w:val="21"/>
                <w:szCs w:val="21"/>
                <w:lang w:eastAsia="zh-CN"/>
              </w:rPr>
            </w:pPr>
            <w:r>
              <w:rPr>
                <w:rFonts w:hint="eastAsia" w:ascii="宋体" w:hAnsi="宋体" w:cs="宋体"/>
                <w:kern w:val="0"/>
                <w:sz w:val="21"/>
                <w:szCs w:val="21"/>
              </w:rPr>
              <w:t>QL</w:t>
            </w:r>
            <w:r>
              <w:rPr>
                <w:rFonts w:hint="default" w:ascii="宋体" w:hAnsi="宋体" w:cs="宋体"/>
                <w:kern w:val="0"/>
                <w:sz w:val="21"/>
                <w:szCs w:val="21"/>
              </w:rPr>
              <w:t>≥</w:t>
            </w:r>
            <w:r>
              <w:rPr>
                <w:rFonts w:hint="eastAsia" w:ascii="宋体" w:hAnsi="宋体" w:cs="宋体"/>
                <w:kern w:val="0"/>
                <w:sz w:val="21"/>
                <w:szCs w:val="21"/>
              </w:rPr>
              <w:t xml:space="preserve">28.5kw </w:t>
            </w:r>
            <w:r>
              <w:rPr>
                <w:rFonts w:hint="eastAsia" w:ascii="宋体" w:hAnsi="宋体" w:cs="宋体"/>
                <w:kern w:val="0"/>
                <w:sz w:val="21"/>
                <w:szCs w:val="21"/>
                <w:lang w:eastAsia="zh-CN"/>
              </w:rPr>
              <w:t>，</w:t>
            </w:r>
          </w:p>
          <w:p w14:paraId="1D51BB7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eastAsia" w:ascii="宋体" w:hAnsi="宋体" w:cs="宋体"/>
                <w:kern w:val="0"/>
                <w:sz w:val="21"/>
                <w:szCs w:val="21"/>
                <w:lang w:eastAsia="zh-CN"/>
              </w:rPr>
            </w:pPr>
            <w:r>
              <w:rPr>
                <w:rFonts w:hint="eastAsia" w:ascii="宋体" w:hAnsi="宋体" w:cs="宋体"/>
                <w:kern w:val="0"/>
                <w:sz w:val="21"/>
                <w:szCs w:val="21"/>
              </w:rPr>
              <w:t>QR</w:t>
            </w:r>
            <w:r>
              <w:rPr>
                <w:rFonts w:hint="default" w:ascii="宋体" w:hAnsi="宋体" w:cs="宋体"/>
                <w:kern w:val="0"/>
                <w:sz w:val="21"/>
                <w:szCs w:val="21"/>
              </w:rPr>
              <w:t>≥</w:t>
            </w:r>
            <w:r>
              <w:rPr>
                <w:rFonts w:hint="eastAsia" w:ascii="宋体" w:hAnsi="宋体" w:cs="宋体"/>
                <w:kern w:val="0"/>
                <w:sz w:val="21"/>
                <w:szCs w:val="21"/>
              </w:rPr>
              <w:t>31.5kw</w:t>
            </w:r>
            <w:r>
              <w:rPr>
                <w:rFonts w:hint="eastAsia" w:ascii="宋体" w:hAnsi="宋体" w:cs="宋体"/>
                <w:kern w:val="0"/>
                <w:sz w:val="21"/>
                <w:szCs w:val="21"/>
                <w:lang w:eastAsia="zh-CN"/>
              </w:rPr>
              <w:t>；</w:t>
            </w:r>
          </w:p>
          <w:p w14:paraId="343D622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eastAsia" w:ascii="宋体" w:hAnsi="宋体" w:cs="宋体"/>
                <w:kern w:val="0"/>
                <w:sz w:val="21"/>
                <w:szCs w:val="21"/>
                <w:lang w:eastAsia="zh-CN"/>
              </w:rPr>
            </w:pPr>
            <w:r>
              <w:rPr>
                <w:rFonts w:hint="eastAsia" w:ascii="宋体" w:hAnsi="宋体" w:cs="宋体"/>
                <w:kern w:val="0"/>
                <w:sz w:val="21"/>
                <w:szCs w:val="21"/>
              </w:rPr>
              <w:t>风量≥12000m³/h</w:t>
            </w:r>
            <w:r>
              <w:rPr>
                <w:rFonts w:hint="eastAsia" w:ascii="宋体" w:hAnsi="宋体" w:cs="宋体"/>
                <w:kern w:val="0"/>
                <w:sz w:val="21"/>
                <w:szCs w:val="21"/>
                <w:lang w:eastAsia="zh-CN"/>
              </w:rPr>
              <w:t>；</w:t>
            </w:r>
          </w:p>
          <w:p w14:paraId="5EF4E105">
            <w:pPr>
              <w:keepNext w:val="0"/>
              <w:keepLines w:val="0"/>
              <w:widowControl/>
              <w:suppressLineNumbers w:val="0"/>
              <w:spacing w:before="0" w:beforeAutospacing="0" w:after="0" w:afterAutospacing="0" w:line="240" w:lineRule="auto"/>
              <w:ind w:left="0" w:right="0" w:hanging="4"/>
              <w:rPr>
                <w:rFonts w:hint="eastAsia" w:ascii="宋体" w:hAnsi="宋体" w:cs="宋体" w:eastAsiaTheme="minorEastAsia"/>
                <w:color w:val="000000"/>
                <w:kern w:val="0"/>
                <w:sz w:val="21"/>
                <w:szCs w:val="21"/>
                <w:lang w:eastAsia="zh-CN"/>
              </w:rPr>
            </w:pPr>
            <w:r>
              <w:rPr>
                <w:rFonts w:hint="eastAsia" w:ascii="宋体" w:hAnsi="宋体" w:cs="宋体"/>
                <w:color w:val="000000"/>
                <w:kern w:val="0"/>
                <w:sz w:val="21"/>
                <w:szCs w:val="21"/>
              </w:rPr>
              <w:t>噪音≤60dB(A)</w:t>
            </w:r>
            <w:r>
              <w:rPr>
                <w:rFonts w:hint="eastAsia" w:ascii="宋体" w:hAnsi="宋体" w:cs="宋体"/>
                <w:color w:val="000000"/>
                <w:kern w:val="0"/>
                <w:sz w:val="21"/>
                <w:szCs w:val="21"/>
                <w:lang w:eastAsia="zh-CN"/>
              </w:rPr>
              <w:t>；</w:t>
            </w:r>
          </w:p>
          <w:p w14:paraId="0AAFC7E7">
            <w:pPr>
              <w:keepNext w:val="0"/>
              <w:keepLines w:val="0"/>
              <w:widowControl/>
              <w:suppressLineNumbers w:val="0"/>
              <w:spacing w:before="0" w:beforeAutospacing="0" w:after="0" w:afterAutospacing="0" w:line="240" w:lineRule="auto"/>
              <w:ind w:left="0" w:right="0" w:hanging="4"/>
              <w:rPr>
                <w:rFonts w:hint="eastAsia" w:ascii="宋体" w:hAnsi="宋体" w:cs="宋体" w:eastAsiaTheme="minorEastAsia"/>
                <w:color w:val="000000"/>
                <w:kern w:val="0"/>
                <w:sz w:val="21"/>
                <w:szCs w:val="21"/>
                <w:lang w:eastAsia="zh-CN"/>
              </w:rPr>
            </w:pPr>
            <w:r>
              <w:rPr>
                <w:rFonts w:hint="eastAsia" w:ascii="宋体" w:hAnsi="宋体" w:cs="宋体"/>
                <w:color w:val="000000"/>
                <w:kern w:val="0"/>
                <w:sz w:val="21"/>
                <w:szCs w:val="21"/>
              </w:rPr>
              <w:t>IPLV≥7.0</w:t>
            </w:r>
            <w:r>
              <w:rPr>
                <w:rFonts w:hint="eastAsia" w:ascii="宋体" w:hAnsi="宋体" w:cs="宋体"/>
                <w:color w:val="000000"/>
                <w:kern w:val="0"/>
                <w:sz w:val="21"/>
                <w:szCs w:val="21"/>
                <w:lang w:eastAsia="zh-CN"/>
              </w:rPr>
              <w:t>；</w:t>
            </w:r>
          </w:p>
          <w:p w14:paraId="635D997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eastAsia" w:ascii="宋体" w:hAnsi="宋体" w:cs="宋体"/>
                <w:color w:val="000000"/>
                <w:kern w:val="0"/>
                <w:sz w:val="21"/>
                <w:szCs w:val="21"/>
                <w:lang w:eastAsia="zh-CN"/>
              </w:rPr>
            </w:pPr>
            <w:r>
              <w:rPr>
                <w:rFonts w:hint="eastAsia" w:ascii="宋体" w:hAnsi="宋体" w:cs="宋体"/>
                <w:color w:val="000000"/>
                <w:kern w:val="0"/>
                <w:sz w:val="21"/>
                <w:szCs w:val="21"/>
              </w:rPr>
              <w:t>APF值≥4.5</w:t>
            </w:r>
            <w:r>
              <w:rPr>
                <w:rFonts w:hint="eastAsia" w:ascii="宋体" w:hAnsi="宋体" w:cs="宋体"/>
                <w:color w:val="000000"/>
                <w:kern w:val="0"/>
                <w:sz w:val="21"/>
                <w:szCs w:val="21"/>
                <w:lang w:eastAsia="zh-CN"/>
              </w:rPr>
              <w:t>；</w:t>
            </w:r>
          </w:p>
          <w:p w14:paraId="2703C48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eastAsia" w:ascii="宋体" w:hAnsi="宋体" w:cs="宋体" w:eastAsiaTheme="minorEastAsia"/>
                <w:kern w:val="0"/>
                <w:sz w:val="21"/>
                <w:szCs w:val="21"/>
                <w:lang w:eastAsia="zh-CN"/>
              </w:rPr>
            </w:pPr>
            <w:r>
              <w:rPr>
                <w:rFonts w:hint="eastAsia" w:ascii="宋体" w:hAnsi="宋体" w:cs="宋体"/>
                <w:kern w:val="0"/>
                <w:sz w:val="21"/>
                <w:szCs w:val="21"/>
              </w:rPr>
              <w:t>采用直流变频风扇电机</w:t>
            </w:r>
            <w:r>
              <w:rPr>
                <w:rFonts w:hint="eastAsia" w:ascii="宋体" w:hAnsi="宋体" w:cs="宋体"/>
                <w:kern w:val="0"/>
                <w:sz w:val="21"/>
                <w:szCs w:val="21"/>
                <w:lang w:eastAsia="zh-CN"/>
              </w:rPr>
              <w:t>；</w:t>
            </w:r>
          </w:p>
          <w:p w14:paraId="78DB6EC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eastAsia" w:ascii="宋体" w:hAnsi="宋体" w:cs="宋体" w:eastAsiaTheme="minorEastAsia"/>
                <w:kern w:val="0"/>
                <w:sz w:val="21"/>
                <w:szCs w:val="21"/>
                <w:lang w:eastAsia="zh-CN"/>
              </w:rPr>
            </w:pPr>
            <w:r>
              <w:rPr>
                <w:rFonts w:hint="eastAsia" w:ascii="宋体" w:hAnsi="宋体" w:cs="宋体"/>
                <w:kern w:val="0"/>
                <w:sz w:val="21"/>
                <w:szCs w:val="21"/>
              </w:rPr>
              <w:t>机组采用直流变频压缩机</w:t>
            </w:r>
            <w:r>
              <w:rPr>
                <w:rFonts w:hint="eastAsia" w:ascii="宋体" w:hAnsi="宋体" w:cs="宋体"/>
                <w:kern w:val="0"/>
                <w:sz w:val="21"/>
                <w:szCs w:val="21"/>
                <w:lang w:eastAsia="zh-CN"/>
              </w:rPr>
              <w:t>；</w:t>
            </w:r>
          </w:p>
          <w:p w14:paraId="0ECFA9A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eastAsia" w:ascii="宋体" w:hAnsi="宋体" w:cs="宋体"/>
                <w:kern w:val="0"/>
                <w:sz w:val="21"/>
                <w:szCs w:val="21"/>
              </w:rPr>
            </w:pPr>
            <w:r>
              <w:rPr>
                <w:rFonts w:hint="eastAsia" w:ascii="宋体" w:hAnsi="宋体" w:cs="宋体"/>
                <w:kern w:val="0"/>
                <w:sz w:val="21"/>
                <w:szCs w:val="21"/>
              </w:rPr>
              <w:t>具有智能化霜功能。</w:t>
            </w:r>
          </w:p>
          <w:p w14:paraId="365C240C">
            <w:pPr>
              <w:keepNext w:val="0"/>
              <w:keepLines w:val="0"/>
              <w:widowControl/>
              <w:suppressLineNumbers w:val="0"/>
              <w:spacing w:before="0" w:beforeAutospacing="0" w:after="0" w:afterAutospacing="0"/>
              <w:ind w:left="0" w:right="0" w:hanging="4"/>
              <w:rPr>
                <w:rFonts w:hint="eastAsia" w:ascii="宋体" w:hAnsi="宋体" w:cs="宋体"/>
                <w:color w:val="000000"/>
                <w:kern w:val="0"/>
                <w:sz w:val="21"/>
                <w:szCs w:val="21"/>
                <w:lang w:eastAsia="zh-CN"/>
              </w:rPr>
            </w:pPr>
          </w:p>
        </w:tc>
        <w:tc>
          <w:tcPr>
            <w:tcW w:w="451" w:type="pct"/>
            <w:tcBorders>
              <w:top w:val="nil"/>
              <w:left w:val="nil"/>
              <w:bottom w:val="single" w:color="auto" w:sz="4" w:space="0"/>
              <w:right w:val="single" w:color="auto" w:sz="4" w:space="0"/>
            </w:tcBorders>
            <w:noWrap w:val="0"/>
            <w:vAlign w:val="center"/>
          </w:tcPr>
          <w:p w14:paraId="524903B1">
            <w:pPr>
              <w:keepNext w:val="0"/>
              <w:keepLines w:val="0"/>
              <w:suppressLineNumbers w:val="0"/>
              <w:spacing w:before="0" w:beforeAutospacing="0" w:after="0" w:afterAutospacing="0"/>
              <w:ind w:left="0" w:right="0"/>
              <w:jc w:val="center"/>
              <w:rPr>
                <w:rFonts w:hint="default" w:ascii="宋体" w:cs="宋体"/>
                <w:color w:val="000000"/>
                <w:kern w:val="0"/>
                <w:sz w:val="21"/>
                <w:szCs w:val="21"/>
              </w:rPr>
            </w:pPr>
            <w:r>
              <w:rPr>
                <w:rFonts w:hint="eastAsia" w:ascii="宋体" w:hAnsi="宋体" w:cs="宋体"/>
                <w:color w:val="000000"/>
                <w:kern w:val="0"/>
                <w:sz w:val="21"/>
                <w:szCs w:val="21"/>
              </w:rPr>
              <w:t>台</w:t>
            </w:r>
          </w:p>
        </w:tc>
        <w:tc>
          <w:tcPr>
            <w:tcW w:w="435" w:type="pct"/>
            <w:tcBorders>
              <w:top w:val="nil"/>
              <w:left w:val="nil"/>
              <w:bottom w:val="single" w:color="auto" w:sz="4" w:space="0"/>
              <w:right w:val="single" w:color="auto" w:sz="4" w:space="0"/>
            </w:tcBorders>
            <w:noWrap w:val="0"/>
            <w:vAlign w:val="center"/>
          </w:tcPr>
          <w:p w14:paraId="2FFD60FA">
            <w:pPr>
              <w:keepNext w:val="0"/>
              <w:keepLines w:val="0"/>
              <w:suppressLineNumbers w:val="0"/>
              <w:spacing w:before="0" w:beforeAutospacing="0" w:after="0" w:afterAutospacing="0"/>
              <w:ind w:left="0" w:right="0"/>
              <w:jc w:val="center"/>
              <w:rPr>
                <w:rFonts w:hint="eastAsia" w:ascii="宋体" w:cs="宋体"/>
                <w:color w:val="000000"/>
                <w:kern w:val="0"/>
                <w:sz w:val="21"/>
                <w:szCs w:val="21"/>
              </w:rPr>
            </w:pPr>
            <w:r>
              <w:rPr>
                <w:rFonts w:hint="eastAsia" w:ascii="宋体" w:hAnsi="宋体" w:cs="宋体"/>
                <w:color w:val="000000"/>
                <w:kern w:val="0"/>
                <w:sz w:val="21"/>
                <w:szCs w:val="21"/>
              </w:rPr>
              <w:t>1</w:t>
            </w:r>
          </w:p>
        </w:tc>
        <w:tc>
          <w:tcPr>
            <w:tcW w:w="602" w:type="pct"/>
            <w:tcBorders>
              <w:top w:val="nil"/>
              <w:left w:val="nil"/>
              <w:bottom w:val="single" w:color="auto" w:sz="4" w:space="0"/>
              <w:right w:val="single" w:color="auto" w:sz="4" w:space="0"/>
            </w:tcBorders>
            <w:noWrap w:val="0"/>
            <w:vAlign w:val="center"/>
          </w:tcPr>
          <w:p w14:paraId="23B9C2B1">
            <w:pPr>
              <w:keepNext w:val="0"/>
              <w:keepLines w:val="0"/>
              <w:suppressLineNumbers w:val="0"/>
              <w:spacing w:before="0" w:beforeAutospacing="0" w:after="0" w:afterAutospacing="0"/>
              <w:ind w:left="0" w:right="0"/>
              <w:jc w:val="center"/>
              <w:rPr>
                <w:rFonts w:hint="default" w:ascii="宋体" w:hAnsi="宋体" w:cs="宋体" w:eastAsiaTheme="minorEastAsia"/>
                <w:color w:val="000000"/>
                <w:kern w:val="0"/>
                <w:sz w:val="21"/>
                <w:szCs w:val="21"/>
                <w:lang w:val="en-US" w:eastAsia="zh-CN"/>
              </w:rPr>
            </w:pPr>
            <w:r>
              <w:rPr>
                <w:rFonts w:hint="eastAsia" w:ascii="宋体" w:hAnsi="宋体" w:cs="宋体"/>
                <w:color w:val="000000"/>
                <w:kern w:val="0"/>
                <w:sz w:val="21"/>
                <w:szCs w:val="21"/>
                <w:lang w:val="en-US" w:eastAsia="zh-CN"/>
              </w:rPr>
              <w:t>39000</w:t>
            </w:r>
          </w:p>
        </w:tc>
        <w:tc>
          <w:tcPr>
            <w:tcW w:w="637" w:type="pct"/>
            <w:tcBorders>
              <w:top w:val="nil"/>
              <w:left w:val="nil"/>
              <w:bottom w:val="single" w:color="auto" w:sz="4" w:space="0"/>
              <w:right w:val="single" w:color="auto" w:sz="4" w:space="0"/>
            </w:tcBorders>
            <w:noWrap w:val="0"/>
            <w:vAlign w:val="center"/>
          </w:tcPr>
          <w:p w14:paraId="2E1C73C7">
            <w:pPr>
              <w:keepNext w:val="0"/>
              <w:keepLines w:val="0"/>
              <w:suppressLineNumbers w:val="0"/>
              <w:spacing w:before="0" w:beforeAutospacing="0" w:after="0" w:afterAutospacing="0"/>
              <w:ind w:left="0" w:right="0"/>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39000</w:t>
            </w:r>
          </w:p>
        </w:tc>
      </w:tr>
      <w:tr w14:paraId="4E1D0A46">
        <w:tblPrEx>
          <w:tblCellMar>
            <w:top w:w="0" w:type="dxa"/>
            <w:left w:w="108" w:type="dxa"/>
            <w:bottom w:w="0" w:type="dxa"/>
            <w:right w:w="108" w:type="dxa"/>
          </w:tblCellMar>
        </w:tblPrEx>
        <w:trPr>
          <w:trHeight w:val="1820" w:hRule="atLeast"/>
          <w:jc w:val="center"/>
        </w:trPr>
        <w:tc>
          <w:tcPr>
            <w:tcW w:w="3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FA0A937">
            <w:pPr>
              <w:keepNext w:val="0"/>
              <w:keepLines w:val="0"/>
              <w:suppressLineNumbers w:val="0"/>
              <w:spacing w:before="0" w:beforeAutospacing="0" w:after="0" w:afterAutospacing="0"/>
              <w:ind w:left="0" w:right="0"/>
              <w:jc w:val="center"/>
              <w:rPr>
                <w:rFonts w:hint="default" w:ascii="宋体" w:hAnsi="宋体" w:cs="宋体"/>
                <w:color w:val="000000"/>
                <w:kern w:val="0"/>
                <w:sz w:val="21"/>
                <w:szCs w:val="21"/>
              </w:rPr>
            </w:pPr>
            <w:r>
              <w:rPr>
                <w:rFonts w:hint="eastAsia" w:ascii="宋体" w:hAnsi="宋体" w:cs="宋体"/>
                <w:color w:val="000000"/>
                <w:kern w:val="0"/>
                <w:sz w:val="21"/>
                <w:szCs w:val="21"/>
              </w:rPr>
              <w:t>2</w:t>
            </w:r>
          </w:p>
        </w:tc>
        <w:tc>
          <w:tcPr>
            <w:tcW w:w="1012" w:type="pct"/>
            <w:tcBorders>
              <w:top w:val="single" w:color="auto" w:sz="4" w:space="0"/>
              <w:left w:val="nil"/>
              <w:bottom w:val="single" w:color="auto" w:sz="4" w:space="0"/>
              <w:right w:val="single" w:color="auto" w:sz="4" w:space="0"/>
            </w:tcBorders>
            <w:shd w:val="clear" w:color="auto" w:fill="auto"/>
            <w:noWrap w:val="0"/>
            <w:vAlign w:val="center"/>
          </w:tcPr>
          <w:p w14:paraId="08946D5F">
            <w:pPr>
              <w:keepNext w:val="0"/>
              <w:keepLines w:val="0"/>
              <w:suppressLineNumbers w:val="0"/>
              <w:spacing w:before="0" w:beforeAutospacing="0" w:after="0" w:afterAutospacing="0"/>
              <w:ind w:left="0" w:right="0"/>
              <w:jc w:val="left"/>
              <w:rPr>
                <w:rFonts w:hint="default" w:ascii="宋体" w:hAnsi="宋体" w:cs="宋体"/>
                <w:color w:val="000000"/>
                <w:kern w:val="0"/>
                <w:sz w:val="21"/>
                <w:szCs w:val="21"/>
              </w:rPr>
            </w:pPr>
            <w:r>
              <w:rPr>
                <w:rFonts w:hint="eastAsia" w:ascii="宋体" w:hAnsi="宋体" w:cs="宋体"/>
                <w:color w:val="000000"/>
                <w:kern w:val="0"/>
                <w:sz w:val="21"/>
                <w:szCs w:val="21"/>
              </w:rPr>
              <w:t>环形出风嵌入式室内机</w:t>
            </w:r>
          </w:p>
        </w:tc>
        <w:tc>
          <w:tcPr>
            <w:tcW w:w="146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3B2B4F">
            <w:pPr>
              <w:keepNext w:val="0"/>
              <w:keepLines w:val="0"/>
              <w:widowControl/>
              <w:suppressLineNumbers w:val="0"/>
              <w:spacing w:before="0" w:beforeAutospacing="0" w:after="0" w:afterAutospacing="0" w:line="240" w:lineRule="auto"/>
              <w:ind w:left="0" w:right="0" w:hanging="4"/>
              <w:rPr>
                <w:rFonts w:hint="eastAsia" w:ascii="宋体" w:hAnsi="宋体" w:cs="宋体"/>
                <w:color w:val="000000"/>
                <w:kern w:val="0"/>
                <w:sz w:val="21"/>
                <w:szCs w:val="21"/>
                <w:highlight w:val="yellow"/>
              </w:rPr>
            </w:pPr>
          </w:p>
          <w:p w14:paraId="4C6F8493">
            <w:pPr>
              <w:keepNext w:val="0"/>
              <w:keepLines w:val="0"/>
              <w:widowControl/>
              <w:suppressLineNumbers w:val="0"/>
              <w:spacing w:before="0" w:beforeAutospacing="0" w:after="0" w:afterAutospacing="0" w:line="240" w:lineRule="auto"/>
              <w:ind w:left="0" w:right="0" w:hanging="4"/>
              <w:rPr>
                <w:rFonts w:hint="eastAsia" w:ascii="宋体" w:hAnsi="宋体" w:cs="宋体"/>
                <w:color w:val="000000"/>
                <w:kern w:val="0"/>
                <w:sz w:val="21"/>
                <w:szCs w:val="21"/>
              </w:rPr>
            </w:pPr>
            <w:r>
              <w:rPr>
                <w:rFonts w:hint="eastAsia" w:ascii="宋体" w:hAnsi="宋体" w:cs="宋体"/>
                <w:color w:val="000000"/>
                <w:kern w:val="0"/>
                <w:sz w:val="21"/>
                <w:szCs w:val="21"/>
              </w:rPr>
              <w:t>制冷量/制热量：</w:t>
            </w:r>
          </w:p>
          <w:p w14:paraId="36075E1C">
            <w:pPr>
              <w:keepNext w:val="0"/>
              <w:keepLines w:val="0"/>
              <w:widowControl/>
              <w:suppressLineNumbers w:val="0"/>
              <w:spacing w:before="0" w:beforeAutospacing="0" w:after="0" w:afterAutospacing="0" w:line="240" w:lineRule="auto"/>
              <w:ind w:left="0" w:right="0" w:hanging="4"/>
              <w:rPr>
                <w:rFonts w:hint="eastAsia" w:ascii="宋体" w:hAnsi="宋体" w:cs="宋体"/>
                <w:color w:val="000000"/>
                <w:kern w:val="0"/>
                <w:sz w:val="21"/>
                <w:szCs w:val="21"/>
                <w:lang w:eastAsia="zh-CN"/>
              </w:rPr>
            </w:pPr>
            <w:r>
              <w:rPr>
                <w:rFonts w:hint="eastAsia" w:ascii="宋体" w:hAnsi="宋体" w:cs="宋体"/>
                <w:color w:val="000000"/>
                <w:kern w:val="0"/>
                <w:sz w:val="21"/>
                <w:szCs w:val="21"/>
              </w:rPr>
              <w:t>QL</w:t>
            </w:r>
            <w:r>
              <w:rPr>
                <w:rFonts w:hint="default" w:ascii="宋体" w:hAnsi="宋体" w:cs="宋体"/>
                <w:color w:val="000000"/>
                <w:kern w:val="0"/>
                <w:sz w:val="21"/>
                <w:szCs w:val="21"/>
              </w:rPr>
              <w:t>≥</w:t>
            </w:r>
            <w:r>
              <w:rPr>
                <w:rFonts w:hint="eastAsia" w:ascii="宋体" w:hAnsi="宋体" w:cs="宋体"/>
                <w:color w:val="000000"/>
                <w:kern w:val="0"/>
                <w:sz w:val="21"/>
                <w:szCs w:val="21"/>
              </w:rPr>
              <w:t xml:space="preserve">5.0kw </w:t>
            </w:r>
            <w:r>
              <w:rPr>
                <w:rFonts w:hint="eastAsia" w:ascii="宋体" w:hAnsi="宋体" w:cs="宋体"/>
                <w:color w:val="000000"/>
                <w:kern w:val="0"/>
                <w:sz w:val="21"/>
                <w:szCs w:val="21"/>
                <w:lang w:eastAsia="zh-CN"/>
              </w:rPr>
              <w:t>，</w:t>
            </w:r>
          </w:p>
          <w:p w14:paraId="7A7BF394">
            <w:pPr>
              <w:keepNext w:val="0"/>
              <w:keepLines w:val="0"/>
              <w:widowControl/>
              <w:suppressLineNumbers w:val="0"/>
              <w:spacing w:before="0" w:beforeAutospacing="0" w:after="0" w:afterAutospacing="0" w:line="240" w:lineRule="auto"/>
              <w:ind w:left="0" w:right="0" w:hanging="4"/>
              <w:rPr>
                <w:rFonts w:hint="eastAsia" w:ascii="宋体" w:hAnsi="宋体" w:cs="宋体"/>
                <w:color w:val="000000"/>
                <w:kern w:val="0"/>
                <w:sz w:val="21"/>
                <w:szCs w:val="21"/>
                <w:lang w:eastAsia="zh-CN"/>
              </w:rPr>
            </w:pPr>
            <w:r>
              <w:rPr>
                <w:rFonts w:hint="eastAsia" w:ascii="宋体" w:hAnsi="宋体" w:cs="宋体"/>
                <w:color w:val="000000"/>
                <w:kern w:val="0"/>
                <w:sz w:val="21"/>
                <w:szCs w:val="21"/>
              </w:rPr>
              <w:t>QR</w:t>
            </w:r>
            <w:r>
              <w:rPr>
                <w:rFonts w:hint="default" w:ascii="宋体" w:hAnsi="宋体" w:cs="宋体"/>
                <w:color w:val="000000"/>
                <w:kern w:val="0"/>
                <w:sz w:val="21"/>
                <w:szCs w:val="21"/>
              </w:rPr>
              <w:t>≥</w:t>
            </w:r>
            <w:r>
              <w:rPr>
                <w:rFonts w:hint="eastAsia" w:ascii="宋体" w:hAnsi="宋体" w:cs="宋体"/>
                <w:color w:val="000000"/>
                <w:kern w:val="0"/>
                <w:sz w:val="21"/>
                <w:szCs w:val="21"/>
              </w:rPr>
              <w:t>5.6kw</w:t>
            </w:r>
            <w:r>
              <w:rPr>
                <w:rFonts w:hint="eastAsia" w:ascii="宋体" w:hAnsi="宋体" w:cs="宋体"/>
                <w:color w:val="000000"/>
                <w:kern w:val="0"/>
                <w:sz w:val="21"/>
                <w:szCs w:val="21"/>
                <w:lang w:eastAsia="zh-CN"/>
              </w:rPr>
              <w:t>；</w:t>
            </w:r>
          </w:p>
          <w:p w14:paraId="16D56EB2">
            <w:pPr>
              <w:keepNext w:val="0"/>
              <w:keepLines w:val="0"/>
              <w:widowControl/>
              <w:suppressLineNumbers w:val="0"/>
              <w:spacing w:before="0" w:beforeAutospacing="0" w:after="0" w:afterAutospacing="0" w:line="240" w:lineRule="auto"/>
              <w:ind w:left="0" w:right="0" w:hanging="4"/>
              <w:rPr>
                <w:rFonts w:hint="eastAsia" w:ascii="宋体" w:hAnsi="宋体" w:cs="宋体"/>
                <w:color w:val="000000"/>
                <w:kern w:val="0"/>
                <w:sz w:val="21"/>
                <w:szCs w:val="21"/>
                <w:lang w:eastAsia="zh-CN"/>
              </w:rPr>
            </w:pPr>
            <w:r>
              <w:rPr>
                <w:rFonts w:hint="eastAsia" w:ascii="宋体" w:hAnsi="宋体" w:cs="宋体"/>
                <w:color w:val="000000"/>
                <w:kern w:val="0"/>
                <w:sz w:val="21"/>
                <w:szCs w:val="21"/>
              </w:rPr>
              <w:t>功率≤40W</w:t>
            </w:r>
            <w:r>
              <w:rPr>
                <w:rFonts w:hint="eastAsia" w:ascii="宋体" w:hAnsi="宋体" w:cs="宋体"/>
                <w:color w:val="000000"/>
                <w:kern w:val="0"/>
                <w:sz w:val="21"/>
                <w:szCs w:val="21"/>
                <w:lang w:eastAsia="zh-CN"/>
              </w:rPr>
              <w:t>；</w:t>
            </w:r>
          </w:p>
          <w:p w14:paraId="0CA2226F">
            <w:pPr>
              <w:keepNext w:val="0"/>
              <w:keepLines w:val="0"/>
              <w:widowControl/>
              <w:suppressLineNumbers w:val="0"/>
              <w:spacing w:before="0" w:beforeAutospacing="0" w:after="0" w:afterAutospacing="0" w:line="240" w:lineRule="auto"/>
              <w:ind w:left="0" w:right="0" w:hanging="4"/>
              <w:rPr>
                <w:rFonts w:hint="eastAsia" w:ascii="宋体" w:hAnsi="宋体" w:cs="宋体"/>
                <w:color w:val="000000"/>
                <w:kern w:val="0"/>
                <w:sz w:val="21"/>
                <w:szCs w:val="21"/>
                <w:lang w:eastAsia="zh-CN"/>
              </w:rPr>
            </w:pPr>
            <w:r>
              <w:rPr>
                <w:rFonts w:hint="eastAsia" w:ascii="宋体" w:hAnsi="宋体" w:cs="宋体"/>
                <w:color w:val="000000"/>
                <w:kern w:val="0"/>
                <w:sz w:val="21"/>
                <w:szCs w:val="21"/>
              </w:rPr>
              <w:t>循环风量≥840m³/h</w:t>
            </w:r>
            <w:r>
              <w:rPr>
                <w:rFonts w:hint="eastAsia" w:ascii="宋体" w:hAnsi="宋体" w:cs="宋体"/>
                <w:color w:val="000000"/>
                <w:kern w:val="0"/>
                <w:sz w:val="21"/>
                <w:szCs w:val="21"/>
                <w:lang w:eastAsia="zh-CN"/>
              </w:rPr>
              <w:t>；</w:t>
            </w:r>
          </w:p>
          <w:p w14:paraId="397175A3">
            <w:pPr>
              <w:keepNext w:val="0"/>
              <w:keepLines w:val="0"/>
              <w:widowControl/>
              <w:suppressLineNumbers w:val="0"/>
              <w:spacing w:before="0" w:beforeAutospacing="0" w:after="0" w:afterAutospacing="0" w:line="240" w:lineRule="auto"/>
              <w:ind w:left="0" w:right="0" w:hanging="4"/>
              <w:rPr>
                <w:rFonts w:hint="eastAsia" w:ascii="宋体" w:hAnsi="宋体" w:cs="宋体"/>
                <w:color w:val="000000"/>
                <w:kern w:val="0"/>
                <w:sz w:val="21"/>
                <w:szCs w:val="21"/>
                <w:lang w:eastAsia="zh-CN"/>
              </w:rPr>
            </w:pPr>
            <w:r>
              <w:rPr>
                <w:rFonts w:hint="eastAsia" w:ascii="宋体" w:hAnsi="宋体" w:cs="宋体"/>
                <w:color w:val="000000"/>
                <w:kern w:val="0"/>
                <w:sz w:val="21"/>
                <w:szCs w:val="21"/>
              </w:rPr>
              <w:t>噪音≤33dB</w:t>
            </w:r>
            <w:r>
              <w:rPr>
                <w:rFonts w:hint="eastAsia" w:ascii="宋体" w:hAnsi="宋体" w:cs="宋体"/>
                <w:color w:val="000000"/>
                <w:kern w:val="0"/>
                <w:sz w:val="21"/>
                <w:szCs w:val="21"/>
                <w:lang w:eastAsia="zh-CN"/>
              </w:rPr>
              <w:t>；</w:t>
            </w:r>
          </w:p>
          <w:p w14:paraId="0A5EC97A">
            <w:pPr>
              <w:pStyle w:val="24"/>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仿宋" w:hAnsi="仿宋" w:eastAsia="仿宋" w:cs="仿宋"/>
                <w:b w:val="0"/>
                <w:bCs w:val="0"/>
                <w:sz w:val="21"/>
                <w:szCs w:val="21"/>
                <w:u w:val="none"/>
                <w:lang w:val="en-US" w:eastAsia="zh-CN"/>
              </w:rPr>
            </w:pPr>
            <w:r>
              <w:rPr>
                <w:rFonts w:hint="eastAsia" w:ascii="宋体" w:hAnsi="宋体" w:cs="宋体"/>
                <w:color w:val="000000"/>
                <w:kern w:val="0"/>
                <w:sz w:val="21"/>
                <w:szCs w:val="21"/>
              </w:rPr>
              <w:t>标配冷凝水提升水泵</w:t>
            </w:r>
            <w:r>
              <w:rPr>
                <w:rFonts w:hint="eastAsia" w:ascii="宋体" w:hAnsi="宋体" w:cs="宋体"/>
                <w:color w:val="000000"/>
                <w:sz w:val="21"/>
                <w:szCs w:val="21"/>
              </w:rPr>
              <w:t>。</w:t>
            </w:r>
          </w:p>
          <w:p w14:paraId="66154768">
            <w:pPr>
              <w:keepNext w:val="0"/>
              <w:keepLines w:val="0"/>
              <w:widowControl/>
              <w:suppressLineNumbers w:val="0"/>
              <w:spacing w:before="0" w:beforeAutospacing="0" w:after="0" w:afterAutospacing="0"/>
              <w:ind w:left="0" w:right="0" w:hanging="4"/>
              <w:rPr>
                <w:rFonts w:hint="eastAsia" w:ascii="宋体" w:hAnsi="宋体" w:cs="宋体"/>
                <w:color w:val="000000"/>
                <w:kern w:val="0"/>
                <w:sz w:val="21"/>
                <w:szCs w:val="21"/>
                <w:lang w:eastAsia="zh-CN"/>
              </w:rPr>
            </w:pPr>
          </w:p>
        </w:tc>
        <w:tc>
          <w:tcPr>
            <w:tcW w:w="451" w:type="pct"/>
            <w:tcBorders>
              <w:top w:val="single" w:color="auto" w:sz="4" w:space="0"/>
              <w:left w:val="nil"/>
              <w:bottom w:val="single" w:color="auto" w:sz="4" w:space="0"/>
              <w:right w:val="single" w:color="auto" w:sz="4" w:space="0"/>
            </w:tcBorders>
            <w:noWrap w:val="0"/>
            <w:vAlign w:val="center"/>
          </w:tcPr>
          <w:p w14:paraId="2EB5A678">
            <w:pPr>
              <w:keepNext w:val="0"/>
              <w:keepLines w:val="0"/>
              <w:suppressLineNumbers w:val="0"/>
              <w:spacing w:before="0" w:beforeAutospacing="0" w:after="0" w:afterAutospacing="0"/>
              <w:ind w:left="0" w:right="0"/>
              <w:jc w:val="center"/>
              <w:rPr>
                <w:rFonts w:hint="default" w:ascii="宋体" w:hAnsi="宋体" w:cs="宋体"/>
                <w:color w:val="000000"/>
                <w:kern w:val="0"/>
                <w:sz w:val="21"/>
                <w:szCs w:val="21"/>
              </w:rPr>
            </w:pPr>
            <w:r>
              <w:rPr>
                <w:rFonts w:hint="eastAsia" w:ascii="宋体" w:hAnsi="宋体" w:cs="宋体"/>
                <w:color w:val="000000"/>
                <w:kern w:val="0"/>
                <w:sz w:val="21"/>
                <w:szCs w:val="21"/>
              </w:rPr>
              <w:t>台</w:t>
            </w:r>
          </w:p>
        </w:tc>
        <w:tc>
          <w:tcPr>
            <w:tcW w:w="435" w:type="pct"/>
            <w:tcBorders>
              <w:top w:val="single" w:color="auto" w:sz="4" w:space="0"/>
              <w:left w:val="nil"/>
              <w:bottom w:val="single" w:color="auto" w:sz="4" w:space="0"/>
              <w:right w:val="single" w:color="auto" w:sz="4" w:space="0"/>
            </w:tcBorders>
            <w:noWrap w:val="0"/>
            <w:vAlign w:val="center"/>
          </w:tcPr>
          <w:p w14:paraId="29524AD8">
            <w:pPr>
              <w:keepNext w:val="0"/>
              <w:keepLines w:val="0"/>
              <w:suppressLineNumbers w:val="0"/>
              <w:spacing w:before="0" w:beforeAutospacing="0" w:after="0" w:afterAutospacing="0"/>
              <w:ind w:left="0" w:right="0"/>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c>
          <w:tcPr>
            <w:tcW w:w="602" w:type="pct"/>
            <w:tcBorders>
              <w:top w:val="single" w:color="auto" w:sz="4" w:space="0"/>
              <w:left w:val="nil"/>
              <w:bottom w:val="single" w:color="auto" w:sz="4" w:space="0"/>
              <w:right w:val="single" w:color="auto" w:sz="4" w:space="0"/>
            </w:tcBorders>
            <w:noWrap w:val="0"/>
            <w:vAlign w:val="center"/>
          </w:tcPr>
          <w:p w14:paraId="281A2EE5">
            <w:pPr>
              <w:keepNext w:val="0"/>
              <w:keepLines w:val="0"/>
              <w:suppressLineNumbers w:val="0"/>
              <w:spacing w:before="0" w:beforeAutospacing="0" w:after="0" w:afterAutospacing="0"/>
              <w:ind w:left="0" w:right="0"/>
              <w:jc w:val="center"/>
              <w:rPr>
                <w:rFonts w:hint="default" w:ascii="宋体" w:hAnsi="宋体" w:cs="宋体" w:eastAsiaTheme="minorEastAsia"/>
                <w:color w:val="000000"/>
                <w:kern w:val="0"/>
                <w:sz w:val="21"/>
                <w:szCs w:val="21"/>
                <w:lang w:val="en-US" w:eastAsia="zh-CN"/>
              </w:rPr>
            </w:pPr>
            <w:r>
              <w:rPr>
                <w:rFonts w:hint="eastAsia" w:ascii="宋体" w:hAnsi="宋体" w:cs="宋体"/>
                <w:color w:val="000000"/>
                <w:kern w:val="0"/>
                <w:sz w:val="21"/>
                <w:szCs w:val="21"/>
                <w:lang w:val="en-US" w:eastAsia="zh-CN"/>
              </w:rPr>
              <w:t>3000</w:t>
            </w:r>
          </w:p>
        </w:tc>
        <w:tc>
          <w:tcPr>
            <w:tcW w:w="637" w:type="pct"/>
            <w:tcBorders>
              <w:top w:val="single" w:color="auto" w:sz="4" w:space="0"/>
              <w:left w:val="nil"/>
              <w:bottom w:val="single" w:color="auto" w:sz="4" w:space="0"/>
              <w:right w:val="single" w:color="auto" w:sz="4" w:space="0"/>
            </w:tcBorders>
            <w:noWrap w:val="0"/>
            <w:vAlign w:val="center"/>
          </w:tcPr>
          <w:p w14:paraId="63201591">
            <w:pPr>
              <w:keepNext w:val="0"/>
              <w:keepLines w:val="0"/>
              <w:suppressLineNumbers w:val="0"/>
              <w:spacing w:before="0" w:beforeAutospacing="0" w:after="0" w:afterAutospacing="0"/>
              <w:ind w:left="0" w:right="0"/>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12000</w:t>
            </w:r>
          </w:p>
        </w:tc>
      </w:tr>
      <w:tr w14:paraId="55C39793">
        <w:tblPrEx>
          <w:tblCellMar>
            <w:top w:w="0" w:type="dxa"/>
            <w:left w:w="108" w:type="dxa"/>
            <w:bottom w:w="0" w:type="dxa"/>
            <w:right w:w="108" w:type="dxa"/>
          </w:tblCellMar>
        </w:tblPrEx>
        <w:trPr>
          <w:trHeight w:val="1651" w:hRule="atLeast"/>
          <w:jc w:val="center"/>
        </w:trPr>
        <w:tc>
          <w:tcPr>
            <w:tcW w:w="3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4CF375D">
            <w:pPr>
              <w:keepNext w:val="0"/>
              <w:keepLines w:val="0"/>
              <w:suppressLineNumbers w:val="0"/>
              <w:spacing w:before="0" w:beforeAutospacing="0" w:after="0" w:afterAutospacing="0"/>
              <w:ind w:left="0" w:right="0"/>
              <w:jc w:val="center"/>
              <w:rPr>
                <w:rFonts w:hint="eastAsia" w:ascii="宋体" w:hAnsi="宋体" w:cs="宋体"/>
                <w:color w:val="000000"/>
                <w:kern w:val="0"/>
                <w:sz w:val="21"/>
                <w:szCs w:val="21"/>
              </w:rPr>
            </w:pPr>
            <w:r>
              <w:rPr>
                <w:rFonts w:hint="eastAsia" w:ascii="宋体" w:hAnsi="宋体" w:cs="宋体"/>
                <w:color w:val="000000"/>
                <w:kern w:val="0"/>
                <w:sz w:val="21"/>
                <w:szCs w:val="21"/>
              </w:rPr>
              <w:t>3</w:t>
            </w:r>
          </w:p>
        </w:tc>
        <w:tc>
          <w:tcPr>
            <w:tcW w:w="1012" w:type="pct"/>
            <w:tcBorders>
              <w:top w:val="single" w:color="auto" w:sz="4" w:space="0"/>
              <w:left w:val="nil"/>
              <w:bottom w:val="single" w:color="auto" w:sz="4" w:space="0"/>
              <w:right w:val="single" w:color="auto" w:sz="4" w:space="0"/>
            </w:tcBorders>
            <w:shd w:val="clear" w:color="auto" w:fill="auto"/>
            <w:noWrap w:val="0"/>
            <w:vAlign w:val="center"/>
          </w:tcPr>
          <w:p w14:paraId="0047CB67">
            <w:pPr>
              <w:keepNext w:val="0"/>
              <w:keepLines w:val="0"/>
              <w:suppressLineNumbers w:val="0"/>
              <w:spacing w:before="0" w:beforeAutospacing="0" w:after="0" w:afterAutospacing="0"/>
              <w:ind w:left="0" w:right="0"/>
              <w:jc w:val="left"/>
              <w:rPr>
                <w:rFonts w:hint="default" w:ascii="宋体" w:hAnsi="宋体" w:cs="宋体"/>
                <w:color w:val="000000"/>
                <w:kern w:val="0"/>
                <w:sz w:val="21"/>
                <w:szCs w:val="21"/>
              </w:rPr>
            </w:pPr>
            <w:r>
              <w:rPr>
                <w:rFonts w:hint="eastAsia" w:ascii="宋体" w:hAnsi="宋体" w:cs="宋体"/>
                <w:color w:val="000000"/>
                <w:kern w:val="0"/>
                <w:sz w:val="21"/>
                <w:szCs w:val="21"/>
              </w:rPr>
              <w:t>环形出风嵌入式室内机</w:t>
            </w:r>
          </w:p>
        </w:tc>
        <w:tc>
          <w:tcPr>
            <w:tcW w:w="146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B50778">
            <w:pPr>
              <w:keepNext w:val="0"/>
              <w:keepLines w:val="0"/>
              <w:widowControl/>
              <w:suppressLineNumbers w:val="0"/>
              <w:spacing w:before="0" w:beforeAutospacing="0" w:after="0" w:afterAutospacing="0" w:line="240" w:lineRule="auto"/>
              <w:ind w:left="0" w:right="0"/>
              <w:rPr>
                <w:rFonts w:hint="eastAsia" w:ascii="宋体" w:hAnsi="宋体" w:cs="宋体"/>
                <w:color w:val="000000"/>
                <w:kern w:val="0"/>
                <w:sz w:val="21"/>
                <w:szCs w:val="21"/>
                <w:highlight w:val="yellow"/>
                <w:lang w:eastAsia="zh-CN"/>
              </w:rPr>
            </w:pPr>
          </w:p>
          <w:p w14:paraId="3908589D">
            <w:pPr>
              <w:keepNext w:val="0"/>
              <w:keepLines w:val="0"/>
              <w:widowControl/>
              <w:suppressLineNumbers w:val="0"/>
              <w:spacing w:before="0" w:beforeAutospacing="0" w:after="0" w:afterAutospacing="0" w:line="240" w:lineRule="auto"/>
              <w:ind w:left="0" w:right="0" w:hanging="4"/>
              <w:rPr>
                <w:rFonts w:hint="eastAsia" w:ascii="宋体" w:hAnsi="宋体" w:cs="宋体"/>
                <w:color w:val="000000"/>
                <w:kern w:val="0"/>
                <w:sz w:val="21"/>
                <w:szCs w:val="21"/>
              </w:rPr>
            </w:pPr>
            <w:r>
              <w:rPr>
                <w:rFonts w:hint="eastAsia" w:ascii="宋体" w:hAnsi="宋体" w:cs="宋体"/>
                <w:color w:val="000000"/>
                <w:kern w:val="0"/>
                <w:sz w:val="21"/>
                <w:szCs w:val="21"/>
              </w:rPr>
              <w:t>制冷量/制热量：</w:t>
            </w:r>
          </w:p>
          <w:p w14:paraId="3597DC3C">
            <w:pPr>
              <w:keepNext w:val="0"/>
              <w:keepLines w:val="0"/>
              <w:widowControl/>
              <w:suppressLineNumbers w:val="0"/>
              <w:spacing w:before="0" w:beforeAutospacing="0" w:after="0" w:afterAutospacing="0" w:line="240" w:lineRule="auto"/>
              <w:ind w:left="0" w:right="0" w:hanging="4"/>
              <w:rPr>
                <w:rFonts w:hint="eastAsia" w:ascii="宋体" w:hAnsi="宋体" w:cs="宋体"/>
                <w:color w:val="000000"/>
                <w:kern w:val="0"/>
                <w:sz w:val="21"/>
                <w:szCs w:val="21"/>
                <w:lang w:eastAsia="zh-CN"/>
              </w:rPr>
            </w:pPr>
            <w:r>
              <w:rPr>
                <w:rFonts w:hint="eastAsia" w:ascii="宋体" w:hAnsi="宋体" w:cs="宋体"/>
                <w:color w:val="000000"/>
                <w:kern w:val="0"/>
                <w:sz w:val="21"/>
                <w:szCs w:val="21"/>
              </w:rPr>
              <w:t>QL</w:t>
            </w:r>
            <w:r>
              <w:rPr>
                <w:rFonts w:hint="default" w:ascii="宋体" w:hAnsi="宋体" w:cs="宋体"/>
                <w:color w:val="000000"/>
                <w:kern w:val="0"/>
                <w:sz w:val="21"/>
                <w:szCs w:val="21"/>
              </w:rPr>
              <w:t>≥</w:t>
            </w:r>
            <w:r>
              <w:rPr>
                <w:rFonts w:hint="eastAsia" w:ascii="宋体" w:hAnsi="宋体" w:cs="宋体"/>
                <w:color w:val="000000"/>
                <w:kern w:val="0"/>
                <w:sz w:val="21"/>
                <w:szCs w:val="21"/>
              </w:rPr>
              <w:t xml:space="preserve">5.6kw </w:t>
            </w:r>
            <w:r>
              <w:rPr>
                <w:rFonts w:hint="eastAsia" w:ascii="宋体" w:hAnsi="宋体" w:cs="宋体"/>
                <w:color w:val="000000"/>
                <w:kern w:val="0"/>
                <w:sz w:val="21"/>
                <w:szCs w:val="21"/>
                <w:lang w:eastAsia="zh-CN"/>
              </w:rPr>
              <w:t>，</w:t>
            </w:r>
          </w:p>
          <w:p w14:paraId="24837239">
            <w:pPr>
              <w:keepNext w:val="0"/>
              <w:keepLines w:val="0"/>
              <w:widowControl/>
              <w:suppressLineNumbers w:val="0"/>
              <w:spacing w:before="0" w:beforeAutospacing="0" w:after="0" w:afterAutospacing="0" w:line="240" w:lineRule="auto"/>
              <w:ind w:left="0" w:right="0" w:hanging="4"/>
              <w:rPr>
                <w:rFonts w:hint="eastAsia" w:ascii="宋体" w:hAnsi="宋体" w:cs="宋体"/>
                <w:color w:val="000000"/>
                <w:kern w:val="0"/>
                <w:sz w:val="21"/>
                <w:szCs w:val="21"/>
                <w:lang w:eastAsia="zh-CN"/>
              </w:rPr>
            </w:pPr>
            <w:r>
              <w:rPr>
                <w:rFonts w:hint="eastAsia" w:ascii="宋体" w:hAnsi="宋体" w:cs="宋体"/>
                <w:color w:val="000000"/>
                <w:kern w:val="0"/>
                <w:sz w:val="21"/>
                <w:szCs w:val="21"/>
              </w:rPr>
              <w:t>QR</w:t>
            </w:r>
            <w:r>
              <w:rPr>
                <w:rFonts w:hint="default" w:ascii="宋体" w:hAnsi="宋体" w:cs="宋体"/>
                <w:color w:val="000000"/>
                <w:kern w:val="0"/>
                <w:sz w:val="21"/>
                <w:szCs w:val="21"/>
              </w:rPr>
              <w:t>≥</w:t>
            </w:r>
            <w:r>
              <w:rPr>
                <w:rFonts w:hint="eastAsia" w:ascii="宋体" w:hAnsi="宋体" w:cs="宋体"/>
                <w:color w:val="000000"/>
                <w:kern w:val="0"/>
                <w:sz w:val="21"/>
                <w:szCs w:val="21"/>
              </w:rPr>
              <w:t>6.3kw</w:t>
            </w:r>
            <w:r>
              <w:rPr>
                <w:rFonts w:hint="eastAsia" w:ascii="宋体" w:hAnsi="宋体" w:cs="宋体"/>
                <w:color w:val="000000"/>
                <w:kern w:val="0"/>
                <w:sz w:val="21"/>
                <w:szCs w:val="21"/>
                <w:lang w:eastAsia="zh-CN"/>
              </w:rPr>
              <w:t>；</w:t>
            </w:r>
          </w:p>
          <w:p w14:paraId="750118AC">
            <w:pPr>
              <w:keepNext w:val="0"/>
              <w:keepLines w:val="0"/>
              <w:widowControl/>
              <w:suppressLineNumbers w:val="0"/>
              <w:spacing w:before="0" w:beforeAutospacing="0" w:after="0" w:afterAutospacing="0" w:line="240" w:lineRule="auto"/>
              <w:ind w:left="0" w:right="0" w:hanging="4"/>
              <w:rPr>
                <w:rFonts w:hint="eastAsia" w:ascii="宋体" w:hAnsi="宋体" w:cs="宋体"/>
                <w:color w:val="000000"/>
                <w:kern w:val="0"/>
                <w:sz w:val="21"/>
                <w:szCs w:val="21"/>
                <w:lang w:eastAsia="zh-CN"/>
              </w:rPr>
            </w:pPr>
            <w:r>
              <w:rPr>
                <w:rFonts w:hint="eastAsia" w:ascii="宋体" w:hAnsi="宋体" w:cs="宋体"/>
                <w:color w:val="000000"/>
                <w:kern w:val="0"/>
                <w:sz w:val="21"/>
                <w:szCs w:val="21"/>
              </w:rPr>
              <w:t>功率≤40W</w:t>
            </w:r>
            <w:r>
              <w:rPr>
                <w:rFonts w:hint="eastAsia" w:ascii="宋体" w:hAnsi="宋体" w:cs="宋体"/>
                <w:color w:val="000000"/>
                <w:kern w:val="0"/>
                <w:sz w:val="21"/>
                <w:szCs w:val="21"/>
                <w:lang w:eastAsia="zh-CN"/>
              </w:rPr>
              <w:t>；</w:t>
            </w:r>
          </w:p>
          <w:p w14:paraId="63DECDCB">
            <w:pPr>
              <w:keepNext w:val="0"/>
              <w:keepLines w:val="0"/>
              <w:widowControl/>
              <w:suppressLineNumbers w:val="0"/>
              <w:spacing w:before="0" w:beforeAutospacing="0" w:after="0" w:afterAutospacing="0" w:line="240" w:lineRule="auto"/>
              <w:ind w:left="0" w:right="0" w:hanging="4"/>
              <w:rPr>
                <w:rFonts w:hint="eastAsia" w:ascii="宋体" w:hAnsi="宋体" w:cs="宋体"/>
                <w:color w:val="000000"/>
                <w:kern w:val="0"/>
                <w:sz w:val="21"/>
                <w:szCs w:val="21"/>
                <w:lang w:eastAsia="zh-CN"/>
              </w:rPr>
            </w:pPr>
            <w:r>
              <w:rPr>
                <w:rFonts w:hint="eastAsia" w:ascii="宋体" w:hAnsi="宋体" w:cs="宋体"/>
                <w:color w:val="000000"/>
                <w:kern w:val="0"/>
                <w:sz w:val="21"/>
                <w:szCs w:val="21"/>
              </w:rPr>
              <w:t>循环风量≥840m³/h</w:t>
            </w:r>
            <w:r>
              <w:rPr>
                <w:rFonts w:hint="eastAsia" w:ascii="宋体" w:hAnsi="宋体" w:cs="宋体"/>
                <w:color w:val="000000"/>
                <w:kern w:val="0"/>
                <w:sz w:val="21"/>
                <w:szCs w:val="21"/>
                <w:lang w:eastAsia="zh-CN"/>
              </w:rPr>
              <w:t>；</w:t>
            </w:r>
          </w:p>
          <w:p w14:paraId="51E07039">
            <w:pPr>
              <w:keepNext w:val="0"/>
              <w:keepLines w:val="0"/>
              <w:widowControl/>
              <w:suppressLineNumbers w:val="0"/>
              <w:spacing w:before="0" w:beforeAutospacing="0" w:after="0" w:afterAutospacing="0" w:line="240" w:lineRule="auto"/>
              <w:ind w:left="0" w:right="0" w:hanging="4"/>
              <w:rPr>
                <w:rFonts w:hint="eastAsia" w:ascii="宋体" w:hAnsi="宋体" w:cs="宋体"/>
                <w:color w:val="000000"/>
                <w:kern w:val="0"/>
                <w:sz w:val="21"/>
                <w:szCs w:val="21"/>
                <w:lang w:eastAsia="zh-CN"/>
              </w:rPr>
            </w:pPr>
            <w:r>
              <w:rPr>
                <w:rFonts w:hint="eastAsia" w:ascii="宋体" w:hAnsi="宋体" w:cs="宋体"/>
                <w:color w:val="000000"/>
                <w:kern w:val="0"/>
                <w:sz w:val="21"/>
                <w:szCs w:val="21"/>
              </w:rPr>
              <w:t>噪音≤33dB</w:t>
            </w:r>
            <w:r>
              <w:rPr>
                <w:rFonts w:hint="eastAsia" w:ascii="宋体" w:hAnsi="宋体" w:cs="宋体"/>
                <w:color w:val="000000"/>
                <w:kern w:val="0"/>
                <w:sz w:val="21"/>
                <w:szCs w:val="21"/>
                <w:lang w:eastAsia="zh-CN"/>
              </w:rPr>
              <w:t>；</w:t>
            </w:r>
          </w:p>
          <w:p w14:paraId="47BA03EB">
            <w:pPr>
              <w:keepNext w:val="0"/>
              <w:keepLines w:val="0"/>
              <w:widowControl/>
              <w:suppressLineNumbers w:val="0"/>
              <w:spacing w:before="0" w:beforeAutospacing="0" w:after="0" w:afterAutospacing="0" w:line="240" w:lineRule="auto"/>
              <w:ind w:left="0" w:right="0" w:hanging="4"/>
              <w:rPr>
                <w:rFonts w:hint="default" w:ascii="宋体" w:hAnsi="宋体" w:cs="宋体"/>
                <w:color w:val="000000"/>
                <w:kern w:val="0"/>
                <w:sz w:val="21"/>
                <w:szCs w:val="21"/>
                <w:lang w:val="en-US" w:eastAsia="zh-CN"/>
              </w:rPr>
            </w:pPr>
            <w:r>
              <w:rPr>
                <w:rFonts w:hint="eastAsia" w:ascii="宋体" w:hAnsi="宋体" w:cs="宋体"/>
                <w:color w:val="000000"/>
                <w:kern w:val="0"/>
                <w:sz w:val="21"/>
                <w:szCs w:val="21"/>
              </w:rPr>
              <w:t>标配冷凝水提升水泵。</w:t>
            </w:r>
          </w:p>
          <w:p w14:paraId="0D8D3A73">
            <w:pPr>
              <w:keepNext w:val="0"/>
              <w:keepLines w:val="0"/>
              <w:widowControl/>
              <w:suppressLineNumbers w:val="0"/>
              <w:spacing w:before="0" w:beforeAutospacing="0" w:after="0" w:afterAutospacing="0"/>
              <w:ind w:left="0" w:right="0" w:hanging="4"/>
              <w:rPr>
                <w:rFonts w:hint="default" w:ascii="宋体" w:hAnsi="宋体" w:cs="宋体"/>
                <w:color w:val="000000"/>
                <w:kern w:val="0"/>
                <w:sz w:val="21"/>
                <w:szCs w:val="21"/>
                <w:lang w:eastAsia="zh-CN"/>
              </w:rPr>
            </w:pPr>
          </w:p>
        </w:tc>
        <w:tc>
          <w:tcPr>
            <w:tcW w:w="451" w:type="pct"/>
            <w:tcBorders>
              <w:top w:val="single" w:color="auto" w:sz="4" w:space="0"/>
              <w:left w:val="nil"/>
              <w:bottom w:val="single" w:color="auto" w:sz="4" w:space="0"/>
              <w:right w:val="single" w:color="auto" w:sz="4" w:space="0"/>
            </w:tcBorders>
            <w:noWrap w:val="0"/>
            <w:vAlign w:val="center"/>
          </w:tcPr>
          <w:p w14:paraId="3C10F973">
            <w:pPr>
              <w:keepNext w:val="0"/>
              <w:keepLines w:val="0"/>
              <w:suppressLineNumbers w:val="0"/>
              <w:spacing w:before="0" w:beforeAutospacing="0" w:after="0" w:afterAutospacing="0"/>
              <w:ind w:left="0" w:right="0"/>
              <w:jc w:val="center"/>
              <w:rPr>
                <w:rFonts w:hint="default" w:ascii="宋体" w:hAnsi="宋体" w:cs="宋体"/>
                <w:color w:val="000000"/>
                <w:kern w:val="0"/>
                <w:sz w:val="21"/>
                <w:szCs w:val="21"/>
              </w:rPr>
            </w:pPr>
            <w:r>
              <w:rPr>
                <w:rFonts w:hint="eastAsia" w:ascii="宋体" w:hAnsi="宋体" w:cs="宋体"/>
                <w:color w:val="000000"/>
                <w:kern w:val="0"/>
                <w:sz w:val="21"/>
                <w:szCs w:val="21"/>
              </w:rPr>
              <w:t>台</w:t>
            </w:r>
          </w:p>
        </w:tc>
        <w:tc>
          <w:tcPr>
            <w:tcW w:w="435" w:type="pct"/>
            <w:tcBorders>
              <w:top w:val="single" w:color="auto" w:sz="4" w:space="0"/>
              <w:left w:val="nil"/>
              <w:bottom w:val="single" w:color="auto" w:sz="4" w:space="0"/>
              <w:right w:val="single" w:color="auto" w:sz="4" w:space="0"/>
            </w:tcBorders>
            <w:noWrap w:val="0"/>
            <w:vAlign w:val="center"/>
          </w:tcPr>
          <w:p w14:paraId="64B40563">
            <w:pPr>
              <w:keepNext w:val="0"/>
              <w:keepLines w:val="0"/>
              <w:suppressLineNumbers w:val="0"/>
              <w:spacing w:before="0" w:beforeAutospacing="0" w:after="0" w:afterAutospacing="0"/>
              <w:ind w:left="0" w:right="0"/>
              <w:jc w:val="center"/>
              <w:rPr>
                <w:rFonts w:hint="eastAsia" w:ascii="宋体" w:hAnsi="宋体" w:cs="宋体"/>
                <w:color w:val="000000"/>
                <w:kern w:val="0"/>
                <w:sz w:val="21"/>
                <w:szCs w:val="21"/>
              </w:rPr>
            </w:pPr>
            <w:r>
              <w:rPr>
                <w:rFonts w:hint="eastAsia" w:ascii="宋体" w:hAnsi="宋体" w:cs="宋体"/>
                <w:color w:val="000000"/>
                <w:kern w:val="0"/>
                <w:sz w:val="21"/>
                <w:szCs w:val="21"/>
              </w:rPr>
              <w:t>2</w:t>
            </w:r>
          </w:p>
        </w:tc>
        <w:tc>
          <w:tcPr>
            <w:tcW w:w="602" w:type="pct"/>
            <w:tcBorders>
              <w:top w:val="single" w:color="auto" w:sz="4" w:space="0"/>
              <w:left w:val="nil"/>
              <w:bottom w:val="single" w:color="auto" w:sz="4" w:space="0"/>
              <w:right w:val="single" w:color="auto" w:sz="4" w:space="0"/>
            </w:tcBorders>
            <w:noWrap w:val="0"/>
            <w:vAlign w:val="center"/>
          </w:tcPr>
          <w:p w14:paraId="21C5B100">
            <w:pPr>
              <w:keepNext w:val="0"/>
              <w:keepLines w:val="0"/>
              <w:suppressLineNumbers w:val="0"/>
              <w:spacing w:before="0" w:beforeAutospacing="0" w:after="0" w:afterAutospacing="0"/>
              <w:ind w:left="0" w:right="0"/>
              <w:jc w:val="center"/>
              <w:rPr>
                <w:rFonts w:hint="default" w:ascii="宋体" w:hAnsi="宋体" w:cs="宋体" w:eastAsiaTheme="minorEastAsia"/>
                <w:color w:val="000000"/>
                <w:kern w:val="0"/>
                <w:sz w:val="21"/>
                <w:szCs w:val="21"/>
                <w:lang w:val="en-US" w:eastAsia="zh-CN"/>
              </w:rPr>
            </w:pPr>
            <w:r>
              <w:rPr>
                <w:rFonts w:hint="eastAsia" w:ascii="宋体" w:hAnsi="宋体" w:cs="宋体"/>
                <w:color w:val="000000"/>
                <w:kern w:val="0"/>
                <w:sz w:val="21"/>
                <w:szCs w:val="21"/>
                <w:lang w:val="en-US" w:eastAsia="zh-CN"/>
              </w:rPr>
              <w:t>3100</w:t>
            </w:r>
          </w:p>
        </w:tc>
        <w:tc>
          <w:tcPr>
            <w:tcW w:w="637" w:type="pct"/>
            <w:tcBorders>
              <w:top w:val="single" w:color="auto" w:sz="4" w:space="0"/>
              <w:left w:val="nil"/>
              <w:bottom w:val="single" w:color="auto" w:sz="4" w:space="0"/>
              <w:right w:val="single" w:color="auto" w:sz="4" w:space="0"/>
            </w:tcBorders>
            <w:noWrap w:val="0"/>
            <w:vAlign w:val="center"/>
          </w:tcPr>
          <w:p w14:paraId="57647B49">
            <w:pPr>
              <w:keepNext w:val="0"/>
              <w:keepLines w:val="0"/>
              <w:suppressLineNumbers w:val="0"/>
              <w:spacing w:before="0" w:beforeAutospacing="0" w:after="0" w:afterAutospacing="0"/>
              <w:ind w:left="0" w:right="0"/>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6200</w:t>
            </w:r>
          </w:p>
        </w:tc>
      </w:tr>
      <w:tr w14:paraId="770DB176">
        <w:tblPrEx>
          <w:tblCellMar>
            <w:top w:w="0" w:type="dxa"/>
            <w:left w:w="108" w:type="dxa"/>
            <w:bottom w:w="0" w:type="dxa"/>
            <w:right w:w="108" w:type="dxa"/>
          </w:tblCellMar>
        </w:tblPrEx>
        <w:trPr>
          <w:trHeight w:val="527" w:hRule="atLeast"/>
          <w:jc w:val="center"/>
        </w:trPr>
        <w:tc>
          <w:tcPr>
            <w:tcW w:w="3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95276C9">
            <w:pPr>
              <w:keepNext w:val="0"/>
              <w:keepLines w:val="0"/>
              <w:suppressLineNumbers w:val="0"/>
              <w:spacing w:before="0" w:beforeAutospacing="0" w:after="0" w:afterAutospacing="0"/>
              <w:ind w:left="0" w:right="0"/>
              <w:jc w:val="center"/>
              <w:rPr>
                <w:rFonts w:hint="eastAsia" w:ascii="宋体" w:hAnsi="宋体" w:cs="宋体"/>
                <w:color w:val="000000"/>
                <w:kern w:val="0"/>
                <w:sz w:val="21"/>
                <w:szCs w:val="21"/>
              </w:rPr>
            </w:pPr>
            <w:r>
              <w:rPr>
                <w:rFonts w:hint="eastAsia" w:ascii="宋体" w:hAnsi="宋体" w:cs="宋体"/>
                <w:color w:val="000000"/>
                <w:kern w:val="0"/>
                <w:sz w:val="21"/>
                <w:szCs w:val="21"/>
              </w:rPr>
              <w:t>4</w:t>
            </w:r>
          </w:p>
        </w:tc>
        <w:tc>
          <w:tcPr>
            <w:tcW w:w="1012" w:type="pct"/>
            <w:tcBorders>
              <w:top w:val="single" w:color="auto" w:sz="4" w:space="0"/>
              <w:left w:val="nil"/>
              <w:bottom w:val="single" w:color="auto" w:sz="4" w:space="0"/>
              <w:right w:val="single" w:color="auto" w:sz="4" w:space="0"/>
            </w:tcBorders>
            <w:shd w:val="clear" w:color="auto" w:fill="auto"/>
            <w:noWrap w:val="0"/>
            <w:vAlign w:val="center"/>
          </w:tcPr>
          <w:p w14:paraId="25F6910D">
            <w:pPr>
              <w:keepNext w:val="0"/>
              <w:keepLines w:val="0"/>
              <w:suppressLineNumbers w:val="0"/>
              <w:spacing w:before="0" w:beforeAutospacing="0" w:after="0" w:afterAutospacing="0"/>
              <w:ind w:left="0" w:right="0"/>
              <w:jc w:val="left"/>
              <w:rPr>
                <w:rFonts w:hint="eastAsia" w:ascii="宋体" w:hAnsi="宋体" w:cs="宋体"/>
                <w:color w:val="000000"/>
                <w:kern w:val="0"/>
                <w:sz w:val="21"/>
                <w:szCs w:val="21"/>
              </w:rPr>
            </w:pPr>
            <w:r>
              <w:rPr>
                <w:rFonts w:hint="eastAsia" w:ascii="宋体" w:hAnsi="宋体" w:cs="宋体"/>
                <w:color w:val="000000"/>
                <w:kern w:val="0"/>
                <w:sz w:val="21"/>
                <w:szCs w:val="21"/>
              </w:rPr>
              <w:t>线控器</w:t>
            </w:r>
          </w:p>
        </w:tc>
        <w:tc>
          <w:tcPr>
            <w:tcW w:w="146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FC5808">
            <w:pPr>
              <w:keepNext w:val="0"/>
              <w:keepLines w:val="0"/>
              <w:widowControl/>
              <w:suppressLineNumbers w:val="0"/>
              <w:spacing w:before="0" w:beforeAutospacing="0" w:after="0" w:afterAutospacing="0"/>
              <w:ind w:left="0" w:right="0" w:hanging="4"/>
              <w:rPr>
                <w:rFonts w:hint="eastAsia" w:ascii="宋体" w:hAnsi="宋体" w:cs="宋体" w:eastAsiaTheme="minorEastAsia"/>
                <w:color w:val="000000"/>
                <w:kern w:val="0"/>
                <w:sz w:val="21"/>
                <w:szCs w:val="21"/>
                <w:lang w:val="en-US" w:eastAsia="zh-CN"/>
              </w:rPr>
            </w:pPr>
            <w:r>
              <w:rPr>
                <w:rFonts w:hint="eastAsia" w:ascii="宋体" w:hAnsi="宋体" w:cs="宋体"/>
                <w:color w:val="000000"/>
                <w:kern w:val="0"/>
                <w:sz w:val="21"/>
                <w:szCs w:val="21"/>
                <w:lang w:val="en-US" w:eastAsia="zh-CN"/>
              </w:rPr>
              <w:t>/</w:t>
            </w:r>
          </w:p>
        </w:tc>
        <w:tc>
          <w:tcPr>
            <w:tcW w:w="451" w:type="pct"/>
            <w:tcBorders>
              <w:top w:val="single" w:color="auto" w:sz="4" w:space="0"/>
              <w:left w:val="nil"/>
              <w:bottom w:val="single" w:color="auto" w:sz="4" w:space="0"/>
              <w:right w:val="single" w:color="auto" w:sz="4" w:space="0"/>
            </w:tcBorders>
            <w:noWrap w:val="0"/>
            <w:vAlign w:val="center"/>
          </w:tcPr>
          <w:p w14:paraId="413047FA">
            <w:pPr>
              <w:keepNext w:val="0"/>
              <w:keepLines w:val="0"/>
              <w:suppressLineNumbers w:val="0"/>
              <w:spacing w:before="0" w:beforeAutospacing="0" w:after="0" w:afterAutospacing="0"/>
              <w:ind w:left="0" w:right="0"/>
              <w:jc w:val="center"/>
              <w:rPr>
                <w:rFonts w:hint="eastAsia" w:ascii="宋体" w:hAnsi="宋体" w:cs="宋体"/>
                <w:color w:val="000000"/>
                <w:kern w:val="0"/>
                <w:sz w:val="21"/>
                <w:szCs w:val="21"/>
              </w:rPr>
            </w:pPr>
            <w:r>
              <w:rPr>
                <w:rFonts w:hint="eastAsia" w:ascii="宋体" w:hAnsi="宋体" w:cs="宋体"/>
                <w:color w:val="000000"/>
                <w:kern w:val="0"/>
                <w:sz w:val="21"/>
                <w:szCs w:val="21"/>
              </w:rPr>
              <w:t>个</w:t>
            </w:r>
          </w:p>
        </w:tc>
        <w:tc>
          <w:tcPr>
            <w:tcW w:w="435" w:type="pct"/>
            <w:tcBorders>
              <w:top w:val="single" w:color="auto" w:sz="4" w:space="0"/>
              <w:left w:val="nil"/>
              <w:bottom w:val="single" w:color="auto" w:sz="4" w:space="0"/>
              <w:right w:val="single" w:color="auto" w:sz="4" w:space="0"/>
            </w:tcBorders>
            <w:noWrap w:val="0"/>
            <w:vAlign w:val="center"/>
          </w:tcPr>
          <w:p w14:paraId="0F6D62C3">
            <w:pPr>
              <w:keepNext w:val="0"/>
              <w:keepLines w:val="0"/>
              <w:suppressLineNumbers w:val="0"/>
              <w:spacing w:before="0" w:beforeAutospacing="0" w:after="0" w:afterAutospacing="0"/>
              <w:ind w:left="0" w:right="0"/>
              <w:jc w:val="center"/>
              <w:rPr>
                <w:rFonts w:hint="eastAsia" w:ascii="宋体" w:hAnsi="宋体" w:cs="宋体"/>
                <w:color w:val="000000"/>
                <w:kern w:val="0"/>
                <w:sz w:val="21"/>
                <w:szCs w:val="21"/>
              </w:rPr>
            </w:pPr>
            <w:r>
              <w:rPr>
                <w:rFonts w:hint="eastAsia" w:ascii="宋体" w:hAnsi="宋体" w:cs="宋体"/>
                <w:color w:val="000000"/>
                <w:kern w:val="0"/>
                <w:sz w:val="21"/>
                <w:szCs w:val="21"/>
              </w:rPr>
              <w:t>6</w:t>
            </w:r>
          </w:p>
        </w:tc>
        <w:tc>
          <w:tcPr>
            <w:tcW w:w="602" w:type="pct"/>
            <w:tcBorders>
              <w:top w:val="single" w:color="auto" w:sz="4" w:space="0"/>
              <w:left w:val="nil"/>
              <w:bottom w:val="single" w:color="auto" w:sz="4" w:space="0"/>
              <w:right w:val="single" w:color="auto" w:sz="4" w:space="0"/>
            </w:tcBorders>
            <w:noWrap w:val="0"/>
            <w:vAlign w:val="center"/>
          </w:tcPr>
          <w:p w14:paraId="6D9871AB">
            <w:pPr>
              <w:keepNext w:val="0"/>
              <w:keepLines w:val="0"/>
              <w:suppressLineNumbers w:val="0"/>
              <w:spacing w:before="0" w:beforeAutospacing="0" w:after="0" w:afterAutospacing="0"/>
              <w:ind w:left="0" w:right="0"/>
              <w:jc w:val="center"/>
              <w:rPr>
                <w:rFonts w:hint="default" w:ascii="宋体" w:hAnsi="宋体" w:cs="宋体" w:eastAsiaTheme="minorEastAsia"/>
                <w:color w:val="000000"/>
                <w:kern w:val="0"/>
                <w:sz w:val="21"/>
                <w:szCs w:val="21"/>
                <w:lang w:val="en-US" w:eastAsia="zh-CN"/>
              </w:rPr>
            </w:pPr>
            <w:r>
              <w:rPr>
                <w:rFonts w:hint="eastAsia" w:ascii="宋体" w:hAnsi="宋体" w:cs="宋体"/>
                <w:color w:val="000000"/>
                <w:kern w:val="0"/>
                <w:sz w:val="21"/>
                <w:szCs w:val="21"/>
                <w:lang w:val="en-US" w:eastAsia="zh-CN"/>
              </w:rPr>
              <w:t>200</w:t>
            </w:r>
          </w:p>
        </w:tc>
        <w:tc>
          <w:tcPr>
            <w:tcW w:w="637" w:type="pct"/>
            <w:tcBorders>
              <w:top w:val="single" w:color="auto" w:sz="4" w:space="0"/>
              <w:left w:val="nil"/>
              <w:bottom w:val="single" w:color="auto" w:sz="4" w:space="0"/>
              <w:right w:val="single" w:color="auto" w:sz="4" w:space="0"/>
            </w:tcBorders>
            <w:noWrap w:val="0"/>
            <w:vAlign w:val="center"/>
          </w:tcPr>
          <w:p w14:paraId="2E23F872">
            <w:pPr>
              <w:keepNext w:val="0"/>
              <w:keepLines w:val="0"/>
              <w:suppressLineNumbers w:val="0"/>
              <w:spacing w:before="0" w:beforeAutospacing="0" w:after="0" w:afterAutospacing="0"/>
              <w:ind w:left="0" w:right="0"/>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1200</w:t>
            </w:r>
          </w:p>
        </w:tc>
      </w:tr>
      <w:tr w14:paraId="538CE5EF">
        <w:tblPrEx>
          <w:tblCellMar>
            <w:top w:w="0" w:type="dxa"/>
            <w:left w:w="108" w:type="dxa"/>
            <w:bottom w:w="0" w:type="dxa"/>
            <w:right w:w="108" w:type="dxa"/>
          </w:tblCellMar>
        </w:tblPrEx>
        <w:trPr>
          <w:trHeight w:val="777" w:hRule="atLeast"/>
          <w:jc w:val="center"/>
        </w:trPr>
        <w:tc>
          <w:tcPr>
            <w:tcW w:w="3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F15A6B6">
            <w:pPr>
              <w:keepNext w:val="0"/>
              <w:keepLines w:val="0"/>
              <w:suppressLineNumbers w:val="0"/>
              <w:spacing w:before="0" w:beforeAutospacing="0" w:after="0" w:afterAutospacing="0"/>
              <w:ind w:left="0" w:right="0"/>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5</w:t>
            </w:r>
          </w:p>
        </w:tc>
        <w:tc>
          <w:tcPr>
            <w:tcW w:w="1012" w:type="pct"/>
            <w:tcBorders>
              <w:top w:val="single" w:color="auto" w:sz="4" w:space="0"/>
              <w:left w:val="nil"/>
              <w:bottom w:val="single" w:color="auto" w:sz="4" w:space="0"/>
              <w:right w:val="single" w:color="auto" w:sz="4" w:space="0"/>
            </w:tcBorders>
            <w:shd w:val="clear" w:color="auto" w:fill="auto"/>
            <w:noWrap w:val="0"/>
            <w:vAlign w:val="center"/>
          </w:tcPr>
          <w:p w14:paraId="4FAA980B">
            <w:pPr>
              <w:keepNext w:val="0"/>
              <w:keepLines w:val="0"/>
              <w:suppressLineNumbers w:val="0"/>
              <w:spacing w:before="0" w:beforeAutospacing="0" w:after="0" w:afterAutospacing="0"/>
              <w:ind w:left="0" w:right="0"/>
              <w:jc w:val="left"/>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铜管、水管、保温、分歧管、冷媒等安装辅材和安装费</w:t>
            </w:r>
          </w:p>
        </w:tc>
        <w:tc>
          <w:tcPr>
            <w:tcW w:w="146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91755D">
            <w:pPr>
              <w:keepNext w:val="0"/>
              <w:keepLines w:val="0"/>
              <w:suppressLineNumbers w:val="0"/>
              <w:spacing w:before="0" w:beforeAutospacing="0" w:after="0" w:afterAutospacing="0"/>
              <w:ind w:left="0" w:right="0"/>
              <w:jc w:val="left"/>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w:t>
            </w:r>
          </w:p>
        </w:tc>
        <w:tc>
          <w:tcPr>
            <w:tcW w:w="451" w:type="pct"/>
            <w:tcBorders>
              <w:top w:val="single" w:color="auto" w:sz="4" w:space="0"/>
              <w:left w:val="nil"/>
              <w:bottom w:val="single" w:color="auto" w:sz="4" w:space="0"/>
              <w:right w:val="single" w:color="auto" w:sz="4" w:space="0"/>
            </w:tcBorders>
            <w:noWrap w:val="0"/>
            <w:vAlign w:val="center"/>
          </w:tcPr>
          <w:p w14:paraId="03873C47">
            <w:pPr>
              <w:keepNext w:val="0"/>
              <w:keepLines w:val="0"/>
              <w:suppressLineNumbers w:val="0"/>
              <w:spacing w:before="0" w:beforeAutospacing="0" w:after="0" w:afterAutospacing="0"/>
              <w:ind w:left="0" w:right="0"/>
              <w:jc w:val="center"/>
              <w:rPr>
                <w:rFonts w:hint="eastAsia" w:ascii="宋体" w:hAnsi="宋体" w:cs="宋体" w:eastAsiaTheme="minorEastAsia"/>
                <w:color w:val="000000"/>
                <w:kern w:val="0"/>
                <w:sz w:val="21"/>
                <w:szCs w:val="21"/>
                <w:lang w:val="en-US" w:eastAsia="zh-CN"/>
              </w:rPr>
            </w:pPr>
            <w:r>
              <w:rPr>
                <w:rFonts w:hint="eastAsia" w:ascii="宋体" w:hAnsi="宋体" w:cs="宋体"/>
                <w:color w:val="000000"/>
                <w:kern w:val="0"/>
                <w:sz w:val="21"/>
                <w:szCs w:val="21"/>
                <w:lang w:val="en-US" w:eastAsia="zh-CN"/>
              </w:rPr>
              <w:t>项</w:t>
            </w:r>
          </w:p>
        </w:tc>
        <w:tc>
          <w:tcPr>
            <w:tcW w:w="435" w:type="pct"/>
            <w:tcBorders>
              <w:top w:val="single" w:color="auto" w:sz="4" w:space="0"/>
              <w:left w:val="nil"/>
              <w:bottom w:val="single" w:color="auto" w:sz="4" w:space="0"/>
              <w:right w:val="single" w:color="auto" w:sz="4" w:space="0"/>
            </w:tcBorders>
            <w:noWrap w:val="0"/>
            <w:vAlign w:val="center"/>
          </w:tcPr>
          <w:p w14:paraId="414CCD71">
            <w:pPr>
              <w:keepNext w:val="0"/>
              <w:keepLines w:val="0"/>
              <w:suppressLineNumbers w:val="0"/>
              <w:spacing w:before="0" w:beforeAutospacing="0" w:after="0" w:afterAutospacing="0"/>
              <w:ind w:left="0" w:right="0"/>
              <w:jc w:val="center"/>
              <w:rPr>
                <w:rFonts w:hint="eastAsia" w:ascii="宋体" w:hAnsi="宋体" w:cs="宋体" w:eastAsiaTheme="minorEastAsia"/>
                <w:color w:val="000000"/>
                <w:kern w:val="0"/>
                <w:sz w:val="21"/>
                <w:szCs w:val="21"/>
                <w:lang w:val="en-US" w:eastAsia="zh-CN"/>
              </w:rPr>
            </w:pPr>
            <w:r>
              <w:rPr>
                <w:rFonts w:hint="eastAsia" w:ascii="宋体" w:hAnsi="宋体" w:cs="宋体"/>
                <w:color w:val="000000"/>
                <w:kern w:val="0"/>
                <w:sz w:val="21"/>
                <w:szCs w:val="21"/>
                <w:lang w:val="en-US" w:eastAsia="zh-CN"/>
              </w:rPr>
              <w:t>1</w:t>
            </w:r>
          </w:p>
        </w:tc>
        <w:tc>
          <w:tcPr>
            <w:tcW w:w="602" w:type="pct"/>
            <w:tcBorders>
              <w:top w:val="single" w:color="auto" w:sz="4" w:space="0"/>
              <w:left w:val="nil"/>
              <w:bottom w:val="single" w:color="auto" w:sz="4" w:space="0"/>
              <w:right w:val="single" w:color="auto" w:sz="4" w:space="0"/>
            </w:tcBorders>
            <w:noWrap w:val="0"/>
            <w:vAlign w:val="center"/>
          </w:tcPr>
          <w:p w14:paraId="21D419AC">
            <w:pPr>
              <w:keepNext w:val="0"/>
              <w:keepLines w:val="0"/>
              <w:suppressLineNumbers w:val="0"/>
              <w:spacing w:before="0" w:beforeAutospacing="0" w:after="0" w:afterAutospacing="0"/>
              <w:ind w:left="0" w:right="0"/>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16600</w:t>
            </w:r>
          </w:p>
        </w:tc>
        <w:tc>
          <w:tcPr>
            <w:tcW w:w="637" w:type="pct"/>
            <w:tcBorders>
              <w:top w:val="single" w:color="auto" w:sz="4" w:space="0"/>
              <w:left w:val="nil"/>
              <w:bottom w:val="single" w:color="auto" w:sz="4" w:space="0"/>
              <w:right w:val="single" w:color="auto" w:sz="4" w:space="0"/>
            </w:tcBorders>
            <w:noWrap w:val="0"/>
            <w:vAlign w:val="center"/>
          </w:tcPr>
          <w:p w14:paraId="569AFF71">
            <w:pPr>
              <w:keepNext w:val="0"/>
              <w:keepLines w:val="0"/>
              <w:suppressLineNumbers w:val="0"/>
              <w:spacing w:before="0" w:beforeAutospacing="0" w:after="0" w:afterAutospacing="0"/>
              <w:ind w:left="0" w:right="0"/>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16600</w:t>
            </w:r>
          </w:p>
        </w:tc>
      </w:tr>
      <w:tr w14:paraId="3CFD7ADA">
        <w:tblPrEx>
          <w:tblCellMar>
            <w:top w:w="0" w:type="dxa"/>
            <w:left w:w="108" w:type="dxa"/>
            <w:bottom w:w="0" w:type="dxa"/>
            <w:right w:w="108" w:type="dxa"/>
          </w:tblCellMar>
        </w:tblPrEx>
        <w:trPr>
          <w:trHeight w:val="552" w:hRule="atLeast"/>
          <w:jc w:val="center"/>
        </w:trPr>
        <w:tc>
          <w:tcPr>
            <w:tcW w:w="3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5907D26">
            <w:pPr>
              <w:keepNext w:val="0"/>
              <w:keepLines w:val="0"/>
              <w:suppressLineNumbers w:val="0"/>
              <w:spacing w:before="0" w:beforeAutospacing="0" w:after="0" w:afterAutospacing="0"/>
              <w:ind w:left="0" w:right="0"/>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合计</w:t>
            </w:r>
          </w:p>
        </w:tc>
        <w:tc>
          <w:tcPr>
            <w:tcW w:w="1012" w:type="pct"/>
            <w:tcBorders>
              <w:top w:val="single" w:color="auto" w:sz="4" w:space="0"/>
              <w:left w:val="nil"/>
              <w:bottom w:val="single" w:color="auto" w:sz="4" w:space="0"/>
              <w:right w:val="single" w:color="auto" w:sz="4" w:space="0"/>
            </w:tcBorders>
            <w:shd w:val="clear" w:color="auto" w:fill="auto"/>
            <w:noWrap w:val="0"/>
            <w:vAlign w:val="center"/>
          </w:tcPr>
          <w:p w14:paraId="49540E81">
            <w:pPr>
              <w:keepNext w:val="0"/>
              <w:keepLines w:val="0"/>
              <w:suppressLineNumbers w:val="0"/>
              <w:spacing w:before="0" w:beforeAutospacing="0" w:after="0" w:afterAutospacing="0"/>
              <w:ind w:left="0" w:right="0"/>
              <w:jc w:val="left"/>
              <w:rPr>
                <w:rFonts w:hint="eastAsia" w:ascii="宋体" w:hAnsi="宋体" w:cs="宋体"/>
                <w:color w:val="000000"/>
                <w:kern w:val="0"/>
                <w:sz w:val="21"/>
                <w:szCs w:val="21"/>
                <w:lang w:val="en-US" w:eastAsia="zh-CN"/>
              </w:rPr>
            </w:pPr>
          </w:p>
        </w:tc>
        <w:tc>
          <w:tcPr>
            <w:tcW w:w="146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0781F2">
            <w:pPr>
              <w:keepNext w:val="0"/>
              <w:keepLines w:val="0"/>
              <w:suppressLineNumbers w:val="0"/>
              <w:spacing w:before="0" w:beforeAutospacing="0" w:after="0" w:afterAutospacing="0"/>
              <w:ind w:left="0" w:right="0"/>
              <w:jc w:val="left"/>
              <w:rPr>
                <w:rFonts w:hint="eastAsia" w:ascii="宋体" w:hAnsi="宋体" w:cs="宋体"/>
                <w:color w:val="000000"/>
                <w:kern w:val="0"/>
                <w:sz w:val="21"/>
                <w:szCs w:val="21"/>
                <w:lang w:val="en-US" w:eastAsia="zh-CN"/>
              </w:rPr>
            </w:pPr>
          </w:p>
        </w:tc>
        <w:tc>
          <w:tcPr>
            <w:tcW w:w="451" w:type="pct"/>
            <w:tcBorders>
              <w:top w:val="single" w:color="auto" w:sz="4" w:space="0"/>
              <w:left w:val="nil"/>
              <w:bottom w:val="single" w:color="auto" w:sz="4" w:space="0"/>
              <w:right w:val="single" w:color="auto" w:sz="4" w:space="0"/>
            </w:tcBorders>
            <w:noWrap w:val="0"/>
            <w:vAlign w:val="center"/>
          </w:tcPr>
          <w:p w14:paraId="78142700">
            <w:pPr>
              <w:keepNext w:val="0"/>
              <w:keepLines w:val="0"/>
              <w:suppressLineNumbers w:val="0"/>
              <w:spacing w:before="0" w:beforeAutospacing="0" w:after="0" w:afterAutospacing="0"/>
              <w:ind w:left="0" w:right="0"/>
              <w:jc w:val="center"/>
              <w:rPr>
                <w:rFonts w:hint="eastAsia" w:ascii="宋体" w:hAnsi="宋体" w:cs="宋体"/>
                <w:color w:val="000000"/>
                <w:kern w:val="0"/>
                <w:sz w:val="21"/>
                <w:szCs w:val="21"/>
                <w:lang w:val="en-US" w:eastAsia="zh-CN"/>
              </w:rPr>
            </w:pPr>
          </w:p>
        </w:tc>
        <w:tc>
          <w:tcPr>
            <w:tcW w:w="435" w:type="pct"/>
            <w:tcBorders>
              <w:top w:val="single" w:color="auto" w:sz="4" w:space="0"/>
              <w:left w:val="nil"/>
              <w:bottom w:val="single" w:color="auto" w:sz="4" w:space="0"/>
              <w:right w:val="single" w:color="auto" w:sz="4" w:space="0"/>
            </w:tcBorders>
            <w:noWrap w:val="0"/>
            <w:vAlign w:val="center"/>
          </w:tcPr>
          <w:p w14:paraId="70E36D7A">
            <w:pPr>
              <w:keepNext w:val="0"/>
              <w:keepLines w:val="0"/>
              <w:suppressLineNumbers w:val="0"/>
              <w:spacing w:before="0" w:beforeAutospacing="0" w:after="0" w:afterAutospacing="0"/>
              <w:ind w:left="0" w:right="0"/>
              <w:jc w:val="center"/>
              <w:rPr>
                <w:rFonts w:hint="eastAsia" w:ascii="宋体" w:hAnsi="宋体" w:cs="宋体"/>
                <w:color w:val="000000"/>
                <w:kern w:val="0"/>
                <w:sz w:val="21"/>
                <w:szCs w:val="21"/>
                <w:lang w:val="en-US" w:eastAsia="zh-CN"/>
              </w:rPr>
            </w:pPr>
          </w:p>
        </w:tc>
        <w:tc>
          <w:tcPr>
            <w:tcW w:w="602" w:type="pct"/>
            <w:tcBorders>
              <w:top w:val="single" w:color="auto" w:sz="4" w:space="0"/>
              <w:left w:val="nil"/>
              <w:bottom w:val="single" w:color="auto" w:sz="4" w:space="0"/>
              <w:right w:val="single" w:color="auto" w:sz="4" w:space="0"/>
            </w:tcBorders>
            <w:noWrap w:val="0"/>
            <w:vAlign w:val="center"/>
          </w:tcPr>
          <w:p w14:paraId="6D02AE2F">
            <w:pPr>
              <w:keepNext w:val="0"/>
              <w:keepLines w:val="0"/>
              <w:suppressLineNumbers w:val="0"/>
              <w:spacing w:before="0" w:beforeAutospacing="0" w:after="0" w:afterAutospacing="0"/>
              <w:ind w:left="0" w:right="0"/>
              <w:jc w:val="center"/>
              <w:rPr>
                <w:rFonts w:hint="eastAsia" w:ascii="宋体" w:hAnsi="宋体" w:cs="宋体"/>
                <w:color w:val="000000"/>
                <w:kern w:val="0"/>
                <w:sz w:val="21"/>
                <w:szCs w:val="21"/>
                <w:lang w:val="en-US" w:eastAsia="zh-CN"/>
              </w:rPr>
            </w:pPr>
          </w:p>
        </w:tc>
        <w:tc>
          <w:tcPr>
            <w:tcW w:w="637" w:type="pct"/>
            <w:tcBorders>
              <w:top w:val="single" w:color="auto" w:sz="4" w:space="0"/>
              <w:left w:val="nil"/>
              <w:bottom w:val="single" w:color="auto" w:sz="4" w:space="0"/>
              <w:right w:val="single" w:color="auto" w:sz="4" w:space="0"/>
            </w:tcBorders>
            <w:noWrap w:val="0"/>
            <w:vAlign w:val="center"/>
          </w:tcPr>
          <w:p w14:paraId="4CF9FB04">
            <w:pPr>
              <w:keepNext w:val="0"/>
              <w:keepLines w:val="0"/>
              <w:suppressLineNumbers w:val="0"/>
              <w:spacing w:before="0" w:beforeAutospacing="0" w:after="0" w:afterAutospacing="0"/>
              <w:ind w:left="0" w:right="0"/>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fldChar w:fldCharType="begin"/>
            </w:r>
            <w:r>
              <w:rPr>
                <w:rFonts w:hint="eastAsia" w:ascii="宋体" w:hAnsi="宋体" w:cs="宋体"/>
                <w:color w:val="000000"/>
                <w:kern w:val="0"/>
                <w:sz w:val="21"/>
                <w:szCs w:val="21"/>
                <w:lang w:val="en-US" w:eastAsia="zh-CN"/>
              </w:rPr>
              <w:instrText xml:space="preserve"> = sum(G2:G6) \* MERGEFORMAT </w:instrText>
            </w:r>
            <w:r>
              <w:rPr>
                <w:rFonts w:hint="eastAsia" w:ascii="宋体" w:hAnsi="宋体" w:cs="宋体"/>
                <w:color w:val="000000"/>
                <w:kern w:val="0"/>
                <w:sz w:val="21"/>
                <w:szCs w:val="21"/>
                <w:lang w:val="en-US" w:eastAsia="zh-CN"/>
              </w:rPr>
              <w:fldChar w:fldCharType="separate"/>
            </w:r>
            <w:r>
              <w:rPr>
                <w:rFonts w:hint="eastAsia" w:ascii="宋体" w:hAnsi="宋体" w:cs="宋体"/>
                <w:color w:val="000000"/>
                <w:kern w:val="0"/>
                <w:sz w:val="21"/>
                <w:szCs w:val="21"/>
                <w:lang w:val="en-US" w:eastAsia="zh-CN"/>
              </w:rPr>
              <w:t>75000</w:t>
            </w:r>
            <w:r>
              <w:rPr>
                <w:rFonts w:hint="eastAsia" w:ascii="宋体" w:hAnsi="宋体" w:cs="宋体"/>
                <w:color w:val="000000"/>
                <w:kern w:val="0"/>
                <w:sz w:val="21"/>
                <w:szCs w:val="21"/>
                <w:lang w:val="en-US" w:eastAsia="zh-CN"/>
              </w:rPr>
              <w:fldChar w:fldCharType="end"/>
            </w:r>
          </w:p>
        </w:tc>
      </w:tr>
    </w:tbl>
    <w:p w14:paraId="5D30644D">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注：</w:t>
      </w:r>
      <w:r>
        <w:rPr>
          <w:rFonts w:hint="eastAsia" w:ascii="宋体" w:hAnsi="宋体" w:eastAsia="宋体" w:cs="宋体"/>
          <w:b/>
          <w:bCs/>
          <w:color w:val="auto"/>
          <w:kern w:val="2"/>
          <w:sz w:val="21"/>
          <w:szCs w:val="24"/>
          <w:highlight w:val="none"/>
          <w:lang w:val="en-US" w:eastAsia="zh-CN" w:bidi="ar-SA"/>
        </w:rPr>
        <w:t>费用含设备、辅材、运输、税金、安装等各项所需费用，合同期内医院不再承担任何其他费用。</w:t>
      </w:r>
    </w:p>
    <w:p w14:paraId="552BC727">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0B2E64F1">
      <w:pPr>
        <w:rPr>
          <w:rFonts w:hint="eastAsia" w:ascii="宋体" w:hAnsi="宋体" w:eastAsia="宋体" w:cs="宋体"/>
          <w:b/>
          <w:bCs/>
          <w:color w:val="auto"/>
          <w:kern w:val="2"/>
          <w:sz w:val="21"/>
          <w:szCs w:val="24"/>
          <w:highlight w:val="none"/>
          <w:lang w:val="en-US" w:eastAsia="zh-CN" w:bidi="ar-SA"/>
        </w:rPr>
        <w:sectPr>
          <w:footerReference r:id="rId5" w:type="default"/>
          <w:pgSz w:w="11906" w:h="16838"/>
          <w:pgMar w:top="1417" w:right="1474" w:bottom="1417" w:left="1474" w:header="851" w:footer="624" w:gutter="0"/>
          <w:pgNumType w:fmt="decimal"/>
          <w:cols w:space="720" w:num="1"/>
          <w:docGrid w:type="lines" w:linePitch="319" w:charSpace="0"/>
        </w:sectPr>
      </w:pPr>
    </w:p>
    <w:p w14:paraId="5C70B08A">
      <w:pPr>
        <w:jc w:val="both"/>
        <w:rPr>
          <w:rFonts w:hint="eastAsia" w:ascii="宋体" w:hAnsi="宋体" w:eastAsia="宋体" w:cs="宋体"/>
          <w:b/>
          <w:bCs/>
          <w:color w:val="auto"/>
          <w:sz w:val="30"/>
          <w:szCs w:val="30"/>
          <w:highlight w:val="none"/>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合同签订后30日内</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7"/>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医院指定地点</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交货方法</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送货上门，运费由供应商承担</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2年</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pStyle w:val="7"/>
              <w:ind w:left="0" w:left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05BA776A">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以合同约定为准</w:t>
            </w:r>
          </w:p>
        </w:tc>
      </w:tr>
      <w:tr w14:paraId="519BDA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3EAF8D4">
            <w:pPr>
              <w:pStyle w:val="7"/>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09C3F9FB">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符合国家质量标准、部颁标准、行业标准，满足磋商文件规定标准。</w:t>
            </w:r>
          </w:p>
        </w:tc>
      </w:tr>
      <w:tr w14:paraId="4921A8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30CBF9D">
            <w:pPr>
              <w:pStyle w:val="7"/>
              <w:ind w:left="0" w:leftChars="0"/>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3DD2083F">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质保期内，在使用过程中发生故障，供应商在接到通知后在2小时内到达现场，12小时内解除故障。若在规定时间内无法解除故障，由供应商提供免费备件服务。</w:t>
            </w:r>
          </w:p>
        </w:tc>
      </w:tr>
    </w:tbl>
    <w:p w14:paraId="34E1E8CF">
      <w:pPr>
        <w:pStyle w:val="24"/>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27817"/>
            <w:bookmarkStart w:id="38" w:name="_Toc9566"/>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lang w:val="en-US" w:eastAsia="zh-CN"/>
              </w:rPr>
              <w:t>驻马店市中心医院</w:t>
            </w:r>
            <w:r>
              <w:rPr>
                <w:rFonts w:hint="eastAsia" w:ascii="宋体" w:hAnsi="宋体" w:cs="宋体"/>
                <w:color w:val="auto"/>
                <w:highlight w:val="none"/>
                <w:lang w:val="en-US" w:eastAsia="zh-CN"/>
              </w:rPr>
              <w:t>中心院区血液净化室中央空调采购项目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8320"/>
            <w:bookmarkStart w:id="40" w:name="_Toc29400"/>
            <w:bookmarkStart w:id="41" w:name="_Toc23424"/>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3148"/>
            <w:bookmarkStart w:id="43" w:name="_Toc26199"/>
            <w:bookmarkStart w:id="44"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 xml:space="preserve"> 7.5万元 </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7.5 </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6C7DE">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 xml:space="preserve"> 7.5 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 xml:space="preserve"> 7.5 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63FBDE37">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99D47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361FFE2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05C37D0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12B3C85C">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663A76B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3256D9C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6A5BCC6">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C7B52DB">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1C2FD4">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27E9141">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52</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三、技术要求”技术参数、性能及产品功能等的响应，所投产品全部满足磋商文件要求得3</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分，有一项不满足的扣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分，扣完为止；如得分为0，则磋商无效。 </w:t>
            </w:r>
          </w:p>
          <w:p w14:paraId="321D9D7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376167C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2）提供产品注册检验报告</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响应技术参数条款的技术白皮书和彩页等相关文件，并对响应技术参数部分做出明显标注。</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6547966A">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p>
        </w:tc>
        <w:tc>
          <w:tcPr>
            <w:tcW w:w="6770" w:type="dxa"/>
            <w:noWrap w:val="0"/>
            <w:vAlign w:val="center"/>
          </w:tcPr>
          <w:p w14:paraId="62F7E32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w:t>
            </w:r>
            <w:r>
              <w:rPr>
                <w:rFonts w:hint="eastAsia" w:ascii="宋体" w:hAnsi="宋体" w:cs="宋体"/>
                <w:color w:val="auto"/>
                <w:sz w:val="21"/>
                <w:szCs w:val="21"/>
                <w:highlight w:val="none"/>
                <w:lang w:val="en-US" w:eastAsia="zh-CN"/>
              </w:rPr>
              <w:t>投标产品</w:t>
            </w:r>
            <w:r>
              <w:rPr>
                <w:rFonts w:hint="eastAsia" w:ascii="宋体" w:hAnsi="宋体" w:eastAsia="宋体" w:cs="宋体"/>
                <w:color w:val="auto"/>
                <w:sz w:val="21"/>
                <w:szCs w:val="21"/>
                <w:highlight w:val="none"/>
                <w:lang w:val="en-US" w:eastAsia="zh-CN"/>
              </w:rPr>
              <w:t>的制造工艺、稳定性</w:t>
            </w:r>
            <w:r>
              <w:rPr>
                <w:rFonts w:hint="eastAsia" w:ascii="宋体" w:hAnsi="宋体" w:cs="宋体"/>
                <w:color w:val="auto"/>
                <w:sz w:val="21"/>
                <w:szCs w:val="21"/>
                <w:highlight w:val="none"/>
                <w:lang w:val="en-US" w:eastAsia="zh-CN"/>
              </w:rPr>
              <w:t>、安全性</w:t>
            </w:r>
            <w:r>
              <w:rPr>
                <w:rFonts w:hint="eastAsia" w:ascii="宋体" w:hAnsi="宋体" w:eastAsia="宋体" w:cs="宋体"/>
                <w:color w:val="auto"/>
                <w:sz w:val="21"/>
                <w:szCs w:val="21"/>
                <w:highlight w:val="none"/>
                <w:lang w:val="en-US" w:eastAsia="zh-CN"/>
              </w:rPr>
              <w:t>进行打分</w:t>
            </w:r>
            <w:r>
              <w:rPr>
                <w:rFonts w:hint="eastAsia" w:ascii="宋体" w:hAnsi="宋体" w:cs="宋体"/>
                <w:color w:val="auto"/>
                <w:sz w:val="21"/>
                <w:szCs w:val="21"/>
                <w:highlight w:val="none"/>
                <w:lang w:val="en-US" w:eastAsia="zh-CN"/>
              </w:rPr>
              <w:t>：</w:t>
            </w:r>
          </w:p>
          <w:p w14:paraId="2972CC4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lang w:val="en-US" w:eastAsia="zh-CN"/>
              </w:rPr>
              <w:t>产品制造工艺、稳定性好、</w:t>
            </w:r>
            <w:r>
              <w:rPr>
                <w:rFonts w:hint="eastAsia" w:ascii="宋体" w:hAnsi="宋体" w:cs="宋体"/>
                <w:color w:val="auto"/>
                <w:sz w:val="21"/>
                <w:szCs w:val="21"/>
                <w:highlight w:val="none"/>
                <w:lang w:val="en-US" w:eastAsia="zh-CN"/>
              </w:rPr>
              <w:t>安全性高的</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eastAsia="宋体" w:cs="宋体"/>
                <w:b w:val="0"/>
                <w:bCs w:val="0"/>
                <w:color w:val="auto"/>
                <w:sz w:val="24"/>
                <w:szCs w:val="24"/>
                <w:highlight w:val="none"/>
              </w:rPr>
              <w:t>投标产品制造工艺、稳定性较好</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安全性较高的得 </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 xml:space="preserve"> 分；投标产品制造工艺、稳定性、安全性一般的得 1 分。</w:t>
            </w:r>
          </w:p>
        </w:tc>
      </w:tr>
      <w:tr w14:paraId="657B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1239" w:type="dxa"/>
            <w:vMerge w:val="continue"/>
            <w:noWrap w:val="0"/>
            <w:vAlign w:val="center"/>
          </w:tcPr>
          <w:p w14:paraId="138C84C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05276B91">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736D31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根据各投标产品操控性、性能及技术先 进性等进行打分：</w:t>
            </w:r>
          </w:p>
          <w:p w14:paraId="29E720C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 xml:space="preserve">所投产品优秀，操控性强、性能好、技术先进的得 </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 xml:space="preserve"> 分；所投产品较好，操控性较强、性能较好、技术较先进的得 </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 分；所投产品一般，操控性一般、性能一般、技术保守的得 1 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37A1539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3.实施方案（</w:t>
            </w:r>
            <w:r>
              <w:rPr>
                <w:rFonts w:hint="eastAsia" w:ascii="宋体" w:hAnsi="宋体" w:cs="宋体"/>
                <w:b w:val="0"/>
                <w:bCs w:val="0"/>
                <w:color w:val="auto"/>
                <w:kern w:val="0"/>
                <w:sz w:val="21"/>
                <w:szCs w:val="21"/>
                <w:highlight w:val="none"/>
                <w:lang w:val="en-US" w:eastAsia="zh-CN"/>
              </w:rPr>
              <w:t>9</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09361BF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根据供应商提供的供货保障措施，包括货源保障措施、质量管控措施、交货期保证措施等进行打分。</w:t>
            </w:r>
          </w:p>
          <w:p w14:paraId="1BA4D03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w:t>
            </w:r>
            <w:r>
              <w:rPr>
                <w:rFonts w:hint="eastAsia" w:ascii="宋体" w:hAnsi="宋体" w:cs="宋体"/>
                <w:color w:val="auto"/>
                <w:sz w:val="21"/>
                <w:szCs w:val="21"/>
                <w:highlight w:val="none"/>
                <w:lang w:val="en-US" w:eastAsia="zh-CN"/>
              </w:rPr>
              <w:t>具体详实，完全满足采购需求的得3分；有较具体的供货保障措施，基本满足采购需求的得2分；供货保障措施不完备，不能满足采购需求的得1分</w:t>
            </w:r>
            <w:r>
              <w:rPr>
                <w:rFonts w:hint="eastAsia" w:ascii="宋体" w:hAnsi="宋体" w:eastAsia="宋体" w:cs="宋体"/>
                <w:color w:val="auto"/>
                <w:sz w:val="21"/>
                <w:szCs w:val="21"/>
                <w:highlight w:val="none"/>
                <w:lang w:val="en-US" w:eastAsia="zh-CN"/>
              </w:rPr>
              <w:t>；缺项得0分。</w:t>
            </w:r>
          </w:p>
        </w:tc>
      </w:tr>
      <w:tr w14:paraId="389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19C77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0EFBFC7">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64B9FE9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根据供应商提供的供货方案，包括供货、安装调试的方案（人员及工具配备、实施进度与保障措施）等进行打分。</w:t>
            </w:r>
          </w:p>
          <w:p w14:paraId="0FE4919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w:t>
            </w:r>
            <w:r>
              <w:rPr>
                <w:rFonts w:hint="eastAsia" w:ascii="宋体" w:hAnsi="宋体" w:cs="宋体"/>
                <w:color w:val="auto"/>
                <w:sz w:val="21"/>
                <w:szCs w:val="21"/>
                <w:highlight w:val="none"/>
                <w:lang w:val="en-US" w:eastAsia="zh-CN"/>
              </w:rPr>
              <w:t>具体详实、人员及工具配备合理、保障措施可操作性强的</w:t>
            </w:r>
            <w:r>
              <w:rPr>
                <w:rFonts w:hint="eastAsia" w:ascii="宋体" w:hAnsi="宋体" w:eastAsia="宋体" w:cs="宋体"/>
                <w:color w:val="auto"/>
                <w:sz w:val="21"/>
                <w:szCs w:val="21"/>
                <w:highlight w:val="none"/>
                <w:lang w:val="en-US" w:eastAsia="zh-CN"/>
              </w:rPr>
              <w:t>得3分；</w:t>
            </w:r>
            <w:r>
              <w:rPr>
                <w:rFonts w:hint="eastAsia" w:ascii="宋体" w:hAnsi="宋体" w:cs="宋体"/>
                <w:color w:val="auto"/>
                <w:sz w:val="21"/>
                <w:szCs w:val="21"/>
                <w:highlight w:val="none"/>
                <w:lang w:val="en-US" w:eastAsia="zh-CN"/>
              </w:rPr>
              <w:t>有较具体的安装调试方案，内容较详实，基本满足项目需求</w:t>
            </w:r>
            <w:r>
              <w:rPr>
                <w:rFonts w:hint="eastAsia" w:ascii="宋体" w:hAnsi="宋体" w:eastAsia="宋体" w:cs="宋体"/>
                <w:color w:val="auto"/>
                <w:sz w:val="21"/>
                <w:szCs w:val="21"/>
                <w:highlight w:val="none"/>
                <w:lang w:val="en-US" w:eastAsia="zh-CN"/>
              </w:rPr>
              <w:t>的得2分；</w:t>
            </w:r>
            <w:r>
              <w:rPr>
                <w:rFonts w:hint="eastAsia" w:ascii="宋体" w:hAnsi="宋体" w:cs="宋体"/>
                <w:color w:val="auto"/>
                <w:sz w:val="21"/>
                <w:szCs w:val="21"/>
                <w:highlight w:val="none"/>
                <w:lang w:val="en-US" w:eastAsia="zh-CN"/>
              </w:rPr>
              <w:t>安装调试方案不完备，不能满足需求</w:t>
            </w:r>
            <w:r>
              <w:rPr>
                <w:rFonts w:hint="eastAsia" w:ascii="宋体" w:hAnsi="宋体" w:eastAsia="宋体" w:cs="宋体"/>
                <w:color w:val="auto"/>
                <w:sz w:val="21"/>
                <w:szCs w:val="21"/>
                <w:highlight w:val="none"/>
                <w:lang w:val="en-US" w:eastAsia="zh-CN"/>
              </w:rPr>
              <w:t>的得1分，缺项得0分。</w:t>
            </w:r>
          </w:p>
        </w:tc>
      </w:tr>
      <w:tr w14:paraId="36E8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E37B00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3EF8C0E6">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99A2A0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7D40FC9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应急响应时间极快、应急保障充分</w:t>
            </w:r>
            <w:r>
              <w:rPr>
                <w:rFonts w:hint="eastAsia" w:ascii="宋体" w:hAnsi="宋体" w:eastAsia="宋体" w:cs="宋体"/>
                <w:color w:val="auto"/>
                <w:sz w:val="21"/>
                <w:szCs w:val="21"/>
                <w:highlight w:val="none"/>
                <w:lang w:val="en-US" w:eastAsia="zh-CN"/>
              </w:rPr>
              <w:t>的得3分；</w:t>
            </w:r>
            <w:r>
              <w:rPr>
                <w:rFonts w:hint="eastAsia" w:ascii="宋体" w:hAnsi="宋体" w:cs="宋体"/>
                <w:color w:val="auto"/>
                <w:sz w:val="21"/>
                <w:szCs w:val="21"/>
                <w:highlight w:val="none"/>
                <w:lang w:val="en-US" w:eastAsia="zh-CN"/>
              </w:rPr>
              <w:t>应急响应时间快、应急保障较充分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应急响应时间时间长、应急保障不充分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92FFE8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质保期</w:t>
            </w:r>
          </w:p>
          <w:p w14:paraId="076DD50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770" w:type="dxa"/>
            <w:noWrap w:val="0"/>
            <w:vAlign w:val="top"/>
          </w:tcPr>
          <w:p w14:paraId="430101B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质保期在满足采购文件的基础上，每增加一年加2分,最多加4分（出具相关服务承诺书）。</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799DE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955ABB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自2022年01月01日以来具有的类似项目(以合同文件为准），每提供一份得2分，最多得4分。</w:t>
            </w:r>
          </w:p>
        </w:tc>
      </w:tr>
      <w:tr w14:paraId="64B8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4EC0596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65ED2E2">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770" w:type="dxa"/>
            <w:noWrap w:val="0"/>
            <w:vAlign w:val="center"/>
          </w:tcPr>
          <w:p w14:paraId="6A730A71">
            <w:pPr>
              <w:pStyle w:val="50"/>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分。缺项得0分。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8067DC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8</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33549108">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根据供应商提供的售后服务人员</w:t>
            </w:r>
            <w:r>
              <w:rPr>
                <w:rFonts w:hint="eastAsia" w:ascii="宋体" w:hAnsi="宋体" w:cs="宋体"/>
                <w:b w:val="0"/>
                <w:bCs w:val="0"/>
                <w:color w:val="auto"/>
                <w:sz w:val="21"/>
                <w:szCs w:val="21"/>
                <w:highlight w:val="none"/>
                <w:lang w:val="en-US" w:eastAsia="zh-CN"/>
              </w:rPr>
              <w:t>配备及专业技术能力说明、</w:t>
            </w:r>
            <w:r>
              <w:rPr>
                <w:rFonts w:hint="eastAsia" w:ascii="宋体" w:hAnsi="宋体" w:eastAsia="宋体" w:cs="宋体"/>
                <w:b w:val="0"/>
                <w:bCs w:val="0"/>
                <w:color w:val="auto"/>
                <w:sz w:val="21"/>
                <w:szCs w:val="21"/>
                <w:highlight w:val="none"/>
                <w:lang w:val="en-US" w:eastAsia="zh-CN"/>
              </w:rPr>
              <w:t>故障响应时间、</w:t>
            </w:r>
            <w:r>
              <w:rPr>
                <w:rFonts w:hint="eastAsia" w:ascii="宋体" w:hAnsi="宋体" w:cs="宋体"/>
                <w:b w:val="0"/>
                <w:bCs w:val="0"/>
                <w:color w:val="auto"/>
                <w:sz w:val="21"/>
                <w:szCs w:val="21"/>
                <w:highlight w:val="none"/>
                <w:lang w:val="en-US" w:eastAsia="zh-CN"/>
              </w:rPr>
              <w:t>日常维保维修方案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售后人员</w:t>
            </w:r>
            <w:r>
              <w:rPr>
                <w:rFonts w:hint="eastAsia" w:ascii="宋体" w:hAnsi="宋体" w:eastAsia="宋体" w:cs="宋体"/>
                <w:b w:val="0"/>
                <w:bCs w:val="0"/>
                <w:color w:val="auto"/>
                <w:sz w:val="21"/>
                <w:szCs w:val="21"/>
                <w:highlight w:val="none"/>
                <w:lang w:val="en-US" w:eastAsia="zh-CN"/>
              </w:rPr>
              <w:t>培训方案等</w:t>
            </w:r>
            <w:r>
              <w:rPr>
                <w:rFonts w:hint="eastAsia" w:ascii="宋体" w:hAnsi="宋体" w:cs="宋体"/>
                <w:b w:val="0"/>
                <w:bCs w:val="0"/>
                <w:color w:val="auto"/>
                <w:sz w:val="21"/>
                <w:szCs w:val="21"/>
                <w:highlight w:val="none"/>
                <w:lang w:val="en-US" w:eastAsia="zh-CN"/>
              </w:rPr>
              <w:t>进行打分</w:t>
            </w:r>
            <w:r>
              <w:rPr>
                <w:rFonts w:hint="eastAsia" w:ascii="宋体" w:hAnsi="宋体" w:eastAsia="宋体" w:cs="宋体"/>
                <w:b w:val="0"/>
                <w:bCs w:val="0"/>
                <w:color w:val="auto"/>
                <w:sz w:val="21"/>
                <w:szCs w:val="21"/>
                <w:highlight w:val="none"/>
                <w:lang w:val="en-US" w:eastAsia="zh-CN"/>
              </w:rPr>
              <w:t>。</w:t>
            </w:r>
          </w:p>
          <w:p w14:paraId="7021B8FA">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w:t>
            </w:r>
            <w:r>
              <w:rPr>
                <w:rFonts w:hint="eastAsia" w:ascii="宋体" w:hAnsi="宋体" w:cs="宋体"/>
                <w:b w:val="0"/>
                <w:bCs w:val="0"/>
                <w:color w:val="auto"/>
                <w:sz w:val="21"/>
                <w:szCs w:val="21"/>
                <w:highlight w:val="none"/>
                <w:lang w:val="en-US" w:eastAsia="zh-CN"/>
              </w:rPr>
              <w:t>措施详尽、</w:t>
            </w:r>
            <w:r>
              <w:rPr>
                <w:rFonts w:hint="eastAsia" w:ascii="宋体" w:hAnsi="宋体" w:eastAsia="宋体" w:cs="宋体"/>
                <w:b w:val="0"/>
                <w:bCs w:val="0"/>
                <w:color w:val="auto"/>
                <w:sz w:val="21"/>
                <w:szCs w:val="21"/>
                <w:highlight w:val="none"/>
                <w:lang w:val="en-US" w:eastAsia="zh-CN"/>
              </w:rPr>
              <w:t>故障响应时间极快，</w:t>
            </w:r>
            <w:r>
              <w:rPr>
                <w:rFonts w:hint="eastAsia" w:ascii="宋体" w:hAnsi="宋体" w:cs="宋体"/>
                <w:b w:val="0"/>
                <w:bCs w:val="0"/>
                <w:color w:val="auto"/>
                <w:sz w:val="21"/>
                <w:szCs w:val="21"/>
                <w:highlight w:val="none"/>
                <w:lang w:val="en-US" w:eastAsia="zh-CN"/>
              </w:rPr>
              <w:t>完全满足采购需求的</w:t>
            </w:r>
            <w:r>
              <w:rPr>
                <w:rFonts w:hint="eastAsia" w:ascii="宋体" w:hAnsi="宋体" w:eastAsia="宋体" w:cs="宋体"/>
                <w:b w:val="0"/>
                <w:bCs w:val="0"/>
                <w:color w:val="auto"/>
                <w:sz w:val="21"/>
                <w:szCs w:val="21"/>
                <w:highlight w:val="none"/>
                <w:lang w:val="en-US" w:eastAsia="zh-CN"/>
              </w:rPr>
              <w:t>得8分。</w:t>
            </w:r>
          </w:p>
          <w:p w14:paraId="71C16E4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服务承诺符合本项目特点，故障响应时间快</w:t>
            </w:r>
            <w:r>
              <w:rPr>
                <w:rFonts w:hint="eastAsia" w:ascii="宋体" w:hAnsi="宋体" w:cs="宋体"/>
                <w:b w:val="0"/>
                <w:bCs w:val="0"/>
                <w:color w:val="auto"/>
                <w:sz w:val="21"/>
                <w:szCs w:val="21"/>
                <w:highlight w:val="none"/>
                <w:lang w:val="en-US" w:eastAsia="zh-CN"/>
              </w:rPr>
              <w:t>，基本满足采购需求</w:t>
            </w:r>
            <w:r>
              <w:rPr>
                <w:rFonts w:hint="eastAsia" w:ascii="宋体" w:hAnsi="宋体" w:eastAsia="宋体" w:cs="宋体"/>
                <w:b w:val="0"/>
                <w:bCs w:val="0"/>
                <w:color w:val="auto"/>
                <w:sz w:val="21"/>
                <w:szCs w:val="21"/>
                <w:highlight w:val="none"/>
                <w:lang w:val="en-US" w:eastAsia="zh-CN"/>
              </w:rPr>
              <w:t>的得 5 分；</w:t>
            </w:r>
          </w:p>
          <w:p w14:paraId="396DD183">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服务承诺符合本项目特点，故障响应时间较长</w:t>
            </w:r>
            <w:r>
              <w:rPr>
                <w:rFonts w:hint="eastAsia" w:ascii="宋体" w:hAnsi="宋体" w:cs="宋体"/>
                <w:b w:val="0"/>
                <w:bCs w:val="0"/>
                <w:color w:val="auto"/>
                <w:sz w:val="21"/>
                <w:szCs w:val="21"/>
                <w:highlight w:val="none"/>
                <w:lang w:val="en-US" w:eastAsia="zh-CN"/>
              </w:rPr>
              <w:t>，方案有待完善</w:t>
            </w:r>
            <w:r>
              <w:rPr>
                <w:rFonts w:hint="eastAsia" w:ascii="宋体" w:hAnsi="宋体" w:eastAsia="宋体" w:cs="宋体"/>
                <w:b w:val="0"/>
                <w:bCs w:val="0"/>
                <w:color w:val="auto"/>
                <w:sz w:val="21"/>
                <w:szCs w:val="21"/>
                <w:highlight w:val="none"/>
                <w:lang w:val="en-US" w:eastAsia="zh-CN"/>
              </w:rPr>
              <w:t>的得 2 分；</w:t>
            </w:r>
          </w:p>
          <w:p w14:paraId="7C694A3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缺项得0分</w:t>
            </w:r>
            <w:r>
              <w:rPr>
                <w:rFonts w:hint="eastAsia" w:ascii="宋体" w:hAnsi="宋体" w:eastAsia="宋体" w:cs="宋体"/>
                <w:b w:val="0"/>
                <w:bCs w:val="0"/>
                <w:color w:val="auto"/>
                <w:sz w:val="21"/>
                <w:szCs w:val="21"/>
                <w:highlight w:val="none"/>
                <w:lang w:val="en-US" w:eastAsia="zh-CN"/>
              </w:rPr>
              <w:t>。</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D2A9B4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326786897"/>
      <w:bookmarkStart w:id="53" w:name="_Toc256519703"/>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中心院区血液净化室中央空调采购</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11620"/>
      <w:bookmarkStart w:id="73" w:name="_Toc20877"/>
    </w:p>
    <w:bookmarkEnd w:id="72"/>
    <w:bookmarkEnd w:id="73"/>
    <w:p w14:paraId="1D61E2AA">
      <w:pPr>
        <w:spacing w:line="360" w:lineRule="auto"/>
        <w:ind w:firstLine="420" w:firstLineChars="200"/>
        <w:jc w:val="center"/>
        <w:rPr>
          <w:rFonts w:hint="eastAsia" w:ascii="宋体" w:hAnsi="宋体" w:eastAsia="宋体" w:cs="宋体"/>
          <w:color w:val="auto"/>
          <w:kern w:val="0"/>
          <w:szCs w:val="21"/>
          <w:highlight w:val="none"/>
        </w:rPr>
      </w:pPr>
      <w:bookmarkStart w:id="74" w:name="_Toc12222"/>
      <w:bookmarkStart w:id="75" w:name="_Toc625"/>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2730" w:firstLineChars="13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9950"/>
      <w:bookmarkStart w:id="77" w:name="_Toc1330"/>
      <w:r>
        <w:rPr>
          <w:rFonts w:hint="eastAsia" w:ascii="宋体" w:hAnsi="宋体" w:eastAsia="宋体" w:cs="宋体"/>
          <w:color w:val="auto"/>
          <w:szCs w:val="21"/>
          <w:highlight w:val="none"/>
        </w:rPr>
        <w:t>年  月  日</w:t>
      </w:r>
      <w:bookmarkEnd w:id="76"/>
      <w:bookmarkEnd w:id="77"/>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8" w:name="_Toc22004"/>
      <w:bookmarkStart w:id="79"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48F290DC">
      <w:pPr>
        <w:pStyle w:val="33"/>
        <w:ind w:firstLine="3990" w:firstLineChars="1900"/>
        <w:rPr>
          <w:rFonts w:hint="eastAsia" w:ascii="宋体" w:hAnsi="宋体" w:eastAsia="宋体" w:cs="宋体"/>
          <w:color w:val="auto"/>
          <w:sz w:val="21"/>
          <w:szCs w:val="21"/>
          <w:highlight w:val="none"/>
          <w:lang w:eastAsia="zh-CN"/>
        </w:rPr>
      </w:pPr>
    </w:p>
    <w:p w14:paraId="02D5BE92">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14084F2D">
      <w:pPr>
        <w:pStyle w:val="24"/>
        <w:rPr>
          <w:rFonts w:hint="default" w:ascii="宋体" w:hAnsi="宋体" w:cs="宋体"/>
          <w:color w:val="auto"/>
          <w:kern w:val="0"/>
          <w:sz w:val="24"/>
          <w:highlight w:val="none"/>
          <w:lang w:val="en-US" w:eastAsia="zh-CN"/>
        </w:rPr>
      </w:pPr>
      <w:bookmarkStart w:id="80" w:name="_Toc226"/>
      <w:bookmarkStart w:id="81" w:name="_Toc15804"/>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w:t>
      </w:r>
      <w:r>
        <w:rPr>
          <w:rFonts w:hint="eastAsia" w:ascii="宋体" w:hAnsi="宋体" w:cs="宋体"/>
          <w:b/>
          <w:bCs/>
          <w:color w:val="auto"/>
          <w:kern w:val="2"/>
          <w:sz w:val="28"/>
          <w:szCs w:val="28"/>
          <w:highlight w:val="none"/>
          <w:lang w:val="en-US" w:eastAsia="zh-CN" w:bidi="ar-SA"/>
        </w:rPr>
        <w:t>1</w:t>
      </w:r>
      <w:r>
        <w:rPr>
          <w:rFonts w:hint="eastAsia" w:ascii="宋体" w:hAnsi="宋体" w:eastAsia="宋体" w:cs="宋体"/>
          <w:b/>
          <w:bCs/>
          <w:color w:val="auto"/>
          <w:kern w:val="2"/>
          <w:sz w:val="28"/>
          <w:szCs w:val="28"/>
          <w:highlight w:val="none"/>
          <w:lang w:val="en-US" w:eastAsia="zh-CN" w:bidi="ar-SA"/>
        </w:rPr>
        <w:t xml:space="preserve"> 质保期满后易损件、配件一览表</w:t>
      </w:r>
    </w:p>
    <w:p w14:paraId="366976F4">
      <w:pPr>
        <w:pStyle w:val="24"/>
        <w:rPr>
          <w:rFonts w:hint="default" w:ascii="宋体" w:hAnsi="宋体" w:cs="宋体"/>
          <w:color w:val="auto"/>
          <w:kern w:val="0"/>
          <w:sz w:val="24"/>
          <w:highlight w:val="none"/>
          <w:lang w:val="en-US"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default" w:ascii="宋体" w:hAnsi="宋体" w:cs="宋体"/>
          <w:color w:val="auto"/>
          <w:kern w:val="0"/>
          <w:sz w:val="24"/>
          <w:highlight w:val="none"/>
          <w:lang w:val="en-US" w:eastAsia="zh-CN"/>
        </w:rPr>
      </w:pPr>
    </w:p>
    <w:p w14:paraId="1C27DB87">
      <w:pPr>
        <w:pStyle w:val="24"/>
        <w:rPr>
          <w:rFonts w:hint="default" w:ascii="宋体" w:hAnsi="宋体" w:cs="宋体"/>
          <w:color w:val="auto"/>
          <w:kern w:val="0"/>
          <w:sz w:val="24"/>
          <w:highlight w:val="none"/>
          <w:lang w:val="en-US" w:eastAsia="zh-CN"/>
        </w:rPr>
      </w:pPr>
    </w:p>
    <w:p w14:paraId="43E68354">
      <w:pPr>
        <w:pStyle w:val="24"/>
        <w:rPr>
          <w:rFonts w:hint="default" w:ascii="宋体" w:hAnsi="宋体" w:cs="宋体"/>
          <w:color w:val="auto"/>
          <w:kern w:val="0"/>
          <w:sz w:val="24"/>
          <w:highlight w:val="none"/>
          <w:lang w:val="en-US" w:eastAsia="zh-CN"/>
        </w:rPr>
      </w:pPr>
    </w:p>
    <w:p w14:paraId="0647EFB8">
      <w:pPr>
        <w:pStyle w:val="24"/>
        <w:rPr>
          <w:rFonts w:hint="default" w:ascii="宋体" w:hAnsi="宋体" w:cs="宋体"/>
          <w:color w:val="auto"/>
          <w:kern w:val="0"/>
          <w:sz w:val="24"/>
          <w:highlight w:val="none"/>
          <w:lang w:val="en-US" w:eastAsia="zh-CN"/>
        </w:rPr>
      </w:pPr>
    </w:p>
    <w:p w14:paraId="5A5A959A">
      <w:pPr>
        <w:pStyle w:val="24"/>
        <w:rPr>
          <w:rFonts w:hint="default" w:ascii="宋体" w:hAnsi="宋体" w:cs="宋体"/>
          <w:color w:val="auto"/>
          <w:kern w:val="0"/>
          <w:sz w:val="24"/>
          <w:highlight w:val="none"/>
          <w:lang w:val="en-US" w:eastAsia="zh-CN"/>
        </w:rPr>
      </w:pPr>
    </w:p>
    <w:p w14:paraId="650115AD">
      <w:pPr>
        <w:pStyle w:val="24"/>
        <w:rPr>
          <w:rFonts w:hint="default" w:ascii="宋体" w:hAnsi="宋体" w:cs="宋体"/>
          <w:color w:val="auto"/>
          <w:kern w:val="0"/>
          <w:sz w:val="24"/>
          <w:highlight w:val="none"/>
          <w:lang w:val="en-US" w:eastAsia="zh-CN"/>
        </w:rPr>
      </w:pPr>
    </w:p>
    <w:p w14:paraId="4A359505">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pPr>
    </w:p>
    <w:p w14:paraId="1B505EE5">
      <w:pPr>
        <w:pStyle w:val="24"/>
        <w:rPr>
          <w:rFonts w:hint="default" w:ascii="宋体" w:hAnsi="宋体" w:cs="宋体"/>
          <w:color w:val="auto"/>
          <w:kern w:val="0"/>
          <w:sz w:val="24"/>
          <w:highlight w:val="none"/>
          <w:lang w:val="en-US" w:eastAsia="zh-CN"/>
        </w:rPr>
      </w:pPr>
    </w:p>
    <w:p w14:paraId="4CA18EFC">
      <w:pPr>
        <w:pStyle w:val="24"/>
        <w:rPr>
          <w:rFonts w:hint="default" w:ascii="宋体" w:hAnsi="宋体" w:cs="宋体"/>
          <w:color w:val="auto"/>
          <w:kern w:val="0"/>
          <w:sz w:val="24"/>
          <w:highlight w:val="none"/>
          <w:lang w:val="en-US" w:eastAsia="zh-CN"/>
        </w:rPr>
      </w:pPr>
    </w:p>
    <w:p w14:paraId="56E07BAF">
      <w:pPr>
        <w:pStyle w:val="24"/>
        <w:rPr>
          <w:rFonts w:hint="default" w:ascii="宋体" w:hAnsi="宋体" w:cs="宋体"/>
          <w:color w:val="auto"/>
          <w:kern w:val="0"/>
          <w:sz w:val="24"/>
          <w:highlight w:val="none"/>
          <w:lang w:val="en-US" w:eastAsia="zh-CN"/>
        </w:rPr>
      </w:pPr>
    </w:p>
    <w:p w14:paraId="38E426CC">
      <w:pPr>
        <w:pStyle w:val="24"/>
        <w:rPr>
          <w:rFonts w:hint="default" w:ascii="宋体" w:hAnsi="宋体" w:cs="宋体"/>
          <w:color w:val="auto"/>
          <w:kern w:val="0"/>
          <w:sz w:val="24"/>
          <w:highlight w:val="none"/>
          <w:lang w:val="en-US" w:eastAsia="zh-CN"/>
        </w:rPr>
      </w:pPr>
    </w:p>
    <w:p w14:paraId="03EB9A28">
      <w:pPr>
        <w:pStyle w:val="24"/>
        <w:rPr>
          <w:rFonts w:hint="default" w:ascii="宋体" w:hAnsi="宋体" w:cs="宋体"/>
          <w:color w:val="auto"/>
          <w:kern w:val="0"/>
          <w:sz w:val="24"/>
          <w:highlight w:val="none"/>
          <w:lang w:val="en-US" w:eastAsia="zh-CN"/>
        </w:rPr>
      </w:pPr>
    </w:p>
    <w:p w14:paraId="2424AE27">
      <w:pPr>
        <w:pStyle w:val="24"/>
        <w:rPr>
          <w:rFonts w:hint="default" w:ascii="宋体" w:hAnsi="宋体" w:cs="宋体"/>
          <w:color w:val="auto"/>
          <w:kern w:val="0"/>
          <w:sz w:val="24"/>
          <w:highlight w:val="none"/>
          <w:lang w:val="en-US" w:eastAsia="zh-CN"/>
        </w:rPr>
      </w:pPr>
    </w:p>
    <w:p w14:paraId="6DE512C9">
      <w:pPr>
        <w:pStyle w:val="24"/>
        <w:rPr>
          <w:rFonts w:hint="default" w:ascii="宋体" w:hAnsi="宋体" w:cs="宋体"/>
          <w:color w:val="auto"/>
          <w:kern w:val="0"/>
          <w:sz w:val="24"/>
          <w:highlight w:val="none"/>
          <w:lang w:val="en-US" w:eastAsia="zh-CN"/>
        </w:rPr>
      </w:pP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4DAF514B">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color w:val="auto"/>
          <w:kern w:val="0"/>
          <w:sz w:val="24"/>
          <w:highlight w:val="none"/>
        </w:rPr>
        <w:br w:type="page"/>
      </w:r>
      <w:r>
        <w:rPr>
          <w:rFonts w:hint="eastAsia" w:ascii="宋体" w:hAnsi="宋体" w:eastAsia="宋体" w:cs="宋体"/>
          <w:color w:val="auto"/>
          <w:sz w:val="28"/>
          <w:szCs w:val="28"/>
          <w:highlight w:val="none"/>
          <w:lang w:val="en-US" w:eastAsia="zh-CN"/>
        </w:rPr>
        <w:t>附件5.1          技术要求证明材料</w:t>
      </w:r>
    </w:p>
    <w:p w14:paraId="538CC606">
      <w:pPr>
        <w:bidi w:val="0"/>
        <w:rPr>
          <w:rFonts w:hint="eastAsia"/>
          <w:color w:val="auto"/>
          <w:highlight w:val="none"/>
          <w:lang w:val="en-US" w:eastAsia="zh-CN"/>
        </w:rPr>
      </w:pPr>
    </w:p>
    <w:p w14:paraId="47176292">
      <w:pPr>
        <w:bidi w:val="0"/>
        <w:rPr>
          <w:rFonts w:hint="eastAsia"/>
          <w:color w:val="auto"/>
          <w:highlight w:val="none"/>
          <w:lang w:val="en-US" w:eastAsia="zh-CN"/>
        </w:rPr>
      </w:pPr>
    </w:p>
    <w:p w14:paraId="04543762">
      <w:pPr>
        <w:bidi w:val="0"/>
        <w:rPr>
          <w:rFonts w:hint="default"/>
          <w:color w:val="auto"/>
          <w:highlight w:val="none"/>
          <w:lang w:val="en-US" w:eastAsia="zh-CN"/>
        </w:rPr>
      </w:pPr>
      <w:r>
        <w:rPr>
          <w:rFonts w:hint="eastAsia"/>
          <w:color w:val="auto"/>
          <w:highlight w:val="none"/>
          <w:lang w:val="en-US" w:eastAsia="zh-CN"/>
        </w:rPr>
        <w:t>按照磋商文件“第二章 采购需求 三、技术要求”提供证明文件</w:t>
      </w:r>
    </w:p>
    <w:p w14:paraId="2D00E8E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8EB1A8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C6A539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1E9C75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01727F8C">
      <w:pPr>
        <w:rPr>
          <w:rFonts w:hint="eastAsia" w:ascii="宋体" w:hAnsi="宋体" w:eastAsia="宋体" w:cs="宋体"/>
          <w:b/>
          <w:color w:val="auto"/>
          <w:kern w:val="0"/>
          <w:sz w:val="24"/>
          <w:highlight w:val="none"/>
        </w:rPr>
      </w:pP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0420"/>
      <w:bookmarkStart w:id="83" w:name="_Toc29960"/>
      <w:bookmarkStart w:id="84" w:name="_Toc24168"/>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6DC2849E">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472149B">
            <w:pPr>
              <w:pStyle w:val="7"/>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0BB9001">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182A3E4">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43BD33">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31526"/>
      <w:bookmarkStart w:id="86" w:name="_Toc28621"/>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30519"/>
      <w:bookmarkStart w:id="89" w:name="_Toc13976"/>
      <w:bookmarkStart w:id="90" w:name="_Toc12939"/>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24693"/>
      <w:bookmarkStart w:id="92" w:name="_Toc18105"/>
      <w:bookmarkStart w:id="93" w:name="_Toc3342"/>
      <w:r>
        <w:rPr>
          <w:rFonts w:hint="eastAsia" w:ascii="宋体" w:hAnsi="宋体" w:eastAsia="宋体" w:cs="宋体"/>
          <w:color w:val="auto"/>
          <w:sz w:val="28"/>
          <w:szCs w:val="28"/>
          <w:highlight w:val="none"/>
          <w:lang w:val="en-US" w:eastAsia="zh-CN"/>
        </w:rPr>
        <w:t>附件9          证明文件</w:t>
      </w:r>
      <w:bookmarkEnd w:id="91"/>
      <w:bookmarkEnd w:id="92"/>
      <w:bookmarkEnd w:id="93"/>
    </w:p>
    <w:p w14:paraId="5EF76FA6">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4" w:name="_Toc17966"/>
      <w:r>
        <w:rPr>
          <w:rFonts w:hint="eastAsia" w:ascii="宋体" w:hAnsi="宋体" w:eastAsia="宋体" w:cs="宋体"/>
          <w:b/>
          <w:bCs w:val="0"/>
          <w:color w:val="auto"/>
          <w:sz w:val="21"/>
          <w:szCs w:val="21"/>
          <w:highlight w:val="none"/>
          <w:lang w:val="en-US" w:eastAsia="zh-CN"/>
        </w:rPr>
        <w:t>评分标准中需提供的证明材料</w:t>
      </w:r>
      <w:r>
        <w:rPr>
          <w:rFonts w:hint="eastAsia" w:cs="宋体"/>
          <w:b/>
          <w:bCs w:val="0"/>
          <w:color w:val="auto"/>
          <w:sz w:val="21"/>
          <w:szCs w:val="21"/>
          <w:highlight w:val="none"/>
          <w:lang w:val="en-US" w:eastAsia="zh-CN"/>
        </w:rPr>
        <w:t>（除技术要求证明材料外）</w:t>
      </w:r>
    </w:p>
    <w:p w14:paraId="5D58AFFF">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6083"/>
      <w:bookmarkStart w:id="96" w:name="_Toc13726"/>
      <w:bookmarkStart w:id="97" w:name="_Toc12888"/>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sz w:val="21"/>
          <w:szCs w:val="21"/>
          <w:highlight w:val="none"/>
        </w:rPr>
        <w:t xml:space="preserve">              </w:t>
      </w:r>
    </w:p>
    <w:p w14:paraId="4AB5393D">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pPr>
    </w:p>
    <w:p w14:paraId="7C0BDA51">
      <w:pPr>
        <w:pStyle w:val="6"/>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23394"/>
      <w:bookmarkStart w:id="99" w:name="_Toc25094"/>
      <w:bookmarkStart w:id="100" w:name="_Toc31685"/>
    </w:p>
    <w:p w14:paraId="24DE6E5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驻马店市中心医院中心院区血液净化室中央空调采购项目采购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370767"/>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01FD2"/>
    <w:rsid w:val="06D33DBA"/>
    <w:rsid w:val="06D73361"/>
    <w:rsid w:val="06E13F9F"/>
    <w:rsid w:val="06FB0AC5"/>
    <w:rsid w:val="06FE7278"/>
    <w:rsid w:val="070D2D5D"/>
    <w:rsid w:val="07104A12"/>
    <w:rsid w:val="07111B8D"/>
    <w:rsid w:val="072916E2"/>
    <w:rsid w:val="072C5514"/>
    <w:rsid w:val="0737768A"/>
    <w:rsid w:val="074A5B92"/>
    <w:rsid w:val="075D0147"/>
    <w:rsid w:val="075E3193"/>
    <w:rsid w:val="0765096C"/>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BC0A60"/>
    <w:rsid w:val="08C52D6F"/>
    <w:rsid w:val="08E42BE4"/>
    <w:rsid w:val="08EF0201"/>
    <w:rsid w:val="08F41DE8"/>
    <w:rsid w:val="093D1475"/>
    <w:rsid w:val="094840A2"/>
    <w:rsid w:val="09644C54"/>
    <w:rsid w:val="09737462"/>
    <w:rsid w:val="099156C3"/>
    <w:rsid w:val="09A33F5B"/>
    <w:rsid w:val="09A53F39"/>
    <w:rsid w:val="09A60E13"/>
    <w:rsid w:val="09A82D92"/>
    <w:rsid w:val="09AB2883"/>
    <w:rsid w:val="09C35E1E"/>
    <w:rsid w:val="09CD0A4B"/>
    <w:rsid w:val="09D206F0"/>
    <w:rsid w:val="0A321AC2"/>
    <w:rsid w:val="0A343D4E"/>
    <w:rsid w:val="0A344626"/>
    <w:rsid w:val="0A3E6D2E"/>
    <w:rsid w:val="0A4232E4"/>
    <w:rsid w:val="0A4F145F"/>
    <w:rsid w:val="0A8455AD"/>
    <w:rsid w:val="0A8729A8"/>
    <w:rsid w:val="0ABA2D7D"/>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2852E9"/>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5264F"/>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3A36AA"/>
    <w:rsid w:val="15477903"/>
    <w:rsid w:val="1557566D"/>
    <w:rsid w:val="1565422D"/>
    <w:rsid w:val="156E0971"/>
    <w:rsid w:val="15785B3E"/>
    <w:rsid w:val="15811F1B"/>
    <w:rsid w:val="15A30135"/>
    <w:rsid w:val="15A34015"/>
    <w:rsid w:val="15BB487B"/>
    <w:rsid w:val="15CE086D"/>
    <w:rsid w:val="15E2236F"/>
    <w:rsid w:val="15E72E4C"/>
    <w:rsid w:val="16005D04"/>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23070A"/>
    <w:rsid w:val="184055B9"/>
    <w:rsid w:val="184A2082"/>
    <w:rsid w:val="185A16FC"/>
    <w:rsid w:val="185D3C42"/>
    <w:rsid w:val="185F38AF"/>
    <w:rsid w:val="188F0211"/>
    <w:rsid w:val="18AD1BEB"/>
    <w:rsid w:val="18B3004A"/>
    <w:rsid w:val="18B31B6D"/>
    <w:rsid w:val="18B83CF9"/>
    <w:rsid w:val="18B96080"/>
    <w:rsid w:val="18CB43A7"/>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7B2BA8"/>
    <w:rsid w:val="1B8C18B7"/>
    <w:rsid w:val="1BB73AE1"/>
    <w:rsid w:val="1BDA6D68"/>
    <w:rsid w:val="1BF14125"/>
    <w:rsid w:val="1C002CEE"/>
    <w:rsid w:val="1C4032FE"/>
    <w:rsid w:val="1C4E77C9"/>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4757B7"/>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5B6AB3"/>
    <w:rsid w:val="257572C3"/>
    <w:rsid w:val="25790E85"/>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5661D"/>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D54CED"/>
    <w:rsid w:val="27E223EC"/>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5189E"/>
    <w:rsid w:val="2AB63ABC"/>
    <w:rsid w:val="2AB63D0A"/>
    <w:rsid w:val="2AC31382"/>
    <w:rsid w:val="2AD0584D"/>
    <w:rsid w:val="2AD549F8"/>
    <w:rsid w:val="2AEA74E5"/>
    <w:rsid w:val="2AFB4FC0"/>
    <w:rsid w:val="2B003D00"/>
    <w:rsid w:val="2B074D5E"/>
    <w:rsid w:val="2B0A6991"/>
    <w:rsid w:val="2B100BA9"/>
    <w:rsid w:val="2B1B5825"/>
    <w:rsid w:val="2B1E3AFC"/>
    <w:rsid w:val="2B211492"/>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4726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886F33"/>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9454C"/>
    <w:rsid w:val="36203B2D"/>
    <w:rsid w:val="363E0457"/>
    <w:rsid w:val="365B4B65"/>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BC5ED6"/>
    <w:rsid w:val="39D27231"/>
    <w:rsid w:val="39E82BB3"/>
    <w:rsid w:val="39EB39E0"/>
    <w:rsid w:val="39EE7A9E"/>
    <w:rsid w:val="39EF02D4"/>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312338"/>
    <w:rsid w:val="3B3C5B77"/>
    <w:rsid w:val="3B3D0FF2"/>
    <w:rsid w:val="3B501351"/>
    <w:rsid w:val="3B521A18"/>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B54E0C"/>
    <w:rsid w:val="3DB900C1"/>
    <w:rsid w:val="3DE51866"/>
    <w:rsid w:val="3DE91725"/>
    <w:rsid w:val="3DF159B1"/>
    <w:rsid w:val="3E135D25"/>
    <w:rsid w:val="3E1A106E"/>
    <w:rsid w:val="3E36303B"/>
    <w:rsid w:val="3E3E2893"/>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BF7E28"/>
    <w:rsid w:val="46C3037C"/>
    <w:rsid w:val="46EF26BD"/>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2108CC"/>
    <w:rsid w:val="49413F52"/>
    <w:rsid w:val="494F6304"/>
    <w:rsid w:val="49792B95"/>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42F43"/>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4229EF"/>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B514D"/>
    <w:rsid w:val="545E1D01"/>
    <w:rsid w:val="54674051"/>
    <w:rsid w:val="5472334E"/>
    <w:rsid w:val="54935B8F"/>
    <w:rsid w:val="549D3677"/>
    <w:rsid w:val="54B03E76"/>
    <w:rsid w:val="54BF230B"/>
    <w:rsid w:val="54CC6227"/>
    <w:rsid w:val="54D10F9B"/>
    <w:rsid w:val="54D97871"/>
    <w:rsid w:val="54DC4C6B"/>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417FB7"/>
    <w:rsid w:val="56665134"/>
    <w:rsid w:val="56666B5B"/>
    <w:rsid w:val="56717635"/>
    <w:rsid w:val="56990B7C"/>
    <w:rsid w:val="569E1126"/>
    <w:rsid w:val="56A8690E"/>
    <w:rsid w:val="56B679AB"/>
    <w:rsid w:val="56B80DEB"/>
    <w:rsid w:val="56E0560F"/>
    <w:rsid w:val="56E06E61"/>
    <w:rsid w:val="56EF3C74"/>
    <w:rsid w:val="56F653FE"/>
    <w:rsid w:val="57007337"/>
    <w:rsid w:val="573E4B9B"/>
    <w:rsid w:val="574448FC"/>
    <w:rsid w:val="57561D39"/>
    <w:rsid w:val="575B7AFD"/>
    <w:rsid w:val="57660D3F"/>
    <w:rsid w:val="5785783C"/>
    <w:rsid w:val="578F06BB"/>
    <w:rsid w:val="57A469A0"/>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C1A6BB2"/>
    <w:rsid w:val="5C306D31"/>
    <w:rsid w:val="5C37233A"/>
    <w:rsid w:val="5C5355FE"/>
    <w:rsid w:val="5C5A49A5"/>
    <w:rsid w:val="5C6519EA"/>
    <w:rsid w:val="5C6715FE"/>
    <w:rsid w:val="5C6F4105"/>
    <w:rsid w:val="5CBB7F6F"/>
    <w:rsid w:val="5CC248CE"/>
    <w:rsid w:val="5CC826A5"/>
    <w:rsid w:val="5CF1327E"/>
    <w:rsid w:val="5D042FB1"/>
    <w:rsid w:val="5D2F3C3A"/>
    <w:rsid w:val="5D442CB4"/>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F7552"/>
    <w:rsid w:val="6250406E"/>
    <w:rsid w:val="6267666C"/>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50242F0"/>
    <w:rsid w:val="65365B2B"/>
    <w:rsid w:val="653F447E"/>
    <w:rsid w:val="65542778"/>
    <w:rsid w:val="655829AF"/>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6D7E94"/>
    <w:rsid w:val="69862BE9"/>
    <w:rsid w:val="698A5EE4"/>
    <w:rsid w:val="69C811ED"/>
    <w:rsid w:val="69D33070"/>
    <w:rsid w:val="69E97E75"/>
    <w:rsid w:val="69FB5D9E"/>
    <w:rsid w:val="69FF6FDA"/>
    <w:rsid w:val="6A09542B"/>
    <w:rsid w:val="6A1A3007"/>
    <w:rsid w:val="6A1E645E"/>
    <w:rsid w:val="6A3C6480"/>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F6F7D"/>
    <w:rsid w:val="6D480984"/>
    <w:rsid w:val="6D8079F9"/>
    <w:rsid w:val="6D83203C"/>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03395"/>
    <w:rsid w:val="6EF773A4"/>
    <w:rsid w:val="6F174DC6"/>
    <w:rsid w:val="6F1E2E65"/>
    <w:rsid w:val="6F2F2D9E"/>
    <w:rsid w:val="6F4147D9"/>
    <w:rsid w:val="6F581F47"/>
    <w:rsid w:val="6F5B0D5A"/>
    <w:rsid w:val="6F5C35EA"/>
    <w:rsid w:val="6F63625D"/>
    <w:rsid w:val="6F6B6A15"/>
    <w:rsid w:val="6F947E4B"/>
    <w:rsid w:val="6FA30BDA"/>
    <w:rsid w:val="6FB21D4C"/>
    <w:rsid w:val="6FB80698"/>
    <w:rsid w:val="6FFA755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E30808"/>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212805"/>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31577"/>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13947</Words>
  <Characters>14743</Characters>
  <Lines>50</Lines>
  <Paragraphs>68</Paragraphs>
  <TotalTime>31</TotalTime>
  <ScaleCrop>false</ScaleCrop>
  <LinksUpToDate>false</LinksUpToDate>
  <CharactersWithSpaces>15256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2025-09-22T00:35:47Z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E053E5D14F7542C7AFEB008DF7A96EBF_13</vt:lpwstr>
  </property>
  <property fmtid="{D5CDD505-2E9C-101B-9397-08002B2CF9AE}" pid="4" name="KSOTemplateDocerSaveRecord">
    <vt:lpwstr>eyJoZGlkIjoiYzIwMjRmYTY4OTJhZjc1NTA1MGQwNDc0NzZhNTkwMmUiLCJ1c2VySWQiOiIxNjg0NTc5MjM2In0=</vt:lpwstr>
  </property>
</Properties>
</file>