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驻马店市中心医院雷赛准分子激光治疗仪全保（含激光主机、手术床、医生椅、综合检查工作站等）（五次）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2AE5BF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6B6C0D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驻马店市中心医院雷赛准分子激光治疗仪全保（含激光主机、手术床、医生椅、综合检查工作站等）（五次）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雷赛准分子激光治疗仪全保（含激光主机、手术床、医生椅、综合检查工作站等）（五次）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驻马店市中心医院雷赛准分子激光治疗仪全保（含激光主机、手术床、医生椅、综合检查工作站等）（五次）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643"/>
      <w:bookmarkStart w:id="10" w:name="_Toc9562"/>
      <w:bookmarkStart w:id="11" w:name="_Toc30971"/>
      <w:bookmarkStart w:id="12" w:name="_Toc23395"/>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5135"/>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27370"/>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bookmarkStart w:id="101" w:name="_GoBack"/>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bookmarkEnd w:id="101"/>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驻马店市中心医院雷赛准分子激光治疗仪全保（含激光主机、手术床、医生椅、综合检查工作站等）（五次）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驻马店市中心医院雷赛准分子激光治疗仪全保（含激光主机、手术床、医生椅、综合检查工作站等）（五次）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.5响应文件必须装订</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成册，不得散放、不得行间插字、涂改或增删。如有修改错漏处，必须由供应商的法定代表人或其授权代表签字或盖章。</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书面</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256519703"/>
      <w:bookmarkStart w:id="54" w:name="_Toc326786897"/>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31798"/>
      <w:bookmarkStart w:id="68"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8818"/>
      <w:bookmarkStart w:id="70" w:name="_Toc14560"/>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15804"/>
      <w:bookmarkStart w:id="81" w:name="_Toc226"/>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9960"/>
      <w:bookmarkStart w:id="83" w:name="_Toc20420"/>
      <w:bookmarkStart w:id="84" w:name="_Toc24168"/>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31526"/>
      <w:bookmarkStart w:id="86" w:name="_Toc29406"/>
      <w:bookmarkStart w:id="87" w:name="_Toc28621"/>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2939"/>
      <w:bookmarkStart w:id="89" w:name="_Toc30519"/>
      <w:bookmarkStart w:id="90" w:name="_Toc13976"/>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3342"/>
      <w:bookmarkStart w:id="92" w:name="_Toc24693"/>
      <w:bookmarkStart w:id="93" w:name="_Toc18105"/>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3726"/>
      <w:bookmarkStart w:id="96" w:name="_Toc16083"/>
      <w:bookmarkStart w:id="97" w:name="_Toc12888"/>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23394"/>
      <w:bookmarkStart w:id="99" w:name="_Toc31685"/>
      <w:bookmarkStart w:id="10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A254FE"/>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8C7E64"/>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360F0"/>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12661"/>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A77665"/>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739C1"/>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A367E"/>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881A78"/>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C07D9"/>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245A28"/>
    <w:rsid w:val="3E2E3794"/>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74AC8"/>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064A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A31D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2DC10C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 w:val="7FF45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16439</Words>
  <Characters>17171</Characters>
  <Lines>50</Lines>
  <Paragraphs>68</Paragraphs>
  <TotalTime>92</TotalTime>
  <ScaleCrop>false</ScaleCrop>
  <LinksUpToDate>false</LinksUpToDate>
  <CharactersWithSpaces>18222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2025-09-24T09:03:40Z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