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驻马店市中心医院工程造价机构遴选项目</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2"/>
        <w:rPr>
          <w:rFonts w:hint="eastAsia" w:ascii="宋体" w:hAnsi="宋体" w:eastAsia="宋体" w:cs="宋体"/>
          <w:b/>
          <w:bCs/>
          <w:color w:val="auto"/>
          <w:spacing w:val="-10"/>
          <w:sz w:val="34"/>
          <w:szCs w:val="34"/>
          <w:highlight w:val="none"/>
          <w:lang w:val="en-US" w:eastAsia="zh-CN"/>
        </w:rPr>
      </w:pPr>
    </w:p>
    <w:p w14:paraId="0522B408">
      <w:pPr>
        <w:rPr>
          <w:rFonts w:hint="eastAsia" w:ascii="宋体" w:hAnsi="宋体" w:eastAsia="宋体" w:cs="宋体"/>
          <w:b/>
          <w:bCs/>
          <w:color w:val="auto"/>
          <w:spacing w:val="-10"/>
          <w:sz w:val="34"/>
          <w:szCs w:val="34"/>
          <w:highlight w:val="none"/>
          <w:lang w:val="en-US" w:eastAsia="zh-CN"/>
        </w:rPr>
      </w:pPr>
    </w:p>
    <w:p w14:paraId="1A28CBD8">
      <w:pPr>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月</w:t>
      </w:r>
    </w:p>
    <w:p w14:paraId="11E7A050">
      <w:pPr>
        <w:pStyle w:val="2"/>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驻马店市中心医院工程造价机构遴选项目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驻马店市中心医院工程造价机构遴选项目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驻马店市中心医院工程造价机构遴选项目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24万元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3年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符合国家、省、市有关造价管理的规定。</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971"/>
      <w:bookmarkStart w:id="10" w:name="_Toc23395"/>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w:t>
      </w:r>
      <w:bookmarkStart w:id="102" w:name="_GoBack"/>
      <w:bookmarkEnd w:id="102"/>
      <w:r>
        <w:rPr>
          <w:rFonts w:hint="eastAsia" w:ascii="宋体" w:hAnsi="宋体" w:eastAsia="宋体" w:cs="宋体"/>
          <w:color w:val="auto"/>
          <w:szCs w:val="21"/>
          <w:highlight w:val="none"/>
          <w:shd w:val="clear" w:color="auto" w:fill="FFFFFF"/>
          <w:lang w:val="en-US" w:eastAsia="zh-CN"/>
        </w:rPr>
        <w:t>参考，以采购人或采购代理机构查询结果为准）；</w:t>
      </w:r>
    </w:p>
    <w:p w14:paraId="5CDF0D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拟派项目负责人须具有二级及以上造价工程师注册证书(注册单位需与响应单位名称一致，提供劳动合同和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w:t>
      </w:r>
      <w:r>
        <w:rPr>
          <w:rFonts w:hint="eastAsia" w:ascii="宋体" w:hAnsi="宋体" w:eastAsia="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30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0738"/>
      <w:bookmarkStart w:id="15" w:name="_Toc15135"/>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31928"/>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12C0CE8">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shd w:val="clear" w:color="auto" w:fill="FFFFFF"/>
          <w:lang w:val="en-US" w:eastAsia="zh-CN" w:bidi="ar-SA"/>
        </w:rPr>
        <w:t>采购代理机构：中大宇辰项目管理有限公司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联系人：闫先生</w:t>
      </w:r>
    </w:p>
    <w:p w14:paraId="3FB8949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bCs/>
          <w:i w:val="0"/>
          <w:iCs/>
          <w:color w:val="auto"/>
          <w:sz w:val="21"/>
          <w:szCs w:val="21"/>
          <w:highlight w:val="none"/>
          <w:u w:val="none"/>
          <w:lang w:val="en-US" w:eastAsia="zh-CN"/>
        </w:rPr>
        <w:t>驻马店市中心医院工程造价机构遴选</w:t>
      </w:r>
      <w:r>
        <w:rPr>
          <w:rFonts w:hint="eastAsia" w:ascii="宋体" w:hAnsi="宋体" w:eastAsia="宋体" w:cs="宋体"/>
          <w:b/>
          <w:bCs/>
          <w:i w:val="0"/>
          <w:iCs/>
          <w:color w:val="auto"/>
          <w:sz w:val="21"/>
          <w:szCs w:val="21"/>
          <w:highlight w:val="none"/>
          <w:u w:val="none"/>
          <w:lang w:val="en-US" w:eastAsia="zh-CN"/>
        </w:rPr>
        <w:t>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25"/>
        <w:gridCol w:w="3120"/>
        <w:gridCol w:w="1470"/>
        <w:gridCol w:w="1245"/>
        <w:gridCol w:w="1545"/>
      </w:tblGrid>
      <w:tr w14:paraId="161C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0"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lang w:val="en-US" w:eastAsia="zh-CN"/>
              </w:rPr>
              <w:t>包号</w:t>
            </w:r>
          </w:p>
        </w:tc>
        <w:tc>
          <w:tcPr>
            <w:tcW w:w="825" w:type="dxa"/>
            <w:vAlign w:val="center"/>
          </w:tcPr>
          <w:p w14:paraId="77AA1CB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序号</w:t>
            </w:r>
          </w:p>
        </w:tc>
        <w:tc>
          <w:tcPr>
            <w:tcW w:w="3120" w:type="dxa"/>
            <w:vAlign w:val="center"/>
          </w:tcPr>
          <w:p w14:paraId="6EA4FAC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标的名称</w:t>
            </w:r>
          </w:p>
        </w:tc>
        <w:tc>
          <w:tcPr>
            <w:tcW w:w="1470" w:type="dxa"/>
            <w:vAlign w:val="center"/>
          </w:tcPr>
          <w:p w14:paraId="0249135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lang w:val="en-US" w:eastAsia="zh-CN"/>
              </w:rPr>
              <w:t>单位</w:t>
            </w:r>
          </w:p>
        </w:tc>
        <w:tc>
          <w:tcPr>
            <w:tcW w:w="1245" w:type="dxa"/>
            <w:vAlign w:val="center"/>
          </w:tcPr>
          <w:p w14:paraId="1E8A8A8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数量</w:t>
            </w:r>
          </w:p>
        </w:tc>
        <w:tc>
          <w:tcPr>
            <w:tcW w:w="1545" w:type="dxa"/>
            <w:vAlign w:val="center"/>
          </w:tcPr>
          <w:p w14:paraId="4E5C75B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资金预算</w:t>
            </w:r>
          </w:p>
        </w:tc>
      </w:tr>
      <w:tr w14:paraId="4C1F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825" w:type="dxa"/>
            <w:vAlign w:val="center"/>
          </w:tcPr>
          <w:p w14:paraId="36EB76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3120" w:type="dxa"/>
            <w:vAlign w:val="center"/>
          </w:tcPr>
          <w:p w14:paraId="33EDBF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 xml:space="preserve">工程造价机构遴选项目 </w:t>
            </w:r>
          </w:p>
        </w:tc>
        <w:tc>
          <w:tcPr>
            <w:tcW w:w="1470" w:type="dxa"/>
            <w:vAlign w:val="center"/>
          </w:tcPr>
          <w:p w14:paraId="078413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p>
        </w:tc>
        <w:tc>
          <w:tcPr>
            <w:tcW w:w="1245" w:type="dxa"/>
            <w:vAlign w:val="center"/>
          </w:tcPr>
          <w:p w14:paraId="2880668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一年</w:t>
            </w:r>
          </w:p>
        </w:tc>
        <w:tc>
          <w:tcPr>
            <w:tcW w:w="1545" w:type="dxa"/>
            <w:vAlign w:val="center"/>
          </w:tcPr>
          <w:p w14:paraId="74C0F3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8万元/年</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合计</w:t>
            </w:r>
          </w:p>
        </w:tc>
        <w:tc>
          <w:tcPr>
            <w:tcW w:w="3120"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p>
        </w:tc>
        <w:tc>
          <w:tcPr>
            <w:tcW w:w="147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p>
        </w:tc>
        <w:tc>
          <w:tcPr>
            <w:tcW w:w="1245"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三年</w:t>
            </w:r>
          </w:p>
        </w:tc>
        <w:tc>
          <w:tcPr>
            <w:tcW w:w="1545"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24万元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备注</w:t>
            </w:r>
          </w:p>
        </w:tc>
        <w:tc>
          <w:tcPr>
            <w:tcW w:w="7380" w:type="dxa"/>
            <w:gridSpan w:val="4"/>
            <w:vAlign w:val="center"/>
          </w:tcPr>
          <w:p w14:paraId="452887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合同一年一签，经考核合格后续签次年合同。</w:t>
            </w:r>
          </w:p>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遴选4家供应商，据实结算。</w:t>
            </w:r>
          </w:p>
        </w:tc>
      </w:tr>
    </w:tbl>
    <w:p w14:paraId="245FEAD9">
      <w:pPr>
        <w:rPr>
          <w:rFonts w:hint="eastAsia"/>
          <w:b/>
          <w:bCs/>
          <w:color w:val="auto"/>
          <w:lang w:val="en-US" w:eastAsia="zh-CN"/>
        </w:rPr>
      </w:pPr>
    </w:p>
    <w:p w14:paraId="028B9CE9">
      <w:pPr>
        <w:rPr>
          <w:rFonts w:hint="default"/>
          <w:b/>
          <w:bCs/>
          <w:color w:val="auto"/>
          <w:lang w:val="en-US" w:eastAsia="zh-CN"/>
        </w:rPr>
      </w:pPr>
      <w:r>
        <w:rPr>
          <w:rFonts w:hint="eastAsia"/>
          <w:b/>
          <w:bCs/>
          <w:color w:val="auto"/>
          <w:lang w:val="en-US" w:eastAsia="zh-CN"/>
        </w:rPr>
        <w:t>三、技术要求</w:t>
      </w:r>
    </w:p>
    <w:p w14:paraId="3F91517F">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1、根据项目施工图纸、现场勘察情况编制工程量清单，配合采购人至项目结束。</w:t>
      </w:r>
    </w:p>
    <w:p w14:paraId="681D2D09">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2、响应单位应承诺严格按照国家及河南省政府有关法律法规及政策，规范操作，廉洁自律、杜绝违法违规事件；一经发现，采购人可取消入围供应商资格，情节严重的，可追究法律责任。</w:t>
      </w:r>
    </w:p>
    <w:p w14:paraId="7FC42540">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3、入围供应商具有完成项目所需的固定专业技术人员及正版造价软件</w:t>
      </w:r>
      <w:r>
        <w:rPr>
          <w:rFonts w:hint="eastAsia" w:asciiTheme="minorEastAsia" w:hAnsiTheme="minorEastAsia" w:eastAsiaTheme="minorEastAsia" w:cstheme="minorEastAsia"/>
          <w:b/>
          <w:bCs/>
          <w:i w:val="0"/>
          <w:iCs/>
          <w:color w:val="auto"/>
          <w:sz w:val="21"/>
          <w:szCs w:val="21"/>
          <w:highlight w:val="none"/>
          <w:u w:val="none"/>
          <w:lang w:val="en-US" w:eastAsia="zh-CN"/>
        </w:rPr>
        <w:t>（提供软件截图）</w:t>
      </w:r>
      <w:r>
        <w:rPr>
          <w:rFonts w:hint="eastAsia" w:asciiTheme="minorEastAsia" w:hAnsiTheme="minorEastAsia" w:eastAsiaTheme="minorEastAsia" w:cstheme="minorEastAsia"/>
          <w:i w:val="0"/>
          <w:iCs/>
          <w:color w:val="auto"/>
          <w:sz w:val="21"/>
          <w:szCs w:val="21"/>
          <w:u w:val="none"/>
          <w:lang w:val="en-US" w:eastAsia="zh-CN"/>
        </w:rPr>
        <w:t xml:space="preserve">。 </w:t>
      </w:r>
    </w:p>
    <w:p w14:paraId="6149E992">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 xml:space="preserve">4、入围造价咨询机构要有随时接受采购人委托项目实施的能力，在约定的时间内向采购人提交工程量清单及招标控制价等成果文件，并对成果文件的真实性、专业性、合法性负责。 </w:t>
      </w:r>
    </w:p>
    <w:p w14:paraId="6AC72EEC">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5、采购人可根据业务需要，随时要求入围造价咨询机构委派专业技术人员到</w:t>
      </w:r>
      <w:r>
        <w:rPr>
          <w:rFonts w:hint="eastAsia" w:asciiTheme="minorEastAsia" w:hAnsiTheme="minorEastAsia" w:eastAsiaTheme="minorEastAsia" w:cstheme="minorEastAsia"/>
          <w:b w:val="0"/>
          <w:bCs w:val="0"/>
          <w:i w:val="0"/>
          <w:iCs/>
          <w:color w:val="auto"/>
          <w:sz w:val="21"/>
          <w:szCs w:val="21"/>
          <w:u w:val="none"/>
          <w:lang w:val="en-US" w:eastAsia="zh-CN"/>
        </w:rPr>
        <w:t>现场勘察</w:t>
      </w:r>
      <w:r>
        <w:rPr>
          <w:rFonts w:hint="eastAsia" w:asciiTheme="minorEastAsia" w:hAnsiTheme="minorEastAsia" w:eastAsiaTheme="minorEastAsia" w:cstheme="minorEastAsia"/>
          <w:b w:val="0"/>
          <w:bCs w:val="0"/>
          <w:i w:val="0"/>
          <w:iCs/>
          <w:color w:val="auto"/>
          <w:sz w:val="21"/>
          <w:szCs w:val="21"/>
          <w:highlight w:val="none"/>
          <w:u w:val="none"/>
          <w:lang w:val="en-US" w:eastAsia="zh-CN"/>
        </w:rPr>
        <w:t>，不得以任何理由推诿。</w:t>
      </w:r>
    </w:p>
    <w:p w14:paraId="5CC4D511">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 xml:space="preserve">6、服从采购人的计划安排。 </w:t>
      </w:r>
    </w:p>
    <w:p w14:paraId="66DCE8E7">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7、自觉接受委托人的监督和服务质量考核。</w:t>
      </w:r>
    </w:p>
    <w:p w14:paraId="14F22B22">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8、在实施项目过程中，保证不泄露采购人的秘密和有关信息、资料。</w:t>
      </w:r>
    </w:p>
    <w:p w14:paraId="3604EFED">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9、不得将承担的工作委托其他第三方机构实施。</w:t>
      </w:r>
    </w:p>
    <w:p w14:paraId="2BE486FB">
      <w:pPr>
        <w:pStyle w:val="8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kern w:val="2"/>
          <w:sz w:val="21"/>
          <w:szCs w:val="21"/>
          <w:u w:val="none"/>
          <w:lang w:val="en-US" w:eastAsia="zh-CN" w:bidi="ar-SA"/>
        </w:rPr>
      </w:pPr>
      <w:r>
        <w:rPr>
          <w:rFonts w:hint="eastAsia" w:asciiTheme="minorEastAsia" w:hAnsiTheme="minorEastAsia" w:eastAsiaTheme="minorEastAsia" w:cstheme="minorEastAsia"/>
          <w:i w:val="0"/>
          <w:iCs/>
          <w:color w:val="auto"/>
          <w:kern w:val="2"/>
          <w:sz w:val="21"/>
          <w:szCs w:val="21"/>
          <w:u w:val="none"/>
          <w:lang w:val="en-US" w:eastAsia="zh-CN" w:bidi="ar-SA"/>
        </w:rPr>
        <w:t>10、根据管理要求，工程造价咨询公司不得审计本公司参与工程造价编制的项目。</w:t>
      </w:r>
    </w:p>
    <w:p w14:paraId="5C70B08A">
      <w:pPr>
        <w:pStyle w:val="8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color w:val="auto"/>
          <w:kern w:val="2"/>
          <w:sz w:val="21"/>
          <w:szCs w:val="21"/>
          <w:u w:val="none"/>
          <w:lang w:val="en-US" w:eastAsia="zh-CN" w:bidi="ar-SA"/>
        </w:rPr>
        <w:t>11、接受到采购人委托后，最长不超过十天完成造价服务。</w:t>
      </w:r>
    </w:p>
    <w:p w14:paraId="339D8E7C">
      <w:pPr>
        <w:jc w:val="center"/>
        <w:rPr>
          <w:rFonts w:hint="eastAsia" w:ascii="宋体" w:hAnsi="宋体" w:eastAsia="宋体" w:cs="宋体"/>
          <w:b/>
          <w:bCs/>
          <w:color w:val="auto"/>
          <w:sz w:val="30"/>
          <w:szCs w:val="30"/>
          <w:highlight w:val="none"/>
        </w:rPr>
      </w:pPr>
    </w:p>
    <w:p w14:paraId="53A684FD">
      <w:pPr>
        <w:pStyle w:val="21"/>
        <w:rPr>
          <w:rFonts w:hint="eastAsia" w:ascii="宋体" w:hAnsi="宋体" w:eastAsia="宋体" w:cs="宋体"/>
          <w:b/>
          <w:bCs/>
          <w:color w:val="auto"/>
          <w:sz w:val="30"/>
          <w:szCs w:val="30"/>
          <w:highlight w:val="none"/>
        </w:rPr>
      </w:pPr>
    </w:p>
    <w:p w14:paraId="7E8FFE9A">
      <w:pPr>
        <w:pStyle w:val="21"/>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red"/>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widowControl/>
              <w:spacing w:line="360" w:lineRule="exact"/>
              <w:jc w:val="both"/>
              <w:rPr>
                <w:rFonts w:hint="eastAsia" w:ascii="宋体" w:hAnsi="宋体" w:eastAsia="宋体" w:cs="宋体"/>
                <w:color w:val="auto"/>
                <w:kern w:val="0"/>
                <w:sz w:val="21"/>
                <w:szCs w:val="21"/>
                <w:highlight w:val="red"/>
                <w:lang w:val="en-US" w:eastAsia="zh-CN"/>
              </w:rPr>
            </w:pPr>
            <w:r>
              <w:rPr>
                <w:rFonts w:hint="eastAsia" w:ascii="宋体" w:hAnsi="宋体" w:eastAsia="宋体" w:cs="宋体"/>
                <w:color w:val="auto"/>
                <w:kern w:val="0"/>
                <w:sz w:val="21"/>
                <w:szCs w:val="21"/>
                <w:highlight w:val="none"/>
                <w:lang w:val="en-US" w:eastAsia="zh-CN"/>
              </w:rPr>
              <w:t>符合国家、省、市有关造价管理的规定。</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3年</w:t>
            </w:r>
            <w:r>
              <w:rPr>
                <w:rFonts w:hint="eastAsia" w:ascii="宋体" w:hAnsi="宋体" w:eastAsia="宋体" w:cs="宋体"/>
                <w:color w:val="auto"/>
                <w:kern w:val="0"/>
                <w:sz w:val="21"/>
                <w:szCs w:val="21"/>
                <w:highlight w:val="none"/>
                <w:lang w:val="en-US" w:eastAsia="zh-CN"/>
              </w:rPr>
              <w:t xml:space="preserve">。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按合同约定执行</w:t>
            </w:r>
          </w:p>
        </w:tc>
      </w:tr>
    </w:tbl>
    <w:p w14:paraId="4AC0E9E0">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2、授权磋商小组确定四名成交供应商。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驻马店市中心医院工程造价机构遴选项目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53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24</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76C5BB3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val="en-US" w:eastAsia="zh-CN"/>
              </w:rPr>
              <w:t>供应商在采购文件规定的取费标准的基础上，报出综合折扣率</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取费标准</w:t>
            </w:r>
            <w:r>
              <w:rPr>
                <w:rFonts w:hint="eastAsia" w:ascii="宋体" w:hAnsi="宋体" w:cs="宋体"/>
                <w:b w:val="0"/>
                <w:bCs w:val="0"/>
                <w:color w:val="auto"/>
                <w:kern w:val="0"/>
                <w:szCs w:val="21"/>
                <w:highlight w:val="none"/>
                <w:lang w:val="en-US" w:eastAsia="zh-CN"/>
              </w:rPr>
              <w:t xml:space="preserve">见下表： </w:t>
            </w:r>
          </w:p>
          <w:tbl>
            <w:tblPr>
              <w:tblStyle w:val="34"/>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74"/>
              <w:gridCol w:w="940"/>
              <w:gridCol w:w="1170"/>
              <w:gridCol w:w="1050"/>
              <w:gridCol w:w="1245"/>
              <w:gridCol w:w="1215"/>
              <w:gridCol w:w="1050"/>
            </w:tblGrid>
            <w:tr w14:paraId="1BA2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26" w:type="dxa"/>
                  <w:vMerge w:val="restart"/>
                  <w:vAlign w:val="center"/>
                </w:tcPr>
                <w:p w14:paraId="35E681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服务项目</w:t>
                  </w:r>
                </w:p>
              </w:tc>
              <w:tc>
                <w:tcPr>
                  <w:tcW w:w="874" w:type="dxa"/>
                  <w:vMerge w:val="restart"/>
                  <w:vAlign w:val="center"/>
                </w:tcPr>
                <w:p w14:paraId="26C4EF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lang w:val="en-US" w:eastAsia="zh-CN"/>
                    </w:rPr>
                    <w:t>收费基数</w:t>
                  </w:r>
                </w:p>
              </w:tc>
              <w:tc>
                <w:tcPr>
                  <w:tcW w:w="6670" w:type="dxa"/>
                  <w:gridSpan w:val="6"/>
                  <w:vAlign w:val="center"/>
                </w:tcPr>
                <w:p w14:paraId="74404F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划分标准（万元）</w:t>
                  </w:r>
                </w:p>
              </w:tc>
            </w:tr>
            <w:tr w14:paraId="3DA4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26" w:type="dxa"/>
                  <w:vMerge w:val="continue"/>
                  <w:vAlign w:val="center"/>
                </w:tcPr>
                <w:p w14:paraId="3DD6F4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p>
              </w:tc>
              <w:tc>
                <w:tcPr>
                  <w:tcW w:w="874" w:type="dxa"/>
                  <w:vMerge w:val="continue"/>
                  <w:vAlign w:val="center"/>
                </w:tcPr>
                <w:p w14:paraId="1B731A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p>
              </w:tc>
              <w:tc>
                <w:tcPr>
                  <w:tcW w:w="940" w:type="dxa"/>
                  <w:vAlign w:val="center"/>
                </w:tcPr>
                <w:p w14:paraId="6E227D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 以下</w:t>
                  </w:r>
                </w:p>
              </w:tc>
              <w:tc>
                <w:tcPr>
                  <w:tcW w:w="1170" w:type="dxa"/>
                  <w:vAlign w:val="center"/>
                </w:tcPr>
                <w:p w14:paraId="57039E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w:t>
                  </w:r>
                </w:p>
                <w:p w14:paraId="5838DA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1000</w:t>
                  </w:r>
                </w:p>
              </w:tc>
              <w:tc>
                <w:tcPr>
                  <w:tcW w:w="1050" w:type="dxa"/>
                  <w:vAlign w:val="center"/>
                </w:tcPr>
                <w:p w14:paraId="7B6D4F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1000-5000</w:t>
                  </w:r>
                </w:p>
              </w:tc>
              <w:tc>
                <w:tcPr>
                  <w:tcW w:w="1245" w:type="dxa"/>
                  <w:vAlign w:val="center"/>
                </w:tcPr>
                <w:p w14:paraId="5AB25B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5000-1 亿</w:t>
                  </w:r>
                </w:p>
              </w:tc>
              <w:tc>
                <w:tcPr>
                  <w:tcW w:w="1215" w:type="dxa"/>
                  <w:vAlign w:val="center"/>
                </w:tcPr>
                <w:p w14:paraId="6AA3A2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 亿</w:t>
                  </w:r>
                </w:p>
              </w:tc>
              <w:tc>
                <w:tcPr>
                  <w:tcW w:w="1050" w:type="dxa"/>
                  <w:vAlign w:val="center"/>
                </w:tcPr>
                <w:p w14:paraId="2AA948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 亿以上</w:t>
                  </w:r>
                </w:p>
              </w:tc>
            </w:tr>
            <w:tr w14:paraId="2247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D7827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设计概算的编制与审核</w:t>
                  </w:r>
                </w:p>
              </w:tc>
              <w:tc>
                <w:tcPr>
                  <w:tcW w:w="874" w:type="dxa"/>
                  <w:vAlign w:val="center"/>
                </w:tcPr>
                <w:p w14:paraId="36893C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设计概算</w:t>
                  </w:r>
                </w:p>
              </w:tc>
              <w:tc>
                <w:tcPr>
                  <w:tcW w:w="940" w:type="dxa"/>
                  <w:vAlign w:val="center"/>
                </w:tcPr>
                <w:p w14:paraId="66D06F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170" w:type="dxa"/>
                  <w:vAlign w:val="center"/>
                </w:tcPr>
                <w:p w14:paraId="7AFF9C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050" w:type="dxa"/>
                  <w:vAlign w:val="center"/>
                </w:tcPr>
                <w:p w14:paraId="70281B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c>
                <w:tcPr>
                  <w:tcW w:w="1245" w:type="dxa"/>
                  <w:vAlign w:val="center"/>
                </w:tcPr>
                <w:p w14:paraId="66A147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0.8‰</w:t>
                  </w:r>
                </w:p>
              </w:tc>
              <w:tc>
                <w:tcPr>
                  <w:tcW w:w="1215" w:type="dxa"/>
                  <w:vAlign w:val="center"/>
                </w:tcPr>
                <w:p w14:paraId="282005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0.5‰</w:t>
                  </w:r>
                </w:p>
              </w:tc>
              <w:tc>
                <w:tcPr>
                  <w:tcW w:w="1050" w:type="dxa"/>
                  <w:vAlign w:val="center"/>
                </w:tcPr>
                <w:p w14:paraId="71EF58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0.3‰</w:t>
                  </w:r>
                </w:p>
              </w:tc>
            </w:tr>
            <w:tr w14:paraId="544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47D27D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施工图预算、标底投标报价编制</w:t>
                  </w:r>
                </w:p>
              </w:tc>
              <w:tc>
                <w:tcPr>
                  <w:tcW w:w="874" w:type="dxa"/>
                  <w:vAlign w:val="center"/>
                </w:tcPr>
                <w:p w14:paraId="3A458E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2F1F3D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170" w:type="dxa"/>
                  <w:vAlign w:val="center"/>
                </w:tcPr>
                <w:p w14:paraId="567DB6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2A9E45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c>
                <w:tcPr>
                  <w:tcW w:w="1245" w:type="dxa"/>
                  <w:vAlign w:val="center"/>
                </w:tcPr>
                <w:p w14:paraId="146E0B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215" w:type="dxa"/>
                  <w:vAlign w:val="center"/>
                </w:tcPr>
                <w:p w14:paraId="7B12D8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c>
                <w:tcPr>
                  <w:tcW w:w="1050" w:type="dxa"/>
                  <w:vAlign w:val="center"/>
                </w:tcPr>
                <w:p w14:paraId="700DA8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0.8‰</w:t>
                  </w:r>
                </w:p>
              </w:tc>
            </w:tr>
            <w:tr w14:paraId="41A7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6" w:type="dxa"/>
                  <w:vAlign w:val="center"/>
                </w:tcPr>
                <w:p w14:paraId="13B723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编制竣工结算</w:t>
                  </w:r>
                </w:p>
              </w:tc>
              <w:tc>
                <w:tcPr>
                  <w:tcW w:w="874" w:type="dxa"/>
                  <w:vAlign w:val="center"/>
                </w:tcPr>
                <w:p w14:paraId="35B35C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386ECF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170" w:type="dxa"/>
                  <w:vAlign w:val="center"/>
                </w:tcPr>
                <w:p w14:paraId="1D9E7E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050" w:type="dxa"/>
                  <w:vAlign w:val="center"/>
                </w:tcPr>
                <w:p w14:paraId="4E2A59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245" w:type="dxa"/>
                  <w:vAlign w:val="center"/>
                </w:tcPr>
                <w:p w14:paraId="32739E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c>
                <w:tcPr>
                  <w:tcW w:w="1215" w:type="dxa"/>
                  <w:vAlign w:val="center"/>
                </w:tcPr>
                <w:p w14:paraId="444926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050" w:type="dxa"/>
                  <w:vAlign w:val="center"/>
                </w:tcPr>
                <w:p w14:paraId="0E9301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r>
            <w:tr w14:paraId="232F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2CAA6D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审核施工图预算、标底</w:t>
                  </w:r>
                </w:p>
              </w:tc>
              <w:tc>
                <w:tcPr>
                  <w:tcW w:w="874" w:type="dxa"/>
                  <w:vAlign w:val="center"/>
                </w:tcPr>
                <w:p w14:paraId="0A31F7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送审建安工程费</w:t>
                  </w:r>
                </w:p>
              </w:tc>
              <w:tc>
                <w:tcPr>
                  <w:tcW w:w="2110" w:type="dxa"/>
                  <w:gridSpan w:val="2"/>
                  <w:vAlign w:val="center"/>
                </w:tcPr>
                <w:p w14:paraId="7CBE0F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基本收费0.8‰</w:t>
                  </w:r>
                </w:p>
              </w:tc>
              <w:tc>
                <w:tcPr>
                  <w:tcW w:w="4560" w:type="dxa"/>
                  <w:gridSpan w:val="4"/>
                  <w:vAlign w:val="center"/>
                </w:tcPr>
                <w:p w14:paraId="768C3F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另按审核增减额2.5%</w:t>
                  </w:r>
                </w:p>
              </w:tc>
            </w:tr>
            <w:tr w14:paraId="25E9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5E8C4F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审核竣工结算</w:t>
                  </w:r>
                </w:p>
              </w:tc>
              <w:tc>
                <w:tcPr>
                  <w:tcW w:w="874" w:type="dxa"/>
                  <w:vAlign w:val="center"/>
                </w:tcPr>
                <w:p w14:paraId="199BD8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送审建安工程费</w:t>
                  </w:r>
                </w:p>
              </w:tc>
              <w:tc>
                <w:tcPr>
                  <w:tcW w:w="2110" w:type="dxa"/>
                  <w:gridSpan w:val="2"/>
                  <w:vAlign w:val="center"/>
                </w:tcPr>
                <w:p w14:paraId="111F20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基本收费1.5‰</w:t>
                  </w:r>
                </w:p>
              </w:tc>
              <w:tc>
                <w:tcPr>
                  <w:tcW w:w="4560" w:type="dxa"/>
                  <w:gridSpan w:val="4"/>
                  <w:vAlign w:val="center"/>
                </w:tcPr>
                <w:p w14:paraId="3D0111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另按审核增减额4%</w:t>
                  </w:r>
                </w:p>
              </w:tc>
            </w:tr>
            <w:tr w14:paraId="1B2B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2C96A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编制工程量清单</w:t>
                  </w:r>
                </w:p>
              </w:tc>
              <w:tc>
                <w:tcPr>
                  <w:tcW w:w="874" w:type="dxa"/>
                  <w:vAlign w:val="center"/>
                </w:tcPr>
                <w:p w14:paraId="1D791D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6D1801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4.5‰</w:t>
                  </w:r>
                </w:p>
              </w:tc>
              <w:tc>
                <w:tcPr>
                  <w:tcW w:w="1170" w:type="dxa"/>
                  <w:vAlign w:val="center"/>
                </w:tcPr>
                <w:p w14:paraId="43384F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050" w:type="dxa"/>
                  <w:vAlign w:val="center"/>
                </w:tcPr>
                <w:p w14:paraId="1EBADD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245" w:type="dxa"/>
                  <w:vAlign w:val="center"/>
                </w:tcPr>
                <w:p w14:paraId="38F738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2.8‰</w:t>
                  </w:r>
                </w:p>
              </w:tc>
              <w:tc>
                <w:tcPr>
                  <w:tcW w:w="1215" w:type="dxa"/>
                  <w:vAlign w:val="center"/>
                </w:tcPr>
                <w:p w14:paraId="25CCF2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723FD6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r w14:paraId="7354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94E34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实施阶段工程造价控制</w:t>
                  </w:r>
                </w:p>
              </w:tc>
              <w:tc>
                <w:tcPr>
                  <w:tcW w:w="874" w:type="dxa"/>
                  <w:vAlign w:val="center"/>
                </w:tcPr>
                <w:p w14:paraId="06FADB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13BD95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9.5‰</w:t>
                  </w:r>
                </w:p>
              </w:tc>
              <w:tc>
                <w:tcPr>
                  <w:tcW w:w="1170" w:type="dxa"/>
                  <w:vAlign w:val="center"/>
                </w:tcPr>
                <w:p w14:paraId="09ACCF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6.5‰</w:t>
                  </w:r>
                </w:p>
              </w:tc>
              <w:tc>
                <w:tcPr>
                  <w:tcW w:w="1050" w:type="dxa"/>
                  <w:vAlign w:val="center"/>
                </w:tcPr>
                <w:p w14:paraId="0B38E6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w:t>
                  </w:r>
                </w:p>
              </w:tc>
              <w:tc>
                <w:tcPr>
                  <w:tcW w:w="1245" w:type="dxa"/>
                  <w:vAlign w:val="center"/>
                </w:tcPr>
                <w:p w14:paraId="1CEAFF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215" w:type="dxa"/>
                  <w:vAlign w:val="center"/>
                </w:tcPr>
                <w:p w14:paraId="6EFE2C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2.8‰</w:t>
                  </w:r>
                </w:p>
              </w:tc>
              <w:tc>
                <w:tcPr>
                  <w:tcW w:w="1050" w:type="dxa"/>
                  <w:vAlign w:val="center"/>
                </w:tcPr>
                <w:p w14:paraId="209BE0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r w14:paraId="519C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3682BB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工程造价鉴证</w:t>
                  </w:r>
                </w:p>
              </w:tc>
              <w:tc>
                <w:tcPr>
                  <w:tcW w:w="874" w:type="dxa"/>
                  <w:vAlign w:val="center"/>
                </w:tcPr>
                <w:p w14:paraId="71702F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鉴证标底</w:t>
                  </w:r>
                </w:p>
              </w:tc>
              <w:tc>
                <w:tcPr>
                  <w:tcW w:w="940" w:type="dxa"/>
                  <w:vAlign w:val="center"/>
                </w:tcPr>
                <w:p w14:paraId="35FD06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6.5‰</w:t>
                  </w:r>
                </w:p>
              </w:tc>
              <w:tc>
                <w:tcPr>
                  <w:tcW w:w="1170" w:type="dxa"/>
                  <w:vAlign w:val="center"/>
                </w:tcPr>
                <w:p w14:paraId="3A496F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4.8‰</w:t>
                  </w:r>
                </w:p>
              </w:tc>
              <w:tc>
                <w:tcPr>
                  <w:tcW w:w="1050" w:type="dxa"/>
                  <w:vAlign w:val="center"/>
                </w:tcPr>
                <w:p w14:paraId="11E3DA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245" w:type="dxa"/>
                  <w:vAlign w:val="center"/>
                </w:tcPr>
                <w:p w14:paraId="1A9DCD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215" w:type="dxa"/>
                  <w:vAlign w:val="center"/>
                </w:tcPr>
                <w:p w14:paraId="6E89D1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42633B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bl>
          <w:p w14:paraId="038741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color w:val="auto"/>
                <w:kern w:val="0"/>
                <w:sz w:val="21"/>
                <w:szCs w:val="21"/>
                <w:highlight w:val="none"/>
                <w:lang w:val="en-US" w:eastAsia="zh-CN"/>
              </w:rPr>
              <w:t>综合折扣率说明，例</w:t>
            </w:r>
            <w:r>
              <w:rPr>
                <w:rFonts w:hint="eastAsia" w:ascii="宋体" w:hAnsi="宋体" w:eastAsia="宋体" w:cs="宋体"/>
                <w:b/>
                <w:color w:val="auto"/>
                <w:kern w:val="0"/>
                <w:sz w:val="21"/>
                <w:szCs w:val="21"/>
                <w:highlight w:val="none"/>
                <w:lang w:val="en-US" w:eastAsia="zh-CN"/>
              </w:rPr>
              <w:t>如：编制工程量清单建安工程费100万×应收费率4.5‰=4500元，综合折扣率为80％，则实收3600元。</w:t>
            </w:r>
          </w:p>
          <w:p w14:paraId="09B9E91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Cs w:val="21"/>
                <w:highlight w:val="none"/>
                <w:lang w:val="en-US" w:eastAsia="zh-CN"/>
              </w:rPr>
            </w:pP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8890" t="29210" r="20955" b="46990"/>
                            <wp:wrapNone/>
                            <wp:docPr id="4" name="文本框 4"/>
                            <wp:cNvGraphicFramePr/>
                            <a:graphic xmlns:a="http://schemas.openxmlformats.org/drawingml/2006/main">
                              <a:graphicData uri="http://schemas.microsoft.com/office/word/2010/wordprocessingShape">
                                <wps:wsp>
                                  <wps:cNvSpPr txBox="1"/>
                                  <wps:spPr>
                                    <a:xfrm rot="240000">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rotation:262144f;z-index:251660288;mso-width-relative:page;mso-height-relative:page;" fillcolor="#FFFFFF [3201]" filled="t" stroked="f" coordsize="21600,21600" o:gfxdata="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dMbrH1wAAAAkBAAAPAAAAAAAAAAEAIAAAACIAAABkcnMvZG93bnJldi54bWxQSwECFAAUAAAA&#10;CACHTuJAAZ0ucmECAACnBAAADgAAAAAAAAABACAAAAAmAQAAZHJzL2Uyb0RvYy54bWxQSwUGAAAA&#10;AAYABgBZAQAA+Q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eastAsia="宋体" w:cs="宋体"/>
                <w:color w:val="auto"/>
                <w:kern w:val="0"/>
                <w:szCs w:val="21"/>
                <w:highlight w:val="none"/>
                <w:lang w:val="en-US" w:eastAsia="zh-CN"/>
              </w:rPr>
              <w:t>四名成交供应商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CC642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val="en-US" w:eastAsia="zh-CN"/>
        </w:rPr>
        <w:t>24万元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F949E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拟派项目负责人须具有二级及以上造价工程师注册证书(注册单位需与响应单位名称一致，提供劳动合同和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7783C96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未响应或不满足竞争性磋商文件技术要求和商务要求的。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eastAsia="宋体" w:cs="宋体"/>
          <w:color w:val="auto"/>
          <w:highlight w:val="none"/>
          <w:lang w:val="en-US" w:eastAsia="zh-CN"/>
        </w:rPr>
        <w:t>四名成交供应商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val="en-US" w:eastAsia="zh-CN"/>
        </w:rPr>
        <w:t>前四名</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12B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1198" w:type="dxa"/>
            <w:vMerge w:val="restart"/>
            <w:noWrap w:val="0"/>
            <w:vAlign w:val="center"/>
          </w:tcPr>
          <w:p w14:paraId="5D2A066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（64分）</w:t>
            </w:r>
          </w:p>
        </w:tc>
        <w:tc>
          <w:tcPr>
            <w:tcW w:w="1362" w:type="dxa"/>
            <w:noWrap w:val="0"/>
            <w:vAlign w:val="center"/>
          </w:tcPr>
          <w:p w14:paraId="0DC241B9">
            <w:pPr>
              <w:adjustRightInd w:val="0"/>
              <w:snapToGrid w:val="0"/>
              <w:spacing w:beforeLines="20" w:line="360" w:lineRule="auto"/>
              <w:ind w:left="42" w:leftChars="2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工作实施方案</w:t>
            </w: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c>
          <w:tcPr>
            <w:tcW w:w="6922" w:type="dxa"/>
            <w:noWrap w:val="0"/>
            <w:vAlign w:val="center"/>
          </w:tcPr>
          <w:p w14:paraId="39F016B7">
            <w:pPr>
              <w:rPr>
                <w:rFonts w:hint="eastAsia"/>
                <w:color w:val="auto"/>
                <w:lang w:eastAsia="zh-CN"/>
              </w:rPr>
            </w:pPr>
            <w:r>
              <w:rPr>
                <w:rFonts w:hint="eastAsia"/>
                <w:color w:val="auto"/>
                <w:lang w:val="en-US" w:eastAsia="zh-CN"/>
              </w:rPr>
              <w:t>本项目工作实施方案的全面性及合理性（包括主要服务内容、服务措施、</w:t>
            </w:r>
            <w:r>
              <w:rPr>
                <w:rFonts w:hint="eastAsia" w:asciiTheme="minorEastAsia" w:hAnsiTheme="minorEastAsia" w:eastAsiaTheme="minorEastAsia" w:cstheme="minorEastAsia"/>
                <w:color w:val="auto"/>
                <w:kern w:val="0"/>
                <w:sz w:val="21"/>
                <w:szCs w:val="21"/>
                <w:highlight w:val="none"/>
              </w:rPr>
              <w:t>工作流程及工作计划</w:t>
            </w:r>
            <w:r>
              <w:rPr>
                <w:rFonts w:hint="eastAsia" w:asciiTheme="minorEastAsia" w:hAnsiTheme="minorEastAsia" w:eastAsiaTheme="minorEastAsia" w:cstheme="minorEastAsia"/>
                <w:color w:val="auto"/>
                <w:kern w:val="0"/>
                <w:sz w:val="21"/>
                <w:szCs w:val="21"/>
                <w:highlight w:val="none"/>
                <w:lang w:eastAsia="zh-CN"/>
              </w:rPr>
              <w:t>、</w:t>
            </w:r>
            <w:r>
              <w:rPr>
                <w:rFonts w:hint="eastAsia"/>
                <w:color w:val="auto"/>
                <w:lang w:val="en-US" w:eastAsia="zh-CN"/>
              </w:rPr>
              <w:t xml:space="preserve">信息反馈渠道及处理机制、造价成果达到国家和行业标准）情况进行评分。 </w:t>
            </w:r>
          </w:p>
          <w:p w14:paraId="1A4B0BA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 w:eastAsia="zh-CN"/>
              </w:rPr>
            </w:pPr>
            <w:r>
              <w:rPr>
                <w:rFonts w:hint="eastAsia" w:ascii="宋体" w:hAnsi="宋体" w:eastAsia="宋体" w:cs="宋体"/>
                <w:b w:val="0"/>
                <w:bCs w:val="0"/>
                <w:color w:val="auto"/>
                <w:sz w:val="21"/>
                <w:szCs w:val="21"/>
                <w:highlight w:val="none"/>
                <w:lang w:val="en-US" w:eastAsia="zh-CN"/>
              </w:rPr>
              <w:t>方案内容详细且全面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w:t>
            </w:r>
            <w:r>
              <w:rPr>
                <w:rFonts w:hint="eastAsia" w:ascii="宋体" w:hAnsi="宋体" w:eastAsia="宋体" w:cs="宋体"/>
                <w:b w:val="0"/>
                <w:bCs w:val="0"/>
                <w:color w:val="auto"/>
                <w:sz w:val="21"/>
                <w:szCs w:val="21"/>
                <w:highlight w:val="none"/>
                <w:lang w:val="en" w:eastAsia="zh-CN"/>
              </w:rPr>
              <w:t>强，</w:t>
            </w:r>
            <w:r>
              <w:rPr>
                <w:rFonts w:hint="eastAsia" w:ascii="宋体" w:hAnsi="宋体" w:eastAsia="宋体" w:cs="宋体"/>
                <w:b w:val="0"/>
                <w:bCs w:val="0"/>
                <w:color w:val="auto"/>
                <w:sz w:val="21"/>
                <w:szCs w:val="21"/>
                <w:highlight w:val="none"/>
                <w:lang w:val="en-US" w:eastAsia="zh-CN"/>
              </w:rPr>
              <w:t>完全满足项目采购需求的</w:t>
            </w:r>
            <w:r>
              <w:rPr>
                <w:rFonts w:hint="eastAsia" w:ascii="宋体" w:hAnsi="宋体" w:eastAsia="宋体" w:cs="宋体"/>
                <w:b w:val="0"/>
                <w:bCs w:val="0"/>
                <w:color w:val="auto"/>
                <w:sz w:val="21"/>
                <w:szCs w:val="21"/>
                <w:highlight w:val="none"/>
                <w:lang w:val="en" w:eastAsia="zh-CN"/>
              </w:rPr>
              <w:t>得</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 w:eastAsia="zh-CN"/>
              </w:rPr>
              <w:t>分；</w:t>
            </w:r>
          </w:p>
          <w:p w14:paraId="2607D52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可操作性一般</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基本满足项目采购需求的得</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132C65E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方案内容不全面，无针对性，不满足项目采购需求的得</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E33136A">
            <w:pPr>
              <w:rPr>
                <w:rFonts w:hint="eastAsia"/>
                <w:color w:val="auto"/>
                <w:lang w:eastAsia="zh-CN"/>
              </w:rPr>
            </w:pPr>
            <w:r>
              <w:rPr>
                <w:rFonts w:hint="eastAsia" w:ascii="宋体" w:hAnsi="宋体" w:eastAsia="宋体" w:cs="宋体"/>
                <w:b w:val="0"/>
                <w:bCs w:val="0"/>
                <w:color w:val="auto"/>
                <w:sz w:val="21"/>
                <w:szCs w:val="21"/>
                <w:highlight w:val="none"/>
                <w:lang w:eastAsia="zh-CN"/>
              </w:rPr>
              <w:t>若缺项得0分。</w:t>
            </w:r>
          </w:p>
        </w:tc>
      </w:tr>
      <w:tr w14:paraId="3C5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98" w:type="dxa"/>
            <w:vMerge w:val="continue"/>
            <w:noWrap w:val="0"/>
            <w:vAlign w:val="center"/>
          </w:tcPr>
          <w:p w14:paraId="4D17CC2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CE8C426">
            <w:pPr>
              <w:adjustRightInd w:val="0"/>
              <w:snapToGrid w:val="0"/>
              <w:spacing w:beforeLines="20" w:line="360" w:lineRule="auto"/>
              <w:ind w:left="42" w:leftChars="2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lang w:val="en-US" w:eastAsia="zh-CN"/>
              </w:rPr>
              <w:t>2.质量保障措施</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6922" w:type="dxa"/>
            <w:noWrap w:val="0"/>
            <w:vAlign w:val="center"/>
          </w:tcPr>
          <w:p w14:paraId="0A0FDDB4">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根据供应商针对本项目的工程量清单及招标控制价编制及审核等各阶段</w:t>
            </w:r>
            <w:r>
              <w:rPr>
                <w:rFonts w:hint="eastAsia" w:ascii="宋体" w:hAnsi="宋体" w:cs="宋体"/>
                <w:color w:val="auto"/>
                <w:sz w:val="21"/>
                <w:szCs w:val="21"/>
                <w:highlight w:val="none"/>
                <w:lang w:val="en-US" w:eastAsia="zh-CN"/>
              </w:rPr>
              <w:t>制定服务质量保障措施，包括</w:t>
            </w:r>
            <w:r>
              <w:rPr>
                <w:rFonts w:hint="eastAsia" w:ascii="宋体" w:hAnsi="宋体" w:eastAsia="宋体" w:cs="宋体"/>
                <w:color w:val="auto"/>
                <w:sz w:val="21"/>
                <w:szCs w:val="21"/>
                <w:highlight w:val="none"/>
                <w:lang w:val="en-US" w:eastAsia="zh-CN"/>
              </w:rPr>
              <w:t>工作重</w:t>
            </w:r>
            <w:r>
              <w:rPr>
                <w:rFonts w:hint="eastAsia" w:ascii="宋体" w:hAnsi="宋体" w:cs="宋体"/>
                <w:color w:val="auto"/>
                <w:sz w:val="21"/>
                <w:szCs w:val="21"/>
                <w:highlight w:val="none"/>
                <w:lang w:val="en-US" w:eastAsia="zh-CN"/>
              </w:rPr>
              <w:t>难点分析及应对措施</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对关键节点的质量管控</w:t>
            </w:r>
            <w:r>
              <w:rPr>
                <w:rFonts w:hint="eastAsia" w:ascii="宋体" w:hAnsi="宋体" w:eastAsia="宋体" w:cs="宋体"/>
                <w:color w:val="auto"/>
                <w:sz w:val="21"/>
                <w:szCs w:val="21"/>
                <w:highlight w:val="none"/>
                <w:lang w:val="en-US" w:eastAsia="zh-CN"/>
              </w:rPr>
              <w:t xml:space="preserve">措施等内容进行综合比较。 </w:t>
            </w:r>
          </w:p>
          <w:p w14:paraId="0842D03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制定全面的服务质量保障措施，对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中的关键节点有具体质量控制措施和处理方法，能够确保服务质量的，得</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 xml:space="preserve">分； </w:t>
            </w:r>
          </w:p>
          <w:p w14:paraId="76CD577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制定相应的服务质量保障措施，对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中的关键节点有基本的质量控制措施和处理方法，基本保证服务质量的，得</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 xml:space="preserve">分； </w:t>
            </w:r>
          </w:p>
          <w:p w14:paraId="5D3771D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服务质量保障措施较为简单，对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中的关键节点的质量控制措施欠缺可行性，得</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B2AADB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1DE0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198" w:type="dxa"/>
            <w:vMerge w:val="continue"/>
            <w:noWrap w:val="0"/>
            <w:vAlign w:val="center"/>
          </w:tcPr>
          <w:p w14:paraId="5B2E29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C09060">
            <w:pPr>
              <w:adjustRightInd w:val="0"/>
              <w:snapToGrid w:val="0"/>
              <w:spacing w:beforeLines="20" w:line="360" w:lineRule="auto"/>
              <w:ind w:left="42" w:leftChars="20"/>
              <w:jc w:val="both"/>
              <w:rPr>
                <w:rFonts w:hint="default" w:ascii="宋体" w:hAnsi="宋体" w:cs="宋体"/>
                <w:color w:val="auto"/>
                <w:szCs w:val="21"/>
                <w:lang w:val="en-US" w:eastAsia="zh-CN"/>
              </w:rPr>
            </w:pPr>
            <w:r>
              <w:rPr>
                <w:rFonts w:hint="eastAsia" w:ascii="宋体" w:hAnsi="宋体" w:cs="宋体"/>
                <w:color w:val="auto"/>
                <w:szCs w:val="21"/>
                <w:lang w:val="en-US" w:eastAsia="zh-CN"/>
              </w:rPr>
              <w:t>3.机构实力（12分）</w:t>
            </w:r>
          </w:p>
        </w:tc>
        <w:tc>
          <w:tcPr>
            <w:tcW w:w="6922" w:type="dxa"/>
            <w:noWrap w:val="0"/>
            <w:vAlign w:val="center"/>
          </w:tcPr>
          <w:p w14:paraId="1BB31B7A">
            <w:pPr>
              <w:pStyle w:val="5"/>
              <w:keepNext w:val="0"/>
              <w:keepLines w:val="0"/>
              <w:pageBreakBefore w:val="0"/>
              <w:kinsoku/>
              <w:wordWrap/>
              <w:overflowPunct/>
              <w:topLinePunct w:val="0"/>
              <w:bidi w:val="0"/>
              <w:snapToGrid w:val="0"/>
              <w:spacing w:line="320" w:lineRule="exact"/>
              <w:jc w:val="both"/>
              <w:textAlignment w:val="auto"/>
              <w:rPr>
                <w:rFonts w:hint="default" w:hAnsi="宋体" w:cs="宋体"/>
                <w:b w:val="0"/>
                <w:bCs w:val="0"/>
                <w:color w:val="auto"/>
                <w:sz w:val="21"/>
                <w:szCs w:val="21"/>
                <w:highlight w:val="none"/>
                <w:u w:val="none"/>
                <w:lang w:eastAsia="zh-CN"/>
              </w:rPr>
            </w:pPr>
            <w:r>
              <w:rPr>
                <w:rFonts w:hint="eastAsia" w:hAnsi="宋体" w:cs="宋体"/>
                <w:b w:val="0"/>
                <w:bCs w:val="0"/>
                <w:color w:val="auto"/>
                <w:sz w:val="21"/>
                <w:szCs w:val="21"/>
                <w:highlight w:val="none"/>
                <w:u w:val="none"/>
                <w:lang w:val="en-US" w:eastAsia="zh-CN"/>
              </w:rPr>
              <w:t>1、供应商具有一级造价工程师注册证书的人员</w:t>
            </w:r>
            <w:r>
              <w:rPr>
                <w:rFonts w:hint="default"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4</w:t>
            </w:r>
            <w:r>
              <w:rPr>
                <w:rFonts w:hint="default" w:hAnsi="宋体" w:cs="宋体"/>
                <w:b w:val="0"/>
                <w:bCs w:val="0"/>
                <w:color w:val="auto"/>
                <w:sz w:val="21"/>
                <w:szCs w:val="21"/>
                <w:highlight w:val="none"/>
                <w:u w:val="none"/>
                <w:lang w:eastAsia="zh-CN"/>
              </w:rPr>
              <w:t>人</w:t>
            </w:r>
            <w:r>
              <w:rPr>
                <w:rFonts w:hint="eastAsia" w:hAnsi="宋体" w:cs="宋体"/>
                <w:b w:val="0"/>
                <w:bCs w:val="0"/>
                <w:color w:val="auto"/>
                <w:sz w:val="21"/>
                <w:szCs w:val="21"/>
                <w:highlight w:val="none"/>
                <w:u w:val="none"/>
                <w:lang w:val="en-US" w:eastAsia="zh-CN"/>
              </w:rPr>
              <w:t>的得7</w:t>
            </w:r>
            <w:r>
              <w:rPr>
                <w:rFonts w:hint="default" w:hAnsi="宋体" w:cs="宋体"/>
                <w:b w:val="0"/>
                <w:bCs w:val="0"/>
                <w:color w:val="auto"/>
                <w:sz w:val="21"/>
                <w:szCs w:val="21"/>
                <w:highlight w:val="none"/>
                <w:u w:val="none"/>
                <w:lang w:eastAsia="zh-CN"/>
              </w:rPr>
              <w:t>分，</w:t>
            </w:r>
            <w:r>
              <w:rPr>
                <w:rFonts w:hint="eastAsia" w:hAnsi="宋体" w:cs="宋体"/>
                <w:b w:val="0"/>
                <w:bCs w:val="0"/>
                <w:color w:val="auto"/>
                <w:sz w:val="21"/>
                <w:szCs w:val="21"/>
                <w:highlight w:val="none"/>
                <w:u w:val="none"/>
                <w:lang w:val="en-US" w:eastAsia="zh-CN"/>
              </w:rPr>
              <w:t>3人得5分，2分得3分，</w:t>
            </w:r>
            <w:r>
              <w:rPr>
                <w:rFonts w:hint="default" w:hAnsi="宋体" w:cs="宋体"/>
                <w:b w:val="0"/>
                <w:bCs w:val="0"/>
                <w:color w:val="auto"/>
                <w:sz w:val="21"/>
                <w:szCs w:val="21"/>
                <w:highlight w:val="none"/>
                <w:u w:val="none"/>
                <w:lang w:eastAsia="zh-CN"/>
              </w:rPr>
              <w:t>1人</w:t>
            </w:r>
            <w:r>
              <w:rPr>
                <w:rFonts w:hint="eastAsia" w:hAnsi="宋体" w:cs="宋体"/>
                <w:b w:val="0"/>
                <w:bCs w:val="0"/>
                <w:color w:val="auto"/>
                <w:sz w:val="21"/>
                <w:szCs w:val="21"/>
                <w:highlight w:val="none"/>
                <w:u w:val="none"/>
                <w:lang w:val="en-US" w:eastAsia="zh-CN"/>
              </w:rPr>
              <w:t>得1</w:t>
            </w:r>
            <w:r>
              <w:rPr>
                <w:rFonts w:hint="default" w:hAnsi="宋体" w:cs="宋体"/>
                <w:b w:val="0"/>
                <w:bCs w:val="0"/>
                <w:color w:val="auto"/>
                <w:sz w:val="21"/>
                <w:szCs w:val="21"/>
                <w:highlight w:val="none"/>
                <w:u w:val="none"/>
                <w:lang w:eastAsia="zh-CN"/>
              </w:rPr>
              <w:t>分</w:t>
            </w:r>
            <w:r>
              <w:rPr>
                <w:rFonts w:hint="eastAsia" w:hAnsi="宋体" w:cs="宋体"/>
                <w:b w:val="0"/>
                <w:bCs w:val="0"/>
                <w:color w:val="auto"/>
                <w:sz w:val="21"/>
                <w:szCs w:val="21"/>
                <w:highlight w:val="none"/>
                <w:u w:val="none"/>
                <w:lang w:eastAsia="zh-CN"/>
              </w:rPr>
              <w:t>。</w:t>
            </w:r>
          </w:p>
          <w:p w14:paraId="6A8C3A16">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2、具有二级造价工程师注册证书的人员</w:t>
            </w:r>
            <w:r>
              <w:rPr>
                <w:rFonts w:hint="default"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5</w:t>
            </w:r>
            <w:r>
              <w:rPr>
                <w:rFonts w:hint="default" w:hAnsi="宋体" w:cs="宋体"/>
                <w:b w:val="0"/>
                <w:bCs w:val="0"/>
                <w:color w:val="auto"/>
                <w:sz w:val="21"/>
                <w:szCs w:val="21"/>
                <w:highlight w:val="none"/>
                <w:u w:val="none"/>
                <w:lang w:eastAsia="zh-CN"/>
              </w:rPr>
              <w:t>人</w:t>
            </w:r>
            <w:r>
              <w:rPr>
                <w:rFonts w:hint="eastAsia" w:hAnsi="宋体" w:cs="宋体"/>
                <w:b w:val="0"/>
                <w:bCs w:val="0"/>
                <w:color w:val="auto"/>
                <w:sz w:val="21"/>
                <w:szCs w:val="21"/>
                <w:highlight w:val="none"/>
                <w:u w:val="none"/>
                <w:lang w:val="en-US" w:eastAsia="zh-CN"/>
              </w:rPr>
              <w:t>的得5</w:t>
            </w:r>
            <w:r>
              <w:rPr>
                <w:rFonts w:hint="default" w:hAnsi="宋体" w:cs="宋体"/>
                <w:b w:val="0"/>
                <w:bCs w:val="0"/>
                <w:color w:val="auto"/>
                <w:sz w:val="21"/>
                <w:szCs w:val="21"/>
                <w:highlight w:val="none"/>
                <w:u w:val="none"/>
                <w:lang w:eastAsia="zh-CN"/>
              </w:rPr>
              <w:t>分，</w:t>
            </w:r>
            <w:r>
              <w:rPr>
                <w:rFonts w:hint="eastAsia" w:hAnsi="宋体" w:cs="宋体"/>
                <w:b w:val="0"/>
                <w:bCs w:val="0"/>
                <w:color w:val="auto"/>
                <w:sz w:val="21"/>
                <w:szCs w:val="21"/>
                <w:highlight w:val="none"/>
                <w:u w:val="none"/>
                <w:lang w:val="en-US" w:eastAsia="zh-CN"/>
              </w:rPr>
              <w:t>4人得4分，3人得3分，2人得2分，1人得1分</w:t>
            </w:r>
            <w:r>
              <w:rPr>
                <w:rFonts w:hint="eastAsia" w:hAnsi="宋体" w:cs="宋体"/>
                <w:b w:val="0"/>
                <w:bCs w:val="0"/>
                <w:color w:val="auto"/>
                <w:sz w:val="21"/>
                <w:szCs w:val="21"/>
                <w:highlight w:val="none"/>
                <w:u w:val="none"/>
                <w:lang w:eastAsia="zh-CN"/>
              </w:rPr>
              <w:t>。</w:t>
            </w:r>
          </w:p>
          <w:p w14:paraId="5B3F3736">
            <w:pPr>
              <w:rPr>
                <w:rFonts w:hint="default"/>
                <w:color w:val="auto"/>
                <w:lang w:val="en-US" w:eastAsia="zh-CN"/>
              </w:rPr>
            </w:pPr>
            <w:r>
              <w:rPr>
                <w:rFonts w:hint="eastAsia" w:hAnsi="宋体" w:cs="宋体"/>
                <w:b w:val="0"/>
                <w:bCs w:val="0"/>
                <w:color w:val="auto"/>
                <w:sz w:val="21"/>
                <w:szCs w:val="21"/>
                <w:highlight w:val="none"/>
                <w:u w:val="none"/>
                <w:lang w:val="en-US" w:eastAsia="zh-CN"/>
              </w:rPr>
              <w:t>注：</w:t>
            </w:r>
            <w:r>
              <w:rPr>
                <w:rFonts w:hint="default" w:hAnsi="宋体" w:cs="宋体"/>
                <w:b w:val="0"/>
                <w:bCs w:val="0"/>
                <w:color w:val="auto"/>
                <w:sz w:val="21"/>
                <w:szCs w:val="21"/>
                <w:highlight w:val="none"/>
                <w:u w:val="none"/>
                <w:lang w:eastAsia="zh-CN"/>
              </w:rPr>
              <w:t>提供注册证书、劳动合同和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的社保证明，注册单位需与响应单位名称一致，否则不得分。</w:t>
            </w:r>
          </w:p>
        </w:tc>
      </w:tr>
      <w:tr w14:paraId="7141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709630B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restart"/>
            <w:noWrap w:val="0"/>
            <w:vAlign w:val="center"/>
          </w:tcPr>
          <w:p w14:paraId="4BDBC3BA">
            <w:pPr>
              <w:adjustRightInd w:val="0"/>
              <w:snapToGrid w:val="0"/>
              <w:spacing w:beforeLines="20" w:line="360" w:lineRule="auto"/>
              <w:ind w:left="42" w:leftChars="20"/>
              <w:jc w:val="both"/>
              <w:rPr>
                <w:rFonts w:hint="eastAsia" w:ascii="宋体" w:hAnsi="宋体" w:cs="宋体"/>
                <w:color w:val="auto"/>
                <w:szCs w:val="21"/>
                <w:lang w:val="en-US" w:eastAsia="zh-CN"/>
              </w:rPr>
            </w:pPr>
            <w:r>
              <w:rPr>
                <w:rFonts w:hint="eastAsia" w:ascii="宋体" w:hAnsi="宋体" w:cs="宋体"/>
                <w:color w:val="auto"/>
                <w:szCs w:val="21"/>
                <w:lang w:val="en-US" w:eastAsia="zh-CN"/>
              </w:rPr>
              <w:t>4.人员配备</w:t>
            </w:r>
            <w:r>
              <w:rPr>
                <w:rFonts w:hint="default" w:ascii="宋体" w:hAnsi="宋体" w:cs="宋体"/>
                <w:color w:val="auto"/>
                <w:szCs w:val="21"/>
                <w:lang w:eastAsia="zh-CN"/>
              </w:rPr>
              <w:t>（1</w:t>
            </w:r>
            <w:r>
              <w:rPr>
                <w:rFonts w:hint="eastAsia" w:ascii="宋体" w:hAnsi="宋体" w:cs="宋体"/>
                <w:color w:val="auto"/>
                <w:szCs w:val="21"/>
                <w:lang w:val="en-US" w:eastAsia="zh-CN"/>
              </w:rPr>
              <w:t>4</w:t>
            </w:r>
            <w:r>
              <w:rPr>
                <w:rFonts w:hint="default" w:ascii="宋体" w:hAnsi="宋体" w:cs="宋体"/>
                <w:color w:val="auto"/>
                <w:szCs w:val="21"/>
                <w:lang w:eastAsia="zh-CN"/>
              </w:rPr>
              <w:t>分）</w:t>
            </w:r>
          </w:p>
        </w:tc>
        <w:tc>
          <w:tcPr>
            <w:tcW w:w="6922" w:type="dxa"/>
            <w:noWrap w:val="0"/>
            <w:vAlign w:val="center"/>
          </w:tcPr>
          <w:p w14:paraId="0E8C6C0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1、项目负责人（</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 xml:space="preserve">分） </w:t>
            </w:r>
          </w:p>
          <w:p w14:paraId="654DD00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项目负责人具有</w:t>
            </w:r>
            <w:r>
              <w:rPr>
                <w:rFonts w:hint="eastAsia" w:hAnsi="宋体" w:cs="宋体"/>
                <w:b w:val="0"/>
                <w:bCs w:val="0"/>
                <w:color w:val="auto"/>
                <w:sz w:val="21"/>
                <w:szCs w:val="21"/>
                <w:highlight w:val="none"/>
                <w:u w:val="none"/>
                <w:lang w:val="en-US" w:eastAsia="zh-CN"/>
              </w:rPr>
              <w:t>一级造价工程师注册证书的得5分</w:t>
            </w:r>
            <w:r>
              <w:rPr>
                <w:rFonts w:hint="eastAsia" w:ascii="宋体" w:hAnsi="宋体" w:eastAsia="宋体" w:cs="宋体"/>
                <w:b w:val="0"/>
                <w:bCs w:val="0"/>
                <w:color w:val="auto"/>
                <w:sz w:val="21"/>
                <w:szCs w:val="21"/>
                <w:highlight w:val="none"/>
                <w:u w:val="none"/>
                <w:lang w:val="en-US" w:eastAsia="zh-CN"/>
              </w:rPr>
              <w:t>（附</w:t>
            </w:r>
            <w:r>
              <w:rPr>
                <w:rFonts w:hint="eastAsia" w:hAnsi="宋体" w:cs="宋体"/>
                <w:b w:val="0"/>
                <w:bCs w:val="0"/>
                <w:color w:val="auto"/>
                <w:sz w:val="21"/>
                <w:szCs w:val="21"/>
                <w:highlight w:val="none"/>
                <w:u w:val="none"/>
                <w:lang w:val="en-US" w:eastAsia="zh-CN"/>
              </w:rPr>
              <w:t>相关证书，注册证书必须注册在本单位</w:t>
            </w:r>
            <w:r>
              <w:rPr>
                <w:rFonts w:hint="eastAsia" w:ascii="宋体" w:hAnsi="宋体" w:eastAsia="宋体" w:cs="宋体"/>
                <w:b w:val="0"/>
                <w:bCs w:val="0"/>
                <w:color w:val="auto"/>
                <w:sz w:val="21"/>
                <w:szCs w:val="21"/>
                <w:highlight w:val="none"/>
                <w:u w:val="none"/>
                <w:lang w:val="en-US" w:eastAsia="zh-CN"/>
              </w:rPr>
              <w:t xml:space="preserve">）。 </w:t>
            </w:r>
          </w:p>
          <w:p w14:paraId="23747F6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2、拟投入人员</w:t>
            </w:r>
            <w:r>
              <w:rPr>
                <w:rFonts w:hint="eastAsia" w:hAnsi="宋体" w:cs="宋体"/>
                <w:b w:val="0"/>
                <w:bCs w:val="0"/>
                <w:color w:val="auto"/>
                <w:sz w:val="21"/>
                <w:szCs w:val="21"/>
                <w:highlight w:val="none"/>
                <w:u w:val="none"/>
                <w:lang w:val="en-US" w:eastAsia="zh-CN"/>
              </w:rPr>
              <w:t>（除项目负责人外）</w:t>
            </w:r>
            <w:r>
              <w:rPr>
                <w:rFonts w:hint="eastAsia" w:ascii="宋体" w:hAnsi="宋体" w:eastAsia="宋体" w:cs="宋体"/>
                <w:b w:val="0"/>
                <w:bCs w:val="0"/>
                <w:color w:val="auto"/>
                <w:sz w:val="21"/>
                <w:szCs w:val="21"/>
                <w:highlight w:val="none"/>
                <w:u w:val="none"/>
                <w:lang w:val="en-US" w:eastAsia="zh-CN"/>
              </w:rPr>
              <w:t>（</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 xml:space="preserve">分） </w:t>
            </w:r>
          </w:p>
          <w:p w14:paraId="11803C25">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拟投入人员</w:t>
            </w:r>
            <w:r>
              <w:rPr>
                <w:rFonts w:hint="eastAsia" w:hAnsi="宋体" w:cs="宋体"/>
                <w:b w:val="0"/>
                <w:bCs w:val="0"/>
                <w:color w:val="auto"/>
                <w:sz w:val="21"/>
                <w:szCs w:val="21"/>
                <w:highlight w:val="none"/>
                <w:u w:val="none"/>
                <w:lang w:val="en-US" w:eastAsia="zh-CN"/>
              </w:rPr>
              <w:t>中每</w:t>
            </w:r>
            <w:r>
              <w:rPr>
                <w:rFonts w:hint="eastAsia" w:ascii="宋体" w:hAnsi="宋体" w:eastAsia="宋体" w:cs="宋体"/>
                <w:b w:val="0"/>
                <w:bCs w:val="0"/>
                <w:color w:val="auto"/>
                <w:sz w:val="21"/>
                <w:szCs w:val="21"/>
                <w:highlight w:val="none"/>
                <w:u w:val="none"/>
                <w:lang w:val="en-US" w:eastAsia="zh-CN"/>
              </w:rPr>
              <w:t>具</w:t>
            </w:r>
            <w:r>
              <w:rPr>
                <w:rFonts w:hint="eastAsia" w:hAnsi="宋体" w:cs="宋体"/>
                <w:b w:val="0"/>
                <w:bCs w:val="0"/>
                <w:color w:val="auto"/>
                <w:sz w:val="21"/>
                <w:szCs w:val="21"/>
                <w:highlight w:val="none"/>
                <w:u w:val="none"/>
                <w:lang w:val="en-US" w:eastAsia="zh-CN"/>
              </w:rPr>
              <w:t>有一名造价工程师注册证书的</w:t>
            </w:r>
            <w:r>
              <w:rPr>
                <w:rFonts w:hint="eastAsia" w:ascii="宋体" w:hAnsi="宋体" w:eastAsia="宋体" w:cs="宋体"/>
                <w:b w:val="0"/>
                <w:bCs w:val="0"/>
                <w:color w:val="auto"/>
                <w:sz w:val="21"/>
                <w:szCs w:val="21"/>
                <w:highlight w:val="none"/>
                <w:u w:val="none"/>
                <w:lang w:val="en-US" w:eastAsia="zh-CN"/>
              </w:rPr>
              <w:t>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，此项最高得4分</w:t>
            </w:r>
            <w:r>
              <w:rPr>
                <w:rFonts w:hint="eastAsia" w:hAnsi="宋体" w:cs="宋体"/>
                <w:b w:val="0"/>
                <w:bCs w:val="0"/>
                <w:color w:val="auto"/>
                <w:sz w:val="21"/>
                <w:szCs w:val="21"/>
                <w:highlight w:val="none"/>
                <w:u w:val="none"/>
                <w:lang w:eastAsia="zh-CN"/>
              </w:rPr>
              <w:t>。</w:t>
            </w:r>
          </w:p>
          <w:p w14:paraId="09E3014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hAnsi="宋体" w:cs="宋体"/>
                <w:b w:val="0"/>
                <w:bCs w:val="0"/>
                <w:color w:val="auto"/>
                <w:sz w:val="21"/>
                <w:szCs w:val="21"/>
                <w:highlight w:val="none"/>
                <w:u w:val="none"/>
                <w:lang w:val="en-US" w:eastAsia="zh-CN"/>
              </w:rPr>
              <w:t>注：</w:t>
            </w:r>
            <w:r>
              <w:rPr>
                <w:rFonts w:hint="default" w:hAnsi="宋体" w:cs="宋体"/>
                <w:b w:val="0"/>
                <w:bCs w:val="0"/>
                <w:color w:val="auto"/>
                <w:sz w:val="21"/>
                <w:szCs w:val="21"/>
                <w:highlight w:val="none"/>
                <w:u w:val="none"/>
                <w:lang w:eastAsia="zh-CN"/>
              </w:rPr>
              <w:t>提供注册证书、劳动合同和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的社保证明，注册单位需与响应单位名称一致，否则不得分。</w:t>
            </w:r>
          </w:p>
        </w:tc>
      </w:tr>
      <w:tr w14:paraId="660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65DAB4E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continue"/>
            <w:noWrap w:val="0"/>
            <w:vAlign w:val="center"/>
          </w:tcPr>
          <w:p w14:paraId="123E0C05">
            <w:pPr>
              <w:adjustRightInd w:val="0"/>
              <w:snapToGrid w:val="0"/>
              <w:spacing w:beforeLines="20" w:line="360" w:lineRule="auto"/>
              <w:ind w:left="42" w:leftChars="20"/>
              <w:jc w:val="both"/>
              <w:rPr>
                <w:rFonts w:hint="eastAsia" w:ascii="宋体" w:hAnsi="宋体" w:cs="宋体"/>
                <w:color w:val="auto"/>
                <w:szCs w:val="21"/>
                <w:lang w:val="en-US" w:eastAsia="zh-CN"/>
              </w:rPr>
            </w:pPr>
          </w:p>
        </w:tc>
        <w:tc>
          <w:tcPr>
            <w:tcW w:w="6922" w:type="dxa"/>
            <w:noWrap w:val="0"/>
            <w:vAlign w:val="center"/>
          </w:tcPr>
          <w:p w14:paraId="4BEC4062">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CE2F38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分；</w:t>
            </w:r>
          </w:p>
          <w:p w14:paraId="53FC4F5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3A32618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 xml:space="preserve">缺项得0分。 </w:t>
            </w:r>
          </w:p>
        </w:tc>
      </w:tr>
      <w:tr w14:paraId="030F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1531788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7F22BF3">
            <w:pPr>
              <w:adjustRightInd w:val="0"/>
              <w:snapToGrid w:val="0"/>
              <w:spacing w:beforeLines="20" w:line="360" w:lineRule="auto"/>
              <w:ind w:left="42" w:leftChars="20"/>
              <w:jc w:val="center"/>
              <w:rPr>
                <w:rFonts w:hint="eastAsia" w:ascii="宋体" w:hAnsi="宋体" w:cs="宋体"/>
                <w:color w:val="auto"/>
                <w:szCs w:val="21"/>
                <w:lang w:val="en-US" w:eastAsia="zh-CN"/>
              </w:rPr>
            </w:pPr>
            <w:r>
              <w:rPr>
                <w:rFonts w:hint="eastAsia" w:ascii="宋体" w:hAnsi="宋体" w:cs="宋体"/>
                <w:color w:val="auto"/>
                <w:szCs w:val="21"/>
                <w:lang w:val="en-US" w:eastAsia="zh-CN"/>
              </w:rPr>
              <w:t>5.</w:t>
            </w:r>
            <w:r>
              <w:rPr>
                <w:rFonts w:hint="eastAsia"/>
                <w:color w:val="auto"/>
                <w:lang w:val="en-US" w:eastAsia="zh-CN"/>
              </w:rPr>
              <w:t>进度保证措施</w:t>
            </w: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922" w:type="dxa"/>
            <w:noWrap w:val="0"/>
            <w:vAlign w:val="center"/>
          </w:tcPr>
          <w:p w14:paraId="587CEA38">
            <w:pPr>
              <w:rPr>
                <w:rFonts w:hint="eastAsia"/>
                <w:color w:val="auto"/>
                <w:lang w:eastAsia="zh-CN"/>
              </w:rPr>
            </w:pPr>
            <w:r>
              <w:rPr>
                <w:rFonts w:hint="eastAsia"/>
                <w:color w:val="auto"/>
                <w:lang w:val="en-US" w:eastAsia="zh-CN"/>
              </w:rPr>
              <w:t xml:space="preserve">进度保证措施详细、全面，时间安排紧凑，后备岗位人员替补充足，完全满足项目要求，得 6分； </w:t>
            </w:r>
          </w:p>
          <w:p w14:paraId="5B946859">
            <w:pPr>
              <w:rPr>
                <w:rFonts w:hint="eastAsia"/>
                <w:color w:val="auto"/>
                <w:lang w:eastAsia="zh-CN"/>
              </w:rPr>
            </w:pPr>
            <w:r>
              <w:rPr>
                <w:rFonts w:hint="eastAsia"/>
                <w:color w:val="auto"/>
                <w:lang w:val="en-US" w:eastAsia="zh-CN"/>
              </w:rPr>
              <w:t xml:space="preserve">进度保证措施较详细、全面，时间安排较合理，有后备岗位人员，基本符合项目要求，得 3分； </w:t>
            </w:r>
          </w:p>
          <w:p w14:paraId="32011AF8">
            <w:pPr>
              <w:rPr>
                <w:rFonts w:hint="eastAsia"/>
                <w:color w:val="auto"/>
                <w:lang w:val="en-US" w:eastAsia="zh-CN"/>
              </w:rPr>
            </w:pPr>
            <w:r>
              <w:rPr>
                <w:rFonts w:hint="eastAsia"/>
                <w:color w:val="auto"/>
                <w:lang w:val="en-US" w:eastAsia="zh-CN"/>
              </w:rPr>
              <w:t>进度保证措施不够详细，时间安排较合理，后备岗位人员不足，得 1分。</w:t>
            </w:r>
          </w:p>
          <w:p w14:paraId="6E3CE091">
            <w:pP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6B4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98" w:type="dxa"/>
            <w:vMerge w:val="continue"/>
            <w:noWrap w:val="0"/>
            <w:vAlign w:val="center"/>
          </w:tcPr>
          <w:p w14:paraId="58C714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B78295">
            <w:pPr>
              <w:adjustRightInd w:val="0"/>
              <w:snapToGrid w:val="0"/>
              <w:spacing w:beforeLines="20" w:line="360" w:lineRule="auto"/>
              <w:ind w:left="42" w:leftChars="20"/>
              <w:jc w:val="center"/>
              <w:rPr>
                <w:rFonts w:hint="default" w:ascii="宋体" w:hAnsi="宋体" w:cs="宋体"/>
                <w:color w:val="auto"/>
                <w:szCs w:val="21"/>
                <w:lang w:val="en-US" w:eastAsia="zh-CN"/>
              </w:rPr>
            </w:pPr>
            <w:r>
              <w:rPr>
                <w:rFonts w:hint="eastAsia" w:ascii="宋体" w:hAnsi="宋体" w:cs="宋体"/>
                <w:color w:val="auto"/>
                <w:szCs w:val="21"/>
                <w:lang w:val="en-US" w:eastAsia="zh-CN"/>
              </w:rPr>
              <w:t>6.风险管控措施</w:t>
            </w: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922" w:type="dxa"/>
            <w:noWrap w:val="0"/>
            <w:vAlign w:val="center"/>
          </w:tcPr>
          <w:p w14:paraId="1F3627C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工作过程中风险防控管理措施齐全，廉洁自律和职业操守制度</w:t>
            </w:r>
            <w:r>
              <w:rPr>
                <w:rFonts w:hint="eastAsia" w:hAnsi="宋体" w:cs="宋体"/>
                <w:b w:val="0"/>
                <w:bCs w:val="0"/>
                <w:color w:val="auto"/>
                <w:sz w:val="21"/>
                <w:szCs w:val="21"/>
                <w:highlight w:val="none"/>
                <w:lang w:val="en-US" w:eastAsia="zh-CN"/>
              </w:rPr>
              <w:t>健全</w:t>
            </w:r>
            <w:r>
              <w:rPr>
                <w:rFonts w:hint="eastAsia" w:ascii="宋体" w:hAnsi="宋体" w:eastAsia="宋体" w:cs="宋体"/>
                <w:b w:val="0"/>
                <w:bCs w:val="0"/>
                <w:color w:val="auto"/>
                <w:sz w:val="21"/>
                <w:szCs w:val="21"/>
                <w:highlight w:val="none"/>
                <w:lang w:val="en-US" w:eastAsia="zh-CN"/>
              </w:rPr>
              <w:t xml:space="preserve">，管控措施准确，各阶段风险控制及应急措施得力，得 6分； </w:t>
            </w:r>
          </w:p>
          <w:p w14:paraId="2D334D0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风险防控管理措施基本齐全，有廉洁自律和职业操守制度，各阶段风险控制及应急措施基本可行，得 3分； </w:t>
            </w:r>
          </w:p>
          <w:p w14:paraId="5C79418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风险防控管理措施不够齐全，廉洁自律和职业操守制度不够健全，缺乏应急措施，得 1 分。</w:t>
            </w:r>
          </w:p>
          <w:p w14:paraId="4E689263">
            <w:pPr>
              <w:pStyle w:val="5"/>
              <w:keepNext w:val="0"/>
              <w:keepLines w:val="0"/>
              <w:pageBreakBefore w:val="0"/>
              <w:kinsoku/>
              <w:wordWrap/>
              <w:overflowPunct/>
              <w:topLinePunct w:val="0"/>
              <w:bidi w:val="0"/>
              <w:snapToGrid w:val="0"/>
              <w:spacing w:line="320" w:lineRule="exact"/>
              <w:jc w:val="both"/>
              <w:textAlignment w:val="auto"/>
              <w:rPr>
                <w:rFonts w:hint="eastAsia"/>
                <w:color w:val="auto"/>
                <w:lang w:eastAsia="zh-CN"/>
              </w:rPr>
            </w:pPr>
            <w:r>
              <w:rPr>
                <w:rFonts w:hint="eastAsia" w:ascii="宋体" w:hAnsi="宋体" w:eastAsia="宋体" w:cs="宋体"/>
                <w:b w:val="0"/>
                <w:bCs w:val="0"/>
                <w:color w:val="auto"/>
                <w:sz w:val="21"/>
                <w:szCs w:val="21"/>
                <w:highlight w:val="none"/>
                <w:u w:val="none"/>
                <w:lang w:eastAsia="zh-CN"/>
              </w:rPr>
              <w:t>若缺项得0分。</w:t>
            </w:r>
          </w:p>
        </w:tc>
      </w:tr>
      <w:tr w14:paraId="2EB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98" w:type="dxa"/>
            <w:vMerge w:val="continue"/>
            <w:noWrap w:val="0"/>
            <w:vAlign w:val="center"/>
          </w:tcPr>
          <w:p w14:paraId="138E5C4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00260EA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档案管理措施和方法（</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分）</w:t>
            </w:r>
          </w:p>
          <w:p w14:paraId="1BF835F6">
            <w:pPr>
              <w:keepNext w:val="0"/>
              <w:keepLines w:val="0"/>
              <w:pageBreakBefore w:val="0"/>
              <w:widowControl/>
              <w:kinsoku/>
              <w:overflowPunct/>
              <w:topLinePunct w:val="0"/>
              <w:bidi w:val="0"/>
              <w:snapToGrid/>
              <w:spacing w:line="240" w:lineRule="auto"/>
              <w:textAlignment w:val="auto"/>
              <w:rPr>
                <w:rFonts w:hint="default" w:ascii="宋体" w:hAnsi="宋体" w:cs="宋体"/>
                <w:color w:val="auto"/>
                <w:szCs w:val="21"/>
                <w:lang w:val="en-US" w:eastAsia="zh-CN"/>
              </w:rPr>
            </w:pPr>
          </w:p>
        </w:tc>
        <w:tc>
          <w:tcPr>
            <w:tcW w:w="6922" w:type="dxa"/>
            <w:noWrap w:val="0"/>
            <w:vAlign w:val="top"/>
          </w:tcPr>
          <w:p w14:paraId="65841BF8">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供应商针对本项目制定的档案管理制度和方法（在固定办公场所设立档案或专用档案柜，专人管理档案、接收档案、整理档案、档案的立卷编号、保密责任、借阅手续、防潮防尘防火安全管理档案，向采购人移交应移交的档案）等内容进行综合比较。 </w:t>
            </w:r>
          </w:p>
          <w:p w14:paraId="388CBD53">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档案管理措施和方法具体可靠，可实施性强，适合本项目的得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分； </w:t>
            </w:r>
          </w:p>
          <w:p w14:paraId="22107EFB">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案管理措施和方法较具体，可实施性一般的得 3 分； </w:t>
            </w:r>
          </w:p>
          <w:p w14:paraId="566F3649">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档案管理措施和方法不够具体，可实施性较差的 1 分。</w:t>
            </w:r>
          </w:p>
          <w:p w14:paraId="46E27AD7">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63FF338">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.类似业绩（6分）</w:t>
            </w:r>
          </w:p>
        </w:tc>
        <w:tc>
          <w:tcPr>
            <w:tcW w:w="6922" w:type="dxa"/>
            <w:noWrap w:val="0"/>
            <w:vAlign w:val="center"/>
          </w:tcPr>
          <w:p w14:paraId="4807A71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投标人2022年1月1日具有的类似服务业绩(以合同文件为准），每提供一份得2分，最多得6分。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7A97104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304783">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服务承诺</w:t>
            </w:r>
          </w:p>
          <w:p w14:paraId="4287E9E6">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分)</w:t>
            </w:r>
          </w:p>
        </w:tc>
        <w:tc>
          <w:tcPr>
            <w:tcW w:w="6922" w:type="dxa"/>
            <w:noWrap w:val="0"/>
            <w:vAlign w:val="center"/>
          </w:tcPr>
          <w:p w14:paraId="15FA960C">
            <w:pPr>
              <w:keepNext w:val="0"/>
              <w:keepLines w:val="0"/>
              <w:pageBreakBefore w:val="0"/>
              <w:widowControl/>
              <w:numPr>
                <w:ilvl w:val="0"/>
                <w:numId w:val="0"/>
              </w:numPr>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1.</w:t>
            </w:r>
            <w:r>
              <w:rPr>
                <w:rFonts w:hint="eastAsia" w:ascii="宋体" w:hAnsi="宋体" w:eastAsia="宋体" w:cs="宋体"/>
                <w:color w:val="auto"/>
                <w:sz w:val="21"/>
                <w:szCs w:val="21"/>
                <w:highlight w:val="none"/>
                <w:lang w:val="en-US" w:eastAsia="zh-CN"/>
              </w:rPr>
              <w:t>承诺在服务期内实际参与人员与响应文件中拟派人员相符，且有相应的保障措施。（</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 </w:t>
            </w:r>
          </w:p>
          <w:p w14:paraId="2473049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2.</w:t>
            </w:r>
            <w:r>
              <w:rPr>
                <w:rFonts w:hint="eastAsia" w:ascii="宋体" w:hAnsi="宋体" w:eastAsia="宋体" w:cs="宋体"/>
                <w:color w:val="auto"/>
                <w:sz w:val="21"/>
                <w:szCs w:val="21"/>
                <w:highlight w:val="none"/>
                <w:lang w:val="en-US" w:eastAsia="zh-CN"/>
              </w:rPr>
              <w:t>提供响应时限承诺及保障措施。</w:t>
            </w:r>
            <w:r>
              <w:rPr>
                <w:rFonts w:hint="eastAsia" w:hAnsi="宋体" w:cs="宋体"/>
                <w:color w:val="auto"/>
                <w:sz w:val="21"/>
                <w:szCs w:val="21"/>
                <w:highlight w:val="none"/>
                <w:lang w:val="en-US" w:eastAsia="zh-CN"/>
              </w:rPr>
              <w:t>（2分）</w:t>
            </w:r>
          </w:p>
          <w:p w14:paraId="5A8D424E">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3.</w:t>
            </w:r>
            <w:r>
              <w:rPr>
                <w:rFonts w:hint="eastAsia" w:ascii="宋体" w:hAnsi="宋体" w:eastAsia="宋体" w:cs="宋体"/>
                <w:color w:val="auto"/>
                <w:sz w:val="21"/>
                <w:szCs w:val="21"/>
                <w:highlight w:val="none"/>
                <w:lang w:val="en-US" w:eastAsia="zh-CN"/>
              </w:rPr>
              <w:t>针对本项目的造价咨询项目保密承诺及廉洁自律措施等</w:t>
            </w:r>
            <w:r>
              <w:rPr>
                <w:rFonts w:hint="eastAsia" w:hAnsi="宋体" w:cs="宋体"/>
                <w:color w:val="auto"/>
                <w:sz w:val="21"/>
                <w:szCs w:val="21"/>
                <w:highlight w:val="none"/>
                <w:lang w:val="en-US" w:eastAsia="zh-CN"/>
              </w:rPr>
              <w:t>（2分）</w:t>
            </w:r>
          </w:p>
          <w:p w14:paraId="59E813E7">
            <w:pPr>
              <w:rPr>
                <w:rFonts w:hint="default"/>
                <w:color w:val="auto"/>
                <w:lang w:val="en-US" w:eastAsia="zh-CN"/>
              </w:rPr>
            </w:pPr>
            <w:r>
              <w:rPr>
                <w:rFonts w:hint="eastAsia" w:hAnsi="宋体" w:cs="宋体"/>
                <w:color w:val="auto"/>
                <w:sz w:val="21"/>
                <w:szCs w:val="21"/>
                <w:highlight w:val="none"/>
                <w:lang w:val="en-US" w:eastAsia="zh-CN"/>
              </w:rPr>
              <w:t>以上未提供不得分。</w:t>
            </w:r>
          </w:p>
        </w:tc>
      </w:tr>
      <w:tr w14:paraId="7DF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7E25035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885976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3.其他优惠承诺</w:t>
            </w:r>
          </w:p>
          <w:p w14:paraId="7AB06D8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szCs w:val="21"/>
                <w:lang w:val="en-US" w:eastAsia="zh-CN"/>
              </w:rPr>
            </w:pPr>
            <w:r>
              <w:rPr>
                <w:rFonts w:hint="eastAsia" w:ascii="宋体" w:hAnsi="宋体" w:cs="宋体"/>
                <w:b w:val="0"/>
                <w:bCs w:val="0"/>
                <w:color w:val="auto"/>
                <w:sz w:val="21"/>
                <w:szCs w:val="21"/>
                <w:highlight w:val="none"/>
                <w:lang w:val="en-US" w:eastAsia="zh-CN"/>
              </w:rPr>
              <w:t>（4分）</w:t>
            </w:r>
          </w:p>
        </w:tc>
        <w:tc>
          <w:tcPr>
            <w:tcW w:w="6922" w:type="dxa"/>
            <w:noWrap w:val="0"/>
            <w:vAlign w:val="center"/>
          </w:tcPr>
          <w:p w14:paraId="284B502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1A2B965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5B2399C4">
      <w:pPr>
        <w:pStyle w:val="32"/>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2BFB7DC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lang w:val="en-US" w:eastAsia="zh-CN"/>
              </w:rPr>
              <w:t>百分之</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D5D471E">
      <w:pPr>
        <w:pStyle w:val="32"/>
        <w:ind w:firstLine="2940" w:firstLineChars="1400"/>
        <w:rPr>
          <w:rFonts w:hint="eastAsia" w:ascii="宋体" w:hAnsi="宋体" w:eastAsia="宋体" w:cs="宋体"/>
          <w:color w:val="auto"/>
          <w:sz w:val="21"/>
          <w:szCs w:val="21"/>
          <w:highlight w:val="none"/>
          <w:lang w:val="en-US" w:eastAsia="zh-CN"/>
        </w:rPr>
      </w:pPr>
      <w:bookmarkStart w:id="75" w:name="_Toc625"/>
      <w:bookmarkStart w:id="76" w:name="_Toc12222"/>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w:t>
      </w:r>
    </w:p>
    <w:p w14:paraId="05DE44B9">
      <w:pPr>
        <w:jc w:val="right"/>
        <w:rPr>
          <w:rFonts w:hint="eastAsia" w:ascii="宋体" w:hAnsi="宋体" w:cs="宋体"/>
          <w:color w:val="auto"/>
          <w:kern w:val="0"/>
          <w:sz w:val="24"/>
          <w:highlight w:val="none"/>
          <w:lang w:val="en-US" w:eastAsia="zh-CN"/>
        </w:rPr>
      </w:pPr>
    </w:p>
    <w:tbl>
      <w:tblPr>
        <w:tblStyle w:val="33"/>
        <w:tblW w:w="8940" w:type="dxa"/>
        <w:tblInd w:w="-2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55"/>
        <w:gridCol w:w="4785"/>
      </w:tblGrid>
      <w:tr w14:paraId="1842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55" w:type="dxa"/>
            <w:tcBorders>
              <w:top w:val="single" w:color="auto" w:sz="4" w:space="0"/>
              <w:left w:val="single" w:color="auto" w:sz="4" w:space="0"/>
              <w:bottom w:val="single" w:color="auto" w:sz="4" w:space="0"/>
              <w:right w:val="single" w:color="auto" w:sz="4" w:space="0"/>
            </w:tcBorders>
          </w:tcPr>
          <w:p w14:paraId="7C11DE1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3A82C7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b/>
                <w:bCs/>
                <w:color w:val="auto"/>
                <w:sz w:val="24"/>
                <w:szCs w:val="24"/>
                <w:highlight w:val="none"/>
                <w:vertAlign w:val="baseline"/>
                <w:lang w:eastAsia="zh-CN"/>
              </w:rPr>
              <w:t>（在</w:t>
            </w:r>
            <w:r>
              <w:rPr>
                <w:rFonts w:hint="eastAsia" w:ascii="宋体" w:hAnsi="宋体" w:eastAsia="宋体" w:cs="宋体"/>
                <w:b/>
                <w:bCs/>
                <w:color w:val="auto"/>
                <w:sz w:val="24"/>
                <w:szCs w:val="24"/>
                <w:highlight w:val="none"/>
                <w:vertAlign w:val="baseline"/>
                <w:lang w:val="en-US" w:eastAsia="zh-CN"/>
              </w:rPr>
              <w:t>取费标准的基础上，报出综合折扣率</w:t>
            </w:r>
            <w:r>
              <w:rPr>
                <w:rFonts w:hint="eastAsia" w:ascii="宋体" w:hAnsi="宋体" w:eastAsia="宋体" w:cs="宋体"/>
                <w:b/>
                <w:bCs/>
                <w:color w:val="auto"/>
                <w:sz w:val="24"/>
                <w:szCs w:val="24"/>
                <w:highlight w:val="none"/>
                <w:vertAlign w:val="baseline"/>
                <w:lang w:eastAsia="zh-CN"/>
              </w:rPr>
              <w:t>）</w:t>
            </w:r>
          </w:p>
        </w:tc>
        <w:tc>
          <w:tcPr>
            <w:tcW w:w="4785" w:type="dxa"/>
            <w:tcBorders>
              <w:top w:val="single" w:color="auto" w:sz="4" w:space="0"/>
              <w:left w:val="single" w:color="auto" w:sz="4" w:space="0"/>
              <w:bottom w:val="single" w:color="auto" w:sz="4" w:space="0"/>
              <w:right w:val="single" w:color="auto" w:sz="4" w:space="0"/>
            </w:tcBorders>
            <w:vAlign w:val="center"/>
          </w:tcPr>
          <w:p w14:paraId="0331963C">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2D9196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auto"/>
                <w:spacing w:val="20"/>
                <w:kern w:val="0"/>
                <w:sz w:val="24"/>
                <w:highlight w:val="none"/>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bl>
    <w:tbl>
      <w:tblPr>
        <w:tblStyle w:val="34"/>
        <w:tblW w:w="894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215"/>
        <w:gridCol w:w="1065"/>
        <w:gridCol w:w="1035"/>
        <w:gridCol w:w="990"/>
        <w:gridCol w:w="1110"/>
        <w:gridCol w:w="1065"/>
        <w:gridCol w:w="1155"/>
      </w:tblGrid>
      <w:tr w14:paraId="5F24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947" w:type="dxa"/>
            <w:gridSpan w:val="8"/>
            <w:vAlign w:val="center"/>
          </w:tcPr>
          <w:p w14:paraId="3621D1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取费标准</w:t>
            </w:r>
          </w:p>
        </w:tc>
      </w:tr>
      <w:tr w14:paraId="035F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12" w:type="dxa"/>
            <w:vMerge w:val="restart"/>
            <w:vAlign w:val="center"/>
          </w:tcPr>
          <w:p w14:paraId="64A81A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服务项目</w:t>
            </w:r>
          </w:p>
        </w:tc>
        <w:tc>
          <w:tcPr>
            <w:tcW w:w="1215" w:type="dxa"/>
            <w:vMerge w:val="restart"/>
            <w:vAlign w:val="center"/>
          </w:tcPr>
          <w:p w14:paraId="04C385CE">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收费基数</w:t>
            </w:r>
          </w:p>
        </w:tc>
        <w:tc>
          <w:tcPr>
            <w:tcW w:w="6420" w:type="dxa"/>
            <w:gridSpan w:val="6"/>
            <w:vAlign w:val="center"/>
          </w:tcPr>
          <w:p w14:paraId="38AD892E">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划分标准（万元）</w:t>
            </w:r>
          </w:p>
        </w:tc>
      </w:tr>
      <w:tr w14:paraId="72AE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12" w:type="dxa"/>
            <w:vMerge w:val="continue"/>
            <w:vAlign w:val="center"/>
          </w:tcPr>
          <w:p w14:paraId="20CD961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p>
        </w:tc>
        <w:tc>
          <w:tcPr>
            <w:tcW w:w="1215" w:type="dxa"/>
            <w:vMerge w:val="continue"/>
            <w:vAlign w:val="center"/>
          </w:tcPr>
          <w:p w14:paraId="4D983F3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p>
        </w:tc>
        <w:tc>
          <w:tcPr>
            <w:tcW w:w="1065" w:type="dxa"/>
            <w:vAlign w:val="center"/>
          </w:tcPr>
          <w:p w14:paraId="6F1C4BE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 以下</w:t>
            </w:r>
          </w:p>
        </w:tc>
        <w:tc>
          <w:tcPr>
            <w:tcW w:w="1035" w:type="dxa"/>
            <w:vAlign w:val="center"/>
          </w:tcPr>
          <w:p w14:paraId="04183E9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w:t>
            </w:r>
          </w:p>
          <w:p w14:paraId="4D360CB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w:t>
            </w:r>
          </w:p>
        </w:tc>
        <w:tc>
          <w:tcPr>
            <w:tcW w:w="990" w:type="dxa"/>
            <w:vAlign w:val="center"/>
          </w:tcPr>
          <w:p w14:paraId="724B48A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1000-5000</w:t>
            </w:r>
          </w:p>
        </w:tc>
        <w:tc>
          <w:tcPr>
            <w:tcW w:w="1110" w:type="dxa"/>
            <w:vAlign w:val="center"/>
          </w:tcPr>
          <w:p w14:paraId="00855F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5000-1 亿</w:t>
            </w:r>
          </w:p>
        </w:tc>
        <w:tc>
          <w:tcPr>
            <w:tcW w:w="1065" w:type="dxa"/>
            <w:vAlign w:val="center"/>
          </w:tcPr>
          <w:p w14:paraId="68CA98E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 亿</w:t>
            </w:r>
          </w:p>
        </w:tc>
        <w:tc>
          <w:tcPr>
            <w:tcW w:w="1155" w:type="dxa"/>
            <w:vAlign w:val="center"/>
          </w:tcPr>
          <w:p w14:paraId="16070B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 亿以上</w:t>
            </w:r>
          </w:p>
        </w:tc>
      </w:tr>
      <w:tr w14:paraId="643C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38D6DEF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设计概算的编制与审核</w:t>
            </w:r>
          </w:p>
        </w:tc>
        <w:tc>
          <w:tcPr>
            <w:tcW w:w="1215" w:type="dxa"/>
            <w:vAlign w:val="center"/>
          </w:tcPr>
          <w:p w14:paraId="5E95631D">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设计概算</w:t>
            </w:r>
          </w:p>
        </w:tc>
        <w:tc>
          <w:tcPr>
            <w:tcW w:w="1065" w:type="dxa"/>
            <w:vAlign w:val="center"/>
          </w:tcPr>
          <w:p w14:paraId="1C32574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035" w:type="dxa"/>
            <w:vAlign w:val="center"/>
          </w:tcPr>
          <w:p w14:paraId="08FD918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990" w:type="dxa"/>
            <w:vAlign w:val="center"/>
          </w:tcPr>
          <w:p w14:paraId="3353CE7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110" w:type="dxa"/>
            <w:vAlign w:val="center"/>
          </w:tcPr>
          <w:p w14:paraId="46C26C9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0.8‰</w:t>
            </w:r>
          </w:p>
        </w:tc>
        <w:tc>
          <w:tcPr>
            <w:tcW w:w="1065" w:type="dxa"/>
            <w:vAlign w:val="center"/>
          </w:tcPr>
          <w:p w14:paraId="2DC54B0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0.5‰</w:t>
            </w:r>
          </w:p>
        </w:tc>
        <w:tc>
          <w:tcPr>
            <w:tcW w:w="1155" w:type="dxa"/>
            <w:vAlign w:val="center"/>
          </w:tcPr>
          <w:p w14:paraId="494BBCF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0.3‰</w:t>
            </w:r>
          </w:p>
        </w:tc>
      </w:tr>
      <w:tr w14:paraId="5F0F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0B90B8C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施工图预算、标底投标报价编制</w:t>
            </w:r>
          </w:p>
        </w:tc>
        <w:tc>
          <w:tcPr>
            <w:tcW w:w="1215" w:type="dxa"/>
            <w:vAlign w:val="center"/>
          </w:tcPr>
          <w:p w14:paraId="5CAD154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6943CCC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035" w:type="dxa"/>
            <w:vAlign w:val="center"/>
          </w:tcPr>
          <w:p w14:paraId="1AF9121D">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990" w:type="dxa"/>
            <w:vAlign w:val="center"/>
          </w:tcPr>
          <w:p w14:paraId="06C0B98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110" w:type="dxa"/>
            <w:vAlign w:val="center"/>
          </w:tcPr>
          <w:p w14:paraId="777304A7">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1065" w:type="dxa"/>
            <w:vAlign w:val="center"/>
          </w:tcPr>
          <w:p w14:paraId="05D1957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155" w:type="dxa"/>
            <w:vAlign w:val="center"/>
          </w:tcPr>
          <w:p w14:paraId="7FF256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0.8‰</w:t>
            </w:r>
          </w:p>
        </w:tc>
      </w:tr>
      <w:tr w14:paraId="07D5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2" w:type="dxa"/>
            <w:vAlign w:val="center"/>
          </w:tcPr>
          <w:p w14:paraId="1753DDB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编制竣工结算</w:t>
            </w:r>
          </w:p>
        </w:tc>
        <w:tc>
          <w:tcPr>
            <w:tcW w:w="1215" w:type="dxa"/>
            <w:vAlign w:val="center"/>
          </w:tcPr>
          <w:p w14:paraId="06CF11D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08EA7AB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035" w:type="dxa"/>
            <w:vAlign w:val="center"/>
          </w:tcPr>
          <w:p w14:paraId="7ED4351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990" w:type="dxa"/>
            <w:vAlign w:val="center"/>
          </w:tcPr>
          <w:p w14:paraId="08CC1DA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10" w:type="dxa"/>
            <w:vAlign w:val="center"/>
          </w:tcPr>
          <w:p w14:paraId="11DCA90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065" w:type="dxa"/>
            <w:vAlign w:val="center"/>
          </w:tcPr>
          <w:p w14:paraId="215AD8E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1155" w:type="dxa"/>
            <w:vAlign w:val="center"/>
          </w:tcPr>
          <w:p w14:paraId="18E04877">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r>
      <w:tr w14:paraId="4EA3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12482C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审核施工图预算、标底</w:t>
            </w:r>
          </w:p>
        </w:tc>
        <w:tc>
          <w:tcPr>
            <w:tcW w:w="1215" w:type="dxa"/>
            <w:vAlign w:val="center"/>
          </w:tcPr>
          <w:p w14:paraId="7D95B4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送审建安工程费</w:t>
            </w:r>
          </w:p>
        </w:tc>
        <w:tc>
          <w:tcPr>
            <w:tcW w:w="2100" w:type="dxa"/>
            <w:gridSpan w:val="2"/>
            <w:vAlign w:val="center"/>
          </w:tcPr>
          <w:p w14:paraId="6A930E3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基本收费0.8‰</w:t>
            </w:r>
          </w:p>
        </w:tc>
        <w:tc>
          <w:tcPr>
            <w:tcW w:w="4320" w:type="dxa"/>
            <w:gridSpan w:val="4"/>
            <w:vAlign w:val="center"/>
          </w:tcPr>
          <w:p w14:paraId="1D40D5F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另按审核增减额2.5%</w:t>
            </w:r>
          </w:p>
        </w:tc>
      </w:tr>
      <w:tr w14:paraId="7AB3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6B4F5D0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审核竣工结算</w:t>
            </w:r>
          </w:p>
        </w:tc>
        <w:tc>
          <w:tcPr>
            <w:tcW w:w="1215" w:type="dxa"/>
            <w:vAlign w:val="center"/>
          </w:tcPr>
          <w:p w14:paraId="77E6E0A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送审建安工程费</w:t>
            </w:r>
          </w:p>
        </w:tc>
        <w:tc>
          <w:tcPr>
            <w:tcW w:w="2100" w:type="dxa"/>
            <w:gridSpan w:val="2"/>
            <w:vAlign w:val="center"/>
          </w:tcPr>
          <w:p w14:paraId="5DF86D9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基本收费1.5‰</w:t>
            </w:r>
          </w:p>
        </w:tc>
        <w:tc>
          <w:tcPr>
            <w:tcW w:w="4320" w:type="dxa"/>
            <w:gridSpan w:val="4"/>
            <w:vAlign w:val="center"/>
          </w:tcPr>
          <w:p w14:paraId="554BCFF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另按审核增减额4%</w:t>
            </w:r>
          </w:p>
        </w:tc>
      </w:tr>
      <w:tr w14:paraId="686B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4E6DF5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编制工程量清单</w:t>
            </w:r>
          </w:p>
        </w:tc>
        <w:tc>
          <w:tcPr>
            <w:tcW w:w="1215" w:type="dxa"/>
            <w:vAlign w:val="center"/>
          </w:tcPr>
          <w:p w14:paraId="67FE5BB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1AC0521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4.5‰</w:t>
            </w:r>
          </w:p>
        </w:tc>
        <w:tc>
          <w:tcPr>
            <w:tcW w:w="1035" w:type="dxa"/>
            <w:vAlign w:val="center"/>
          </w:tcPr>
          <w:p w14:paraId="029B667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990" w:type="dxa"/>
            <w:vAlign w:val="center"/>
          </w:tcPr>
          <w:p w14:paraId="17A29E9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110" w:type="dxa"/>
            <w:vAlign w:val="center"/>
          </w:tcPr>
          <w:p w14:paraId="3450FFD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2.8‰</w:t>
            </w:r>
          </w:p>
        </w:tc>
        <w:tc>
          <w:tcPr>
            <w:tcW w:w="1065" w:type="dxa"/>
            <w:vAlign w:val="center"/>
          </w:tcPr>
          <w:p w14:paraId="6FC4A9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55" w:type="dxa"/>
            <w:vAlign w:val="center"/>
          </w:tcPr>
          <w:p w14:paraId="2DF212F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r w14:paraId="0D0D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5BE35B4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实施阶段工程造价控制</w:t>
            </w:r>
          </w:p>
        </w:tc>
        <w:tc>
          <w:tcPr>
            <w:tcW w:w="1215" w:type="dxa"/>
            <w:vAlign w:val="center"/>
          </w:tcPr>
          <w:p w14:paraId="0BF9309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532B643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9.5‰</w:t>
            </w:r>
          </w:p>
        </w:tc>
        <w:tc>
          <w:tcPr>
            <w:tcW w:w="1035" w:type="dxa"/>
            <w:vAlign w:val="center"/>
          </w:tcPr>
          <w:p w14:paraId="24FF41E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6.5‰</w:t>
            </w:r>
          </w:p>
        </w:tc>
        <w:tc>
          <w:tcPr>
            <w:tcW w:w="990" w:type="dxa"/>
            <w:vAlign w:val="center"/>
          </w:tcPr>
          <w:p w14:paraId="3595BBF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1110" w:type="dxa"/>
            <w:vAlign w:val="center"/>
          </w:tcPr>
          <w:p w14:paraId="263A45A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065" w:type="dxa"/>
            <w:vAlign w:val="center"/>
          </w:tcPr>
          <w:p w14:paraId="70912C0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2.8‰</w:t>
            </w:r>
          </w:p>
        </w:tc>
        <w:tc>
          <w:tcPr>
            <w:tcW w:w="1155" w:type="dxa"/>
            <w:vAlign w:val="center"/>
          </w:tcPr>
          <w:p w14:paraId="3D48E7E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r w14:paraId="01A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548060F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工程造价鉴证</w:t>
            </w:r>
          </w:p>
        </w:tc>
        <w:tc>
          <w:tcPr>
            <w:tcW w:w="1215" w:type="dxa"/>
            <w:vAlign w:val="center"/>
          </w:tcPr>
          <w:p w14:paraId="2FE56C3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鉴证标底</w:t>
            </w:r>
          </w:p>
        </w:tc>
        <w:tc>
          <w:tcPr>
            <w:tcW w:w="1065" w:type="dxa"/>
            <w:vAlign w:val="center"/>
          </w:tcPr>
          <w:p w14:paraId="31A2C8A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6.5‰</w:t>
            </w:r>
          </w:p>
        </w:tc>
        <w:tc>
          <w:tcPr>
            <w:tcW w:w="1035" w:type="dxa"/>
            <w:vAlign w:val="center"/>
          </w:tcPr>
          <w:p w14:paraId="3B61B33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4.8‰</w:t>
            </w:r>
          </w:p>
        </w:tc>
        <w:tc>
          <w:tcPr>
            <w:tcW w:w="990" w:type="dxa"/>
            <w:vAlign w:val="center"/>
          </w:tcPr>
          <w:p w14:paraId="5BE0BB9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110" w:type="dxa"/>
            <w:vAlign w:val="center"/>
          </w:tcPr>
          <w:p w14:paraId="2079CE8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065" w:type="dxa"/>
            <w:vAlign w:val="center"/>
          </w:tcPr>
          <w:p w14:paraId="7A2883F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55" w:type="dxa"/>
            <w:vAlign w:val="center"/>
          </w:tcPr>
          <w:p w14:paraId="1C14134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bl>
    <w:p w14:paraId="21ED29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注：1、供应商根据以上取费标准报出综合折扣率，综合折扣率不能大于100%，否则做废标处理。</w:t>
      </w:r>
    </w:p>
    <w:p w14:paraId="34FACC7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2、综合折扣率说明，如：编制工程量清单建安工程费100万×应收费率4.5‰=4500元，综合折扣率为80％，则实收3600元。</w:t>
      </w:r>
    </w:p>
    <w:p w14:paraId="17B519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color w:val="auto"/>
          <w:sz w:val="21"/>
          <w:szCs w:val="21"/>
          <w:highlight w:val="none"/>
          <w:lang w:val="en-US" w:eastAsia="zh-CN"/>
        </w:rPr>
      </w:pPr>
    </w:p>
    <w:p w14:paraId="3C53A5A9">
      <w:pPr>
        <w:pStyle w:val="32"/>
        <w:ind w:firstLine="2940" w:firstLineChars="1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9960"/>
      <w:bookmarkStart w:id="85" w:name="_Toc24168"/>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293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2888"/>
      <w:bookmarkStart w:id="97" w:name="_Toc13726"/>
      <w:bookmarkStart w:id="98" w:name="_Toc16083"/>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3315FC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3394"/>
      <w:bookmarkStart w:id="100" w:name="_Toc31685"/>
      <w:bookmarkStart w:id="101"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驻马店市中心医院工程造价机构遴选项目竞争性磋商文件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3637D1"/>
    <w:rsid w:val="01525212"/>
    <w:rsid w:val="01564054"/>
    <w:rsid w:val="015C0A67"/>
    <w:rsid w:val="01745FBF"/>
    <w:rsid w:val="017E6D95"/>
    <w:rsid w:val="018D0058"/>
    <w:rsid w:val="01976717"/>
    <w:rsid w:val="01B31FD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497534"/>
    <w:rsid w:val="025235B1"/>
    <w:rsid w:val="0262674D"/>
    <w:rsid w:val="02747B01"/>
    <w:rsid w:val="027619AC"/>
    <w:rsid w:val="02890D36"/>
    <w:rsid w:val="02B97DFD"/>
    <w:rsid w:val="02C866AB"/>
    <w:rsid w:val="02CB7F49"/>
    <w:rsid w:val="02D92EF7"/>
    <w:rsid w:val="02D962A6"/>
    <w:rsid w:val="02DA4630"/>
    <w:rsid w:val="02DA4665"/>
    <w:rsid w:val="02F40325"/>
    <w:rsid w:val="02F70D3E"/>
    <w:rsid w:val="02FA082F"/>
    <w:rsid w:val="031126C4"/>
    <w:rsid w:val="0317318F"/>
    <w:rsid w:val="033124A2"/>
    <w:rsid w:val="034733B8"/>
    <w:rsid w:val="03475E56"/>
    <w:rsid w:val="034877EC"/>
    <w:rsid w:val="0353518A"/>
    <w:rsid w:val="035E4919"/>
    <w:rsid w:val="03675F31"/>
    <w:rsid w:val="036A009A"/>
    <w:rsid w:val="037A734D"/>
    <w:rsid w:val="037B54CB"/>
    <w:rsid w:val="03844805"/>
    <w:rsid w:val="03845791"/>
    <w:rsid w:val="038D3451"/>
    <w:rsid w:val="039B791C"/>
    <w:rsid w:val="03A011E9"/>
    <w:rsid w:val="03AE7F27"/>
    <w:rsid w:val="03BD2BCD"/>
    <w:rsid w:val="03CC058D"/>
    <w:rsid w:val="03E017D2"/>
    <w:rsid w:val="03EE1218"/>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DB66F5"/>
    <w:rsid w:val="05EB110D"/>
    <w:rsid w:val="05EB4481"/>
    <w:rsid w:val="05F17CC7"/>
    <w:rsid w:val="06085010"/>
    <w:rsid w:val="061E7D14"/>
    <w:rsid w:val="0624009C"/>
    <w:rsid w:val="06446B44"/>
    <w:rsid w:val="06560AE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916E2"/>
    <w:rsid w:val="072C5514"/>
    <w:rsid w:val="0737768A"/>
    <w:rsid w:val="074A5B92"/>
    <w:rsid w:val="074B1659"/>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B216C"/>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7B4003"/>
    <w:rsid w:val="0A8455AD"/>
    <w:rsid w:val="0A8729A8"/>
    <w:rsid w:val="0ACA6D38"/>
    <w:rsid w:val="0AD13A85"/>
    <w:rsid w:val="0AE0655C"/>
    <w:rsid w:val="0B091954"/>
    <w:rsid w:val="0B195776"/>
    <w:rsid w:val="0B1A7CC0"/>
    <w:rsid w:val="0B34773E"/>
    <w:rsid w:val="0B3B7D65"/>
    <w:rsid w:val="0B434C20"/>
    <w:rsid w:val="0B5F0822"/>
    <w:rsid w:val="0B637D77"/>
    <w:rsid w:val="0B7006C4"/>
    <w:rsid w:val="0B726646"/>
    <w:rsid w:val="0B7606E8"/>
    <w:rsid w:val="0B811AED"/>
    <w:rsid w:val="0B835865"/>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BE7728"/>
    <w:rsid w:val="0CC53C5B"/>
    <w:rsid w:val="0CC72121"/>
    <w:rsid w:val="0CEE5A21"/>
    <w:rsid w:val="0D05268E"/>
    <w:rsid w:val="0D0646E7"/>
    <w:rsid w:val="0D0C38CA"/>
    <w:rsid w:val="0D206810"/>
    <w:rsid w:val="0D444B80"/>
    <w:rsid w:val="0D4861FD"/>
    <w:rsid w:val="0D735465"/>
    <w:rsid w:val="0D7652E0"/>
    <w:rsid w:val="0DC577E0"/>
    <w:rsid w:val="0DDC6319"/>
    <w:rsid w:val="0DE1181F"/>
    <w:rsid w:val="0DFA5B87"/>
    <w:rsid w:val="0DFE4F67"/>
    <w:rsid w:val="0E0C0D4C"/>
    <w:rsid w:val="0E115DA1"/>
    <w:rsid w:val="0E1409F6"/>
    <w:rsid w:val="0E162D6D"/>
    <w:rsid w:val="0E21241F"/>
    <w:rsid w:val="0E460DCC"/>
    <w:rsid w:val="0E5139F9"/>
    <w:rsid w:val="0E541CA2"/>
    <w:rsid w:val="0E576B35"/>
    <w:rsid w:val="0E594756"/>
    <w:rsid w:val="0E95596D"/>
    <w:rsid w:val="0EAE6205"/>
    <w:rsid w:val="0EAE6579"/>
    <w:rsid w:val="0EAF71BF"/>
    <w:rsid w:val="0ECE6257"/>
    <w:rsid w:val="0EE4129D"/>
    <w:rsid w:val="0F12496C"/>
    <w:rsid w:val="0F171032"/>
    <w:rsid w:val="0F335E69"/>
    <w:rsid w:val="0F372614"/>
    <w:rsid w:val="0F3D59C9"/>
    <w:rsid w:val="0F40581B"/>
    <w:rsid w:val="0F516D5A"/>
    <w:rsid w:val="0F565B36"/>
    <w:rsid w:val="0F684933"/>
    <w:rsid w:val="0F6E2388"/>
    <w:rsid w:val="0F73799F"/>
    <w:rsid w:val="0F76123D"/>
    <w:rsid w:val="0F821E7D"/>
    <w:rsid w:val="0F873418"/>
    <w:rsid w:val="0FC91CB4"/>
    <w:rsid w:val="0FCA42ED"/>
    <w:rsid w:val="0FD63FD1"/>
    <w:rsid w:val="0FDB5F4F"/>
    <w:rsid w:val="0FE7592C"/>
    <w:rsid w:val="0FFC17A5"/>
    <w:rsid w:val="0FFD20F0"/>
    <w:rsid w:val="10036F74"/>
    <w:rsid w:val="10142F30"/>
    <w:rsid w:val="10352857"/>
    <w:rsid w:val="103E6E57"/>
    <w:rsid w:val="1041497B"/>
    <w:rsid w:val="10425FF6"/>
    <w:rsid w:val="104A4BA3"/>
    <w:rsid w:val="105570A4"/>
    <w:rsid w:val="106612B1"/>
    <w:rsid w:val="108856CC"/>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52964"/>
    <w:rsid w:val="11656D59"/>
    <w:rsid w:val="1166372C"/>
    <w:rsid w:val="11700D10"/>
    <w:rsid w:val="1178125A"/>
    <w:rsid w:val="118441E0"/>
    <w:rsid w:val="1196056D"/>
    <w:rsid w:val="11B118CB"/>
    <w:rsid w:val="11B322D4"/>
    <w:rsid w:val="11B85B3D"/>
    <w:rsid w:val="11C646FD"/>
    <w:rsid w:val="11CD20A0"/>
    <w:rsid w:val="11D34654"/>
    <w:rsid w:val="11DF756D"/>
    <w:rsid w:val="12010480"/>
    <w:rsid w:val="120E707F"/>
    <w:rsid w:val="121D0051"/>
    <w:rsid w:val="12413D84"/>
    <w:rsid w:val="127A7D1C"/>
    <w:rsid w:val="12836D8B"/>
    <w:rsid w:val="128D1560"/>
    <w:rsid w:val="12993BC0"/>
    <w:rsid w:val="12A12A75"/>
    <w:rsid w:val="12AB0349"/>
    <w:rsid w:val="12B66520"/>
    <w:rsid w:val="12C67ACD"/>
    <w:rsid w:val="12CD57F1"/>
    <w:rsid w:val="12CE5941"/>
    <w:rsid w:val="12CE7AFA"/>
    <w:rsid w:val="12D67466"/>
    <w:rsid w:val="12DE15D3"/>
    <w:rsid w:val="13036052"/>
    <w:rsid w:val="13272A5D"/>
    <w:rsid w:val="132A2A6A"/>
    <w:rsid w:val="133C40E3"/>
    <w:rsid w:val="133F4BFF"/>
    <w:rsid w:val="13410069"/>
    <w:rsid w:val="13493108"/>
    <w:rsid w:val="134A4EBA"/>
    <w:rsid w:val="135E2714"/>
    <w:rsid w:val="13713CFE"/>
    <w:rsid w:val="13733928"/>
    <w:rsid w:val="13741F37"/>
    <w:rsid w:val="13857CA0"/>
    <w:rsid w:val="13920D68"/>
    <w:rsid w:val="13946135"/>
    <w:rsid w:val="139C16C9"/>
    <w:rsid w:val="13A5238E"/>
    <w:rsid w:val="13B63CE1"/>
    <w:rsid w:val="13BC6684"/>
    <w:rsid w:val="13C72B3A"/>
    <w:rsid w:val="13D12EE6"/>
    <w:rsid w:val="13DF575E"/>
    <w:rsid w:val="13E470BD"/>
    <w:rsid w:val="13EE3A98"/>
    <w:rsid w:val="13F3280A"/>
    <w:rsid w:val="13F628BD"/>
    <w:rsid w:val="142123F7"/>
    <w:rsid w:val="142A11D8"/>
    <w:rsid w:val="144B544C"/>
    <w:rsid w:val="145B7B45"/>
    <w:rsid w:val="14627FE2"/>
    <w:rsid w:val="14717443"/>
    <w:rsid w:val="147D6BCA"/>
    <w:rsid w:val="147F0B94"/>
    <w:rsid w:val="14825F8A"/>
    <w:rsid w:val="148C70AD"/>
    <w:rsid w:val="148D52E3"/>
    <w:rsid w:val="148F527B"/>
    <w:rsid w:val="14992B90"/>
    <w:rsid w:val="149A3C1F"/>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3D2AB4"/>
    <w:rsid w:val="1650762F"/>
    <w:rsid w:val="16510F12"/>
    <w:rsid w:val="165731CD"/>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17FFA"/>
    <w:rsid w:val="18097740"/>
    <w:rsid w:val="18136133"/>
    <w:rsid w:val="181635BD"/>
    <w:rsid w:val="181F6915"/>
    <w:rsid w:val="184055B9"/>
    <w:rsid w:val="184A2082"/>
    <w:rsid w:val="185D3C42"/>
    <w:rsid w:val="185F38AF"/>
    <w:rsid w:val="187F5606"/>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71A3D"/>
    <w:rsid w:val="19420786"/>
    <w:rsid w:val="19427EC0"/>
    <w:rsid w:val="195711D7"/>
    <w:rsid w:val="195D2A3F"/>
    <w:rsid w:val="1963172E"/>
    <w:rsid w:val="198310E9"/>
    <w:rsid w:val="198D747A"/>
    <w:rsid w:val="19965EDA"/>
    <w:rsid w:val="19A15638"/>
    <w:rsid w:val="19A74DFE"/>
    <w:rsid w:val="19A753EF"/>
    <w:rsid w:val="19DF45AE"/>
    <w:rsid w:val="1A125525"/>
    <w:rsid w:val="1A2226ED"/>
    <w:rsid w:val="1A564145"/>
    <w:rsid w:val="1A5959E3"/>
    <w:rsid w:val="1A5F4342"/>
    <w:rsid w:val="1A616E2C"/>
    <w:rsid w:val="1A715D02"/>
    <w:rsid w:val="1A7C5F3D"/>
    <w:rsid w:val="1A7F369B"/>
    <w:rsid w:val="1A8C5D82"/>
    <w:rsid w:val="1A994988"/>
    <w:rsid w:val="1A9B546C"/>
    <w:rsid w:val="1A9E141F"/>
    <w:rsid w:val="1AA3511F"/>
    <w:rsid w:val="1AAE3B54"/>
    <w:rsid w:val="1AC10987"/>
    <w:rsid w:val="1AE92EA5"/>
    <w:rsid w:val="1AEB6F83"/>
    <w:rsid w:val="1AF423FA"/>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E00417"/>
    <w:rsid w:val="1BF14125"/>
    <w:rsid w:val="1C002CEE"/>
    <w:rsid w:val="1C157783"/>
    <w:rsid w:val="1C4032FE"/>
    <w:rsid w:val="1C555978"/>
    <w:rsid w:val="1C6554A1"/>
    <w:rsid w:val="1C6C549E"/>
    <w:rsid w:val="1C7971B7"/>
    <w:rsid w:val="1C8036FB"/>
    <w:rsid w:val="1C8651B5"/>
    <w:rsid w:val="1C917D91"/>
    <w:rsid w:val="1CA4563B"/>
    <w:rsid w:val="1CA94A00"/>
    <w:rsid w:val="1CAB2820"/>
    <w:rsid w:val="1CD402EC"/>
    <w:rsid w:val="1CED16EF"/>
    <w:rsid w:val="1CF02333"/>
    <w:rsid w:val="1D047E88"/>
    <w:rsid w:val="1D0C33A2"/>
    <w:rsid w:val="1D0C4F8F"/>
    <w:rsid w:val="1D113E6E"/>
    <w:rsid w:val="1D114E5E"/>
    <w:rsid w:val="1D1F0050"/>
    <w:rsid w:val="1D1F2F14"/>
    <w:rsid w:val="1D214EDE"/>
    <w:rsid w:val="1D2222DC"/>
    <w:rsid w:val="1D5144F7"/>
    <w:rsid w:val="1D5B3CDE"/>
    <w:rsid w:val="1D5D0701"/>
    <w:rsid w:val="1D6E2950"/>
    <w:rsid w:val="1D79298C"/>
    <w:rsid w:val="1D903E12"/>
    <w:rsid w:val="1D98209B"/>
    <w:rsid w:val="1DA23746"/>
    <w:rsid w:val="1DAA14B9"/>
    <w:rsid w:val="1DD04513"/>
    <w:rsid w:val="1DD8524D"/>
    <w:rsid w:val="1DDD2BCB"/>
    <w:rsid w:val="1E0345E3"/>
    <w:rsid w:val="1E1B7B7F"/>
    <w:rsid w:val="1E443370"/>
    <w:rsid w:val="1E591D2E"/>
    <w:rsid w:val="1E656063"/>
    <w:rsid w:val="1E672DC4"/>
    <w:rsid w:val="1E6B06A5"/>
    <w:rsid w:val="1E7554E1"/>
    <w:rsid w:val="1E79665F"/>
    <w:rsid w:val="1E7B23CC"/>
    <w:rsid w:val="1E7F7D9E"/>
    <w:rsid w:val="1E840DA4"/>
    <w:rsid w:val="1EA5444C"/>
    <w:rsid w:val="1EA5569B"/>
    <w:rsid w:val="1EB350EF"/>
    <w:rsid w:val="1EC04283"/>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1B3ED4"/>
    <w:rsid w:val="20230F6D"/>
    <w:rsid w:val="202B5346"/>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A25092"/>
    <w:rsid w:val="21C85928"/>
    <w:rsid w:val="21D10545"/>
    <w:rsid w:val="21E72B0B"/>
    <w:rsid w:val="21E76A4A"/>
    <w:rsid w:val="21EE607E"/>
    <w:rsid w:val="21EF7359"/>
    <w:rsid w:val="21F66F4C"/>
    <w:rsid w:val="2201708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D43DE"/>
    <w:rsid w:val="238A5E5E"/>
    <w:rsid w:val="23932DE9"/>
    <w:rsid w:val="23940114"/>
    <w:rsid w:val="239A1546"/>
    <w:rsid w:val="23B57016"/>
    <w:rsid w:val="23C4797E"/>
    <w:rsid w:val="23CD36CA"/>
    <w:rsid w:val="23CD5478"/>
    <w:rsid w:val="23D4764B"/>
    <w:rsid w:val="23EC3718"/>
    <w:rsid w:val="23EE304F"/>
    <w:rsid w:val="23FD7010"/>
    <w:rsid w:val="240243FC"/>
    <w:rsid w:val="24044EF2"/>
    <w:rsid w:val="2407139D"/>
    <w:rsid w:val="240B04F4"/>
    <w:rsid w:val="240E369A"/>
    <w:rsid w:val="241E2177"/>
    <w:rsid w:val="2423778D"/>
    <w:rsid w:val="24294678"/>
    <w:rsid w:val="242A0646"/>
    <w:rsid w:val="2435301D"/>
    <w:rsid w:val="243A0633"/>
    <w:rsid w:val="243D6E1A"/>
    <w:rsid w:val="24453D05"/>
    <w:rsid w:val="244A2F6C"/>
    <w:rsid w:val="24607F91"/>
    <w:rsid w:val="246C581B"/>
    <w:rsid w:val="247B1377"/>
    <w:rsid w:val="247C52A2"/>
    <w:rsid w:val="24942917"/>
    <w:rsid w:val="24AE34FB"/>
    <w:rsid w:val="24CC106B"/>
    <w:rsid w:val="24D00598"/>
    <w:rsid w:val="24D725E9"/>
    <w:rsid w:val="24EC31CF"/>
    <w:rsid w:val="25021151"/>
    <w:rsid w:val="25045F70"/>
    <w:rsid w:val="250474F1"/>
    <w:rsid w:val="25056E93"/>
    <w:rsid w:val="25092EBA"/>
    <w:rsid w:val="250E5D48"/>
    <w:rsid w:val="25241020"/>
    <w:rsid w:val="25302410"/>
    <w:rsid w:val="255C5C71"/>
    <w:rsid w:val="257572C3"/>
    <w:rsid w:val="25790E85"/>
    <w:rsid w:val="25965D3D"/>
    <w:rsid w:val="25972C60"/>
    <w:rsid w:val="25974C6F"/>
    <w:rsid w:val="259D1676"/>
    <w:rsid w:val="25A353EB"/>
    <w:rsid w:val="25B22D3D"/>
    <w:rsid w:val="25B87B65"/>
    <w:rsid w:val="25CB78C3"/>
    <w:rsid w:val="25D54390"/>
    <w:rsid w:val="25D6438C"/>
    <w:rsid w:val="25DD5CBA"/>
    <w:rsid w:val="261879A7"/>
    <w:rsid w:val="261A071C"/>
    <w:rsid w:val="261C4494"/>
    <w:rsid w:val="26395046"/>
    <w:rsid w:val="263F3343"/>
    <w:rsid w:val="264542D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F24ED"/>
    <w:rsid w:val="26F1408A"/>
    <w:rsid w:val="26F86CAF"/>
    <w:rsid w:val="26F96584"/>
    <w:rsid w:val="26FC4FA5"/>
    <w:rsid w:val="27015370"/>
    <w:rsid w:val="270B421F"/>
    <w:rsid w:val="271F6B87"/>
    <w:rsid w:val="274E2228"/>
    <w:rsid w:val="27513195"/>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72C"/>
    <w:rsid w:val="288C2D07"/>
    <w:rsid w:val="289E7E22"/>
    <w:rsid w:val="28C2534B"/>
    <w:rsid w:val="28C5525A"/>
    <w:rsid w:val="28D14B96"/>
    <w:rsid w:val="29020C46"/>
    <w:rsid w:val="290240C7"/>
    <w:rsid w:val="290D6316"/>
    <w:rsid w:val="291713AF"/>
    <w:rsid w:val="291A2B97"/>
    <w:rsid w:val="29274EE0"/>
    <w:rsid w:val="294F692F"/>
    <w:rsid w:val="295029E3"/>
    <w:rsid w:val="29543A59"/>
    <w:rsid w:val="29670ED3"/>
    <w:rsid w:val="296879F1"/>
    <w:rsid w:val="2969197F"/>
    <w:rsid w:val="29746E87"/>
    <w:rsid w:val="297939AC"/>
    <w:rsid w:val="297C03C2"/>
    <w:rsid w:val="299573AB"/>
    <w:rsid w:val="29A806F8"/>
    <w:rsid w:val="29AA6528"/>
    <w:rsid w:val="29B05804"/>
    <w:rsid w:val="29BE5BD0"/>
    <w:rsid w:val="29C01572"/>
    <w:rsid w:val="29C25353"/>
    <w:rsid w:val="29CA4207"/>
    <w:rsid w:val="29D82DC8"/>
    <w:rsid w:val="29DA08EE"/>
    <w:rsid w:val="29DB6414"/>
    <w:rsid w:val="29E74CE2"/>
    <w:rsid w:val="29F574D6"/>
    <w:rsid w:val="2A133E00"/>
    <w:rsid w:val="2A1611F4"/>
    <w:rsid w:val="2A241B69"/>
    <w:rsid w:val="2A306A36"/>
    <w:rsid w:val="2A355B25"/>
    <w:rsid w:val="2A3E70CF"/>
    <w:rsid w:val="2A41271B"/>
    <w:rsid w:val="2A457300"/>
    <w:rsid w:val="2A5372C6"/>
    <w:rsid w:val="2A5A558B"/>
    <w:rsid w:val="2A5B03D8"/>
    <w:rsid w:val="2A6F6D07"/>
    <w:rsid w:val="2A852253"/>
    <w:rsid w:val="2A882500"/>
    <w:rsid w:val="2A9F7442"/>
    <w:rsid w:val="2AA35184"/>
    <w:rsid w:val="2AAB4E76"/>
    <w:rsid w:val="2AB63ABC"/>
    <w:rsid w:val="2AB63D0A"/>
    <w:rsid w:val="2AB7478C"/>
    <w:rsid w:val="2AC31382"/>
    <w:rsid w:val="2AD0584D"/>
    <w:rsid w:val="2AD549F8"/>
    <w:rsid w:val="2AEA74E5"/>
    <w:rsid w:val="2AFB4FC0"/>
    <w:rsid w:val="2B003D00"/>
    <w:rsid w:val="2B074D5E"/>
    <w:rsid w:val="2B0A6991"/>
    <w:rsid w:val="2B100BA9"/>
    <w:rsid w:val="2B1B5825"/>
    <w:rsid w:val="2B1E3AFC"/>
    <w:rsid w:val="2B22254D"/>
    <w:rsid w:val="2B4A5600"/>
    <w:rsid w:val="2B574FD9"/>
    <w:rsid w:val="2B642979"/>
    <w:rsid w:val="2B681F2A"/>
    <w:rsid w:val="2B7B1C5D"/>
    <w:rsid w:val="2B8D373E"/>
    <w:rsid w:val="2B9E4F56"/>
    <w:rsid w:val="2BA45AC5"/>
    <w:rsid w:val="2BD96984"/>
    <w:rsid w:val="2BDB5A88"/>
    <w:rsid w:val="2BDB6257"/>
    <w:rsid w:val="2BDB6BA0"/>
    <w:rsid w:val="2BE91C37"/>
    <w:rsid w:val="2BEC3F72"/>
    <w:rsid w:val="2C083572"/>
    <w:rsid w:val="2C12790D"/>
    <w:rsid w:val="2C185F94"/>
    <w:rsid w:val="2C1C3440"/>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1288"/>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1C17EC"/>
    <w:rsid w:val="31220DA0"/>
    <w:rsid w:val="31227BFC"/>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48142F"/>
    <w:rsid w:val="325852D0"/>
    <w:rsid w:val="325E56C6"/>
    <w:rsid w:val="3275698A"/>
    <w:rsid w:val="327C0679"/>
    <w:rsid w:val="32870EE7"/>
    <w:rsid w:val="32943B86"/>
    <w:rsid w:val="32A93829"/>
    <w:rsid w:val="32B141B6"/>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B34216"/>
    <w:rsid w:val="34C06C9D"/>
    <w:rsid w:val="34DF24AE"/>
    <w:rsid w:val="351C4931"/>
    <w:rsid w:val="351C4EAC"/>
    <w:rsid w:val="351D4C26"/>
    <w:rsid w:val="352B46F4"/>
    <w:rsid w:val="352E7D40"/>
    <w:rsid w:val="35361A77"/>
    <w:rsid w:val="353E3C50"/>
    <w:rsid w:val="35461A22"/>
    <w:rsid w:val="35483CC9"/>
    <w:rsid w:val="354B08F2"/>
    <w:rsid w:val="35571045"/>
    <w:rsid w:val="35661288"/>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6C0B20"/>
    <w:rsid w:val="36806379"/>
    <w:rsid w:val="369B4CF0"/>
    <w:rsid w:val="36D62629"/>
    <w:rsid w:val="36D76172"/>
    <w:rsid w:val="36D84407"/>
    <w:rsid w:val="36E833BB"/>
    <w:rsid w:val="36EB1E1B"/>
    <w:rsid w:val="36F17F0D"/>
    <w:rsid w:val="36FB00F6"/>
    <w:rsid w:val="37023232"/>
    <w:rsid w:val="37103BA1"/>
    <w:rsid w:val="37224581"/>
    <w:rsid w:val="37265173"/>
    <w:rsid w:val="3735197D"/>
    <w:rsid w:val="373756A2"/>
    <w:rsid w:val="374A416C"/>
    <w:rsid w:val="374B6987"/>
    <w:rsid w:val="375E0DA6"/>
    <w:rsid w:val="377639AE"/>
    <w:rsid w:val="378142CB"/>
    <w:rsid w:val="378B61A6"/>
    <w:rsid w:val="37B90F0B"/>
    <w:rsid w:val="37CD3F98"/>
    <w:rsid w:val="37DE77FC"/>
    <w:rsid w:val="37DF75BA"/>
    <w:rsid w:val="37E148E2"/>
    <w:rsid w:val="37E62B54"/>
    <w:rsid w:val="37F848EE"/>
    <w:rsid w:val="37F912FC"/>
    <w:rsid w:val="380D59EE"/>
    <w:rsid w:val="38304889"/>
    <w:rsid w:val="3836588A"/>
    <w:rsid w:val="38382675"/>
    <w:rsid w:val="383B7B0D"/>
    <w:rsid w:val="3848553B"/>
    <w:rsid w:val="3851700B"/>
    <w:rsid w:val="385246B6"/>
    <w:rsid w:val="385E6B8E"/>
    <w:rsid w:val="3876113B"/>
    <w:rsid w:val="38883C0B"/>
    <w:rsid w:val="3891486E"/>
    <w:rsid w:val="38A53DB7"/>
    <w:rsid w:val="38BF3388"/>
    <w:rsid w:val="38CC268D"/>
    <w:rsid w:val="38DF1FDA"/>
    <w:rsid w:val="38EC2960"/>
    <w:rsid w:val="38EF0028"/>
    <w:rsid w:val="390069DD"/>
    <w:rsid w:val="39030CF9"/>
    <w:rsid w:val="39070E1C"/>
    <w:rsid w:val="39091F35"/>
    <w:rsid w:val="390A63CE"/>
    <w:rsid w:val="392274DB"/>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285EFD"/>
    <w:rsid w:val="3A2E128F"/>
    <w:rsid w:val="3A393FA7"/>
    <w:rsid w:val="3A396F6B"/>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28A7"/>
    <w:rsid w:val="3D2F7FF3"/>
    <w:rsid w:val="3D3B56F0"/>
    <w:rsid w:val="3D3D1507"/>
    <w:rsid w:val="3D62085B"/>
    <w:rsid w:val="3D672041"/>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570C7"/>
    <w:rsid w:val="3E5C591E"/>
    <w:rsid w:val="3E6C2B3A"/>
    <w:rsid w:val="3E8C5311"/>
    <w:rsid w:val="3E8E7E55"/>
    <w:rsid w:val="3EB61473"/>
    <w:rsid w:val="3EC66011"/>
    <w:rsid w:val="3ECD05CA"/>
    <w:rsid w:val="3ED25BE0"/>
    <w:rsid w:val="3ED6747E"/>
    <w:rsid w:val="3ED75B7F"/>
    <w:rsid w:val="3EF9316D"/>
    <w:rsid w:val="3F081602"/>
    <w:rsid w:val="3F315E6B"/>
    <w:rsid w:val="3F5175E2"/>
    <w:rsid w:val="3F56276A"/>
    <w:rsid w:val="3F584337"/>
    <w:rsid w:val="3F6C10E0"/>
    <w:rsid w:val="3F963015"/>
    <w:rsid w:val="3F964D35"/>
    <w:rsid w:val="3FA327ED"/>
    <w:rsid w:val="3FB11738"/>
    <w:rsid w:val="3FB5581B"/>
    <w:rsid w:val="3FB83028"/>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4F3518"/>
    <w:rsid w:val="41606056"/>
    <w:rsid w:val="417F433E"/>
    <w:rsid w:val="418A1D66"/>
    <w:rsid w:val="41913B31"/>
    <w:rsid w:val="419C4043"/>
    <w:rsid w:val="41A45E08"/>
    <w:rsid w:val="41B7239D"/>
    <w:rsid w:val="41C95079"/>
    <w:rsid w:val="41D852BC"/>
    <w:rsid w:val="41F83BB0"/>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4172B"/>
    <w:rsid w:val="448E5DEE"/>
    <w:rsid w:val="449459B9"/>
    <w:rsid w:val="449E4142"/>
    <w:rsid w:val="44A90BAA"/>
    <w:rsid w:val="44B24A20"/>
    <w:rsid w:val="44BC0BEE"/>
    <w:rsid w:val="44BF6C07"/>
    <w:rsid w:val="44C24001"/>
    <w:rsid w:val="44C55A88"/>
    <w:rsid w:val="44FB1C9C"/>
    <w:rsid w:val="450B0594"/>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84338"/>
    <w:rsid w:val="462A6010"/>
    <w:rsid w:val="465D501C"/>
    <w:rsid w:val="466367DB"/>
    <w:rsid w:val="46686D18"/>
    <w:rsid w:val="466D15DA"/>
    <w:rsid w:val="467F03FC"/>
    <w:rsid w:val="46853538"/>
    <w:rsid w:val="46993D0E"/>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DC362C"/>
    <w:rsid w:val="47ED7BCA"/>
    <w:rsid w:val="48016F34"/>
    <w:rsid w:val="480556DB"/>
    <w:rsid w:val="48185C56"/>
    <w:rsid w:val="48254C34"/>
    <w:rsid w:val="48450F81"/>
    <w:rsid w:val="48455675"/>
    <w:rsid w:val="484E729D"/>
    <w:rsid w:val="48566773"/>
    <w:rsid w:val="485A23C2"/>
    <w:rsid w:val="48623B31"/>
    <w:rsid w:val="48691107"/>
    <w:rsid w:val="48711FC6"/>
    <w:rsid w:val="48895289"/>
    <w:rsid w:val="488E0DCA"/>
    <w:rsid w:val="488F68F0"/>
    <w:rsid w:val="489363E0"/>
    <w:rsid w:val="48A16B62"/>
    <w:rsid w:val="48A91760"/>
    <w:rsid w:val="48AE0D54"/>
    <w:rsid w:val="48BC6222"/>
    <w:rsid w:val="48C245E9"/>
    <w:rsid w:val="48DB312A"/>
    <w:rsid w:val="48DF49D9"/>
    <w:rsid w:val="48E45842"/>
    <w:rsid w:val="48E7672C"/>
    <w:rsid w:val="4910358D"/>
    <w:rsid w:val="492108CC"/>
    <w:rsid w:val="49413F52"/>
    <w:rsid w:val="494F6304"/>
    <w:rsid w:val="49555444"/>
    <w:rsid w:val="49792B95"/>
    <w:rsid w:val="49B760FE"/>
    <w:rsid w:val="49F11610"/>
    <w:rsid w:val="4A05334F"/>
    <w:rsid w:val="4A060864"/>
    <w:rsid w:val="4A065ADF"/>
    <w:rsid w:val="4A244932"/>
    <w:rsid w:val="4A2922C8"/>
    <w:rsid w:val="4A4117B2"/>
    <w:rsid w:val="4A4A6F73"/>
    <w:rsid w:val="4A7A4350"/>
    <w:rsid w:val="4A7B1703"/>
    <w:rsid w:val="4A7E2497"/>
    <w:rsid w:val="4A896826"/>
    <w:rsid w:val="4ABF5E17"/>
    <w:rsid w:val="4AC77548"/>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524E4"/>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A5B1B"/>
    <w:rsid w:val="4D9F40B3"/>
    <w:rsid w:val="4DB33393"/>
    <w:rsid w:val="4DBC3CE3"/>
    <w:rsid w:val="4DCB51C5"/>
    <w:rsid w:val="4DCF1E0D"/>
    <w:rsid w:val="4DD21759"/>
    <w:rsid w:val="4DD632D9"/>
    <w:rsid w:val="4DE05D9E"/>
    <w:rsid w:val="4DE05DF9"/>
    <w:rsid w:val="4DE44800"/>
    <w:rsid w:val="4DEB45C9"/>
    <w:rsid w:val="4DEE0709"/>
    <w:rsid w:val="4DF26A56"/>
    <w:rsid w:val="4DF47921"/>
    <w:rsid w:val="4DF53784"/>
    <w:rsid w:val="4DFC14EA"/>
    <w:rsid w:val="4DFF6815"/>
    <w:rsid w:val="4E0A3427"/>
    <w:rsid w:val="4E124B64"/>
    <w:rsid w:val="4E2423AC"/>
    <w:rsid w:val="4E261AA5"/>
    <w:rsid w:val="4E287F63"/>
    <w:rsid w:val="4E304B5D"/>
    <w:rsid w:val="4E3F66C2"/>
    <w:rsid w:val="4E611B8B"/>
    <w:rsid w:val="4E6279D7"/>
    <w:rsid w:val="4E682F8C"/>
    <w:rsid w:val="4E6A7BB7"/>
    <w:rsid w:val="4E6C5D89"/>
    <w:rsid w:val="4E6D390E"/>
    <w:rsid w:val="4E807407"/>
    <w:rsid w:val="4E9133C2"/>
    <w:rsid w:val="4EB23220"/>
    <w:rsid w:val="4EE661F8"/>
    <w:rsid w:val="4EF27A04"/>
    <w:rsid w:val="4F0773B4"/>
    <w:rsid w:val="4F0A0A7E"/>
    <w:rsid w:val="4F241019"/>
    <w:rsid w:val="4F307BB1"/>
    <w:rsid w:val="4F336227"/>
    <w:rsid w:val="4F3C3EF2"/>
    <w:rsid w:val="4F3D562D"/>
    <w:rsid w:val="4F5C4EE0"/>
    <w:rsid w:val="4F5D14F6"/>
    <w:rsid w:val="4F681AF1"/>
    <w:rsid w:val="4F6E1972"/>
    <w:rsid w:val="4F943166"/>
    <w:rsid w:val="4F9C19A5"/>
    <w:rsid w:val="4FBA02A1"/>
    <w:rsid w:val="4FC275AB"/>
    <w:rsid w:val="4FCB3ED2"/>
    <w:rsid w:val="4FE7106E"/>
    <w:rsid w:val="4FF82FCD"/>
    <w:rsid w:val="50053943"/>
    <w:rsid w:val="500C2759"/>
    <w:rsid w:val="50260569"/>
    <w:rsid w:val="50373AF5"/>
    <w:rsid w:val="50374A3C"/>
    <w:rsid w:val="503F29AA"/>
    <w:rsid w:val="50487AB0"/>
    <w:rsid w:val="50550E55"/>
    <w:rsid w:val="50901457"/>
    <w:rsid w:val="509F43E4"/>
    <w:rsid w:val="50A54D3E"/>
    <w:rsid w:val="50B82E88"/>
    <w:rsid w:val="50BB32A7"/>
    <w:rsid w:val="50CC5CB2"/>
    <w:rsid w:val="50F1402B"/>
    <w:rsid w:val="50FD2AD9"/>
    <w:rsid w:val="51037E7B"/>
    <w:rsid w:val="51081E85"/>
    <w:rsid w:val="51097D9A"/>
    <w:rsid w:val="510F05CE"/>
    <w:rsid w:val="511A650F"/>
    <w:rsid w:val="51237D2E"/>
    <w:rsid w:val="51256043"/>
    <w:rsid w:val="512F0C70"/>
    <w:rsid w:val="512F2A1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1D5224"/>
    <w:rsid w:val="532B6CAF"/>
    <w:rsid w:val="53350D91"/>
    <w:rsid w:val="53412644"/>
    <w:rsid w:val="53433903"/>
    <w:rsid w:val="53517A72"/>
    <w:rsid w:val="5361549D"/>
    <w:rsid w:val="536220DA"/>
    <w:rsid w:val="53650637"/>
    <w:rsid w:val="536A5F90"/>
    <w:rsid w:val="536D782E"/>
    <w:rsid w:val="537155BE"/>
    <w:rsid w:val="53757C6B"/>
    <w:rsid w:val="53790573"/>
    <w:rsid w:val="537E1075"/>
    <w:rsid w:val="53835884"/>
    <w:rsid w:val="539A4AC7"/>
    <w:rsid w:val="53A44D07"/>
    <w:rsid w:val="53A46AC8"/>
    <w:rsid w:val="53AB7F1F"/>
    <w:rsid w:val="53AC6F7B"/>
    <w:rsid w:val="53C01F4F"/>
    <w:rsid w:val="53C27B7A"/>
    <w:rsid w:val="53D53D51"/>
    <w:rsid w:val="53DB6E8D"/>
    <w:rsid w:val="53EB297B"/>
    <w:rsid w:val="53EC4BF7"/>
    <w:rsid w:val="53F671DE"/>
    <w:rsid w:val="53F758A1"/>
    <w:rsid w:val="540D5A7F"/>
    <w:rsid w:val="542E2BC2"/>
    <w:rsid w:val="54352A96"/>
    <w:rsid w:val="54447390"/>
    <w:rsid w:val="54484523"/>
    <w:rsid w:val="544B514D"/>
    <w:rsid w:val="545E1D01"/>
    <w:rsid w:val="54674051"/>
    <w:rsid w:val="54790C1C"/>
    <w:rsid w:val="54935B8F"/>
    <w:rsid w:val="549D3677"/>
    <w:rsid w:val="54A87049"/>
    <w:rsid w:val="54B03E76"/>
    <w:rsid w:val="54BA4CF5"/>
    <w:rsid w:val="54BF230B"/>
    <w:rsid w:val="54CC6227"/>
    <w:rsid w:val="54D10F9B"/>
    <w:rsid w:val="54D97871"/>
    <w:rsid w:val="5503044A"/>
    <w:rsid w:val="550B5550"/>
    <w:rsid w:val="551D586C"/>
    <w:rsid w:val="55200298"/>
    <w:rsid w:val="55335E1B"/>
    <w:rsid w:val="5536079B"/>
    <w:rsid w:val="554B7EF0"/>
    <w:rsid w:val="556F3D99"/>
    <w:rsid w:val="55720837"/>
    <w:rsid w:val="55860894"/>
    <w:rsid w:val="558F6181"/>
    <w:rsid w:val="559447B6"/>
    <w:rsid w:val="55B02DF1"/>
    <w:rsid w:val="55D47A00"/>
    <w:rsid w:val="55D5456D"/>
    <w:rsid w:val="55DC290C"/>
    <w:rsid w:val="55E71B19"/>
    <w:rsid w:val="55EA5D64"/>
    <w:rsid w:val="55F01FA1"/>
    <w:rsid w:val="55F66200"/>
    <w:rsid w:val="55F85AD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15259"/>
    <w:rsid w:val="574448FC"/>
    <w:rsid w:val="57561D39"/>
    <w:rsid w:val="575B7AFD"/>
    <w:rsid w:val="57660D3F"/>
    <w:rsid w:val="5785783C"/>
    <w:rsid w:val="578C2978"/>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A029B"/>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AF478F"/>
    <w:rsid w:val="5CBB7F6F"/>
    <w:rsid w:val="5CC248CE"/>
    <w:rsid w:val="5D042FB1"/>
    <w:rsid w:val="5D080CF3"/>
    <w:rsid w:val="5D3A4C25"/>
    <w:rsid w:val="5D442CB4"/>
    <w:rsid w:val="5D445AA3"/>
    <w:rsid w:val="5D494E68"/>
    <w:rsid w:val="5D7869AF"/>
    <w:rsid w:val="5D7C3F11"/>
    <w:rsid w:val="5D891708"/>
    <w:rsid w:val="5D971C5A"/>
    <w:rsid w:val="5D9D49E0"/>
    <w:rsid w:val="5DA01E9E"/>
    <w:rsid w:val="5DAD3649"/>
    <w:rsid w:val="5DB06C95"/>
    <w:rsid w:val="5DC310BE"/>
    <w:rsid w:val="5DDF1821"/>
    <w:rsid w:val="5DE2656A"/>
    <w:rsid w:val="5DEA2F91"/>
    <w:rsid w:val="5DF94AE0"/>
    <w:rsid w:val="5DFA5883"/>
    <w:rsid w:val="5E224037"/>
    <w:rsid w:val="5E3146A3"/>
    <w:rsid w:val="5E442F62"/>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DF3667"/>
    <w:rsid w:val="5FE5522B"/>
    <w:rsid w:val="5FF03F08"/>
    <w:rsid w:val="5FF2548E"/>
    <w:rsid w:val="5FF313D3"/>
    <w:rsid w:val="600F05EB"/>
    <w:rsid w:val="602610FD"/>
    <w:rsid w:val="602808B2"/>
    <w:rsid w:val="602A2D2E"/>
    <w:rsid w:val="602C2F4B"/>
    <w:rsid w:val="602D0A71"/>
    <w:rsid w:val="60307A2A"/>
    <w:rsid w:val="603814FF"/>
    <w:rsid w:val="604109A8"/>
    <w:rsid w:val="605D2617"/>
    <w:rsid w:val="60616CDC"/>
    <w:rsid w:val="60624E53"/>
    <w:rsid w:val="606319E5"/>
    <w:rsid w:val="607A77D8"/>
    <w:rsid w:val="607B3C50"/>
    <w:rsid w:val="608B6567"/>
    <w:rsid w:val="60902A4E"/>
    <w:rsid w:val="60A01243"/>
    <w:rsid w:val="60AA3E6F"/>
    <w:rsid w:val="60D62EB6"/>
    <w:rsid w:val="60D84E80"/>
    <w:rsid w:val="60F670B5"/>
    <w:rsid w:val="60FF21D9"/>
    <w:rsid w:val="610C0686"/>
    <w:rsid w:val="611E37D0"/>
    <w:rsid w:val="612C6F7A"/>
    <w:rsid w:val="613021B3"/>
    <w:rsid w:val="61306A6A"/>
    <w:rsid w:val="6131633F"/>
    <w:rsid w:val="613253FD"/>
    <w:rsid w:val="61421F29"/>
    <w:rsid w:val="61637D56"/>
    <w:rsid w:val="61712185"/>
    <w:rsid w:val="61776447"/>
    <w:rsid w:val="617F354E"/>
    <w:rsid w:val="618B7207"/>
    <w:rsid w:val="61907E69"/>
    <w:rsid w:val="61A90D68"/>
    <w:rsid w:val="61B43A15"/>
    <w:rsid w:val="61B825BC"/>
    <w:rsid w:val="61DA0425"/>
    <w:rsid w:val="61F71336"/>
    <w:rsid w:val="62065A1D"/>
    <w:rsid w:val="6213792C"/>
    <w:rsid w:val="621775E2"/>
    <w:rsid w:val="621C0D9D"/>
    <w:rsid w:val="622F7552"/>
    <w:rsid w:val="623460E6"/>
    <w:rsid w:val="6250406E"/>
    <w:rsid w:val="6267666C"/>
    <w:rsid w:val="62744735"/>
    <w:rsid w:val="627D6831"/>
    <w:rsid w:val="62811B1C"/>
    <w:rsid w:val="62A20409"/>
    <w:rsid w:val="62B54B44"/>
    <w:rsid w:val="62E045DA"/>
    <w:rsid w:val="62E454A1"/>
    <w:rsid w:val="62E95123"/>
    <w:rsid w:val="62EF025F"/>
    <w:rsid w:val="62F36E4C"/>
    <w:rsid w:val="62F47F8F"/>
    <w:rsid w:val="62F7233F"/>
    <w:rsid w:val="62FD297C"/>
    <w:rsid w:val="631D4DCC"/>
    <w:rsid w:val="631F3FB4"/>
    <w:rsid w:val="63273E9D"/>
    <w:rsid w:val="63364F75"/>
    <w:rsid w:val="6340438B"/>
    <w:rsid w:val="6353238E"/>
    <w:rsid w:val="6353562C"/>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4E9765C"/>
    <w:rsid w:val="64EA5182"/>
    <w:rsid w:val="64ED6584"/>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3A09"/>
    <w:rsid w:val="65FB3FBE"/>
    <w:rsid w:val="66101A71"/>
    <w:rsid w:val="66171FA7"/>
    <w:rsid w:val="66247D11"/>
    <w:rsid w:val="662856A8"/>
    <w:rsid w:val="663B3EC9"/>
    <w:rsid w:val="663D5CF1"/>
    <w:rsid w:val="665A1E94"/>
    <w:rsid w:val="66736112"/>
    <w:rsid w:val="667F5B5B"/>
    <w:rsid w:val="66805D9E"/>
    <w:rsid w:val="668F1B3D"/>
    <w:rsid w:val="6694262A"/>
    <w:rsid w:val="66990381"/>
    <w:rsid w:val="66A80E51"/>
    <w:rsid w:val="66B31B01"/>
    <w:rsid w:val="66CE1E80"/>
    <w:rsid w:val="66DB2FD4"/>
    <w:rsid w:val="66E362F9"/>
    <w:rsid w:val="66E47FD9"/>
    <w:rsid w:val="66E520A5"/>
    <w:rsid w:val="66F04175"/>
    <w:rsid w:val="66F127F8"/>
    <w:rsid w:val="67071922"/>
    <w:rsid w:val="67315764"/>
    <w:rsid w:val="673B73C0"/>
    <w:rsid w:val="674743C8"/>
    <w:rsid w:val="674D0433"/>
    <w:rsid w:val="675608B6"/>
    <w:rsid w:val="67754402"/>
    <w:rsid w:val="677D54ED"/>
    <w:rsid w:val="678B726C"/>
    <w:rsid w:val="679D472E"/>
    <w:rsid w:val="679E40A4"/>
    <w:rsid w:val="67B25E27"/>
    <w:rsid w:val="67B4646D"/>
    <w:rsid w:val="67B464CA"/>
    <w:rsid w:val="67C4383B"/>
    <w:rsid w:val="67C43A69"/>
    <w:rsid w:val="67CD3ECD"/>
    <w:rsid w:val="67D35E1A"/>
    <w:rsid w:val="67D839B8"/>
    <w:rsid w:val="67F35317"/>
    <w:rsid w:val="67F73E3E"/>
    <w:rsid w:val="68016A6B"/>
    <w:rsid w:val="680201B7"/>
    <w:rsid w:val="68040309"/>
    <w:rsid w:val="68060525"/>
    <w:rsid w:val="681B0546"/>
    <w:rsid w:val="68336E40"/>
    <w:rsid w:val="68362BFB"/>
    <w:rsid w:val="68386205"/>
    <w:rsid w:val="683D085A"/>
    <w:rsid w:val="683F1130"/>
    <w:rsid w:val="684456A1"/>
    <w:rsid w:val="6853303E"/>
    <w:rsid w:val="68573C08"/>
    <w:rsid w:val="685E1363"/>
    <w:rsid w:val="687731D1"/>
    <w:rsid w:val="6878475E"/>
    <w:rsid w:val="688E1089"/>
    <w:rsid w:val="68993219"/>
    <w:rsid w:val="689A6903"/>
    <w:rsid w:val="689E42BA"/>
    <w:rsid w:val="68A026F3"/>
    <w:rsid w:val="68AF4719"/>
    <w:rsid w:val="68AF6C13"/>
    <w:rsid w:val="68C77CB4"/>
    <w:rsid w:val="68DB5DFF"/>
    <w:rsid w:val="68F25680"/>
    <w:rsid w:val="69074555"/>
    <w:rsid w:val="690C1B6B"/>
    <w:rsid w:val="690E07C7"/>
    <w:rsid w:val="69140A20"/>
    <w:rsid w:val="6922313D"/>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7C508B"/>
    <w:rsid w:val="6A8219B9"/>
    <w:rsid w:val="6A8641F2"/>
    <w:rsid w:val="6A9701A5"/>
    <w:rsid w:val="6AA03032"/>
    <w:rsid w:val="6AA86FEC"/>
    <w:rsid w:val="6ACB20F7"/>
    <w:rsid w:val="6ADA6AC4"/>
    <w:rsid w:val="6ADB11D6"/>
    <w:rsid w:val="6ADF0BB9"/>
    <w:rsid w:val="6B1A2C3C"/>
    <w:rsid w:val="6B221F4E"/>
    <w:rsid w:val="6B31644D"/>
    <w:rsid w:val="6B486C86"/>
    <w:rsid w:val="6B554C72"/>
    <w:rsid w:val="6B596BBE"/>
    <w:rsid w:val="6B680BAF"/>
    <w:rsid w:val="6B774DF2"/>
    <w:rsid w:val="6B7B4D86"/>
    <w:rsid w:val="6B847AD7"/>
    <w:rsid w:val="6B961F07"/>
    <w:rsid w:val="6B9A2DF9"/>
    <w:rsid w:val="6BA56BC7"/>
    <w:rsid w:val="6BAA566B"/>
    <w:rsid w:val="6BAC4619"/>
    <w:rsid w:val="6BAF6CCC"/>
    <w:rsid w:val="6BB118FD"/>
    <w:rsid w:val="6BC60150"/>
    <w:rsid w:val="6BCD2823"/>
    <w:rsid w:val="6BDD159D"/>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9C1458"/>
    <w:rsid w:val="6CA35B3A"/>
    <w:rsid w:val="6CA41A5D"/>
    <w:rsid w:val="6CA479DF"/>
    <w:rsid w:val="6CAF588C"/>
    <w:rsid w:val="6CB4638E"/>
    <w:rsid w:val="6CBF3C6A"/>
    <w:rsid w:val="6CBF5306"/>
    <w:rsid w:val="6CD24E7A"/>
    <w:rsid w:val="6CD930DF"/>
    <w:rsid w:val="6CDC1854"/>
    <w:rsid w:val="6CE70FA1"/>
    <w:rsid w:val="6CF05300"/>
    <w:rsid w:val="6CFA6351"/>
    <w:rsid w:val="6CFC3C40"/>
    <w:rsid w:val="6D203E37"/>
    <w:rsid w:val="6D284A9A"/>
    <w:rsid w:val="6D2F6F7D"/>
    <w:rsid w:val="6D480984"/>
    <w:rsid w:val="6D7361B0"/>
    <w:rsid w:val="6D8079F9"/>
    <w:rsid w:val="6D8A5754"/>
    <w:rsid w:val="6DB13E57"/>
    <w:rsid w:val="6DC20A4A"/>
    <w:rsid w:val="6DC245A2"/>
    <w:rsid w:val="6DC71662"/>
    <w:rsid w:val="6DCD5126"/>
    <w:rsid w:val="6DDB6CB0"/>
    <w:rsid w:val="6DE21877"/>
    <w:rsid w:val="6DE52ACD"/>
    <w:rsid w:val="6DF36E56"/>
    <w:rsid w:val="6DFC0B44"/>
    <w:rsid w:val="6E0458E7"/>
    <w:rsid w:val="6E1D3ED3"/>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57260"/>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843FB"/>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C5EC7"/>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B9644B"/>
    <w:rsid w:val="73C44DF0"/>
    <w:rsid w:val="73E159A2"/>
    <w:rsid w:val="73E96BCA"/>
    <w:rsid w:val="73EE4A6E"/>
    <w:rsid w:val="741048BC"/>
    <w:rsid w:val="742E78D4"/>
    <w:rsid w:val="74317498"/>
    <w:rsid w:val="74335A84"/>
    <w:rsid w:val="743A6A13"/>
    <w:rsid w:val="74676A28"/>
    <w:rsid w:val="747E40B6"/>
    <w:rsid w:val="7481790F"/>
    <w:rsid w:val="749723CB"/>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C7DD3"/>
    <w:rsid w:val="75A24276"/>
    <w:rsid w:val="75AA231D"/>
    <w:rsid w:val="75AD6340"/>
    <w:rsid w:val="75DF5F11"/>
    <w:rsid w:val="75E8633A"/>
    <w:rsid w:val="76360227"/>
    <w:rsid w:val="76393874"/>
    <w:rsid w:val="763F09AA"/>
    <w:rsid w:val="764F3FCC"/>
    <w:rsid w:val="7650339F"/>
    <w:rsid w:val="76582727"/>
    <w:rsid w:val="76603C9A"/>
    <w:rsid w:val="766B00E5"/>
    <w:rsid w:val="76832D41"/>
    <w:rsid w:val="768B2C28"/>
    <w:rsid w:val="76A2766B"/>
    <w:rsid w:val="76AA29C3"/>
    <w:rsid w:val="76BB1CAB"/>
    <w:rsid w:val="76C04050"/>
    <w:rsid w:val="76D014F3"/>
    <w:rsid w:val="76D67314"/>
    <w:rsid w:val="76E00193"/>
    <w:rsid w:val="76E23845"/>
    <w:rsid w:val="76E65049"/>
    <w:rsid w:val="76E732D0"/>
    <w:rsid w:val="76FA74A7"/>
    <w:rsid w:val="77076007"/>
    <w:rsid w:val="771A36A5"/>
    <w:rsid w:val="77413F7E"/>
    <w:rsid w:val="77464076"/>
    <w:rsid w:val="7758241F"/>
    <w:rsid w:val="777A7D22"/>
    <w:rsid w:val="777E28EC"/>
    <w:rsid w:val="77835654"/>
    <w:rsid w:val="7789082B"/>
    <w:rsid w:val="77951D29"/>
    <w:rsid w:val="7797109C"/>
    <w:rsid w:val="779A2A38"/>
    <w:rsid w:val="77B4450A"/>
    <w:rsid w:val="77B46E73"/>
    <w:rsid w:val="77E37A12"/>
    <w:rsid w:val="77F42148"/>
    <w:rsid w:val="77FD2DEF"/>
    <w:rsid w:val="77FE3468"/>
    <w:rsid w:val="78250553"/>
    <w:rsid w:val="782642CC"/>
    <w:rsid w:val="783B17B1"/>
    <w:rsid w:val="7840538D"/>
    <w:rsid w:val="784E2046"/>
    <w:rsid w:val="78546F0C"/>
    <w:rsid w:val="786778FE"/>
    <w:rsid w:val="78830961"/>
    <w:rsid w:val="789B17B9"/>
    <w:rsid w:val="789D588A"/>
    <w:rsid w:val="78B43685"/>
    <w:rsid w:val="78B65E3A"/>
    <w:rsid w:val="78E0091E"/>
    <w:rsid w:val="78EE1C79"/>
    <w:rsid w:val="78F85605"/>
    <w:rsid w:val="78FA66FA"/>
    <w:rsid w:val="79032A98"/>
    <w:rsid w:val="79345B6A"/>
    <w:rsid w:val="79424F6E"/>
    <w:rsid w:val="79490272"/>
    <w:rsid w:val="795F3706"/>
    <w:rsid w:val="797239CC"/>
    <w:rsid w:val="797F54AB"/>
    <w:rsid w:val="79831473"/>
    <w:rsid w:val="79983E9C"/>
    <w:rsid w:val="7999527A"/>
    <w:rsid w:val="79A75F84"/>
    <w:rsid w:val="79AF76C5"/>
    <w:rsid w:val="79C25EE1"/>
    <w:rsid w:val="79CE2967"/>
    <w:rsid w:val="79E30EE8"/>
    <w:rsid w:val="79E34934"/>
    <w:rsid w:val="79EA664C"/>
    <w:rsid w:val="79F9627A"/>
    <w:rsid w:val="79FF6948"/>
    <w:rsid w:val="7A044199"/>
    <w:rsid w:val="7A0657CF"/>
    <w:rsid w:val="7A2F3BBF"/>
    <w:rsid w:val="7A2F459A"/>
    <w:rsid w:val="7A320D06"/>
    <w:rsid w:val="7A322A39"/>
    <w:rsid w:val="7A517022"/>
    <w:rsid w:val="7A542B32"/>
    <w:rsid w:val="7A6F5001"/>
    <w:rsid w:val="7A707A80"/>
    <w:rsid w:val="7A7720A0"/>
    <w:rsid w:val="7A837B2B"/>
    <w:rsid w:val="7A9635B3"/>
    <w:rsid w:val="7A995229"/>
    <w:rsid w:val="7AA2343E"/>
    <w:rsid w:val="7AD60EB8"/>
    <w:rsid w:val="7ADA73A4"/>
    <w:rsid w:val="7AE66B99"/>
    <w:rsid w:val="7AF34646"/>
    <w:rsid w:val="7AFE508C"/>
    <w:rsid w:val="7B0A3BCA"/>
    <w:rsid w:val="7B1C0EF4"/>
    <w:rsid w:val="7B2014A6"/>
    <w:rsid w:val="7B242D44"/>
    <w:rsid w:val="7B2A7C2F"/>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0E57A2"/>
    <w:rsid w:val="7C1052F2"/>
    <w:rsid w:val="7C21292C"/>
    <w:rsid w:val="7C2668D9"/>
    <w:rsid w:val="7C32497F"/>
    <w:rsid w:val="7C3C69AE"/>
    <w:rsid w:val="7C5A5262"/>
    <w:rsid w:val="7C691974"/>
    <w:rsid w:val="7C817D22"/>
    <w:rsid w:val="7C8A6570"/>
    <w:rsid w:val="7C8B7390"/>
    <w:rsid w:val="7C9B0D0E"/>
    <w:rsid w:val="7CA42B03"/>
    <w:rsid w:val="7CC04CEF"/>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545437"/>
    <w:rsid w:val="7D755AD9"/>
    <w:rsid w:val="7D777A3E"/>
    <w:rsid w:val="7D9005BC"/>
    <w:rsid w:val="7D9F0AD0"/>
    <w:rsid w:val="7DB22BDF"/>
    <w:rsid w:val="7DD12BB7"/>
    <w:rsid w:val="7DDF11A4"/>
    <w:rsid w:val="7DF223A2"/>
    <w:rsid w:val="7DFF0955"/>
    <w:rsid w:val="7E0B750E"/>
    <w:rsid w:val="7E1939E8"/>
    <w:rsid w:val="7E2400E7"/>
    <w:rsid w:val="7E2822EA"/>
    <w:rsid w:val="7E2A20CE"/>
    <w:rsid w:val="7E327526"/>
    <w:rsid w:val="7E355A7B"/>
    <w:rsid w:val="7E455322"/>
    <w:rsid w:val="7E682F48"/>
    <w:rsid w:val="7E6E3E85"/>
    <w:rsid w:val="7E953F59"/>
    <w:rsid w:val="7E991353"/>
    <w:rsid w:val="7E9C184B"/>
    <w:rsid w:val="7EA72948"/>
    <w:rsid w:val="7EB31EDB"/>
    <w:rsid w:val="7EB77AE3"/>
    <w:rsid w:val="7ED61132"/>
    <w:rsid w:val="7EDE320A"/>
    <w:rsid w:val="7EE70CC0"/>
    <w:rsid w:val="7EEB48DB"/>
    <w:rsid w:val="7EF27444"/>
    <w:rsid w:val="7EF740B7"/>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15670</Words>
  <Characters>16527</Characters>
  <Lines>50</Lines>
  <Paragraphs>68</Paragraphs>
  <TotalTime>6</TotalTime>
  <ScaleCrop>false</ScaleCrop>
  <LinksUpToDate>false</LinksUpToDate>
  <CharactersWithSpaces>17420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2025-09-28T09:15:00Z</cp:lastPrinted>
  <dcterms:modified xsi:type="dcterms:W3CDTF">2025-09-29T09:32:14Z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9FB19E237B4C4A7B805305D46D1643A6_13</vt:lpwstr>
  </property>
  <property fmtid="{D5CDD505-2E9C-101B-9397-08002B2CF9AE}" pid="4" name="KSOTemplateDocerSaveRecord">
    <vt:lpwstr>eyJoZGlkIjoiMzU0MTZjMjFkMjFjOGMwYTIzNWEzZDljNjYxZWI0MmYiLCJ1c2VySWQiOiIxNjg0NTc5MjM2In0=</vt:lpwstr>
  </property>
</Properties>
</file>