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X射线骨龄仪采购项目（二次）</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10</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X射线骨龄仪采购项目（二次）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X射线骨龄仪采购项目（二次）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X射线骨龄仪采购项目（二次）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480000元；</w:t>
      </w:r>
    </w:p>
    <w:p w14:paraId="7156B8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4、交货期：合同签订后30日内交货，最终以合同约定内容为准</w:t>
      </w:r>
      <w:r>
        <w:rPr>
          <w:rFonts w:hint="eastAsia" w:ascii="宋体" w:hAnsi="宋体" w:cs="宋体"/>
          <w:color w:val="auto"/>
          <w:szCs w:val="21"/>
          <w:highlight w:val="none"/>
          <w:shd w:val="clear" w:color="auto" w:fill="FFFFFF"/>
          <w:lang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9562"/>
      <w:bookmarkStart w:id="10" w:name="_Toc30971"/>
      <w:bookmarkStart w:id="11" w:name="_Toc3064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bookmarkStart w:id="101" w:name="_GoBack"/>
      <w:bookmarkEnd w:id="101"/>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25869"/>
      <w:bookmarkStart w:id="16" w:name="_Toc27480"/>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31928"/>
      <w:bookmarkStart w:id="27" w:name="_Toc16291"/>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X射线骨龄仪采购项目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X射线骨龄仪</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480000元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财政+自筹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480000元</w:t>
            </w: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bCs/>
                <w:szCs w:val="21"/>
                <w:highlight w:val="none"/>
              </w:rPr>
              <w:t>无</w:t>
            </w:r>
          </w:p>
        </w:tc>
      </w:tr>
    </w:tbl>
    <w:p w14:paraId="03CA4079">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1385B793">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X射线骨龄仪技术参数</w:t>
      </w:r>
    </w:p>
    <w:p w14:paraId="258DB558">
      <w:pPr>
        <w:keepNext w:val="0"/>
        <w:keepLines w:val="0"/>
        <w:pageBreakBefore w:val="0"/>
        <w:widowControl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设备要求：</w:t>
      </w:r>
    </w:p>
    <w:p w14:paraId="6C1EF16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1、符合现行的国家骨龄《中国青少年儿童手腕骨成熟度及评价方法》TY/T 3001-2006行业标准:手腕x射线片的拍管片距为70cm-90cm；采用中华05法对3-18岁、采用TW3法对2-17岁未成年人手腕部位的骨龄进行测量，用于骨龄测定及预测儿童成年后身高参考值。</w:t>
      </w:r>
    </w:p>
    <w:p w14:paraId="1870F23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2、设备整体自带铅防护，符合医疗机构辐射防护要求。</w:t>
      </w:r>
    </w:p>
    <w:p w14:paraId="5F4097C0">
      <w:pPr>
        <w:pStyle w:val="25"/>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sz w:val="21"/>
          <w:szCs w:val="21"/>
        </w:rPr>
        <w:t>3、辐射防护：设备应具备X射线屏蔽外壳，设备在正常曝光时，患者受照剂量≤ 0.5mAs，在距离设备表面</w:t>
      </w:r>
      <w:r>
        <w:rPr>
          <w:rFonts w:hint="eastAsia" w:ascii="宋体" w:hAnsi="宋体" w:eastAsia="宋体" w:cs="宋体"/>
          <w:bCs/>
          <w:color w:val="auto"/>
          <w:sz w:val="21"/>
          <w:szCs w:val="21"/>
        </w:rPr>
        <w:t>5-10 cm处</w:t>
      </w:r>
      <w:r>
        <w:rPr>
          <w:rFonts w:hint="eastAsia" w:ascii="宋体" w:hAnsi="宋体" w:eastAsia="宋体" w:cs="宋体"/>
          <w:bCs/>
          <w:sz w:val="21"/>
          <w:szCs w:val="21"/>
        </w:rPr>
        <w:t>，辐射剂量当量0.2-1μSv/h，</w:t>
      </w:r>
      <w:r>
        <w:rPr>
          <w:rFonts w:hint="eastAsia" w:ascii="宋体" w:hAnsi="宋体" w:eastAsia="宋体" w:cs="宋体"/>
          <w:color w:val="000000"/>
          <w:kern w:val="0"/>
          <w:sz w:val="21"/>
          <w:szCs w:val="21"/>
        </w:rPr>
        <w:t>距设备1米处小于0.3uSV/h。</w:t>
      </w:r>
      <w:r>
        <w:rPr>
          <w:rFonts w:hint="eastAsia" w:ascii="宋体" w:hAnsi="宋体" w:eastAsia="宋体" w:cs="宋体"/>
          <w:bCs/>
          <w:color w:val="auto"/>
          <w:sz w:val="21"/>
          <w:szCs w:val="21"/>
        </w:rPr>
        <w:t>符合《GBZ130-2020放射诊断放射防护要求》，</w:t>
      </w:r>
      <w:r>
        <w:rPr>
          <w:rFonts w:hint="eastAsia" w:ascii="宋体" w:hAnsi="宋体" w:eastAsia="宋体" w:cs="宋体"/>
          <w:color w:val="auto"/>
          <w:sz w:val="21"/>
          <w:szCs w:val="21"/>
        </w:rPr>
        <w:t>具备本省或上级部门认证有效的《放射性同位素与射线装置豁免备案表》，提供备案文号及复印件，用户无需做环评和屏蔽防护。（需提供复印件或网页截图佐证）</w:t>
      </w:r>
      <w:r>
        <w:rPr>
          <w:rFonts w:hint="eastAsia" w:ascii="宋体" w:hAnsi="宋体" w:eastAsia="宋体" w:cs="宋体"/>
          <w:bCs/>
          <w:color w:val="auto"/>
          <w:sz w:val="21"/>
          <w:szCs w:val="21"/>
        </w:rPr>
        <w:t>。</w:t>
      </w:r>
    </w:p>
    <w:p w14:paraId="3B9C9D2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4、设备主机可外出携带使用，设备主机重量≤60kg，整体设备重量≤110kg。</w:t>
      </w:r>
    </w:p>
    <w:p w14:paraId="79A1E30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5、设备自带万向移动轮，方便推到不同场景下操作使用，提供轮锁或制动系统来避免来自外力的非预期的运动，设备主机部分高度 ≤ 0.7M。</w:t>
      </w:r>
    </w:p>
    <w:p w14:paraId="16C1C871">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6、铅玻璃观察窗：高透光性铅玻璃材质，在有效过滤X射线情况下，可清晰观察儿童手腕摆位是否正确。</w:t>
      </w:r>
    </w:p>
    <w:p w14:paraId="5B71C6E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7、曝光控制装置：配备无线、有线曝光开关，且无线曝光通信范围≥10米。</w:t>
      </w:r>
    </w:p>
    <w:p w14:paraId="284BEDE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★8、设备使用年限不少于10年。</w:t>
      </w:r>
      <w:r>
        <w:rPr>
          <w:rFonts w:hint="eastAsia" w:ascii="宋体" w:hAnsi="宋体" w:eastAsia="宋体" w:cs="宋体"/>
          <w:bCs/>
          <w:sz w:val="21"/>
          <w:szCs w:val="21"/>
          <w:lang w:eastAsia="zh-CN"/>
        </w:rPr>
        <w:t>（提供证明文件）</w:t>
      </w:r>
    </w:p>
    <w:p w14:paraId="427AED91">
      <w:pPr>
        <w:keepNext w:val="0"/>
        <w:keepLines w:val="0"/>
        <w:pageBreakBefore w:val="0"/>
        <w:widowControl w:val="0"/>
        <w:kinsoku/>
        <w:wordWrap/>
        <w:overflowPunct/>
        <w:topLinePunct w:val="0"/>
        <w:autoSpaceDE/>
        <w:autoSpaceDN/>
        <w:bidi w:val="0"/>
        <w:adjustRightInd/>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cs="宋体"/>
          <w:b/>
          <w:bCs w:val="0"/>
          <w:sz w:val="21"/>
          <w:szCs w:val="21"/>
          <w:lang w:eastAsia="zh-CN"/>
        </w:rPr>
        <w:t>（</w:t>
      </w:r>
      <w:r>
        <w:rPr>
          <w:rFonts w:hint="eastAsia" w:ascii="宋体" w:hAnsi="宋体" w:eastAsia="宋体" w:cs="宋体"/>
          <w:b/>
          <w:bCs w:val="0"/>
          <w:sz w:val="21"/>
          <w:szCs w:val="21"/>
          <w:lang w:val="en-US" w:eastAsia="zh-CN"/>
        </w:rPr>
        <w:t>二</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设备技术参数要求：</w:t>
      </w:r>
    </w:p>
    <w:p w14:paraId="52517DD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1、电源条件：交流，单相；220V±22V；50Hz±1Hz；电源容量1 kVA。</w:t>
      </w:r>
    </w:p>
    <w:p w14:paraId="1045DB8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2、运行条件</w:t>
      </w:r>
      <w:r>
        <w:rPr>
          <w:rFonts w:hint="eastAsia" w:ascii="宋体" w:hAnsi="宋体" w:eastAsia="宋体" w:cs="宋体"/>
          <w:bCs/>
          <w:sz w:val="21"/>
          <w:szCs w:val="21"/>
          <w:highlight w:val="none"/>
        </w:rPr>
        <w:t>：Windows10 64位,运行内存</w:t>
      </w:r>
      <w:r>
        <w:rPr>
          <w:rFonts w:hint="eastAsia" w:ascii="宋体" w:hAnsi="宋体" w:eastAsia="宋体" w:cs="宋体"/>
          <w:bCs/>
          <w:sz w:val="21"/>
          <w:szCs w:val="21"/>
        </w:rPr>
        <w:t>≧16GB，硬盘≧1TB，处理器双核≥2.0G。</w:t>
      </w:r>
    </w:p>
    <w:p w14:paraId="74A8EDC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sz w:val="21"/>
          <w:szCs w:val="21"/>
        </w:rPr>
        <w:t>3、电流调节范围：</w:t>
      </w:r>
      <w:r>
        <w:rPr>
          <w:rFonts w:hint="eastAsia" w:ascii="宋体" w:hAnsi="宋体" w:eastAsia="宋体" w:cs="宋体"/>
          <w:bCs/>
          <w:color w:val="auto"/>
          <w:sz w:val="21"/>
          <w:szCs w:val="21"/>
        </w:rPr>
        <w:t>0.1 mA～50 mA。</w:t>
      </w:r>
    </w:p>
    <w:p w14:paraId="130DDF4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4、X射线管电压：</w:t>
      </w:r>
    </w:p>
    <w:p w14:paraId="13C84072">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4.1调节方式：连续可调，步长为1 kV；电压调节范围：40kV～125kV；</w:t>
      </w:r>
      <w:r>
        <w:rPr>
          <w:rFonts w:hint="eastAsia" w:ascii="宋体" w:hAnsi="宋体" w:eastAsia="宋体" w:cs="宋体"/>
          <w:color w:val="auto"/>
          <w:sz w:val="21"/>
          <w:szCs w:val="21"/>
        </w:rPr>
        <w:t>输出功率</w:t>
      </w:r>
      <w:r>
        <w:rPr>
          <w:rFonts w:hint="eastAsia" w:ascii="宋体" w:hAnsi="宋体" w:eastAsia="宋体" w:cs="宋体"/>
          <w:bCs/>
          <w:color w:val="auto"/>
          <w:sz w:val="21"/>
          <w:szCs w:val="21"/>
        </w:rPr>
        <w:t>800W-～</w:t>
      </w:r>
      <w:r>
        <w:rPr>
          <w:rFonts w:hint="eastAsia" w:ascii="宋体" w:hAnsi="宋体" w:eastAsia="宋体" w:cs="宋体"/>
          <w:color w:val="auto"/>
          <w:sz w:val="21"/>
          <w:szCs w:val="21"/>
        </w:rPr>
        <w:t>5500w</w:t>
      </w:r>
      <w:r>
        <w:rPr>
          <w:rFonts w:hint="eastAsia" w:ascii="宋体" w:hAnsi="宋体" w:eastAsia="宋体" w:cs="宋体"/>
          <w:bCs/>
          <w:color w:val="auto"/>
          <w:sz w:val="21"/>
          <w:szCs w:val="21"/>
        </w:rPr>
        <w:t>。</w:t>
      </w:r>
    </w:p>
    <w:p w14:paraId="62E95A4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4.2 X射线管电压值的偏差应不大于±8%。</w:t>
      </w:r>
    </w:p>
    <w:p w14:paraId="0BB7179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4.3 </w:t>
      </w:r>
      <w:r>
        <w:rPr>
          <w:rFonts w:hint="eastAsia" w:ascii="宋体" w:hAnsi="宋体" w:eastAsia="宋体" w:cs="宋体"/>
          <w:color w:val="auto"/>
          <w:sz w:val="21"/>
          <w:szCs w:val="21"/>
        </w:rPr>
        <w:t>阳极热容量≥40KHU</w:t>
      </w:r>
    </w:p>
    <w:p w14:paraId="41E13E44">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5、加载时间：低能0.1 s～1 s。</w:t>
      </w:r>
    </w:p>
    <w:p w14:paraId="33969361">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6、骨龄仪应有防过载措施。</w:t>
      </w:r>
    </w:p>
    <w:p w14:paraId="523B17AA">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7、空间分辨率≤ 4.6 lp/mm。</w:t>
      </w:r>
    </w:p>
    <w:p w14:paraId="15D52F9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8、平板探测器：</w:t>
      </w:r>
    </w:p>
    <w:p w14:paraId="3E01D6B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 要求卡片式非晶硅碘化铯超高清平板探测器。</w:t>
      </w:r>
    </w:p>
    <w:p w14:paraId="4B418B6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8.2  AD转换器：≥16bit。极限空间分辨率：≥6 (lp/mm)。</w:t>
      </w:r>
    </w:p>
    <w:p w14:paraId="1E3947D2">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8.3 像素尺寸： 85-125μm。像素≥900万像素。</w:t>
      </w:r>
    </w:p>
    <w:p w14:paraId="37B56C07">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8.4 像素矩阵 ≥ 2705 × 3408。</w:t>
      </w:r>
    </w:p>
    <w:p w14:paraId="3E0B1B80">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8.5  成像时间≤6s。</w:t>
      </w:r>
    </w:p>
    <w:p w14:paraId="170ACE0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8.6</w:t>
      </w:r>
      <w:r>
        <w:rPr>
          <w:rFonts w:hint="eastAsia" w:ascii="宋体" w:hAnsi="宋体" w:eastAsia="宋体" w:cs="宋体"/>
          <w:color w:val="auto"/>
          <w:sz w:val="21"/>
          <w:szCs w:val="21"/>
        </w:rPr>
        <w:t>操作环境：温度10-40℃，湿度30-75%</w:t>
      </w:r>
    </w:p>
    <w:p w14:paraId="7FFD18F4">
      <w:pPr>
        <w:keepNext w:val="0"/>
        <w:keepLines w:val="0"/>
        <w:pageBreakBefore w:val="0"/>
        <w:widowControl w:val="0"/>
        <w:kinsoku/>
        <w:wordWrap/>
        <w:overflowPunct/>
        <w:topLinePunct w:val="0"/>
        <w:autoSpaceDE/>
        <w:autoSpaceDN/>
        <w:bidi w:val="0"/>
        <w:adjustRightInd/>
        <w:spacing w:line="288" w:lineRule="auto"/>
        <w:ind w:left="420" w:leftChars="200"/>
        <w:jc w:val="left"/>
        <w:textAlignment w:val="auto"/>
        <w:rPr>
          <w:rFonts w:hint="eastAsia" w:ascii="宋体" w:hAnsi="宋体" w:eastAsia="宋体" w:cs="宋体"/>
          <w:bCs/>
          <w:color w:val="auto"/>
          <w:sz w:val="21"/>
          <w:szCs w:val="21"/>
        </w:rPr>
      </w:pP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软件功能要求：</w:t>
      </w:r>
    </w:p>
    <w:p w14:paraId="1C020363">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骨龄仪软硬件自主研发，实现一体化，无需联网传输至外部服务器，界面切换一键即可本地完成如下功能：基本信息录入、拍片、骨骺自动检测、骨骺自动分级、骨骺自动评分、骨骺自动计算、报告单生成与打印（提供佐证文件）</w:t>
      </w:r>
      <w:r>
        <w:rPr>
          <w:rFonts w:hint="eastAsia" w:ascii="宋体" w:hAnsi="宋体" w:eastAsia="宋体" w:cs="宋体"/>
          <w:bCs/>
          <w:color w:val="auto"/>
          <w:sz w:val="21"/>
          <w:szCs w:val="21"/>
          <w:lang w:eastAsia="zh-CN"/>
        </w:rPr>
        <w:t>。</w:t>
      </w:r>
    </w:p>
    <w:p w14:paraId="3CFCBA0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2、辅助摆位功能：</w:t>
      </w:r>
      <w:r>
        <w:rPr>
          <w:rFonts w:hint="eastAsia" w:ascii="宋体" w:hAnsi="宋体" w:eastAsia="宋体" w:cs="宋体"/>
          <w:bCs/>
          <w:color w:val="auto"/>
          <w:sz w:val="21"/>
          <w:szCs w:val="21"/>
          <w:lang w:eastAsia="zh-CN"/>
        </w:rPr>
        <w:t>具备</w:t>
      </w:r>
      <w:r>
        <w:rPr>
          <w:rFonts w:hint="eastAsia" w:ascii="宋体" w:hAnsi="宋体" w:eastAsia="宋体" w:cs="宋体"/>
          <w:color w:val="auto"/>
          <w:sz w:val="21"/>
          <w:szCs w:val="21"/>
        </w:rPr>
        <w:t>智能摆位实时监控及手部定位系统：方便医生实时监控受检者的手部摆位，并呈现手部示意图，方便患儿摆放</w:t>
      </w:r>
      <w:r>
        <w:rPr>
          <w:rFonts w:hint="eastAsia" w:ascii="宋体" w:hAnsi="宋体" w:cs="宋体"/>
          <w:color w:val="auto"/>
          <w:sz w:val="21"/>
          <w:szCs w:val="21"/>
          <w:lang w:eastAsia="zh-CN"/>
        </w:rPr>
        <w:t>。</w:t>
      </w:r>
    </w:p>
    <w:p w14:paraId="520787E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3、软件具备权限管理、患者登记、图像采集、图像处理、胶片打印、备份、导出图像等基础功能。</w:t>
      </w:r>
    </w:p>
    <w:p w14:paraId="1941019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4、</w:t>
      </w:r>
      <w:r>
        <w:rPr>
          <w:rFonts w:hint="eastAsia" w:ascii="宋体" w:hAnsi="宋体" w:eastAsia="宋体" w:cs="宋体"/>
          <w:sz w:val="21"/>
          <w:szCs w:val="21"/>
        </w:rPr>
        <w:t>影像处理：</w:t>
      </w:r>
      <w:r>
        <w:rPr>
          <w:rFonts w:hint="eastAsia" w:ascii="宋体" w:hAnsi="宋体" w:eastAsia="宋体" w:cs="宋体"/>
          <w:bCs/>
          <w:sz w:val="21"/>
          <w:szCs w:val="21"/>
        </w:rPr>
        <w:t>能完整显示被检查者的手腕骨轮廓，影像阅片应至少具备：影像移动、影像缩放、窗宽窗位调节、反色功能、影像旋转、放大镜功能。</w:t>
      </w:r>
    </w:p>
    <w:p w14:paraId="4CEB148C">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5、设备提供多种信息登记方式：设备主机上实时信息登记、骨龄系统上信息登记、手机扫描二维码进行信息登记，多种登记信息方式可同时选择。</w:t>
      </w:r>
    </w:p>
    <w:p w14:paraId="3DEE494A">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6、影像传输文件格式：DCMDIR、RAW、BMP、JPG；分辨率≥2762×3408。</w:t>
      </w:r>
    </w:p>
    <w:p w14:paraId="3F3113E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7、骨龄智能分析功能。</w:t>
      </w:r>
    </w:p>
    <w:p w14:paraId="2148087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8、骨龄报告功能：依据骨龄评测标准，自动生成报告，报告至少包括骨骺等级和骨龄等信息。</w:t>
      </w:r>
    </w:p>
    <w:p w14:paraId="1E2922B4">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9、骨龄评估软件具备国家药品监督管理局颁发的三类医疗器械注册证。</w:t>
      </w:r>
    </w:p>
    <w:p w14:paraId="5026504F">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10、版权性质：终身所有权，智能读片不限制使用次数和时间，软件终生免费升级。</w:t>
      </w:r>
    </w:p>
    <w:p w14:paraId="307A0557">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11、图像导入：支持png，jpg，bmp，dcm 等格式；可对图像进行亮度调节、对比度调节、角度旋转、左右翻转、还原等； </w:t>
      </w:r>
    </w:p>
    <w:p w14:paraId="1444199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12、支持批量体检需求：连续工作8小时、智能体检快筛系统：提供受检人员体检信息的批量导入和导出功能等。</w:t>
      </w:r>
    </w:p>
    <w:p w14:paraId="4FF9C2DF">
      <w:pPr>
        <w:keepNext w:val="0"/>
        <w:keepLines w:val="0"/>
        <w:pageBreakBefore w:val="0"/>
        <w:widowControl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Cs/>
          <w:sz w:val="21"/>
          <w:szCs w:val="21"/>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其它要求：</w:t>
      </w:r>
    </w:p>
    <w:p w14:paraId="7CD091E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1、具备身高管理系统功能：医生端和家长端小程序。</w:t>
      </w:r>
    </w:p>
    <w:p w14:paraId="0D4BD92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2、包含临床服务：</w:t>
      </w:r>
    </w:p>
    <w:p w14:paraId="6838A4E4">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rPr>
        <w:t>2.1身高管理项目体系SOP流程一套：</w:t>
      </w:r>
      <w:r>
        <w:rPr>
          <w:rFonts w:hint="eastAsia" w:ascii="宋体" w:hAnsi="宋体" w:eastAsia="宋体" w:cs="宋体"/>
          <w:sz w:val="21"/>
          <w:szCs w:val="21"/>
        </w:rPr>
        <w:t>具有全面的生长学数据分析和评价、至少包括身高体重与BMI评价、遗传因素评价等；智能化诊断功能：软件具有自动计算功能，对患者体格发育状况形成评价；评价报告须包含身高、体重、骨龄3合一曲线图，同一患者自动描绘曲线图，须提供评价报告模板予以证明；信息安全性：软件纯本地部署，患者信息仅可留存于本院信息系统。不接受任何形式的互联网连接、远程读片等可能引起信息泄露的功能，允许患者扫二维码获取自己的图片信息及电子报告单。</w:t>
      </w:r>
    </w:p>
    <w:p w14:paraId="3EA3D90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sz w:val="21"/>
          <w:szCs w:val="21"/>
        </w:rPr>
        <w:t>2.2</w:t>
      </w:r>
      <w:r>
        <w:rPr>
          <w:rFonts w:hint="eastAsia" w:ascii="宋体" w:hAnsi="宋体" w:eastAsia="宋体" w:cs="宋体"/>
          <w:bCs/>
          <w:sz w:val="21"/>
          <w:szCs w:val="21"/>
        </w:rPr>
        <w:t>提供机构身高管理宣传所需要的科普素材。</w:t>
      </w:r>
    </w:p>
    <w:p w14:paraId="7484A6A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2.3提供身高管理知识培训。</w:t>
      </w:r>
    </w:p>
    <w:p w14:paraId="01B03A21">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2.4提供专业机构培训跟诊学习。</w:t>
      </w:r>
    </w:p>
    <w:p w14:paraId="1706F49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2.5提供每月一次病例讨论会。</w:t>
      </w:r>
    </w:p>
    <w:p w14:paraId="4368FCDC">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配置标准</w:t>
      </w:r>
    </w:p>
    <w:p w14:paraId="18DEB097">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1、可移动X线机一套</w:t>
      </w:r>
    </w:p>
    <w:p w14:paraId="58905516">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2、非晶硅平板探测器</w:t>
      </w:r>
    </w:p>
    <w:p w14:paraId="7BEBEFC1">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3、球管及高压发生器组件</w:t>
      </w:r>
    </w:p>
    <w:p w14:paraId="3C3E9601">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4、拍摄实时监控摄像头</w:t>
      </w:r>
    </w:p>
    <w:p w14:paraId="2959C4E1">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5、可移动屏蔽防护机身 </w:t>
      </w:r>
    </w:p>
    <w:p w14:paraId="0B1EB6FB">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6、骨龄工作站：一体化设计电脑终端、打印机、软件、触屏等。</w:t>
      </w:r>
    </w:p>
    <w:p w14:paraId="2B5D1BA1">
      <w:pPr>
        <w:pStyle w:val="25"/>
        <w:rPr>
          <w:rFonts w:hint="eastAsia" w:ascii="宋体" w:hAnsi="宋体"/>
          <w:bCs/>
          <w:color w:val="FF0000"/>
          <w:sz w:val="24"/>
          <w:lang w:val="en-US" w:eastAsia="zh-CN"/>
        </w:rPr>
      </w:pPr>
    </w:p>
    <w:p w14:paraId="7852336E">
      <w:pPr>
        <w:pStyle w:val="25"/>
        <w:rPr>
          <w:rFonts w:hint="eastAsia" w:ascii="宋体" w:hAnsi="宋体"/>
          <w:bCs/>
          <w:color w:val="FF0000"/>
          <w:sz w:val="24"/>
          <w:lang w:val="en-US" w:eastAsia="zh-CN"/>
        </w:rPr>
      </w:pPr>
    </w:p>
    <w:p w14:paraId="2120E6CF">
      <w:pPr>
        <w:pStyle w:val="8"/>
        <w:snapToGrid w:val="0"/>
        <w:spacing w:beforeAutospacing="0" w:afterAutospacing="0" w:line="360" w:lineRule="auto"/>
        <w:jc w:val="both"/>
        <w:rPr>
          <w:b/>
          <w:bCs/>
          <w:kern w:val="2"/>
          <w:sz w:val="24"/>
          <w:szCs w:val="24"/>
          <w:highlight w:val="none"/>
        </w:rPr>
      </w:pPr>
      <w:r>
        <w:rPr>
          <w:rFonts w:hint="eastAsia"/>
          <w:b/>
          <w:bCs/>
          <w:kern w:val="2"/>
          <w:sz w:val="24"/>
          <w:szCs w:val="24"/>
          <w:highlight w:val="none"/>
          <w:lang w:val="en-US" w:eastAsia="zh-CN"/>
        </w:rPr>
        <w:t>四、</w:t>
      </w:r>
      <w:r>
        <w:rPr>
          <w:rFonts w:hint="eastAsia"/>
          <w:b/>
          <w:bCs/>
          <w:kern w:val="2"/>
          <w:sz w:val="24"/>
          <w:szCs w:val="24"/>
          <w:highlight w:val="none"/>
        </w:rPr>
        <w:t>其他要求</w:t>
      </w:r>
    </w:p>
    <w:p w14:paraId="2EEB99AE">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58EFD86">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p>
    <w:p w14:paraId="0C08EF9A">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p>
    <w:p w14:paraId="15262D99">
      <w:pPr>
        <w:pStyle w:val="25"/>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合同签订后30日内交货，最终以合同约定内容为准。        </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2AC6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07323D">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8"/>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从产品入库之日起，整机包修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53DEA6B7">
            <w:pPr>
              <w:pStyle w:val="8"/>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tc>
      </w:tr>
      <w:tr w14:paraId="1985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8D833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65F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4B5D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362979BB">
      <w:pPr>
        <w:pStyle w:val="25"/>
        <w:rPr>
          <w:rFonts w:hint="eastAsia" w:ascii="宋体" w:hAnsi="宋体" w:eastAsia="宋体" w:cs="宋体"/>
          <w:color w:val="auto"/>
          <w:highlight w:val="none"/>
        </w:rPr>
      </w:pPr>
    </w:p>
    <w:p w14:paraId="72AD080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5D17F41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6737AE82">
      <w:pPr>
        <w:pStyle w:val="23"/>
        <w:rPr>
          <w:rFonts w:hint="eastAsia"/>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2AD5A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X射线骨龄仪采购项目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480000元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480000元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采购资金来源：财政+自筹。</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480000元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480000元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有效期、交货期、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有效期、交货期、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中要求列入报价的费用（含配置、功能），漏（缺）报的视同已含在投标总价中。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47"/>
        <w:gridCol w:w="629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E87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noWrap w:val="0"/>
            <w:vAlign w:val="center"/>
          </w:tcPr>
          <w:p w14:paraId="3FC23C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2959A2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08879D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5FF6BB5E">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03C39A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947"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；技术参数中带“★”标注的为重要技术参数，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分；技术参数中</w:t>
            </w:r>
            <w:r>
              <w:rPr>
                <w:rFonts w:hint="eastAsia" w:ascii="宋体" w:hAnsi="宋体" w:cs="宋体"/>
                <w:color w:val="auto"/>
                <w:sz w:val="21"/>
                <w:szCs w:val="21"/>
                <w:highlight w:val="none"/>
                <w:lang w:val="en-US" w:eastAsia="zh-CN"/>
              </w:rPr>
              <w:t>未带“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”标注的为一般性技术参数，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；在本项分值范围内扣完为止；</w:t>
            </w:r>
            <w:r>
              <w:rPr>
                <w:rFonts w:hint="eastAsia" w:ascii="宋体" w:hAnsi="宋体" w:eastAsia="宋体" w:cs="宋体"/>
                <w:color w:val="auto"/>
                <w:sz w:val="21"/>
                <w:szCs w:val="21"/>
                <w:highlight w:val="none"/>
                <w:lang w:val="en-US" w:eastAsia="zh-CN"/>
              </w:rPr>
              <w:t xml:space="preserve">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F859C3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0D061B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14:textFill>
                  <w14:solidFill>
                    <w14:schemeClr w14:val="tx1"/>
                  </w14:solidFill>
                </w14:textFill>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14:textFill>
                  <w14:solidFill>
                    <w14:schemeClr w14:val="tx1"/>
                  </w14:solidFill>
                </w14:textFill>
              </w:rPr>
              <w:t>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5E6058ED">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p>
          <w:p w14:paraId="6547966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296"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分；所投产品较好，操控性较强、性能较好、技术较先进的得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296"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lang w:val="en-US" w:eastAsia="zh-CN"/>
              </w:rPr>
              <w:t>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947"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296"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29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296"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296"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较合理，有较具体的培训方案的得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不完备，培训方案不完备的得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0B5482E7">
      <w:pPr>
        <w:pStyle w:val="34"/>
        <w:ind w:firstLine="3990" w:firstLineChars="1900"/>
        <w:rPr>
          <w:rFonts w:hint="eastAsia" w:ascii="宋体" w:hAnsi="宋体" w:eastAsia="宋体" w:cs="宋体"/>
          <w:color w:val="auto"/>
          <w:sz w:val="21"/>
          <w:szCs w:val="21"/>
          <w:highlight w:val="none"/>
          <w:lang w:eastAsia="zh-CN"/>
        </w:rPr>
      </w:pPr>
    </w:p>
    <w:p w14:paraId="4092F63B">
      <w:pPr>
        <w:widowControl/>
        <w:snapToGrid w:val="0"/>
        <w:spacing w:line="440" w:lineRule="exact"/>
        <w:jc w:val="left"/>
        <w:rPr>
          <w:rFonts w:hint="eastAsia" w:ascii="宋体" w:hAnsi="宋体" w:eastAsia="宋体" w:cs="宋体"/>
          <w:b w:val="0"/>
          <w:bCs w:val="0"/>
          <w:color w:val="auto"/>
          <w:sz w:val="21"/>
          <w:szCs w:val="21"/>
          <w:highlight w:val="yellow"/>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yellow"/>
        </w:rPr>
      </w:pPr>
    </w:p>
    <w:p w14:paraId="48F290DC">
      <w:pPr>
        <w:pStyle w:val="34"/>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2"/>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5"/>
        <w:rPr>
          <w:rFonts w:hint="eastAsia" w:ascii="宋体" w:hAnsi="宋体" w:cs="宋体"/>
          <w:color w:val="auto"/>
          <w:kern w:val="0"/>
          <w:sz w:val="24"/>
          <w:highlight w:val="none"/>
        </w:rPr>
      </w:pPr>
    </w:p>
    <w:p w14:paraId="5E4799AD">
      <w:pPr>
        <w:pStyle w:val="25"/>
        <w:rPr>
          <w:rFonts w:hint="eastAsia" w:ascii="宋体" w:hAnsi="宋体" w:cs="宋体"/>
          <w:color w:val="auto"/>
          <w:kern w:val="0"/>
          <w:sz w:val="24"/>
          <w:highlight w:val="none"/>
        </w:rPr>
      </w:pPr>
    </w:p>
    <w:p w14:paraId="152C8C36">
      <w:pPr>
        <w:pStyle w:val="25"/>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2E41A5BB">
      <w:pPr>
        <w:rPr>
          <w:rFonts w:hint="eastAsia"/>
        </w:rPr>
        <w:sectPr>
          <w:pgSz w:w="16838" w:h="11906" w:orient="landscape"/>
          <w:pgMar w:top="1474" w:right="1417" w:bottom="1474" w:left="1417" w:header="851" w:footer="624" w:gutter="0"/>
          <w:pgNumType w:fmt="decimal"/>
          <w:cols w:space="720" w:num="1"/>
          <w:docGrid w:type="lines" w:linePitch="319" w:charSpace="0"/>
        </w:sect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2、所投产品若有注册证，报价明细表中规格或型号、产地等信息若与注册证不一致，以投标产品注册证信息为准。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5"/>
        <w:rPr>
          <w:rFonts w:hint="eastAsia" w:ascii="宋体" w:hAnsi="宋体" w:cs="宋体"/>
          <w:color w:val="auto"/>
          <w:kern w:val="0"/>
          <w:sz w:val="24"/>
          <w:highlight w:val="none"/>
          <w:lang w:val="en-US" w:eastAsia="zh-CN"/>
        </w:rPr>
      </w:pPr>
    </w:p>
    <w:p w14:paraId="0C409640">
      <w:pPr>
        <w:pStyle w:val="25"/>
        <w:rPr>
          <w:rFonts w:hint="eastAsia" w:ascii="宋体" w:hAnsi="宋体" w:cs="宋体"/>
          <w:color w:val="auto"/>
          <w:kern w:val="0"/>
          <w:sz w:val="24"/>
          <w:highlight w:val="none"/>
          <w:lang w:val="en-US" w:eastAsia="zh-CN"/>
        </w:rPr>
      </w:pPr>
    </w:p>
    <w:p w14:paraId="1C9EAA97">
      <w:pPr>
        <w:pStyle w:val="25"/>
        <w:rPr>
          <w:rFonts w:hint="eastAsia" w:ascii="宋体" w:hAnsi="宋体" w:cs="宋体"/>
          <w:color w:val="auto"/>
          <w:kern w:val="0"/>
          <w:sz w:val="24"/>
          <w:highlight w:val="none"/>
          <w:lang w:val="en-US" w:eastAsia="zh-CN"/>
        </w:rPr>
      </w:pPr>
    </w:p>
    <w:p w14:paraId="21B00144">
      <w:pPr>
        <w:pStyle w:val="25"/>
        <w:rPr>
          <w:rFonts w:hint="eastAsia" w:ascii="宋体" w:hAnsi="宋体" w:cs="宋体"/>
          <w:color w:val="auto"/>
          <w:kern w:val="0"/>
          <w:sz w:val="24"/>
          <w:highlight w:val="none"/>
          <w:lang w:val="en-US" w:eastAsia="zh-CN"/>
        </w:rPr>
      </w:pPr>
    </w:p>
    <w:p w14:paraId="2A74BFB0">
      <w:pPr>
        <w:pStyle w:val="25"/>
        <w:rPr>
          <w:rFonts w:hint="eastAsia" w:ascii="宋体" w:hAnsi="宋体" w:cs="宋体"/>
          <w:color w:val="auto"/>
          <w:kern w:val="0"/>
          <w:sz w:val="24"/>
          <w:highlight w:val="none"/>
          <w:lang w:val="en-US" w:eastAsia="zh-CN"/>
        </w:rPr>
      </w:pPr>
    </w:p>
    <w:p w14:paraId="3EF3AB43">
      <w:pPr>
        <w:pStyle w:val="25"/>
        <w:rPr>
          <w:rFonts w:hint="eastAsia" w:ascii="宋体" w:hAnsi="宋体" w:cs="宋体"/>
          <w:color w:val="auto"/>
          <w:kern w:val="0"/>
          <w:sz w:val="24"/>
          <w:highlight w:val="none"/>
          <w:lang w:val="en-US" w:eastAsia="zh-CN"/>
        </w:rPr>
      </w:pPr>
    </w:p>
    <w:p w14:paraId="4AAC2649">
      <w:pPr>
        <w:pStyle w:val="25"/>
        <w:rPr>
          <w:rFonts w:hint="default" w:ascii="宋体" w:hAnsi="宋体" w:cs="宋体"/>
          <w:color w:val="auto"/>
          <w:kern w:val="0"/>
          <w:sz w:val="24"/>
          <w:highlight w:val="none"/>
          <w:lang w:val="en-US" w:eastAsia="zh-CN"/>
        </w:rPr>
      </w:pPr>
    </w:p>
    <w:p w14:paraId="5C2F6EBC">
      <w:pPr>
        <w:pStyle w:val="25"/>
        <w:rPr>
          <w:rFonts w:hint="default" w:ascii="宋体" w:hAnsi="宋体" w:cs="宋体"/>
          <w:color w:val="auto"/>
          <w:kern w:val="0"/>
          <w:sz w:val="24"/>
          <w:highlight w:val="none"/>
          <w:lang w:val="en-US" w:eastAsia="zh-CN"/>
        </w:rPr>
      </w:pPr>
    </w:p>
    <w:p w14:paraId="51FCD9D6">
      <w:pPr>
        <w:pStyle w:val="25"/>
        <w:rPr>
          <w:rFonts w:hint="default" w:ascii="宋体" w:hAnsi="宋体" w:cs="宋体"/>
          <w:color w:val="auto"/>
          <w:kern w:val="0"/>
          <w:sz w:val="24"/>
          <w:highlight w:val="none"/>
          <w:lang w:val="en-US" w:eastAsia="zh-CN"/>
        </w:rPr>
      </w:pPr>
    </w:p>
    <w:p w14:paraId="1E63C69E">
      <w:pPr>
        <w:pStyle w:val="25"/>
        <w:rPr>
          <w:rFonts w:hint="default" w:ascii="宋体" w:hAnsi="宋体" w:cs="宋体"/>
          <w:color w:val="auto"/>
          <w:kern w:val="0"/>
          <w:sz w:val="24"/>
          <w:highlight w:val="none"/>
          <w:lang w:val="en-US" w:eastAsia="zh-CN"/>
        </w:rPr>
      </w:pPr>
    </w:p>
    <w:p w14:paraId="14084F2D">
      <w:pPr>
        <w:pStyle w:val="25"/>
        <w:rPr>
          <w:rFonts w:hint="default" w:ascii="宋体" w:hAnsi="宋体" w:cs="宋体"/>
          <w:color w:val="auto"/>
          <w:kern w:val="0"/>
          <w:sz w:val="24"/>
          <w:highlight w:val="none"/>
          <w:lang w:val="en-US" w:eastAsia="zh-CN"/>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auto"/>
          <w:kern w:val="0"/>
          <w:sz w:val="24"/>
          <w:highlight w:val="none"/>
          <w:lang w:val="en-US"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5"/>
        <w:rPr>
          <w:rFonts w:hint="default" w:ascii="宋体" w:hAnsi="宋体" w:cs="宋体"/>
          <w:color w:val="auto"/>
          <w:kern w:val="0"/>
          <w:sz w:val="24"/>
          <w:highlight w:val="none"/>
          <w:lang w:val="en-US" w:eastAsia="zh-CN"/>
        </w:rPr>
      </w:pPr>
    </w:p>
    <w:p w14:paraId="1C27DB87">
      <w:pPr>
        <w:pStyle w:val="25"/>
        <w:rPr>
          <w:rFonts w:hint="default" w:ascii="宋体" w:hAnsi="宋体" w:cs="宋体"/>
          <w:color w:val="auto"/>
          <w:kern w:val="0"/>
          <w:sz w:val="24"/>
          <w:highlight w:val="none"/>
          <w:lang w:val="en-US" w:eastAsia="zh-CN"/>
        </w:rPr>
      </w:pPr>
    </w:p>
    <w:p w14:paraId="43E68354">
      <w:pPr>
        <w:pStyle w:val="25"/>
        <w:rPr>
          <w:rFonts w:hint="default" w:ascii="宋体" w:hAnsi="宋体" w:cs="宋体"/>
          <w:color w:val="auto"/>
          <w:kern w:val="0"/>
          <w:sz w:val="24"/>
          <w:highlight w:val="none"/>
          <w:lang w:val="en-US" w:eastAsia="zh-CN"/>
        </w:rPr>
      </w:pPr>
    </w:p>
    <w:p w14:paraId="650115AD">
      <w:pPr>
        <w:pStyle w:val="25"/>
        <w:rPr>
          <w:rFonts w:hint="default" w:ascii="宋体" w:hAnsi="宋体" w:cs="宋体"/>
          <w:color w:val="auto"/>
          <w:kern w:val="0"/>
          <w:sz w:val="84"/>
          <w:szCs w:val="84"/>
          <w:highlight w:val="none"/>
          <w:lang w:val="en-US" w:eastAsia="zh-CN"/>
        </w:rPr>
      </w:pPr>
    </w:p>
    <w:p w14:paraId="4A359505">
      <w:pPr>
        <w:pStyle w:val="25"/>
        <w:rPr>
          <w:rFonts w:hint="default" w:ascii="宋体" w:hAnsi="宋体" w:cs="宋体"/>
          <w:color w:val="auto"/>
          <w:kern w:val="0"/>
          <w:sz w:val="84"/>
          <w:szCs w:val="84"/>
          <w:highlight w:val="none"/>
          <w:lang w:val="en-US" w:eastAsia="zh-CN"/>
        </w:rPr>
      </w:pPr>
    </w:p>
    <w:p w14:paraId="02993081">
      <w:pPr>
        <w:rPr>
          <w:rFonts w:hint="eastAsia" w:ascii="宋体" w:hAnsi="宋体" w:eastAsia="宋体" w:cs="宋体"/>
          <w:color w:val="auto"/>
          <w:sz w:val="84"/>
          <w:szCs w:val="84"/>
          <w:highlight w:val="none"/>
          <w:lang w:val="en-US" w:eastAsia="zh-CN"/>
        </w:rPr>
      </w:pPr>
      <w:bookmarkStart w:id="80" w:name="_Toc226"/>
      <w:bookmarkStart w:id="81" w:name="_Toc15804"/>
      <w:r>
        <w:rPr>
          <w:rFonts w:hint="eastAsia" w:ascii="宋体" w:hAnsi="宋体" w:eastAsia="宋体" w:cs="宋体"/>
          <w:color w:val="auto"/>
          <w:sz w:val="84"/>
          <w:szCs w:val="84"/>
          <w:highlight w:val="none"/>
          <w:lang w:val="en-US" w:eastAsia="zh-CN"/>
        </w:rPr>
        <w:br w:type="page"/>
      </w: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0BED208E">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50BB9001">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6182A3E4">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C43BD33">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2301" w:type="dxa"/>
            <w:shd w:val="clear" w:color="auto" w:fill="auto"/>
            <w:noWrap w:val="0"/>
            <w:vAlign w:val="center"/>
          </w:tcPr>
          <w:p w14:paraId="56FFBDC6">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4D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shd w:val="clear" w:color="auto" w:fill="auto"/>
            <w:vAlign w:val="center"/>
          </w:tcPr>
          <w:p w14:paraId="62950205">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7</w:t>
            </w:r>
          </w:p>
        </w:tc>
        <w:tc>
          <w:tcPr>
            <w:tcW w:w="0" w:type="auto"/>
            <w:shd w:val="clear" w:color="auto" w:fill="auto"/>
            <w:vAlign w:val="center"/>
          </w:tcPr>
          <w:p w14:paraId="68964669">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asciiTheme="majorEastAsia" w:hAnsiTheme="majorEastAsia" w:eastAsiaTheme="majorEastAsia"/>
                <w:sz w:val="21"/>
                <w:szCs w:val="21"/>
                <w:highlight w:val="none"/>
              </w:rPr>
              <w:t>其他要求</w:t>
            </w:r>
          </w:p>
        </w:tc>
        <w:tc>
          <w:tcPr>
            <w:tcW w:w="0" w:type="auto"/>
          </w:tcPr>
          <w:p w14:paraId="61DB02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ED75E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4F6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F4B5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8"/>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D1984C2">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84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驻马店市中心医院X射线骨龄仪采购项目（二次）竞争性磋商文件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2F61"/>
    <w:rsid w:val="05421D44"/>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884203"/>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5EC5"/>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595843"/>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45236"/>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02A16"/>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363B0"/>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670F7"/>
    <w:rsid w:val="465D501C"/>
    <w:rsid w:val="466367DB"/>
    <w:rsid w:val="46686D18"/>
    <w:rsid w:val="466D15DA"/>
    <w:rsid w:val="46BF7E28"/>
    <w:rsid w:val="46C3037C"/>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7A4350"/>
    <w:rsid w:val="4A7B1703"/>
    <w:rsid w:val="4A7E2497"/>
    <w:rsid w:val="4A896826"/>
    <w:rsid w:val="4A93046E"/>
    <w:rsid w:val="4ABD6462"/>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22EA0"/>
    <w:rsid w:val="57561D39"/>
    <w:rsid w:val="575B7AFD"/>
    <w:rsid w:val="57660D3F"/>
    <w:rsid w:val="5785783C"/>
    <w:rsid w:val="578F06BB"/>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C23DC"/>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7C80"/>
    <w:rsid w:val="6EF03395"/>
    <w:rsid w:val="6EF72E99"/>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E37A12"/>
    <w:rsid w:val="77F42148"/>
    <w:rsid w:val="77FE3468"/>
    <w:rsid w:val="78232A2D"/>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2528D6"/>
    <w:rsid w:val="7B345AA9"/>
    <w:rsid w:val="7B4048C1"/>
    <w:rsid w:val="7B4C5DF7"/>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8D1D8E"/>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4"/>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16859</Words>
  <Characters>17816</Characters>
  <Lines>50</Lines>
  <Paragraphs>68</Paragraphs>
  <TotalTime>41</TotalTime>
  <ScaleCrop>false</ScaleCrop>
  <LinksUpToDate>false</LinksUpToDate>
  <CharactersWithSpaces>18374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2025-10-09T06:56:37Z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18D245D63C7949F79AD98100BFAA7AA6_13</vt:lpwstr>
  </property>
  <property fmtid="{D5CDD505-2E9C-101B-9397-08002B2CF9AE}" pid="4" name="KSOTemplateDocerSaveRecord">
    <vt:lpwstr>eyJoZGlkIjoiMzU0MTZjMjFkMjFjOGMwYTIzNWEzZDljNjYxZWI0MmYiLCJ1c2VySWQiOiIxNjg0NTc5MjM2In0=</vt:lpwstr>
  </property>
</Properties>
</file>