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驻马店市中心医院脉动治疗仪、吞咽神经肌肉低频电刺激仪等医疗设备采购项目（二次）</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3039C99">
      <w:pPr>
        <w:pStyle w:val="26"/>
        <w:tabs>
          <w:tab w:val="right" w:leader="dot" w:pos="8958"/>
        </w:tabs>
        <w:rPr>
          <w:rFonts w:hint="eastAsia" w:ascii="宋体" w:hAnsi="宋体" w:eastAsia="宋体" w:cs="宋体"/>
          <w:bCs/>
          <w:color w:val="auto"/>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_Toc16007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第一章  </w:t>
      </w:r>
      <w:r>
        <w:rPr>
          <w:rFonts w:hint="eastAsia" w:ascii="宋体" w:hAnsi="宋体" w:eastAsia="宋体" w:cs="宋体"/>
          <w:bCs/>
          <w:color w:val="auto"/>
          <w:szCs w:val="32"/>
          <w:highlight w:val="none"/>
          <w:lang w:val="en-US" w:eastAsia="zh-CN"/>
        </w:rPr>
        <w:t>竞争性磋商采购</w:t>
      </w:r>
      <w:r>
        <w:rPr>
          <w:rFonts w:hint="eastAsia" w:ascii="宋体" w:hAnsi="宋体" w:eastAsia="宋体" w:cs="宋体"/>
          <w:bCs/>
          <w:color w:val="auto"/>
          <w:szCs w:val="32"/>
          <w:highlight w:val="none"/>
        </w:rPr>
        <w:t>公告</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_Toc16007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2</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59205E79">
      <w:pPr>
        <w:pStyle w:val="26"/>
        <w:tabs>
          <w:tab w:val="right" w:leader="dot" w:pos="8958"/>
        </w:tabs>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_Toc14636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第二章  </w:t>
      </w:r>
      <w:r>
        <w:rPr>
          <w:rFonts w:hint="eastAsia" w:ascii="宋体" w:hAnsi="宋体" w:eastAsia="宋体" w:cs="宋体"/>
          <w:bCs/>
          <w:color w:val="auto"/>
          <w:szCs w:val="32"/>
          <w:highlight w:val="none"/>
          <w:lang w:eastAsia="zh-CN"/>
        </w:rPr>
        <w:t>采购</w:t>
      </w:r>
      <w:r>
        <w:rPr>
          <w:rFonts w:hint="eastAsia" w:ascii="宋体" w:hAnsi="宋体" w:eastAsia="宋体" w:cs="宋体"/>
          <w:bCs/>
          <w:color w:val="auto"/>
          <w:szCs w:val="32"/>
          <w:highlight w:val="none"/>
        </w:rPr>
        <w:t>需求</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_Toc14636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5</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08A010B2">
      <w:pPr>
        <w:pStyle w:val="26"/>
        <w:tabs>
          <w:tab w:val="right" w:leader="dot" w:pos="8958"/>
        </w:tabs>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_Toc10047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_Toc10047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10</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3D61354B">
      <w:pPr>
        <w:pStyle w:val="26"/>
        <w:tabs>
          <w:tab w:val="right" w:leader="dot" w:pos="8958"/>
        </w:tabs>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_Toc2199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第四章  评标办法及评分标准</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_Toc2199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21</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2D795344">
      <w:pPr>
        <w:pStyle w:val="26"/>
        <w:tabs>
          <w:tab w:val="right" w:leader="dot" w:pos="8958"/>
        </w:tabs>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_Toc7887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第五章  采购合同</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_Toc7887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24</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2BB98C87">
      <w:pPr>
        <w:pStyle w:val="26"/>
        <w:tabs>
          <w:tab w:val="right" w:leader="dot" w:pos="8958"/>
        </w:tabs>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_Toc7359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第六章  </w:t>
      </w:r>
      <w:r>
        <w:rPr>
          <w:rFonts w:hint="eastAsia" w:ascii="宋体" w:hAnsi="宋体" w:eastAsia="宋体" w:cs="宋体"/>
          <w:bCs/>
          <w:color w:val="auto"/>
          <w:szCs w:val="32"/>
          <w:highlight w:val="none"/>
          <w:lang w:val="en-US" w:eastAsia="zh-CN"/>
        </w:rPr>
        <w:t>响应</w:t>
      </w:r>
      <w:r>
        <w:rPr>
          <w:rFonts w:hint="eastAsia" w:ascii="宋体" w:hAnsi="宋体" w:eastAsia="宋体" w:cs="宋体"/>
          <w:bCs/>
          <w:color w:val="auto"/>
          <w:szCs w:val="32"/>
          <w:highlight w:val="none"/>
        </w:rPr>
        <w:t>文件格式</w:t>
      </w:r>
      <w:r>
        <w:rPr>
          <w:rFonts w:hint="eastAsia" w:ascii="宋体" w:hAnsi="宋体" w:eastAsia="宋体" w:cs="宋体"/>
          <w:bCs/>
          <w:color w:val="auto"/>
          <w:szCs w:val="32"/>
          <w:highlight w:val="none"/>
        </w:rPr>
        <w:tab/>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PAGEREF _Toc7359 \h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25</w:t>
      </w:r>
      <w:r>
        <w:rPr>
          <w:rFonts w:hint="eastAsia" w:ascii="宋体" w:hAnsi="宋体" w:eastAsia="宋体" w:cs="宋体"/>
          <w:bCs/>
          <w:color w:val="auto"/>
          <w:szCs w:val="32"/>
          <w:highlight w:val="none"/>
        </w:rPr>
        <w:fldChar w:fldCharType="end"/>
      </w:r>
      <w:r>
        <w:rPr>
          <w:rFonts w:hint="eastAsia" w:ascii="宋体" w:hAnsi="宋体" w:eastAsia="宋体" w:cs="宋体"/>
          <w:bCs/>
          <w:color w:val="auto"/>
          <w:szCs w:val="32"/>
          <w:highlight w:val="none"/>
        </w:rPr>
        <w:fldChar w:fldCharType="end"/>
      </w:r>
    </w:p>
    <w:p w14:paraId="2953959E">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afterAutospacing="0" w:line="460" w:lineRule="exact"/>
        <w:jc w:val="center"/>
        <w:textAlignment w:val="auto"/>
        <w:outlineLvl w:val="0"/>
        <w:rPr>
          <w:rFonts w:hint="eastAsia" w:ascii="宋体" w:hAnsi="宋体" w:eastAsia="宋体" w:cs="宋体"/>
          <w:b/>
          <w:color w:val="auto"/>
          <w:sz w:val="32"/>
          <w:szCs w:val="32"/>
          <w:highlight w:val="none"/>
        </w:rPr>
      </w:pPr>
      <w:bookmarkStart w:id="2" w:name="_Toc1600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驻马店市中心医院脉动治疗仪、吞咽神经肌</w:t>
      </w:r>
      <w:bookmarkStart w:id="131" w:name="_GoBack"/>
      <w:bookmarkEnd w:id="131"/>
      <w:r>
        <w:rPr>
          <w:rFonts w:hint="eastAsia" w:ascii="宋体" w:hAnsi="宋体" w:cs="宋体"/>
          <w:b/>
          <w:bCs w:val="0"/>
          <w:color w:val="auto"/>
          <w:kern w:val="0"/>
          <w:sz w:val="28"/>
          <w:szCs w:val="28"/>
          <w:highlight w:val="none"/>
          <w:u w:val="none"/>
          <w:lang w:val="en-US" w:eastAsia="zh-CN"/>
        </w:rPr>
        <w:t>肉低频电刺激仪等医疗设备采购项目（二次）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afterAutospacing="0"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脉动治疗仪、吞咽神经肌肉低频电刺激仪等医疗设备采购项目（二次）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驻马店市中心医院脉动治疗仪、吞咽神经肌肉低频电刺激仪等医疗设备采购项目（二次）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；最高限价：11万元。其中：</w:t>
      </w:r>
    </w:p>
    <w:tbl>
      <w:tblPr>
        <w:tblStyle w:val="3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332"/>
        <w:gridCol w:w="1453"/>
        <w:gridCol w:w="1536"/>
        <w:gridCol w:w="1508"/>
      </w:tblGrid>
      <w:tr w14:paraId="6D4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8" w:type="dxa"/>
            <w:vAlign w:val="center"/>
          </w:tcPr>
          <w:p w14:paraId="5D5B35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firstLine="0" w:firstLineChars="0"/>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val="en-US" w:eastAsia="zh-CN"/>
              </w:rPr>
              <w:t>包号</w:t>
            </w:r>
          </w:p>
        </w:tc>
        <w:tc>
          <w:tcPr>
            <w:tcW w:w="3332" w:type="dxa"/>
            <w:vAlign w:val="center"/>
          </w:tcPr>
          <w:p w14:paraId="0888B6B2">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包名称</w:t>
            </w:r>
          </w:p>
        </w:tc>
        <w:tc>
          <w:tcPr>
            <w:tcW w:w="1453" w:type="dxa"/>
            <w:vAlign w:val="center"/>
          </w:tcPr>
          <w:p w14:paraId="5C4B1FC0">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数量及单位</w:t>
            </w:r>
          </w:p>
        </w:tc>
        <w:tc>
          <w:tcPr>
            <w:tcW w:w="1536" w:type="dxa"/>
            <w:vAlign w:val="center"/>
          </w:tcPr>
          <w:p w14:paraId="7C8B486D">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包预算金额</w:t>
            </w:r>
          </w:p>
        </w:tc>
        <w:tc>
          <w:tcPr>
            <w:tcW w:w="1508" w:type="dxa"/>
            <w:vAlign w:val="center"/>
          </w:tcPr>
          <w:p w14:paraId="238E055A">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包最高限价</w:t>
            </w:r>
          </w:p>
        </w:tc>
      </w:tr>
      <w:tr w14:paraId="1D4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8" w:type="dxa"/>
            <w:vAlign w:val="center"/>
          </w:tcPr>
          <w:p w14:paraId="0C4C68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包2</w:t>
            </w:r>
          </w:p>
        </w:tc>
        <w:tc>
          <w:tcPr>
            <w:tcW w:w="3332" w:type="dxa"/>
            <w:vAlign w:val="center"/>
          </w:tcPr>
          <w:p w14:paraId="4A3F4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1453" w:type="dxa"/>
            <w:vAlign w:val="center"/>
          </w:tcPr>
          <w:p w14:paraId="5DD89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536" w:type="dxa"/>
            <w:vAlign w:val="center"/>
          </w:tcPr>
          <w:p w14:paraId="30FD2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c>
          <w:tcPr>
            <w:tcW w:w="1508" w:type="dxa"/>
            <w:vAlign w:val="center"/>
          </w:tcPr>
          <w:p w14:paraId="78F3F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r>
      <w:tr w14:paraId="0B27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68" w:type="dxa"/>
            <w:vAlign w:val="center"/>
          </w:tcPr>
          <w:p w14:paraId="240D3D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包4</w:t>
            </w:r>
          </w:p>
        </w:tc>
        <w:tc>
          <w:tcPr>
            <w:tcW w:w="3332" w:type="dxa"/>
            <w:vAlign w:val="center"/>
          </w:tcPr>
          <w:p w14:paraId="3D5C33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1453" w:type="dxa"/>
            <w:vAlign w:val="center"/>
          </w:tcPr>
          <w:p w14:paraId="321D99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3台</w:t>
            </w:r>
          </w:p>
        </w:tc>
        <w:tc>
          <w:tcPr>
            <w:tcW w:w="1536" w:type="dxa"/>
            <w:vAlign w:val="center"/>
          </w:tcPr>
          <w:p w14:paraId="64687C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c>
          <w:tcPr>
            <w:tcW w:w="1508" w:type="dxa"/>
            <w:vAlign w:val="center"/>
          </w:tcPr>
          <w:p w14:paraId="781889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r>
    </w:tbl>
    <w:p w14:paraId="68B9D6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23395"/>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5869"/>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3604"/>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463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驻马店市中心医院脉动治疗仪、吞咽神经肌肉低频电刺激仪等医疗设备采购项目（二次）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5"/>
        <w:gridCol w:w="2610"/>
        <w:gridCol w:w="930"/>
        <w:gridCol w:w="900"/>
        <w:gridCol w:w="1305"/>
        <w:gridCol w:w="1185"/>
        <w:gridCol w:w="103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5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61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00"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85"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03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包2</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93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5万元</w:t>
            </w:r>
          </w:p>
        </w:tc>
        <w:tc>
          <w:tcPr>
            <w:tcW w:w="1185" w:type="dxa"/>
            <w:vMerge w:val="restart"/>
            <w:shd w:val="clear" w:color="auto" w:fill="auto"/>
            <w:vAlign w:val="center"/>
          </w:tcPr>
          <w:p w14:paraId="181408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财政资金+自筹资金</w:t>
            </w:r>
          </w:p>
        </w:tc>
        <w:tc>
          <w:tcPr>
            <w:tcW w:w="1039" w:type="dxa"/>
            <w:vMerge w:val="restart"/>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114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1" w:type="dxa"/>
            <w:vAlign w:val="top"/>
          </w:tcPr>
          <w:p w14:paraId="05892B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包4</w:t>
            </w:r>
          </w:p>
        </w:tc>
        <w:tc>
          <w:tcPr>
            <w:tcW w:w="855" w:type="dxa"/>
            <w:shd w:val="clear" w:color="auto" w:fill="auto"/>
            <w:vAlign w:val="top"/>
          </w:tcPr>
          <w:p w14:paraId="6D4624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top"/>
          </w:tcPr>
          <w:p w14:paraId="50F16ED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930" w:type="dxa"/>
            <w:shd w:val="clear" w:color="auto" w:fill="auto"/>
            <w:vAlign w:val="center"/>
          </w:tcPr>
          <w:p w14:paraId="3E6A02A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58FE6E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05" w:type="dxa"/>
            <w:shd w:val="clear" w:color="auto" w:fill="auto"/>
            <w:vAlign w:val="center"/>
          </w:tcPr>
          <w:p w14:paraId="3D17EB7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6万元</w:t>
            </w:r>
          </w:p>
        </w:tc>
        <w:tc>
          <w:tcPr>
            <w:tcW w:w="1185" w:type="dxa"/>
            <w:vMerge w:val="continue"/>
            <w:shd w:val="clear" w:color="auto" w:fill="auto"/>
            <w:vAlign w:val="center"/>
          </w:tcPr>
          <w:p w14:paraId="7027E6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vMerge w:val="continue"/>
            <w:shd w:val="clear" w:color="auto" w:fill="auto"/>
            <w:vAlign w:val="center"/>
          </w:tcPr>
          <w:p w14:paraId="3101A4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69"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11</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6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1D9EF2C3">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175796C1">
      <w:pPr>
        <w:pStyle w:val="89"/>
        <w:numPr>
          <w:ilvl w:val="0"/>
          <w:numId w:val="0"/>
        </w:numPr>
        <w:spacing w:line="44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（包2）吞咽神经肌肉低频电刺激仪技术参数：</w:t>
      </w:r>
    </w:p>
    <w:p w14:paraId="3D86F141">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适应范围：</w:t>
      </w:r>
      <w:r>
        <w:rPr>
          <w:rFonts w:hint="eastAsia" w:ascii="宋体" w:hAnsi="宋体" w:eastAsia="宋体" w:cs="宋体"/>
          <w:sz w:val="21"/>
          <w:szCs w:val="21"/>
        </w:rPr>
        <w:t>适用于神经肌肉损伤引起的吞咽功能障碍的辅助治疗</w:t>
      </w:r>
      <w:r>
        <w:rPr>
          <w:rFonts w:hint="eastAsia" w:ascii="宋体" w:hAnsi="宋体" w:eastAsia="宋体" w:cs="宋体"/>
          <w:sz w:val="21"/>
          <w:szCs w:val="21"/>
          <w:lang w:eastAsia="zh-CN"/>
        </w:rPr>
        <w:t>；</w:t>
      </w:r>
    </w:p>
    <w:p w14:paraId="1099E1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双通道一体机，液晶屏显示，由主机、输出线、电源线、电极组成；</w:t>
      </w:r>
    </w:p>
    <w:p w14:paraId="34AC7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仪器配有蝶形电极片、矩形电极片以及月牙形电极片，蝶形电极片用于治疗和评估，矩形电极片用于训练，月牙形电极片用于小脑顶核电刺激；</w:t>
      </w:r>
    </w:p>
    <w:p w14:paraId="5FE4C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评估功能：采用三角波和方波，通过500ms或1000ms两种脉冲方式,能适合不同程度的吞咽及构音障碍评估；</w:t>
      </w:r>
    </w:p>
    <w:p w14:paraId="0C560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辅极小脑顶核电刺激功能，采用脑电仿生低频电输出。基本频率：20hz-90hz；</w:t>
      </w:r>
    </w:p>
    <w:p w14:paraId="40CF64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输出电流：0～80mA，档位连续可调，精度&lt;20%；主电极开路输出电压：≤150V；</w:t>
      </w:r>
    </w:p>
    <w:p w14:paraId="3168BC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具有成人连续模式、手控触发脉冲模式、自动触发脉冲模式、评估模式、儿童交替模式≥五种输出模式；</w:t>
      </w:r>
    </w:p>
    <w:p w14:paraId="1FAB75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成人连续模式</w:t>
      </w:r>
    </w:p>
    <w:p w14:paraId="2527A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脉冲宽度：1-11档可调，100μs～300μs可调，脉冲间隔：100μs，脉冲频率：50Hz～100Hz可调，步距增量1Hz；</w:t>
      </w:r>
    </w:p>
    <w:p w14:paraId="1E1FEE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手持触发模式</w:t>
      </w:r>
    </w:p>
    <w:p w14:paraId="7B9D0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w:t>
      </w:r>
    </w:p>
    <w:p w14:paraId="02FAD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自动触发模式</w:t>
      </w:r>
    </w:p>
    <w:p w14:paraId="0EE509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脉冲宽度：10ms～1000ms，分≥15档可调；脉冲间隔1-5档可调，即1-5s可调，步距增量1s；</w:t>
      </w:r>
    </w:p>
    <w:p w14:paraId="5CE7EC9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评估模式：</w:t>
      </w:r>
    </w:p>
    <w:p w14:paraId="09DECD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‌脉冲宽度‌：1000ms,脉冲间隔‌：1000ms,阈值‌：0～25mA，步距增量0.1mA.”</w:t>
      </w:r>
    </w:p>
    <w:p w14:paraId="65F1D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儿童交替模式:</w:t>
      </w:r>
    </w:p>
    <w:p w14:paraId="6AF5E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脉冲宽度100-300μs，频率50-100Hz，间隔100μs，持续≥1s</w:t>
      </w:r>
      <w:r>
        <w:rPr>
          <w:rFonts w:hint="eastAsia" w:ascii="宋体" w:hAnsi="宋体" w:eastAsia="宋体" w:cs="宋体"/>
          <w:sz w:val="21"/>
          <w:szCs w:val="21"/>
          <w:lang w:eastAsia="zh-CN"/>
        </w:rPr>
        <w:t>；</w:t>
      </w:r>
    </w:p>
    <w:p w14:paraId="1AF68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时间选择：1～99分钟可调，步距增量为1分，误差为±5%；</w:t>
      </w:r>
    </w:p>
    <w:p w14:paraId="594C8F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设备连续工作时间≥8h；</w:t>
      </w:r>
    </w:p>
    <w:p w14:paraId="07E3F718">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sz w:val="21"/>
          <w:szCs w:val="21"/>
          <w:lang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b w:val="0"/>
          <w:bCs w:val="0"/>
          <w:sz w:val="21"/>
          <w:szCs w:val="21"/>
          <w:lang w:val="en-US" w:eastAsia="zh-CN"/>
        </w:rPr>
        <w:t>1、</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val="en-US" w:eastAsia="zh-CN"/>
        </w:rPr>
        <w:t>1台；2、</w:t>
      </w:r>
      <w:r>
        <w:rPr>
          <w:rFonts w:hint="eastAsia" w:ascii="宋体" w:hAnsi="宋体" w:eastAsia="宋体" w:cs="宋体"/>
          <w:color w:val="000000"/>
          <w:sz w:val="21"/>
          <w:szCs w:val="21"/>
        </w:rPr>
        <w:t>电源线</w:t>
      </w:r>
      <w:r>
        <w:rPr>
          <w:rFonts w:hint="eastAsia" w:ascii="宋体" w:hAnsi="宋体" w:eastAsia="宋体" w:cs="宋体"/>
          <w:color w:val="000000"/>
          <w:sz w:val="21"/>
          <w:szCs w:val="21"/>
          <w:lang w:val="en-US" w:eastAsia="zh-CN"/>
        </w:rPr>
        <w:t>1条；3、</w:t>
      </w:r>
      <w:r>
        <w:rPr>
          <w:rFonts w:hint="eastAsia" w:ascii="宋体" w:hAnsi="宋体" w:eastAsia="宋体" w:cs="宋体"/>
          <w:color w:val="000000"/>
          <w:sz w:val="21"/>
          <w:szCs w:val="21"/>
        </w:rPr>
        <w:t>四芯电疗输出线</w:t>
      </w:r>
      <w:r>
        <w:rPr>
          <w:rFonts w:hint="eastAsia" w:ascii="宋体" w:hAnsi="宋体" w:eastAsia="宋体" w:cs="宋体"/>
          <w:color w:val="000000"/>
          <w:sz w:val="21"/>
          <w:szCs w:val="21"/>
          <w:lang w:val="en-US" w:eastAsia="zh-CN"/>
        </w:rPr>
        <w:t>1条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电极收纳盒）</w:t>
      </w:r>
      <w:r>
        <w:rPr>
          <w:rFonts w:hint="eastAsia" w:ascii="宋体" w:hAnsi="宋体" w:eastAsia="宋体" w:cs="宋体"/>
          <w:color w:val="000000"/>
          <w:sz w:val="21"/>
          <w:szCs w:val="21"/>
          <w:lang w:val="en-US" w:eastAsia="zh-CN"/>
        </w:rPr>
        <w:t>1盒；5、</w:t>
      </w:r>
      <w:r>
        <w:rPr>
          <w:rFonts w:hint="eastAsia" w:ascii="宋体" w:hAnsi="宋体" w:eastAsia="宋体" w:cs="宋体"/>
          <w:color w:val="000000"/>
          <w:sz w:val="21"/>
          <w:szCs w:val="21"/>
        </w:rPr>
        <w:t>蝴蝶形电极片（4片/包）</w:t>
      </w:r>
      <w:r>
        <w:rPr>
          <w:rFonts w:hint="eastAsia" w:ascii="宋体" w:hAnsi="宋体" w:eastAsia="宋体" w:cs="宋体"/>
          <w:color w:val="000000"/>
          <w:sz w:val="21"/>
          <w:szCs w:val="21"/>
          <w:lang w:val="en-US" w:eastAsia="zh-CN"/>
        </w:rPr>
        <w:t>50包；6、</w:t>
      </w:r>
      <w:r>
        <w:rPr>
          <w:rFonts w:hint="eastAsia" w:ascii="宋体" w:hAnsi="宋体" w:eastAsia="宋体" w:cs="宋体"/>
          <w:color w:val="000000"/>
          <w:sz w:val="21"/>
          <w:szCs w:val="21"/>
        </w:rPr>
        <w:t>8*13cm自粘电极片（4片/包）</w:t>
      </w:r>
      <w:r>
        <w:rPr>
          <w:rFonts w:hint="eastAsia" w:ascii="宋体" w:hAnsi="宋体" w:eastAsia="宋体" w:cs="宋体"/>
          <w:color w:val="000000"/>
          <w:sz w:val="21"/>
          <w:szCs w:val="21"/>
          <w:lang w:val="en-US" w:eastAsia="zh-CN"/>
        </w:rPr>
        <w:t>10包；7、</w:t>
      </w:r>
      <w:r>
        <w:rPr>
          <w:rFonts w:hint="eastAsia" w:ascii="宋体" w:hAnsi="宋体" w:eastAsia="宋体" w:cs="宋体"/>
          <w:color w:val="000000"/>
          <w:sz w:val="21"/>
          <w:szCs w:val="21"/>
        </w:rPr>
        <w:t>台车</w:t>
      </w:r>
      <w:r>
        <w:rPr>
          <w:rFonts w:hint="eastAsia" w:ascii="宋体" w:hAnsi="宋体" w:eastAsia="宋体" w:cs="宋体"/>
          <w:color w:val="000000"/>
          <w:sz w:val="21"/>
          <w:szCs w:val="21"/>
          <w:lang w:val="en-US" w:eastAsia="zh-CN"/>
        </w:rPr>
        <w:t>1个。</w:t>
      </w:r>
    </w:p>
    <w:p w14:paraId="501E701B">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包4</w:t>
      </w:r>
      <w:r>
        <w:rPr>
          <w:rFonts w:hint="eastAsia" w:ascii="宋体" w:hAnsi="宋体" w:eastAsia="宋体" w:cs="宋体"/>
          <w:b/>
          <w:bCs/>
          <w:sz w:val="21"/>
          <w:szCs w:val="21"/>
          <w:lang w:eastAsia="zh-CN"/>
        </w:rPr>
        <w:t>）</w:t>
      </w:r>
      <w:r>
        <w:rPr>
          <w:rFonts w:hint="eastAsia" w:ascii="宋体" w:hAnsi="宋体" w:eastAsia="宋体" w:cs="宋体"/>
          <w:b/>
          <w:bCs/>
          <w:sz w:val="21"/>
          <w:szCs w:val="21"/>
        </w:rPr>
        <w:t>低频体外膈肌起搏器</w:t>
      </w:r>
      <w:r>
        <w:rPr>
          <w:rFonts w:hint="eastAsia" w:ascii="宋体" w:hAnsi="宋体" w:eastAsia="宋体" w:cs="宋体"/>
          <w:b/>
          <w:bCs/>
          <w:sz w:val="21"/>
          <w:szCs w:val="21"/>
          <w:lang w:eastAsia="zh-CN"/>
        </w:rPr>
        <w:t>技术参数</w:t>
      </w:r>
    </w:p>
    <w:p w14:paraId="53101A94">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脉冲频率：频率在30-50hz可调，每5hz为一个单位；</w:t>
      </w:r>
    </w:p>
    <w:p w14:paraId="01E6EAEA">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脉冲宽度≤</w:t>
      </w:r>
      <w:r>
        <w:rPr>
          <w:rFonts w:hint="eastAsia" w:ascii="宋体" w:hAnsi="宋体" w:eastAsia="宋体" w:cs="宋体"/>
          <w:sz w:val="21"/>
          <w:szCs w:val="21"/>
          <w:lang w:val="en-US" w:eastAsia="zh-CN"/>
        </w:rPr>
        <w:t>3</w:t>
      </w:r>
      <w:r>
        <w:rPr>
          <w:rFonts w:hint="eastAsia" w:ascii="宋体" w:hAnsi="宋体" w:eastAsia="宋体" w:cs="宋体"/>
          <w:sz w:val="21"/>
          <w:szCs w:val="21"/>
        </w:rPr>
        <w:t>00us</w:t>
      </w:r>
      <w:r>
        <w:rPr>
          <w:rFonts w:hint="eastAsia" w:ascii="宋体" w:hAnsi="宋体" w:eastAsia="宋体" w:cs="宋体"/>
          <w:sz w:val="21"/>
          <w:szCs w:val="21"/>
          <w:lang w:eastAsia="zh-CN"/>
        </w:rPr>
        <w:t>；</w:t>
      </w:r>
    </w:p>
    <w:p w14:paraId="111F26D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起搏次数：5-15次/分钟可选择，默认9次/分钟</w:t>
      </w:r>
      <w:r>
        <w:rPr>
          <w:rFonts w:hint="eastAsia" w:ascii="宋体" w:hAnsi="宋体" w:eastAsia="宋体" w:cs="宋体"/>
          <w:sz w:val="21"/>
          <w:szCs w:val="21"/>
          <w:lang w:eastAsia="zh-CN"/>
        </w:rPr>
        <w:t>；</w:t>
      </w:r>
    </w:p>
    <w:p w14:paraId="4D421A35">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刺激强度：0-30单位（0-27V）可选择，默认0单位</w:t>
      </w:r>
      <w:r>
        <w:rPr>
          <w:rFonts w:hint="eastAsia" w:ascii="宋体" w:hAnsi="宋体" w:eastAsia="宋体" w:cs="宋体"/>
          <w:sz w:val="21"/>
          <w:szCs w:val="21"/>
          <w:lang w:eastAsia="zh-CN"/>
        </w:rPr>
        <w:t>；</w:t>
      </w:r>
    </w:p>
    <w:p w14:paraId="0313284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治疗时间：5-120min可选择</w:t>
      </w:r>
      <w:r>
        <w:rPr>
          <w:rFonts w:hint="eastAsia" w:ascii="宋体" w:hAnsi="宋体" w:eastAsia="宋体" w:cs="宋体"/>
          <w:sz w:val="21"/>
          <w:szCs w:val="21"/>
          <w:lang w:eastAsia="zh-CN"/>
        </w:rPr>
        <w:t>；</w:t>
      </w:r>
    </w:p>
    <w:p w14:paraId="438EE15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脉冲幅度值：在负载阻抗为500Ω</w:t>
      </w:r>
      <w:r>
        <w:rPr>
          <w:rFonts w:hint="eastAsia" w:ascii="宋体" w:hAnsi="宋体" w:eastAsia="宋体" w:cs="宋体"/>
          <w:sz w:val="21"/>
          <w:szCs w:val="21"/>
          <w:lang w:val="en-US" w:eastAsia="zh-CN"/>
        </w:rPr>
        <w:t>左右</w:t>
      </w:r>
      <w:r>
        <w:rPr>
          <w:rFonts w:hint="eastAsia" w:ascii="宋体" w:hAnsi="宋体" w:eastAsia="宋体" w:cs="宋体"/>
          <w:sz w:val="21"/>
          <w:szCs w:val="21"/>
        </w:rPr>
        <w:t>时，输出脉冲幅度不大于30V</w:t>
      </w:r>
      <w:r>
        <w:rPr>
          <w:rFonts w:hint="eastAsia" w:ascii="宋体" w:hAnsi="宋体" w:eastAsia="宋体" w:cs="宋体"/>
          <w:sz w:val="21"/>
          <w:szCs w:val="21"/>
          <w:lang w:eastAsia="zh-CN"/>
        </w:rPr>
        <w:t>；</w:t>
      </w:r>
    </w:p>
    <w:p w14:paraId="519F69E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满电后可持续工作≥</w:t>
      </w:r>
      <w:r>
        <w:rPr>
          <w:rFonts w:hint="eastAsia" w:ascii="宋体" w:hAnsi="宋体" w:eastAsia="宋体" w:cs="宋体"/>
          <w:sz w:val="21"/>
          <w:szCs w:val="21"/>
          <w:lang w:val="en-US" w:eastAsia="zh-CN"/>
        </w:rPr>
        <w:t>4小时</w:t>
      </w:r>
      <w:r>
        <w:rPr>
          <w:rFonts w:hint="eastAsia" w:ascii="宋体" w:hAnsi="宋体" w:eastAsia="宋体" w:cs="宋体"/>
          <w:sz w:val="21"/>
          <w:szCs w:val="21"/>
          <w:lang w:eastAsia="zh-CN"/>
        </w:rPr>
        <w:t>；</w:t>
      </w:r>
    </w:p>
    <w:p w14:paraId="4F81E87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8.具备蜂鸣器提示功能或者报警指示灯；</w:t>
      </w:r>
    </w:p>
    <w:p w14:paraId="3576F542">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9.具备定时或者倒计时功能；</w:t>
      </w:r>
    </w:p>
    <w:p w14:paraId="60BB0400">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10.具备贴片位置提示功能；</w:t>
      </w:r>
    </w:p>
    <w:p w14:paraId="19CAF5D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适配器：100-240V～50/60Hz, Max 0.18A</w:t>
      </w:r>
      <w:r>
        <w:rPr>
          <w:rFonts w:hint="eastAsia" w:ascii="宋体" w:hAnsi="宋体" w:eastAsia="宋体" w:cs="宋体"/>
          <w:sz w:val="21"/>
          <w:szCs w:val="21"/>
          <w:lang w:eastAsia="zh-CN"/>
        </w:rPr>
        <w:t>；</w:t>
      </w:r>
    </w:p>
    <w:p w14:paraId="27DA4016">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12.内置电池；</w:t>
      </w:r>
    </w:p>
    <w:p w14:paraId="2F2266F5">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理疗电极片的导电阻抗应不大于2000Ω</w:t>
      </w:r>
      <w:r>
        <w:rPr>
          <w:rFonts w:hint="eastAsia" w:ascii="宋体" w:hAnsi="宋体" w:eastAsia="宋体" w:cs="宋体"/>
          <w:b w:val="0"/>
          <w:bCs w:val="0"/>
          <w:sz w:val="21"/>
          <w:szCs w:val="21"/>
          <w:lang w:eastAsia="zh-CN"/>
        </w:rPr>
        <w:t>；</w:t>
      </w:r>
    </w:p>
    <w:p w14:paraId="72505A6D">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sz w:val="21"/>
          <w:szCs w:val="21"/>
        </w:rPr>
        <w:t>主机1台</w:t>
      </w:r>
      <w:r>
        <w:rPr>
          <w:rFonts w:hint="eastAsia" w:ascii="宋体" w:hAnsi="宋体" w:eastAsia="宋体" w:cs="宋体"/>
          <w:sz w:val="21"/>
          <w:szCs w:val="21"/>
          <w:lang w:eastAsia="zh-CN"/>
        </w:rPr>
        <w:t>；</w:t>
      </w:r>
      <w:r>
        <w:rPr>
          <w:rFonts w:hint="eastAsia" w:ascii="宋体" w:hAnsi="宋体" w:eastAsia="宋体" w:cs="宋体"/>
          <w:sz w:val="21"/>
          <w:szCs w:val="21"/>
        </w:rPr>
        <w:t>导线2台</w:t>
      </w:r>
      <w:r>
        <w:rPr>
          <w:rFonts w:hint="eastAsia" w:ascii="宋体" w:hAnsi="宋体" w:eastAsia="宋体" w:cs="宋体"/>
          <w:sz w:val="21"/>
          <w:szCs w:val="21"/>
          <w:lang w:eastAsia="zh-CN"/>
        </w:rPr>
        <w:t>；</w:t>
      </w:r>
      <w:r>
        <w:rPr>
          <w:rFonts w:hint="eastAsia" w:ascii="宋体" w:hAnsi="宋体" w:eastAsia="宋体" w:cs="宋体"/>
          <w:sz w:val="21"/>
          <w:szCs w:val="21"/>
        </w:rPr>
        <w:t>电极片2套</w:t>
      </w:r>
      <w:r>
        <w:rPr>
          <w:rFonts w:hint="eastAsia" w:ascii="宋体" w:hAnsi="宋体" w:eastAsia="宋体" w:cs="宋体"/>
          <w:sz w:val="21"/>
          <w:szCs w:val="21"/>
          <w:lang w:eastAsia="zh-CN"/>
        </w:rPr>
        <w:t>；</w:t>
      </w:r>
      <w:r>
        <w:rPr>
          <w:rFonts w:hint="eastAsia" w:ascii="宋体" w:hAnsi="宋体" w:eastAsia="宋体" w:cs="宋体"/>
          <w:sz w:val="21"/>
          <w:szCs w:val="21"/>
        </w:rPr>
        <w:t>电源适配器1套</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p>
    <w:p w14:paraId="5E396FD3">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p>
    <w:p w14:paraId="3A9B0AF7">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sectPr>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r>
        <w:rPr>
          <w:rFonts w:hint="eastAsia" w:ascii="宋体" w:hAnsi="宋体" w:eastAsia="宋体" w:cs="宋体"/>
          <w:b/>
          <w:bCs/>
          <w:sz w:val="21"/>
          <w:szCs w:val="21"/>
          <w:lang w:val="en-US" w:eastAsia="zh-CN"/>
        </w:rPr>
        <w:t>包2、包4通用</w:t>
      </w:r>
      <w:r>
        <w:rPr>
          <w:rFonts w:hint="eastAsia"/>
          <w:b/>
          <w:bCs/>
          <w:sz w:val="21"/>
          <w:szCs w:val="21"/>
          <w:lang w:val="en-US" w:eastAsia="zh-CN"/>
        </w:rPr>
        <w:t>）</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w:t>
      </w:r>
      <w:r>
        <w:rPr>
          <w:rFonts w:hint="eastAsia" w:ascii="宋体" w:hAnsi="宋体" w:cs="宋体"/>
          <w:sz w:val="21"/>
          <w:szCs w:val="21"/>
          <w:lang w:val="en-US" w:eastAsia="zh-CN"/>
        </w:rPr>
        <w:t>须</w:t>
      </w:r>
      <w:r>
        <w:rPr>
          <w:rFonts w:hint="eastAsia" w:ascii="宋体" w:hAnsi="宋体" w:eastAsia="宋体" w:cs="宋体"/>
          <w:sz w:val="21"/>
          <w:szCs w:val="21"/>
          <w:lang w:val="en-US" w:eastAsia="zh-CN"/>
        </w:rPr>
        <w:t>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4FA3DE8E">
      <w:pPr>
        <w:tabs>
          <w:tab w:val="left" w:pos="58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b/>
          <w:bCs/>
          <w:sz w:val="21"/>
          <w:szCs w:val="21"/>
          <w:lang w:val="en-US" w:eastAsia="zh-CN"/>
        </w:rPr>
        <w:t>（</w:t>
      </w:r>
      <w:r>
        <w:rPr>
          <w:rFonts w:hint="eastAsia" w:ascii="宋体" w:hAnsi="宋体" w:eastAsia="宋体" w:cs="宋体"/>
          <w:b/>
          <w:bCs/>
          <w:sz w:val="21"/>
          <w:szCs w:val="21"/>
          <w:lang w:val="en-US" w:eastAsia="zh-CN"/>
        </w:rPr>
        <w:t>包2、包4通用</w:t>
      </w:r>
      <w:r>
        <w:rPr>
          <w:rFonts w:hint="eastAsia"/>
          <w:b/>
          <w:bCs/>
          <w:sz w:val="21"/>
          <w:szCs w:val="21"/>
          <w:lang w:val="en-US"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1004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9566"/>
            <w:bookmarkStart w:id="37" w:name="_Toc22577"/>
            <w:bookmarkStart w:id="38" w:name="_Toc21994"/>
            <w:bookmarkStart w:id="39" w:name="_Toc27740"/>
            <w:bookmarkStart w:id="40" w:name="_Toc21083"/>
            <w:bookmarkStart w:id="41" w:name="_Toc27817"/>
            <w:bookmarkStart w:id="42" w:name="_Toc30169"/>
            <w:bookmarkStart w:id="43" w:name="_Toc25901"/>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Start w:id="44" w:name="_Toc29400"/>
            <w:bookmarkStart w:id="45" w:name="_Toc23424"/>
            <w:bookmarkStart w:id="46" w:name="_Toc28320"/>
            <w:r>
              <w:rPr>
                <w:rFonts w:hint="eastAsia" w:ascii="宋体" w:hAnsi="宋体" w:cs="宋体"/>
                <w:color w:val="auto"/>
                <w:highlight w:val="none"/>
                <w:lang w:val="en-US" w:eastAsia="zh-CN"/>
              </w:rPr>
              <w:t>驻马店市中心医院脉动治疗仪、吞咽神经肌肉低频电刺激仪等医疗设备采购项目（二次）</w:t>
            </w:r>
            <w:bookmarkEnd w:id="43"/>
          </w:p>
          <w:p w14:paraId="710A5111">
            <w:pPr>
              <w:widowControl/>
              <w:snapToGrid w:val="0"/>
              <w:spacing w:line="440" w:lineRule="exact"/>
              <w:jc w:val="left"/>
              <w:outlineLvl w:val="0"/>
              <w:rPr>
                <w:rFonts w:hint="eastAsia" w:ascii="宋体" w:hAnsi="宋体" w:eastAsia="宋体" w:cs="宋体"/>
                <w:color w:val="auto"/>
                <w:highlight w:val="none"/>
              </w:rPr>
            </w:pPr>
            <w:bookmarkStart w:id="47" w:name="_Toc13960"/>
            <w:bookmarkStart w:id="48" w:name="_Toc16110"/>
            <w:bookmarkStart w:id="49" w:name="_Toc21372"/>
            <w:bookmarkStart w:id="50" w:name="_Toc27741"/>
            <w:bookmarkStart w:id="51" w:name="_Toc29895"/>
            <w:r>
              <w:rPr>
                <w:rFonts w:hint="eastAsia" w:ascii="宋体" w:hAnsi="宋体" w:eastAsia="宋体" w:cs="宋体"/>
                <w:color w:val="auto"/>
                <w:highlight w:val="none"/>
              </w:rPr>
              <w:t>1.2采购人名称：</w:t>
            </w:r>
            <w:bookmarkEnd w:id="44"/>
            <w:bookmarkEnd w:id="45"/>
            <w:bookmarkEnd w:id="46"/>
            <w:r>
              <w:rPr>
                <w:rFonts w:hint="eastAsia" w:ascii="宋体" w:hAnsi="宋体" w:eastAsia="宋体" w:cs="宋体"/>
                <w:color w:val="auto"/>
                <w:highlight w:val="none"/>
              </w:rPr>
              <w:t>驻马店市中心医院</w:t>
            </w:r>
            <w:bookmarkEnd w:id="47"/>
            <w:bookmarkEnd w:id="48"/>
            <w:bookmarkEnd w:id="49"/>
            <w:bookmarkEnd w:id="50"/>
            <w:bookmarkEnd w:id="51"/>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2" w:name="_Toc29780"/>
            <w:bookmarkStart w:id="53" w:name="_Toc3148"/>
            <w:bookmarkStart w:id="54" w:name="_Toc26199"/>
            <w:bookmarkStart w:id="55" w:name="_Toc22834"/>
            <w:bookmarkStart w:id="56" w:name="_Toc24541"/>
            <w:bookmarkStart w:id="57" w:name="_Toc1096"/>
            <w:bookmarkStart w:id="58" w:name="_Toc11639"/>
            <w:bookmarkStart w:id="59" w:name="_Toc18322"/>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2"/>
            <w:bookmarkEnd w:id="53"/>
            <w:bookmarkEnd w:id="54"/>
            <w:bookmarkEnd w:id="55"/>
            <w:bookmarkEnd w:id="56"/>
            <w:bookmarkEnd w:id="57"/>
            <w:bookmarkEnd w:id="58"/>
            <w:bookmarkEnd w:id="59"/>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cs="宋体"/>
                <w:b/>
                <w:bCs/>
                <w:color w:val="auto"/>
                <w:highlight w:val="none"/>
                <w:lang w:val="en-US" w:eastAsia="zh-CN"/>
              </w:rPr>
              <w:t>预算金额：11万元；最高限价：11万元</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其中：</w:t>
            </w:r>
          </w:p>
          <w:p w14:paraId="2F31DBAD">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包2：</w:t>
            </w:r>
            <w:r>
              <w:rPr>
                <w:rFonts w:hint="eastAsia" w:ascii="宋体" w:hAnsi="宋体" w:cs="宋体"/>
                <w:b w:val="0"/>
                <w:bCs w:val="0"/>
                <w:color w:val="auto"/>
                <w:highlight w:val="none"/>
                <w:lang w:val="en-US" w:eastAsia="zh-CN"/>
              </w:rPr>
              <w:t>预算金额：5万元；最高限价：5万元</w:t>
            </w:r>
            <w:r>
              <w:rPr>
                <w:rFonts w:hint="eastAsia" w:ascii="宋体" w:hAnsi="宋体" w:cs="宋体"/>
                <w:b w:val="0"/>
                <w:bCs w:val="0"/>
                <w:color w:val="auto"/>
                <w:kern w:val="0"/>
                <w:szCs w:val="21"/>
                <w:highlight w:val="none"/>
                <w:lang w:val="en-US" w:eastAsia="zh-CN"/>
              </w:rPr>
              <w:t>。</w:t>
            </w:r>
          </w:p>
          <w:p w14:paraId="7D743630">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包4：</w:t>
            </w:r>
            <w:r>
              <w:rPr>
                <w:rFonts w:hint="eastAsia" w:ascii="宋体" w:hAnsi="宋体" w:cs="宋体"/>
                <w:b w:val="0"/>
                <w:bCs w:val="0"/>
                <w:color w:val="auto"/>
                <w:highlight w:val="none"/>
                <w:lang w:val="en-US" w:eastAsia="zh-CN"/>
              </w:rPr>
              <w:t>预算金额：6万元；最高限价：6万元</w:t>
            </w:r>
            <w:r>
              <w:rPr>
                <w:rFonts w:hint="eastAsia" w:ascii="宋体" w:hAnsi="宋体" w:cs="宋体"/>
                <w:b w:val="0"/>
                <w:bCs w:val="0"/>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476885</wp:posOffset>
                            </wp:positionH>
                            <wp:positionV relativeFrom="paragraph">
                              <wp:posOffset>97790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5pt;margin-top:7.7pt;height:24.05pt;width:76.4pt;z-index:251659264;mso-width-relative:page;mso-height-relative:page;" fillcolor="#FFFFFF [3201]" filled="t" stroked="f" coordsize="21600,21600" o:gfxdata="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iyBNN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4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79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38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D7260D8">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0" w:name="_Toc4700"/>
      <w:bookmarkStart w:id="61" w:name="_Toc16669"/>
    </w:p>
    <w:p w14:paraId="6E7A467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89FF4D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11</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11</w:t>
      </w:r>
      <w:r>
        <w:rPr>
          <w:rFonts w:hint="eastAsia" w:ascii="宋体" w:hAnsi="宋体" w:eastAsia="宋体" w:cs="宋体"/>
          <w:b/>
          <w:bCs/>
          <w:color w:val="auto"/>
          <w:kern w:val="0"/>
          <w:szCs w:val="21"/>
          <w:highlight w:val="none"/>
          <w:lang w:val="en-US" w:eastAsia="zh-CN"/>
        </w:rPr>
        <w:t>万元。其中：</w:t>
      </w:r>
    </w:p>
    <w:p w14:paraId="1DF63C1B">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包2：预算金额：5万元；最高限价：5万元。</w:t>
      </w:r>
    </w:p>
    <w:p w14:paraId="1D4A3709">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包4：预算金额：6万元；最高限价：6万元。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3"/>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4" w:name="_Toc2199"/>
      <w:r>
        <w:rPr>
          <w:rFonts w:hint="eastAsia" w:ascii="宋体" w:hAnsi="宋体" w:eastAsia="宋体" w:cs="宋体"/>
          <w:b/>
          <w:bCs/>
          <w:color w:val="auto"/>
          <w:kern w:val="0"/>
          <w:sz w:val="32"/>
          <w:szCs w:val="32"/>
          <w:highlight w:val="none"/>
        </w:rPr>
        <w:t>第四章  评标办法及评分标准</w:t>
      </w:r>
      <w:bookmarkEnd w:id="60"/>
      <w:bookmarkEnd w:id="64"/>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75EE37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0F027E80">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cs="宋体"/>
          <w:b/>
          <w:bCs/>
          <w:sz w:val="21"/>
          <w:szCs w:val="21"/>
          <w:lang w:val="en-US" w:eastAsia="zh-CN"/>
        </w:rPr>
        <w:t>评分标准：</w:t>
      </w:r>
      <w:r>
        <w:rPr>
          <w:rFonts w:hint="eastAsia" w:ascii="宋体" w:hAnsi="宋体" w:eastAsia="宋体" w:cs="宋体"/>
          <w:b/>
          <w:bCs/>
          <w:sz w:val="21"/>
          <w:szCs w:val="21"/>
          <w:lang w:val="en-US" w:eastAsia="zh-CN"/>
        </w:rPr>
        <w:t>包2、包4通用</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89E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D8B2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6A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47E056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A2FA9B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DC241D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F977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402A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528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25DD89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22E10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05362F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2FBFDA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CD9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B251A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9974DA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4227600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64E6F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7FCDCFB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4A868DC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2B6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3C3775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8394E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B52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6E2B33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4AA5EB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1532F7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255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388A7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9C672E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22508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639104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26F623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7385C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0965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BE2F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C0E768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591A2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7873EE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7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42AD4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6456B8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06E72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3449CC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67F735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1FDA060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71C5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19EF10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0FD55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53A871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29A22E2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70D9E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2B7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AF0F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ABCEE0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AD7D10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41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51177A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BBC967D">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1375C1C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3CE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238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A8D49B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49E583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4FBE336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2BA2567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9C315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05C3BB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339B2F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B4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139CF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2D641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DDEE5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1"/>
    <w:p w14:paraId="417C9E2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65" w:name="_Toc1947"/>
      <w:bookmarkStart w:id="66" w:name="_Toc1482"/>
      <w:bookmarkStart w:id="67" w:name="_Toc326786897"/>
      <w:bookmarkStart w:id="68"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9" w:name="_Toc7887"/>
      <w:r>
        <w:rPr>
          <w:rFonts w:hint="eastAsia" w:ascii="宋体" w:hAnsi="宋体" w:eastAsia="宋体" w:cs="宋体"/>
          <w:color w:val="auto"/>
          <w:sz w:val="28"/>
          <w:szCs w:val="28"/>
          <w:highlight w:val="none"/>
        </w:rPr>
        <w:t>第五章  采购合同</w:t>
      </w:r>
      <w:bookmarkEnd w:id="6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0" w:name="_Toc735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5"/>
      <w:bookmarkEnd w:id="66"/>
      <w:bookmarkEnd w:id="7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1" w:name="_Toc13604"/>
      <w:r>
        <w:rPr>
          <w:rFonts w:hint="eastAsia" w:ascii="宋体" w:hAnsi="宋体" w:eastAsia="宋体" w:cs="宋体"/>
          <w:b/>
          <w:bCs/>
          <w:color w:val="auto"/>
          <w:sz w:val="32"/>
          <w:szCs w:val="32"/>
          <w:highlight w:val="none"/>
        </w:rPr>
        <w:t>目    录</w:t>
      </w:r>
      <w:bookmarkEnd w:id="7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5" w:name="_Toc9579"/>
      <w:r>
        <w:rPr>
          <w:rFonts w:hint="eastAsia" w:ascii="宋体" w:hAnsi="宋体" w:eastAsia="宋体" w:cs="宋体"/>
          <w:color w:val="auto"/>
          <w:sz w:val="24"/>
          <w:highlight w:val="none"/>
        </w:rPr>
        <w:t xml:space="preserve">附件4 </w:t>
      </w:r>
      <w:bookmarkEnd w:id="7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7" w:name="_Toc6234"/>
      <w:r>
        <w:rPr>
          <w:rFonts w:hint="eastAsia" w:ascii="宋体" w:hAnsi="宋体" w:eastAsia="宋体" w:cs="宋体"/>
          <w:color w:val="auto"/>
          <w:sz w:val="24"/>
          <w:highlight w:val="none"/>
        </w:rPr>
        <w:t>附件6 商务</w:t>
      </w:r>
      <w:bookmarkEnd w:id="7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31857"/>
      <w:r>
        <w:rPr>
          <w:rFonts w:hint="eastAsia" w:ascii="宋体" w:hAnsi="宋体" w:eastAsia="宋体" w:cs="宋体"/>
          <w:color w:val="auto"/>
          <w:sz w:val="24"/>
          <w:highlight w:val="none"/>
        </w:rPr>
        <w:t>附件9 证明文件</w:t>
      </w:r>
      <w:bookmarkEnd w:id="8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1" w:name="_Toc23116"/>
      <w:r>
        <w:rPr>
          <w:rFonts w:hint="eastAsia" w:ascii="宋体" w:hAnsi="宋体" w:eastAsia="宋体" w:cs="宋体"/>
          <w:color w:val="auto"/>
          <w:sz w:val="24"/>
          <w:highlight w:val="none"/>
        </w:rPr>
        <w:t>附件10 供应商承诺书（格式）</w:t>
      </w:r>
      <w:bookmarkEnd w:id="8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2" w:name="_Toc24743"/>
      <w:bookmarkStart w:id="8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2"/>
      <w:bookmarkEnd w:id="8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945E911">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2CAD8C24">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23499C04">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14560"/>
      <w:bookmarkStart w:id="85" w:name="_Toc8818"/>
      <w:r>
        <w:rPr>
          <w:rFonts w:hint="eastAsia" w:ascii="宋体" w:hAnsi="宋体" w:eastAsia="宋体" w:cs="宋体"/>
          <w:color w:val="auto"/>
          <w:sz w:val="28"/>
          <w:szCs w:val="28"/>
          <w:highlight w:val="none"/>
          <w:lang w:val="en-US" w:eastAsia="zh-CN"/>
        </w:rPr>
        <w:t>附件2      竞争性磋商响应书（格式）</w:t>
      </w:r>
      <w:bookmarkEnd w:id="84"/>
      <w:bookmarkEnd w:id="8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7838"/>
      <w:r>
        <w:rPr>
          <w:rFonts w:hint="eastAsia" w:ascii="宋体" w:hAnsi="宋体" w:eastAsia="宋体" w:cs="宋体"/>
          <w:color w:val="auto"/>
          <w:sz w:val="28"/>
          <w:szCs w:val="28"/>
          <w:highlight w:val="none"/>
          <w:lang w:val="en-US" w:eastAsia="zh-CN"/>
        </w:rPr>
        <w:t>附件3            初次报价一览表</w:t>
      </w:r>
      <w:bookmarkEnd w:id="8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3CA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08558E4C">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608F21BD">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7" w:name="_Toc11620"/>
      <w:bookmarkStart w:id="88" w:name="_Toc20877"/>
    </w:p>
    <w:bookmarkEnd w:id="87"/>
    <w:bookmarkEnd w:id="8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9" w:name="_Toc12222"/>
      <w:bookmarkStart w:id="90"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9"/>
      <w:bookmarkEnd w:id="9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1" w:name="_Toc1330"/>
      <w:bookmarkStart w:id="92" w:name="_Toc9950"/>
      <w:r>
        <w:rPr>
          <w:rFonts w:hint="eastAsia" w:ascii="宋体" w:hAnsi="宋体" w:eastAsia="宋体" w:cs="宋体"/>
          <w:color w:val="auto"/>
          <w:szCs w:val="21"/>
          <w:highlight w:val="none"/>
        </w:rPr>
        <w:t>年  月  日</w:t>
      </w:r>
      <w:bookmarkEnd w:id="91"/>
      <w:bookmarkEnd w:id="92"/>
    </w:p>
    <w:p w14:paraId="75AF52ED">
      <w:pPr>
        <w:rPr>
          <w:rFonts w:hint="eastAsia" w:ascii="宋体" w:hAnsi="宋体" w:eastAsia="宋体" w:cs="宋体"/>
          <w:color w:val="auto"/>
          <w:highlight w:val="none"/>
        </w:rPr>
      </w:pPr>
    </w:p>
    <w:bookmarkEnd w:id="67"/>
    <w:bookmarkEnd w:id="68"/>
    <w:p w14:paraId="32162F70">
      <w:pPr>
        <w:spacing w:before="20" w:after="20"/>
        <w:outlineLvl w:val="9"/>
        <w:rPr>
          <w:rFonts w:hint="eastAsia" w:ascii="宋体" w:hAnsi="宋体" w:eastAsia="宋体" w:cs="宋体"/>
          <w:color w:val="auto"/>
          <w:highlight w:val="none"/>
          <w:lang w:eastAsia="zh-CN"/>
        </w:rPr>
      </w:pPr>
      <w:bookmarkStart w:id="93" w:name="_Toc24984"/>
      <w:bookmarkStart w:id="94"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3"/>
      <w:bookmarkEnd w:id="94"/>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906"/>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745"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90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0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90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90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90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90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90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45"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812"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5" w:name="_Toc15804"/>
      <w:bookmarkStart w:id="96"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7" w:name="_Toc3697"/>
            <w:bookmarkStart w:id="98" w:name="_Toc23643"/>
            <w:bookmarkStart w:id="99" w:name="_Toc4127"/>
            <w:bookmarkStart w:id="100" w:name="_Toc21708"/>
            <w:bookmarkStart w:id="101" w:name="_Toc15321"/>
            <w:r>
              <w:rPr>
                <w:rFonts w:hint="eastAsia" w:ascii="宋体" w:hAnsi="宋体" w:eastAsia="宋体" w:cs="宋体"/>
                <w:b/>
                <w:color w:val="auto"/>
                <w:sz w:val="21"/>
                <w:szCs w:val="21"/>
                <w:highlight w:val="none"/>
              </w:rPr>
              <w:t>省、市、县</w:t>
            </w:r>
            <w:bookmarkEnd w:id="97"/>
            <w:bookmarkEnd w:id="98"/>
            <w:bookmarkEnd w:id="99"/>
            <w:bookmarkEnd w:id="100"/>
            <w:bookmarkEnd w:id="10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02" w:name="_Toc16741"/>
            <w:bookmarkStart w:id="103" w:name="_Toc17337"/>
            <w:bookmarkStart w:id="104" w:name="_Toc22255"/>
            <w:bookmarkStart w:id="105" w:name="_Toc31779"/>
            <w:bookmarkStart w:id="106" w:name="_Toc13467"/>
            <w:r>
              <w:rPr>
                <w:rFonts w:hint="eastAsia" w:ascii="宋体" w:hAnsi="宋体" w:eastAsia="宋体" w:cs="宋体"/>
                <w:b/>
                <w:color w:val="auto"/>
                <w:sz w:val="21"/>
                <w:szCs w:val="21"/>
                <w:highlight w:val="none"/>
              </w:rPr>
              <w:t>收费编码</w:t>
            </w:r>
            <w:bookmarkEnd w:id="102"/>
            <w:bookmarkEnd w:id="103"/>
            <w:bookmarkEnd w:id="104"/>
            <w:bookmarkEnd w:id="105"/>
            <w:bookmarkEnd w:id="106"/>
          </w:p>
          <w:p w14:paraId="0E7218A7">
            <w:pPr>
              <w:widowControl w:val="0"/>
              <w:spacing w:line="320" w:lineRule="exact"/>
              <w:jc w:val="center"/>
              <w:outlineLvl w:val="0"/>
              <w:rPr>
                <w:color w:val="auto"/>
                <w:sz w:val="21"/>
                <w:szCs w:val="21"/>
                <w:highlight w:val="none"/>
                <w:vertAlign w:val="baseline"/>
              </w:rPr>
            </w:pPr>
            <w:bookmarkStart w:id="107" w:name="_Toc12429"/>
            <w:bookmarkStart w:id="108" w:name="_Toc11147"/>
            <w:bookmarkStart w:id="109" w:name="_Toc703"/>
            <w:bookmarkStart w:id="110" w:name="_Toc11454"/>
            <w:bookmarkStart w:id="111" w:name="_Toc570"/>
            <w:r>
              <w:rPr>
                <w:rFonts w:hint="eastAsia" w:ascii="宋体" w:hAnsi="宋体" w:eastAsia="宋体" w:cs="宋体"/>
                <w:b/>
                <w:color w:val="auto"/>
                <w:sz w:val="21"/>
                <w:szCs w:val="21"/>
                <w:highlight w:val="none"/>
              </w:rPr>
              <w:t>收费标准</w:t>
            </w:r>
            <w:bookmarkEnd w:id="107"/>
            <w:bookmarkEnd w:id="108"/>
            <w:bookmarkEnd w:id="109"/>
            <w:bookmarkEnd w:id="110"/>
            <w:bookmarkEnd w:id="111"/>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5"/>
      <w:bookmarkEnd w:id="9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29960"/>
      <w:bookmarkStart w:id="113" w:name="_Toc24168"/>
      <w:bookmarkStart w:id="114" w:name="_Toc20420"/>
      <w:r>
        <w:rPr>
          <w:rFonts w:hint="eastAsia" w:ascii="宋体" w:hAnsi="宋体" w:eastAsia="宋体" w:cs="宋体"/>
          <w:color w:val="auto"/>
          <w:sz w:val="28"/>
          <w:szCs w:val="28"/>
          <w:highlight w:val="none"/>
          <w:lang w:val="en-US" w:eastAsia="zh-CN"/>
        </w:rPr>
        <w:t>附件6            商务响应</w:t>
      </w:r>
      <w:bookmarkEnd w:id="112"/>
      <w:bookmarkEnd w:id="113"/>
      <w:bookmarkEnd w:id="114"/>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15" w:name="_Toc31526"/>
      <w:bookmarkStart w:id="11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7" w:name="_Toc29406"/>
      <w:r>
        <w:rPr>
          <w:rFonts w:hint="eastAsia" w:ascii="宋体" w:hAnsi="宋体" w:eastAsia="宋体" w:cs="宋体"/>
          <w:color w:val="auto"/>
          <w:sz w:val="28"/>
          <w:szCs w:val="28"/>
          <w:highlight w:val="none"/>
          <w:lang w:val="en-US" w:eastAsia="zh-CN"/>
        </w:rPr>
        <w:t>附件7         法定代表人身份证明（格式）</w:t>
      </w:r>
      <w:bookmarkEnd w:id="115"/>
      <w:bookmarkEnd w:id="116"/>
      <w:bookmarkEnd w:id="11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8" w:name="_Toc30519"/>
      <w:bookmarkStart w:id="119" w:name="_Toc13976"/>
      <w:bookmarkStart w:id="120" w:name="_Toc12939"/>
      <w:r>
        <w:rPr>
          <w:rFonts w:hint="eastAsia" w:ascii="宋体" w:hAnsi="宋体" w:eastAsia="宋体" w:cs="宋体"/>
          <w:color w:val="auto"/>
          <w:sz w:val="28"/>
          <w:szCs w:val="28"/>
          <w:highlight w:val="none"/>
          <w:lang w:val="en-US" w:eastAsia="zh-CN"/>
        </w:rPr>
        <w:t>附件8         法定代表人授权书（格式）</w:t>
      </w:r>
      <w:bookmarkEnd w:id="118"/>
      <w:bookmarkEnd w:id="119"/>
      <w:bookmarkEnd w:id="120"/>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名称）的法定代表人，现委托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包号：</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1" w:name="_Toc24693"/>
      <w:bookmarkStart w:id="122" w:name="_Toc18105"/>
      <w:bookmarkStart w:id="123" w:name="_Toc3342"/>
      <w:r>
        <w:rPr>
          <w:rFonts w:hint="eastAsia" w:ascii="宋体" w:hAnsi="宋体" w:eastAsia="宋体" w:cs="宋体"/>
          <w:color w:val="auto"/>
          <w:sz w:val="28"/>
          <w:szCs w:val="28"/>
          <w:highlight w:val="none"/>
          <w:lang w:val="en-US" w:eastAsia="zh-CN"/>
        </w:rPr>
        <w:t>附件9          证明文件</w:t>
      </w:r>
      <w:bookmarkEnd w:id="121"/>
      <w:bookmarkEnd w:id="122"/>
      <w:bookmarkEnd w:id="123"/>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2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5" w:name="_Toc12888"/>
      <w:bookmarkStart w:id="126" w:name="_Toc13726"/>
      <w:bookmarkStart w:id="127" w:name="_Toc16083"/>
      <w:r>
        <w:rPr>
          <w:rFonts w:hint="eastAsia" w:ascii="宋体" w:hAnsi="宋体" w:eastAsia="宋体" w:cs="宋体"/>
          <w:color w:val="auto"/>
          <w:sz w:val="28"/>
          <w:szCs w:val="28"/>
          <w:highlight w:val="none"/>
          <w:lang w:val="en-US" w:eastAsia="zh-CN"/>
        </w:rPr>
        <w:t xml:space="preserve">附件10      </w:t>
      </w:r>
      <w:bookmarkEnd w:id="124"/>
      <w:r>
        <w:rPr>
          <w:rFonts w:hint="eastAsia" w:ascii="宋体" w:hAnsi="宋体" w:eastAsia="宋体" w:cs="宋体"/>
          <w:color w:val="auto"/>
          <w:sz w:val="28"/>
          <w:szCs w:val="28"/>
          <w:highlight w:val="none"/>
          <w:lang w:val="en-US" w:eastAsia="zh-CN"/>
        </w:rPr>
        <w:t>供 应 商 承 诺 书 （格式）</w:t>
      </w:r>
      <w:bookmarkEnd w:id="125"/>
      <w:bookmarkEnd w:id="126"/>
      <w:bookmarkEnd w:id="12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8" w:name="_Toc25094"/>
      <w:bookmarkStart w:id="129" w:name="_Toc23394"/>
      <w:bookmarkStart w:id="130"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8"/>
      <w:bookmarkEnd w:id="129"/>
      <w:bookmarkEnd w:id="13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0063CB9">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驻马店市中心医院脉动治疗仪、吞咽神经肌肉低频电刺激仪等医疗设备采购项目（二次）采购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4FF3C5BA"/>
    <w:multiLevelType w:val="singleLevel"/>
    <w:tmpl w:val="4FF3C5BA"/>
    <w:lvl w:ilvl="0" w:tentative="0">
      <w:start w:val="1"/>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1CC"/>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8D1"/>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203071"/>
    <w:rsid w:val="01525212"/>
    <w:rsid w:val="01564054"/>
    <w:rsid w:val="015C0A67"/>
    <w:rsid w:val="015C2B0C"/>
    <w:rsid w:val="01675734"/>
    <w:rsid w:val="01745FBF"/>
    <w:rsid w:val="017E6D95"/>
    <w:rsid w:val="01891B53"/>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545F6"/>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617F0"/>
    <w:rsid w:val="05EB110D"/>
    <w:rsid w:val="05EB4481"/>
    <w:rsid w:val="05F17CC7"/>
    <w:rsid w:val="061E7D14"/>
    <w:rsid w:val="06446B44"/>
    <w:rsid w:val="06560AED"/>
    <w:rsid w:val="06640499"/>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EA5B72"/>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C83AA8"/>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26061"/>
    <w:rsid w:val="0A321AC2"/>
    <w:rsid w:val="0A343D4E"/>
    <w:rsid w:val="0A344626"/>
    <w:rsid w:val="0A3E6D2E"/>
    <w:rsid w:val="0A4232E4"/>
    <w:rsid w:val="0A4F145F"/>
    <w:rsid w:val="0A800542"/>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DD54E8"/>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CA7A92"/>
    <w:rsid w:val="10E03539"/>
    <w:rsid w:val="10E82D1F"/>
    <w:rsid w:val="10EE5C94"/>
    <w:rsid w:val="10F5757C"/>
    <w:rsid w:val="10F93ED3"/>
    <w:rsid w:val="111D7BC2"/>
    <w:rsid w:val="11250F40"/>
    <w:rsid w:val="113329E7"/>
    <w:rsid w:val="113F294C"/>
    <w:rsid w:val="11437C85"/>
    <w:rsid w:val="115358B6"/>
    <w:rsid w:val="11575085"/>
    <w:rsid w:val="115B4B8E"/>
    <w:rsid w:val="115C1EE1"/>
    <w:rsid w:val="116430E7"/>
    <w:rsid w:val="1166372C"/>
    <w:rsid w:val="11700D10"/>
    <w:rsid w:val="1178125A"/>
    <w:rsid w:val="118441E0"/>
    <w:rsid w:val="1196056D"/>
    <w:rsid w:val="11B85B3D"/>
    <w:rsid w:val="11C72224"/>
    <w:rsid w:val="11CD20A0"/>
    <w:rsid w:val="11D34654"/>
    <w:rsid w:val="12010480"/>
    <w:rsid w:val="12040D82"/>
    <w:rsid w:val="120D5E88"/>
    <w:rsid w:val="120E707F"/>
    <w:rsid w:val="12192A7F"/>
    <w:rsid w:val="121D0051"/>
    <w:rsid w:val="12413D84"/>
    <w:rsid w:val="126D2DCB"/>
    <w:rsid w:val="127A7D1C"/>
    <w:rsid w:val="12836D8B"/>
    <w:rsid w:val="12993BC0"/>
    <w:rsid w:val="12AB0349"/>
    <w:rsid w:val="12B66520"/>
    <w:rsid w:val="12CD57F1"/>
    <w:rsid w:val="12CE5941"/>
    <w:rsid w:val="12CE7AFA"/>
    <w:rsid w:val="12D67466"/>
    <w:rsid w:val="13036052"/>
    <w:rsid w:val="13187154"/>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D46CBD"/>
    <w:rsid w:val="15E2236F"/>
    <w:rsid w:val="15FF01DE"/>
    <w:rsid w:val="16005D04"/>
    <w:rsid w:val="161D09ED"/>
    <w:rsid w:val="162323A3"/>
    <w:rsid w:val="162F30B1"/>
    <w:rsid w:val="163F05DA"/>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94B48"/>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DB2B53"/>
    <w:rsid w:val="1BF14125"/>
    <w:rsid w:val="1C002CEE"/>
    <w:rsid w:val="1C0573FF"/>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451948"/>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DF3051"/>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360256"/>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1F14F0"/>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7E5E44"/>
    <w:rsid w:val="25965D3D"/>
    <w:rsid w:val="25972C60"/>
    <w:rsid w:val="25974C6F"/>
    <w:rsid w:val="259D1676"/>
    <w:rsid w:val="25A353EB"/>
    <w:rsid w:val="25B87B65"/>
    <w:rsid w:val="25BA1A2C"/>
    <w:rsid w:val="25C00F4A"/>
    <w:rsid w:val="25CB78C3"/>
    <w:rsid w:val="25D54390"/>
    <w:rsid w:val="25D6438C"/>
    <w:rsid w:val="2608197C"/>
    <w:rsid w:val="261879A7"/>
    <w:rsid w:val="261A071C"/>
    <w:rsid w:val="26211AAB"/>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248E"/>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D35027"/>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8FD67FF"/>
    <w:rsid w:val="28FE4B2B"/>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D3358"/>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5F3D96"/>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42496"/>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3435E"/>
    <w:rsid w:val="31C42968"/>
    <w:rsid w:val="31CD297B"/>
    <w:rsid w:val="31CD73BD"/>
    <w:rsid w:val="31D66571"/>
    <w:rsid w:val="31DB4220"/>
    <w:rsid w:val="31DC56CD"/>
    <w:rsid w:val="31E16592"/>
    <w:rsid w:val="31E63B94"/>
    <w:rsid w:val="31F27AF7"/>
    <w:rsid w:val="31FA74CA"/>
    <w:rsid w:val="320B352A"/>
    <w:rsid w:val="32176602"/>
    <w:rsid w:val="322A618B"/>
    <w:rsid w:val="322A7699"/>
    <w:rsid w:val="322B25C6"/>
    <w:rsid w:val="323668DE"/>
    <w:rsid w:val="32422E70"/>
    <w:rsid w:val="325E56C6"/>
    <w:rsid w:val="3275698A"/>
    <w:rsid w:val="327C0679"/>
    <w:rsid w:val="32851613"/>
    <w:rsid w:val="32870EE7"/>
    <w:rsid w:val="328D2F0E"/>
    <w:rsid w:val="32943B86"/>
    <w:rsid w:val="32A93829"/>
    <w:rsid w:val="32B943EC"/>
    <w:rsid w:val="32B9519B"/>
    <w:rsid w:val="32BD2B5B"/>
    <w:rsid w:val="32DC63A0"/>
    <w:rsid w:val="32E429C1"/>
    <w:rsid w:val="330503EE"/>
    <w:rsid w:val="33153719"/>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0E7548"/>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623C38"/>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42BF"/>
    <w:rsid w:val="3A3A5A22"/>
    <w:rsid w:val="3A4678DA"/>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221C81"/>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B5AA3"/>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158D"/>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C7590C"/>
    <w:rsid w:val="3FD3422E"/>
    <w:rsid w:val="3FF1209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055DF9"/>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B6AE9"/>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70F21"/>
    <w:rsid w:val="46FA5CD4"/>
    <w:rsid w:val="46FF15E0"/>
    <w:rsid w:val="4700581C"/>
    <w:rsid w:val="4702516A"/>
    <w:rsid w:val="4724600B"/>
    <w:rsid w:val="472E3BD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A381C"/>
    <w:rsid w:val="492108CC"/>
    <w:rsid w:val="49413F52"/>
    <w:rsid w:val="4949131B"/>
    <w:rsid w:val="494F6304"/>
    <w:rsid w:val="49792B95"/>
    <w:rsid w:val="497955D6"/>
    <w:rsid w:val="498540AB"/>
    <w:rsid w:val="49AC0BAE"/>
    <w:rsid w:val="49F11610"/>
    <w:rsid w:val="49FB423D"/>
    <w:rsid w:val="4A05334F"/>
    <w:rsid w:val="4A060864"/>
    <w:rsid w:val="4A1A3C81"/>
    <w:rsid w:val="4A244932"/>
    <w:rsid w:val="4A2922C8"/>
    <w:rsid w:val="4A372E78"/>
    <w:rsid w:val="4A4117B2"/>
    <w:rsid w:val="4A4A6F73"/>
    <w:rsid w:val="4A594A35"/>
    <w:rsid w:val="4A7A4350"/>
    <w:rsid w:val="4A7B1703"/>
    <w:rsid w:val="4A7E2497"/>
    <w:rsid w:val="4A896826"/>
    <w:rsid w:val="4ABF34BD"/>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57764"/>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06417"/>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4C0C43"/>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1716A5"/>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6867E6"/>
    <w:rsid w:val="51764AF1"/>
    <w:rsid w:val="51996737"/>
    <w:rsid w:val="51B408B8"/>
    <w:rsid w:val="51B80848"/>
    <w:rsid w:val="51C94C21"/>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D31D87"/>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4B7E86"/>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9D0C6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252D2"/>
    <w:rsid w:val="63A75341"/>
    <w:rsid w:val="63A85E90"/>
    <w:rsid w:val="63A962DB"/>
    <w:rsid w:val="63AB1A91"/>
    <w:rsid w:val="63B75221"/>
    <w:rsid w:val="63B82D47"/>
    <w:rsid w:val="63C74D38"/>
    <w:rsid w:val="63D83A3E"/>
    <w:rsid w:val="63EA73A4"/>
    <w:rsid w:val="63EE4692"/>
    <w:rsid w:val="63FD622D"/>
    <w:rsid w:val="64177A6E"/>
    <w:rsid w:val="643F32F9"/>
    <w:rsid w:val="64582686"/>
    <w:rsid w:val="64673C87"/>
    <w:rsid w:val="64836EB1"/>
    <w:rsid w:val="64877733"/>
    <w:rsid w:val="64925346"/>
    <w:rsid w:val="649425A0"/>
    <w:rsid w:val="64A170D2"/>
    <w:rsid w:val="64A251DD"/>
    <w:rsid w:val="64BC182A"/>
    <w:rsid w:val="64C23E7D"/>
    <w:rsid w:val="64E24568"/>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16111"/>
    <w:rsid w:val="66E362F9"/>
    <w:rsid w:val="66E47FD9"/>
    <w:rsid w:val="66E520A5"/>
    <w:rsid w:val="66F04175"/>
    <w:rsid w:val="66F127F8"/>
    <w:rsid w:val="67071922"/>
    <w:rsid w:val="672C7CD4"/>
    <w:rsid w:val="672E57FA"/>
    <w:rsid w:val="6739419F"/>
    <w:rsid w:val="673B73C0"/>
    <w:rsid w:val="674743C8"/>
    <w:rsid w:val="675608B6"/>
    <w:rsid w:val="67754402"/>
    <w:rsid w:val="677D54ED"/>
    <w:rsid w:val="677F6BA2"/>
    <w:rsid w:val="678B726C"/>
    <w:rsid w:val="6791606D"/>
    <w:rsid w:val="67B25E27"/>
    <w:rsid w:val="67B4646D"/>
    <w:rsid w:val="67B464CA"/>
    <w:rsid w:val="67C4383B"/>
    <w:rsid w:val="67D35E1A"/>
    <w:rsid w:val="67D6379C"/>
    <w:rsid w:val="67D71221"/>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D81A4D"/>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5378F4"/>
    <w:rsid w:val="6E663C68"/>
    <w:rsid w:val="6E7764EF"/>
    <w:rsid w:val="6E7F17C0"/>
    <w:rsid w:val="6E8403F6"/>
    <w:rsid w:val="6EAD447C"/>
    <w:rsid w:val="6EAE5472"/>
    <w:rsid w:val="6EB637DE"/>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4C4F43"/>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1A294B"/>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83DCD"/>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65C7A"/>
    <w:rsid w:val="734C1A6A"/>
    <w:rsid w:val="735663B7"/>
    <w:rsid w:val="735C5949"/>
    <w:rsid w:val="73671287"/>
    <w:rsid w:val="73737DA5"/>
    <w:rsid w:val="73740A39"/>
    <w:rsid w:val="73773186"/>
    <w:rsid w:val="73783823"/>
    <w:rsid w:val="73887B3E"/>
    <w:rsid w:val="73892412"/>
    <w:rsid w:val="73AF2114"/>
    <w:rsid w:val="73AF381F"/>
    <w:rsid w:val="73CA68AB"/>
    <w:rsid w:val="73D039E1"/>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706A11"/>
    <w:rsid w:val="76832D41"/>
    <w:rsid w:val="7689407D"/>
    <w:rsid w:val="768B2C28"/>
    <w:rsid w:val="76BB1CAB"/>
    <w:rsid w:val="76C04050"/>
    <w:rsid w:val="76D67314"/>
    <w:rsid w:val="76E00193"/>
    <w:rsid w:val="76E65049"/>
    <w:rsid w:val="76FA74A7"/>
    <w:rsid w:val="77076007"/>
    <w:rsid w:val="77170059"/>
    <w:rsid w:val="771A36A5"/>
    <w:rsid w:val="77413F7E"/>
    <w:rsid w:val="77464076"/>
    <w:rsid w:val="7758241F"/>
    <w:rsid w:val="776D3067"/>
    <w:rsid w:val="777A7D22"/>
    <w:rsid w:val="777E28EC"/>
    <w:rsid w:val="77835654"/>
    <w:rsid w:val="778E5E41"/>
    <w:rsid w:val="7797109C"/>
    <w:rsid w:val="779A2A38"/>
    <w:rsid w:val="77B4450A"/>
    <w:rsid w:val="77B46E73"/>
    <w:rsid w:val="77E37A12"/>
    <w:rsid w:val="77F42148"/>
    <w:rsid w:val="77FE3468"/>
    <w:rsid w:val="7800077E"/>
    <w:rsid w:val="78250553"/>
    <w:rsid w:val="78257099"/>
    <w:rsid w:val="783B17B1"/>
    <w:rsid w:val="784E2046"/>
    <w:rsid w:val="78546F0C"/>
    <w:rsid w:val="786778FE"/>
    <w:rsid w:val="789D588A"/>
    <w:rsid w:val="78B65E3A"/>
    <w:rsid w:val="78D14237"/>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454A8"/>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3C5027"/>
    <w:rsid w:val="7A517022"/>
    <w:rsid w:val="7A6F5001"/>
    <w:rsid w:val="7A7720A0"/>
    <w:rsid w:val="7A7A4913"/>
    <w:rsid w:val="7A9635B3"/>
    <w:rsid w:val="7A9944E2"/>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B7C42"/>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6531A0"/>
    <w:rsid w:val="7D777A3E"/>
    <w:rsid w:val="7D9005BC"/>
    <w:rsid w:val="7D9046C1"/>
    <w:rsid w:val="7D9F0AD0"/>
    <w:rsid w:val="7DB22BDF"/>
    <w:rsid w:val="7DD12BB7"/>
    <w:rsid w:val="7DDE50C4"/>
    <w:rsid w:val="7DF223A2"/>
    <w:rsid w:val="7DFF0955"/>
    <w:rsid w:val="7E055DED"/>
    <w:rsid w:val="7E0B750E"/>
    <w:rsid w:val="7E1939E8"/>
    <w:rsid w:val="7E2400E7"/>
    <w:rsid w:val="7E2536EE"/>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16243</Words>
  <Characters>17179</Characters>
  <Lines>50</Lines>
  <Paragraphs>68</Paragraphs>
  <TotalTime>1</TotalTime>
  <ScaleCrop>false</ScaleCrop>
  <LinksUpToDate>false</LinksUpToDate>
  <CharactersWithSpaces>17762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2025-10-09T07:14:08Z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