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驻马店市中心医院康复分院有线网络建设</w:t>
      </w:r>
      <w:r>
        <w:rPr>
          <w:rFonts w:hint="eastAsia" w:cs="宋体"/>
          <w:b/>
          <w:bCs/>
          <w:color w:val="auto"/>
          <w:sz w:val="44"/>
          <w:szCs w:val="44"/>
          <w:highlight w:val="none"/>
          <w:lang w:val="en-US" w:eastAsia="zh-CN"/>
        </w:rPr>
        <w:t>项目</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河南省机电设备国际招标有限公司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驻马店市中心医院康复分院有线网络建设项目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康复分院有线网络建设项目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驻马店市中心医院康复分院有线网络建设项目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、预算金额：36</w:t>
      </w:r>
      <w:r>
        <w:rPr>
          <w:rFonts w:hint="eastAsia" w:ascii="宋体" w:hAnsi="宋体" w:cs="宋体"/>
          <w:color w:val="auto"/>
          <w:szCs w:val="21"/>
          <w:highlight w:val="none"/>
          <w:shd w:val="clear" w:color="auto" w:fill="FFFFFF"/>
          <w:lang w:val="en-US" w:eastAsia="zh-CN"/>
        </w:rPr>
        <w:t>0000元；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：2026年4月20日</w:t>
      </w:r>
      <w:r>
        <w:rPr>
          <w:rFonts w:hint="eastAsia" w:ascii="宋体" w:hAnsi="宋体" w:cs="宋体"/>
          <w:color w:val="auto"/>
          <w:szCs w:val="21"/>
          <w:highlight w:val="none"/>
          <w:shd w:val="clear" w:color="auto" w:fill="FFFFFF"/>
          <w:lang w:val="en-US" w:eastAsia="zh-CN"/>
        </w:rPr>
        <w:t>前；</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30643"/>
      <w:bookmarkStart w:id="10" w:name="_Toc23395"/>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4274"/>
      <w:bookmarkStart w:id="27" w:name="_Toc31928"/>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驻马店市中心医院康复分院有线网络建设项目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310"/>
        <w:gridCol w:w="770"/>
        <w:gridCol w:w="962"/>
        <w:gridCol w:w="1426"/>
        <w:gridCol w:w="1106"/>
        <w:gridCol w:w="1238"/>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2"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1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77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2"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426"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bookmarkStart w:id="99" w:name="_GoBack"/>
            <w:bookmarkEnd w:id="99"/>
            <w:r>
              <w:rPr>
                <w:rFonts w:hint="eastAsia" w:ascii="宋体" w:hAnsi="宋体" w:eastAsia="宋体" w:cs="宋体"/>
                <w:b/>
                <w:bCs/>
                <w:color w:val="auto"/>
                <w:sz w:val="21"/>
                <w:szCs w:val="21"/>
                <w:highlight w:val="none"/>
              </w:rPr>
              <w:t>预算</w:t>
            </w:r>
          </w:p>
        </w:tc>
        <w:tc>
          <w:tcPr>
            <w:tcW w:w="1106"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38" w:type="dxa"/>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82" w:type="dxa"/>
            <w:shd w:val="clear" w:color="auto" w:fill="auto"/>
            <w:vAlign w:val="center"/>
          </w:tcPr>
          <w:p w14:paraId="7E2267BB">
            <w:pPr>
              <w:keepNext w:val="0"/>
              <w:keepLines w:val="0"/>
              <w:widowControl/>
              <w:suppressLineNumbers w:val="0"/>
              <w:jc w:val="center"/>
              <w:textAlignment w:val="center"/>
              <w:rPr>
                <w:rFonts w:hint="eastAsia" w:ascii="仿宋" w:hAnsi="仿宋" w:eastAsia="仿宋" w:cs="仿宋"/>
                <w:b w:val="0"/>
                <w:bCs w:val="0"/>
                <w:i w:val="0"/>
                <w:iCs/>
                <w:color w:val="auto"/>
                <w:sz w:val="21"/>
                <w:szCs w:val="21"/>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2310" w:type="dxa"/>
            <w:shd w:val="clear" w:color="auto" w:fill="auto"/>
            <w:vAlign w:val="center"/>
          </w:tcPr>
          <w:p w14:paraId="32751584">
            <w:pPr>
              <w:keepNext w:val="0"/>
              <w:keepLines w:val="0"/>
              <w:widowControl/>
              <w:suppressLineNumbers w:val="0"/>
              <w:jc w:val="center"/>
              <w:textAlignment w:val="center"/>
              <w:rPr>
                <w:rFonts w:hint="eastAsia" w:ascii="仿宋" w:hAnsi="仿宋" w:eastAsia="仿宋" w:cs="仿宋"/>
                <w:b w:val="0"/>
                <w:bCs w:val="0"/>
                <w:i w:val="0"/>
                <w:iCs/>
                <w:color w:val="auto"/>
                <w:sz w:val="21"/>
                <w:szCs w:val="21"/>
                <w:highlight w:val="none"/>
                <w:u w:val="none"/>
                <w:lang w:val="en-US" w:eastAsia="zh-CN"/>
              </w:rPr>
            </w:pPr>
            <w:r>
              <w:rPr>
                <w:rFonts w:hint="eastAsia" w:ascii="宋体" w:hAnsi="宋体" w:cs="宋体"/>
                <w:b w:val="0"/>
                <w:bCs w:val="0"/>
                <w:i w:val="0"/>
                <w:iCs/>
                <w:color w:val="auto"/>
                <w:sz w:val="21"/>
                <w:szCs w:val="21"/>
                <w:highlight w:val="none"/>
                <w:u w:val="none"/>
                <w:lang w:val="en-US" w:eastAsia="zh-CN"/>
              </w:rPr>
              <w:t>康复分院有线网络建设项目</w:t>
            </w:r>
          </w:p>
        </w:tc>
        <w:tc>
          <w:tcPr>
            <w:tcW w:w="770" w:type="dxa"/>
            <w:shd w:val="clear" w:color="auto" w:fill="auto"/>
            <w:vAlign w:val="center"/>
          </w:tcPr>
          <w:p w14:paraId="2D610A1B">
            <w:pPr>
              <w:keepNext w:val="0"/>
              <w:keepLines w:val="0"/>
              <w:widowControl/>
              <w:suppressLineNumbers w:val="0"/>
              <w:jc w:val="center"/>
              <w:textAlignment w:val="center"/>
              <w:rPr>
                <w:rFonts w:hint="eastAsia" w:ascii="仿宋" w:hAnsi="仿宋" w:eastAsia="仿宋" w:cs="仿宋"/>
                <w:b w:val="0"/>
                <w:bCs w:val="0"/>
                <w:i w:val="0"/>
                <w:iCs/>
                <w:color w:val="auto"/>
                <w:sz w:val="21"/>
                <w:szCs w:val="21"/>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台</w:t>
            </w:r>
          </w:p>
        </w:tc>
        <w:tc>
          <w:tcPr>
            <w:tcW w:w="962" w:type="dxa"/>
            <w:shd w:val="clear" w:color="auto" w:fill="auto"/>
            <w:vAlign w:val="center"/>
          </w:tcPr>
          <w:p w14:paraId="6E5A7B3B">
            <w:pPr>
              <w:keepNext w:val="0"/>
              <w:keepLines w:val="0"/>
              <w:widowControl/>
              <w:suppressLineNumbers w:val="0"/>
              <w:jc w:val="center"/>
              <w:textAlignment w:val="center"/>
              <w:rPr>
                <w:rFonts w:hint="eastAsia" w:ascii="仿宋" w:hAnsi="仿宋" w:eastAsia="仿宋" w:cs="仿宋"/>
                <w:b w:val="0"/>
                <w:bCs w:val="0"/>
                <w:i w:val="0"/>
                <w:iCs/>
                <w:color w:val="auto"/>
                <w:sz w:val="21"/>
                <w:szCs w:val="21"/>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426" w:type="dxa"/>
            <w:shd w:val="clear" w:color="auto" w:fill="auto"/>
            <w:vAlign w:val="center"/>
          </w:tcPr>
          <w:p w14:paraId="3326862B">
            <w:pPr>
              <w:keepNext w:val="0"/>
              <w:keepLines w:val="0"/>
              <w:widowControl/>
              <w:suppressLineNumbers w:val="0"/>
              <w:jc w:val="center"/>
              <w:textAlignment w:val="center"/>
              <w:rPr>
                <w:rFonts w:hint="default" w:ascii="仿宋" w:hAnsi="仿宋" w:eastAsia="仿宋" w:cs="仿宋"/>
                <w:b w:val="0"/>
                <w:bCs w:val="0"/>
                <w:i w:val="0"/>
                <w:iCs/>
                <w:color w:val="auto"/>
                <w:sz w:val="21"/>
                <w:szCs w:val="21"/>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36万元</w:t>
            </w:r>
          </w:p>
        </w:tc>
        <w:tc>
          <w:tcPr>
            <w:tcW w:w="1106" w:type="dxa"/>
            <w:shd w:val="clear" w:color="auto" w:fill="auto"/>
            <w:vAlign w:val="center"/>
          </w:tcPr>
          <w:p w14:paraId="18BFE3E9">
            <w:pPr>
              <w:keepNext w:val="0"/>
              <w:keepLines w:val="0"/>
              <w:widowControl/>
              <w:suppressLineNumbers w:val="0"/>
              <w:ind w:firstLine="210" w:firstLineChars="10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自筹</w:t>
            </w:r>
          </w:p>
        </w:tc>
        <w:tc>
          <w:tcPr>
            <w:tcW w:w="1238" w:type="dxa"/>
            <w:shd w:val="clear" w:color="auto" w:fill="auto"/>
            <w:vAlign w:val="center"/>
          </w:tcPr>
          <w:p w14:paraId="36A26B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210" w:firstLineChars="10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259E3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812"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根据实际使用量</w:t>
            </w:r>
            <w:r>
              <w:rPr>
                <w:rFonts w:hint="eastAsia" w:ascii="宋体" w:hAnsi="宋体" w:eastAsia="宋体" w:cs="宋体"/>
                <w:b/>
                <w:bCs/>
                <w:color w:val="auto"/>
                <w:sz w:val="21"/>
                <w:szCs w:val="21"/>
                <w:highlight w:val="none"/>
                <w:vertAlign w:val="baseline"/>
                <w:lang w:val="en-US" w:eastAsia="zh-CN"/>
              </w:rPr>
              <w:t>据实结算</w:t>
            </w:r>
          </w:p>
        </w:tc>
      </w:tr>
    </w:tbl>
    <w:p w14:paraId="2E785496">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4117CC6A">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2A1200FD">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技术要求</w:t>
      </w:r>
    </w:p>
    <w:p w14:paraId="492EE8AA">
      <w:pPr>
        <w:numPr>
          <w:ilvl w:val="0"/>
          <w:numId w:val="0"/>
        </w:numPr>
        <w:spacing w:line="192" w:lineRule="auto"/>
        <w:rPr>
          <w:rFonts w:hint="eastAsia" w:ascii="宋体" w:hAnsi="宋体" w:eastAsia="宋体" w:cs="宋体"/>
          <w:b/>
          <w:bCs/>
          <w:color w:val="auto"/>
          <w:kern w:val="2"/>
          <w:sz w:val="22"/>
          <w:szCs w:val="28"/>
          <w:highlight w:val="none"/>
          <w:lang w:val="en-US" w:eastAsia="zh-CN" w:bidi="ar-SA"/>
        </w:rPr>
      </w:pPr>
    </w:p>
    <w:tbl>
      <w:tblPr>
        <w:tblStyle w:val="35"/>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098"/>
        <w:gridCol w:w="1305"/>
        <w:gridCol w:w="4574"/>
        <w:gridCol w:w="872"/>
      </w:tblGrid>
      <w:tr w14:paraId="0BF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28" w:type="pct"/>
            <w:vAlign w:val="center"/>
          </w:tcPr>
          <w:p w14:paraId="4DF1883E">
            <w:pPr>
              <w:rPr>
                <w:rFonts w:hint="eastAsia" w:ascii="宋体" w:hAnsi="宋体" w:eastAsia="宋体" w:cs="宋体"/>
                <w:b/>
                <w:color w:val="auto"/>
                <w:kern w:val="0"/>
                <w:sz w:val="21"/>
                <w:szCs w:val="21"/>
                <w:lang w:val="zh-CN"/>
              </w:rPr>
            </w:pPr>
            <w:r>
              <w:rPr>
                <w:rFonts w:hint="eastAsia" w:ascii="宋体" w:hAnsi="宋体" w:eastAsia="宋体" w:cs="宋体"/>
                <w:b/>
                <w:color w:val="auto"/>
                <w:kern w:val="0"/>
                <w:sz w:val="21"/>
                <w:szCs w:val="21"/>
                <w:lang w:val="zh-CN"/>
              </w:rPr>
              <w:t>序号</w:t>
            </w:r>
          </w:p>
        </w:tc>
        <w:tc>
          <w:tcPr>
            <w:tcW w:w="625" w:type="pct"/>
            <w:vAlign w:val="center"/>
          </w:tcPr>
          <w:p w14:paraId="460492F5">
            <w:pPr>
              <w:rPr>
                <w:rFonts w:hint="eastAsia" w:ascii="宋体" w:hAnsi="宋体" w:eastAsia="宋体" w:cs="宋体"/>
                <w:b/>
                <w:color w:val="auto"/>
                <w:kern w:val="0"/>
                <w:sz w:val="21"/>
                <w:szCs w:val="21"/>
                <w:lang w:val="zh-CN"/>
              </w:rPr>
            </w:pPr>
            <w:r>
              <w:rPr>
                <w:rFonts w:hint="eastAsia" w:ascii="宋体" w:hAnsi="宋体" w:eastAsia="宋体" w:cs="宋体"/>
                <w:b/>
                <w:color w:val="auto"/>
                <w:kern w:val="0"/>
                <w:sz w:val="21"/>
                <w:szCs w:val="21"/>
                <w:lang w:val="zh-CN"/>
              </w:rPr>
              <w:t>标的名称</w:t>
            </w:r>
          </w:p>
        </w:tc>
        <w:tc>
          <w:tcPr>
            <w:tcW w:w="3349" w:type="pct"/>
            <w:gridSpan w:val="2"/>
            <w:vAlign w:val="center"/>
          </w:tcPr>
          <w:p w14:paraId="38869214">
            <w:pPr>
              <w:rPr>
                <w:rFonts w:hint="eastAsia" w:ascii="宋体" w:hAnsi="宋体" w:eastAsia="宋体" w:cs="宋体"/>
                <w:b/>
                <w:color w:val="auto"/>
                <w:kern w:val="0"/>
                <w:sz w:val="21"/>
                <w:szCs w:val="21"/>
                <w:lang w:val="zh-CN"/>
              </w:rPr>
            </w:pPr>
            <w:r>
              <w:rPr>
                <w:rFonts w:hint="eastAsia" w:ascii="宋体" w:hAnsi="宋体" w:eastAsia="宋体" w:cs="宋体"/>
                <w:b/>
                <w:color w:val="auto"/>
                <w:kern w:val="0"/>
                <w:sz w:val="21"/>
                <w:szCs w:val="21"/>
                <w:lang w:val="zh-CN"/>
              </w:rPr>
              <w:t>详细技术要求</w:t>
            </w:r>
          </w:p>
        </w:tc>
        <w:tc>
          <w:tcPr>
            <w:tcW w:w="496" w:type="pct"/>
            <w:vAlign w:val="center"/>
          </w:tcPr>
          <w:p w14:paraId="79707468">
            <w:pP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控制价（元）</w:t>
            </w:r>
          </w:p>
        </w:tc>
      </w:tr>
      <w:tr w14:paraId="7AA6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70CF3342">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w:t>
            </w:r>
          </w:p>
        </w:tc>
        <w:tc>
          <w:tcPr>
            <w:tcW w:w="625" w:type="pct"/>
            <w:vAlign w:val="center"/>
          </w:tcPr>
          <w:p w14:paraId="57EE5A18">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OLT</w:t>
            </w:r>
          </w:p>
        </w:tc>
        <w:tc>
          <w:tcPr>
            <w:tcW w:w="3349" w:type="pct"/>
            <w:gridSpan w:val="2"/>
            <w:vAlign w:val="center"/>
          </w:tcPr>
          <w:p w14:paraId="4ECA3F4F">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1.交换容量≥65Tbps；（以官网最小值为准）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2.包转发能力≥50000Mpps；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3.主控板槽位数≥2，主控板交换容量≥2.5Tbps，实配主控板≥2，提供≥1 个 Console 口、≥1 个 USB Console 接口、≥2 个网管口（≥1 个 RJ-45 接口和≥ 1 个 SFP 接口）、≥1 个主 USB 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4.业务板槽位数≥3，每业务板最大带宽≥450Gbps，实配业务主板≥1，提供≥24个GPON OLT(SFP+，SC)光接口、≥4个万兆以太网(SFP+,LC)光接口;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5.电源插槽数≥2，实配电源模块≥2，冗余热插拔；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6.支持内置DHCP服务器，可为终端动态分配IP地址，支持的地址池规格≥17000；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7.支持的4K视频用户并发数不低于17000；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8.支持发起Portal认证，可为终端用户提供有线Portal认证安全接入用户数≥16000；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9.IGMP并发处理能力不小于8000pps；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10.整机MAC地址数量不低于350000；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11.整机ARP地址数量不低于250000；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12.支持软件patch功能；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13.支持线速转发，PON口在满负载的情况下,对帧进行无差错的转发。</w:t>
            </w:r>
          </w:p>
        </w:tc>
        <w:tc>
          <w:tcPr>
            <w:tcW w:w="496" w:type="pct"/>
            <w:vAlign w:val="center"/>
          </w:tcPr>
          <w:p w14:paraId="1D97D9F4">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45000</w:t>
            </w:r>
          </w:p>
        </w:tc>
      </w:tr>
      <w:tr w14:paraId="6F0C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4B290B12">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2</w:t>
            </w:r>
          </w:p>
        </w:tc>
        <w:tc>
          <w:tcPr>
            <w:tcW w:w="625" w:type="pct"/>
            <w:vAlign w:val="center"/>
          </w:tcPr>
          <w:p w14:paraId="009A9FD6">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分光器</w:t>
            </w:r>
          </w:p>
        </w:tc>
        <w:tc>
          <w:tcPr>
            <w:tcW w:w="3349" w:type="pct"/>
            <w:gridSpan w:val="2"/>
            <w:vAlign w:val="center"/>
          </w:tcPr>
          <w:p w14:paraId="46F2969B">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1.类型：插片式光分路器单模2×32均分，可固定到机柜；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2.工作波长：1310+40&amp;1520+40；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3.插入损耗(dB）≤16.9；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4.均匀性≤1.8dB；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5.方向性≥55dB；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6.连接器类型：SC/UPC；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7.为确保兼容性，须与所投OLT为同一品牌。</w:t>
            </w:r>
          </w:p>
        </w:tc>
        <w:tc>
          <w:tcPr>
            <w:tcW w:w="496" w:type="pct"/>
            <w:vAlign w:val="center"/>
          </w:tcPr>
          <w:p w14:paraId="2D6F96E9">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825</w:t>
            </w:r>
          </w:p>
        </w:tc>
      </w:tr>
      <w:tr w14:paraId="2554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7D749D1D">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3</w:t>
            </w:r>
          </w:p>
        </w:tc>
        <w:tc>
          <w:tcPr>
            <w:tcW w:w="625" w:type="pct"/>
            <w:vAlign w:val="center"/>
          </w:tcPr>
          <w:p w14:paraId="4C83807D">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光纤固定衰减器</w:t>
            </w:r>
          </w:p>
        </w:tc>
        <w:tc>
          <w:tcPr>
            <w:tcW w:w="3349" w:type="pct"/>
            <w:gridSpan w:val="2"/>
            <w:vAlign w:val="center"/>
          </w:tcPr>
          <w:p w14:paraId="4A853FD3">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1.光纤固定衰减器-1310/1550±20nm-5dB-SC/PC-&gt;40dB；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2.为确保兼容性，须与所投OLT为同一品牌。</w:t>
            </w:r>
          </w:p>
        </w:tc>
        <w:tc>
          <w:tcPr>
            <w:tcW w:w="496" w:type="pct"/>
            <w:vAlign w:val="center"/>
          </w:tcPr>
          <w:p w14:paraId="2CCB1FBB">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35</w:t>
            </w:r>
          </w:p>
        </w:tc>
      </w:tr>
      <w:tr w14:paraId="473B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63716B01">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4</w:t>
            </w:r>
          </w:p>
        </w:tc>
        <w:tc>
          <w:tcPr>
            <w:tcW w:w="625" w:type="pct"/>
            <w:vAlign w:val="center"/>
          </w:tcPr>
          <w:p w14:paraId="662D8498">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以太网光模块</w:t>
            </w:r>
          </w:p>
        </w:tc>
        <w:tc>
          <w:tcPr>
            <w:tcW w:w="3349" w:type="pct"/>
            <w:gridSpan w:val="2"/>
            <w:vAlign w:val="center"/>
          </w:tcPr>
          <w:p w14:paraId="76EAE8DA">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1.SFP+ 万兆模块(1310nm,10km,LC)。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2.为确保兼容性，须与所投OLT为同一品牌。</w:t>
            </w:r>
          </w:p>
        </w:tc>
        <w:tc>
          <w:tcPr>
            <w:tcW w:w="496" w:type="pct"/>
            <w:vAlign w:val="center"/>
          </w:tcPr>
          <w:p w14:paraId="47C5C2A4">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300</w:t>
            </w:r>
          </w:p>
        </w:tc>
      </w:tr>
      <w:tr w14:paraId="6EC4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96C0D5D">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5</w:t>
            </w:r>
          </w:p>
        </w:tc>
        <w:tc>
          <w:tcPr>
            <w:tcW w:w="625" w:type="pct"/>
            <w:vAlign w:val="center"/>
          </w:tcPr>
          <w:p w14:paraId="7555E653">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PON光模块</w:t>
            </w:r>
          </w:p>
        </w:tc>
        <w:tc>
          <w:tcPr>
            <w:tcW w:w="3349" w:type="pct"/>
            <w:gridSpan w:val="2"/>
            <w:vAlign w:val="center"/>
          </w:tcPr>
          <w:p w14:paraId="14015AFE">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 SFP-GPON-B+-D-SM1490-20KM-光模块。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2.为确保兼容性，须与所投OLT为同一品牌。</w:t>
            </w:r>
          </w:p>
        </w:tc>
        <w:tc>
          <w:tcPr>
            <w:tcW w:w="496" w:type="pct"/>
            <w:vAlign w:val="center"/>
          </w:tcPr>
          <w:p w14:paraId="1643023F">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460</w:t>
            </w:r>
          </w:p>
        </w:tc>
      </w:tr>
      <w:tr w14:paraId="6442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528" w:type="pct"/>
            <w:vAlign w:val="center"/>
          </w:tcPr>
          <w:p w14:paraId="416C71DB">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6</w:t>
            </w:r>
          </w:p>
        </w:tc>
        <w:tc>
          <w:tcPr>
            <w:tcW w:w="625" w:type="pct"/>
            <w:vAlign w:val="center"/>
          </w:tcPr>
          <w:p w14:paraId="28AEC56C">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ONU</w:t>
            </w:r>
          </w:p>
        </w:tc>
        <w:tc>
          <w:tcPr>
            <w:tcW w:w="3349" w:type="pct"/>
            <w:gridSpan w:val="2"/>
            <w:vAlign w:val="center"/>
          </w:tcPr>
          <w:p w14:paraId="631F3BF9">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1.PON口（网络侧）≥1*1GPON接口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2.UNI侧（用户侧）≥4*GE；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3.支持ONU注册认证机制,认证方式：MAC地址认证，LOID认证，LOID+PASSWORD认证，混合认证；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4.支持动态带宽分配、前向纠错功能、链路加密；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5.支持端口限速，支持远程关闭开启PON口光模块光发射机电源；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6.支持最大有效传输距离≥20公里，支持光功率检测；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7.工作温度：-10°~55°；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8.功耗：≤5W；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9.采用无风扇静音设计；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10.金属外壳；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11.支持EPON/GPON自适应。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12.为确保兼容性，须与所投OLT为同一品牌。</w:t>
            </w:r>
          </w:p>
        </w:tc>
        <w:tc>
          <w:tcPr>
            <w:tcW w:w="496" w:type="pct"/>
            <w:vAlign w:val="center"/>
          </w:tcPr>
          <w:p w14:paraId="1B8CD8CB">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680</w:t>
            </w:r>
          </w:p>
        </w:tc>
      </w:tr>
      <w:tr w14:paraId="1C4E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4" w:hRule="atLeast"/>
          <w:jc w:val="center"/>
        </w:trPr>
        <w:tc>
          <w:tcPr>
            <w:tcW w:w="528" w:type="pct"/>
            <w:vAlign w:val="center"/>
          </w:tcPr>
          <w:p w14:paraId="68719CD5">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7</w:t>
            </w:r>
          </w:p>
        </w:tc>
        <w:tc>
          <w:tcPr>
            <w:tcW w:w="625" w:type="pct"/>
            <w:vAlign w:val="center"/>
          </w:tcPr>
          <w:p w14:paraId="1A80834A">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ONU</w:t>
            </w:r>
          </w:p>
        </w:tc>
        <w:tc>
          <w:tcPr>
            <w:tcW w:w="3349" w:type="pct"/>
            <w:gridSpan w:val="2"/>
            <w:vAlign w:val="center"/>
          </w:tcPr>
          <w:p w14:paraId="4F1E6B5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1.PON口（网络侧）≥1*1GPON接口；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2.UNI侧（用户侧）≥8*GE；</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3.支持ONU注册认证机制,认证方式：MAC地址认证，LOID认证，LOID+PASSWORD认证，混合认证；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4.支持动态带宽分配、前向纠错功能、链路加密；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5.支持端口限速，支持远程关闭开启PON口光模块光发射机电源；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6.支持最大有效传输距离≥20公里，支持光功率检测；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7.工作温度：-10°~55°；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8.功耗：≤12W；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9.采用无风扇静音设计；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10.金属外壳；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11.支持EPON/GPON自适应；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12.▲防雷能力：电源口≥6KV，以太端口≥4KV（提供官网截图）。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13.为确保兼容性，须与所投OLT为同一品牌。</w:t>
            </w:r>
          </w:p>
        </w:tc>
        <w:tc>
          <w:tcPr>
            <w:tcW w:w="496" w:type="pct"/>
            <w:vAlign w:val="center"/>
          </w:tcPr>
          <w:p w14:paraId="0BC6B013">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1590</w:t>
            </w:r>
          </w:p>
        </w:tc>
      </w:tr>
      <w:tr w14:paraId="7536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4" w:hRule="atLeast"/>
          <w:jc w:val="center"/>
        </w:trPr>
        <w:tc>
          <w:tcPr>
            <w:tcW w:w="528" w:type="pct"/>
            <w:vAlign w:val="center"/>
          </w:tcPr>
          <w:p w14:paraId="280007C5">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8</w:t>
            </w:r>
          </w:p>
        </w:tc>
        <w:tc>
          <w:tcPr>
            <w:tcW w:w="625" w:type="pct"/>
            <w:vAlign w:val="center"/>
          </w:tcPr>
          <w:p w14:paraId="7D354E59">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光纤配线架</w:t>
            </w:r>
          </w:p>
        </w:tc>
        <w:tc>
          <w:tcPr>
            <w:tcW w:w="3349" w:type="pct"/>
            <w:gridSpan w:val="2"/>
            <w:vAlign w:val="center"/>
          </w:tcPr>
          <w:p w14:paraId="63C1FBAB">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 模块化结构，由基本框架组成，可以兼职ST、FC、SC、LC四种规格的适配器，同时有足够的空间保证光纤的盘绕、固定和接续；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2.自带熔接盒，为光缆端接和安装提供坚固的保护；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3.真抽屉式配线架，可从正面拉出抽屉盘，熔接工序完成后推回即可，提高了现场安装的便利性，可避后期维护拉断光纤；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4.防滑倒扣设计，防止误操作导致配线架倒滑；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5.19英寸机架式模块化组合，可容纳1U/4、2U/、8/3U/12个光纤适配器面板，1U高度支持6芯～96芯光纤熔配，2U高度支持6芯～192芯光纤熔配，3U高度支持6芯～288芯光纤熔配；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6.前部设计有光纤跳线管理空间，无需额外配置理线架；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7.工作温度：-40℃～70℃；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8.材料：优质冷扎钢板；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9.1U，24芯SC单工单模，配置4个6芯SC单工单模适配器面板。</w:t>
            </w:r>
          </w:p>
        </w:tc>
        <w:tc>
          <w:tcPr>
            <w:tcW w:w="496" w:type="pct"/>
            <w:vAlign w:val="center"/>
          </w:tcPr>
          <w:p w14:paraId="3E033F74">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455</w:t>
            </w:r>
          </w:p>
        </w:tc>
      </w:tr>
      <w:tr w14:paraId="2A5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F4597E">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9</w:t>
            </w:r>
          </w:p>
        </w:tc>
        <w:tc>
          <w:tcPr>
            <w:tcW w:w="625" w:type="pct"/>
            <w:vAlign w:val="center"/>
          </w:tcPr>
          <w:p w14:paraId="6D7D614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p w14:paraId="75DC2FE7">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110型100对语音配线架</w:t>
            </w:r>
          </w:p>
        </w:tc>
        <w:tc>
          <w:tcPr>
            <w:tcW w:w="3349" w:type="pct"/>
            <w:gridSpan w:val="2"/>
            <w:vAlign w:val="center"/>
          </w:tcPr>
          <w:p w14:paraId="3F6A1761">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1.可卡接22-26AWG导体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2.压接次数可达≥200次以上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3.有标准19″机架型、有腿型及无腿型，适用范围广，安装、维护、扩容简便快捷；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4.接触电阻：正常大气压条件下接触电阻&lt;2.5mΩ；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5.绝缘电阻：正常大气压条件下绝缘电阻&gt;1000MΩ；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6.耐压强度：DC: 1000V(AC 700V)1分钟无击穿和飞弧现象；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7.抗张力：133 N 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8.接续电抗：20mΩ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9.工作温度：-25 ~ 60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10.额定电压及电流： 150VAC  15AMAX；</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11.额定电流1.5Amp；</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12.塑料件采用优质工程PC塑料。钣金件为冷轧钢板。</w:t>
            </w:r>
          </w:p>
        </w:tc>
        <w:tc>
          <w:tcPr>
            <w:tcW w:w="496" w:type="pct"/>
            <w:vAlign w:val="center"/>
          </w:tcPr>
          <w:p w14:paraId="1F4E89D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p w14:paraId="5EF80B1B">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w:t>
            </w:r>
          </w:p>
        </w:tc>
      </w:tr>
      <w:tr w14:paraId="6431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048AE79">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10</w:t>
            </w:r>
          </w:p>
        </w:tc>
        <w:tc>
          <w:tcPr>
            <w:tcW w:w="625" w:type="pct"/>
            <w:vAlign w:val="center"/>
          </w:tcPr>
          <w:p w14:paraId="6F5CC12A">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主光缆</w:t>
            </w:r>
          </w:p>
        </w:tc>
        <w:tc>
          <w:tcPr>
            <w:tcW w:w="3349" w:type="pct"/>
            <w:gridSpan w:val="2"/>
            <w:vAlign w:val="center"/>
          </w:tcPr>
          <w:p w14:paraId="38BDF672">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1.24芯，耐拉伸护套加高品质芳纶，提高线缆的拉伸性；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2.允许拉伸力（N）：长期≥130，短期≥440；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3.压扁力（N/100mm）：长期≥1000，短期≥300；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4.弯曲半径：长期≤30D，短期≤15D；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5.储存、使用温度：－20℃～60℃；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6.光纤衰减：OS2: 1310nm≤ 0.36 dB/km,1550≤0.23dB/km；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OM1：852nm≤3.0 dB/km，1300nm≤ 1.0 dB/km；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OM2：852nm≤3.0 dB/km，1300nm≤ 1.0 dB/km；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OM3：852nm≤3.0 dB/km，1300nm≤ 1.0 dB/km。</w:t>
            </w:r>
          </w:p>
        </w:tc>
        <w:tc>
          <w:tcPr>
            <w:tcW w:w="496" w:type="pct"/>
            <w:vAlign w:val="center"/>
          </w:tcPr>
          <w:p w14:paraId="388E8533">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w:t>
            </w:r>
          </w:p>
        </w:tc>
      </w:tr>
      <w:tr w14:paraId="2D92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37B0E72">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11</w:t>
            </w:r>
          </w:p>
        </w:tc>
        <w:tc>
          <w:tcPr>
            <w:tcW w:w="625" w:type="pct"/>
            <w:vAlign w:val="center"/>
          </w:tcPr>
          <w:p w14:paraId="25134EAC">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光纤跳线</w:t>
            </w:r>
          </w:p>
        </w:tc>
        <w:tc>
          <w:tcPr>
            <w:tcW w:w="3349" w:type="pct"/>
            <w:gridSpan w:val="2"/>
            <w:vAlign w:val="center"/>
          </w:tcPr>
          <w:p w14:paraId="6A70BC8D">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1.3米，单模，接头类型包括ST、SC 、LC、FC, MPO等跳线及混合跳线等；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2.接头材料：陶瓷套管；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3.重复插拔：≤0.2dB，每500次插拔；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4.插入损耗：≤0.3dB；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5.回波损耗：≥50dB；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6.▲带可见光巡线功能，无需拔插可通过任意的可见光照明装置快速定位线缆两端关系。提供产品彩页或其他官方有效证明文件并加盖公章。</w:t>
            </w:r>
          </w:p>
        </w:tc>
        <w:tc>
          <w:tcPr>
            <w:tcW w:w="496" w:type="pct"/>
            <w:vAlign w:val="center"/>
          </w:tcPr>
          <w:p w14:paraId="7E362BDE">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110</w:t>
            </w:r>
          </w:p>
        </w:tc>
      </w:tr>
      <w:tr w14:paraId="751F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2D5A7D0">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12</w:t>
            </w:r>
          </w:p>
        </w:tc>
        <w:tc>
          <w:tcPr>
            <w:tcW w:w="625" w:type="pct"/>
            <w:vAlign w:val="center"/>
          </w:tcPr>
          <w:p w14:paraId="7950C37F">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光纤跳线</w:t>
            </w:r>
          </w:p>
        </w:tc>
        <w:tc>
          <w:tcPr>
            <w:tcW w:w="3349" w:type="pct"/>
            <w:gridSpan w:val="2"/>
            <w:vAlign w:val="center"/>
          </w:tcPr>
          <w:p w14:paraId="22CA896C">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1.3米sc-sc光纤跳线，单模，线缆满足IEC60332-1-2及GB/T 18380.12-2008的阻燃要求；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2.燃烧时浓烟密度低，透光率高达86.4%远低于IEC 61034-2低烟要求；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3.卤酸气体含量满足IEC 60754-1:2011无卤要求；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4.插损≤0.2db  回损≥50db。</w:t>
            </w:r>
          </w:p>
        </w:tc>
        <w:tc>
          <w:tcPr>
            <w:tcW w:w="496" w:type="pct"/>
            <w:vAlign w:val="center"/>
          </w:tcPr>
          <w:p w14:paraId="7366371D">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r>
      <w:tr w14:paraId="5D71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3CC4E84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625" w:type="pct"/>
            <w:vAlign w:val="center"/>
          </w:tcPr>
          <w:p w14:paraId="0B450ED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网线跳线</w:t>
            </w:r>
          </w:p>
        </w:tc>
        <w:tc>
          <w:tcPr>
            <w:tcW w:w="3349" w:type="pct"/>
            <w:gridSpan w:val="2"/>
            <w:shd w:val="clear" w:color="auto" w:fill="auto"/>
            <w:vAlign w:val="center"/>
          </w:tcPr>
          <w:p w14:paraId="2D138CEE">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1.线规24AWG/7*0.2实心无氧铜多股线，2米。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2.护套：RJ45水晶头与线缆之间采用软尾机压注塑成型结构，保证线缆和水晶头之间的稳定连接，防滑抗拉，牢固性强，且保证了一定的弯曲半径。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3.水晶头：压接簧片采用三叉50μ镀金，有效提高抗氧化能力，确保插拔1200次以上仍有优异的接触性能。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4.标准：传输性能参数满足ISO/IEC 11801 E类和TIA/EIA 568.2-D六类 的单体跳线标准；支持1G Base-T, 622M ATM 等高带宽应用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5.▲带可见光巡线功能，无需拔插可通过任意的可见光照明装置快速定位线缆两端关系。提供产品彩页或其他官方有效证明文件并加盖公章。</w:t>
            </w:r>
          </w:p>
        </w:tc>
        <w:tc>
          <w:tcPr>
            <w:tcW w:w="496" w:type="pct"/>
            <w:shd w:val="clear" w:color="auto" w:fill="auto"/>
            <w:vAlign w:val="center"/>
          </w:tcPr>
          <w:p w14:paraId="6E78BA90">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38</w:t>
            </w:r>
          </w:p>
        </w:tc>
      </w:tr>
      <w:tr w14:paraId="259C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075881F">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14</w:t>
            </w:r>
          </w:p>
        </w:tc>
        <w:tc>
          <w:tcPr>
            <w:tcW w:w="625" w:type="pct"/>
            <w:vAlign w:val="center"/>
          </w:tcPr>
          <w:p w14:paraId="05A1B5D8">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机柜</w:t>
            </w:r>
          </w:p>
        </w:tc>
        <w:tc>
          <w:tcPr>
            <w:tcW w:w="3349" w:type="pct"/>
            <w:gridSpan w:val="2"/>
            <w:vAlign w:val="center"/>
          </w:tcPr>
          <w:p w14:paraId="0A0AB0BA">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1.冷轧钢板材质，板材经酸洗硅烷化环保处理；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2.预留多个走线通道，根据需要可关闭和打开，框架走线孔设计， 隐藏走线；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3.前后左右门均可拆卸，操作方便灵活，单侧门开关角度≥130°；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4.高强度承重脚轮，万向调节，可根据需求拆卸、更换安装支脚，货直接连接称重底座；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5.散热风扇安装于顶部，可有效散热；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6.机柜预留对地安装孔和接地柱，满足现场使用需求；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7.锁扣采用模具成型，更加精致有型；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8.钢印logo,更显美观大方；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9.最大称重≥1000公斤；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10.网络机柜：框架≥1.2mm，方孔条≥2.0mm，侧门≥1.2mm  层板≥1.2mm；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11.理线环≥4个、扎线杆≥1个、风扇≥2个、托盘≥2个、螺丝≥40套、8位10APDU ≥1个；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12.常规配置前玻璃门、后铁门；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13.尺寸：600*600*42U；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14.其他配置可定制。</w:t>
            </w:r>
          </w:p>
        </w:tc>
        <w:tc>
          <w:tcPr>
            <w:tcW w:w="496" w:type="pct"/>
            <w:vAlign w:val="center"/>
          </w:tcPr>
          <w:p w14:paraId="1B4E2EA7">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2460</w:t>
            </w:r>
          </w:p>
        </w:tc>
      </w:tr>
      <w:tr w14:paraId="449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C31C71C">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15</w:t>
            </w:r>
          </w:p>
        </w:tc>
        <w:tc>
          <w:tcPr>
            <w:tcW w:w="625" w:type="pct"/>
            <w:vAlign w:val="center"/>
          </w:tcPr>
          <w:p w14:paraId="6849FBB9">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桥架</w:t>
            </w:r>
          </w:p>
        </w:tc>
        <w:tc>
          <w:tcPr>
            <w:tcW w:w="3349" w:type="pct"/>
            <w:gridSpan w:val="2"/>
            <w:vAlign w:val="center"/>
          </w:tcPr>
          <w:p w14:paraId="38611943">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1.国标镀锌桥架（200*100mm） 含桥架连接片、螺栓、螺母、托臂等配件（需满足所承载电缆及附件的自重，长期使用不变形、断裂、桥架整齐、无毛刺，切口应平整、焊缝应均匀整）。</w:t>
            </w:r>
          </w:p>
        </w:tc>
        <w:tc>
          <w:tcPr>
            <w:tcW w:w="496" w:type="pct"/>
            <w:vAlign w:val="center"/>
          </w:tcPr>
          <w:p w14:paraId="55DC8DD2">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50</w:t>
            </w:r>
          </w:p>
        </w:tc>
      </w:tr>
      <w:tr w14:paraId="1F45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pct"/>
            <w:vAlign w:val="center"/>
          </w:tcPr>
          <w:p w14:paraId="5FAA0A56">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16</w:t>
            </w:r>
          </w:p>
        </w:tc>
        <w:tc>
          <w:tcPr>
            <w:tcW w:w="625" w:type="pct"/>
            <w:vAlign w:val="center"/>
          </w:tcPr>
          <w:p w14:paraId="04276060">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光纤网口</w:t>
            </w:r>
          </w:p>
        </w:tc>
        <w:tc>
          <w:tcPr>
            <w:tcW w:w="3349" w:type="pct"/>
            <w:gridSpan w:val="2"/>
            <w:vAlign w:val="center"/>
          </w:tcPr>
          <w:p w14:paraId="30A731D7">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提供从弱电间光纤配线架经桥架到房间内光纤网口的光网络综合布线服务，每个点位包括光纤配线架尾纤、2芯皮线光缆、86型双口光纤面板、SC型光纤适配器、房间内线槽、熔纤、钻孔、固定等所有材料和施工，不包含光纤配线架和桥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2.▲尾纤具有CMA、CNAS或国家信息产业部认可的检测机构的检测光缆信道测试报告，签订合同前校验原件。</w:t>
            </w:r>
          </w:p>
        </w:tc>
        <w:tc>
          <w:tcPr>
            <w:tcW w:w="496" w:type="pct"/>
            <w:vAlign w:val="center"/>
          </w:tcPr>
          <w:p w14:paraId="1A223122">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260</w:t>
            </w:r>
          </w:p>
        </w:tc>
      </w:tr>
      <w:tr w14:paraId="3B15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57FAA892">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17</w:t>
            </w:r>
          </w:p>
        </w:tc>
        <w:tc>
          <w:tcPr>
            <w:tcW w:w="625" w:type="pct"/>
            <w:vAlign w:val="center"/>
          </w:tcPr>
          <w:p w14:paraId="5BF45CD6">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电话网口</w:t>
            </w:r>
          </w:p>
        </w:tc>
        <w:tc>
          <w:tcPr>
            <w:tcW w:w="3349" w:type="pct"/>
            <w:gridSpan w:val="2"/>
            <w:vAlign w:val="center"/>
          </w:tcPr>
          <w:p w14:paraId="4377C039">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1.提供从弱电间电话配线架到经桥架到房间电话网口的电话网络综合布线服务，每个点位包括电话线、86型单口电话面板、语音模块、房间内线槽、钻孔、固定等所有材料和施工，不包含电话配线架和桥架。</w:t>
            </w:r>
          </w:p>
        </w:tc>
        <w:tc>
          <w:tcPr>
            <w:tcW w:w="496" w:type="pct"/>
            <w:vAlign w:val="center"/>
          </w:tcPr>
          <w:p w14:paraId="6F1A6943">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150</w:t>
            </w:r>
          </w:p>
        </w:tc>
      </w:tr>
      <w:tr w14:paraId="135B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4FDBCDC">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18</w:t>
            </w:r>
          </w:p>
        </w:tc>
        <w:tc>
          <w:tcPr>
            <w:tcW w:w="625" w:type="pct"/>
            <w:vAlign w:val="center"/>
          </w:tcPr>
          <w:p w14:paraId="5FA5493A">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信息箱</w:t>
            </w:r>
          </w:p>
        </w:tc>
        <w:tc>
          <w:tcPr>
            <w:tcW w:w="3349" w:type="pct"/>
            <w:gridSpan w:val="2"/>
            <w:vAlign w:val="center"/>
          </w:tcPr>
          <w:p w14:paraId="525D460B">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1、规格：≥425*320*115；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2、箱体材质：塑面铁底；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3、安装方式：挂墙；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4.含≥2位插板/专用ONU支架及配件；</w:t>
            </w:r>
          </w:p>
        </w:tc>
        <w:tc>
          <w:tcPr>
            <w:tcW w:w="496" w:type="pct"/>
            <w:vAlign w:val="center"/>
          </w:tcPr>
          <w:p w14:paraId="5172B190">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65</w:t>
            </w:r>
          </w:p>
        </w:tc>
      </w:tr>
      <w:tr w14:paraId="70B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4CA61251">
            <w:pPr>
              <w:keepNext w:val="0"/>
              <w:keepLines w:val="0"/>
              <w:widowControl/>
              <w:suppressLineNumbers w:val="0"/>
              <w:jc w:val="left"/>
              <w:textAlignment w:val="center"/>
              <w:rPr>
                <w:rFonts w:hint="eastAsia" w:ascii="宋体" w:hAnsi="宋体" w:eastAsia="宋体" w:cs="宋体"/>
                <w:color w:val="auto"/>
                <w:kern w:val="0"/>
                <w:sz w:val="21"/>
                <w:szCs w:val="21"/>
                <w:lang w:val="zh-CN"/>
              </w:rPr>
            </w:pPr>
            <w:r>
              <w:rPr>
                <w:rFonts w:hint="eastAsia" w:ascii="宋体" w:hAnsi="宋体" w:eastAsia="宋体" w:cs="宋体"/>
                <w:i w:val="0"/>
                <w:iCs w:val="0"/>
                <w:color w:val="auto"/>
                <w:kern w:val="0"/>
                <w:sz w:val="21"/>
                <w:szCs w:val="21"/>
                <w:u w:val="none"/>
                <w:lang w:val="en-US" w:eastAsia="zh-CN" w:bidi="ar"/>
              </w:rPr>
              <w:t>19</w:t>
            </w:r>
          </w:p>
        </w:tc>
        <w:tc>
          <w:tcPr>
            <w:tcW w:w="625" w:type="pct"/>
            <w:vAlign w:val="center"/>
          </w:tcPr>
          <w:p w14:paraId="1D60CCB6">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系统集成</w:t>
            </w:r>
          </w:p>
        </w:tc>
        <w:tc>
          <w:tcPr>
            <w:tcW w:w="3349" w:type="pct"/>
            <w:gridSpan w:val="2"/>
            <w:vAlign w:val="center"/>
          </w:tcPr>
          <w:p w14:paraId="43DA0944">
            <w:pPr>
              <w:keepNext w:val="0"/>
              <w:keepLines w:val="0"/>
              <w:widowControl/>
              <w:suppressLineNumbers w:val="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1.提供本项目所需的规划设计、图纸制作、设备运输、安装、调试、打标签、集成、售后等服务，也包括为采购人现有的利旧设备提供上述所有服务。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实施人员应具备所提供产品的安装调试能力，具有所提供OLT设备原厂的培训证书或证明（提供本项目实施人员名单、上一季度或近3个月内任意1个月的社保缴费证明及技能等级培训证书或证明复印件并加盖公章）或者提供原厂上门实施服务（提供原厂上门实施承诺函，上门实施人员须出示官方有效身份证明和技能等级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3.提供≥3年原厂质保，质保期自验收合格之日起计算（对OLT和ONU，提供原厂质保承诺函，货到时通过官方途径验证货物销售对象和质保期）。</w:t>
            </w:r>
          </w:p>
        </w:tc>
        <w:tc>
          <w:tcPr>
            <w:tcW w:w="496" w:type="pct"/>
            <w:vAlign w:val="center"/>
          </w:tcPr>
          <w:p w14:paraId="1CCB1FED">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50000</w:t>
            </w:r>
          </w:p>
        </w:tc>
      </w:tr>
      <w:tr w14:paraId="1BED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8" w:type="pct"/>
            <w:vAlign w:val="center"/>
          </w:tcPr>
          <w:p w14:paraId="687CA287">
            <w:pPr>
              <w:keepNext w:val="0"/>
              <w:keepLines w:val="0"/>
              <w:widowControl/>
              <w:suppressLineNumbers w:val="0"/>
              <w:jc w:val="left"/>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20</w:t>
            </w:r>
          </w:p>
        </w:tc>
        <w:tc>
          <w:tcPr>
            <w:tcW w:w="3975" w:type="pct"/>
            <w:gridSpan w:val="3"/>
            <w:vAlign w:val="center"/>
          </w:tcPr>
          <w:p w14:paraId="46DA51B7">
            <w:pPr>
              <w:keepNext w:val="0"/>
              <w:keepLines w:val="0"/>
              <w:widowControl/>
              <w:suppressLineNumbers w:val="0"/>
              <w:jc w:val="left"/>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售后服务</w:t>
            </w:r>
          </w:p>
        </w:tc>
        <w:tc>
          <w:tcPr>
            <w:tcW w:w="496" w:type="pct"/>
            <w:vAlign w:val="center"/>
          </w:tcPr>
          <w:p w14:paraId="1476835C">
            <w:pPr>
              <w:keepNext w:val="0"/>
              <w:keepLines w:val="0"/>
              <w:widowControl/>
              <w:suppressLineNumbers w:val="0"/>
              <w:jc w:val="left"/>
              <w:textAlignment w:val="center"/>
              <w:rPr>
                <w:rFonts w:hint="eastAsia" w:ascii="宋体" w:hAnsi="宋体" w:cs="宋体"/>
                <w:b/>
                <w:bCs/>
                <w:i w:val="0"/>
                <w:iCs w:val="0"/>
                <w:color w:val="auto"/>
                <w:kern w:val="0"/>
                <w:sz w:val="21"/>
                <w:szCs w:val="21"/>
                <w:u w:val="none"/>
                <w:lang w:val="en-US" w:eastAsia="zh-CN" w:bidi="ar"/>
              </w:rPr>
            </w:pPr>
          </w:p>
        </w:tc>
      </w:tr>
      <w:tr w14:paraId="5F5A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8" w:type="pct"/>
            <w:vAlign w:val="center"/>
          </w:tcPr>
          <w:p w14:paraId="577519D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20.1</w:t>
            </w:r>
          </w:p>
        </w:tc>
        <w:tc>
          <w:tcPr>
            <w:tcW w:w="3975" w:type="pct"/>
            <w:gridSpan w:val="3"/>
            <w:vAlign w:val="center"/>
          </w:tcPr>
          <w:p w14:paraId="1B9907B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售后服务内容</w:t>
            </w:r>
          </w:p>
        </w:tc>
        <w:tc>
          <w:tcPr>
            <w:tcW w:w="496" w:type="pct"/>
            <w:vAlign w:val="center"/>
          </w:tcPr>
          <w:p w14:paraId="5DAEBE7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val="0"/>
                <w:bCs w:val="0"/>
                <w:color w:val="auto"/>
                <w:kern w:val="0"/>
                <w:sz w:val="21"/>
                <w:szCs w:val="21"/>
                <w:lang w:val="en-US" w:eastAsia="zh-CN"/>
              </w:rPr>
            </w:pPr>
          </w:p>
        </w:tc>
      </w:tr>
      <w:tr w14:paraId="142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337C25E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i w:val="0"/>
                <w:iCs w:val="0"/>
                <w:color w:val="auto"/>
                <w:kern w:val="0"/>
                <w:sz w:val="21"/>
                <w:szCs w:val="21"/>
                <w:u w:val="none"/>
                <w:lang w:val="en-US" w:eastAsia="zh-CN" w:bidi="ar"/>
              </w:rPr>
            </w:pPr>
          </w:p>
        </w:tc>
        <w:tc>
          <w:tcPr>
            <w:tcW w:w="3975" w:type="pct"/>
            <w:gridSpan w:val="3"/>
            <w:vAlign w:val="center"/>
          </w:tcPr>
          <w:p w14:paraId="59D4EA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质保期内，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按照以下约定提供售后服务。</w:t>
            </w:r>
          </w:p>
          <w:p w14:paraId="499E6FB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服务范围为供应商提供的产品。</w:t>
            </w:r>
          </w:p>
          <w:p w14:paraId="1905D8A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维修更换的整机或部件应为原厂正品，可通过原厂官网或服务电话查验，且各项指标不低于原有标准，更换后的保修期从更换之日起重新计算。维修期间供应商须提供同档次的备机，确保采购人业务连续性。</w:t>
            </w:r>
          </w:p>
          <w:p w14:paraId="1F20D4B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若</w:t>
            </w:r>
            <w:r>
              <w:rPr>
                <w:rFonts w:hint="eastAsia" w:ascii="宋体" w:hAnsi="宋体" w:eastAsia="宋体" w:cs="宋体"/>
                <w:color w:val="auto"/>
                <w:sz w:val="21"/>
                <w:szCs w:val="21"/>
              </w:rPr>
              <w:t>标的物经</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次维修或维修超过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lang w:val="en-US" w:eastAsia="zh-CN"/>
              </w:rPr>
              <w:t>日</w:t>
            </w:r>
            <w:r>
              <w:rPr>
                <w:rFonts w:hint="eastAsia" w:ascii="宋体" w:hAnsi="宋体" w:eastAsia="宋体" w:cs="宋体"/>
                <w:color w:val="auto"/>
                <w:sz w:val="21"/>
                <w:szCs w:val="21"/>
              </w:rPr>
              <w:t>仍不</w:t>
            </w:r>
            <w:r>
              <w:rPr>
                <w:rFonts w:hint="eastAsia" w:ascii="宋体" w:hAnsi="宋体" w:eastAsia="宋体" w:cs="宋体"/>
                <w:color w:val="auto"/>
                <w:sz w:val="21"/>
                <w:szCs w:val="21"/>
              </w:rPr>
              <w:t>能达到本</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约定</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标准，</w:t>
            </w:r>
            <w:r>
              <w:rPr>
                <w:rFonts w:hint="eastAsia" w:ascii="宋体" w:hAnsi="宋体" w:eastAsia="宋体" w:cs="宋体"/>
                <w:color w:val="auto"/>
                <w:sz w:val="21"/>
                <w:szCs w:val="21"/>
                <w:lang w:val="en-US" w:eastAsia="zh-CN"/>
              </w:rPr>
              <w:t>则</w:t>
            </w:r>
            <w:r>
              <w:rPr>
                <w:rFonts w:hint="eastAsia" w:ascii="宋体" w:hAnsi="宋体" w:eastAsia="宋体" w:cs="宋体"/>
                <w:color w:val="auto"/>
                <w:sz w:val="21"/>
                <w:szCs w:val="21"/>
                <w:lang w:eastAsia="zh-CN"/>
              </w:rPr>
              <w:t>视为供应商不能交付标的物而违约</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有权退货并追究</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的违约责任。</w:t>
            </w:r>
          </w:p>
          <w:p w14:paraId="25C67B3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w:t>
            </w:r>
            <w:r>
              <w:rPr>
                <w:rFonts w:hint="eastAsia" w:ascii="宋体" w:hAnsi="宋体" w:eastAsia="宋体" w:cs="宋体"/>
                <w:color w:val="auto"/>
                <w:sz w:val="21"/>
                <w:szCs w:val="21"/>
              </w:rPr>
              <w:t>涉及的一切费用</w:t>
            </w:r>
            <w:r>
              <w:rPr>
                <w:rFonts w:hint="eastAsia" w:ascii="宋体" w:hAnsi="宋体" w:eastAsia="宋体" w:cs="宋体"/>
                <w:color w:val="auto"/>
                <w:sz w:val="21"/>
                <w:szCs w:val="21"/>
                <w:lang w:val="en-US" w:eastAsia="zh-CN"/>
              </w:rPr>
              <w:t>已</w:t>
            </w:r>
            <w:r>
              <w:rPr>
                <w:rFonts w:hint="eastAsia" w:ascii="宋体" w:hAnsi="宋体" w:eastAsia="宋体" w:cs="宋体"/>
                <w:color w:val="auto"/>
                <w:sz w:val="21"/>
                <w:szCs w:val="21"/>
              </w:rPr>
              <w:t>包含在本</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价款之内，</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不得</w:t>
            </w:r>
            <w:r>
              <w:rPr>
                <w:rFonts w:hint="eastAsia" w:ascii="宋体" w:hAnsi="宋体" w:eastAsia="宋体" w:cs="宋体"/>
                <w:color w:val="auto"/>
                <w:sz w:val="21"/>
                <w:szCs w:val="21"/>
                <w:lang w:val="en-US" w:eastAsia="zh-CN"/>
              </w:rPr>
              <w:t>再</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lang w:val="en-US" w:eastAsia="zh-CN"/>
              </w:rPr>
              <w:t>和本项目相关</w:t>
            </w:r>
            <w:r>
              <w:rPr>
                <w:rFonts w:hint="eastAsia" w:ascii="宋体" w:hAnsi="宋体" w:eastAsia="宋体" w:cs="宋体"/>
                <w:color w:val="auto"/>
                <w:sz w:val="21"/>
                <w:szCs w:val="21"/>
              </w:rPr>
              <w:t>第三方收取任何其他费用。</w:t>
            </w:r>
          </w:p>
          <w:p w14:paraId="1092C38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bCs/>
                <w:color w:val="auto"/>
                <w:kern w:val="0"/>
                <w:sz w:val="21"/>
                <w:szCs w:val="21"/>
              </w:rPr>
            </w:pPr>
            <w:r>
              <w:rPr>
                <w:rFonts w:hint="eastAsia" w:ascii="宋体" w:hAnsi="宋体" w:eastAsia="宋体" w:cs="宋体"/>
                <w:color w:val="auto"/>
                <w:sz w:val="21"/>
                <w:szCs w:val="21"/>
              </w:rPr>
              <w:t>对于隐蔽性的、</w:t>
            </w:r>
            <w:r>
              <w:rPr>
                <w:rFonts w:hint="eastAsia" w:ascii="宋体" w:hAnsi="宋体" w:eastAsia="宋体" w:cs="宋体"/>
                <w:color w:val="auto"/>
                <w:sz w:val="21"/>
                <w:szCs w:val="21"/>
                <w:lang w:val="en-US" w:eastAsia="zh-CN"/>
              </w:rPr>
              <w:t>通过</w:t>
            </w:r>
            <w:r>
              <w:rPr>
                <w:rFonts w:hint="eastAsia" w:ascii="宋体" w:hAnsi="宋体" w:eastAsia="宋体" w:cs="宋体"/>
                <w:color w:val="auto"/>
                <w:sz w:val="21"/>
                <w:szCs w:val="21"/>
              </w:rPr>
              <w:t>合理的检查和试验都不能发觉的缺陷，即使质保期已过，无论</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是否购买维保服务，由于标的物本身的设计、制造</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安装缺陷造成的故障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仍由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免费负责</w:t>
            </w:r>
            <w:r>
              <w:rPr>
                <w:rFonts w:hint="eastAsia" w:ascii="宋体" w:hAnsi="宋体" w:eastAsia="宋体" w:cs="宋体"/>
                <w:color w:val="auto"/>
                <w:sz w:val="21"/>
                <w:szCs w:val="21"/>
                <w:lang w:val="en-US" w:eastAsia="zh-CN"/>
              </w:rPr>
              <w:t>修复</w:t>
            </w:r>
            <w:r>
              <w:rPr>
                <w:rFonts w:hint="eastAsia" w:ascii="宋体" w:hAnsi="宋体" w:eastAsia="宋体" w:cs="宋体"/>
                <w:color w:val="auto"/>
                <w:sz w:val="21"/>
                <w:szCs w:val="21"/>
              </w:rPr>
              <w:t>。该</w:t>
            </w:r>
            <w:r>
              <w:rPr>
                <w:rFonts w:hint="eastAsia" w:ascii="宋体" w:hAnsi="宋体" w:eastAsia="宋体" w:cs="宋体"/>
                <w:color w:val="auto"/>
                <w:sz w:val="21"/>
                <w:szCs w:val="21"/>
                <w:lang w:val="en-US" w:eastAsia="zh-CN"/>
              </w:rPr>
              <w:t>售后</w:t>
            </w:r>
            <w:r>
              <w:rPr>
                <w:rFonts w:hint="eastAsia" w:ascii="宋体" w:hAnsi="宋体" w:eastAsia="宋体" w:cs="宋体"/>
                <w:color w:val="auto"/>
                <w:sz w:val="21"/>
                <w:szCs w:val="21"/>
              </w:rPr>
              <w:t>义务不因</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终止而解除。</w:t>
            </w:r>
          </w:p>
          <w:p w14:paraId="02E0E0C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bCs/>
                <w:color w:val="auto"/>
                <w:kern w:val="0"/>
                <w:sz w:val="21"/>
                <w:szCs w:val="21"/>
              </w:rPr>
            </w:pPr>
            <w:r>
              <w:rPr>
                <w:rFonts w:hint="eastAsia" w:ascii="Times New Roman" w:hAnsi="Times New Roman" w:eastAsia="宋体"/>
                <w:color w:val="auto"/>
                <w:sz w:val="21"/>
                <w:szCs w:val="21"/>
                <w:lang w:eastAsia="zh-CN"/>
              </w:rPr>
              <w:t>供应商</w:t>
            </w:r>
            <w:r>
              <w:rPr>
                <w:rFonts w:ascii="Times New Roman" w:hAnsi="Times New Roman" w:eastAsia="宋体"/>
                <w:color w:val="auto"/>
                <w:sz w:val="21"/>
                <w:szCs w:val="21"/>
              </w:rPr>
              <w:t>须指派专人负责与</w:t>
            </w:r>
            <w:r>
              <w:rPr>
                <w:rFonts w:hint="eastAsia" w:ascii="Times New Roman" w:hAnsi="Times New Roman" w:eastAsia="宋体"/>
                <w:color w:val="auto"/>
                <w:sz w:val="21"/>
                <w:szCs w:val="21"/>
                <w:lang w:eastAsia="zh-CN"/>
              </w:rPr>
              <w:t>采购人</w:t>
            </w:r>
            <w:r>
              <w:rPr>
                <w:rFonts w:ascii="Times New Roman" w:hAnsi="Times New Roman" w:eastAsia="宋体"/>
                <w:color w:val="auto"/>
                <w:sz w:val="21"/>
                <w:szCs w:val="21"/>
              </w:rPr>
              <w:t>联系售后服务事宜</w:t>
            </w:r>
            <w:r>
              <w:rPr>
                <w:rFonts w:hint="eastAsia" w:ascii="Times New Roman" w:hAnsi="Times New Roman" w:eastAsia="宋体"/>
                <w:color w:val="auto"/>
                <w:sz w:val="21"/>
                <w:szCs w:val="21"/>
              </w:rPr>
              <w:t>，现场服务人员应服从</w:t>
            </w:r>
            <w:r>
              <w:rPr>
                <w:rFonts w:hint="eastAsia" w:ascii="Times New Roman" w:hAnsi="Times New Roman" w:eastAsia="宋体"/>
                <w:color w:val="auto"/>
                <w:sz w:val="21"/>
                <w:szCs w:val="21"/>
                <w:lang w:eastAsia="zh-CN"/>
              </w:rPr>
              <w:t>采购人</w:t>
            </w:r>
            <w:r>
              <w:rPr>
                <w:rFonts w:hint="eastAsia" w:ascii="Times New Roman" w:hAnsi="Times New Roman" w:eastAsia="宋体"/>
                <w:color w:val="auto"/>
                <w:sz w:val="21"/>
                <w:szCs w:val="21"/>
              </w:rPr>
              <w:t>管理</w:t>
            </w:r>
            <w:r>
              <w:rPr>
                <w:rFonts w:hint="eastAsia" w:ascii="Times New Roman" w:hAnsi="Times New Roman" w:eastAsia="宋体"/>
                <w:color w:val="auto"/>
                <w:sz w:val="21"/>
                <w:szCs w:val="21"/>
                <w:lang w:eastAsia="zh-CN"/>
              </w:rPr>
              <w:t>。</w:t>
            </w:r>
          </w:p>
        </w:tc>
        <w:tc>
          <w:tcPr>
            <w:tcW w:w="496" w:type="pct"/>
            <w:vAlign w:val="center"/>
          </w:tcPr>
          <w:p w14:paraId="220B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olor w:val="auto"/>
                <w:sz w:val="21"/>
                <w:szCs w:val="21"/>
                <w:lang w:eastAsia="zh-CN"/>
              </w:rPr>
            </w:pPr>
          </w:p>
        </w:tc>
      </w:tr>
      <w:tr w14:paraId="0FF3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28" w:type="pct"/>
            <w:vAlign w:val="center"/>
          </w:tcPr>
          <w:p w14:paraId="51D0BB7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20.2</w:t>
            </w:r>
          </w:p>
        </w:tc>
        <w:tc>
          <w:tcPr>
            <w:tcW w:w="3975" w:type="pct"/>
            <w:gridSpan w:val="3"/>
            <w:vAlign w:val="center"/>
          </w:tcPr>
          <w:p w14:paraId="0424A25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售后服务目录</w:t>
            </w:r>
          </w:p>
        </w:tc>
        <w:tc>
          <w:tcPr>
            <w:tcW w:w="496" w:type="pct"/>
            <w:vAlign w:val="center"/>
          </w:tcPr>
          <w:p w14:paraId="572653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kern w:val="0"/>
                <w:sz w:val="21"/>
                <w:szCs w:val="21"/>
                <w:lang w:val="en-US" w:eastAsia="zh-CN"/>
              </w:rPr>
            </w:pPr>
          </w:p>
        </w:tc>
      </w:tr>
      <w:tr w14:paraId="7F79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63713F1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20.2.1</w:t>
            </w:r>
          </w:p>
        </w:tc>
        <w:tc>
          <w:tcPr>
            <w:tcW w:w="625" w:type="pct"/>
            <w:vAlign w:val="center"/>
          </w:tcPr>
          <w:p w14:paraId="63FF4D1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rPr>
              <w:t>例行操作</w:t>
            </w:r>
          </w:p>
        </w:tc>
        <w:tc>
          <w:tcPr>
            <w:tcW w:w="743" w:type="pct"/>
            <w:vAlign w:val="center"/>
          </w:tcPr>
          <w:p w14:paraId="56A6FA1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rPr>
              <w:t>预防性检查</w:t>
            </w:r>
          </w:p>
        </w:tc>
        <w:tc>
          <w:tcPr>
            <w:tcW w:w="2605" w:type="pct"/>
            <w:vAlign w:val="center"/>
          </w:tcPr>
          <w:p w14:paraId="39E47F9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服务内容：</w:t>
            </w:r>
            <w:r>
              <w:rPr>
                <w:rFonts w:hint="eastAsia" w:ascii="宋体" w:hAnsi="宋体" w:eastAsia="宋体" w:cs="宋体"/>
                <w:color w:val="auto"/>
                <w:kern w:val="0"/>
                <w:sz w:val="21"/>
                <w:szCs w:val="21"/>
              </w:rPr>
              <w:t>对</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rPr>
              <w:t>的监控记录、运行条件和运行状态进行巡检，发现其脆弱性，并及时消除或改进。</w:t>
            </w:r>
          </w:p>
          <w:p w14:paraId="28EB8D3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服务方式：</w:t>
            </w:r>
            <w:r>
              <w:rPr>
                <w:rFonts w:hint="eastAsia" w:ascii="宋体" w:hAnsi="宋体" w:eastAsia="宋体" w:cs="宋体"/>
                <w:color w:val="auto"/>
                <w:kern w:val="0"/>
                <w:sz w:val="21"/>
                <w:szCs w:val="21"/>
              </w:rPr>
              <w:t>现场。</w:t>
            </w:r>
          </w:p>
          <w:p w14:paraId="434EE1D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kern w:val="0"/>
                <w:sz w:val="21"/>
                <w:szCs w:val="21"/>
              </w:rPr>
              <w:t>服务时间：</w:t>
            </w:r>
            <w:r>
              <w:rPr>
                <w:rFonts w:hint="eastAsia" w:ascii="宋体" w:hAnsi="宋体" w:eastAsia="宋体" w:cs="宋体"/>
                <w:color w:val="auto"/>
                <w:kern w:val="0"/>
                <w:sz w:val="21"/>
                <w:szCs w:val="21"/>
              </w:rPr>
              <w:t>7*24。</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每季度1次。</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每季度第1周完成。</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交付成果：</w:t>
            </w:r>
            <w:r>
              <w:rPr>
                <w:rFonts w:hint="eastAsia" w:ascii="宋体" w:hAnsi="宋体" w:eastAsia="宋体" w:cs="宋体"/>
                <w:color w:val="auto"/>
                <w:kern w:val="0"/>
                <w:sz w:val="21"/>
                <w:szCs w:val="21"/>
              </w:rPr>
              <w:t>《巡检记录》。</w:t>
            </w:r>
          </w:p>
        </w:tc>
        <w:tc>
          <w:tcPr>
            <w:tcW w:w="496" w:type="pct"/>
            <w:vAlign w:val="center"/>
          </w:tcPr>
          <w:p w14:paraId="66CE5DA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p>
        </w:tc>
      </w:tr>
      <w:tr w14:paraId="52C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194AF10E">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20.2.2</w:t>
            </w:r>
          </w:p>
        </w:tc>
        <w:tc>
          <w:tcPr>
            <w:tcW w:w="625" w:type="pct"/>
            <w:vMerge w:val="restart"/>
            <w:vAlign w:val="center"/>
          </w:tcPr>
          <w:p w14:paraId="042A435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rPr>
              <w:t>响应支持</w:t>
            </w:r>
          </w:p>
        </w:tc>
        <w:tc>
          <w:tcPr>
            <w:tcW w:w="743" w:type="pct"/>
            <w:vAlign w:val="center"/>
          </w:tcPr>
          <w:p w14:paraId="65A3EB9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事件驱动响应</w:t>
            </w:r>
          </w:p>
        </w:tc>
        <w:tc>
          <w:tcPr>
            <w:tcW w:w="2605" w:type="pct"/>
            <w:vAlign w:val="center"/>
          </w:tcPr>
          <w:p w14:paraId="028751A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服务内容：</w:t>
            </w:r>
            <w:r>
              <w:rPr>
                <w:rFonts w:hint="eastAsia" w:ascii="宋体" w:hAnsi="宋体" w:eastAsia="宋体" w:cs="宋体"/>
                <w:color w:val="auto"/>
                <w:kern w:val="0"/>
                <w:sz w:val="21"/>
                <w:szCs w:val="21"/>
              </w:rPr>
              <w:t>对</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故障进行快速响应、排查和修复，包括</w:t>
            </w:r>
            <w:r>
              <w:rPr>
                <w:rFonts w:hint="eastAsia" w:ascii="宋体" w:hAnsi="宋体" w:eastAsia="宋体" w:cs="宋体"/>
                <w:color w:val="auto"/>
                <w:kern w:val="0"/>
                <w:sz w:val="21"/>
                <w:szCs w:val="21"/>
                <w:lang w:val="en-US" w:eastAsia="zh-CN"/>
              </w:rPr>
              <w:t>整机或</w:t>
            </w:r>
            <w:r>
              <w:rPr>
                <w:rFonts w:hint="eastAsia" w:ascii="宋体" w:hAnsi="宋体" w:eastAsia="宋体" w:cs="宋体"/>
                <w:color w:val="auto"/>
                <w:kern w:val="0"/>
                <w:sz w:val="21"/>
                <w:szCs w:val="21"/>
              </w:rPr>
              <w:t>部件更换、配置恢复、数据恢复、应急响应等。</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服务方式：</w:t>
            </w:r>
            <w:r>
              <w:rPr>
                <w:rFonts w:hint="eastAsia" w:ascii="宋体" w:hAnsi="宋体" w:eastAsia="宋体" w:cs="宋体"/>
                <w:bCs/>
                <w:color w:val="auto"/>
                <w:kern w:val="0"/>
                <w:sz w:val="21"/>
                <w:szCs w:val="21"/>
              </w:rPr>
              <w:t>远程+现场，</w:t>
            </w:r>
            <w:r>
              <w:rPr>
                <w:rFonts w:hint="eastAsia" w:ascii="宋体" w:hAnsi="宋体" w:eastAsia="宋体" w:cs="宋体"/>
                <w:color w:val="auto"/>
                <w:kern w:val="0"/>
                <w:sz w:val="21"/>
                <w:szCs w:val="21"/>
              </w:rPr>
              <w:t>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服务时间：</w:t>
            </w:r>
            <w:r>
              <w:rPr>
                <w:rFonts w:hint="eastAsia" w:ascii="宋体" w:hAnsi="宋体" w:eastAsia="宋体" w:cs="宋体"/>
                <w:color w:val="auto"/>
                <w:kern w:val="0"/>
                <w:sz w:val="21"/>
                <w:szCs w:val="21"/>
              </w:rPr>
              <w:t>7*24。</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按需提供，不限次数。</w:t>
            </w:r>
          </w:p>
          <w:p w14:paraId="66C5B85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响应时间10分钟，到场时间3小时，解决时间6小时。</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交付成果：</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维护记录》。</w:t>
            </w:r>
          </w:p>
        </w:tc>
        <w:tc>
          <w:tcPr>
            <w:tcW w:w="496" w:type="pct"/>
            <w:vAlign w:val="center"/>
          </w:tcPr>
          <w:p w14:paraId="5A6405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0"/>
                <w:sz w:val="21"/>
                <w:szCs w:val="21"/>
              </w:rPr>
            </w:pPr>
          </w:p>
        </w:tc>
      </w:tr>
      <w:tr w14:paraId="5E3E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5C3E8B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color w:val="auto"/>
                <w:kern w:val="0"/>
                <w:sz w:val="21"/>
                <w:szCs w:val="21"/>
                <w:lang w:val="en-US" w:eastAsia="zh-CN"/>
              </w:rPr>
              <w:t>20.2.3</w:t>
            </w:r>
          </w:p>
        </w:tc>
        <w:tc>
          <w:tcPr>
            <w:tcW w:w="625" w:type="pct"/>
            <w:vMerge w:val="continue"/>
            <w:vAlign w:val="center"/>
          </w:tcPr>
          <w:p w14:paraId="76ACF95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p>
        </w:tc>
        <w:tc>
          <w:tcPr>
            <w:tcW w:w="743" w:type="pct"/>
            <w:vAlign w:val="center"/>
          </w:tcPr>
          <w:p w14:paraId="5F56846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服务请求响应</w:t>
            </w:r>
          </w:p>
        </w:tc>
        <w:tc>
          <w:tcPr>
            <w:tcW w:w="2605" w:type="pct"/>
            <w:vAlign w:val="center"/>
          </w:tcPr>
          <w:p w14:paraId="6441A0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服务内容：</w:t>
            </w:r>
            <w:r>
              <w:rPr>
                <w:rFonts w:hint="eastAsia" w:ascii="宋体" w:hAnsi="宋体" w:eastAsia="宋体" w:cs="宋体"/>
                <w:bCs/>
                <w:color w:val="auto"/>
                <w:kern w:val="0"/>
                <w:sz w:val="21"/>
                <w:szCs w:val="21"/>
              </w:rPr>
              <w:t>根据业务运行需要，对</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的服务请求进行响应，包括设备安装、设备移机、链路跳线、配置变更、操作培训、应急演练、相关项目实施时给予协助与支持、网络安全工作配合与支持等。</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服务方式：</w:t>
            </w:r>
            <w:r>
              <w:rPr>
                <w:rFonts w:hint="eastAsia" w:ascii="宋体" w:hAnsi="宋体" w:eastAsia="宋体" w:cs="宋体"/>
                <w:bCs/>
                <w:color w:val="auto"/>
                <w:kern w:val="0"/>
                <w:sz w:val="21"/>
                <w:szCs w:val="21"/>
              </w:rPr>
              <w:t>远程+现场，</w:t>
            </w:r>
            <w:r>
              <w:rPr>
                <w:rFonts w:hint="eastAsia" w:ascii="宋体" w:hAnsi="宋体" w:eastAsia="宋体" w:cs="宋体"/>
                <w:color w:val="auto"/>
                <w:kern w:val="0"/>
                <w:sz w:val="21"/>
                <w:szCs w:val="21"/>
              </w:rPr>
              <w:t>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服务时间：</w:t>
            </w:r>
            <w:r>
              <w:rPr>
                <w:rFonts w:hint="eastAsia" w:ascii="宋体" w:hAnsi="宋体" w:eastAsia="宋体" w:cs="宋体"/>
                <w:color w:val="auto"/>
                <w:kern w:val="0"/>
                <w:sz w:val="21"/>
                <w:szCs w:val="21"/>
              </w:rPr>
              <w:t>7*24。</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按需提供，不限次数。</w:t>
            </w:r>
          </w:p>
          <w:p w14:paraId="55B56D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响应时间10分钟，到场时间3小时，解决时间6小时。</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交付成果：</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维护记录》。</w:t>
            </w:r>
          </w:p>
        </w:tc>
        <w:tc>
          <w:tcPr>
            <w:tcW w:w="496" w:type="pct"/>
            <w:vAlign w:val="center"/>
          </w:tcPr>
          <w:p w14:paraId="465BA87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0"/>
                <w:sz w:val="21"/>
                <w:szCs w:val="21"/>
              </w:rPr>
            </w:pPr>
          </w:p>
        </w:tc>
      </w:tr>
      <w:tr w14:paraId="1C97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4BCF815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color w:val="auto"/>
                <w:kern w:val="0"/>
                <w:sz w:val="21"/>
                <w:szCs w:val="21"/>
                <w:lang w:val="en-US" w:eastAsia="zh-CN"/>
              </w:rPr>
              <w:t>20.2.4</w:t>
            </w:r>
          </w:p>
        </w:tc>
        <w:tc>
          <w:tcPr>
            <w:tcW w:w="625" w:type="pct"/>
            <w:vMerge w:val="restart"/>
            <w:vAlign w:val="center"/>
          </w:tcPr>
          <w:p w14:paraId="7854468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rPr>
              <w:t>优化改善</w:t>
            </w:r>
          </w:p>
        </w:tc>
        <w:tc>
          <w:tcPr>
            <w:tcW w:w="743" w:type="pct"/>
            <w:vAlign w:val="center"/>
          </w:tcPr>
          <w:p w14:paraId="3CB53A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适应性改进</w:t>
            </w:r>
          </w:p>
        </w:tc>
        <w:tc>
          <w:tcPr>
            <w:tcW w:w="2605" w:type="pct"/>
            <w:vAlign w:val="center"/>
          </w:tcPr>
          <w:p w14:paraId="72E79D8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服务内容：</w:t>
            </w:r>
            <w:r>
              <w:rPr>
                <w:rFonts w:hint="eastAsia" w:ascii="宋体" w:hAnsi="宋体" w:eastAsia="宋体" w:cs="宋体"/>
                <w:color w:val="auto"/>
                <w:kern w:val="0"/>
                <w:sz w:val="21"/>
                <w:szCs w:val="21"/>
              </w:rPr>
              <w:t>为保持</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rPr>
              <w:t>在新环境中可持续运行而实施的优化改进，包括配置变更、新设备集成接入等。</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服务方式：</w:t>
            </w:r>
            <w:r>
              <w:rPr>
                <w:rFonts w:hint="eastAsia" w:ascii="宋体" w:hAnsi="宋体" w:eastAsia="宋体" w:cs="宋体"/>
                <w:bCs/>
                <w:color w:val="auto"/>
                <w:kern w:val="0"/>
                <w:sz w:val="21"/>
                <w:szCs w:val="21"/>
              </w:rPr>
              <w:t>远程+现场，</w:t>
            </w:r>
            <w:r>
              <w:rPr>
                <w:rFonts w:hint="eastAsia" w:ascii="宋体" w:hAnsi="宋体" w:eastAsia="宋体" w:cs="宋体"/>
                <w:color w:val="auto"/>
                <w:kern w:val="0"/>
                <w:sz w:val="21"/>
                <w:szCs w:val="21"/>
              </w:rPr>
              <w:t>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服务时间：</w:t>
            </w:r>
            <w:r>
              <w:rPr>
                <w:rFonts w:hint="eastAsia" w:ascii="宋体" w:hAnsi="宋体" w:eastAsia="宋体" w:cs="宋体"/>
                <w:color w:val="auto"/>
                <w:kern w:val="0"/>
                <w:sz w:val="21"/>
                <w:szCs w:val="21"/>
              </w:rPr>
              <w:t>7*24。</w:t>
            </w:r>
          </w:p>
          <w:p w14:paraId="5A433B5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按需提供，不限次数。</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响应时间10分钟，到场时间、解决时间根据业务需要由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交付成果：</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维护记录》。</w:t>
            </w:r>
          </w:p>
        </w:tc>
        <w:tc>
          <w:tcPr>
            <w:tcW w:w="496" w:type="pct"/>
            <w:vAlign w:val="center"/>
          </w:tcPr>
          <w:p w14:paraId="1B95B4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0"/>
                <w:sz w:val="21"/>
                <w:szCs w:val="21"/>
              </w:rPr>
            </w:pPr>
          </w:p>
        </w:tc>
      </w:tr>
      <w:tr w14:paraId="1190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2B81642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color w:val="auto"/>
                <w:kern w:val="0"/>
                <w:sz w:val="21"/>
                <w:szCs w:val="21"/>
                <w:lang w:val="en-US" w:eastAsia="zh-CN"/>
              </w:rPr>
              <w:t>20.2.5</w:t>
            </w:r>
          </w:p>
        </w:tc>
        <w:tc>
          <w:tcPr>
            <w:tcW w:w="625" w:type="pct"/>
            <w:vMerge w:val="continue"/>
            <w:vAlign w:val="center"/>
          </w:tcPr>
          <w:p w14:paraId="2E3331B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p>
        </w:tc>
        <w:tc>
          <w:tcPr>
            <w:tcW w:w="743" w:type="pct"/>
            <w:vAlign w:val="center"/>
          </w:tcPr>
          <w:p w14:paraId="1482A86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增强性改进</w:t>
            </w:r>
          </w:p>
        </w:tc>
        <w:tc>
          <w:tcPr>
            <w:tcW w:w="2605" w:type="pct"/>
            <w:vAlign w:val="center"/>
          </w:tcPr>
          <w:p w14:paraId="148E052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服务内容：</w:t>
            </w: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rPr>
              <w:t>的运行状况采取改进措施，增强</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rPr>
              <w:t>的安全性、可用性和可靠性，包括配置优化、性能优化、架构优化、功能优化、系统升级等。</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产品如有新版本且</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需要的，</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应免费升级。</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服务方式：</w:t>
            </w:r>
            <w:r>
              <w:rPr>
                <w:rFonts w:hint="eastAsia" w:ascii="宋体" w:hAnsi="宋体" w:eastAsia="宋体" w:cs="宋体"/>
                <w:bCs/>
                <w:color w:val="auto"/>
                <w:kern w:val="0"/>
                <w:sz w:val="21"/>
                <w:szCs w:val="21"/>
              </w:rPr>
              <w:t>远程+现场，</w:t>
            </w:r>
            <w:r>
              <w:rPr>
                <w:rFonts w:hint="eastAsia" w:ascii="宋体" w:hAnsi="宋体" w:eastAsia="宋体" w:cs="宋体"/>
                <w:color w:val="auto"/>
                <w:kern w:val="0"/>
                <w:sz w:val="21"/>
                <w:szCs w:val="21"/>
              </w:rPr>
              <w:t>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服务时间：</w:t>
            </w:r>
            <w:r>
              <w:rPr>
                <w:rFonts w:hint="eastAsia" w:ascii="宋体" w:hAnsi="宋体" w:eastAsia="宋体" w:cs="宋体"/>
                <w:color w:val="auto"/>
                <w:kern w:val="0"/>
                <w:sz w:val="21"/>
                <w:szCs w:val="21"/>
              </w:rPr>
              <w:t>7*24。</w:t>
            </w:r>
          </w:p>
          <w:p w14:paraId="1229988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按需提供，不限次数。</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响应时间10分钟，到场时间、解决时间根据业务需要由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p>
          <w:p w14:paraId="37CC93B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交付成果：</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维护记录》。</w:t>
            </w:r>
          </w:p>
        </w:tc>
        <w:tc>
          <w:tcPr>
            <w:tcW w:w="496" w:type="pct"/>
            <w:vAlign w:val="center"/>
          </w:tcPr>
          <w:p w14:paraId="7412DF5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0"/>
                <w:sz w:val="21"/>
                <w:szCs w:val="21"/>
              </w:rPr>
            </w:pPr>
          </w:p>
        </w:tc>
      </w:tr>
      <w:tr w14:paraId="428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615BC8F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cs="宋体"/>
                <w:color w:val="auto"/>
                <w:kern w:val="0"/>
                <w:sz w:val="21"/>
                <w:szCs w:val="21"/>
                <w:lang w:val="en-US" w:eastAsia="zh-CN"/>
              </w:rPr>
              <w:t>20.2.6</w:t>
            </w:r>
          </w:p>
        </w:tc>
        <w:tc>
          <w:tcPr>
            <w:tcW w:w="625" w:type="pct"/>
            <w:vMerge w:val="continue"/>
            <w:vAlign w:val="center"/>
          </w:tcPr>
          <w:p w14:paraId="2007FE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auto"/>
                <w:kern w:val="0"/>
                <w:sz w:val="21"/>
                <w:szCs w:val="21"/>
                <w:u w:val="none"/>
                <w:lang w:val="en-US" w:eastAsia="zh-CN" w:bidi="ar"/>
              </w:rPr>
            </w:pPr>
          </w:p>
        </w:tc>
        <w:tc>
          <w:tcPr>
            <w:tcW w:w="743" w:type="pct"/>
            <w:vAlign w:val="center"/>
          </w:tcPr>
          <w:p w14:paraId="3EA61A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预防性改进</w:t>
            </w:r>
          </w:p>
        </w:tc>
        <w:tc>
          <w:tcPr>
            <w:tcW w:w="2605" w:type="pct"/>
            <w:vAlign w:val="center"/>
          </w:tcPr>
          <w:p w14:paraId="252363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服务内容：</w:t>
            </w:r>
            <w:r>
              <w:rPr>
                <w:rFonts w:hint="eastAsia" w:ascii="宋体" w:hAnsi="宋体" w:eastAsia="宋体" w:cs="宋体"/>
                <w:color w:val="auto"/>
                <w:kern w:val="0"/>
                <w:sz w:val="21"/>
                <w:szCs w:val="21"/>
              </w:rPr>
              <w:t>检测和纠正</w:t>
            </w:r>
            <w:r>
              <w:rPr>
                <w:rFonts w:hint="eastAsia" w:ascii="宋体" w:hAnsi="宋体" w:eastAsia="宋体" w:cs="宋体"/>
                <w:color w:val="auto"/>
                <w:kern w:val="0"/>
                <w:sz w:val="21"/>
                <w:szCs w:val="21"/>
                <w:lang w:eastAsia="zh-CN"/>
              </w:rPr>
              <w:t>服务范围内对象</w:t>
            </w:r>
            <w:r>
              <w:rPr>
                <w:rFonts w:hint="eastAsia" w:ascii="宋体" w:hAnsi="宋体" w:eastAsia="宋体" w:cs="宋体"/>
                <w:color w:val="auto"/>
                <w:kern w:val="0"/>
                <w:sz w:val="21"/>
                <w:szCs w:val="21"/>
              </w:rPr>
              <w:t>运行过程中潜在的问题或缺陷，包括配置变更、安全优化、漏洞修复、补丁更新等。</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服务方式：</w:t>
            </w:r>
            <w:r>
              <w:rPr>
                <w:rFonts w:hint="eastAsia" w:ascii="宋体" w:hAnsi="宋体" w:eastAsia="宋体" w:cs="宋体"/>
                <w:bCs/>
                <w:color w:val="auto"/>
                <w:kern w:val="0"/>
                <w:sz w:val="21"/>
                <w:szCs w:val="21"/>
              </w:rPr>
              <w:t>远程+现场，</w:t>
            </w:r>
            <w:r>
              <w:rPr>
                <w:rFonts w:hint="eastAsia" w:ascii="宋体" w:hAnsi="宋体" w:eastAsia="宋体" w:cs="宋体"/>
                <w:color w:val="auto"/>
                <w:kern w:val="0"/>
                <w:sz w:val="21"/>
                <w:szCs w:val="21"/>
              </w:rPr>
              <w:t>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服务时间：</w:t>
            </w:r>
            <w:r>
              <w:rPr>
                <w:rFonts w:hint="eastAsia" w:ascii="宋体" w:hAnsi="宋体" w:eastAsia="宋体" w:cs="宋体"/>
                <w:color w:val="auto"/>
                <w:kern w:val="0"/>
                <w:sz w:val="21"/>
                <w:szCs w:val="21"/>
              </w:rPr>
              <w:t>7*24。</w:t>
            </w:r>
          </w:p>
          <w:p w14:paraId="6BA6CF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rPr>
            </w:pPr>
            <w:r>
              <w:rPr>
                <w:rFonts w:hint="eastAsia" w:ascii="宋体" w:hAnsi="宋体" w:eastAsia="宋体" w:cs="宋体"/>
                <w:b/>
                <w:color w:val="auto"/>
                <w:kern w:val="0"/>
                <w:sz w:val="21"/>
                <w:szCs w:val="21"/>
              </w:rPr>
              <w:t>服务频次：</w:t>
            </w:r>
            <w:r>
              <w:rPr>
                <w:rFonts w:hint="eastAsia" w:ascii="宋体" w:hAnsi="宋体" w:eastAsia="宋体" w:cs="宋体"/>
                <w:color w:val="auto"/>
                <w:kern w:val="0"/>
                <w:sz w:val="21"/>
                <w:szCs w:val="21"/>
              </w:rPr>
              <w:t>按需提供，不限次数。</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服务级别：</w:t>
            </w:r>
            <w:r>
              <w:rPr>
                <w:rFonts w:hint="eastAsia" w:ascii="宋体" w:hAnsi="宋体" w:eastAsia="宋体" w:cs="宋体"/>
                <w:color w:val="auto"/>
                <w:kern w:val="0"/>
                <w:sz w:val="21"/>
                <w:szCs w:val="21"/>
              </w:rPr>
              <w:t>响应时间10分钟，到场时间、解决时间根据业务需要由</w:t>
            </w:r>
            <w:r>
              <w:rPr>
                <w:rFonts w:hint="eastAsia" w:ascii="宋体" w:hAnsi="宋体" w:eastAsia="宋体" w:cs="宋体"/>
                <w:color w:val="auto"/>
                <w:kern w:val="0"/>
                <w:sz w:val="21"/>
                <w:szCs w:val="21"/>
                <w:lang w:eastAsia="zh-CN"/>
              </w:rPr>
              <w:t>采购人</w:t>
            </w:r>
            <w:r>
              <w:rPr>
                <w:rFonts w:hint="eastAsia" w:ascii="宋体" w:hAnsi="宋体" w:eastAsia="宋体" w:cs="宋体"/>
                <w:color w:val="auto"/>
                <w:kern w:val="0"/>
                <w:sz w:val="21"/>
                <w:szCs w:val="21"/>
              </w:rPr>
              <w:t>指定。</w:t>
            </w:r>
            <w:r>
              <w:rPr>
                <w:rFonts w:hint="eastAsia" w:ascii="宋体" w:hAnsi="宋体" w:eastAsia="宋体" w:cs="宋体"/>
                <w:color w:val="auto"/>
                <w:kern w:val="0"/>
                <w:sz w:val="21"/>
                <w:szCs w:val="21"/>
              </w:rPr>
              <w:br w:type="textWrapping"/>
            </w:r>
            <w:r>
              <w:rPr>
                <w:rFonts w:hint="eastAsia" w:ascii="宋体" w:hAnsi="宋体" w:eastAsia="宋体" w:cs="宋体"/>
                <w:b/>
                <w:color w:val="auto"/>
                <w:kern w:val="0"/>
                <w:sz w:val="21"/>
                <w:szCs w:val="21"/>
              </w:rPr>
              <w:t>交付成果：</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维护记录》。</w:t>
            </w:r>
          </w:p>
        </w:tc>
        <w:tc>
          <w:tcPr>
            <w:tcW w:w="496" w:type="pct"/>
            <w:vAlign w:val="center"/>
          </w:tcPr>
          <w:p w14:paraId="0290152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0"/>
                <w:sz w:val="21"/>
                <w:szCs w:val="21"/>
              </w:rPr>
            </w:pPr>
          </w:p>
        </w:tc>
      </w:tr>
    </w:tbl>
    <w:p w14:paraId="2DAF647A">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0"/>
        <w:rPr>
          <w:rFonts w:hint="eastAsia" w:ascii="宋体" w:hAnsi="宋体" w:eastAsia="宋体" w:cs="宋体"/>
          <w:b/>
          <w:bCs/>
          <w:color w:val="auto"/>
          <w:kern w:val="2"/>
          <w:sz w:val="21"/>
          <w:szCs w:val="24"/>
          <w:highlight w:val="none"/>
          <w:lang w:val="en-US" w:eastAsia="zh-CN" w:bidi="ar-SA"/>
        </w:rPr>
      </w:pPr>
    </w:p>
    <w:p w14:paraId="5FB2EBD6">
      <w:pPr>
        <w:pStyle w:val="50"/>
        <w:rPr>
          <w:rFonts w:hint="eastAsia" w:ascii="宋体" w:hAnsi="宋体" w:eastAsia="宋体" w:cs="宋体"/>
          <w:b/>
          <w:bCs/>
          <w:color w:val="auto"/>
          <w:kern w:val="2"/>
          <w:sz w:val="21"/>
          <w:szCs w:val="24"/>
          <w:highlight w:val="none"/>
          <w:lang w:val="en-US" w:eastAsia="zh-CN" w:bidi="ar-SA"/>
        </w:rPr>
      </w:pPr>
    </w:p>
    <w:p w14:paraId="4235F853">
      <w:pPr>
        <w:pStyle w:val="50"/>
        <w:rPr>
          <w:rFonts w:hint="eastAsia" w:ascii="宋体" w:hAnsi="宋体" w:eastAsia="宋体" w:cs="宋体"/>
          <w:b/>
          <w:bCs/>
          <w:color w:val="auto"/>
          <w:kern w:val="2"/>
          <w:sz w:val="21"/>
          <w:szCs w:val="24"/>
          <w:highlight w:val="none"/>
          <w:lang w:val="en-US" w:eastAsia="zh-CN" w:bidi="ar-SA"/>
        </w:rPr>
      </w:pP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0"/>
        <w:ind w:left="0" w:leftChars="0" w:firstLine="0" w:firstLineChars="0"/>
        <w:rPr>
          <w:rFonts w:hint="eastAsia" w:ascii="宋体" w:hAnsi="宋体" w:eastAsia="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C70B08A">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D72A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84F9E7">
            <w:pPr>
              <w:pStyle w:val="7"/>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w:t>
            </w:r>
            <w:r>
              <w:rPr>
                <w:rFonts w:hint="eastAsia" w:cs="宋体"/>
                <w:color w:val="auto"/>
                <w:sz w:val="21"/>
                <w:szCs w:val="21"/>
                <w:highlight w:val="none"/>
                <w:lang w:val="en-US" w:eastAsia="zh-CN"/>
              </w:rPr>
              <w:t>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62A493D">
            <w:pPr>
              <w:pStyle w:val="7"/>
              <w:ind w:left="0" w:leftChars="0"/>
              <w:jc w:val="left"/>
              <w:rPr>
                <w:rFonts w:hint="default"/>
                <w:color w:val="auto"/>
                <w:lang w:val="en-US" w:eastAsia="zh-CN"/>
              </w:rPr>
            </w:pPr>
            <w:r>
              <w:rPr>
                <w:rFonts w:hint="eastAsia" w:ascii="宋体" w:hAnsi="宋体" w:eastAsia="宋体" w:cs="宋体"/>
                <w:color w:val="auto"/>
                <w:sz w:val="21"/>
                <w:szCs w:val="21"/>
                <w:highlight w:val="none"/>
                <w:lang w:val="en-US" w:eastAsia="zh-CN"/>
              </w:rPr>
              <w:t>2026年4月20日</w:t>
            </w:r>
            <w:r>
              <w:rPr>
                <w:rFonts w:hint="eastAsia" w:cs="宋体"/>
                <w:color w:val="auto"/>
                <w:sz w:val="21"/>
                <w:szCs w:val="21"/>
                <w:highlight w:val="none"/>
                <w:lang w:val="en-US" w:eastAsia="zh-CN"/>
              </w:rPr>
              <w:t>前</w:t>
            </w:r>
          </w:p>
        </w:tc>
      </w:tr>
      <w:tr w14:paraId="53BCE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577D5C">
            <w:pPr>
              <w:pStyle w:val="7"/>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2829C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olor w:val="auto"/>
                <w:sz w:val="21"/>
                <w:szCs w:val="21"/>
              </w:rPr>
            </w:pPr>
            <w:r>
              <w:rPr>
                <w:rFonts w:hint="eastAsia"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验收</w:t>
            </w:r>
          </w:p>
        </w:tc>
        <w:tc>
          <w:tcPr>
            <w:tcW w:w="7354" w:type="dxa"/>
            <w:tcBorders>
              <w:top w:val="single" w:color="auto" w:sz="4" w:space="0"/>
              <w:left w:val="single" w:color="auto" w:sz="4" w:space="0"/>
              <w:bottom w:val="single" w:color="auto" w:sz="4" w:space="0"/>
              <w:right w:val="single" w:color="auto" w:sz="4" w:space="0"/>
            </w:tcBorders>
            <w:noWrap/>
            <w:vAlign w:val="center"/>
          </w:tcPr>
          <w:p w14:paraId="69CDA1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ascii="Times New Roman" w:hAnsi="Times New Roman" w:eastAsia="宋体"/>
                <w:color w:val="auto"/>
                <w:sz w:val="21"/>
                <w:szCs w:val="21"/>
              </w:rPr>
              <w:t>标的物</w:t>
            </w:r>
            <w:r>
              <w:rPr>
                <w:rFonts w:hint="eastAsia" w:ascii="Times New Roman" w:hAnsi="Times New Roman" w:eastAsia="宋体"/>
                <w:color w:val="auto"/>
                <w:sz w:val="21"/>
                <w:szCs w:val="21"/>
              </w:rPr>
              <w:t>交付完成</w:t>
            </w:r>
            <w:r>
              <w:rPr>
                <w:rFonts w:ascii="Times New Roman" w:hAnsi="Times New Roman" w:eastAsia="宋体"/>
                <w:color w:val="auto"/>
                <w:sz w:val="21"/>
                <w:szCs w:val="21"/>
              </w:rPr>
              <w:t>后</w:t>
            </w:r>
            <w:r>
              <w:rPr>
                <w:rFonts w:hint="eastAsia" w:ascii="Times New Roman" w:hAnsi="Times New Roman" w:eastAsia="宋体"/>
                <w:color w:val="auto"/>
                <w:sz w:val="21"/>
                <w:szCs w:val="21"/>
              </w:rPr>
              <w:t>，</w:t>
            </w:r>
            <w:r>
              <w:rPr>
                <w:rFonts w:ascii="Times New Roman" w:hAnsi="Times New Roman" w:eastAsia="宋体"/>
                <w:color w:val="auto"/>
                <w:sz w:val="21"/>
                <w:szCs w:val="21"/>
              </w:rPr>
              <w:t>进入</w:t>
            </w:r>
            <w:r>
              <w:rPr>
                <w:rFonts w:hint="eastAsia"/>
                <w:color w:val="auto"/>
                <w:sz w:val="21"/>
                <w:szCs w:val="21"/>
                <w:u w:val="single"/>
                <w:lang w:val="en-US" w:eastAsia="zh-CN"/>
              </w:rPr>
              <w:t>30</w:t>
            </w:r>
            <w:r>
              <w:rPr>
                <w:rFonts w:hint="eastAsia" w:ascii="Times New Roman" w:hAnsi="Times New Roman" w:eastAsia="宋体"/>
                <w:color w:val="auto"/>
                <w:sz w:val="21"/>
                <w:szCs w:val="21"/>
              </w:rPr>
              <w:t>日</w:t>
            </w:r>
            <w:r>
              <w:rPr>
                <w:rFonts w:ascii="Times New Roman" w:hAnsi="Times New Roman" w:eastAsia="宋体"/>
                <w:color w:val="auto"/>
                <w:sz w:val="21"/>
                <w:szCs w:val="21"/>
              </w:rPr>
              <w:t>试用期</w:t>
            </w:r>
            <w:r>
              <w:rPr>
                <w:rFonts w:hint="eastAsia" w:ascii="Times New Roman" w:hAnsi="Times New Roman" w:eastAsia="宋体"/>
                <w:color w:val="auto"/>
                <w:sz w:val="21"/>
                <w:szCs w:val="21"/>
                <w:lang w:eastAsia="zh-CN"/>
              </w:rPr>
              <w:t>，</w:t>
            </w:r>
            <w:r>
              <w:rPr>
                <w:rFonts w:hint="eastAsia" w:ascii="宋体" w:hAnsi="宋体" w:eastAsia="宋体" w:cs="宋体"/>
                <w:color w:val="auto"/>
                <w:sz w:val="21"/>
                <w:szCs w:val="21"/>
              </w:rPr>
              <w:t>试用</w:t>
            </w:r>
            <w:r>
              <w:rPr>
                <w:rFonts w:hint="eastAsia" w:ascii="宋体" w:hAnsi="宋体" w:eastAsia="宋体" w:cs="宋体"/>
                <w:color w:val="auto"/>
                <w:sz w:val="21"/>
                <w:szCs w:val="21"/>
              </w:rPr>
              <w:t>期结束后，按照</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内部规定的验收流程完成验收。</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≥3年原厂质保，质保期自验收合格之日起计算</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default" w:ascii="宋体" w:hAnsi="宋体" w:eastAsia="宋体" w:cs="宋体"/>
                <w:color w:val="auto"/>
                <w:sz w:val="21"/>
                <w:szCs w:val="21"/>
                <w:highlight w:val="none"/>
                <w:lang w:val="en-US" w:eastAsia="zh-CN"/>
              </w:rPr>
            </w:pPr>
            <w:r>
              <w:rPr>
                <w:rFonts w:ascii="Times New Roman" w:hAnsi="Times New Roman" w:eastAsia="宋体"/>
                <w:color w:val="auto"/>
                <w:sz w:val="21"/>
                <w:szCs w:val="21"/>
              </w:rPr>
              <w:t>标</w:t>
            </w:r>
            <w:r>
              <w:rPr>
                <w:rFonts w:ascii="Times New Roman" w:hAnsi="Times New Roman" w:eastAsia="宋体"/>
                <w:color w:val="auto"/>
                <w:sz w:val="21"/>
                <w:szCs w:val="21"/>
              </w:rPr>
              <w:t>的</w:t>
            </w:r>
            <w:r>
              <w:rPr>
                <w:rFonts w:ascii="Times New Roman" w:hAnsi="Times New Roman" w:eastAsia="宋体"/>
                <w:color w:val="auto"/>
                <w:sz w:val="21"/>
                <w:szCs w:val="21"/>
              </w:rPr>
              <w:t>物</w:t>
            </w:r>
            <w:r>
              <w:rPr>
                <w:rFonts w:hint="eastAsia" w:ascii="Times New Roman" w:hAnsi="Times New Roman" w:eastAsia="宋体"/>
                <w:color w:val="auto"/>
                <w:sz w:val="21"/>
                <w:szCs w:val="21"/>
              </w:rPr>
              <w:t>验收</w:t>
            </w:r>
            <w:r>
              <w:rPr>
                <w:rFonts w:ascii="Times New Roman" w:hAnsi="Times New Roman" w:eastAsia="宋体"/>
                <w:color w:val="auto"/>
                <w:sz w:val="21"/>
                <w:szCs w:val="21"/>
              </w:rPr>
              <w:t>合格</w:t>
            </w:r>
            <w:r>
              <w:rPr>
                <w:rFonts w:hint="eastAsia" w:ascii="Times New Roman" w:hAnsi="Times New Roman" w:eastAsia="宋体"/>
                <w:color w:val="auto"/>
                <w:sz w:val="21"/>
                <w:szCs w:val="21"/>
              </w:rPr>
              <w:t>后</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lang w:val="en-US" w:eastAsia="zh-CN"/>
              </w:rPr>
              <w:t>支付总金额的95%，合同履行完毕，支付总金额的5%</w:t>
            </w:r>
          </w:p>
        </w:tc>
      </w:tr>
    </w:tbl>
    <w:p w14:paraId="0BC956BE">
      <w:pPr>
        <w:pStyle w:val="24"/>
        <w:rPr>
          <w:rFonts w:hint="eastAsia" w:ascii="宋体" w:hAnsi="宋体" w:eastAsia="宋体" w:cs="宋体"/>
          <w:color w:val="auto"/>
          <w:highlight w:val="none"/>
        </w:rPr>
      </w:pPr>
    </w:p>
    <w:p w14:paraId="1470882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A026EE4">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3D230EB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4"/>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驻马店市中心医院康复分院有线网络建设项目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3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b/>
                <w:bCs/>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ascii="宋体" w:hAnsi="宋体" w:cs="宋体"/>
                <w:b/>
                <w:bCs/>
                <w:color w:val="auto"/>
                <w:kern w:val="0"/>
                <w:szCs w:val="21"/>
                <w:highlight w:val="none"/>
                <w:lang w:val="en-US" w:eastAsia="zh-CN"/>
              </w:rPr>
              <w:t>综合折扣率100%</w:t>
            </w:r>
            <w:r>
              <w:rPr>
                <w:rFonts w:hint="eastAsia" w:ascii="宋体" w:hAnsi="宋体" w:cs="宋体"/>
                <w:b/>
                <w:bCs/>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以综合折扣率</w:t>
            </w: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1FDF57F7">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3.3 配合服务费：</w:t>
            </w:r>
            <w:r>
              <w:rPr>
                <w:rFonts w:hint="default" w:ascii="宋体" w:hAnsi="宋体" w:cs="宋体"/>
                <w:b/>
                <w:bCs/>
                <w:color w:val="auto"/>
                <w:kern w:val="0"/>
                <w:szCs w:val="21"/>
                <w:highlight w:val="none"/>
                <w:lang w:val="en-US" w:eastAsia="zh-CN"/>
              </w:rPr>
              <w:t>供应商须按本项目最终结算金额（不含OLT、分光器、光纤固定衰减器、光模块、ONU和配线架）的3%向本项目总包方支付配合服务费</w:t>
            </w:r>
            <w:r>
              <w:rPr>
                <w:rFonts w:hint="eastAsia" w:ascii="宋体" w:hAnsi="宋体" w:cs="宋体"/>
                <w:b/>
                <w:bCs/>
                <w:color w:val="auto"/>
                <w:kern w:val="0"/>
                <w:szCs w:val="21"/>
                <w:highlight w:val="none"/>
                <w:lang w:val="en-US" w:eastAsia="zh-CN"/>
              </w:rPr>
              <w:t>。</w:t>
            </w:r>
          </w:p>
          <w:p w14:paraId="2834DD74">
            <w:pPr>
              <w:widowControl/>
              <w:snapToGrid w:val="0"/>
              <w:spacing w:line="440" w:lineRule="exact"/>
              <w:jc w:val="left"/>
              <w:rPr>
                <w:rFonts w:hint="eastAsia" w:ascii="宋体" w:hAnsi="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本项目</w:t>
            </w:r>
            <w:r>
              <w:rPr>
                <w:rFonts w:hint="eastAsia" w:ascii="宋体" w:hAnsi="宋体" w:eastAsia="宋体" w:cs="宋体"/>
                <w:b/>
                <w:bCs/>
                <w:color w:val="auto"/>
                <w:kern w:val="0"/>
                <w:szCs w:val="21"/>
                <w:highlight w:val="none"/>
                <w:lang w:val="en-US" w:eastAsia="zh-CN"/>
              </w:rPr>
              <w:t>由成交供应商缴纳</w:t>
            </w:r>
            <w:r>
              <w:rPr>
                <w:rFonts w:hint="eastAsia" w:ascii="宋体" w:hAnsi="宋体" w:eastAsia="宋体" w:cs="宋体"/>
                <w:b/>
                <w:bCs/>
                <w:color w:val="auto"/>
                <w:kern w:val="0"/>
                <w:szCs w:val="21"/>
                <w:highlight w:val="none"/>
              </w:rPr>
              <w:t>招标代理服务费。</w:t>
            </w:r>
            <w:r>
              <w:rPr>
                <w:rFonts w:hint="eastAsia" w:ascii="宋体" w:hAnsi="宋体" w:cs="宋体"/>
                <w:b/>
                <w:bCs/>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6C24B928">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:综合折扣率100%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132BEC">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5"/>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（序号1、19）</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515CCF8A">
            <w:pPr>
              <w:keepNext w:val="0"/>
              <w:keepLines w:val="0"/>
              <w:pageBreakBefore w:val="0"/>
              <w:kinsoku/>
              <w:wordWrap/>
              <w:overflowPunct/>
              <w:topLinePunct w:val="0"/>
              <w:bidi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序号2、4、5、6、7、16、18</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磋商报价得分=</w:t>
            </w:r>
            <w:r>
              <w:rPr>
                <w:rFonts w:hint="eastAsia" w:ascii="宋体" w:hAnsi="宋体" w:eastAsia="宋体" w:cs="宋体"/>
                <w:b w:val="0"/>
                <w:bCs w:val="0"/>
                <w:color w:val="auto"/>
                <w:sz w:val="21"/>
                <w:szCs w:val="21"/>
                <w:highlight w:val="none"/>
              </w:rPr>
              <w:t>（评标基准价/有效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34B6A90B">
            <w:pPr>
              <w:keepNext w:val="0"/>
              <w:keepLines w:val="0"/>
              <w:pageBreakBefore w:val="0"/>
              <w:kinsoku/>
              <w:wordWrap/>
              <w:overflowPunct/>
              <w:topLinePunct w:val="0"/>
              <w:bidi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序号3、8、9、10、11、12、13、14、15、17</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磋商报价得分=</w:t>
            </w:r>
            <w:r>
              <w:rPr>
                <w:rFonts w:hint="eastAsia" w:ascii="宋体" w:hAnsi="宋体" w:eastAsia="宋体" w:cs="宋体"/>
                <w:b w:val="0"/>
                <w:bCs w:val="0"/>
                <w:color w:val="auto"/>
                <w:sz w:val="21"/>
                <w:szCs w:val="21"/>
                <w:highlight w:val="none"/>
              </w:rPr>
              <w:t>（评标基准价/有效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13483F88">
            <w:pPr>
              <w:keepNext w:val="0"/>
              <w:keepLines w:val="0"/>
              <w:pageBreakBefore w:val="0"/>
              <w:kinsoku/>
              <w:wordWrap/>
              <w:overflowPunct/>
              <w:topLinePunct w:val="0"/>
              <w:bidi w:val="0"/>
              <w:snapToGrid w:val="0"/>
              <w:spacing w:line="36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注:本项目磋商以综合折扣率报价，根据以上分类分别报出综合折扣率。</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分，带“▲”号的技术参数为关键性技术参数，有一项不满足的扣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分，扣完为止；不带“▲”号的技术参数为一般性技术参数，有一项不满足的扣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2）提供产品注册检验报告、响应技术参数条款的技术白皮书</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w:t>
            </w:r>
            <w:r>
              <w:rPr>
                <w:rFonts w:hint="eastAsia" w:ascii="宋体" w:hAnsi="宋体" w:cs="宋体"/>
                <w:color w:val="auto"/>
                <w:sz w:val="21"/>
                <w:szCs w:val="21"/>
                <w:highlight w:val="none"/>
                <w:lang w:val="en-US" w:eastAsia="zh-CN"/>
              </w:rPr>
              <w:t>先进性</w:t>
            </w:r>
            <w:r>
              <w:rPr>
                <w:rFonts w:hint="eastAsia" w:ascii="宋体" w:hAnsi="宋体" w:eastAsia="宋体" w:cs="宋体"/>
                <w:color w:val="auto"/>
                <w:sz w:val="21"/>
                <w:szCs w:val="21"/>
                <w:highlight w:val="none"/>
                <w:lang w:val="en-US" w:eastAsia="zh-CN"/>
              </w:rPr>
              <w:t>、稳定性、安全性进行打分：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安全性较高的得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分；投标产品制造工艺、稳定性、安全性一般的得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43D02C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方案，包括供货、安装调试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实施进度与保障措施、</w:t>
            </w:r>
            <w:r>
              <w:rPr>
                <w:rFonts w:hint="eastAsia" w:ascii="宋体" w:hAnsi="宋体" w:cs="宋体"/>
                <w:color w:val="auto"/>
                <w:sz w:val="21"/>
                <w:szCs w:val="21"/>
                <w:highlight w:val="none"/>
                <w:lang w:val="en-US" w:eastAsia="zh-CN"/>
              </w:rPr>
              <w:t>产品质量保障措施</w:t>
            </w:r>
            <w:r>
              <w:rPr>
                <w:rFonts w:hint="eastAsia" w:ascii="宋体" w:hAnsi="宋体" w:eastAsia="宋体" w:cs="宋体"/>
                <w:color w:val="auto"/>
                <w:sz w:val="21"/>
                <w:szCs w:val="21"/>
                <w:highlight w:val="none"/>
                <w:lang w:val="en-US" w:eastAsia="zh-CN"/>
              </w:rPr>
              <w:t>的方案等进行打分。</w:t>
            </w:r>
          </w:p>
          <w:p w14:paraId="34A7792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w:t>
            </w:r>
            <w:r>
              <w:rPr>
                <w:rFonts w:hint="eastAsia" w:ascii="宋体" w:hAnsi="宋体" w:cs="宋体"/>
                <w:b w:val="0"/>
                <w:bCs w:val="0"/>
                <w:color w:val="auto"/>
                <w:sz w:val="21"/>
                <w:szCs w:val="21"/>
                <w:highlight w:val="none"/>
                <w:lang w:val="en-US" w:eastAsia="zh-CN"/>
              </w:rPr>
              <w:t>售后服务体系、</w:t>
            </w:r>
            <w:r>
              <w:rPr>
                <w:rFonts w:hint="eastAsia" w:ascii="宋体" w:hAnsi="宋体" w:eastAsia="宋体" w:cs="宋体"/>
                <w:b w:val="0"/>
                <w:bCs w:val="0"/>
                <w:color w:val="auto"/>
                <w:sz w:val="21"/>
                <w:szCs w:val="21"/>
                <w:highlight w:val="none"/>
                <w:lang w:val="en-US" w:eastAsia="zh-CN"/>
              </w:rPr>
              <w:t>售后服务人员配备及专业技术能力说明、</w:t>
            </w:r>
            <w:r>
              <w:rPr>
                <w:rFonts w:hint="eastAsia" w:ascii="宋体" w:hAnsi="宋体" w:cs="宋体"/>
                <w:b w:val="0"/>
                <w:bCs w:val="0"/>
                <w:color w:val="auto"/>
                <w:sz w:val="21"/>
                <w:szCs w:val="21"/>
                <w:highlight w:val="none"/>
                <w:lang w:val="en-US" w:eastAsia="zh-CN"/>
              </w:rPr>
              <w:t>网络突发应急故障处理流程及响应时间</w:t>
            </w:r>
            <w:r>
              <w:rPr>
                <w:rFonts w:hint="eastAsia" w:ascii="宋体" w:hAnsi="宋体" w:eastAsia="宋体" w:cs="宋体"/>
                <w:b w:val="0"/>
                <w:bCs w:val="0"/>
                <w:color w:val="auto"/>
                <w:sz w:val="21"/>
                <w:szCs w:val="21"/>
                <w:highlight w:val="none"/>
                <w:lang w:val="en-US" w:eastAsia="zh-CN"/>
              </w:rPr>
              <w:t>进行打分。</w:t>
            </w:r>
          </w:p>
          <w:p w14:paraId="7021B8F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专业技术能力强，</w:t>
            </w:r>
            <w:r>
              <w:rPr>
                <w:rFonts w:hint="eastAsia" w:ascii="宋体" w:hAnsi="宋体" w:eastAsia="宋体" w:cs="宋体"/>
                <w:b w:val="0"/>
                <w:bCs w:val="0"/>
                <w:color w:val="auto"/>
                <w:sz w:val="21"/>
                <w:szCs w:val="21"/>
                <w:highlight w:val="none"/>
                <w:lang w:val="en-US" w:eastAsia="zh-CN"/>
              </w:rPr>
              <w:t>措施详尽、故障响应时间极快、应急维修措施预案合理且可行，有具体的培训方案，得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人员专业技术能力较强、</w:t>
            </w:r>
            <w:r>
              <w:rPr>
                <w:rFonts w:hint="eastAsia" w:ascii="宋体" w:hAnsi="宋体" w:eastAsia="宋体" w:cs="宋体"/>
                <w:b w:val="0"/>
                <w:bCs w:val="0"/>
                <w:color w:val="auto"/>
                <w:sz w:val="21"/>
                <w:szCs w:val="21"/>
                <w:highlight w:val="none"/>
                <w:lang w:val="en-US" w:eastAsia="zh-CN"/>
              </w:rPr>
              <w:t xml:space="preserve">故障响应时间快，有较具体的培训方案的得 </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有待完善的</w:t>
            </w:r>
            <w:r>
              <w:rPr>
                <w:rFonts w:hint="eastAsia" w:ascii="宋体" w:hAnsi="宋体" w:eastAsia="宋体" w:cs="宋体"/>
                <w:b w:val="0"/>
                <w:bCs w:val="0"/>
                <w:color w:val="auto"/>
                <w:sz w:val="21"/>
                <w:szCs w:val="21"/>
                <w:highlight w:val="none"/>
                <w:lang w:val="en-US" w:eastAsia="zh-CN"/>
              </w:rPr>
              <w:t xml:space="preserve">得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4E236CDC">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b w:val="0"/>
                <w:bCs w:val="0"/>
                <w:color w:val="auto"/>
                <w:sz w:val="21"/>
                <w:szCs w:val="21"/>
                <w:highlight w:val="none"/>
                <w:lang w:val="en-US" w:eastAsia="zh-CN"/>
              </w:rPr>
              <w:t>（序号1、19）</w:t>
            </w:r>
            <w:r>
              <w:rPr>
                <w:rFonts w:hint="eastAsia" w:ascii="宋体" w:hAnsi="宋体" w:eastAsia="宋体" w:cs="宋体"/>
                <w:color w:val="auto"/>
                <w:szCs w:val="21"/>
                <w:highlight w:val="none"/>
                <w:lang w:val="en-US" w:eastAsia="zh-CN"/>
              </w:rPr>
              <w:t>综合折扣率</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          %</w:t>
            </w:r>
          </w:p>
          <w:p w14:paraId="7CD8E23B">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序号2、4、5、6、7、16、18</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szCs w:val="21"/>
                <w:highlight w:val="none"/>
                <w:lang w:val="en-US" w:eastAsia="zh-CN"/>
              </w:rPr>
              <w:t>综合折扣率</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          %</w:t>
            </w:r>
          </w:p>
          <w:p w14:paraId="3FB9E984">
            <w:pPr>
              <w:keepNext w:val="0"/>
              <w:keepLines w:val="0"/>
              <w:pageBreakBefore w:val="0"/>
              <w:kinsoku/>
              <w:wordWrap/>
              <w:overflowPunct/>
              <w:topLinePunct w:val="0"/>
              <w:bidi w:val="0"/>
              <w:snapToGrid w:val="0"/>
              <w:spacing w:line="360" w:lineRule="exact"/>
              <w:textAlignment w:val="auto"/>
              <w:rPr>
                <w:rFonts w:hint="default" w:ascii="宋体" w:hAnsi="宋体" w:cs="宋体"/>
                <w:color w:val="auto"/>
                <w:szCs w:val="21"/>
                <w:highlight w:val="none"/>
                <w:u w:val="singl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序号3、8、9、10、11、12、13、14、15、17</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szCs w:val="21"/>
                <w:highlight w:val="none"/>
                <w:lang w:val="en-US" w:eastAsia="zh-CN"/>
              </w:rPr>
              <w:t>综合折扣率</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val="en-US" w:eastAsia="zh-CN"/>
              </w:rPr>
              <w:t xml:space="preserve">          %</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AC9E33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5467636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numPr>
          <w:ilvl w:val="0"/>
          <w:numId w:val="4"/>
        </w:numPr>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4571DE1">
      <w:pPr>
        <w:numPr>
          <w:ilvl w:val="0"/>
          <w:numId w:val="4"/>
        </w:numPr>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u w:val="none"/>
          <w:lang w:val="en-US" w:eastAsia="zh-CN" w:bidi="ar"/>
        </w:rPr>
        <w:t>本项目所需的未列必备事项均包含在本次报价中、由供应商一并负责，后期无须采购人额外追加费用。</w:t>
      </w:r>
    </w:p>
    <w:p w14:paraId="1AAF315E">
      <w:pPr>
        <w:numPr>
          <w:ilvl w:val="0"/>
          <w:numId w:val="4"/>
        </w:numPr>
        <w:spacing w:line="360" w:lineRule="auto"/>
        <w:ind w:left="0" w:leftChars="0" w:firstLine="0" w:firstLineChars="0"/>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供应商</w:t>
      </w:r>
      <w:r>
        <w:rPr>
          <w:rFonts w:hint="eastAsia" w:ascii="宋体" w:hAnsi="宋体" w:eastAsia="宋体" w:cs="宋体"/>
          <w:b/>
          <w:bCs/>
          <w:color w:val="auto"/>
          <w:kern w:val="0"/>
          <w:szCs w:val="21"/>
          <w:highlight w:val="none"/>
          <w:lang w:val="en-US" w:eastAsia="zh-CN"/>
        </w:rPr>
        <w:t>根据</w:t>
      </w:r>
      <w:r>
        <w:rPr>
          <w:rFonts w:hint="eastAsia" w:ascii="宋体" w:hAnsi="宋体" w:cs="宋体"/>
          <w:b/>
          <w:bCs/>
          <w:color w:val="auto"/>
          <w:kern w:val="0"/>
          <w:szCs w:val="21"/>
          <w:highlight w:val="none"/>
          <w:lang w:val="en-US" w:eastAsia="zh-CN"/>
        </w:rPr>
        <w:t>上述序号内容</w:t>
      </w:r>
      <w:r>
        <w:rPr>
          <w:rFonts w:hint="eastAsia" w:ascii="宋体" w:hAnsi="宋体" w:eastAsia="宋体" w:cs="宋体"/>
          <w:b/>
          <w:bCs/>
          <w:color w:val="auto"/>
          <w:kern w:val="0"/>
          <w:szCs w:val="21"/>
          <w:highlight w:val="none"/>
          <w:lang w:val="en-US" w:eastAsia="zh-CN"/>
        </w:rPr>
        <w:t>分类分别报出综合折扣率</w:t>
      </w:r>
      <w:r>
        <w:rPr>
          <w:rFonts w:hint="eastAsia" w:ascii="宋体" w:hAnsi="宋体" w:cs="宋体"/>
          <w:b/>
          <w:bCs/>
          <w:color w:val="auto"/>
          <w:kern w:val="0"/>
          <w:szCs w:val="21"/>
          <w:highlight w:val="none"/>
          <w:lang w:val="en-US" w:eastAsia="zh-CN"/>
        </w:rPr>
        <w:t>，并以</w:t>
      </w:r>
      <w:r>
        <w:rPr>
          <w:rFonts w:hint="eastAsia" w:ascii="宋体" w:hAnsi="宋体" w:eastAsia="宋体" w:cs="宋体"/>
          <w:b/>
          <w:bCs/>
          <w:color w:val="auto"/>
          <w:sz w:val="21"/>
          <w:szCs w:val="21"/>
          <w:highlight w:val="none"/>
        </w:rPr>
        <w:t>在磋商过程中</w:t>
      </w:r>
      <w:r>
        <w:rPr>
          <w:rFonts w:hint="eastAsia" w:ascii="宋体" w:hAnsi="宋体" w:cs="宋体"/>
          <w:b/>
          <w:bCs/>
          <w:color w:val="auto"/>
          <w:sz w:val="21"/>
          <w:szCs w:val="21"/>
          <w:highlight w:val="none"/>
          <w:lang w:val="en-US" w:eastAsia="zh-CN"/>
        </w:rPr>
        <w:t>的最终</w:t>
      </w:r>
      <w:r>
        <w:rPr>
          <w:rFonts w:hint="eastAsia" w:ascii="宋体" w:hAnsi="宋体" w:eastAsia="宋体" w:cs="宋体"/>
          <w:b/>
          <w:bCs/>
          <w:color w:val="auto"/>
          <w:kern w:val="0"/>
          <w:szCs w:val="21"/>
          <w:highlight w:val="none"/>
          <w:lang w:val="en-US" w:eastAsia="zh-CN"/>
        </w:rPr>
        <w:t>综合折扣率</w:t>
      </w:r>
      <w:r>
        <w:rPr>
          <w:rFonts w:hint="eastAsia" w:ascii="宋体" w:hAnsi="宋体" w:cs="宋体"/>
          <w:b/>
          <w:bCs/>
          <w:color w:val="auto"/>
          <w:kern w:val="0"/>
          <w:szCs w:val="21"/>
          <w:highlight w:val="none"/>
          <w:lang w:val="en-US" w:eastAsia="zh-CN"/>
        </w:rPr>
        <w:t>为价格得分计算依据。</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77897D4E">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87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1988"/>
        <w:gridCol w:w="1424"/>
        <w:gridCol w:w="1424"/>
        <w:gridCol w:w="1447"/>
        <w:gridCol w:w="822"/>
        <w:gridCol w:w="88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5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988"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988"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988"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988"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988"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988"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0FC4F40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3EA0E8BB">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23BAB6A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1BD6655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1C33E502">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33A65B8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1E6C6FCA">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38F59FFD">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40E3D7A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1360579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218DC89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p>
    <w:p w14:paraId="48F290DC">
      <w:pPr>
        <w:pStyle w:val="33"/>
        <w:rPr>
          <w:rFonts w:hint="eastAsia" w:ascii="宋体" w:hAnsi="宋体" w:eastAsia="宋体" w:cs="宋体"/>
          <w:color w:val="auto"/>
          <w:sz w:val="21"/>
          <w:szCs w:val="21"/>
          <w:highlight w:val="none"/>
          <w:lang w:eastAsia="zh-CN"/>
        </w:rPr>
      </w:pPr>
    </w:p>
    <w:p w14:paraId="1F1C2F13">
      <w:pPr>
        <w:pStyle w:val="6"/>
        <w:rPr>
          <w:rFonts w:hint="eastAsia" w:ascii="宋体" w:hAnsi="宋体" w:eastAsia="宋体" w:cs="宋体"/>
          <w:color w:val="auto"/>
          <w:sz w:val="21"/>
          <w:szCs w:val="21"/>
          <w:highlight w:val="none"/>
          <w:lang w:eastAsia="zh-CN"/>
        </w:rPr>
      </w:pP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369BCA7">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226"/>
      <w:bookmarkStart w:id="79" w:name="_Toc15804"/>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4168"/>
      <w:bookmarkStart w:id="81" w:name="_Toc20420"/>
      <w:bookmarkStart w:id="82" w:name="_Toc29960"/>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3" w:name="_Toc31526"/>
      <w:bookmarkStart w:id="84"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2939"/>
      <w:bookmarkStart w:id="87" w:name="_Toc13976"/>
      <w:bookmarkStart w:id="88" w:name="_Toc3051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3342"/>
      <w:bookmarkStart w:id="90" w:name="_Toc24693"/>
      <w:bookmarkStart w:id="91" w:name="_Toc18105"/>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6083"/>
      <w:bookmarkStart w:id="94" w:name="_Toc13726"/>
      <w:bookmarkStart w:id="95" w:name="_Toc12888"/>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31685"/>
      <w:bookmarkStart w:id="97" w:name="_Toc25094"/>
      <w:bookmarkStart w:id="98" w:name="_Toc233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驻马店市中心医院康复分院有线网络建设项目采购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4AD02C3"/>
    <w:multiLevelType w:val="multilevel"/>
    <w:tmpl w:val="34AD02C3"/>
    <w:lvl w:ilvl="0" w:tentative="0">
      <w:start w:val="1"/>
      <w:numFmt w:val="decimal"/>
      <w:suff w:val="nothing"/>
      <w:lvlText w:val="%1、"/>
      <w:lvlJc w:val="left"/>
      <w:pPr>
        <w:ind w:left="782" w:hanging="36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98301F"/>
    <w:multiLevelType w:val="multilevel"/>
    <w:tmpl w:val="5098301F"/>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0033"/>
    <w:rsid w:val="01F04981"/>
    <w:rsid w:val="01F9035B"/>
    <w:rsid w:val="01FA63A5"/>
    <w:rsid w:val="02011C7D"/>
    <w:rsid w:val="02035523"/>
    <w:rsid w:val="020C69FB"/>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01C47"/>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908B8"/>
    <w:rsid w:val="09AB2883"/>
    <w:rsid w:val="09C35E1E"/>
    <w:rsid w:val="09CD0A4B"/>
    <w:rsid w:val="09D206F0"/>
    <w:rsid w:val="0A321AC2"/>
    <w:rsid w:val="0A343D4E"/>
    <w:rsid w:val="0A344626"/>
    <w:rsid w:val="0A3E6D2E"/>
    <w:rsid w:val="0A4232E4"/>
    <w:rsid w:val="0A4F145F"/>
    <w:rsid w:val="0A7D5FCD"/>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0942D3"/>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15E19"/>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5D26B4"/>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24AC5"/>
    <w:rsid w:val="14B53957"/>
    <w:rsid w:val="14C53ECE"/>
    <w:rsid w:val="14CF6CB0"/>
    <w:rsid w:val="14D10E8D"/>
    <w:rsid w:val="14DB04C0"/>
    <w:rsid w:val="14DC5FE6"/>
    <w:rsid w:val="14E002E6"/>
    <w:rsid w:val="14EC1D19"/>
    <w:rsid w:val="14FC36BD"/>
    <w:rsid w:val="14FF5EA7"/>
    <w:rsid w:val="150C7C6C"/>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5338F"/>
    <w:rsid w:val="170D06E0"/>
    <w:rsid w:val="17233E03"/>
    <w:rsid w:val="172B0B5F"/>
    <w:rsid w:val="17332185"/>
    <w:rsid w:val="17475951"/>
    <w:rsid w:val="175C542D"/>
    <w:rsid w:val="175D0ED4"/>
    <w:rsid w:val="175D0F94"/>
    <w:rsid w:val="17793FC0"/>
    <w:rsid w:val="179947EE"/>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EA3522"/>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545CE"/>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54A33"/>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A221A9"/>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4F71C8A"/>
    <w:rsid w:val="25045F70"/>
    <w:rsid w:val="250474F1"/>
    <w:rsid w:val="25056E93"/>
    <w:rsid w:val="25092EBA"/>
    <w:rsid w:val="250E5D48"/>
    <w:rsid w:val="25241020"/>
    <w:rsid w:val="25302410"/>
    <w:rsid w:val="255B6AB3"/>
    <w:rsid w:val="257572C3"/>
    <w:rsid w:val="25790E85"/>
    <w:rsid w:val="25823C3E"/>
    <w:rsid w:val="25965D3D"/>
    <w:rsid w:val="25972C60"/>
    <w:rsid w:val="25974C6F"/>
    <w:rsid w:val="259D1676"/>
    <w:rsid w:val="25A353EB"/>
    <w:rsid w:val="25B04D2A"/>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BA6A89"/>
    <w:rsid w:val="26C2328E"/>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369D8"/>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364E69"/>
    <w:rsid w:val="2A457300"/>
    <w:rsid w:val="2A475858"/>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4722CA"/>
    <w:rsid w:val="2E505773"/>
    <w:rsid w:val="2E5C0A3D"/>
    <w:rsid w:val="2E742F70"/>
    <w:rsid w:val="2E867B53"/>
    <w:rsid w:val="2E9077CD"/>
    <w:rsid w:val="2E9574DA"/>
    <w:rsid w:val="2E9A689E"/>
    <w:rsid w:val="2ED61D9E"/>
    <w:rsid w:val="2EDC2A13"/>
    <w:rsid w:val="2EFD7DB9"/>
    <w:rsid w:val="2F053687"/>
    <w:rsid w:val="2F1A081D"/>
    <w:rsid w:val="2F1C72B3"/>
    <w:rsid w:val="2F1E1306"/>
    <w:rsid w:val="2F1E3DC0"/>
    <w:rsid w:val="2F2D326E"/>
    <w:rsid w:val="2F3112DE"/>
    <w:rsid w:val="2F33323C"/>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B128F9"/>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7F059C"/>
    <w:rsid w:val="3586192A"/>
    <w:rsid w:val="358625C7"/>
    <w:rsid w:val="35A815CB"/>
    <w:rsid w:val="35A85BD0"/>
    <w:rsid w:val="35AA1B9C"/>
    <w:rsid w:val="35C16E06"/>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10372D"/>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518C4"/>
    <w:rsid w:val="3A393FA7"/>
    <w:rsid w:val="3A3A5A22"/>
    <w:rsid w:val="3A524858"/>
    <w:rsid w:val="3A64203E"/>
    <w:rsid w:val="3A663D00"/>
    <w:rsid w:val="3A7428D0"/>
    <w:rsid w:val="3A747EDD"/>
    <w:rsid w:val="3A8F302F"/>
    <w:rsid w:val="3A923AE4"/>
    <w:rsid w:val="3AA50E25"/>
    <w:rsid w:val="3AC566E3"/>
    <w:rsid w:val="3AD6747A"/>
    <w:rsid w:val="3AD95C48"/>
    <w:rsid w:val="3ADF5D0A"/>
    <w:rsid w:val="3B1C6E9E"/>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409D1"/>
    <w:rsid w:val="3E8C5311"/>
    <w:rsid w:val="3E8E7E55"/>
    <w:rsid w:val="3EA177D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1F2EEA"/>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0D7B75"/>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74436"/>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918A5"/>
    <w:rsid w:val="4C1C2A09"/>
    <w:rsid w:val="4C284AD9"/>
    <w:rsid w:val="4C423098"/>
    <w:rsid w:val="4C5D11DF"/>
    <w:rsid w:val="4C673E0C"/>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3A1520"/>
    <w:rsid w:val="4D4952BF"/>
    <w:rsid w:val="4D795A49"/>
    <w:rsid w:val="4D7F0082"/>
    <w:rsid w:val="4D8C33FE"/>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166FF7"/>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25B16"/>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70EA9"/>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45260"/>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A559A5"/>
    <w:rsid w:val="55B02DF1"/>
    <w:rsid w:val="55D47A00"/>
    <w:rsid w:val="55D5456D"/>
    <w:rsid w:val="55DC290C"/>
    <w:rsid w:val="55E71B19"/>
    <w:rsid w:val="55EA5D64"/>
    <w:rsid w:val="55F01FA1"/>
    <w:rsid w:val="55FC19B9"/>
    <w:rsid w:val="56130B60"/>
    <w:rsid w:val="56234F28"/>
    <w:rsid w:val="56262642"/>
    <w:rsid w:val="562C1C22"/>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035A9"/>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03310E"/>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853E3A"/>
    <w:rsid w:val="5CB342E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3C677A"/>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EF46F9"/>
    <w:rsid w:val="60FF21D9"/>
    <w:rsid w:val="610C0686"/>
    <w:rsid w:val="611E37D0"/>
    <w:rsid w:val="613021B3"/>
    <w:rsid w:val="61306A6A"/>
    <w:rsid w:val="613253FD"/>
    <w:rsid w:val="61421F29"/>
    <w:rsid w:val="615C160D"/>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CC631F"/>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BC577F"/>
    <w:rsid w:val="63C74D38"/>
    <w:rsid w:val="63D74F7B"/>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6F25230"/>
    <w:rsid w:val="67071922"/>
    <w:rsid w:val="673B73C0"/>
    <w:rsid w:val="674743C8"/>
    <w:rsid w:val="675608B6"/>
    <w:rsid w:val="67754402"/>
    <w:rsid w:val="677D54ED"/>
    <w:rsid w:val="678B726C"/>
    <w:rsid w:val="67B25E27"/>
    <w:rsid w:val="67B4646D"/>
    <w:rsid w:val="67B464CA"/>
    <w:rsid w:val="67C4383B"/>
    <w:rsid w:val="67D35E1A"/>
    <w:rsid w:val="67D839B8"/>
    <w:rsid w:val="67D9431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02F95"/>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4C6D09"/>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70598D"/>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15F38"/>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CF5C6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B6A0E"/>
    <w:rsid w:val="75A24276"/>
    <w:rsid w:val="75AA231D"/>
    <w:rsid w:val="75AD0232"/>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A3DBC"/>
    <w:rsid w:val="783B17B1"/>
    <w:rsid w:val="784E2046"/>
    <w:rsid w:val="78546F0C"/>
    <w:rsid w:val="786778FE"/>
    <w:rsid w:val="789D588A"/>
    <w:rsid w:val="78B65E3A"/>
    <w:rsid w:val="78B813C8"/>
    <w:rsid w:val="78C63C67"/>
    <w:rsid w:val="78CE2999"/>
    <w:rsid w:val="78E0091E"/>
    <w:rsid w:val="78EE1C79"/>
    <w:rsid w:val="78F85605"/>
    <w:rsid w:val="78FA66FA"/>
    <w:rsid w:val="79345B6A"/>
    <w:rsid w:val="79424F6E"/>
    <w:rsid w:val="794B223C"/>
    <w:rsid w:val="795F3706"/>
    <w:rsid w:val="797239CC"/>
    <w:rsid w:val="797F54AB"/>
    <w:rsid w:val="79831473"/>
    <w:rsid w:val="79983E9C"/>
    <w:rsid w:val="7999527A"/>
    <w:rsid w:val="79A33E26"/>
    <w:rsid w:val="79AF76C5"/>
    <w:rsid w:val="79C25EE1"/>
    <w:rsid w:val="79CB0C87"/>
    <w:rsid w:val="79CE2967"/>
    <w:rsid w:val="79D57D57"/>
    <w:rsid w:val="79DF2984"/>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2F3C22"/>
    <w:rsid w:val="7D475E29"/>
    <w:rsid w:val="7D480B34"/>
    <w:rsid w:val="7D4E26AD"/>
    <w:rsid w:val="7D777A3E"/>
    <w:rsid w:val="7D9005BC"/>
    <w:rsid w:val="7D9F0AD0"/>
    <w:rsid w:val="7DB22BDF"/>
    <w:rsid w:val="7DD12BB7"/>
    <w:rsid w:val="7DF223A2"/>
    <w:rsid w:val="7DF52776"/>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862D0"/>
    <w:rsid w:val="7F3B240A"/>
    <w:rsid w:val="7F4C4618"/>
    <w:rsid w:val="7F4D13A6"/>
    <w:rsid w:val="7F582CF2"/>
    <w:rsid w:val="7F6F7D5B"/>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17948</Words>
  <Characters>19710</Characters>
  <Lines>50</Lines>
  <Paragraphs>68</Paragraphs>
  <TotalTime>2</TotalTime>
  <ScaleCrop>false</ScaleCrop>
  <LinksUpToDate>false</LinksUpToDate>
  <CharactersWithSpaces>20211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2025-10-28T07:00:45Z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