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7BA3A25">
      <w:pPr>
        <w:pStyle w:val="20"/>
        <w:widowControl w:val="0"/>
        <w:spacing w:before="156" w:beforeLines="50"/>
        <w:ind w:firstLine="964"/>
        <w:jc w:val="center"/>
        <w:rPr>
          <w:rFonts w:hint="eastAsia"/>
          <w:b/>
          <w:bCs/>
          <w:sz w:val="48"/>
          <w:szCs w:val="48"/>
          <w:highlight w:val="none"/>
        </w:rPr>
      </w:pPr>
      <w:bookmarkStart w:id="0" w:name="_Toc22804073"/>
      <w:bookmarkEnd w:id="0"/>
      <w:bookmarkStart w:id="1" w:name="_Toc22953395"/>
      <w:bookmarkEnd w:id="1"/>
    </w:p>
    <w:p w14:paraId="1E9484ED">
      <w:pPr>
        <w:pStyle w:val="20"/>
        <w:spacing w:before="156" w:beforeLines="50"/>
        <w:ind w:firstLine="883"/>
        <w:jc w:val="center"/>
        <w:rPr>
          <w:rFonts w:hint="eastAsia"/>
          <w:b/>
          <w:bCs/>
          <w:sz w:val="44"/>
          <w:szCs w:val="44"/>
          <w:highlight w:val="none"/>
        </w:rPr>
      </w:pPr>
      <w:bookmarkStart w:id="2" w:name="OLE_LINK14"/>
      <w:bookmarkStart w:id="110" w:name="_GoBack"/>
      <w:r>
        <w:rPr>
          <w:rFonts w:hint="eastAsia"/>
          <w:b/>
          <w:bCs/>
          <w:sz w:val="44"/>
          <w:szCs w:val="44"/>
          <w:highlight w:val="none"/>
        </w:rPr>
        <w:t>驻马店市中心医院锅炉、供暖管道及配套设施检修、检验项目</w:t>
      </w:r>
      <w:bookmarkEnd w:id="110"/>
    </w:p>
    <w:bookmarkEnd w:id="2"/>
    <w:p w14:paraId="42BC4653">
      <w:pPr>
        <w:pStyle w:val="20"/>
        <w:ind w:firstLine="964"/>
        <w:jc w:val="center"/>
        <w:rPr>
          <w:rStyle w:val="45"/>
          <w:rFonts w:hint="eastAsia"/>
          <w:b/>
          <w:bCs/>
          <w:sz w:val="48"/>
          <w:szCs w:val="48"/>
          <w:highlight w:val="none"/>
        </w:rPr>
      </w:pPr>
    </w:p>
    <w:p w14:paraId="4BE2A9E8">
      <w:pPr>
        <w:pStyle w:val="20"/>
        <w:ind w:firstLine="964"/>
        <w:jc w:val="center"/>
        <w:rPr>
          <w:rStyle w:val="45"/>
          <w:rFonts w:hint="eastAsia"/>
          <w:b/>
          <w:bCs/>
          <w:sz w:val="48"/>
          <w:szCs w:val="48"/>
          <w:highlight w:val="none"/>
        </w:rPr>
      </w:pPr>
    </w:p>
    <w:p w14:paraId="519CF542">
      <w:pPr>
        <w:pStyle w:val="20"/>
        <w:ind w:firstLine="883"/>
        <w:jc w:val="center"/>
        <w:rPr>
          <w:rFonts w:hint="eastAsia"/>
          <w:b/>
          <w:bCs/>
          <w:color w:val="333333"/>
          <w:sz w:val="44"/>
          <w:szCs w:val="44"/>
          <w:highlight w:val="none"/>
        </w:rPr>
      </w:pPr>
      <w:r>
        <w:rPr>
          <w:rStyle w:val="45"/>
          <w:rFonts w:hint="eastAsia"/>
          <w:b/>
          <w:bCs/>
          <w:sz w:val="44"/>
          <w:szCs w:val="44"/>
          <w:highlight w:val="none"/>
        </w:rPr>
        <w:t>竞争性磋商文件</w:t>
      </w:r>
    </w:p>
    <w:p w14:paraId="0D79C5DD">
      <w:pPr>
        <w:rPr>
          <w:highlight w:val="none"/>
        </w:rPr>
      </w:pPr>
    </w:p>
    <w:p w14:paraId="13A85D72">
      <w:pPr>
        <w:snapToGrid w:val="0"/>
        <w:spacing w:line="380" w:lineRule="exact"/>
        <w:ind w:firstLine="643"/>
        <w:jc w:val="center"/>
        <w:rPr>
          <w:rFonts w:hint="eastAsia" w:ascii="宋体" w:hAnsi="宋体" w:cs="宋体"/>
          <w:b/>
          <w:sz w:val="32"/>
          <w:szCs w:val="32"/>
          <w:highlight w:val="none"/>
        </w:rPr>
      </w:pPr>
    </w:p>
    <w:p w14:paraId="3D158DB2">
      <w:pPr>
        <w:snapToGrid w:val="0"/>
        <w:spacing w:line="380" w:lineRule="exact"/>
        <w:ind w:firstLine="643"/>
        <w:jc w:val="center"/>
        <w:rPr>
          <w:rFonts w:hint="eastAsia" w:ascii="宋体" w:hAnsi="宋体" w:cs="宋体"/>
          <w:b/>
          <w:sz w:val="32"/>
          <w:szCs w:val="32"/>
          <w:highlight w:val="none"/>
        </w:rPr>
      </w:pPr>
    </w:p>
    <w:p w14:paraId="7EE9B0BD">
      <w:pPr>
        <w:snapToGrid w:val="0"/>
        <w:spacing w:line="380" w:lineRule="exact"/>
        <w:ind w:firstLine="643"/>
        <w:jc w:val="center"/>
        <w:rPr>
          <w:rFonts w:hint="eastAsia" w:ascii="宋体" w:hAnsi="宋体" w:cs="宋体"/>
          <w:b/>
          <w:sz w:val="32"/>
          <w:szCs w:val="32"/>
          <w:highlight w:val="none"/>
        </w:rPr>
      </w:pPr>
    </w:p>
    <w:p w14:paraId="662E4303">
      <w:pPr>
        <w:snapToGrid w:val="0"/>
        <w:spacing w:line="380" w:lineRule="exact"/>
        <w:ind w:firstLine="643"/>
        <w:jc w:val="center"/>
        <w:rPr>
          <w:rFonts w:hint="eastAsia" w:ascii="宋体" w:hAnsi="宋体" w:cs="宋体"/>
          <w:b/>
          <w:sz w:val="32"/>
          <w:szCs w:val="32"/>
          <w:highlight w:val="none"/>
        </w:rPr>
      </w:pPr>
    </w:p>
    <w:p w14:paraId="17CDA9C7">
      <w:pPr>
        <w:snapToGrid w:val="0"/>
        <w:spacing w:line="380" w:lineRule="exact"/>
        <w:ind w:firstLine="643"/>
        <w:jc w:val="center"/>
        <w:rPr>
          <w:rFonts w:hint="eastAsia" w:ascii="宋体" w:hAnsi="宋体" w:cs="宋体"/>
          <w:b/>
          <w:sz w:val="32"/>
          <w:szCs w:val="32"/>
          <w:highlight w:val="none"/>
        </w:rPr>
      </w:pPr>
    </w:p>
    <w:p w14:paraId="47F6E90C">
      <w:pPr>
        <w:snapToGrid w:val="0"/>
        <w:spacing w:line="380" w:lineRule="exact"/>
        <w:ind w:firstLine="643"/>
        <w:jc w:val="center"/>
        <w:rPr>
          <w:rFonts w:hint="eastAsia" w:ascii="宋体" w:hAnsi="宋体" w:cs="宋体"/>
          <w:b/>
          <w:sz w:val="32"/>
          <w:szCs w:val="32"/>
          <w:highlight w:val="none"/>
        </w:rPr>
      </w:pPr>
    </w:p>
    <w:p w14:paraId="66573C36">
      <w:pPr>
        <w:snapToGrid w:val="0"/>
        <w:spacing w:line="380" w:lineRule="exact"/>
        <w:ind w:firstLine="643"/>
        <w:jc w:val="center"/>
        <w:rPr>
          <w:rFonts w:hint="eastAsia" w:ascii="宋体" w:hAnsi="宋体" w:cs="宋体"/>
          <w:b/>
          <w:sz w:val="32"/>
          <w:szCs w:val="32"/>
          <w:highlight w:val="none"/>
        </w:rPr>
      </w:pPr>
    </w:p>
    <w:p w14:paraId="3BADCF11">
      <w:pPr>
        <w:snapToGrid w:val="0"/>
        <w:spacing w:line="380" w:lineRule="exact"/>
        <w:ind w:firstLine="643"/>
        <w:jc w:val="center"/>
        <w:rPr>
          <w:rFonts w:hint="eastAsia" w:ascii="宋体" w:hAnsi="宋体" w:cs="宋体"/>
          <w:b/>
          <w:sz w:val="32"/>
          <w:szCs w:val="32"/>
          <w:highlight w:val="none"/>
        </w:rPr>
      </w:pPr>
    </w:p>
    <w:p w14:paraId="15ED84C9">
      <w:pPr>
        <w:pStyle w:val="33"/>
        <w:ind w:firstLine="210"/>
        <w:rPr>
          <w:rFonts w:hint="eastAsia" w:ascii="宋体" w:hAnsi="宋体" w:cs="宋体"/>
          <w:highlight w:val="none"/>
        </w:rPr>
      </w:pPr>
    </w:p>
    <w:p w14:paraId="540BE30B">
      <w:pPr>
        <w:pStyle w:val="60"/>
        <w:ind w:left="460" w:hanging="40"/>
        <w:rPr>
          <w:rFonts w:hint="eastAsia" w:ascii="宋体" w:hAnsi="宋体" w:cs="宋体"/>
          <w:bCs/>
          <w:sz w:val="2"/>
          <w:szCs w:val="2"/>
          <w:highlight w:val="none"/>
        </w:rPr>
      </w:pPr>
    </w:p>
    <w:p w14:paraId="6711F689">
      <w:pPr>
        <w:ind w:firstLine="40"/>
        <w:rPr>
          <w:rFonts w:hint="eastAsia" w:ascii="宋体" w:hAnsi="宋体" w:cs="宋体"/>
          <w:bCs/>
          <w:sz w:val="2"/>
          <w:szCs w:val="2"/>
          <w:highlight w:val="none"/>
        </w:rPr>
      </w:pPr>
    </w:p>
    <w:p w14:paraId="372BC1EF">
      <w:pPr>
        <w:spacing w:line="20" w:lineRule="exact"/>
        <w:ind w:firstLine="40"/>
        <w:rPr>
          <w:rFonts w:hint="eastAsia" w:ascii="宋体" w:hAnsi="宋体" w:cs="宋体"/>
          <w:bCs/>
          <w:sz w:val="2"/>
          <w:szCs w:val="2"/>
          <w:highlight w:val="none"/>
        </w:rPr>
      </w:pPr>
    </w:p>
    <w:p w14:paraId="24BBB156">
      <w:pPr>
        <w:tabs>
          <w:tab w:val="left" w:pos="2700"/>
          <w:tab w:val="left" w:pos="2880"/>
          <w:tab w:val="left" w:pos="3060"/>
          <w:tab w:val="left" w:pos="7560"/>
        </w:tabs>
        <w:snapToGrid w:val="0"/>
        <w:spacing w:line="480" w:lineRule="auto"/>
        <w:ind w:firstLine="1687" w:firstLineChars="525"/>
        <w:rPr>
          <w:rFonts w:hint="eastAsia" w:ascii="宋体" w:hAnsi="宋体" w:cs="宋体"/>
          <w:b/>
          <w:bCs/>
          <w:spacing w:val="-10"/>
          <w:sz w:val="34"/>
          <w:szCs w:val="34"/>
          <w:highlight w:val="none"/>
        </w:rPr>
      </w:pPr>
      <w:r>
        <w:rPr>
          <w:rFonts w:hint="eastAsia" w:ascii="宋体" w:hAnsi="宋体" w:cs="宋体"/>
          <w:b/>
          <w:bCs/>
          <w:spacing w:val="-10"/>
          <w:sz w:val="34"/>
          <w:szCs w:val="34"/>
          <w:highlight w:val="none"/>
        </w:rPr>
        <w:t>采   购   人：驻马店市中心医院</w:t>
      </w:r>
    </w:p>
    <w:p w14:paraId="4F8EFCF8">
      <w:pPr>
        <w:tabs>
          <w:tab w:val="left" w:pos="2700"/>
          <w:tab w:val="left" w:pos="2880"/>
          <w:tab w:val="left" w:pos="3060"/>
          <w:tab w:val="left" w:pos="7560"/>
        </w:tabs>
        <w:snapToGrid w:val="0"/>
        <w:spacing w:line="480" w:lineRule="auto"/>
        <w:ind w:firstLine="1687" w:firstLineChars="525"/>
        <w:rPr>
          <w:rFonts w:hint="eastAsia" w:ascii="宋体" w:hAnsi="宋体" w:cs="宋体"/>
          <w:b/>
          <w:bCs/>
          <w:spacing w:val="-10"/>
          <w:sz w:val="34"/>
          <w:szCs w:val="34"/>
          <w:highlight w:val="none"/>
        </w:rPr>
      </w:pPr>
      <w:r>
        <w:rPr>
          <w:rFonts w:hint="eastAsia" w:ascii="宋体" w:hAnsi="宋体" w:cs="宋体"/>
          <w:b/>
          <w:bCs/>
          <w:spacing w:val="-10"/>
          <w:sz w:val="34"/>
          <w:szCs w:val="34"/>
          <w:highlight w:val="none"/>
        </w:rPr>
        <w:t>采购代理机构：中基建安工程管理有限公司</w:t>
      </w:r>
    </w:p>
    <w:p w14:paraId="3B8B8FEF">
      <w:pPr>
        <w:tabs>
          <w:tab w:val="left" w:pos="2700"/>
          <w:tab w:val="left" w:pos="2880"/>
          <w:tab w:val="left" w:pos="3060"/>
          <w:tab w:val="left" w:pos="7560"/>
        </w:tabs>
        <w:snapToGrid w:val="0"/>
        <w:spacing w:line="480" w:lineRule="auto"/>
        <w:ind w:firstLine="1687" w:firstLineChars="525"/>
        <w:rPr>
          <w:rFonts w:hint="eastAsia" w:ascii="宋体" w:hAnsi="宋体" w:cs="宋体"/>
          <w:b/>
          <w:bCs/>
          <w:spacing w:val="-10"/>
          <w:sz w:val="34"/>
          <w:szCs w:val="34"/>
          <w:highlight w:val="none"/>
        </w:rPr>
      </w:pPr>
      <w:r>
        <w:rPr>
          <w:rFonts w:hint="eastAsia" w:ascii="宋体" w:hAnsi="宋体" w:cs="宋体"/>
          <w:b/>
          <w:bCs/>
          <w:spacing w:val="-10"/>
          <w:sz w:val="34"/>
          <w:szCs w:val="34"/>
          <w:highlight w:val="none"/>
        </w:rPr>
        <w:t>日        期：2025年10月</w:t>
      </w:r>
    </w:p>
    <w:p w14:paraId="741D957E">
      <w:pPr>
        <w:tabs>
          <w:tab w:val="left" w:pos="2700"/>
          <w:tab w:val="left" w:pos="2880"/>
          <w:tab w:val="left" w:pos="3060"/>
          <w:tab w:val="left" w:pos="7560"/>
        </w:tabs>
        <w:snapToGrid w:val="0"/>
        <w:spacing w:line="480" w:lineRule="auto"/>
        <w:ind w:firstLine="1928" w:firstLineChars="600"/>
        <w:rPr>
          <w:rFonts w:hint="eastAsia" w:ascii="宋体" w:hAnsi="宋体" w:cs="宋体"/>
          <w:b/>
          <w:bCs/>
          <w:spacing w:val="-10"/>
          <w:sz w:val="34"/>
          <w:szCs w:val="34"/>
          <w:highlight w:val="none"/>
        </w:rPr>
      </w:pPr>
    </w:p>
    <w:p w14:paraId="2DFD0287">
      <w:pPr>
        <w:tabs>
          <w:tab w:val="left" w:pos="2505"/>
          <w:tab w:val="center" w:pos="4535"/>
        </w:tabs>
        <w:snapToGrid w:val="0"/>
        <w:spacing w:line="480" w:lineRule="auto"/>
        <w:ind w:firstLine="723"/>
        <w:jc w:val="center"/>
        <w:rPr>
          <w:rFonts w:hint="eastAsia" w:ascii="宋体" w:hAnsi="宋体" w:cs="宋体"/>
          <w:b/>
          <w:sz w:val="36"/>
          <w:szCs w:val="36"/>
          <w:highlight w:val="none"/>
        </w:rPr>
        <w:sectPr>
          <w:pgSz w:w="11923" w:h="16838"/>
          <w:pgMar w:top="1304" w:right="1417" w:bottom="992" w:left="1417" w:header="720" w:footer="720" w:gutter="0"/>
          <w:pgNumType w:start="1"/>
          <w:cols w:space="720" w:num="1"/>
          <w:docGrid w:type="lines" w:linePitch="312" w:charSpace="0"/>
        </w:sectPr>
      </w:pPr>
    </w:p>
    <w:p w14:paraId="5E56C357">
      <w:pPr>
        <w:ind w:firstLine="723"/>
        <w:jc w:val="center"/>
        <w:rPr>
          <w:rFonts w:hint="eastAsia" w:ascii="宋体" w:hAnsi="宋体" w:cs="宋体"/>
          <w:b/>
          <w:bCs/>
          <w:sz w:val="36"/>
          <w:szCs w:val="36"/>
          <w:highlight w:val="none"/>
        </w:rPr>
      </w:pPr>
      <w:r>
        <w:rPr>
          <w:rFonts w:hint="eastAsia" w:ascii="宋体" w:hAnsi="宋体" w:cs="宋体"/>
          <w:b/>
          <w:bCs/>
          <w:sz w:val="36"/>
          <w:szCs w:val="36"/>
          <w:highlight w:val="none"/>
        </w:rPr>
        <w:t>目录</w:t>
      </w:r>
    </w:p>
    <w:p w14:paraId="4190D9B1">
      <w:pPr>
        <w:pStyle w:val="26"/>
        <w:tabs>
          <w:tab w:val="right" w:leader="dot" w:pos="8958"/>
        </w:tabs>
        <w:spacing w:line="360" w:lineRule="auto"/>
        <w:rPr>
          <w:rFonts w:hint="eastAsia" w:ascii="宋体" w:hAnsi="宋体" w:cs="宋体"/>
          <w:highlight w:val="none"/>
        </w:rPr>
      </w:pP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TOC \o "1-1" \h \u </w:instrText>
      </w:r>
      <w:r>
        <w:rPr>
          <w:rFonts w:hint="eastAsia" w:ascii="宋体" w:hAnsi="宋体" w:cs="宋体"/>
          <w:b/>
          <w:bCs/>
          <w:sz w:val="32"/>
          <w:szCs w:val="32"/>
          <w:highlight w:val="none"/>
        </w:rPr>
        <w:fldChar w:fldCharType="separate"/>
      </w:r>
      <w:r>
        <w:rPr>
          <w:highlight w:val="none"/>
        </w:rPr>
        <w:fldChar w:fldCharType="begin"/>
      </w:r>
      <w:r>
        <w:rPr>
          <w:highlight w:val="none"/>
        </w:rPr>
        <w:instrText xml:space="preserve"> HYPERLINK \l "_Toc4111" </w:instrText>
      </w:r>
      <w:r>
        <w:rPr>
          <w:highlight w:val="none"/>
        </w:rPr>
        <w:fldChar w:fldCharType="separate"/>
      </w:r>
      <w:r>
        <w:rPr>
          <w:rFonts w:hint="eastAsia" w:ascii="宋体" w:hAnsi="宋体" w:cs="宋体"/>
          <w:szCs w:val="32"/>
          <w:highlight w:val="none"/>
        </w:rPr>
        <w:t>第一章  竞争性磋商采购公告</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_Toc4111 \h </w:instrText>
      </w:r>
      <w:r>
        <w:rPr>
          <w:rFonts w:hint="eastAsia" w:ascii="宋体" w:hAnsi="宋体" w:cs="宋体"/>
          <w:highlight w:val="none"/>
        </w:rPr>
        <w:fldChar w:fldCharType="separate"/>
      </w:r>
      <w:r>
        <w:rPr>
          <w:rFonts w:hint="eastAsia" w:ascii="宋体" w:hAnsi="宋体" w:cs="宋体"/>
          <w:highlight w:val="none"/>
        </w:rPr>
        <w:t>2</w:t>
      </w:r>
      <w:r>
        <w:rPr>
          <w:rFonts w:hint="eastAsia" w:ascii="宋体" w:hAnsi="宋体" w:cs="宋体"/>
          <w:highlight w:val="none"/>
        </w:rPr>
        <w:fldChar w:fldCharType="end"/>
      </w:r>
      <w:r>
        <w:rPr>
          <w:rFonts w:hint="eastAsia" w:ascii="宋体" w:hAnsi="宋体" w:cs="宋体"/>
          <w:highlight w:val="none"/>
        </w:rPr>
        <w:fldChar w:fldCharType="end"/>
      </w:r>
    </w:p>
    <w:p w14:paraId="6CFC2328">
      <w:pPr>
        <w:pStyle w:val="26"/>
        <w:tabs>
          <w:tab w:val="right" w:leader="dot" w:pos="8958"/>
        </w:tabs>
        <w:spacing w:line="360" w:lineRule="auto"/>
        <w:rPr>
          <w:rFonts w:hint="eastAsia" w:ascii="宋体" w:hAnsi="宋体" w:cs="宋体"/>
          <w:highlight w:val="none"/>
        </w:rPr>
      </w:pPr>
      <w:r>
        <w:rPr>
          <w:highlight w:val="none"/>
        </w:rPr>
        <w:fldChar w:fldCharType="begin"/>
      </w:r>
      <w:r>
        <w:rPr>
          <w:highlight w:val="none"/>
        </w:rPr>
        <w:instrText xml:space="preserve"> HYPERLINK \l "_Toc1871" </w:instrText>
      </w:r>
      <w:r>
        <w:rPr>
          <w:highlight w:val="none"/>
        </w:rPr>
        <w:fldChar w:fldCharType="separate"/>
      </w:r>
      <w:r>
        <w:rPr>
          <w:rFonts w:hint="eastAsia" w:ascii="宋体" w:hAnsi="宋体" w:cs="宋体"/>
          <w:szCs w:val="32"/>
          <w:highlight w:val="none"/>
        </w:rPr>
        <w:t>第二章  采购需求</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_Toc1871 \h </w:instrText>
      </w:r>
      <w:r>
        <w:rPr>
          <w:rFonts w:hint="eastAsia" w:ascii="宋体" w:hAnsi="宋体" w:cs="宋体"/>
          <w:highlight w:val="none"/>
        </w:rPr>
        <w:fldChar w:fldCharType="separate"/>
      </w:r>
      <w:r>
        <w:rPr>
          <w:rFonts w:hint="eastAsia" w:ascii="宋体" w:hAnsi="宋体" w:cs="宋体"/>
          <w:highlight w:val="none"/>
        </w:rPr>
        <w:t>4</w:t>
      </w:r>
      <w:r>
        <w:rPr>
          <w:rFonts w:hint="eastAsia" w:ascii="宋体" w:hAnsi="宋体" w:cs="宋体"/>
          <w:highlight w:val="none"/>
        </w:rPr>
        <w:fldChar w:fldCharType="end"/>
      </w:r>
      <w:r>
        <w:rPr>
          <w:rFonts w:hint="eastAsia" w:ascii="宋体" w:hAnsi="宋体" w:cs="宋体"/>
          <w:highlight w:val="none"/>
        </w:rPr>
        <w:fldChar w:fldCharType="end"/>
      </w:r>
    </w:p>
    <w:p w14:paraId="1FDD96CA">
      <w:pPr>
        <w:pStyle w:val="26"/>
        <w:tabs>
          <w:tab w:val="right" w:leader="dot" w:pos="8958"/>
        </w:tabs>
        <w:spacing w:line="360" w:lineRule="auto"/>
        <w:rPr>
          <w:rFonts w:hint="eastAsia" w:ascii="宋体" w:hAnsi="宋体" w:cs="宋体"/>
          <w:highlight w:val="none"/>
        </w:rPr>
      </w:pPr>
      <w:r>
        <w:rPr>
          <w:highlight w:val="none"/>
        </w:rPr>
        <w:fldChar w:fldCharType="begin"/>
      </w:r>
      <w:r>
        <w:rPr>
          <w:highlight w:val="none"/>
        </w:rPr>
        <w:instrText xml:space="preserve"> HYPERLINK \l "_Toc25734" </w:instrText>
      </w:r>
      <w:r>
        <w:rPr>
          <w:highlight w:val="none"/>
        </w:rPr>
        <w:fldChar w:fldCharType="separate"/>
      </w:r>
      <w:r>
        <w:rPr>
          <w:rFonts w:hint="eastAsia" w:ascii="宋体" w:hAnsi="宋体" w:cs="宋体"/>
          <w:bCs/>
          <w:szCs w:val="32"/>
          <w:highlight w:val="none"/>
        </w:rPr>
        <w:t>第三章  供应商须知</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_Toc25734 \h </w:instrText>
      </w:r>
      <w:r>
        <w:rPr>
          <w:rFonts w:hint="eastAsia" w:ascii="宋体" w:hAnsi="宋体" w:cs="宋体"/>
          <w:highlight w:val="none"/>
        </w:rPr>
        <w:fldChar w:fldCharType="separate"/>
      </w:r>
      <w:r>
        <w:rPr>
          <w:rFonts w:hint="eastAsia" w:ascii="宋体" w:hAnsi="宋体" w:cs="宋体"/>
          <w:highlight w:val="none"/>
        </w:rPr>
        <w:t>7</w:t>
      </w:r>
      <w:r>
        <w:rPr>
          <w:rFonts w:hint="eastAsia" w:ascii="宋体" w:hAnsi="宋体" w:cs="宋体"/>
          <w:highlight w:val="none"/>
        </w:rPr>
        <w:fldChar w:fldCharType="end"/>
      </w:r>
      <w:r>
        <w:rPr>
          <w:rFonts w:hint="eastAsia" w:ascii="宋体" w:hAnsi="宋体" w:cs="宋体"/>
          <w:highlight w:val="none"/>
        </w:rPr>
        <w:fldChar w:fldCharType="end"/>
      </w:r>
    </w:p>
    <w:p w14:paraId="12EE9489">
      <w:pPr>
        <w:pStyle w:val="26"/>
        <w:tabs>
          <w:tab w:val="right" w:leader="dot" w:pos="8958"/>
        </w:tabs>
        <w:spacing w:line="360" w:lineRule="auto"/>
        <w:rPr>
          <w:rFonts w:hint="eastAsia" w:ascii="宋体" w:hAnsi="宋体" w:cs="宋体"/>
          <w:highlight w:val="none"/>
        </w:rPr>
      </w:pPr>
      <w:r>
        <w:rPr>
          <w:highlight w:val="none"/>
        </w:rPr>
        <w:fldChar w:fldCharType="begin"/>
      </w:r>
      <w:r>
        <w:rPr>
          <w:highlight w:val="none"/>
        </w:rPr>
        <w:instrText xml:space="preserve"> HYPERLINK \l "_Toc8767" </w:instrText>
      </w:r>
      <w:r>
        <w:rPr>
          <w:highlight w:val="none"/>
        </w:rPr>
        <w:fldChar w:fldCharType="separate"/>
      </w:r>
      <w:r>
        <w:rPr>
          <w:rFonts w:hint="eastAsia" w:ascii="宋体" w:hAnsi="宋体" w:cs="宋体"/>
          <w:bCs/>
          <w:kern w:val="0"/>
          <w:szCs w:val="32"/>
          <w:highlight w:val="none"/>
        </w:rPr>
        <w:t>第四章  评标办法及评分标准</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_Toc8767 \h </w:instrText>
      </w:r>
      <w:r>
        <w:rPr>
          <w:rFonts w:hint="eastAsia" w:ascii="宋体" w:hAnsi="宋体" w:cs="宋体"/>
          <w:highlight w:val="none"/>
        </w:rPr>
        <w:fldChar w:fldCharType="separate"/>
      </w:r>
      <w:r>
        <w:rPr>
          <w:rFonts w:hint="eastAsia" w:ascii="宋体" w:hAnsi="宋体" w:cs="宋体"/>
          <w:highlight w:val="none"/>
        </w:rPr>
        <w:t>17</w:t>
      </w:r>
      <w:r>
        <w:rPr>
          <w:rFonts w:hint="eastAsia" w:ascii="宋体" w:hAnsi="宋体" w:cs="宋体"/>
          <w:highlight w:val="none"/>
        </w:rPr>
        <w:fldChar w:fldCharType="end"/>
      </w:r>
      <w:r>
        <w:rPr>
          <w:rFonts w:hint="eastAsia" w:ascii="宋体" w:hAnsi="宋体" w:cs="宋体"/>
          <w:highlight w:val="none"/>
        </w:rPr>
        <w:fldChar w:fldCharType="end"/>
      </w:r>
    </w:p>
    <w:p w14:paraId="65C4F461">
      <w:pPr>
        <w:pStyle w:val="26"/>
        <w:tabs>
          <w:tab w:val="right" w:leader="dot" w:pos="8958"/>
        </w:tabs>
        <w:spacing w:line="360" w:lineRule="auto"/>
        <w:rPr>
          <w:rFonts w:hint="eastAsia" w:ascii="宋体" w:hAnsi="宋体" w:cs="宋体"/>
          <w:highlight w:val="none"/>
        </w:rPr>
      </w:pPr>
      <w:r>
        <w:rPr>
          <w:highlight w:val="none"/>
        </w:rPr>
        <w:fldChar w:fldCharType="begin"/>
      </w:r>
      <w:r>
        <w:rPr>
          <w:highlight w:val="none"/>
        </w:rPr>
        <w:instrText xml:space="preserve"> HYPERLINK \l "_Toc11544" </w:instrText>
      </w:r>
      <w:r>
        <w:rPr>
          <w:highlight w:val="none"/>
        </w:rPr>
        <w:fldChar w:fldCharType="separate"/>
      </w:r>
      <w:r>
        <w:rPr>
          <w:rFonts w:hint="eastAsia" w:ascii="宋体" w:hAnsi="宋体" w:cs="宋体"/>
          <w:szCs w:val="28"/>
          <w:highlight w:val="none"/>
        </w:rPr>
        <w:t>第五章  采购合同</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_Toc11544 \h </w:instrText>
      </w:r>
      <w:r>
        <w:rPr>
          <w:rFonts w:hint="eastAsia" w:ascii="宋体" w:hAnsi="宋体" w:cs="宋体"/>
          <w:highlight w:val="none"/>
        </w:rPr>
        <w:fldChar w:fldCharType="separate"/>
      </w:r>
      <w:r>
        <w:rPr>
          <w:rFonts w:hint="eastAsia" w:ascii="宋体" w:hAnsi="宋体" w:cs="宋体"/>
          <w:highlight w:val="none"/>
        </w:rPr>
        <w:t>20</w:t>
      </w:r>
      <w:r>
        <w:rPr>
          <w:rFonts w:hint="eastAsia" w:ascii="宋体" w:hAnsi="宋体" w:cs="宋体"/>
          <w:highlight w:val="none"/>
        </w:rPr>
        <w:fldChar w:fldCharType="end"/>
      </w:r>
      <w:r>
        <w:rPr>
          <w:rFonts w:hint="eastAsia" w:ascii="宋体" w:hAnsi="宋体" w:cs="宋体"/>
          <w:highlight w:val="none"/>
        </w:rPr>
        <w:fldChar w:fldCharType="end"/>
      </w:r>
    </w:p>
    <w:p w14:paraId="4FE0184F">
      <w:pPr>
        <w:pStyle w:val="26"/>
        <w:tabs>
          <w:tab w:val="right" w:leader="dot" w:pos="8958"/>
        </w:tabs>
        <w:spacing w:line="360" w:lineRule="auto"/>
        <w:rPr>
          <w:highlight w:val="none"/>
        </w:rPr>
      </w:pPr>
      <w:r>
        <w:rPr>
          <w:highlight w:val="none"/>
        </w:rPr>
        <w:fldChar w:fldCharType="begin"/>
      </w:r>
      <w:r>
        <w:rPr>
          <w:highlight w:val="none"/>
        </w:rPr>
        <w:instrText xml:space="preserve"> HYPERLINK \l "_Toc29957" </w:instrText>
      </w:r>
      <w:r>
        <w:rPr>
          <w:highlight w:val="none"/>
        </w:rPr>
        <w:fldChar w:fldCharType="separate"/>
      </w:r>
      <w:r>
        <w:rPr>
          <w:rFonts w:hint="eastAsia" w:ascii="宋体" w:hAnsi="宋体" w:cs="宋体"/>
          <w:szCs w:val="32"/>
          <w:highlight w:val="none"/>
        </w:rPr>
        <w:t>第六章  响应文件格式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_Toc29957 \h </w:instrText>
      </w:r>
      <w:r>
        <w:rPr>
          <w:rFonts w:hint="eastAsia" w:ascii="宋体" w:hAnsi="宋体" w:cs="宋体"/>
          <w:highlight w:val="none"/>
        </w:rPr>
        <w:fldChar w:fldCharType="separate"/>
      </w:r>
      <w:r>
        <w:rPr>
          <w:rFonts w:hint="eastAsia" w:ascii="宋体" w:hAnsi="宋体" w:cs="宋体"/>
          <w:highlight w:val="none"/>
        </w:rPr>
        <w:t>21</w:t>
      </w:r>
      <w:r>
        <w:rPr>
          <w:rFonts w:hint="eastAsia" w:ascii="宋体" w:hAnsi="宋体" w:cs="宋体"/>
          <w:highlight w:val="none"/>
        </w:rPr>
        <w:fldChar w:fldCharType="end"/>
      </w:r>
      <w:r>
        <w:rPr>
          <w:rFonts w:hint="eastAsia" w:ascii="宋体" w:hAnsi="宋体" w:cs="宋体"/>
          <w:highlight w:val="none"/>
        </w:rPr>
        <w:fldChar w:fldCharType="end"/>
      </w:r>
    </w:p>
    <w:p w14:paraId="63117E31">
      <w:pPr>
        <w:pStyle w:val="26"/>
        <w:tabs>
          <w:tab w:val="right" w:leader="dot" w:pos="8958"/>
        </w:tabs>
        <w:rPr>
          <w:highlight w:val="none"/>
        </w:rPr>
      </w:pPr>
    </w:p>
    <w:p w14:paraId="3123026E">
      <w:pPr>
        <w:pStyle w:val="84"/>
        <w:tabs>
          <w:tab w:val="right" w:leader="dot" w:pos="8300"/>
        </w:tabs>
        <w:snapToGrid w:val="0"/>
        <w:spacing w:line="360" w:lineRule="auto"/>
        <w:rPr>
          <w:rFonts w:hint="eastAsia" w:ascii="宋体" w:hAnsi="宋体" w:cs="宋体"/>
          <w:sz w:val="32"/>
          <w:szCs w:val="32"/>
          <w:highlight w:val="none"/>
        </w:rPr>
      </w:pPr>
      <w:r>
        <w:rPr>
          <w:rFonts w:hint="eastAsia" w:ascii="宋体" w:hAnsi="宋体" w:cs="宋体"/>
          <w:bCs/>
          <w:szCs w:val="32"/>
          <w:highlight w:val="none"/>
        </w:rPr>
        <w:fldChar w:fldCharType="end"/>
      </w:r>
    </w:p>
    <w:p w14:paraId="27210DA1">
      <w:pPr>
        <w:spacing w:line="440" w:lineRule="exact"/>
        <w:ind w:firstLine="643"/>
        <w:rPr>
          <w:rFonts w:hint="eastAsia" w:ascii="宋体" w:hAnsi="宋体" w:cs="宋体"/>
          <w:b/>
          <w:sz w:val="32"/>
          <w:szCs w:val="32"/>
          <w:highlight w:val="none"/>
        </w:rPr>
      </w:pPr>
    </w:p>
    <w:p w14:paraId="3A14A0E5">
      <w:pPr>
        <w:spacing w:line="360" w:lineRule="auto"/>
        <w:ind w:firstLine="2409" w:firstLineChars="600"/>
        <w:rPr>
          <w:rFonts w:hint="eastAsia" w:ascii="宋体" w:hAnsi="宋体" w:cs="宋体"/>
          <w:b/>
          <w:sz w:val="40"/>
          <w:szCs w:val="40"/>
          <w:highlight w:val="none"/>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446D4F00">
      <w:pPr>
        <w:spacing w:line="360" w:lineRule="auto"/>
        <w:ind w:firstLine="643"/>
        <w:jc w:val="center"/>
        <w:outlineLvl w:val="0"/>
        <w:rPr>
          <w:rFonts w:hint="eastAsia" w:ascii="宋体" w:hAnsi="宋体" w:cs="宋体"/>
          <w:b/>
          <w:sz w:val="32"/>
          <w:szCs w:val="32"/>
          <w:highlight w:val="none"/>
        </w:rPr>
      </w:pPr>
      <w:bookmarkStart w:id="3" w:name="_Toc4111"/>
      <w:r>
        <w:rPr>
          <w:rFonts w:hint="eastAsia" w:ascii="宋体" w:hAnsi="宋体" w:cs="宋体"/>
          <w:b/>
          <w:sz w:val="32"/>
          <w:szCs w:val="32"/>
          <w:highlight w:val="none"/>
        </w:rPr>
        <w:t>第一章  竞争性磋商采购公告</w:t>
      </w:r>
      <w:bookmarkEnd w:id="3"/>
    </w:p>
    <w:p w14:paraId="307C9CBA">
      <w:pPr>
        <w:widowControl/>
        <w:adjustRightInd w:val="0"/>
        <w:snapToGrid w:val="0"/>
        <w:spacing w:line="324" w:lineRule="auto"/>
        <w:ind w:firstLine="562"/>
        <w:jc w:val="center"/>
        <w:rPr>
          <w:rFonts w:hint="eastAsia" w:ascii="宋体" w:hAnsi="宋体" w:cs="宋体"/>
          <w:b/>
          <w:kern w:val="0"/>
          <w:sz w:val="28"/>
          <w:szCs w:val="28"/>
          <w:highlight w:val="none"/>
        </w:rPr>
      </w:pPr>
      <w:r>
        <w:rPr>
          <w:rFonts w:hint="eastAsia" w:ascii="宋体" w:hAnsi="宋体" w:cs="宋体"/>
          <w:b/>
          <w:kern w:val="0"/>
          <w:sz w:val="28"/>
          <w:szCs w:val="28"/>
          <w:highlight w:val="none"/>
        </w:rPr>
        <w:t>驻马店市中心医院</w:t>
      </w:r>
      <w:bookmarkStart w:id="4" w:name="OLE_LINK17"/>
      <w:r>
        <w:rPr>
          <w:rFonts w:hint="eastAsia" w:ascii="宋体" w:hAnsi="宋体" w:cs="宋体"/>
          <w:b/>
          <w:kern w:val="0"/>
          <w:sz w:val="28"/>
          <w:szCs w:val="28"/>
          <w:highlight w:val="none"/>
        </w:rPr>
        <w:t>锅炉、供暖管道及配套设施检修、检验项目</w:t>
      </w:r>
      <w:bookmarkEnd w:id="4"/>
    </w:p>
    <w:p w14:paraId="37954A5C">
      <w:pPr>
        <w:widowControl/>
        <w:adjustRightInd w:val="0"/>
        <w:snapToGrid w:val="0"/>
        <w:spacing w:line="324" w:lineRule="auto"/>
        <w:ind w:firstLine="562"/>
        <w:jc w:val="center"/>
        <w:rPr>
          <w:rFonts w:hint="eastAsia" w:ascii="宋体" w:hAnsi="宋体" w:cs="宋体"/>
          <w:b/>
          <w:kern w:val="0"/>
          <w:sz w:val="28"/>
          <w:szCs w:val="28"/>
          <w:highlight w:val="none"/>
        </w:rPr>
      </w:pPr>
      <w:r>
        <w:rPr>
          <w:rFonts w:hint="eastAsia" w:ascii="宋体" w:hAnsi="宋体" w:cs="宋体"/>
          <w:b/>
          <w:kern w:val="0"/>
          <w:sz w:val="28"/>
          <w:szCs w:val="28"/>
          <w:highlight w:val="none"/>
        </w:rPr>
        <w:t>竞争性磋商公告</w:t>
      </w:r>
    </w:p>
    <w:p w14:paraId="75528D80">
      <w:pPr>
        <w:snapToGrid w:val="0"/>
        <w:spacing w:line="360" w:lineRule="auto"/>
        <w:ind w:firstLine="420" w:firstLineChars="200"/>
        <w:rPr>
          <w:rFonts w:hint="eastAsia" w:ascii="宋体" w:hAnsi="宋体" w:cs="宋体"/>
          <w:szCs w:val="21"/>
          <w:highlight w:val="none"/>
        </w:rPr>
      </w:pPr>
      <w:bookmarkStart w:id="5" w:name="_Toc23395"/>
      <w:bookmarkStart w:id="6" w:name="_Toc9562"/>
      <w:bookmarkStart w:id="7" w:name="_Toc7823"/>
      <w:bookmarkStart w:id="8" w:name="_Toc30971"/>
      <w:bookmarkStart w:id="9" w:name="_Toc30643"/>
      <w:r>
        <w:rPr>
          <w:rFonts w:hint="eastAsia" w:ascii="宋体" w:hAnsi="宋体" w:cs="宋体"/>
          <w:highlight w:val="none"/>
        </w:rPr>
        <w:t>驻马店市中心医院现对</w:t>
      </w:r>
      <w:r>
        <w:rPr>
          <w:rFonts w:hint="eastAsia" w:ascii="宋体" w:hAnsi="宋体" w:cs="宋体"/>
          <w:highlight w:val="none"/>
          <w:u w:val="single"/>
        </w:rPr>
        <w:t>驻马店市中心医院锅炉、供暖管道及配套设施检修、检验项目</w:t>
      </w:r>
      <w:r>
        <w:rPr>
          <w:rFonts w:hint="eastAsia" w:ascii="宋体" w:hAnsi="宋体" w:cs="宋体"/>
          <w:highlight w:val="none"/>
        </w:rPr>
        <w:t>进行院内竞争性磋商采购，欢迎符合资格条件的供应商前来报名并</w:t>
      </w:r>
      <w:r>
        <w:rPr>
          <w:rFonts w:hint="eastAsia" w:ascii="宋体" w:hAnsi="宋体" w:cs="宋体"/>
          <w:szCs w:val="21"/>
          <w:highlight w:val="none"/>
        </w:rPr>
        <w:t>获取采购文件。</w:t>
      </w:r>
    </w:p>
    <w:p w14:paraId="7B0B5EC8">
      <w:pPr>
        <w:widowControl/>
        <w:snapToGrid w:val="0"/>
        <w:spacing w:line="360" w:lineRule="auto"/>
        <w:ind w:firstLine="422"/>
        <w:jc w:val="left"/>
        <w:outlineLvl w:val="1"/>
        <w:rPr>
          <w:rFonts w:hint="eastAsia" w:ascii="宋体" w:hAnsi="宋体" w:cs="宋体"/>
          <w:b/>
          <w:bCs/>
          <w:szCs w:val="21"/>
          <w:highlight w:val="none"/>
          <w:shd w:val="clear" w:color="auto" w:fill="FFFFFF"/>
        </w:rPr>
      </w:pPr>
      <w:r>
        <w:rPr>
          <w:rFonts w:hint="eastAsia" w:ascii="宋体" w:hAnsi="宋体" w:cs="宋体"/>
          <w:b/>
          <w:bCs/>
          <w:szCs w:val="21"/>
          <w:highlight w:val="none"/>
          <w:shd w:val="clear" w:color="auto" w:fill="FFFFFF"/>
        </w:rPr>
        <w:t>一、项目基本情况</w:t>
      </w:r>
    </w:p>
    <w:p w14:paraId="7E402573">
      <w:pPr>
        <w:widowControl/>
        <w:tabs>
          <w:tab w:val="left" w:pos="840"/>
        </w:tabs>
        <w:snapToGrid w:val="0"/>
        <w:spacing w:line="360"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1、采购项目名称：驻马店市中心医院锅炉、供暖管道及配套设施检修、检验项目；</w:t>
      </w:r>
    </w:p>
    <w:p w14:paraId="7DE9A449">
      <w:pPr>
        <w:widowControl/>
        <w:tabs>
          <w:tab w:val="left" w:pos="840"/>
        </w:tabs>
        <w:snapToGrid w:val="0"/>
        <w:spacing w:line="360"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2、采购需求：具体内容详见工程量清单；</w:t>
      </w:r>
    </w:p>
    <w:p w14:paraId="075079F0">
      <w:pPr>
        <w:widowControl/>
        <w:tabs>
          <w:tab w:val="left" w:pos="840"/>
        </w:tabs>
        <w:snapToGrid w:val="0"/>
        <w:spacing w:line="360"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3</w:t>
      </w:r>
      <w:bookmarkStart w:id="10" w:name="_Toc26725"/>
      <w:r>
        <w:rPr>
          <w:rFonts w:hint="eastAsia" w:ascii="宋体" w:hAnsi="宋体" w:cs="宋体"/>
          <w:szCs w:val="21"/>
          <w:highlight w:val="none"/>
          <w:shd w:val="clear" w:color="auto" w:fill="FFFFFF"/>
        </w:rPr>
        <w:t>、预算金额：</w:t>
      </w:r>
      <w:r>
        <w:rPr>
          <w:rFonts w:hint="eastAsia" w:ascii="宋体" w:hAnsi="宋体" w:cs="宋体"/>
          <w:highlight w:val="none"/>
        </w:rPr>
        <w:t>3.77</w:t>
      </w:r>
      <w:r>
        <w:rPr>
          <w:rFonts w:hint="eastAsia" w:ascii="宋体" w:hAnsi="宋体" w:cs="宋体"/>
          <w:szCs w:val="21"/>
          <w:highlight w:val="none"/>
          <w:shd w:val="clear" w:color="auto" w:fill="FFFFFF"/>
        </w:rPr>
        <w:t>万元；</w:t>
      </w:r>
    </w:p>
    <w:p w14:paraId="35629194">
      <w:pPr>
        <w:widowControl/>
        <w:tabs>
          <w:tab w:val="left" w:pos="840"/>
        </w:tabs>
        <w:snapToGrid w:val="0"/>
        <w:spacing w:line="360"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4、工期：合同签订后20日历天内；</w:t>
      </w:r>
    </w:p>
    <w:p w14:paraId="2177A6BF">
      <w:pPr>
        <w:widowControl/>
        <w:tabs>
          <w:tab w:val="left" w:pos="840"/>
        </w:tabs>
        <w:snapToGrid w:val="0"/>
        <w:spacing w:line="360"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5、质量要求：</w:t>
      </w:r>
      <w:r>
        <w:rPr>
          <w:rFonts w:hint="eastAsia"/>
          <w:sz w:val="21"/>
          <w:szCs w:val="21"/>
          <w:highlight w:val="none"/>
        </w:rPr>
        <w:t>施工及验收须达到现行国家及行业标准、规范的要求。</w:t>
      </w:r>
    </w:p>
    <w:p w14:paraId="0644A7E9">
      <w:pPr>
        <w:widowControl/>
        <w:snapToGrid w:val="0"/>
        <w:spacing w:line="360" w:lineRule="auto"/>
        <w:ind w:firstLine="422"/>
        <w:jc w:val="left"/>
        <w:outlineLvl w:val="1"/>
        <w:rPr>
          <w:rFonts w:hint="eastAsia" w:ascii="宋体" w:hAnsi="宋体" w:cs="宋体"/>
          <w:b/>
          <w:bCs/>
          <w:color w:val="000000" w:themeColor="text1"/>
          <w:szCs w:val="21"/>
          <w:highlight w:val="none"/>
          <w:shd w:val="clear" w:color="auto" w:fill="FFFFFF"/>
          <w14:textFill>
            <w14:solidFill>
              <w14:schemeClr w14:val="tx1"/>
            </w14:solidFill>
          </w14:textFill>
        </w:rPr>
      </w:pPr>
      <w:bookmarkStart w:id="11" w:name="_Toc18607"/>
      <w:bookmarkStart w:id="12" w:name="_Toc16639"/>
      <w:bookmarkStart w:id="13" w:name="_Toc27704"/>
      <w:bookmarkStart w:id="14" w:name="_Toc23626"/>
      <w:r>
        <w:rPr>
          <w:rFonts w:hint="eastAsia" w:ascii="宋体" w:hAnsi="宋体" w:cs="宋体"/>
          <w:b/>
          <w:bCs/>
          <w:color w:val="000000" w:themeColor="text1"/>
          <w:szCs w:val="21"/>
          <w:highlight w:val="none"/>
          <w:shd w:val="clear" w:color="auto" w:fill="FFFFFF"/>
          <w14:textFill>
            <w14:solidFill>
              <w14:schemeClr w14:val="tx1"/>
            </w14:solidFill>
          </w14:textFill>
        </w:rPr>
        <w:t>二、</w:t>
      </w:r>
      <w:bookmarkEnd w:id="10"/>
      <w:bookmarkEnd w:id="11"/>
      <w:bookmarkEnd w:id="12"/>
      <w:bookmarkEnd w:id="13"/>
      <w:bookmarkEnd w:id="14"/>
      <w:r>
        <w:rPr>
          <w:rFonts w:hint="eastAsia" w:ascii="宋体" w:hAnsi="宋体" w:cs="宋体"/>
          <w:b/>
          <w:bCs/>
          <w:color w:val="000000" w:themeColor="text1"/>
          <w:szCs w:val="21"/>
          <w:highlight w:val="none"/>
          <w:shd w:val="clear" w:color="auto" w:fill="FFFFFF"/>
          <w14:textFill>
            <w14:solidFill>
              <w14:schemeClr w14:val="tx1"/>
            </w14:solidFill>
          </w14:textFill>
        </w:rPr>
        <w:t>供应商资格要求：</w:t>
      </w:r>
    </w:p>
    <w:p w14:paraId="12EA43CE">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1、具有独立承担民事责任的能力（提供营业执照或其他证明材料）；</w:t>
      </w:r>
    </w:p>
    <w:p w14:paraId="4037E51E">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2、具有良好的商业信誉和健全的财务会计制度（提供经审计的2024年度财务报告或者其基本开户银行出具的资信证明）；</w:t>
      </w:r>
    </w:p>
    <w:p w14:paraId="3B5D7AFA">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0C43A2D0">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4、具有履行合同所必需的设备和专业技术能力（提供书面承诺函）；</w:t>
      </w:r>
    </w:p>
    <w:p w14:paraId="19C9BECF">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5、参加本采购活动前三年内，在经营活动中没有重大违法记录（提供书面承诺函）；</w:t>
      </w:r>
    </w:p>
    <w:p w14:paraId="6BA9DC58">
      <w:pPr>
        <w:widowControl/>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szCs w:val="21"/>
          <w:highlight w:val="none"/>
          <w:shd w:val="clear" w:color="auto" w:fill="FFFFFF"/>
        </w:rPr>
        <w:t>6、根据《关于在政府采购活动中查询</w:t>
      </w:r>
      <w:r>
        <w:rPr>
          <w:rFonts w:hint="eastAsia" w:ascii="宋体" w:hAnsi="宋体" w:cs="宋体"/>
          <w:color w:val="auto"/>
          <w:szCs w:val="21"/>
          <w:highlight w:val="none"/>
          <w:shd w:val="clear" w:color="auto" w:fill="FFFFFF"/>
        </w:rPr>
        <w:t>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代理机构开标当日查询结果为准）；</w:t>
      </w:r>
    </w:p>
    <w:p w14:paraId="6E77114E">
      <w:pPr>
        <w:widowControl/>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7、单位负责人为同一人或者存在直接控股、管理关系的不同供应商，不得参加同一合同项下的磋商（提供在“国家企业信用信息公示系统”中查询的相关材料并加盖公章（需包含公司基本信息、股东信息及股权变更信息）或提供承诺函）。一经发现，将导致投标同时被拒绝。</w:t>
      </w:r>
    </w:p>
    <w:p w14:paraId="68DFC88E">
      <w:pPr>
        <w:widowControl/>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8、本项目特定资格要求：</w:t>
      </w:r>
    </w:p>
    <w:p w14:paraId="6C1DED17">
      <w:pPr>
        <w:widowControl/>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具有锅炉安装（含修理、改造）B级及以上资质；</w:t>
      </w:r>
    </w:p>
    <w:p w14:paraId="531D6EB6">
      <w:pPr>
        <w:widowControl/>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9、不接受联合体磋商。</w:t>
      </w:r>
    </w:p>
    <w:p w14:paraId="2B2D1090">
      <w:pPr>
        <w:widowControl/>
        <w:snapToGrid w:val="0"/>
        <w:spacing w:line="324" w:lineRule="auto"/>
        <w:ind w:firstLine="422"/>
        <w:jc w:val="left"/>
        <w:outlineLvl w:val="1"/>
        <w:rPr>
          <w:rFonts w:hint="eastAsia" w:ascii="宋体" w:hAnsi="宋体" w:cs="宋体"/>
          <w:b/>
          <w:bCs/>
          <w:color w:val="auto"/>
          <w:highlight w:val="none"/>
        </w:rPr>
      </w:pPr>
      <w:r>
        <w:rPr>
          <w:rFonts w:hint="eastAsia" w:ascii="宋体" w:hAnsi="宋体" w:cs="宋体"/>
          <w:b/>
          <w:bCs/>
          <w:color w:val="auto"/>
          <w:highlight w:val="none"/>
        </w:rPr>
        <w:t>三、获取采购文件</w:t>
      </w:r>
      <w:bookmarkEnd w:id="5"/>
      <w:bookmarkEnd w:id="6"/>
      <w:bookmarkEnd w:id="7"/>
      <w:bookmarkEnd w:id="8"/>
      <w:bookmarkEnd w:id="9"/>
    </w:p>
    <w:p w14:paraId="00827309">
      <w:pPr>
        <w:widowControl/>
        <w:adjustRightInd w:val="0"/>
        <w:snapToGrid w:val="0"/>
        <w:spacing w:line="324" w:lineRule="auto"/>
        <w:ind w:firstLine="420" w:firstLineChars="200"/>
        <w:jc w:val="left"/>
        <w:rPr>
          <w:rFonts w:hint="eastAsia" w:ascii="宋体" w:hAnsi="宋体" w:cs="宋体"/>
          <w:color w:val="auto"/>
          <w:szCs w:val="21"/>
          <w:highlight w:val="none"/>
          <w:shd w:val="clear" w:color="auto" w:fill="FFFFFF"/>
        </w:rPr>
      </w:pPr>
      <w:bookmarkStart w:id="15" w:name="_Toc1871"/>
      <w:bookmarkStart w:id="16" w:name="_Toc29890"/>
      <w:bookmarkStart w:id="17" w:name="_Toc23793"/>
      <w:r>
        <w:rPr>
          <w:rFonts w:hint="eastAsia" w:ascii="宋体" w:hAnsi="宋体" w:cs="宋体"/>
          <w:color w:val="auto"/>
          <w:szCs w:val="21"/>
          <w:highlight w:val="none"/>
          <w:shd w:val="clear" w:color="auto" w:fill="FFFFFF"/>
        </w:rPr>
        <w:t>1. 报名时间：2025年1</w:t>
      </w:r>
      <w:r>
        <w:rPr>
          <w:rFonts w:hint="eastAsia" w:ascii="宋体" w:hAnsi="宋体" w:cs="宋体"/>
          <w:color w:val="auto"/>
          <w:szCs w:val="21"/>
          <w:highlight w:val="none"/>
          <w:shd w:val="clear" w:color="auto" w:fill="FFFFFF"/>
          <w:lang w:val="en-US" w:eastAsia="zh-CN"/>
        </w:rPr>
        <w:t>1</w:t>
      </w:r>
      <w:r>
        <w:rPr>
          <w:rFonts w:hint="eastAsia" w:ascii="宋体" w:hAnsi="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3</w:t>
      </w:r>
      <w:r>
        <w:rPr>
          <w:rFonts w:hint="eastAsia" w:ascii="宋体" w:hAnsi="宋体" w:cs="宋体"/>
          <w:color w:val="auto"/>
          <w:szCs w:val="21"/>
          <w:highlight w:val="none"/>
          <w:shd w:val="clear" w:color="auto" w:fill="FFFFFF"/>
        </w:rPr>
        <w:t>日-2025年</w:t>
      </w:r>
      <w:r>
        <w:rPr>
          <w:rFonts w:hint="eastAsia" w:ascii="宋体" w:hAnsi="宋体" w:cs="宋体"/>
          <w:color w:val="auto"/>
          <w:szCs w:val="21"/>
          <w:highlight w:val="none"/>
          <w:shd w:val="clear" w:color="auto" w:fill="FFFFFF"/>
          <w:lang w:val="en-US" w:eastAsia="zh-CN"/>
        </w:rPr>
        <w:t>11</w:t>
      </w:r>
      <w:r>
        <w:rPr>
          <w:rFonts w:hint="eastAsia" w:ascii="宋体" w:hAnsi="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5</w:t>
      </w:r>
      <w:r>
        <w:rPr>
          <w:rFonts w:hint="eastAsia" w:ascii="宋体" w:hAnsi="宋体" w:cs="宋体"/>
          <w:color w:val="auto"/>
          <w:szCs w:val="21"/>
          <w:highlight w:val="none"/>
          <w:shd w:val="clear" w:color="auto" w:fill="FFFFFF"/>
        </w:rPr>
        <w:t>日，上午08：00-下午17:30（北京时间，法定节假日除外）。</w:t>
      </w:r>
    </w:p>
    <w:p w14:paraId="2783DDB6">
      <w:pPr>
        <w:widowControl/>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2. 凡报名成功的供应商无故不来参与投标的，列入我院黑名单，一年内不得参与我院任何采购活动。</w:t>
      </w:r>
    </w:p>
    <w:p w14:paraId="08DD66DD">
      <w:pPr>
        <w:widowControl/>
        <w:wordWrap w:val="0"/>
        <w:snapToGrid w:val="0"/>
        <w:spacing w:line="324" w:lineRule="auto"/>
        <w:ind w:firstLine="420" w:firstLineChars="200"/>
        <w:jc w:val="left"/>
        <w:rPr>
          <w:rFonts w:hint="eastAsia" w:ascii="宋体" w:hAnsi="宋体" w:cs="宋体"/>
          <w:color w:val="auto"/>
          <w:kern w:val="0"/>
          <w:szCs w:val="21"/>
          <w:highlight w:val="none"/>
          <w:u w:val="single"/>
          <w:shd w:val="clear" w:color="auto" w:fill="FFFFFF"/>
        </w:rPr>
      </w:pPr>
      <w:r>
        <w:rPr>
          <w:rFonts w:hint="eastAsia" w:ascii="宋体" w:hAnsi="宋体" w:cs="宋体"/>
          <w:color w:val="auto"/>
          <w:kern w:val="0"/>
          <w:szCs w:val="21"/>
          <w:highlight w:val="none"/>
          <w:shd w:val="clear" w:color="auto" w:fill="FFFFFF"/>
        </w:rPr>
        <w:t>3. 竞争性磋商文件获取方式：供应商须把填写完整的报名登记表及本磋商公告第二项供应商资格要求中需提供加盖单位公章的相关资料扫描件按序排版为PDF格式文件，发送至以下邮箱：</w:t>
      </w:r>
      <w:r>
        <w:rPr>
          <w:color w:val="auto"/>
          <w:highlight w:val="none"/>
        </w:rPr>
        <w:fldChar w:fldCharType="begin"/>
      </w:r>
      <w:r>
        <w:rPr>
          <w:color w:val="auto"/>
          <w:highlight w:val="none"/>
        </w:rPr>
        <w:instrText xml:space="preserve"> HYPERLINK "mailto:hnwxzb2@163.com并标明XX" </w:instrText>
      </w:r>
      <w:r>
        <w:rPr>
          <w:color w:val="auto"/>
          <w:highlight w:val="none"/>
        </w:rPr>
        <w:fldChar w:fldCharType="separate"/>
      </w:r>
      <w:r>
        <w:rPr>
          <w:rFonts w:hint="eastAsia" w:ascii="宋体" w:hAnsi="宋体" w:cs="宋体"/>
          <w:color w:val="auto"/>
          <w:kern w:val="0"/>
          <w:szCs w:val="21"/>
          <w:highlight w:val="none"/>
          <w:shd w:val="clear" w:color="auto" w:fill="FFFFFF"/>
        </w:rPr>
        <w:t>1132414313@qq.com,并标明XX公司</w:t>
      </w:r>
      <w:r>
        <w:rPr>
          <w:rFonts w:hint="eastAsia" w:ascii="宋体" w:hAnsi="宋体" w:cs="宋体"/>
          <w:color w:val="auto"/>
          <w:kern w:val="0"/>
          <w:szCs w:val="21"/>
          <w:highlight w:val="none"/>
          <w:shd w:val="clear" w:color="auto" w:fill="FFFFFF"/>
        </w:rPr>
        <w:fldChar w:fldCharType="end"/>
      </w:r>
      <w:r>
        <w:rPr>
          <w:rFonts w:hint="eastAsia" w:ascii="宋体" w:hAnsi="宋体" w:cs="宋体"/>
          <w:color w:val="auto"/>
          <w:kern w:val="0"/>
          <w:szCs w:val="21"/>
          <w:highlight w:val="none"/>
          <w:shd w:val="clear" w:color="auto" w:fill="FFFFFF"/>
        </w:rPr>
        <w:t>XX项目报名资料。</w:t>
      </w:r>
    </w:p>
    <w:p w14:paraId="30BFDFCD">
      <w:pPr>
        <w:widowControl/>
        <w:wordWrap w:val="0"/>
        <w:snapToGrid w:val="0"/>
        <w:spacing w:line="324" w:lineRule="auto"/>
        <w:ind w:left="420" w:left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4. 报名登记表：请从附件中下载。</w:t>
      </w:r>
    </w:p>
    <w:p w14:paraId="4BF97D72">
      <w:pPr>
        <w:widowControl/>
        <w:snapToGrid w:val="0"/>
        <w:spacing w:line="324" w:lineRule="auto"/>
        <w:jc w:val="left"/>
        <w:outlineLvl w:val="1"/>
        <w:rPr>
          <w:rFonts w:hint="eastAsia" w:ascii="宋体" w:hAnsi="宋体" w:cs="宋体"/>
          <w:b/>
          <w:bCs/>
          <w:color w:val="auto"/>
          <w:szCs w:val="21"/>
          <w:highlight w:val="none"/>
        </w:rPr>
      </w:pPr>
      <w:bookmarkStart w:id="18" w:name="_Toc25869"/>
      <w:bookmarkStart w:id="19" w:name="_Toc10738"/>
      <w:bookmarkStart w:id="20" w:name="_Toc15135"/>
      <w:bookmarkStart w:id="21" w:name="_Toc15111"/>
      <w:bookmarkStart w:id="22" w:name="_Toc27480"/>
      <w:r>
        <w:rPr>
          <w:rFonts w:hint="eastAsia" w:ascii="宋体" w:hAnsi="宋体" w:cs="宋体"/>
          <w:b/>
          <w:bCs/>
          <w:color w:val="auto"/>
          <w:szCs w:val="21"/>
          <w:highlight w:val="none"/>
          <w:shd w:val="clear" w:color="auto" w:fill="FFFFFF"/>
        </w:rPr>
        <w:t>四、磋商截止时间及地点</w:t>
      </w:r>
      <w:bookmarkEnd w:id="18"/>
      <w:bookmarkEnd w:id="19"/>
      <w:bookmarkEnd w:id="20"/>
      <w:bookmarkEnd w:id="21"/>
      <w:bookmarkEnd w:id="22"/>
    </w:p>
    <w:p w14:paraId="3D4E68ED">
      <w:pPr>
        <w:widowControl/>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1. 时间：</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041C1A7A">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 地点：</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45306DA5">
      <w:pPr>
        <w:widowControl/>
        <w:snapToGrid w:val="0"/>
        <w:spacing w:line="324" w:lineRule="auto"/>
        <w:jc w:val="left"/>
        <w:outlineLvl w:val="1"/>
        <w:rPr>
          <w:rFonts w:hint="eastAsia" w:ascii="宋体" w:hAnsi="宋体" w:cs="宋体"/>
          <w:b/>
          <w:bCs/>
          <w:color w:val="auto"/>
          <w:szCs w:val="21"/>
          <w:highlight w:val="none"/>
        </w:rPr>
      </w:pPr>
      <w:r>
        <w:rPr>
          <w:rFonts w:hint="eastAsia" w:ascii="宋体" w:hAnsi="宋体" w:cs="宋体"/>
          <w:b/>
          <w:bCs/>
          <w:color w:val="auto"/>
          <w:szCs w:val="21"/>
          <w:highlight w:val="none"/>
          <w:shd w:val="clear" w:color="auto" w:fill="FFFFFF"/>
        </w:rPr>
        <w:t>五、磋商时间及地点</w:t>
      </w:r>
    </w:p>
    <w:p w14:paraId="6DEB3D0A">
      <w:pPr>
        <w:widowControl/>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1. 时间：</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74918A43">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 地点：</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0E722042">
      <w:pPr>
        <w:widowControl/>
        <w:snapToGrid w:val="0"/>
        <w:spacing w:line="324" w:lineRule="auto"/>
        <w:jc w:val="left"/>
        <w:outlineLvl w:val="1"/>
        <w:rPr>
          <w:rFonts w:hint="eastAsia" w:ascii="宋体" w:hAnsi="宋体" w:cs="宋体"/>
          <w:b/>
          <w:bCs/>
          <w:color w:val="auto"/>
          <w:szCs w:val="21"/>
          <w:highlight w:val="none"/>
        </w:rPr>
      </w:pPr>
      <w:bookmarkStart w:id="23" w:name="_Toc20287"/>
      <w:bookmarkStart w:id="24" w:name="_Toc29784"/>
      <w:bookmarkStart w:id="25" w:name="_Toc6523"/>
      <w:bookmarkStart w:id="26" w:name="_Toc30918"/>
      <w:r>
        <w:rPr>
          <w:rFonts w:hint="eastAsia" w:ascii="宋体" w:hAnsi="宋体" w:cs="宋体"/>
          <w:b/>
          <w:bCs/>
          <w:color w:val="auto"/>
          <w:szCs w:val="21"/>
          <w:highlight w:val="none"/>
          <w:shd w:val="clear" w:color="auto" w:fill="FFFFFF"/>
        </w:rPr>
        <w:t>六、发布公告的媒介及</w:t>
      </w:r>
      <w:r>
        <w:rPr>
          <w:rFonts w:hint="eastAsia" w:ascii="宋体" w:hAnsi="宋体" w:cs="宋体"/>
          <w:b/>
          <w:bCs/>
          <w:color w:val="auto"/>
          <w:szCs w:val="21"/>
          <w:highlight w:val="none"/>
        </w:rPr>
        <w:t>采购</w:t>
      </w:r>
      <w:r>
        <w:rPr>
          <w:rFonts w:hint="eastAsia" w:ascii="宋体" w:hAnsi="宋体" w:cs="宋体"/>
          <w:b/>
          <w:bCs/>
          <w:color w:val="auto"/>
          <w:szCs w:val="21"/>
          <w:highlight w:val="none"/>
          <w:shd w:val="clear" w:color="auto" w:fill="FFFFFF"/>
        </w:rPr>
        <w:t>公告期限</w:t>
      </w:r>
      <w:bookmarkEnd w:id="23"/>
      <w:bookmarkEnd w:id="24"/>
      <w:bookmarkEnd w:id="25"/>
      <w:bookmarkEnd w:id="26"/>
    </w:p>
    <w:p w14:paraId="4B4C3774">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本次</w:t>
      </w:r>
      <w:r>
        <w:rPr>
          <w:rFonts w:hint="eastAsia" w:ascii="宋体" w:hAnsi="宋体" w:cs="宋体"/>
          <w:color w:val="auto"/>
          <w:szCs w:val="21"/>
          <w:highlight w:val="none"/>
        </w:rPr>
        <w:t>采购</w:t>
      </w:r>
      <w:r>
        <w:rPr>
          <w:rFonts w:hint="eastAsia" w:ascii="宋体" w:hAnsi="宋体" w:cs="宋体"/>
          <w:color w:val="auto"/>
          <w:kern w:val="0"/>
          <w:szCs w:val="21"/>
          <w:highlight w:val="none"/>
          <w:shd w:val="clear" w:color="auto" w:fill="FFFFFF"/>
        </w:rPr>
        <w:t>公告在《驻马店市中心医院》院内网</w:t>
      </w:r>
      <w:r>
        <w:rPr>
          <w:rFonts w:hint="eastAsia" w:ascii="宋体" w:hAnsi="宋体" w:cs="宋体"/>
          <w:color w:val="auto"/>
          <w:szCs w:val="21"/>
          <w:highlight w:val="none"/>
        </w:rPr>
        <w:t>上发布，采购公告期限为三个工作日</w:t>
      </w:r>
      <w:r>
        <w:rPr>
          <w:rFonts w:hint="eastAsia" w:ascii="宋体" w:hAnsi="宋体" w:cs="宋体"/>
          <w:color w:val="auto"/>
          <w:kern w:val="0"/>
          <w:szCs w:val="21"/>
          <w:highlight w:val="none"/>
          <w:shd w:val="clear" w:color="auto" w:fill="FFFFFF"/>
        </w:rPr>
        <w:t>。</w:t>
      </w:r>
      <w:bookmarkStart w:id="27" w:name="_Toc35393626"/>
      <w:bookmarkStart w:id="28" w:name="_Toc35393795"/>
    </w:p>
    <w:bookmarkEnd w:id="27"/>
    <w:bookmarkEnd w:id="28"/>
    <w:p w14:paraId="45F82ED0">
      <w:pPr>
        <w:widowControl/>
        <w:snapToGrid w:val="0"/>
        <w:spacing w:line="324" w:lineRule="auto"/>
        <w:jc w:val="left"/>
        <w:outlineLvl w:val="1"/>
        <w:rPr>
          <w:rFonts w:hint="eastAsia" w:ascii="宋体" w:hAnsi="宋体" w:cs="宋体"/>
          <w:b/>
          <w:bCs/>
          <w:color w:val="auto"/>
          <w:szCs w:val="21"/>
          <w:highlight w:val="none"/>
        </w:rPr>
      </w:pPr>
      <w:bookmarkStart w:id="29" w:name="_Toc24274"/>
      <w:bookmarkStart w:id="30" w:name="_Toc3604"/>
      <w:bookmarkStart w:id="31" w:name="_Toc27370"/>
      <w:bookmarkStart w:id="32" w:name="_Toc16291"/>
      <w:bookmarkStart w:id="33" w:name="_Toc31928"/>
      <w:r>
        <w:rPr>
          <w:rFonts w:hint="eastAsia" w:ascii="宋体" w:hAnsi="宋体" w:cs="宋体"/>
          <w:b/>
          <w:bCs/>
          <w:color w:val="auto"/>
          <w:szCs w:val="21"/>
          <w:highlight w:val="none"/>
          <w:shd w:val="clear" w:color="auto" w:fill="FFFFFF"/>
        </w:rPr>
        <w:t>七、</w:t>
      </w:r>
      <w:bookmarkEnd w:id="29"/>
      <w:bookmarkEnd w:id="30"/>
      <w:bookmarkEnd w:id="31"/>
      <w:bookmarkEnd w:id="32"/>
      <w:bookmarkEnd w:id="33"/>
      <w:r>
        <w:rPr>
          <w:rFonts w:hint="eastAsia" w:ascii="宋体" w:hAnsi="宋体" w:cs="宋体"/>
          <w:b/>
          <w:bCs/>
          <w:color w:val="auto"/>
          <w:szCs w:val="21"/>
          <w:highlight w:val="none"/>
          <w:shd w:val="clear" w:color="auto" w:fill="FFFFFF"/>
        </w:rPr>
        <w:t>凡对本次招标提出询问，请按照以下方式联系</w:t>
      </w:r>
    </w:p>
    <w:p w14:paraId="5D28BAF3">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1.采购人：驻马店市中心医院</w:t>
      </w:r>
    </w:p>
    <w:p w14:paraId="7E98F0DD">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地址：驻马店市中华大道747号</w:t>
      </w:r>
    </w:p>
    <w:p w14:paraId="4C5D4067">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联系人：陈先生</w:t>
      </w:r>
    </w:p>
    <w:p w14:paraId="307C7B79">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电话：0396-2726379</w:t>
      </w:r>
    </w:p>
    <w:p w14:paraId="32999272">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2.采购代理机构：中基建安工程管理有限公司</w:t>
      </w:r>
    </w:p>
    <w:p w14:paraId="4893EFD0">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地址：河南自贸试验区郑州片区（郑东）心怡路319号易元国际B座16层1624号</w:t>
      </w:r>
    </w:p>
    <w:p w14:paraId="6E63D494">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 xml:space="preserve">联系人：赵女士 </w:t>
      </w:r>
    </w:p>
    <w:p w14:paraId="06DF1FB0">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联系方式：18568019891</w:t>
      </w:r>
    </w:p>
    <w:p w14:paraId="38CF6866">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3.监督部门：驻马店市中心医院纪检监察室</w:t>
      </w:r>
    </w:p>
    <w:p w14:paraId="07E4D325">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监督电话：0396-2726678</w:t>
      </w:r>
    </w:p>
    <w:p w14:paraId="7084EDDB">
      <w:pPr>
        <w:widowControl/>
        <w:snapToGrid w:val="0"/>
        <w:spacing w:line="324" w:lineRule="auto"/>
        <w:ind w:firstLine="420" w:firstLineChars="200"/>
        <w:jc w:val="righ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驻马店市中心医院采购科</w:t>
      </w:r>
    </w:p>
    <w:p w14:paraId="36A5EC56">
      <w:pPr>
        <w:pStyle w:val="31"/>
        <w:widowControl/>
        <w:snapToGrid w:val="0"/>
        <w:spacing w:before="0" w:beforeAutospacing="0" w:after="0" w:afterAutospacing="0" w:line="324" w:lineRule="auto"/>
        <w:ind w:firstLine="420" w:firstLineChars="200"/>
        <w:jc w:val="center"/>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 xml:space="preserve">                                                         2025年10月</w:t>
      </w:r>
      <w:r>
        <w:rPr>
          <w:rFonts w:hint="eastAsia" w:ascii="宋体" w:hAnsi="宋体" w:cs="宋体"/>
          <w:color w:val="auto"/>
          <w:sz w:val="21"/>
          <w:szCs w:val="21"/>
          <w:highlight w:val="none"/>
          <w:shd w:val="clear" w:color="auto" w:fill="FFFFFF"/>
          <w:lang w:val="en-US" w:eastAsia="zh-CN"/>
        </w:rPr>
        <w:t>31</w:t>
      </w:r>
      <w:r>
        <w:rPr>
          <w:rFonts w:hint="eastAsia" w:ascii="宋体" w:hAnsi="宋体" w:cs="宋体"/>
          <w:color w:val="auto"/>
          <w:sz w:val="21"/>
          <w:szCs w:val="21"/>
          <w:highlight w:val="none"/>
          <w:shd w:val="clear" w:color="auto" w:fill="FFFFFF"/>
        </w:rPr>
        <w:t>日</w:t>
      </w:r>
    </w:p>
    <w:p w14:paraId="3F0AFD3D">
      <w:pPr>
        <w:widowControl/>
        <w:spacing w:line="360" w:lineRule="auto"/>
        <w:ind w:firstLine="643" w:firstLineChars="200"/>
        <w:jc w:val="center"/>
        <w:outlineLvl w:val="0"/>
        <w:rPr>
          <w:rFonts w:hint="eastAsia" w:ascii="宋体" w:hAnsi="宋体" w:cs="宋体"/>
          <w:b/>
          <w:sz w:val="32"/>
          <w:szCs w:val="32"/>
          <w:highlight w:val="none"/>
        </w:rPr>
      </w:pPr>
    </w:p>
    <w:p w14:paraId="5242520B">
      <w:pPr>
        <w:widowControl/>
        <w:spacing w:line="360" w:lineRule="auto"/>
        <w:ind w:firstLine="643" w:firstLineChars="200"/>
        <w:jc w:val="center"/>
        <w:outlineLvl w:val="0"/>
        <w:rPr>
          <w:rFonts w:hint="eastAsia" w:ascii="宋体" w:hAnsi="宋体" w:cs="宋体"/>
          <w:b/>
          <w:sz w:val="32"/>
          <w:szCs w:val="32"/>
          <w:highlight w:val="none"/>
        </w:rPr>
      </w:pPr>
    </w:p>
    <w:p w14:paraId="21BFAE32">
      <w:pPr>
        <w:widowControl/>
        <w:spacing w:line="360" w:lineRule="auto"/>
        <w:ind w:firstLine="643" w:firstLineChars="200"/>
        <w:jc w:val="center"/>
        <w:outlineLvl w:val="0"/>
        <w:rPr>
          <w:rFonts w:hint="eastAsia" w:ascii="宋体" w:hAnsi="宋体" w:cs="宋体"/>
          <w:b/>
          <w:sz w:val="32"/>
          <w:szCs w:val="32"/>
          <w:highlight w:val="none"/>
        </w:rPr>
      </w:pPr>
    </w:p>
    <w:p w14:paraId="251E3A39">
      <w:pPr>
        <w:widowControl/>
        <w:spacing w:line="360" w:lineRule="auto"/>
        <w:ind w:firstLine="643" w:firstLineChars="200"/>
        <w:jc w:val="center"/>
        <w:outlineLvl w:val="0"/>
        <w:rPr>
          <w:rFonts w:hint="eastAsia" w:ascii="宋体" w:hAnsi="宋体" w:cs="宋体"/>
          <w:b/>
          <w:sz w:val="32"/>
          <w:szCs w:val="32"/>
          <w:highlight w:val="none"/>
        </w:rPr>
      </w:pPr>
      <w:r>
        <w:rPr>
          <w:rFonts w:hint="eastAsia" w:ascii="宋体" w:hAnsi="宋体" w:cs="宋体"/>
          <w:b/>
          <w:sz w:val="32"/>
          <w:szCs w:val="32"/>
          <w:highlight w:val="none"/>
        </w:rPr>
        <w:t>第二章  采购需求</w:t>
      </w:r>
      <w:bookmarkEnd w:id="15"/>
      <w:bookmarkStart w:id="34" w:name="_Toc9989"/>
      <w:bookmarkStart w:id="35" w:name="_Toc31536"/>
      <w:bookmarkStart w:id="36" w:name="_Toc23610"/>
    </w:p>
    <w:bookmarkEnd w:id="16"/>
    <w:bookmarkEnd w:id="17"/>
    <w:bookmarkEnd w:id="34"/>
    <w:bookmarkEnd w:id="35"/>
    <w:bookmarkEnd w:id="36"/>
    <w:p w14:paraId="13AC6A09">
      <w:pPr>
        <w:snapToGrid w:val="0"/>
        <w:spacing w:line="360" w:lineRule="auto"/>
        <w:ind w:firstLine="422"/>
        <w:rPr>
          <w:rFonts w:hint="eastAsia" w:ascii="宋体" w:hAnsi="宋体" w:cs="宋体"/>
          <w:iCs/>
          <w:szCs w:val="21"/>
          <w:highlight w:val="none"/>
        </w:rPr>
      </w:pPr>
      <w:r>
        <w:rPr>
          <w:rFonts w:hint="eastAsia" w:ascii="宋体" w:hAnsi="宋体" w:cs="宋体"/>
          <w:b/>
          <w:bCs/>
          <w:iCs/>
          <w:szCs w:val="21"/>
          <w:highlight w:val="none"/>
        </w:rPr>
        <w:t>一、项目名称：</w:t>
      </w:r>
      <w:r>
        <w:rPr>
          <w:rFonts w:hint="eastAsia" w:ascii="宋体" w:hAnsi="宋体" w:cs="宋体"/>
          <w:iCs/>
          <w:szCs w:val="21"/>
          <w:highlight w:val="none"/>
        </w:rPr>
        <w:t>驻马店市中心医院锅炉、供暖管道及配套设施检修、检验项目</w:t>
      </w:r>
    </w:p>
    <w:p w14:paraId="586CA021">
      <w:pPr>
        <w:pStyle w:val="7"/>
        <w:snapToGrid w:val="0"/>
        <w:spacing w:beforeAutospacing="0" w:afterAutospacing="0" w:line="360" w:lineRule="auto"/>
        <w:ind w:firstLine="422"/>
        <w:jc w:val="both"/>
        <w:rPr>
          <w:rFonts w:hint="eastAsia"/>
          <w:b/>
          <w:bCs/>
          <w:kern w:val="2"/>
          <w:sz w:val="21"/>
          <w:highlight w:val="none"/>
        </w:rPr>
      </w:pPr>
      <w:r>
        <w:rPr>
          <w:rFonts w:hint="eastAsia"/>
          <w:b/>
          <w:bCs/>
          <w:kern w:val="2"/>
          <w:sz w:val="21"/>
          <w:highlight w:val="none"/>
        </w:rPr>
        <w:t>二、采购标的清单：</w:t>
      </w:r>
    </w:p>
    <w:tbl>
      <w:tblPr>
        <w:tblStyle w:val="35"/>
        <w:tblW w:w="7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2538"/>
        <w:gridCol w:w="762"/>
        <w:gridCol w:w="821"/>
        <w:gridCol w:w="1241"/>
        <w:gridCol w:w="823"/>
        <w:gridCol w:w="833"/>
      </w:tblGrid>
      <w:tr w14:paraId="0E28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24" w:type="dxa"/>
            <w:vAlign w:val="center"/>
          </w:tcPr>
          <w:p w14:paraId="13C49A7A">
            <w:pPr>
              <w:pStyle w:val="7"/>
              <w:keepNext w:val="0"/>
              <w:keepLines w:val="0"/>
              <w:pageBreakBefore w:val="0"/>
              <w:widowControl w:val="0"/>
              <w:kinsoku/>
              <w:wordWrap/>
              <w:overflowPunct/>
              <w:topLinePunct w:val="0"/>
              <w:autoSpaceDE/>
              <w:autoSpaceDN/>
              <w:bidi w:val="0"/>
              <w:snapToGrid/>
              <w:spacing w:beforeAutospacing="0" w:afterAutospacing="0" w:line="400" w:lineRule="exact"/>
              <w:ind w:firstLine="0"/>
              <w:jc w:val="center"/>
              <w:textAlignment w:val="auto"/>
              <w:rPr>
                <w:rFonts w:hint="eastAsia"/>
                <w:sz w:val="21"/>
                <w:szCs w:val="21"/>
                <w:highlight w:val="none"/>
              </w:rPr>
            </w:pPr>
            <w:r>
              <w:rPr>
                <w:rFonts w:hint="eastAsia"/>
                <w:b/>
                <w:bCs/>
                <w:sz w:val="21"/>
                <w:szCs w:val="21"/>
                <w:highlight w:val="none"/>
              </w:rPr>
              <w:t>序号</w:t>
            </w:r>
          </w:p>
        </w:tc>
        <w:tc>
          <w:tcPr>
            <w:tcW w:w="2538" w:type="dxa"/>
            <w:vAlign w:val="center"/>
          </w:tcPr>
          <w:p w14:paraId="7866EC5F">
            <w:pPr>
              <w:pStyle w:val="7"/>
              <w:keepNext w:val="0"/>
              <w:keepLines w:val="0"/>
              <w:pageBreakBefore w:val="0"/>
              <w:widowControl w:val="0"/>
              <w:kinsoku/>
              <w:wordWrap/>
              <w:overflowPunct/>
              <w:topLinePunct w:val="0"/>
              <w:autoSpaceDE/>
              <w:autoSpaceDN/>
              <w:bidi w:val="0"/>
              <w:snapToGrid/>
              <w:spacing w:beforeAutospacing="0" w:afterAutospacing="0" w:line="400" w:lineRule="exact"/>
              <w:ind w:firstLine="0"/>
              <w:jc w:val="center"/>
              <w:textAlignment w:val="auto"/>
              <w:rPr>
                <w:rFonts w:hint="eastAsia"/>
                <w:sz w:val="21"/>
                <w:szCs w:val="21"/>
                <w:highlight w:val="none"/>
              </w:rPr>
            </w:pPr>
            <w:r>
              <w:rPr>
                <w:rFonts w:hint="eastAsia"/>
                <w:b/>
                <w:bCs/>
                <w:sz w:val="21"/>
                <w:szCs w:val="21"/>
                <w:highlight w:val="none"/>
              </w:rPr>
              <w:t>标的名称</w:t>
            </w:r>
          </w:p>
        </w:tc>
        <w:tc>
          <w:tcPr>
            <w:tcW w:w="762" w:type="dxa"/>
            <w:vAlign w:val="center"/>
          </w:tcPr>
          <w:p w14:paraId="1F86DF3E">
            <w:pPr>
              <w:pStyle w:val="7"/>
              <w:keepNext w:val="0"/>
              <w:keepLines w:val="0"/>
              <w:pageBreakBefore w:val="0"/>
              <w:widowControl w:val="0"/>
              <w:kinsoku/>
              <w:wordWrap/>
              <w:overflowPunct/>
              <w:topLinePunct w:val="0"/>
              <w:autoSpaceDE/>
              <w:autoSpaceDN/>
              <w:bidi w:val="0"/>
              <w:snapToGrid/>
              <w:spacing w:beforeAutospacing="0" w:afterAutospacing="0" w:line="400" w:lineRule="exact"/>
              <w:ind w:firstLine="0"/>
              <w:jc w:val="center"/>
              <w:textAlignment w:val="auto"/>
              <w:rPr>
                <w:rFonts w:hint="eastAsia"/>
                <w:sz w:val="21"/>
                <w:szCs w:val="21"/>
                <w:highlight w:val="none"/>
              </w:rPr>
            </w:pPr>
            <w:r>
              <w:rPr>
                <w:rFonts w:hint="eastAsia"/>
                <w:b/>
                <w:bCs/>
                <w:sz w:val="21"/>
                <w:szCs w:val="21"/>
                <w:highlight w:val="none"/>
              </w:rPr>
              <w:t>单位</w:t>
            </w:r>
          </w:p>
        </w:tc>
        <w:tc>
          <w:tcPr>
            <w:tcW w:w="821" w:type="dxa"/>
            <w:vAlign w:val="center"/>
          </w:tcPr>
          <w:p w14:paraId="142F0233">
            <w:pPr>
              <w:pStyle w:val="7"/>
              <w:keepNext w:val="0"/>
              <w:keepLines w:val="0"/>
              <w:pageBreakBefore w:val="0"/>
              <w:widowControl w:val="0"/>
              <w:kinsoku/>
              <w:wordWrap/>
              <w:overflowPunct/>
              <w:topLinePunct w:val="0"/>
              <w:autoSpaceDE/>
              <w:autoSpaceDN/>
              <w:bidi w:val="0"/>
              <w:snapToGrid/>
              <w:spacing w:beforeAutospacing="0" w:afterAutospacing="0" w:line="400" w:lineRule="exact"/>
              <w:ind w:firstLine="0"/>
              <w:jc w:val="center"/>
              <w:textAlignment w:val="auto"/>
              <w:rPr>
                <w:rFonts w:hint="eastAsia"/>
                <w:sz w:val="21"/>
                <w:szCs w:val="21"/>
                <w:highlight w:val="none"/>
              </w:rPr>
            </w:pPr>
            <w:r>
              <w:rPr>
                <w:rFonts w:hint="eastAsia"/>
                <w:b/>
                <w:bCs/>
                <w:sz w:val="21"/>
                <w:szCs w:val="21"/>
                <w:highlight w:val="none"/>
              </w:rPr>
              <w:t>数量</w:t>
            </w:r>
          </w:p>
        </w:tc>
        <w:tc>
          <w:tcPr>
            <w:tcW w:w="1241" w:type="dxa"/>
            <w:vAlign w:val="center"/>
          </w:tcPr>
          <w:p w14:paraId="6A742C9A">
            <w:pPr>
              <w:pStyle w:val="7"/>
              <w:keepNext w:val="0"/>
              <w:keepLines w:val="0"/>
              <w:pageBreakBefore w:val="0"/>
              <w:widowControl w:val="0"/>
              <w:kinsoku/>
              <w:wordWrap/>
              <w:overflowPunct/>
              <w:topLinePunct w:val="0"/>
              <w:autoSpaceDE/>
              <w:autoSpaceDN/>
              <w:bidi w:val="0"/>
              <w:snapToGrid/>
              <w:spacing w:beforeAutospacing="0" w:afterAutospacing="0" w:line="400" w:lineRule="exact"/>
              <w:ind w:firstLine="0"/>
              <w:jc w:val="center"/>
              <w:textAlignment w:val="auto"/>
              <w:rPr>
                <w:rFonts w:hint="eastAsia"/>
                <w:sz w:val="21"/>
                <w:szCs w:val="21"/>
                <w:highlight w:val="none"/>
              </w:rPr>
            </w:pPr>
            <w:r>
              <w:rPr>
                <w:rFonts w:hint="eastAsia"/>
                <w:b/>
                <w:bCs/>
                <w:sz w:val="21"/>
                <w:szCs w:val="21"/>
                <w:highlight w:val="none"/>
              </w:rPr>
              <w:t>资金预算</w:t>
            </w:r>
          </w:p>
        </w:tc>
        <w:tc>
          <w:tcPr>
            <w:tcW w:w="823" w:type="dxa"/>
            <w:vAlign w:val="center"/>
          </w:tcPr>
          <w:p w14:paraId="05DFF421">
            <w:pPr>
              <w:pStyle w:val="7"/>
              <w:keepNext w:val="0"/>
              <w:keepLines w:val="0"/>
              <w:pageBreakBefore w:val="0"/>
              <w:widowControl w:val="0"/>
              <w:kinsoku/>
              <w:wordWrap/>
              <w:overflowPunct/>
              <w:topLinePunct w:val="0"/>
              <w:autoSpaceDE/>
              <w:autoSpaceDN/>
              <w:bidi w:val="0"/>
              <w:snapToGrid/>
              <w:spacing w:beforeAutospacing="0" w:afterAutospacing="0" w:line="400" w:lineRule="exact"/>
              <w:ind w:firstLine="0"/>
              <w:jc w:val="center"/>
              <w:textAlignment w:val="auto"/>
              <w:rPr>
                <w:rFonts w:hint="eastAsia"/>
                <w:sz w:val="21"/>
                <w:szCs w:val="21"/>
                <w:highlight w:val="none"/>
              </w:rPr>
            </w:pPr>
            <w:r>
              <w:rPr>
                <w:rFonts w:hint="eastAsia"/>
                <w:b/>
                <w:bCs/>
                <w:sz w:val="21"/>
                <w:szCs w:val="21"/>
                <w:highlight w:val="none"/>
              </w:rPr>
              <w:t>资金性质</w:t>
            </w:r>
          </w:p>
        </w:tc>
        <w:tc>
          <w:tcPr>
            <w:tcW w:w="833" w:type="dxa"/>
            <w:vAlign w:val="center"/>
          </w:tcPr>
          <w:p w14:paraId="7BA543D7">
            <w:pPr>
              <w:pStyle w:val="7"/>
              <w:keepNext w:val="0"/>
              <w:keepLines w:val="0"/>
              <w:pageBreakBefore w:val="0"/>
              <w:widowControl w:val="0"/>
              <w:kinsoku/>
              <w:wordWrap/>
              <w:overflowPunct/>
              <w:topLinePunct w:val="0"/>
              <w:autoSpaceDE/>
              <w:autoSpaceDN/>
              <w:bidi w:val="0"/>
              <w:snapToGrid/>
              <w:spacing w:beforeAutospacing="0" w:afterAutospacing="0" w:line="400" w:lineRule="exact"/>
              <w:ind w:firstLine="0"/>
              <w:jc w:val="center"/>
              <w:textAlignment w:val="auto"/>
              <w:rPr>
                <w:rFonts w:hint="eastAsia"/>
                <w:b/>
                <w:bCs/>
                <w:sz w:val="21"/>
                <w:szCs w:val="21"/>
                <w:highlight w:val="none"/>
              </w:rPr>
            </w:pPr>
            <w:r>
              <w:rPr>
                <w:rFonts w:hint="eastAsia"/>
                <w:b/>
                <w:bCs/>
                <w:sz w:val="21"/>
                <w:szCs w:val="21"/>
                <w:highlight w:val="none"/>
              </w:rPr>
              <w:t>国产/进口</w:t>
            </w:r>
          </w:p>
        </w:tc>
      </w:tr>
      <w:tr w14:paraId="45DD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924" w:type="dxa"/>
            <w:vAlign w:val="center"/>
          </w:tcPr>
          <w:p w14:paraId="0B890397">
            <w:pPr>
              <w:keepNext w:val="0"/>
              <w:keepLines w:val="0"/>
              <w:pageBreakBefore w:val="0"/>
              <w:widowControl/>
              <w:kinsoku/>
              <w:wordWrap/>
              <w:overflowPunct/>
              <w:topLinePunct w:val="0"/>
              <w:autoSpaceDE/>
              <w:autoSpaceDN/>
              <w:bidi w:val="0"/>
              <w:adjustRightInd w:val="0"/>
              <w:snapToGrid/>
              <w:spacing w:afterAutospacing="0" w:line="360" w:lineRule="auto"/>
              <w:ind w:firstLine="0"/>
              <w:jc w:val="center"/>
              <w:textAlignment w:val="auto"/>
              <w:rPr>
                <w:rFonts w:hint="eastAsia" w:ascii="宋体" w:hAnsi="宋体" w:cs="宋体"/>
                <w:kern w:val="0"/>
                <w:szCs w:val="21"/>
                <w:highlight w:val="none"/>
              </w:rPr>
            </w:pPr>
            <w:r>
              <w:rPr>
                <w:rFonts w:hint="eastAsia" w:ascii="仿宋" w:hAnsi="仿宋" w:eastAsia="仿宋" w:cs="仿宋"/>
                <w:sz w:val="28"/>
                <w:szCs w:val="28"/>
                <w:highlight w:val="none"/>
              </w:rPr>
              <w:t>1</w:t>
            </w:r>
          </w:p>
        </w:tc>
        <w:tc>
          <w:tcPr>
            <w:tcW w:w="2538" w:type="dxa"/>
            <w:vAlign w:val="center"/>
          </w:tcPr>
          <w:p w14:paraId="225B7B11">
            <w:pPr>
              <w:keepNext w:val="0"/>
              <w:keepLines w:val="0"/>
              <w:pageBreakBefore w:val="0"/>
              <w:widowControl/>
              <w:kinsoku/>
              <w:wordWrap/>
              <w:overflowPunct/>
              <w:topLinePunct w:val="0"/>
              <w:autoSpaceDE/>
              <w:autoSpaceDN/>
              <w:bidi w:val="0"/>
              <w:adjustRightInd w:val="0"/>
              <w:snapToGrid/>
              <w:spacing w:afterAutospacing="0" w:line="360" w:lineRule="auto"/>
              <w:ind w:firstLine="0"/>
              <w:jc w:val="center"/>
              <w:textAlignment w:val="auto"/>
              <w:rPr>
                <w:rFonts w:hint="eastAsia" w:ascii="宋体" w:hAnsi="宋体" w:cs="宋体"/>
                <w:kern w:val="0"/>
                <w:sz w:val="24"/>
                <w:highlight w:val="none"/>
              </w:rPr>
            </w:pPr>
            <w:r>
              <w:rPr>
                <w:rFonts w:hint="eastAsia" w:ascii="仿宋" w:hAnsi="仿宋" w:eastAsia="仿宋" w:cs="仿宋"/>
                <w:sz w:val="24"/>
                <w:highlight w:val="none"/>
              </w:rPr>
              <w:t>锅炉、供暖管道及配套设施检修、检验</w:t>
            </w:r>
          </w:p>
        </w:tc>
        <w:tc>
          <w:tcPr>
            <w:tcW w:w="762" w:type="dxa"/>
            <w:vAlign w:val="center"/>
          </w:tcPr>
          <w:p w14:paraId="2A8D1265">
            <w:pPr>
              <w:keepNext w:val="0"/>
              <w:keepLines w:val="0"/>
              <w:pageBreakBefore w:val="0"/>
              <w:widowControl/>
              <w:kinsoku/>
              <w:wordWrap/>
              <w:overflowPunct/>
              <w:topLinePunct w:val="0"/>
              <w:autoSpaceDE/>
              <w:autoSpaceDN/>
              <w:bidi w:val="0"/>
              <w:adjustRightInd w:val="0"/>
              <w:snapToGrid/>
              <w:spacing w:afterAutospacing="0" w:line="360" w:lineRule="auto"/>
              <w:ind w:firstLine="0"/>
              <w:jc w:val="center"/>
              <w:textAlignment w:val="auto"/>
              <w:rPr>
                <w:rFonts w:hint="eastAsia" w:ascii="宋体" w:hAnsi="宋体" w:cs="宋体"/>
                <w:kern w:val="0"/>
                <w:sz w:val="24"/>
                <w:highlight w:val="none"/>
              </w:rPr>
            </w:pPr>
            <w:r>
              <w:rPr>
                <w:rFonts w:hint="eastAsia" w:ascii="宋体" w:hAnsi="宋体" w:cs="宋体"/>
                <w:kern w:val="0"/>
                <w:sz w:val="24"/>
                <w:highlight w:val="none"/>
              </w:rPr>
              <w:t>项</w:t>
            </w:r>
          </w:p>
        </w:tc>
        <w:tc>
          <w:tcPr>
            <w:tcW w:w="821" w:type="dxa"/>
            <w:vAlign w:val="center"/>
          </w:tcPr>
          <w:p w14:paraId="010770A8">
            <w:pPr>
              <w:keepNext w:val="0"/>
              <w:keepLines w:val="0"/>
              <w:pageBreakBefore w:val="0"/>
              <w:widowControl/>
              <w:kinsoku/>
              <w:wordWrap/>
              <w:overflowPunct/>
              <w:topLinePunct w:val="0"/>
              <w:autoSpaceDE/>
              <w:autoSpaceDN/>
              <w:bidi w:val="0"/>
              <w:adjustRightInd w:val="0"/>
              <w:snapToGrid/>
              <w:spacing w:afterAutospacing="0" w:line="360" w:lineRule="auto"/>
              <w:ind w:firstLine="240" w:firstLineChars="100"/>
              <w:jc w:val="center"/>
              <w:textAlignment w:val="auto"/>
              <w:rPr>
                <w:rFonts w:hint="eastAsia" w:ascii="宋体" w:hAnsi="宋体" w:cs="宋体"/>
                <w:kern w:val="0"/>
                <w:sz w:val="24"/>
                <w:highlight w:val="none"/>
              </w:rPr>
            </w:pPr>
            <w:r>
              <w:rPr>
                <w:rFonts w:hint="eastAsia" w:ascii="宋体" w:hAnsi="宋体" w:cs="宋体"/>
                <w:kern w:val="0"/>
                <w:sz w:val="24"/>
                <w:highlight w:val="none"/>
              </w:rPr>
              <w:t>1</w:t>
            </w:r>
          </w:p>
        </w:tc>
        <w:tc>
          <w:tcPr>
            <w:tcW w:w="1241" w:type="dxa"/>
            <w:vAlign w:val="center"/>
          </w:tcPr>
          <w:p w14:paraId="157986D8">
            <w:pPr>
              <w:keepNext w:val="0"/>
              <w:keepLines w:val="0"/>
              <w:pageBreakBefore w:val="0"/>
              <w:widowControl/>
              <w:kinsoku/>
              <w:wordWrap/>
              <w:overflowPunct/>
              <w:topLinePunct w:val="0"/>
              <w:autoSpaceDE/>
              <w:autoSpaceDN/>
              <w:bidi w:val="0"/>
              <w:adjustRightInd w:val="0"/>
              <w:snapToGrid/>
              <w:spacing w:afterAutospacing="0" w:line="360" w:lineRule="auto"/>
              <w:ind w:firstLine="0"/>
              <w:jc w:val="center"/>
              <w:textAlignment w:val="auto"/>
              <w:rPr>
                <w:rFonts w:hint="eastAsia" w:ascii="宋体" w:hAnsi="宋体" w:cs="宋体"/>
                <w:kern w:val="0"/>
                <w:sz w:val="24"/>
                <w:highlight w:val="none"/>
              </w:rPr>
            </w:pPr>
            <w:r>
              <w:rPr>
                <w:rFonts w:hint="eastAsia" w:ascii="仿宋" w:hAnsi="仿宋" w:eastAsia="仿宋" w:cs="仿宋"/>
                <w:sz w:val="24"/>
                <w:highlight w:val="none"/>
              </w:rPr>
              <w:t>3.77万元</w:t>
            </w:r>
          </w:p>
        </w:tc>
        <w:tc>
          <w:tcPr>
            <w:tcW w:w="823" w:type="dxa"/>
            <w:vAlign w:val="center"/>
          </w:tcPr>
          <w:p w14:paraId="7236CD94">
            <w:pPr>
              <w:keepNext w:val="0"/>
              <w:keepLines w:val="0"/>
              <w:pageBreakBefore w:val="0"/>
              <w:widowControl/>
              <w:kinsoku/>
              <w:wordWrap/>
              <w:overflowPunct/>
              <w:topLinePunct w:val="0"/>
              <w:autoSpaceDE/>
              <w:autoSpaceDN/>
              <w:bidi w:val="0"/>
              <w:adjustRightInd w:val="0"/>
              <w:snapToGrid/>
              <w:spacing w:afterAutospacing="0" w:line="360" w:lineRule="auto"/>
              <w:ind w:firstLine="0"/>
              <w:jc w:val="center"/>
              <w:textAlignment w:val="auto"/>
              <w:rPr>
                <w:rFonts w:hint="eastAsia" w:ascii="宋体" w:hAnsi="宋体" w:cs="宋体"/>
                <w:kern w:val="0"/>
                <w:sz w:val="24"/>
                <w:highlight w:val="none"/>
              </w:rPr>
            </w:pPr>
            <w:r>
              <w:rPr>
                <w:rFonts w:hint="eastAsia" w:ascii="仿宋" w:hAnsi="仿宋" w:eastAsia="仿宋" w:cs="仿宋"/>
                <w:sz w:val="24"/>
                <w:highlight w:val="none"/>
              </w:rPr>
              <w:t>自筹</w:t>
            </w:r>
          </w:p>
        </w:tc>
        <w:tc>
          <w:tcPr>
            <w:tcW w:w="833" w:type="dxa"/>
            <w:vAlign w:val="center"/>
          </w:tcPr>
          <w:p w14:paraId="3B79AC8D">
            <w:pPr>
              <w:keepNext w:val="0"/>
              <w:keepLines w:val="0"/>
              <w:pageBreakBefore w:val="0"/>
              <w:widowControl/>
              <w:kinsoku/>
              <w:wordWrap/>
              <w:overflowPunct/>
              <w:topLinePunct w:val="0"/>
              <w:autoSpaceDE/>
              <w:autoSpaceDN/>
              <w:bidi w:val="0"/>
              <w:adjustRightInd w:val="0"/>
              <w:snapToGrid/>
              <w:spacing w:afterAutospacing="0" w:line="360" w:lineRule="auto"/>
              <w:ind w:firstLine="0"/>
              <w:jc w:val="center"/>
              <w:textAlignment w:val="auto"/>
              <w:rPr>
                <w:rFonts w:hint="eastAsia" w:ascii="宋体" w:hAnsi="宋体" w:cs="宋体"/>
                <w:kern w:val="0"/>
                <w:sz w:val="24"/>
                <w:highlight w:val="none"/>
              </w:rPr>
            </w:pPr>
            <w:r>
              <w:rPr>
                <w:rFonts w:hint="eastAsia" w:ascii="仿宋" w:hAnsi="仿宋" w:eastAsia="仿宋" w:cs="仿宋"/>
                <w:sz w:val="24"/>
                <w:highlight w:val="none"/>
              </w:rPr>
              <w:t>国产</w:t>
            </w:r>
          </w:p>
        </w:tc>
      </w:tr>
      <w:tr w14:paraId="5141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924" w:type="dxa"/>
            <w:vAlign w:val="center"/>
          </w:tcPr>
          <w:p w14:paraId="4CD38D20">
            <w:pPr>
              <w:keepNext w:val="0"/>
              <w:keepLines w:val="0"/>
              <w:pageBreakBefore w:val="0"/>
              <w:widowControl/>
              <w:kinsoku/>
              <w:wordWrap/>
              <w:overflowPunct/>
              <w:topLinePunct w:val="0"/>
              <w:autoSpaceDE/>
              <w:autoSpaceDN/>
              <w:bidi w:val="0"/>
              <w:adjustRightInd w:val="0"/>
              <w:snapToGrid/>
              <w:spacing w:afterAutospacing="0" w:line="360" w:lineRule="auto"/>
              <w:ind w:firstLine="0"/>
              <w:jc w:val="center"/>
              <w:textAlignment w:val="auto"/>
              <w:rPr>
                <w:rFonts w:hint="eastAsia" w:ascii="宋体" w:hAnsi="宋体" w:cs="宋体"/>
                <w:kern w:val="0"/>
                <w:szCs w:val="21"/>
                <w:highlight w:val="none"/>
              </w:rPr>
            </w:pPr>
            <w:r>
              <w:rPr>
                <w:rFonts w:hint="eastAsia" w:ascii="宋体" w:hAnsi="宋体" w:cs="宋体"/>
                <w:kern w:val="0"/>
                <w:szCs w:val="21"/>
                <w:highlight w:val="none"/>
              </w:rPr>
              <w:t>合计</w:t>
            </w:r>
          </w:p>
        </w:tc>
        <w:tc>
          <w:tcPr>
            <w:tcW w:w="2538" w:type="dxa"/>
            <w:vAlign w:val="center"/>
          </w:tcPr>
          <w:p w14:paraId="4F9C7B2F">
            <w:pPr>
              <w:keepNext w:val="0"/>
              <w:keepLines w:val="0"/>
              <w:pageBreakBefore w:val="0"/>
              <w:widowControl/>
              <w:kinsoku/>
              <w:wordWrap/>
              <w:overflowPunct/>
              <w:topLinePunct w:val="0"/>
              <w:autoSpaceDE/>
              <w:autoSpaceDN/>
              <w:bidi w:val="0"/>
              <w:adjustRightInd w:val="0"/>
              <w:snapToGrid/>
              <w:spacing w:afterAutospacing="0" w:line="360" w:lineRule="auto"/>
              <w:ind w:firstLine="0"/>
              <w:jc w:val="center"/>
              <w:textAlignment w:val="auto"/>
              <w:rPr>
                <w:rFonts w:hint="eastAsia" w:ascii="宋体" w:hAnsi="宋体" w:cs="宋体"/>
                <w:kern w:val="0"/>
                <w:szCs w:val="21"/>
                <w:highlight w:val="none"/>
              </w:rPr>
            </w:pPr>
          </w:p>
        </w:tc>
        <w:tc>
          <w:tcPr>
            <w:tcW w:w="762" w:type="dxa"/>
            <w:vAlign w:val="center"/>
          </w:tcPr>
          <w:p w14:paraId="6B483C41">
            <w:pPr>
              <w:keepNext w:val="0"/>
              <w:keepLines w:val="0"/>
              <w:pageBreakBefore w:val="0"/>
              <w:widowControl/>
              <w:kinsoku/>
              <w:wordWrap/>
              <w:overflowPunct/>
              <w:topLinePunct w:val="0"/>
              <w:autoSpaceDE/>
              <w:autoSpaceDN/>
              <w:bidi w:val="0"/>
              <w:adjustRightInd w:val="0"/>
              <w:snapToGrid/>
              <w:spacing w:afterAutospacing="0" w:line="360" w:lineRule="auto"/>
              <w:ind w:firstLine="0"/>
              <w:jc w:val="center"/>
              <w:textAlignment w:val="auto"/>
              <w:rPr>
                <w:rFonts w:hint="eastAsia" w:ascii="宋体" w:hAnsi="宋体" w:cs="宋体"/>
                <w:kern w:val="0"/>
                <w:szCs w:val="21"/>
                <w:highlight w:val="none"/>
              </w:rPr>
            </w:pPr>
          </w:p>
        </w:tc>
        <w:tc>
          <w:tcPr>
            <w:tcW w:w="821" w:type="dxa"/>
            <w:vAlign w:val="center"/>
          </w:tcPr>
          <w:p w14:paraId="4D3C8CD0">
            <w:pPr>
              <w:keepNext w:val="0"/>
              <w:keepLines w:val="0"/>
              <w:pageBreakBefore w:val="0"/>
              <w:widowControl/>
              <w:kinsoku/>
              <w:wordWrap/>
              <w:overflowPunct/>
              <w:topLinePunct w:val="0"/>
              <w:autoSpaceDE/>
              <w:autoSpaceDN/>
              <w:bidi w:val="0"/>
              <w:adjustRightInd w:val="0"/>
              <w:snapToGrid/>
              <w:spacing w:afterAutospacing="0" w:line="360" w:lineRule="auto"/>
              <w:ind w:firstLine="0"/>
              <w:jc w:val="center"/>
              <w:textAlignment w:val="auto"/>
              <w:rPr>
                <w:rFonts w:hint="eastAsia" w:ascii="宋体" w:hAnsi="宋体" w:cs="宋体"/>
                <w:kern w:val="0"/>
                <w:szCs w:val="21"/>
                <w:highlight w:val="none"/>
              </w:rPr>
            </w:pPr>
          </w:p>
        </w:tc>
        <w:tc>
          <w:tcPr>
            <w:tcW w:w="1241" w:type="dxa"/>
            <w:vAlign w:val="center"/>
          </w:tcPr>
          <w:p w14:paraId="26F2E380">
            <w:pPr>
              <w:keepNext w:val="0"/>
              <w:keepLines w:val="0"/>
              <w:pageBreakBefore w:val="0"/>
              <w:widowControl/>
              <w:kinsoku/>
              <w:wordWrap/>
              <w:overflowPunct/>
              <w:topLinePunct w:val="0"/>
              <w:autoSpaceDE/>
              <w:autoSpaceDN/>
              <w:bidi w:val="0"/>
              <w:adjustRightInd w:val="0"/>
              <w:snapToGrid/>
              <w:spacing w:afterAutospacing="0" w:line="360" w:lineRule="auto"/>
              <w:ind w:firstLine="0"/>
              <w:jc w:val="center"/>
              <w:textAlignment w:val="auto"/>
              <w:rPr>
                <w:rFonts w:hint="eastAsia" w:ascii="宋体" w:hAnsi="宋体" w:cs="宋体"/>
                <w:kern w:val="0"/>
                <w:szCs w:val="21"/>
                <w:highlight w:val="none"/>
              </w:rPr>
            </w:pPr>
          </w:p>
        </w:tc>
        <w:tc>
          <w:tcPr>
            <w:tcW w:w="823" w:type="dxa"/>
            <w:vAlign w:val="center"/>
          </w:tcPr>
          <w:p w14:paraId="4F0E7A78">
            <w:pPr>
              <w:keepNext w:val="0"/>
              <w:keepLines w:val="0"/>
              <w:pageBreakBefore w:val="0"/>
              <w:widowControl/>
              <w:kinsoku/>
              <w:wordWrap/>
              <w:overflowPunct/>
              <w:topLinePunct w:val="0"/>
              <w:autoSpaceDE/>
              <w:autoSpaceDN/>
              <w:bidi w:val="0"/>
              <w:adjustRightInd w:val="0"/>
              <w:snapToGrid/>
              <w:spacing w:afterAutospacing="0" w:line="360" w:lineRule="auto"/>
              <w:ind w:firstLine="0"/>
              <w:jc w:val="center"/>
              <w:textAlignment w:val="auto"/>
              <w:rPr>
                <w:rFonts w:hint="eastAsia" w:ascii="宋体" w:hAnsi="宋体" w:cs="宋体"/>
                <w:kern w:val="0"/>
                <w:szCs w:val="21"/>
                <w:highlight w:val="none"/>
              </w:rPr>
            </w:pPr>
          </w:p>
        </w:tc>
        <w:tc>
          <w:tcPr>
            <w:tcW w:w="833" w:type="dxa"/>
            <w:vAlign w:val="center"/>
          </w:tcPr>
          <w:p w14:paraId="797D26AE">
            <w:pPr>
              <w:keepNext w:val="0"/>
              <w:keepLines w:val="0"/>
              <w:pageBreakBefore w:val="0"/>
              <w:widowControl/>
              <w:kinsoku/>
              <w:wordWrap/>
              <w:overflowPunct/>
              <w:topLinePunct w:val="0"/>
              <w:autoSpaceDE/>
              <w:autoSpaceDN/>
              <w:bidi w:val="0"/>
              <w:adjustRightInd w:val="0"/>
              <w:snapToGrid/>
              <w:spacing w:afterAutospacing="0" w:line="360" w:lineRule="auto"/>
              <w:ind w:firstLine="0"/>
              <w:jc w:val="center"/>
              <w:textAlignment w:val="auto"/>
              <w:rPr>
                <w:rFonts w:hint="eastAsia" w:ascii="宋体" w:hAnsi="宋体" w:cs="宋体"/>
                <w:kern w:val="0"/>
                <w:szCs w:val="21"/>
                <w:highlight w:val="none"/>
              </w:rPr>
            </w:pPr>
          </w:p>
        </w:tc>
      </w:tr>
      <w:tr w14:paraId="7576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924" w:type="dxa"/>
            <w:vAlign w:val="center"/>
          </w:tcPr>
          <w:p w14:paraId="30425DE1">
            <w:pPr>
              <w:widowControl/>
              <w:adjustRightIn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备注</w:t>
            </w:r>
          </w:p>
        </w:tc>
        <w:tc>
          <w:tcPr>
            <w:tcW w:w="7018" w:type="dxa"/>
            <w:gridSpan w:val="6"/>
            <w:vAlign w:val="center"/>
          </w:tcPr>
          <w:p w14:paraId="442D53B8">
            <w:pPr>
              <w:widowControl/>
              <w:adjustRightInd w:val="0"/>
              <w:spacing w:line="360" w:lineRule="auto"/>
              <w:jc w:val="center"/>
              <w:rPr>
                <w:rFonts w:hint="default" w:ascii="宋体" w:hAnsi="宋体" w:eastAsia="宋体" w:cs="宋体"/>
                <w:kern w:val="0"/>
                <w:szCs w:val="21"/>
                <w:highlight w:val="none"/>
                <w:lang w:val="en-US" w:eastAsia="zh-CN"/>
              </w:rPr>
            </w:pPr>
            <w:r>
              <w:rPr>
                <w:rFonts w:hint="eastAsia" w:ascii="宋体" w:hAnsi="宋体" w:cs="宋体"/>
                <w:b/>
                <w:bCs/>
                <w:kern w:val="0"/>
                <w:szCs w:val="21"/>
                <w:highlight w:val="none"/>
                <w:lang w:val="en-US" w:eastAsia="zh-CN"/>
              </w:rPr>
              <w:t>清单另行发送</w:t>
            </w:r>
          </w:p>
        </w:tc>
      </w:tr>
    </w:tbl>
    <w:p w14:paraId="4D322953">
      <w:pPr>
        <w:spacing w:line="192" w:lineRule="auto"/>
        <w:ind w:firstLine="422"/>
        <w:rPr>
          <w:rFonts w:hint="eastAsia" w:ascii="宋体" w:hAnsi="宋体" w:cs="宋体"/>
          <w:b/>
          <w:bCs/>
          <w:szCs w:val="21"/>
          <w:highlight w:val="none"/>
        </w:rPr>
      </w:pPr>
      <w:bookmarkStart w:id="37" w:name="OLE_LINK1"/>
    </w:p>
    <w:p w14:paraId="67A25DB3">
      <w:pPr>
        <w:spacing w:line="192" w:lineRule="auto"/>
        <w:ind w:firstLine="422"/>
        <w:rPr>
          <w:rFonts w:hint="eastAsia" w:ascii="宋体" w:hAnsi="宋体" w:cs="宋体"/>
          <w:b/>
          <w:bCs/>
          <w:sz w:val="24"/>
          <w:szCs w:val="32"/>
          <w:highlight w:val="none"/>
        </w:rPr>
      </w:pPr>
      <w:r>
        <w:rPr>
          <w:rFonts w:hint="eastAsia" w:ascii="宋体" w:hAnsi="宋体" w:cs="宋体"/>
          <w:b/>
          <w:bCs/>
          <w:szCs w:val="21"/>
          <w:highlight w:val="none"/>
        </w:rPr>
        <w:t>三、技术要求：</w:t>
      </w:r>
    </w:p>
    <w:bookmarkEnd w:id="37"/>
    <w:p w14:paraId="5736B6C2">
      <w:pPr>
        <w:widowControl/>
        <w:snapToGrid w:val="0"/>
        <w:spacing w:line="360" w:lineRule="auto"/>
        <w:ind w:firstLine="420" w:firstLineChars="200"/>
        <w:jc w:val="left"/>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1.为确保我院冬季供暖工作安全、顺利、高效进行，保障医疗业务的正常开展，现对全院部分的锅炉、供暖管道及配套设施进行全面的检修、检验与必要的维修。施工内容涵盖阀门更换、管道试压、漏点修补、设备检修等多个方面，具体以工程量清单为准。</w:t>
      </w:r>
    </w:p>
    <w:p w14:paraId="5ABA1694">
      <w:pPr>
        <w:widowControl/>
        <w:snapToGrid w:val="0"/>
        <w:spacing w:line="360" w:lineRule="auto"/>
        <w:ind w:firstLine="420" w:firstLineChars="200"/>
        <w:jc w:val="left"/>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lang w:val="en-US" w:eastAsia="zh-CN"/>
        </w:rPr>
        <w:t>2</w:t>
      </w:r>
      <w:r>
        <w:rPr>
          <w:rFonts w:hint="eastAsia" w:ascii="宋体" w:hAnsi="宋体" w:cs="宋体"/>
          <w:kern w:val="0"/>
          <w:szCs w:val="21"/>
          <w:highlight w:val="none"/>
          <w:shd w:val="clear" w:color="auto" w:fill="FFFFFF"/>
        </w:rPr>
        <w:t>.散热器系统检查：对超声候诊大厅、制氧室、2号楼7楼电梯值班室等区域的散热器进出管道进行密封性检查，发现漏点及时修补；管道接口密封严密，无滴漏现象。</w:t>
      </w:r>
    </w:p>
    <w:p w14:paraId="30011B09">
      <w:pPr>
        <w:widowControl/>
        <w:snapToGrid w:val="0"/>
        <w:spacing w:line="360" w:lineRule="auto"/>
        <w:ind w:firstLine="420" w:firstLineChars="200"/>
        <w:jc w:val="left"/>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lang w:val="en-US" w:eastAsia="zh-CN"/>
        </w:rPr>
        <w:t>3</w:t>
      </w:r>
      <w:r>
        <w:rPr>
          <w:rFonts w:hint="eastAsia" w:ascii="宋体" w:hAnsi="宋体" w:cs="宋体"/>
          <w:kern w:val="0"/>
          <w:szCs w:val="21"/>
          <w:highlight w:val="none"/>
          <w:shd w:val="clear" w:color="auto" w:fill="FFFFFF"/>
        </w:rPr>
        <w:t>.热交换器检修：包括拆解检查换热元件、清理内部结垢及杂物、检查密封垫片及连接件完好性。更换损坏的换热元件及密封件，确保无渗漏，换热效率满足国家标准。</w:t>
      </w:r>
    </w:p>
    <w:p w14:paraId="3576F7FF">
      <w:pPr>
        <w:widowControl/>
        <w:snapToGrid w:val="0"/>
        <w:spacing w:line="360" w:lineRule="auto"/>
        <w:ind w:firstLine="420" w:firstLineChars="200"/>
        <w:jc w:val="left"/>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lang w:val="en-US" w:eastAsia="zh-CN"/>
        </w:rPr>
        <w:t>4</w:t>
      </w:r>
      <w:r>
        <w:rPr>
          <w:rFonts w:hint="eastAsia" w:ascii="宋体" w:hAnsi="宋体" w:cs="宋体"/>
          <w:kern w:val="0"/>
          <w:szCs w:val="21"/>
          <w:highlight w:val="none"/>
          <w:shd w:val="clear" w:color="auto" w:fill="FFFFFF"/>
        </w:rPr>
        <w:t>.材料要求：所有进场的阀门、疏水器、自动排气阀、压力表等设备及配件，必须提供中文质量合格证明文件，压力表须提供性能检测报告，且符合设计参数及国家技术标准。</w:t>
      </w:r>
    </w:p>
    <w:p w14:paraId="71FFDE09">
      <w:pPr>
        <w:widowControl/>
        <w:snapToGrid w:val="0"/>
        <w:spacing w:line="360" w:lineRule="auto"/>
        <w:ind w:firstLine="420" w:firstLineChars="200"/>
        <w:jc w:val="left"/>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lang w:val="en-US" w:eastAsia="zh-CN"/>
        </w:rPr>
        <w:t>5</w:t>
      </w:r>
      <w:r>
        <w:rPr>
          <w:rFonts w:hint="eastAsia" w:ascii="宋体" w:hAnsi="宋体" w:cs="宋体"/>
          <w:kern w:val="0"/>
          <w:szCs w:val="21"/>
          <w:highlight w:val="none"/>
          <w:shd w:val="clear" w:color="auto" w:fill="FFFFFF"/>
        </w:rPr>
        <w:t>.消防安全：施工期间必须严格遵守医院安全生产管理规定，确保医患安全，防止人为的对院区及管网的损坏。如有安全事故或对院区管网损坏，其造成的伤害事故及一切经济损失，由施工方承担全责。</w:t>
      </w:r>
    </w:p>
    <w:p w14:paraId="7F69B1C2">
      <w:pPr>
        <w:spacing w:line="192" w:lineRule="auto"/>
        <w:ind w:firstLine="422"/>
        <w:rPr>
          <w:rFonts w:hint="eastAsia" w:ascii="宋体" w:hAnsi="宋体" w:cs="宋体"/>
          <w:b/>
          <w:bCs/>
          <w:highlight w:val="none"/>
        </w:rPr>
        <w:sectPr>
          <w:pgSz w:w="11906" w:h="16838"/>
          <w:pgMar w:top="1417" w:right="1474" w:bottom="1417" w:left="1474" w:header="851" w:footer="624" w:gutter="0"/>
          <w:cols w:space="720" w:num="1"/>
          <w:docGrid w:type="lines" w:linePitch="319" w:charSpace="0"/>
        </w:sectPr>
      </w:pPr>
    </w:p>
    <w:p w14:paraId="1D13D5D6">
      <w:pPr>
        <w:spacing w:line="192" w:lineRule="auto"/>
        <w:ind w:firstLine="422"/>
        <w:rPr>
          <w:rFonts w:hint="eastAsia" w:ascii="宋体" w:hAnsi="宋体" w:cs="宋体"/>
          <w:b/>
          <w:bCs/>
          <w:szCs w:val="21"/>
          <w:highlight w:val="none"/>
        </w:rPr>
      </w:pPr>
      <w:r>
        <w:rPr>
          <w:rFonts w:hint="eastAsia" w:ascii="宋体" w:hAnsi="宋体" w:cs="宋体"/>
          <w:b/>
          <w:bCs/>
          <w:highlight w:val="none"/>
        </w:rPr>
        <w:t>四、商</w:t>
      </w:r>
      <w:r>
        <w:rPr>
          <w:rFonts w:hint="eastAsia" w:ascii="宋体" w:hAnsi="宋体" w:cs="宋体"/>
          <w:b/>
          <w:bCs/>
          <w:szCs w:val="21"/>
          <w:highlight w:val="none"/>
        </w:rPr>
        <w:t>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14EAA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CFF2FF6">
            <w:pPr>
              <w:pStyle w:val="7"/>
              <w:jc w:val="center"/>
              <w:rPr>
                <w:rFonts w:hint="eastAsia"/>
                <w:sz w:val="21"/>
                <w:szCs w:val="21"/>
                <w:highlight w:val="none"/>
              </w:rPr>
            </w:pPr>
            <w:bookmarkStart w:id="38" w:name="_Hlk212575310"/>
            <w:r>
              <w:rPr>
                <w:rFonts w:hint="eastAsia"/>
                <w:sz w:val="21"/>
                <w:szCs w:val="21"/>
                <w:highlight w:val="none"/>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04DFB335">
            <w:pPr>
              <w:pStyle w:val="7"/>
              <w:rPr>
                <w:rFonts w:hint="eastAsia"/>
                <w:sz w:val="21"/>
                <w:szCs w:val="21"/>
                <w:highlight w:val="none"/>
              </w:rPr>
            </w:pPr>
            <w:r>
              <w:rPr>
                <w:rFonts w:hint="eastAsia"/>
                <w:sz w:val="21"/>
                <w:szCs w:val="21"/>
                <w:highlight w:val="none"/>
              </w:rPr>
              <w:t>自成交通知书发出之日起30日内</w:t>
            </w:r>
          </w:p>
        </w:tc>
      </w:tr>
      <w:tr w14:paraId="0BA170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ED750F">
            <w:pPr>
              <w:pStyle w:val="7"/>
              <w:ind w:firstLine="660" w:firstLineChars="300"/>
              <w:rPr>
                <w:rFonts w:hint="eastAsia"/>
                <w:sz w:val="22"/>
                <w:szCs w:val="20"/>
                <w:highlight w:val="none"/>
                <w:shd w:val="clear" w:color="auto" w:fill="FFFFFF"/>
              </w:rPr>
            </w:pPr>
            <w:r>
              <w:rPr>
                <w:rFonts w:hint="eastAsia"/>
                <w:sz w:val="22"/>
                <w:szCs w:val="20"/>
                <w:highlight w:val="none"/>
                <w:shd w:val="clear" w:color="auto" w:fill="FFFFFF"/>
              </w:rPr>
              <w:t>工期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75B06862">
            <w:pPr>
              <w:pStyle w:val="7"/>
              <w:rPr>
                <w:rFonts w:hint="eastAsia"/>
                <w:sz w:val="21"/>
                <w:szCs w:val="21"/>
                <w:highlight w:val="none"/>
              </w:rPr>
            </w:pPr>
            <w:r>
              <w:rPr>
                <w:rFonts w:hint="eastAsia"/>
                <w:sz w:val="21"/>
                <w:szCs w:val="21"/>
                <w:highlight w:val="none"/>
              </w:rPr>
              <w:t>合同签订后20日历天内。</w:t>
            </w:r>
          </w:p>
        </w:tc>
      </w:tr>
      <w:tr w14:paraId="6365BF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tcPr>
          <w:p w14:paraId="4B6CD7CB">
            <w:pPr>
              <w:pStyle w:val="7"/>
              <w:ind w:firstLine="440"/>
              <w:rPr>
                <w:rFonts w:hint="eastAsia"/>
                <w:sz w:val="22"/>
                <w:szCs w:val="20"/>
                <w:highlight w:val="none"/>
              </w:rPr>
            </w:pPr>
            <w:r>
              <w:rPr>
                <w:rFonts w:hint="eastAsia"/>
                <w:sz w:val="22"/>
                <w:szCs w:val="20"/>
                <w:highlight w:val="none"/>
                <w:shd w:val="clear" w:color="auto" w:fill="FFFFFF"/>
              </w:rPr>
              <w:t>质量要求</w:t>
            </w:r>
          </w:p>
        </w:tc>
        <w:tc>
          <w:tcPr>
            <w:tcW w:w="7354" w:type="dxa"/>
            <w:tcBorders>
              <w:top w:val="single" w:color="auto" w:sz="4" w:space="0"/>
              <w:left w:val="single" w:color="auto" w:sz="4" w:space="0"/>
              <w:bottom w:val="single" w:color="auto" w:sz="4" w:space="0"/>
              <w:right w:val="single" w:color="auto" w:sz="4" w:space="0"/>
            </w:tcBorders>
            <w:noWrap/>
          </w:tcPr>
          <w:p w14:paraId="299F6801">
            <w:pPr>
              <w:pStyle w:val="7"/>
              <w:rPr>
                <w:rFonts w:hint="eastAsia"/>
                <w:sz w:val="21"/>
                <w:szCs w:val="21"/>
                <w:highlight w:val="none"/>
              </w:rPr>
            </w:pPr>
            <w:r>
              <w:rPr>
                <w:rFonts w:hint="eastAsia"/>
                <w:sz w:val="21"/>
                <w:szCs w:val="21"/>
                <w:highlight w:val="none"/>
              </w:rPr>
              <w:t>施工及验收须达到现行国家及行业标准、规范的要求。</w:t>
            </w:r>
          </w:p>
        </w:tc>
      </w:tr>
      <w:tr w14:paraId="3941CC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16B13D2">
            <w:pPr>
              <w:pStyle w:val="7"/>
              <w:jc w:val="center"/>
              <w:rPr>
                <w:rFonts w:hint="eastAsia"/>
                <w:sz w:val="21"/>
                <w:szCs w:val="21"/>
                <w:highlight w:val="none"/>
              </w:rPr>
            </w:pPr>
            <w:r>
              <w:rPr>
                <w:rFonts w:hint="eastAsia"/>
                <w:sz w:val="21"/>
                <w:szCs w:val="21"/>
                <w:highlight w:val="none"/>
              </w:rPr>
              <w:t>质量保修期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13E4529B">
            <w:pPr>
              <w:pStyle w:val="7"/>
              <w:rPr>
                <w:rFonts w:hint="eastAsia"/>
                <w:sz w:val="21"/>
                <w:szCs w:val="21"/>
                <w:highlight w:val="none"/>
              </w:rPr>
            </w:pPr>
            <w:r>
              <w:rPr>
                <w:rFonts w:hint="eastAsia"/>
                <w:sz w:val="21"/>
                <w:szCs w:val="21"/>
                <w:highlight w:val="none"/>
              </w:rPr>
              <w:t>1年，质量保修期内，因人为因素出现故障外，供应商对工程出现的质量及安全问题负责处理解决并承担一切费用。</w:t>
            </w:r>
          </w:p>
        </w:tc>
      </w:tr>
      <w:tr w14:paraId="4AE143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56679C">
            <w:pPr>
              <w:pStyle w:val="7"/>
              <w:jc w:val="center"/>
              <w:rPr>
                <w:rFonts w:hint="eastAsia"/>
                <w:sz w:val="21"/>
                <w:szCs w:val="21"/>
                <w:highlight w:val="none"/>
              </w:rPr>
            </w:pPr>
            <w:r>
              <w:rPr>
                <w:rFonts w:hint="eastAsia"/>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09D1A630">
            <w:pPr>
              <w:pStyle w:val="7"/>
              <w:rPr>
                <w:rFonts w:hint="eastAsia"/>
                <w:sz w:val="21"/>
                <w:szCs w:val="21"/>
                <w:highlight w:val="none"/>
              </w:rPr>
            </w:pPr>
            <w:r>
              <w:rPr>
                <w:rFonts w:hint="eastAsia"/>
                <w:sz w:val="21"/>
                <w:szCs w:val="21"/>
                <w:highlight w:val="none"/>
              </w:rPr>
              <w:t>以合同约定为准。</w:t>
            </w:r>
          </w:p>
        </w:tc>
      </w:tr>
      <w:bookmarkEnd w:id="38"/>
    </w:tbl>
    <w:p w14:paraId="37A0BD71">
      <w:pPr>
        <w:spacing w:line="192" w:lineRule="auto"/>
        <w:ind w:firstLine="422"/>
        <w:rPr>
          <w:rFonts w:hint="eastAsia" w:ascii="宋体" w:hAnsi="宋体" w:cs="宋体"/>
          <w:b/>
          <w:bCs/>
          <w:szCs w:val="21"/>
          <w:highlight w:val="none"/>
        </w:rPr>
      </w:pPr>
    </w:p>
    <w:p w14:paraId="2C906381">
      <w:pPr>
        <w:spacing w:line="192" w:lineRule="auto"/>
        <w:ind w:firstLine="422"/>
        <w:rPr>
          <w:rFonts w:hint="eastAsia" w:ascii="宋体" w:hAnsi="宋体" w:cs="宋体"/>
          <w:b/>
          <w:bCs/>
          <w:szCs w:val="21"/>
          <w:highlight w:val="none"/>
        </w:rPr>
      </w:pPr>
    </w:p>
    <w:p w14:paraId="7CA452D7">
      <w:pPr>
        <w:spacing w:line="192" w:lineRule="auto"/>
        <w:ind w:firstLine="422"/>
        <w:rPr>
          <w:rFonts w:hint="eastAsia" w:ascii="宋体" w:hAnsi="宋体" w:cs="宋体"/>
          <w:b/>
          <w:bCs/>
          <w:szCs w:val="21"/>
          <w:highlight w:val="none"/>
        </w:rPr>
      </w:pPr>
    </w:p>
    <w:p w14:paraId="3A462255">
      <w:pPr>
        <w:spacing w:line="192" w:lineRule="auto"/>
        <w:ind w:firstLine="422"/>
        <w:rPr>
          <w:rFonts w:hint="eastAsia" w:ascii="宋体" w:hAnsi="宋体" w:cs="宋体"/>
          <w:b/>
          <w:bCs/>
          <w:szCs w:val="21"/>
          <w:highlight w:val="none"/>
        </w:rPr>
      </w:pPr>
      <w:r>
        <w:rPr>
          <w:rFonts w:hint="eastAsia" w:ascii="宋体" w:hAnsi="宋体" w:cs="宋体"/>
          <w:b/>
          <w:bCs/>
          <w:szCs w:val="21"/>
          <w:highlight w:val="none"/>
        </w:rPr>
        <w:t>五、采购人对项目的特殊要求及说明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6E5B49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2F9FE1E2">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23A96E20">
            <w:pPr>
              <w:widowControl/>
              <w:numPr>
                <w:ilvl w:val="0"/>
                <w:numId w:val="1"/>
              </w:numPr>
              <w:snapToGrid w:val="0"/>
              <w:spacing w:line="360" w:lineRule="auto"/>
              <w:rPr>
                <w:rFonts w:hint="eastAsia" w:ascii="宋体" w:hAnsi="宋体" w:cs="宋体"/>
                <w:highlight w:val="none"/>
              </w:rPr>
            </w:pPr>
            <w:r>
              <w:rPr>
                <w:rFonts w:hint="eastAsia" w:ascii="宋体" w:hAnsi="宋体" w:cs="宋体"/>
                <w:highlight w:val="none"/>
              </w:rPr>
              <w:t>不接受联合体投标，不允许转包和分包。</w:t>
            </w:r>
          </w:p>
          <w:p w14:paraId="35F27EFE">
            <w:pPr>
              <w:widowControl/>
              <w:snapToGrid w:val="0"/>
              <w:spacing w:line="360" w:lineRule="auto"/>
              <w:rPr>
                <w:rFonts w:hint="eastAsia" w:ascii="宋体" w:hAnsi="宋体" w:cs="宋体"/>
                <w:highlight w:val="none"/>
              </w:rPr>
            </w:pPr>
            <w:r>
              <w:rPr>
                <w:rFonts w:hint="eastAsia" w:ascii="宋体" w:hAnsi="宋体" w:cs="宋体"/>
                <w:highlight w:val="none"/>
              </w:rPr>
              <w:t>2、授权磋商小组确定一名成交供应商并推荐一名成交候选供应商。</w:t>
            </w:r>
          </w:p>
          <w:p w14:paraId="32FEA70C">
            <w:pPr>
              <w:widowControl/>
              <w:snapToGrid w:val="0"/>
              <w:spacing w:line="360" w:lineRule="auto"/>
              <w:rPr>
                <w:highlight w:val="none"/>
              </w:rPr>
            </w:pPr>
            <w:r>
              <w:rPr>
                <w:rFonts w:hint="eastAsia" w:ascii="宋体" w:hAnsi="宋体" w:cs="宋体"/>
                <w:highlight w:val="none"/>
              </w:rPr>
              <w:t>3、供应商应根据采购文件的要求提供技术响应部分、商务响应部分等内容以对采购文件作出响应。</w:t>
            </w:r>
          </w:p>
        </w:tc>
      </w:tr>
    </w:tbl>
    <w:p w14:paraId="3F2D2FE0">
      <w:pPr>
        <w:ind w:firstLine="643"/>
        <w:rPr>
          <w:rFonts w:hint="eastAsia" w:ascii="宋体" w:hAnsi="宋体" w:cs="宋体"/>
          <w:b/>
          <w:bCs/>
          <w:sz w:val="32"/>
          <w:szCs w:val="32"/>
          <w:highlight w:val="none"/>
        </w:rPr>
      </w:pPr>
      <w:r>
        <w:rPr>
          <w:rFonts w:hint="eastAsia" w:ascii="宋体" w:hAnsi="宋体" w:cs="宋体"/>
          <w:b/>
          <w:bCs/>
          <w:sz w:val="32"/>
          <w:szCs w:val="32"/>
          <w:highlight w:val="none"/>
        </w:rPr>
        <w:br w:type="page"/>
      </w:r>
    </w:p>
    <w:p w14:paraId="43926BA2">
      <w:pPr>
        <w:ind w:firstLine="643"/>
        <w:jc w:val="center"/>
        <w:outlineLvl w:val="0"/>
        <w:rPr>
          <w:rFonts w:hint="eastAsia" w:ascii="宋体" w:hAnsi="宋体" w:cs="宋体"/>
          <w:b/>
          <w:bCs/>
          <w:sz w:val="32"/>
          <w:szCs w:val="32"/>
          <w:highlight w:val="none"/>
        </w:rPr>
      </w:pPr>
      <w:bookmarkStart w:id="39" w:name="_Toc25734"/>
      <w:r>
        <w:rPr>
          <w:rFonts w:hint="eastAsia" w:ascii="宋体" w:hAnsi="宋体" w:cs="宋体"/>
          <w:b/>
          <w:bCs/>
          <w:sz w:val="32"/>
          <w:szCs w:val="32"/>
          <w:highlight w:val="none"/>
        </w:rPr>
        <w:t>第三章  供应商须知</w:t>
      </w:r>
      <w:bookmarkEnd w:id="39"/>
    </w:p>
    <w:p w14:paraId="6337F5B9">
      <w:pPr>
        <w:snapToGrid w:val="0"/>
        <w:spacing w:line="360" w:lineRule="auto"/>
        <w:ind w:firstLine="560"/>
        <w:jc w:val="center"/>
        <w:outlineLvl w:val="1"/>
        <w:rPr>
          <w:rFonts w:hint="eastAsia" w:ascii="宋体" w:hAnsi="宋体" w:cs="宋体"/>
          <w:sz w:val="28"/>
          <w:szCs w:val="28"/>
          <w:highlight w:val="none"/>
        </w:rPr>
      </w:pPr>
      <w:r>
        <w:rPr>
          <w:rFonts w:hint="eastAsia" w:ascii="宋体" w:hAnsi="宋体" w:cs="宋体"/>
          <w:sz w:val="28"/>
          <w:szCs w:val="28"/>
          <w:highlight w:val="none"/>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5A44D7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AAC2C">
            <w:pPr>
              <w:widowControl/>
              <w:jc w:val="center"/>
              <w:rPr>
                <w:rFonts w:hint="eastAsia" w:ascii="宋体" w:hAnsi="宋体" w:cs="宋体"/>
                <w:kern w:val="0"/>
                <w:szCs w:val="21"/>
                <w:highlight w:val="none"/>
              </w:rPr>
            </w:pPr>
            <w:r>
              <w:rPr>
                <w:rFonts w:hint="eastAsia" w:ascii="宋体" w:hAnsi="宋体" w:cs="宋体"/>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0BF864">
            <w:pPr>
              <w:widowControl/>
              <w:jc w:val="center"/>
              <w:rPr>
                <w:rFonts w:hint="eastAsia" w:ascii="宋体" w:hAnsi="宋体" w:cs="宋体"/>
                <w:kern w:val="0"/>
                <w:szCs w:val="21"/>
                <w:highlight w:val="none"/>
              </w:rPr>
            </w:pPr>
            <w:r>
              <w:rPr>
                <w:rFonts w:hint="eastAsia" w:ascii="宋体" w:hAnsi="宋体" w:cs="宋体"/>
                <w:kern w:val="0"/>
                <w:szCs w:val="21"/>
                <w:highlight w:val="none"/>
              </w:rPr>
              <w:t>内容、要求</w:t>
            </w:r>
          </w:p>
        </w:tc>
      </w:tr>
      <w:tr w14:paraId="3F4587A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DFC6121">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626E54F">
            <w:pPr>
              <w:widowControl/>
              <w:snapToGrid w:val="0"/>
              <w:spacing w:line="440" w:lineRule="exact"/>
              <w:jc w:val="left"/>
              <w:outlineLvl w:val="0"/>
              <w:rPr>
                <w:rFonts w:hint="eastAsia" w:ascii="宋体" w:hAnsi="宋体" w:cs="宋体"/>
                <w:highlight w:val="none"/>
              </w:rPr>
            </w:pPr>
            <w:bookmarkStart w:id="40" w:name="_Toc9566"/>
            <w:bookmarkStart w:id="41" w:name="_Toc27817"/>
            <w:bookmarkStart w:id="42" w:name="_Toc30169"/>
            <w:bookmarkStart w:id="43" w:name="_Toc26279"/>
            <w:r>
              <w:rPr>
                <w:rFonts w:hint="eastAsia" w:ascii="宋体" w:hAnsi="宋体" w:cs="宋体"/>
                <w:highlight w:val="none"/>
              </w:rPr>
              <w:t>1.1项目名称：</w:t>
            </w:r>
            <w:bookmarkEnd w:id="40"/>
            <w:bookmarkEnd w:id="41"/>
            <w:bookmarkEnd w:id="42"/>
            <w:bookmarkEnd w:id="43"/>
            <w:r>
              <w:rPr>
                <w:rFonts w:hint="eastAsia" w:ascii="宋体" w:hAnsi="宋体" w:cs="宋体"/>
                <w:highlight w:val="none"/>
              </w:rPr>
              <w:t>驻马店市中心医院锅炉、供暖管道及配套设施检修、检验项目</w:t>
            </w:r>
          </w:p>
          <w:p w14:paraId="4D37FBFD">
            <w:pPr>
              <w:widowControl/>
              <w:snapToGrid w:val="0"/>
              <w:spacing w:line="440" w:lineRule="exact"/>
              <w:jc w:val="left"/>
              <w:outlineLvl w:val="0"/>
              <w:rPr>
                <w:rFonts w:hint="eastAsia" w:ascii="宋体" w:hAnsi="宋体" w:cs="宋体"/>
                <w:highlight w:val="none"/>
              </w:rPr>
            </w:pPr>
            <w:bookmarkStart w:id="44" w:name="_Toc28320"/>
            <w:bookmarkStart w:id="45" w:name="_Toc23424"/>
            <w:bookmarkStart w:id="46" w:name="_Toc29400"/>
            <w:bookmarkStart w:id="47" w:name="_Toc10981"/>
            <w:r>
              <w:rPr>
                <w:rFonts w:hint="eastAsia" w:ascii="宋体" w:hAnsi="宋体" w:cs="宋体"/>
                <w:highlight w:val="none"/>
              </w:rPr>
              <w:t>1.2采购人名称：</w:t>
            </w:r>
            <w:bookmarkEnd w:id="44"/>
            <w:bookmarkEnd w:id="45"/>
            <w:bookmarkEnd w:id="46"/>
            <w:r>
              <w:rPr>
                <w:rFonts w:hint="eastAsia" w:ascii="宋体" w:hAnsi="宋体" w:cs="宋体"/>
                <w:highlight w:val="none"/>
              </w:rPr>
              <w:t>驻马店市中心医院</w:t>
            </w:r>
            <w:bookmarkEnd w:id="47"/>
          </w:p>
          <w:p w14:paraId="77CAEF26">
            <w:pPr>
              <w:widowControl/>
              <w:snapToGrid w:val="0"/>
              <w:spacing w:line="440" w:lineRule="exact"/>
              <w:jc w:val="left"/>
              <w:outlineLvl w:val="0"/>
              <w:rPr>
                <w:rFonts w:hint="eastAsia" w:ascii="宋体" w:hAnsi="宋体" w:cs="宋体"/>
                <w:highlight w:val="none"/>
              </w:rPr>
            </w:pPr>
            <w:bookmarkStart w:id="48" w:name="_Toc3148"/>
            <w:bookmarkStart w:id="49" w:name="_Toc24541"/>
            <w:bookmarkStart w:id="50" w:name="_Toc30330"/>
            <w:bookmarkStart w:id="51" w:name="_Toc26199"/>
            <w:r>
              <w:rPr>
                <w:rFonts w:hint="eastAsia" w:ascii="宋体" w:hAnsi="宋体" w:cs="宋体"/>
                <w:highlight w:val="none"/>
              </w:rPr>
              <w:t>1.3采购范围：详见第二章采购需求</w:t>
            </w:r>
            <w:bookmarkEnd w:id="48"/>
            <w:bookmarkEnd w:id="49"/>
            <w:bookmarkEnd w:id="50"/>
            <w:bookmarkEnd w:id="51"/>
          </w:p>
        </w:tc>
      </w:tr>
      <w:tr w14:paraId="6B142F8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9710B05">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0C0AF5C">
            <w:pPr>
              <w:widowControl/>
              <w:spacing w:line="440" w:lineRule="exact"/>
              <w:rPr>
                <w:rFonts w:hint="eastAsia" w:ascii="宋体" w:hAnsi="宋体" w:cs="宋体"/>
                <w:kern w:val="0"/>
                <w:szCs w:val="21"/>
                <w:highlight w:val="none"/>
              </w:rPr>
            </w:pPr>
            <w:r>
              <w:rPr>
                <w:rFonts w:hint="eastAsia" w:ascii="宋体" w:hAnsi="宋体" w:cs="宋体"/>
                <w:kern w:val="0"/>
                <w:szCs w:val="21"/>
                <w:highlight w:val="none"/>
              </w:rPr>
              <w:t>合格供应商：具备采购公告第二项规定的条件。</w:t>
            </w:r>
          </w:p>
        </w:tc>
      </w:tr>
      <w:tr w14:paraId="51C64112">
        <w:tblPrEx>
          <w:tblCellMar>
            <w:top w:w="0" w:type="dxa"/>
            <w:left w:w="0" w:type="dxa"/>
            <w:bottom w:w="0" w:type="dxa"/>
            <w:right w:w="0" w:type="dxa"/>
          </w:tblCellMar>
        </w:tblPrEx>
        <w:trPr>
          <w:trHeight w:val="489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06FC5A8">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FE6451">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采购预算：</w:t>
            </w:r>
            <w:r>
              <w:rPr>
                <w:rFonts w:hint="eastAsia" w:ascii="宋体" w:hAnsi="宋体" w:cs="宋体"/>
                <w:highlight w:val="none"/>
              </w:rPr>
              <w:t>3.77</w:t>
            </w:r>
            <w:r>
              <w:rPr>
                <w:rFonts w:hint="eastAsia" w:ascii="宋体" w:hAnsi="宋体" w:cs="宋体"/>
                <w:kern w:val="0"/>
                <w:szCs w:val="21"/>
                <w:highlight w:val="none"/>
              </w:rPr>
              <w:t>万元；最高投标限价:</w:t>
            </w:r>
            <w:r>
              <w:rPr>
                <w:rFonts w:hint="eastAsia" w:ascii="宋体" w:hAnsi="宋体" w:cs="宋体"/>
                <w:highlight w:val="none"/>
              </w:rPr>
              <w:t>3.77</w:t>
            </w:r>
            <w:r>
              <w:rPr>
                <w:rFonts w:hint="eastAsia" w:ascii="宋体" w:hAnsi="宋体" w:cs="宋体"/>
                <w:kern w:val="0"/>
                <w:szCs w:val="21"/>
                <w:highlight w:val="none"/>
              </w:rPr>
              <w:t>万元</w:t>
            </w:r>
            <w:r>
              <w:rPr>
                <w:rFonts w:hint="eastAsia" w:ascii="宋体" w:hAnsi="宋体" w:cs="宋体"/>
                <w:highlight w:val="none"/>
              </w:rPr>
              <w:t>。</w:t>
            </w:r>
          </w:p>
          <w:p w14:paraId="6C5B70A9">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3.1 本项目磋商</w:t>
            </w:r>
            <w:r>
              <w:rPr>
                <w:rFonts w:hint="eastAsia" w:ascii="宋体" w:hAnsi="宋体" w:cs="宋体"/>
                <w:color w:val="000000" w:themeColor="text1"/>
                <w:kern w:val="0"/>
                <w:szCs w:val="21"/>
                <w:highlight w:val="none"/>
                <w14:textFill>
                  <w14:solidFill>
                    <w14:schemeClr w14:val="tx1"/>
                  </w14:solidFill>
                </w14:textFill>
              </w:rPr>
              <w:t>以人民币报价</w:t>
            </w:r>
            <w:r>
              <w:rPr>
                <w:rFonts w:hint="eastAsia" w:ascii="宋体" w:hAnsi="宋体" w:cs="宋体"/>
                <w:kern w:val="0"/>
                <w:szCs w:val="21"/>
                <w:highlight w:val="none"/>
              </w:rPr>
              <w:t>。</w:t>
            </w:r>
          </w:p>
          <w:p w14:paraId="0AFDE4A8">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3.2 供应商的报价超过采购预算，采购人不能支付的，按废标处理。</w:t>
            </w:r>
          </w:p>
          <w:p w14:paraId="4939ABD1">
            <w:pPr>
              <w:widowControl/>
              <w:snapToGrid w:val="0"/>
              <w:spacing w:line="440" w:lineRule="exact"/>
              <w:jc w:val="left"/>
              <w:rPr>
                <w:rFonts w:hint="eastAsia" w:ascii="宋体" w:hAnsi="宋体" w:cs="宋体"/>
                <w:b/>
                <w:bCs/>
                <w:kern w:val="0"/>
                <w:szCs w:val="21"/>
                <w:highlight w:val="none"/>
              </w:rPr>
            </w:pPr>
            <w:r>
              <w:rPr>
                <w:rFonts w:hint="eastAsia" w:ascii="宋体" w:hAnsi="宋体" w:cs="宋体"/>
                <w:b/>
                <w:bCs/>
                <w:kern w:val="0"/>
                <w:szCs w:val="21"/>
                <w:highlight w:val="none"/>
              </w:rPr>
              <w:t>3.3招标控制价及工程</w:t>
            </w:r>
            <w:r>
              <w:rPr>
                <w:rFonts w:hint="eastAsia"/>
                <w:b/>
                <w:bCs/>
                <w:szCs w:val="21"/>
                <w:highlight w:val="none"/>
              </w:rPr>
              <w:t>量清单的编制费用由成交方支付。</w:t>
            </w:r>
          </w:p>
          <w:p w14:paraId="44813FE6">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3.4本项目由成交供应商缴纳招标代理服务费。代理服务费不得高于《招代理机构服务管理暂行办法》（计价格[2002]1980号）相应标准：</w:t>
            </w:r>
          </w:p>
          <w:tbl>
            <w:tblPr>
              <w:tblStyle w:val="35"/>
              <w:tblW w:w="8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7"/>
              <w:gridCol w:w="1734"/>
              <w:gridCol w:w="1686"/>
              <w:gridCol w:w="1287"/>
            </w:tblGrid>
            <w:tr w14:paraId="3A45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847" w:type="dxa"/>
                </w:tcPr>
                <w:p w14:paraId="2D7D45A1">
                  <w:pPr>
                    <w:widowControl/>
                    <w:snapToGrid w:val="0"/>
                    <w:ind w:firstLine="422"/>
                    <w:rPr>
                      <w:rFonts w:hint="eastAsia" w:ascii="宋体" w:hAnsi="宋体" w:cs="宋体"/>
                      <w:b/>
                      <w:bCs/>
                      <w:kern w:val="0"/>
                      <w:szCs w:val="21"/>
                      <w:highlight w:val="none"/>
                    </w:rPr>
                  </w:pPr>
                  <w:r>
                    <w:rPr>
                      <w:b/>
                      <w:bCs/>
                      <w:highlight w:val="none"/>
                    </w:rPr>
                    <mc:AlternateContent>
                      <mc:Choice Requires="wps">
                        <w:drawing>
                          <wp:anchor distT="0" distB="0" distL="114300" distR="114300" simplePos="0" relativeHeight="251660288" behindDoc="0" locked="0" layoutInCell="1" allowOverlap="1">
                            <wp:simplePos x="0" y="0"/>
                            <wp:positionH relativeFrom="column">
                              <wp:posOffset>1296035</wp:posOffset>
                            </wp:positionH>
                            <wp:positionV relativeFrom="paragraph">
                              <wp:posOffset>60960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5DCD6D6">
                                        <w:r>
                                          <w:rPr>
                                            <w:rFonts w:hint="eastAsia"/>
                                            <w:b/>
                                            <w:bCs/>
                                          </w:rPr>
                                          <w:t>服务费率类</w:t>
                                        </w:r>
                                        <w:r>
                                          <w:rPr>
                                            <w:rFonts w:hint="eastAsia"/>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05pt;margin-top:4.8pt;height:24.05pt;width:76.4pt;z-index:251660288;mso-width-relative:page;mso-height-relative:page;" fillcolor="#FFFFFF [3201]" filled="t" stroked="f" coordsize="21600,21600" o:gfxdata="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Png8NtUA&#10;AAAIAQAADwAAAAAAAAABACAAAAAiAAAAZHJzL2Rvd25yZXYueG1sUEsBAhQAFAAAAAgAh07iQF8v&#10;VZxbAgAAmgQAAA4AAAAAAAAAAQAgAAAAJAEAAGRycy9lMm9Eb2MueG1sUEsFBgAAAAAGAAYAWQEA&#10;APEFAAAAAA==&#10;">
                            <v:fill on="t" focussize="0,0"/>
                            <v:stroke on="f" weight="0.5pt"/>
                            <v:imagedata o:title=""/>
                            <o:lock v:ext="edit" aspectratio="f"/>
                            <v:textbox>
                              <w:txbxContent>
                                <w:p w14:paraId="55DCD6D6">
                                  <w:r>
                                    <w:rPr>
                                      <w:rFonts w:hint="eastAsia"/>
                                      <w:b/>
                                      <w:bCs/>
                                    </w:rPr>
                                    <w:t>服务费率类</w:t>
                                  </w:r>
                                  <w:r>
                                    <w:rPr>
                                      <w:rFonts w:hint="eastAsia"/>
                                    </w:rPr>
                                    <w:t>型</w:t>
                                  </w:r>
                                </w:p>
                              </w:txbxContent>
                            </v:textbox>
                          </v:shape>
                        </w:pict>
                      </mc:Fallback>
                    </mc:AlternateContent>
                  </w:r>
                  <w:r>
                    <w:rPr>
                      <w:b/>
                      <w:bCs/>
                      <w:highlight w:val="none"/>
                    </w:rPr>
                    <mc:AlternateContent>
                      <mc:Choice Requires="wps">
                        <w:drawing>
                          <wp:anchor distT="0" distB="0" distL="114300" distR="114300" simplePos="0" relativeHeight="251662336"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206612A">
                                        <w:pPr>
                                          <w:rPr>
                                            <w:b/>
                                            <w:bCs/>
                                          </w:rPr>
                                        </w:pPr>
                                        <w:r>
                                          <w:rPr>
                                            <w:rFonts w:hint="eastAsia"/>
                                            <w:b/>
                                            <w:bCs/>
                                          </w:rPr>
                                          <w:t>成交金额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2336;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206612A">
                                  <w:pPr>
                                    <w:rPr>
                                      <w:b/>
                                      <w:bCs/>
                                    </w:rPr>
                                  </w:pPr>
                                  <w:r>
                                    <w:rPr>
                                      <w:rFonts w:hint="eastAsia"/>
                                      <w:b/>
                                      <w:bCs/>
                                    </w:rPr>
                                    <w:t>成交金额</w:t>
                                  </w:r>
                                </w:p>
                              </w:txbxContent>
                            </v:textbox>
                          </v:shape>
                        </w:pict>
                      </mc:Fallback>
                    </mc:AlternateContent>
                  </w:r>
                </w:p>
                <w:p w14:paraId="39E4FA9E">
                  <w:pPr>
                    <w:widowControl/>
                    <w:snapToGrid w:val="0"/>
                    <w:spacing w:line="440" w:lineRule="exact"/>
                    <w:ind w:firstLine="422"/>
                    <w:jc w:val="center"/>
                    <w:rPr>
                      <w:rFonts w:hint="eastAsia" w:ascii="宋体" w:hAnsi="宋体" w:cs="宋体"/>
                      <w:b/>
                      <w:bCs/>
                      <w:kern w:val="0"/>
                      <w:szCs w:val="21"/>
                      <w:highlight w:val="none"/>
                    </w:rPr>
                  </w:pPr>
                </w:p>
              </w:tc>
              <w:tc>
                <w:tcPr>
                  <w:tcW w:w="1734" w:type="dxa"/>
                  <w:vAlign w:val="center"/>
                </w:tcPr>
                <w:p w14:paraId="206F6408">
                  <w:pPr>
                    <w:keepNext w:val="0"/>
                    <w:keepLines w:val="0"/>
                    <w:pageBreakBefore w:val="0"/>
                    <w:widowControl/>
                    <w:kinsoku/>
                    <w:wordWrap/>
                    <w:overflowPunct/>
                    <w:topLinePunct w:val="0"/>
                    <w:autoSpaceDE/>
                    <w:autoSpaceDN/>
                    <w:bidi w:val="0"/>
                    <w:adjustRightInd/>
                    <w:snapToGrid w:val="0"/>
                    <w:spacing w:line="440" w:lineRule="exact"/>
                    <w:ind w:firstLine="0"/>
                    <w:jc w:val="center"/>
                    <w:textAlignment w:val="auto"/>
                    <w:rPr>
                      <w:rFonts w:hint="eastAsia" w:ascii="宋体" w:hAnsi="宋体" w:cs="宋体"/>
                      <w:b/>
                      <w:bCs/>
                      <w:kern w:val="0"/>
                      <w:szCs w:val="21"/>
                      <w:highlight w:val="none"/>
                    </w:rPr>
                  </w:pPr>
                  <w:r>
                    <w:rPr>
                      <w:rFonts w:hint="eastAsia" w:ascii="宋体" w:hAnsi="宋体" w:cs="宋体"/>
                      <w:b/>
                      <w:bCs/>
                      <w:kern w:val="0"/>
                      <w:szCs w:val="21"/>
                      <w:highlight w:val="none"/>
                    </w:rPr>
                    <w:t>货物招标</w:t>
                  </w:r>
                </w:p>
              </w:tc>
              <w:tc>
                <w:tcPr>
                  <w:tcW w:w="1686" w:type="dxa"/>
                  <w:vAlign w:val="center"/>
                </w:tcPr>
                <w:p w14:paraId="6C5D3835">
                  <w:pPr>
                    <w:keepNext w:val="0"/>
                    <w:keepLines w:val="0"/>
                    <w:pageBreakBefore w:val="0"/>
                    <w:widowControl/>
                    <w:kinsoku/>
                    <w:wordWrap/>
                    <w:overflowPunct/>
                    <w:topLinePunct w:val="0"/>
                    <w:autoSpaceDE/>
                    <w:autoSpaceDN/>
                    <w:bidi w:val="0"/>
                    <w:adjustRightInd/>
                    <w:snapToGrid w:val="0"/>
                    <w:spacing w:line="440" w:lineRule="exact"/>
                    <w:ind w:firstLine="0"/>
                    <w:jc w:val="center"/>
                    <w:textAlignment w:val="auto"/>
                    <w:rPr>
                      <w:rFonts w:hint="eastAsia" w:ascii="宋体" w:hAnsi="宋体" w:cs="宋体"/>
                      <w:b/>
                      <w:bCs/>
                      <w:kern w:val="0"/>
                      <w:szCs w:val="21"/>
                      <w:highlight w:val="none"/>
                    </w:rPr>
                  </w:pPr>
                  <w:r>
                    <w:rPr>
                      <w:rFonts w:hint="eastAsia" w:ascii="宋体" w:hAnsi="宋体" w:cs="宋体"/>
                      <w:b/>
                      <w:bCs/>
                      <w:kern w:val="0"/>
                      <w:szCs w:val="21"/>
                      <w:highlight w:val="none"/>
                    </w:rPr>
                    <w:t>服务招标</w:t>
                  </w:r>
                </w:p>
              </w:tc>
              <w:tc>
                <w:tcPr>
                  <w:tcW w:w="1287" w:type="dxa"/>
                  <w:vAlign w:val="center"/>
                </w:tcPr>
                <w:p w14:paraId="4F423706">
                  <w:pPr>
                    <w:keepNext w:val="0"/>
                    <w:keepLines w:val="0"/>
                    <w:pageBreakBefore w:val="0"/>
                    <w:widowControl/>
                    <w:kinsoku/>
                    <w:wordWrap/>
                    <w:overflowPunct/>
                    <w:topLinePunct w:val="0"/>
                    <w:autoSpaceDE/>
                    <w:autoSpaceDN/>
                    <w:bidi w:val="0"/>
                    <w:adjustRightInd/>
                    <w:snapToGrid w:val="0"/>
                    <w:spacing w:line="440" w:lineRule="exact"/>
                    <w:ind w:firstLine="0"/>
                    <w:jc w:val="center"/>
                    <w:textAlignment w:val="auto"/>
                    <w:rPr>
                      <w:rFonts w:hint="eastAsia" w:ascii="宋体" w:hAnsi="宋体" w:cs="宋体"/>
                      <w:b/>
                      <w:bCs/>
                      <w:kern w:val="0"/>
                      <w:szCs w:val="21"/>
                      <w:highlight w:val="none"/>
                    </w:rPr>
                  </w:pPr>
                  <w:r>
                    <w:rPr>
                      <w:rFonts w:hint="eastAsia" w:ascii="宋体" w:hAnsi="宋体" w:cs="宋体"/>
                      <w:b/>
                      <w:bCs/>
                      <w:kern w:val="0"/>
                      <w:szCs w:val="21"/>
                      <w:highlight w:val="none"/>
                    </w:rPr>
                    <w:t>工程招标</w:t>
                  </w:r>
                </w:p>
              </w:tc>
            </w:tr>
            <w:tr w14:paraId="2D3F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847" w:type="dxa"/>
                  <w:vAlign w:val="center"/>
                </w:tcPr>
                <w:p w14:paraId="20BFB982">
                  <w:pPr>
                    <w:widowControl/>
                    <w:snapToGrid w:val="0"/>
                    <w:spacing w:line="440" w:lineRule="exact"/>
                    <w:jc w:val="center"/>
                    <w:rPr>
                      <w:rFonts w:hint="eastAsia" w:ascii="宋体" w:hAnsi="宋体" w:cs="宋体"/>
                      <w:kern w:val="0"/>
                      <w:szCs w:val="21"/>
                      <w:highlight w:val="none"/>
                    </w:rPr>
                  </w:pPr>
                  <w:r>
                    <w:rPr>
                      <w:rFonts w:hint="eastAsia" w:ascii="宋体" w:hAnsi="宋体" w:cs="宋体"/>
                      <w:kern w:val="0"/>
                      <w:szCs w:val="21"/>
                      <w:highlight w:val="none"/>
                    </w:rPr>
                    <w:t>100万元以下</w:t>
                  </w:r>
                </w:p>
              </w:tc>
              <w:tc>
                <w:tcPr>
                  <w:tcW w:w="1734" w:type="dxa"/>
                  <w:vAlign w:val="center"/>
                </w:tcPr>
                <w:p w14:paraId="763C6AE4">
                  <w:pPr>
                    <w:widowControl/>
                    <w:snapToGrid w:val="0"/>
                    <w:spacing w:line="440" w:lineRule="exact"/>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1686" w:type="dxa"/>
                  <w:vAlign w:val="center"/>
                </w:tcPr>
                <w:p w14:paraId="06DDB5A7">
                  <w:pPr>
                    <w:widowControl/>
                    <w:snapToGrid w:val="0"/>
                    <w:spacing w:line="440" w:lineRule="exact"/>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1287" w:type="dxa"/>
                  <w:vAlign w:val="center"/>
                </w:tcPr>
                <w:p w14:paraId="028E6EDC">
                  <w:pPr>
                    <w:widowControl/>
                    <w:snapToGrid w:val="0"/>
                    <w:spacing w:line="440" w:lineRule="exact"/>
                    <w:jc w:val="center"/>
                    <w:rPr>
                      <w:rFonts w:hint="eastAsia" w:ascii="宋体" w:hAnsi="宋体" w:cs="宋体"/>
                      <w:kern w:val="0"/>
                      <w:szCs w:val="21"/>
                      <w:highlight w:val="none"/>
                    </w:rPr>
                  </w:pPr>
                  <w:r>
                    <w:rPr>
                      <w:rFonts w:hint="eastAsia" w:ascii="宋体" w:hAnsi="宋体" w:cs="宋体"/>
                      <w:kern w:val="0"/>
                      <w:szCs w:val="21"/>
                      <w:highlight w:val="none"/>
                    </w:rPr>
                    <w:t>1.0%</w:t>
                  </w:r>
                </w:p>
              </w:tc>
            </w:tr>
          </w:tbl>
          <w:p w14:paraId="7D1CB7DB">
            <w:pPr>
              <w:widowControl/>
              <w:snapToGrid w:val="0"/>
              <w:spacing w:line="440" w:lineRule="exact"/>
              <w:jc w:val="left"/>
              <w:rPr>
                <w:rFonts w:hint="eastAsia" w:ascii="宋体" w:hAnsi="宋体" w:cs="宋体"/>
                <w:kern w:val="0"/>
                <w:szCs w:val="21"/>
                <w:highlight w:val="none"/>
              </w:rPr>
            </w:pPr>
          </w:p>
        </w:tc>
      </w:tr>
      <w:tr w14:paraId="2F839DA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DBB3AC3">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2CA21E8">
            <w:pPr>
              <w:widowControl/>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现场踏勘或标前答疑：本项目不组织现场踏勘或标前答疑会。</w:t>
            </w:r>
          </w:p>
        </w:tc>
      </w:tr>
      <w:tr w14:paraId="539F22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448189">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A2A4B7F">
            <w:pPr>
              <w:widowControl/>
              <w:snapToGrid w:val="0"/>
              <w:spacing w:line="440" w:lineRule="exact"/>
              <w:jc w:val="left"/>
              <w:rPr>
                <w:rFonts w:hint="eastAsia" w:ascii="宋体" w:hAnsi="宋体" w:cs="宋体"/>
                <w:highlight w:val="none"/>
              </w:rPr>
            </w:pPr>
            <w:r>
              <w:rPr>
                <w:rFonts w:hint="eastAsia" w:ascii="宋体" w:hAnsi="宋体" w:cs="宋体"/>
                <w:highlight w:val="none"/>
              </w:rPr>
              <w:t>响应文件组成：纸质响应文件正本1份、副本2份。</w:t>
            </w:r>
          </w:p>
        </w:tc>
      </w:tr>
      <w:tr w14:paraId="5B2F6F6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AEC068E">
            <w:pPr>
              <w:widowControl/>
              <w:snapToGrid w:val="0"/>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BC43785">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磋商截止时间及磋商时间：</w:t>
            </w:r>
            <w:r>
              <w:rPr>
                <w:rFonts w:hint="eastAsia" w:ascii="宋体" w:hAnsi="宋体" w:cs="宋体"/>
                <w:szCs w:val="21"/>
                <w:highlight w:val="none"/>
              </w:rPr>
              <w:t>另行通知</w:t>
            </w:r>
          </w:p>
          <w:p w14:paraId="6192E386">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响应文件递交地点及磋商地点：</w:t>
            </w:r>
            <w:r>
              <w:rPr>
                <w:rFonts w:hint="eastAsia" w:ascii="宋体" w:hAnsi="宋体" w:cs="宋体"/>
                <w:szCs w:val="21"/>
                <w:highlight w:val="none"/>
              </w:rPr>
              <w:t>另行通知</w:t>
            </w:r>
            <w:r>
              <w:rPr>
                <w:rFonts w:hint="eastAsia" w:ascii="宋体" w:hAnsi="宋体" w:cs="宋体"/>
                <w:kern w:val="0"/>
                <w:szCs w:val="21"/>
                <w:highlight w:val="none"/>
              </w:rPr>
              <w:t>。</w:t>
            </w:r>
          </w:p>
        </w:tc>
      </w:tr>
      <w:tr w14:paraId="79EDBFF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5D1DFEB">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F880CDF">
            <w:pPr>
              <w:spacing w:line="440" w:lineRule="exact"/>
              <w:rPr>
                <w:rFonts w:hint="eastAsia" w:ascii="宋体" w:hAnsi="宋体" w:cs="宋体"/>
                <w:szCs w:val="21"/>
                <w:highlight w:val="none"/>
              </w:rPr>
            </w:pPr>
            <w:r>
              <w:rPr>
                <w:rFonts w:hint="eastAsia" w:ascii="宋体" w:hAnsi="宋体" w:cs="宋体"/>
                <w:szCs w:val="21"/>
                <w:highlight w:val="none"/>
              </w:rPr>
              <w:t>磋商小组成</w:t>
            </w:r>
            <w:r>
              <w:rPr>
                <w:rFonts w:hint="eastAsia" w:ascii="宋体" w:hAnsi="宋体" w:cs="宋体"/>
                <w:kern w:val="0"/>
                <w:szCs w:val="21"/>
                <w:highlight w:val="none"/>
              </w:rPr>
              <w:t>员：</w:t>
            </w:r>
            <w:r>
              <w:rPr>
                <w:rFonts w:hint="eastAsia" w:ascii="宋体" w:hAnsi="宋体" w:cs="宋体"/>
                <w:szCs w:val="21"/>
                <w:highlight w:val="none"/>
              </w:rPr>
              <w:t>3</w:t>
            </w:r>
            <w:r>
              <w:rPr>
                <w:rFonts w:hint="eastAsia" w:ascii="宋体" w:hAnsi="宋体" w:cs="宋体"/>
                <w:highlight w:val="none"/>
              </w:rPr>
              <w:t>人及以上单数</w:t>
            </w:r>
            <w:r>
              <w:rPr>
                <w:rFonts w:hint="eastAsia" w:ascii="宋体" w:hAnsi="宋体" w:cs="宋体"/>
                <w:kern w:val="0"/>
                <w:szCs w:val="21"/>
                <w:highlight w:val="none"/>
              </w:rPr>
              <w:t>。</w:t>
            </w:r>
          </w:p>
          <w:p w14:paraId="416279F7">
            <w:pPr>
              <w:widowControl/>
              <w:spacing w:line="440" w:lineRule="exact"/>
              <w:jc w:val="left"/>
              <w:rPr>
                <w:rFonts w:hint="eastAsia" w:ascii="宋体" w:hAnsi="宋体" w:cs="宋体"/>
                <w:kern w:val="0"/>
                <w:szCs w:val="21"/>
                <w:highlight w:val="none"/>
              </w:rPr>
            </w:pPr>
            <w:r>
              <w:rPr>
                <w:rFonts w:hint="eastAsia" w:ascii="宋体" w:hAnsi="宋体" w:cs="宋体"/>
                <w:szCs w:val="21"/>
                <w:highlight w:val="none"/>
              </w:rPr>
              <w:t>专家确定方式：</w:t>
            </w:r>
            <w:r>
              <w:rPr>
                <w:rFonts w:hint="eastAsia" w:ascii="宋体" w:hAnsi="宋体" w:cs="宋体"/>
                <w:kern w:val="0"/>
                <w:szCs w:val="21"/>
                <w:highlight w:val="none"/>
              </w:rPr>
              <w:t>由评审专家、采购人代表组成</w:t>
            </w:r>
          </w:p>
        </w:tc>
      </w:tr>
      <w:tr w14:paraId="38C275E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0EB1CC9">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BC16C6">
            <w:pPr>
              <w:rPr>
                <w:rFonts w:hint="eastAsia" w:ascii="宋体" w:hAnsi="宋体" w:cs="宋体"/>
                <w:kern w:val="0"/>
                <w:szCs w:val="21"/>
                <w:highlight w:val="none"/>
              </w:rPr>
            </w:pPr>
            <w:r>
              <w:rPr>
                <w:rFonts w:hint="eastAsia" w:ascii="宋体" w:hAnsi="宋体" w:cs="宋体"/>
                <w:szCs w:val="21"/>
                <w:highlight w:val="none"/>
              </w:rPr>
              <w:t>评标办法：</w:t>
            </w:r>
            <w:r>
              <w:rPr>
                <w:rFonts w:hint="eastAsia" w:ascii="宋体" w:hAnsi="宋体" w:cs="宋体"/>
                <w:kern w:val="0"/>
                <w:szCs w:val="21"/>
                <w:highlight w:val="none"/>
              </w:rPr>
              <w:t>本项目采用</w:t>
            </w:r>
            <w:r>
              <w:rPr>
                <w:rFonts w:hint="eastAsia" w:ascii="宋体" w:hAnsi="宋体" w:cs="宋体"/>
                <w:szCs w:val="21"/>
                <w:highlight w:val="none"/>
              </w:rPr>
              <w:t>综合评分法</w:t>
            </w:r>
            <w:r>
              <w:rPr>
                <w:rFonts w:hint="eastAsia" w:ascii="宋体" w:hAnsi="宋体" w:cs="宋体"/>
                <w:kern w:val="0"/>
                <w:szCs w:val="21"/>
                <w:highlight w:val="none"/>
              </w:rPr>
              <w:t>。</w:t>
            </w:r>
          </w:p>
        </w:tc>
      </w:tr>
      <w:tr w14:paraId="5E24C0E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732262B">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9EEEDC6">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2F8283C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30A8257">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5372491">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签订合同：自成交通知书发出之日起30日内。</w:t>
            </w:r>
          </w:p>
        </w:tc>
      </w:tr>
      <w:tr w14:paraId="1C1C22D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D0720FF">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589A217">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采购资金来源：自筹资金。</w:t>
            </w:r>
          </w:p>
        </w:tc>
      </w:tr>
      <w:tr w14:paraId="1F5CF17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E70C3A7">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70ED70D">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付款方式：详见第二章采购需求。</w:t>
            </w:r>
          </w:p>
        </w:tc>
      </w:tr>
      <w:tr w14:paraId="56EF9C2D">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A7BFEA">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D7A4680">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响应文件有效期：响应文件递交截止期结束后60日。成交供应商的响应文件是合同的组成部分,有效期至合同完全履行止。 </w:t>
            </w:r>
          </w:p>
        </w:tc>
      </w:tr>
      <w:tr w14:paraId="3C8DB9B2">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14757F8">
            <w:pPr>
              <w:widowControl/>
              <w:spacing w:line="440" w:lineRule="exact"/>
              <w:jc w:val="center"/>
              <w:textAlignment w:val="bottom"/>
              <w:rPr>
                <w:rFonts w:hint="eastAsia" w:ascii="宋体" w:hAnsi="宋体" w:cs="宋体"/>
                <w:kern w:val="0"/>
                <w:szCs w:val="21"/>
                <w:highlight w:val="none"/>
              </w:rPr>
            </w:pPr>
            <w:r>
              <w:rPr>
                <w:rFonts w:hint="eastAsia" w:ascii="宋体" w:hAnsi="宋体" w:cs="宋体"/>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90694F7">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47E54BE">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419C612">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BD0634E">
            <w:pPr>
              <w:widowControl/>
              <w:spacing w:line="360" w:lineRule="auto"/>
              <w:jc w:val="left"/>
              <w:rPr>
                <w:rFonts w:hint="eastAsia" w:ascii="宋体" w:hAnsi="宋体" w:cs="宋体"/>
                <w:kern w:val="0"/>
                <w:szCs w:val="21"/>
                <w:highlight w:val="none"/>
              </w:rPr>
            </w:pPr>
            <w:r>
              <w:rPr>
                <w:rFonts w:hint="eastAsia" w:ascii="宋体" w:hAnsi="宋体" w:cs="宋体"/>
                <w:szCs w:val="21"/>
                <w:highlight w:val="none"/>
              </w:rPr>
              <w:t>商品包装和快递包装应符合《商品包装政府采购需求标准（试行）》和《快递包装政府采购需求标准（试行）》规定，并提供相关的检测报告。</w:t>
            </w:r>
          </w:p>
        </w:tc>
      </w:tr>
      <w:tr w14:paraId="41E2213D">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85D9B7">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2FDE90A">
            <w:pPr>
              <w:spacing w:line="360" w:lineRule="auto"/>
              <w:rPr>
                <w:rFonts w:hint="eastAsia" w:ascii="宋体" w:hAnsi="宋体" w:cs="宋体"/>
                <w:kern w:val="0"/>
                <w:szCs w:val="21"/>
                <w:highlight w:val="none"/>
              </w:rPr>
            </w:pPr>
            <w:r>
              <w:rPr>
                <w:rFonts w:hint="eastAsia" w:ascii="宋体" w:hAnsi="宋体" w:cs="宋体"/>
                <w:bCs/>
                <w:kern w:val="0"/>
                <w:szCs w:val="21"/>
                <w:highlight w:val="none"/>
              </w:rPr>
              <w:t>质疑和投诉：供应商认为采购文件使自己的合法权益受到损害的，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tc>
      </w:tr>
      <w:tr w14:paraId="3E5E19B3">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B21FDA0">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20B9C26">
            <w:pPr>
              <w:widowControl/>
              <w:spacing w:line="360" w:lineRule="auto"/>
              <w:jc w:val="left"/>
              <w:textAlignment w:val="bottom"/>
              <w:rPr>
                <w:rFonts w:hint="eastAsia" w:ascii="宋体" w:hAnsi="宋体" w:cs="宋体"/>
                <w:highlight w:val="none"/>
              </w:rPr>
            </w:pPr>
            <w:r>
              <w:rPr>
                <w:rFonts w:hint="eastAsia" w:ascii="宋体" w:hAnsi="宋体" w:cs="宋体"/>
                <w:highlight w:val="none"/>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12721A0D">
            <w:pPr>
              <w:widowControl/>
              <w:spacing w:line="360" w:lineRule="auto"/>
              <w:jc w:val="left"/>
              <w:textAlignment w:val="bottom"/>
              <w:rPr>
                <w:rFonts w:hint="eastAsia" w:ascii="宋体" w:hAnsi="宋体" w:cs="宋体"/>
                <w:kern w:val="0"/>
                <w:szCs w:val="21"/>
                <w:highlight w:val="none"/>
              </w:rPr>
            </w:pPr>
            <w:r>
              <w:rPr>
                <w:rFonts w:hint="eastAsia" w:ascii="宋体" w:hAnsi="宋体" w:cs="宋体"/>
                <w:highlight w:val="none"/>
              </w:rPr>
              <w:t>2、本采购文件解释权归采购人。</w:t>
            </w:r>
          </w:p>
        </w:tc>
      </w:tr>
    </w:tbl>
    <w:p w14:paraId="3B0CC29E">
      <w:pPr>
        <w:snapToGrid w:val="0"/>
        <w:spacing w:line="360" w:lineRule="auto"/>
        <w:ind w:firstLine="562"/>
        <w:jc w:val="center"/>
        <w:outlineLvl w:val="1"/>
        <w:rPr>
          <w:rFonts w:hint="eastAsia" w:ascii="宋体" w:hAnsi="宋体" w:cs="宋体"/>
          <w:kern w:val="0"/>
          <w:sz w:val="24"/>
          <w:highlight w:val="none"/>
        </w:rPr>
      </w:pPr>
      <w:bookmarkStart w:id="52" w:name="_Toc4700"/>
      <w:bookmarkStart w:id="53" w:name="_Toc16669"/>
      <w:r>
        <w:rPr>
          <w:rFonts w:hint="eastAsia" w:ascii="宋体" w:hAnsi="宋体" w:cs="宋体"/>
          <w:b/>
          <w:bCs/>
          <w:kern w:val="0"/>
          <w:sz w:val="28"/>
          <w:szCs w:val="28"/>
          <w:highlight w:val="none"/>
        </w:rPr>
        <w:t>一 、说 明</w:t>
      </w:r>
    </w:p>
    <w:p w14:paraId="7392F206">
      <w:pPr>
        <w:snapToGrid w:val="0"/>
        <w:spacing w:line="360" w:lineRule="auto"/>
        <w:ind w:firstLine="422"/>
        <w:jc w:val="left"/>
        <w:rPr>
          <w:rFonts w:hint="eastAsia" w:ascii="宋体" w:hAnsi="宋体" w:cs="宋体"/>
          <w:b/>
          <w:bCs/>
          <w:kern w:val="0"/>
          <w:szCs w:val="21"/>
          <w:highlight w:val="none"/>
        </w:rPr>
      </w:pPr>
      <w:r>
        <w:rPr>
          <w:rFonts w:hint="eastAsia" w:ascii="宋体" w:hAnsi="宋体" w:cs="宋体"/>
          <w:b/>
          <w:bCs/>
          <w:kern w:val="0"/>
          <w:szCs w:val="21"/>
          <w:highlight w:val="none"/>
        </w:rPr>
        <w:t>1.适用范围</w:t>
      </w:r>
    </w:p>
    <w:p w14:paraId="675BCD15">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本采购文件仅适用于采购公告中所叙述项目的工程项目采购。</w:t>
      </w:r>
    </w:p>
    <w:p w14:paraId="47D7970A">
      <w:pPr>
        <w:snapToGrid w:val="0"/>
        <w:spacing w:line="360" w:lineRule="auto"/>
        <w:ind w:firstLine="422"/>
        <w:jc w:val="left"/>
        <w:rPr>
          <w:rFonts w:hint="eastAsia" w:ascii="宋体" w:hAnsi="宋体" w:cs="宋体"/>
          <w:b/>
          <w:bCs/>
          <w:kern w:val="0"/>
          <w:szCs w:val="21"/>
          <w:highlight w:val="none"/>
        </w:rPr>
      </w:pPr>
      <w:r>
        <w:rPr>
          <w:rFonts w:hint="eastAsia" w:ascii="宋体" w:hAnsi="宋体" w:cs="宋体"/>
          <w:b/>
          <w:bCs/>
          <w:kern w:val="0"/>
          <w:szCs w:val="21"/>
          <w:highlight w:val="none"/>
        </w:rPr>
        <w:t>2.定义</w:t>
      </w:r>
    </w:p>
    <w:p w14:paraId="34CA308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2.1 “采购人”系指驻马店市中心医院。</w:t>
      </w:r>
    </w:p>
    <w:p w14:paraId="4BB37E7C">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 “供应商”系指获取取了本采购文件，且已经提交本次响应文件的供应商。</w:t>
      </w:r>
    </w:p>
    <w:p w14:paraId="400828AC">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2.3 “供应商代表”系指代表供应商参加本次采购活动的供应商的法定代表人或其委托代理人。</w:t>
      </w:r>
    </w:p>
    <w:p w14:paraId="140D2F38">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2.4 “工程”系指供应商按竞争性磋商文件规定向采购人提供的一切工作内容。</w:t>
      </w:r>
    </w:p>
    <w:p w14:paraId="58D93DED">
      <w:pPr>
        <w:snapToGrid w:val="0"/>
        <w:spacing w:line="360" w:lineRule="auto"/>
        <w:ind w:firstLine="422"/>
        <w:jc w:val="left"/>
        <w:rPr>
          <w:rFonts w:hint="eastAsia" w:ascii="宋体" w:hAnsi="宋体" w:cs="宋体"/>
          <w:b/>
          <w:bCs/>
          <w:kern w:val="0"/>
          <w:szCs w:val="21"/>
          <w:highlight w:val="none"/>
        </w:rPr>
      </w:pPr>
      <w:r>
        <w:rPr>
          <w:rFonts w:hint="eastAsia" w:ascii="宋体" w:hAnsi="宋体" w:cs="宋体"/>
          <w:b/>
          <w:bCs/>
          <w:kern w:val="0"/>
          <w:szCs w:val="21"/>
          <w:highlight w:val="none"/>
        </w:rPr>
        <w:t>3.采购预算：3.77万元；最高投标限价: 3.77万元；</w:t>
      </w:r>
    </w:p>
    <w:p w14:paraId="21298AFC">
      <w:pPr>
        <w:snapToGrid w:val="0"/>
        <w:spacing w:line="360" w:lineRule="auto"/>
        <w:ind w:firstLine="422"/>
        <w:jc w:val="left"/>
        <w:rPr>
          <w:rFonts w:hint="eastAsia" w:ascii="宋体" w:hAnsi="宋体" w:cs="宋体"/>
          <w:szCs w:val="21"/>
          <w:highlight w:val="none"/>
        </w:rPr>
      </w:pPr>
      <w:r>
        <w:rPr>
          <w:rFonts w:hint="eastAsia" w:ascii="宋体" w:hAnsi="宋体" w:cs="宋体"/>
          <w:b/>
          <w:bCs/>
          <w:kern w:val="0"/>
          <w:szCs w:val="21"/>
          <w:highlight w:val="none"/>
        </w:rPr>
        <w:t>4.供应商应提交的证明文件</w:t>
      </w:r>
    </w:p>
    <w:p w14:paraId="51C5AFE0">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4.1、具有独立承担民事责任的能力（提供营业执照或其他证明材料）；</w:t>
      </w:r>
    </w:p>
    <w:p w14:paraId="27F90569">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4.2、具有良好的商业信誉和健全的财务会计制度（提供经审计的2024年度财务报告或者其基本开户银行出具的资信证明）；</w:t>
      </w:r>
    </w:p>
    <w:p w14:paraId="1751493D">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24737690">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4.4、具有履行合同所必需的设备和专业技术能力（提供书面承诺函）；</w:t>
      </w:r>
    </w:p>
    <w:p w14:paraId="7C983E23">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4.5、参加本采购活动前三年内，在经营活动中没有重大违法记录（提供书面承诺函）；</w:t>
      </w:r>
    </w:p>
    <w:p w14:paraId="7794BE05">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代理机构开标当日查询结果为准）；</w:t>
      </w:r>
    </w:p>
    <w:p w14:paraId="204AC905">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4.7、单位负责人为同一人或者存在直接控股、管理关系的不同供应商，不得参加同一合同项下的磋商（提供在“国家企业信用信息公示系统”中查询的相关材料并加盖公章（需包含公司基本信息、股东信息及股权变更信息）或提供承诺函）。一经发现，将导致投标同时被拒绝。</w:t>
      </w:r>
    </w:p>
    <w:p w14:paraId="700E7A63">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4.8本项目特定资格要求：</w:t>
      </w:r>
    </w:p>
    <w:p w14:paraId="767A234B">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具有锅炉安装（含修理、改造）B级及以上资质；</w:t>
      </w:r>
    </w:p>
    <w:p w14:paraId="46A8F3D9">
      <w:pPr>
        <w:widowControl/>
        <w:tabs>
          <w:tab w:val="left" w:pos="840"/>
        </w:tabs>
        <w:snapToGrid w:val="0"/>
        <w:spacing w:line="324" w:lineRule="auto"/>
        <w:ind w:firstLine="422" w:firstLineChars="200"/>
        <w:jc w:val="left"/>
        <w:rPr>
          <w:rFonts w:hint="eastAsia" w:ascii="宋体" w:hAnsi="宋体" w:cs="宋体"/>
          <w:kern w:val="0"/>
          <w:szCs w:val="21"/>
          <w:highlight w:val="none"/>
        </w:rPr>
      </w:pPr>
      <w:r>
        <w:rPr>
          <w:rFonts w:hint="eastAsia" w:ascii="宋体" w:hAnsi="宋体" w:cs="宋体"/>
          <w:b/>
          <w:bCs/>
          <w:kern w:val="0"/>
          <w:szCs w:val="21"/>
          <w:highlight w:val="none"/>
        </w:rPr>
        <w:t>5.磋商费用</w:t>
      </w:r>
    </w:p>
    <w:p w14:paraId="5A9FB28F">
      <w:pPr>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不论磋商结果如何，供应商均应自行承担所有与磋商有关的全部费用。</w:t>
      </w:r>
    </w:p>
    <w:p w14:paraId="3B91F2EA">
      <w:pPr>
        <w:snapToGrid w:val="0"/>
        <w:spacing w:line="360" w:lineRule="auto"/>
        <w:ind w:firstLine="422"/>
        <w:jc w:val="left"/>
        <w:rPr>
          <w:rFonts w:hint="eastAsia" w:ascii="宋体" w:hAnsi="宋体" w:cs="宋体"/>
          <w:kern w:val="0"/>
          <w:szCs w:val="21"/>
          <w:highlight w:val="none"/>
        </w:rPr>
      </w:pPr>
      <w:r>
        <w:rPr>
          <w:rFonts w:hint="eastAsia" w:ascii="宋体" w:hAnsi="宋体" w:cs="宋体"/>
          <w:b/>
          <w:bCs/>
          <w:kern w:val="0"/>
          <w:szCs w:val="21"/>
          <w:highlight w:val="none"/>
        </w:rPr>
        <w:t>6.联合体磋商：本项目不接受联合体磋商。</w:t>
      </w:r>
    </w:p>
    <w:p w14:paraId="6920C21D">
      <w:pPr>
        <w:snapToGrid w:val="0"/>
        <w:spacing w:line="360" w:lineRule="auto"/>
        <w:ind w:firstLine="422"/>
        <w:jc w:val="left"/>
        <w:rPr>
          <w:rFonts w:hint="eastAsia" w:ascii="宋体" w:hAnsi="宋体" w:cs="宋体"/>
          <w:kern w:val="0"/>
          <w:szCs w:val="21"/>
          <w:highlight w:val="none"/>
        </w:rPr>
      </w:pPr>
      <w:r>
        <w:rPr>
          <w:rFonts w:hint="eastAsia" w:ascii="宋体" w:hAnsi="宋体" w:cs="宋体"/>
          <w:b/>
          <w:bCs/>
          <w:kern w:val="0"/>
          <w:szCs w:val="21"/>
          <w:highlight w:val="none"/>
        </w:rPr>
        <w:t>7.关联企业</w:t>
      </w:r>
      <w:r>
        <w:rPr>
          <w:rFonts w:hint="eastAsia" w:ascii="宋体" w:hAnsi="宋体" w:cs="宋体"/>
          <w:kern w:val="0"/>
          <w:szCs w:val="21"/>
          <w:highlight w:val="none"/>
        </w:rPr>
        <w:t>磋商</w:t>
      </w:r>
    </w:p>
    <w:p w14:paraId="28C3BAD6">
      <w:pPr>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7.1 本采购文件所称关联企业,是指存在关联关系的企业。“关联关系”的界定适用《中华人民共和国公司法》第二百一十六条、《中华人民共和国政府采购法实施条例》第十八条之规定。</w:t>
      </w:r>
    </w:p>
    <w:p w14:paraId="77E37795">
      <w:pPr>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7.2 关联企业中, 同一个法定代表人的两个及两个以上法人，母公司、全资子公司及其控股公司，都不得同时磋商。单位负责人为同一人或者存在直接控股、管理关系的不同供应商，不得参加同一合同项下的磋商。一经发现，将导致磋商同时被拒绝。</w:t>
      </w:r>
    </w:p>
    <w:p w14:paraId="6C6F9925">
      <w:pPr>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7.3 为采购项目提供整体设计、规范编制或者项目管理、监理、检测等服务的供应商，不得再参加该采购项目的投标活动。</w:t>
      </w:r>
    </w:p>
    <w:p w14:paraId="105310C3">
      <w:pPr>
        <w:snapToGrid w:val="0"/>
        <w:spacing w:line="360" w:lineRule="auto"/>
        <w:ind w:firstLine="422"/>
        <w:jc w:val="left"/>
        <w:rPr>
          <w:rFonts w:hint="eastAsia" w:ascii="宋体" w:hAnsi="宋体" w:cs="宋体"/>
          <w:kern w:val="0"/>
          <w:szCs w:val="21"/>
          <w:highlight w:val="none"/>
        </w:rPr>
      </w:pPr>
      <w:r>
        <w:rPr>
          <w:rFonts w:hint="eastAsia" w:ascii="宋体" w:hAnsi="宋体" w:cs="宋体"/>
          <w:b/>
          <w:bCs/>
          <w:kern w:val="0"/>
          <w:szCs w:val="21"/>
          <w:highlight w:val="none"/>
        </w:rPr>
        <w:t>8.转包与分包</w:t>
      </w:r>
    </w:p>
    <w:p w14:paraId="5DB6C71B">
      <w:pPr>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8.1本项目不允许采取转包方式履行合同。</w:t>
      </w:r>
    </w:p>
    <w:p w14:paraId="48012E79">
      <w:pPr>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8.2本项目不允许采取分包方式履行合同。</w:t>
      </w:r>
    </w:p>
    <w:p w14:paraId="7060C5B9">
      <w:pPr>
        <w:snapToGrid w:val="0"/>
        <w:spacing w:line="360" w:lineRule="auto"/>
        <w:ind w:firstLine="422"/>
        <w:jc w:val="left"/>
        <w:rPr>
          <w:rFonts w:hint="eastAsia" w:ascii="宋体" w:hAnsi="宋体" w:cs="宋体"/>
          <w:kern w:val="0"/>
          <w:szCs w:val="21"/>
          <w:highlight w:val="none"/>
        </w:rPr>
      </w:pPr>
      <w:r>
        <w:rPr>
          <w:rFonts w:hint="eastAsia" w:ascii="宋体" w:hAnsi="宋体" w:cs="宋体"/>
          <w:b/>
          <w:bCs/>
          <w:kern w:val="0"/>
          <w:szCs w:val="21"/>
          <w:highlight w:val="none"/>
        </w:rPr>
        <w:t>9.特别说明：</w:t>
      </w:r>
    </w:p>
    <w:p w14:paraId="4B8E4E61">
      <w:pPr>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9.1 供应商磋商所使用的资格、信誉、荣誉、业绩与企业认证必须为本法人所拥有。  </w:t>
      </w:r>
    </w:p>
    <w:p w14:paraId="2D61C8F7">
      <w:pPr>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9.2 供应商代表只能接受一个供应商的委托参加磋商。</w:t>
      </w:r>
    </w:p>
    <w:p w14:paraId="1B676A86">
      <w:pPr>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696E5265">
      <w:pPr>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9.4供应商在磋商活动中提供虚假材料或从事其他违法活动的,其磋商无效，由相关部门查处。</w:t>
      </w:r>
    </w:p>
    <w:p w14:paraId="485BE3FA">
      <w:pPr>
        <w:snapToGrid w:val="0"/>
        <w:spacing w:line="360" w:lineRule="auto"/>
        <w:ind w:firstLine="422"/>
        <w:jc w:val="left"/>
        <w:rPr>
          <w:rFonts w:hint="eastAsia" w:ascii="宋体" w:hAnsi="宋体" w:cs="宋体"/>
          <w:kern w:val="0"/>
          <w:szCs w:val="21"/>
          <w:highlight w:val="none"/>
        </w:rPr>
      </w:pPr>
      <w:r>
        <w:rPr>
          <w:rFonts w:hint="eastAsia" w:ascii="宋体" w:hAnsi="宋体" w:cs="宋体"/>
          <w:b/>
          <w:bCs/>
          <w:kern w:val="0"/>
          <w:szCs w:val="21"/>
          <w:highlight w:val="none"/>
        </w:rPr>
        <w:t>10.质疑和投诉</w:t>
      </w:r>
    </w:p>
    <w:p w14:paraId="0845CE42">
      <w:pPr>
        <w:snapToGrid w:val="0"/>
        <w:spacing w:line="360" w:lineRule="auto"/>
        <w:ind w:firstLine="411" w:firstLineChars="196"/>
        <w:jc w:val="left"/>
        <w:rPr>
          <w:rFonts w:hint="eastAsia" w:ascii="宋体" w:hAnsi="宋体" w:cs="宋体"/>
          <w:kern w:val="0"/>
          <w:szCs w:val="21"/>
          <w:highlight w:val="none"/>
        </w:rPr>
      </w:pPr>
      <w:r>
        <w:rPr>
          <w:rFonts w:hint="eastAsia" w:ascii="宋体" w:hAnsi="宋体" w:cs="宋体"/>
          <w:kern w:val="0"/>
          <w:szCs w:val="21"/>
          <w:highlight w:val="none"/>
        </w:rPr>
        <w:t xml:space="preserve">10.1 </w:t>
      </w:r>
      <w:r>
        <w:rPr>
          <w:rFonts w:hint="eastAsia" w:ascii="宋体" w:hAnsi="宋体" w:cs="宋体"/>
          <w:bCs/>
          <w:kern w:val="0"/>
          <w:szCs w:val="21"/>
          <w:highlight w:val="none"/>
        </w:rPr>
        <w:t>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p w14:paraId="790664AF">
      <w:pPr>
        <w:shd w:val="clear" w:color="auto" w:fill="FFFFFF"/>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 xml:space="preserve">10.2 </w:t>
      </w:r>
      <w:r>
        <w:rPr>
          <w:rFonts w:hint="eastAsia" w:ascii="宋体" w:hAnsi="宋体" w:cs="宋体"/>
          <w:bCs/>
          <w:kern w:val="0"/>
          <w:szCs w:val="21"/>
          <w:highlight w:val="none"/>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05517BF3">
      <w:pPr>
        <w:snapToGrid w:val="0"/>
        <w:spacing w:line="360" w:lineRule="auto"/>
        <w:ind w:firstLine="422"/>
        <w:jc w:val="left"/>
        <w:rPr>
          <w:rFonts w:hint="eastAsia" w:ascii="宋体" w:hAnsi="宋体" w:cs="宋体"/>
          <w:kern w:val="0"/>
          <w:szCs w:val="21"/>
          <w:highlight w:val="none"/>
        </w:rPr>
      </w:pPr>
      <w:r>
        <w:rPr>
          <w:rFonts w:hint="eastAsia" w:ascii="宋体" w:hAnsi="宋体" w:cs="宋体"/>
          <w:b/>
          <w:bCs/>
          <w:kern w:val="0"/>
          <w:szCs w:val="21"/>
          <w:highlight w:val="none"/>
        </w:rPr>
        <w:t>11.供应商的风险</w:t>
      </w:r>
    </w:p>
    <w:p w14:paraId="220CBBD2">
      <w:pPr>
        <w:snapToGrid w:val="0"/>
        <w:spacing w:line="360" w:lineRule="auto"/>
        <w:ind w:firstLine="420"/>
        <w:jc w:val="left"/>
        <w:rPr>
          <w:rFonts w:hint="eastAsia" w:ascii="宋体" w:hAnsi="宋体" w:cs="宋体"/>
          <w:kern w:val="0"/>
          <w:sz w:val="24"/>
          <w:highlight w:val="none"/>
        </w:rPr>
      </w:pPr>
      <w:r>
        <w:rPr>
          <w:rFonts w:hint="eastAsia" w:ascii="宋体" w:hAnsi="宋体" w:cs="宋体"/>
          <w:kern w:val="0"/>
          <w:szCs w:val="21"/>
          <w:highlight w:val="none"/>
        </w:rPr>
        <w:t>供应商没有按照采购文件要求提供全部资料，或者供应商没有对采购文件在各方面都作出实质性响应是供应商的风险，并可能导致其投标被拒绝。</w:t>
      </w:r>
    </w:p>
    <w:p w14:paraId="5D8E3703">
      <w:pPr>
        <w:snapToGrid w:val="0"/>
        <w:spacing w:line="360" w:lineRule="auto"/>
        <w:ind w:firstLine="562"/>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二、采购文件</w:t>
      </w:r>
    </w:p>
    <w:p w14:paraId="33E1521F">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12.采购文件的构成。本采购文件由以下部分组成：</w:t>
      </w:r>
    </w:p>
    <w:p w14:paraId="6618358B">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12.1 竞争性磋商公告</w:t>
      </w:r>
    </w:p>
    <w:p w14:paraId="49CAFDDF">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12.2 采购需求</w:t>
      </w:r>
    </w:p>
    <w:p w14:paraId="0B7A2ED4">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12.3 供应商须知</w:t>
      </w:r>
    </w:p>
    <w:p w14:paraId="6963342F">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12.4 评标办法</w:t>
      </w:r>
    </w:p>
    <w:p w14:paraId="1DD5DF9E">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12.5 合同主要条款</w:t>
      </w:r>
    </w:p>
    <w:p w14:paraId="30F0837F">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12.6 响应文件格式</w:t>
      </w:r>
    </w:p>
    <w:p w14:paraId="15F16379">
      <w:pPr>
        <w:snapToGrid w:val="0"/>
        <w:spacing w:line="360" w:lineRule="auto"/>
        <w:ind w:firstLine="417" w:firstLineChars="198"/>
        <w:rPr>
          <w:rFonts w:hint="eastAsia" w:ascii="宋体" w:hAnsi="宋体" w:cs="宋体"/>
          <w:b/>
          <w:bCs/>
          <w:kern w:val="0"/>
          <w:szCs w:val="21"/>
          <w:highlight w:val="none"/>
        </w:rPr>
      </w:pPr>
      <w:r>
        <w:rPr>
          <w:rFonts w:hint="eastAsia" w:ascii="宋体" w:hAnsi="宋体" w:cs="宋体"/>
          <w:b/>
          <w:bCs/>
          <w:kern w:val="0"/>
          <w:szCs w:val="21"/>
          <w:highlight w:val="none"/>
        </w:rPr>
        <w:t>13.采购文件的澄清与修改</w:t>
      </w:r>
    </w:p>
    <w:p w14:paraId="6881E59B">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13.1 采购人对已发出的采购文件进行必要澄清、修改或补充的，应当在采购文件要求提交响应文件截止时间3</w:t>
      </w:r>
      <w:r>
        <w:rPr>
          <w:rFonts w:hint="eastAsia" w:ascii="宋体" w:hAnsi="宋体" w:cs="宋体"/>
          <w:bCs/>
          <w:kern w:val="0"/>
          <w:szCs w:val="21"/>
          <w:highlight w:val="none"/>
        </w:rPr>
        <w:t>日</w:t>
      </w:r>
      <w:r>
        <w:rPr>
          <w:rFonts w:hint="eastAsia" w:ascii="宋体" w:hAnsi="宋体" w:cs="宋体"/>
          <w:kern w:val="0"/>
          <w:szCs w:val="21"/>
          <w:highlight w:val="none"/>
        </w:rPr>
        <w:t>前，在原采购公告发布相关媒体上发布更正公告或变更公告。采购文件公示期间对采购文件进行的澄清、修改或补充不受上述限制。</w:t>
      </w:r>
    </w:p>
    <w:p w14:paraId="5A52648B">
      <w:pPr>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13.2 采购文件澄清、修改或补充的内容为采购文件的组成部分。</w:t>
      </w:r>
    </w:p>
    <w:p w14:paraId="25E7FE4A">
      <w:pPr>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13.3 采购文件的澄清、修改或补充都应以法定形式发布。采购人未对采购文件进行的澄清、修改或补充无效，评标时不予认可。</w:t>
      </w:r>
    </w:p>
    <w:p w14:paraId="501335E6">
      <w:pPr>
        <w:snapToGrid w:val="0"/>
        <w:spacing w:line="360" w:lineRule="auto"/>
        <w:ind w:firstLine="420"/>
        <w:jc w:val="left"/>
        <w:rPr>
          <w:rFonts w:hint="eastAsia" w:ascii="宋体" w:hAnsi="宋体" w:cs="宋体"/>
          <w:kern w:val="0"/>
          <w:sz w:val="24"/>
          <w:highlight w:val="none"/>
        </w:rPr>
      </w:pPr>
      <w:r>
        <w:rPr>
          <w:rFonts w:hint="eastAsia" w:ascii="宋体" w:hAnsi="宋体" w:cs="宋体"/>
          <w:kern w:val="0"/>
          <w:szCs w:val="21"/>
          <w:highlight w:val="none"/>
        </w:rPr>
        <w:t>13.4 </w:t>
      </w:r>
      <w:r>
        <w:rPr>
          <w:rFonts w:hint="eastAsia" w:ascii="宋体" w:hAnsi="宋体" w:cs="宋体"/>
          <w:bCs/>
          <w:kern w:val="0"/>
          <w:szCs w:val="21"/>
          <w:highlight w:val="none"/>
        </w:rPr>
        <w:t>采购人</w:t>
      </w:r>
      <w:r>
        <w:rPr>
          <w:rFonts w:hint="eastAsia" w:ascii="宋体" w:hAnsi="宋体" w:cs="宋体"/>
          <w:kern w:val="0"/>
          <w:szCs w:val="21"/>
          <w:highlight w:val="none"/>
        </w:rPr>
        <w:t>可以视采购具体情况延长磋商截止时间和磋商时间，但至少应当在采购文件要求提交响应文件的截止时间3</w:t>
      </w:r>
      <w:r>
        <w:rPr>
          <w:rFonts w:hint="eastAsia" w:ascii="宋体" w:hAnsi="宋体" w:cs="宋体"/>
          <w:bCs/>
          <w:kern w:val="0"/>
          <w:szCs w:val="21"/>
          <w:highlight w:val="none"/>
        </w:rPr>
        <w:t>日</w:t>
      </w:r>
      <w:r>
        <w:rPr>
          <w:rFonts w:hint="eastAsia" w:ascii="宋体" w:hAnsi="宋体" w:cs="宋体"/>
          <w:kern w:val="0"/>
          <w:szCs w:val="21"/>
          <w:highlight w:val="none"/>
        </w:rPr>
        <w:t>前，将变更时间通知所有潜在供应商。</w:t>
      </w:r>
    </w:p>
    <w:p w14:paraId="0C078A4E">
      <w:pPr>
        <w:snapToGrid w:val="0"/>
        <w:spacing w:line="360" w:lineRule="auto"/>
        <w:ind w:firstLine="562"/>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三、响应文件的编制</w:t>
      </w:r>
    </w:p>
    <w:p w14:paraId="18518C55">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14.要求</w:t>
      </w:r>
    </w:p>
    <w:p w14:paraId="0B8162FD">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7DBF29AC">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14.2 供应商应完整签署响应文件格式附件中《竞争性磋商响应书》和《抵制商业贿赂承诺》，不得增减或修改内容。否则视为对采购文件未作出实质性响应。</w:t>
      </w:r>
    </w:p>
    <w:p w14:paraId="29AE9A4E">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15.响应文件的语言和计量单位</w:t>
      </w:r>
    </w:p>
    <w:p w14:paraId="2A626EB1">
      <w:pPr>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15.1 响应文件以及供应商与采购人就有关磋商事宜的所有来往函电均应使用简体中文书写。</w:t>
      </w:r>
    </w:p>
    <w:p w14:paraId="1D3D334D">
      <w:pPr>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15.2 关于磋商计量单位，采购文件已有明确规定的，使用采购文件规定的计量单位；采购文件没有规定的，应采用中华人民共和国法定计量单位。否则视为对采购文件未作出实质性响应。</w:t>
      </w:r>
    </w:p>
    <w:p w14:paraId="4FE5D0E3">
      <w:pPr>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15.3 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3E8B6BFB">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16.响应文件的组成</w:t>
      </w:r>
      <w:r>
        <w:rPr>
          <w:rFonts w:hint="eastAsia" w:ascii="宋体" w:hAnsi="宋体" w:cs="宋体"/>
          <w:kern w:val="0"/>
          <w:szCs w:val="21"/>
          <w:highlight w:val="none"/>
        </w:rPr>
        <w:t>。</w:t>
      </w:r>
      <w:r>
        <w:rPr>
          <w:rFonts w:hint="eastAsia" w:ascii="宋体" w:hAnsi="宋体" w:cs="宋体"/>
          <w:b/>
          <w:bCs/>
          <w:kern w:val="0"/>
          <w:szCs w:val="21"/>
          <w:highlight w:val="none"/>
        </w:rPr>
        <w:t>响应文件应包括下列部分：</w:t>
      </w:r>
    </w:p>
    <w:p w14:paraId="05BA5C05">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16.1、竞争性磋商响应书</w:t>
      </w:r>
    </w:p>
    <w:p w14:paraId="5968EB81">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16.2、初次报价一览表</w:t>
      </w:r>
    </w:p>
    <w:p w14:paraId="291F9CD7">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16.3、项目预算书</w:t>
      </w:r>
    </w:p>
    <w:p w14:paraId="3CD0A9F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16.4、技术响应表</w:t>
      </w:r>
    </w:p>
    <w:p w14:paraId="2012E914">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16.5、商务响应表</w:t>
      </w:r>
    </w:p>
    <w:p w14:paraId="10845B31">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16.6、法定代表人身份证明</w:t>
      </w:r>
    </w:p>
    <w:p w14:paraId="40AB1FBF">
      <w:pPr>
        <w:snapToGrid w:val="0"/>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16.7、法定代表人授权书</w:t>
      </w:r>
    </w:p>
    <w:p w14:paraId="7FEDBE05">
      <w:pPr>
        <w:pStyle w:val="6"/>
        <w:widowControl w:val="0"/>
        <w:snapToGrid w:val="0"/>
        <w:spacing w:beforeAutospacing="0" w:afterAutospacing="0" w:line="360" w:lineRule="auto"/>
        <w:rPr>
          <w:rFonts w:hint="eastAsia"/>
          <w:sz w:val="21"/>
          <w:szCs w:val="21"/>
          <w:highlight w:val="none"/>
        </w:rPr>
      </w:pPr>
      <w:r>
        <w:rPr>
          <w:rFonts w:hint="eastAsia"/>
          <w:sz w:val="21"/>
          <w:szCs w:val="21"/>
          <w:highlight w:val="none"/>
        </w:rPr>
        <w:t>16.8、证明文件</w:t>
      </w:r>
    </w:p>
    <w:p w14:paraId="5E9FCBA3">
      <w:pPr>
        <w:pStyle w:val="6"/>
        <w:widowControl w:val="0"/>
        <w:snapToGrid w:val="0"/>
        <w:spacing w:beforeAutospacing="0" w:afterAutospacing="0" w:line="360" w:lineRule="auto"/>
        <w:rPr>
          <w:rFonts w:hint="eastAsia"/>
          <w:sz w:val="21"/>
          <w:szCs w:val="21"/>
          <w:highlight w:val="none"/>
        </w:rPr>
      </w:pPr>
      <w:r>
        <w:rPr>
          <w:rFonts w:hint="eastAsia"/>
          <w:sz w:val="21"/>
          <w:szCs w:val="21"/>
          <w:highlight w:val="none"/>
        </w:rPr>
        <w:t>16.9、供应商承诺书</w:t>
      </w:r>
    </w:p>
    <w:p w14:paraId="335415F1">
      <w:pPr>
        <w:pStyle w:val="6"/>
        <w:widowControl w:val="0"/>
        <w:snapToGrid w:val="0"/>
        <w:spacing w:beforeAutospacing="0" w:afterAutospacing="0" w:line="360" w:lineRule="auto"/>
        <w:rPr>
          <w:rFonts w:hint="eastAsia"/>
          <w:sz w:val="21"/>
          <w:szCs w:val="21"/>
          <w:highlight w:val="none"/>
        </w:rPr>
      </w:pPr>
      <w:r>
        <w:rPr>
          <w:rFonts w:hint="eastAsia"/>
          <w:sz w:val="21"/>
          <w:szCs w:val="21"/>
          <w:highlight w:val="none"/>
        </w:rPr>
        <w:t>16.10、供应商信用承诺函</w:t>
      </w:r>
    </w:p>
    <w:p w14:paraId="3BDA7D57">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17.响应文件有效期</w:t>
      </w:r>
    </w:p>
    <w:p w14:paraId="480754B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17.1响应文件从采购公告所规定的磋商截止期之后开始生效，在</w:t>
      </w:r>
      <w:r>
        <w:rPr>
          <w:rFonts w:hint="eastAsia" w:ascii="宋体" w:hAnsi="宋体" w:cs="宋体"/>
          <w:bCs/>
          <w:kern w:val="0"/>
          <w:szCs w:val="21"/>
          <w:highlight w:val="none"/>
        </w:rPr>
        <w:t>供应商须知前附表</w:t>
      </w:r>
      <w:r>
        <w:rPr>
          <w:rFonts w:hint="eastAsia" w:ascii="宋体" w:hAnsi="宋体" w:cs="宋体"/>
          <w:kern w:val="0"/>
          <w:szCs w:val="21"/>
          <w:highlight w:val="none"/>
        </w:rPr>
        <w:t>第13项所规定的期限内保持有效。有效期不足将导致其响应文件被拒绝。成交供应商的响应文件有效期至合同完全履行止。</w:t>
      </w:r>
    </w:p>
    <w:p w14:paraId="5C48B4DC">
      <w:pPr>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6C4F3C5A">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18.磋商报价</w:t>
      </w:r>
    </w:p>
    <w:p w14:paraId="36CB4022">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18.1 所有磋商报价均以人民币元为计算单位。</w:t>
      </w:r>
    </w:p>
    <w:p w14:paraId="2E682082">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18.2 供应商要按初次报价一览表的内容填写。</w:t>
      </w:r>
    </w:p>
    <w:p w14:paraId="6BB3F1FE">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18.3 </w:t>
      </w:r>
      <w:r>
        <w:rPr>
          <w:rFonts w:hint="eastAsia" w:ascii="宋体" w:hAnsi="宋体" w:cs="宋体"/>
          <w:spacing w:val="10"/>
          <w:kern w:val="0"/>
          <w:szCs w:val="21"/>
          <w:highlight w:val="none"/>
        </w:rPr>
        <w:t>供应商投报多标包的，应对每标包分别报价并分别填报</w:t>
      </w:r>
      <w:r>
        <w:rPr>
          <w:rFonts w:hint="eastAsia" w:ascii="宋体" w:hAnsi="宋体" w:cs="宋体"/>
          <w:kern w:val="0"/>
          <w:szCs w:val="21"/>
          <w:highlight w:val="none"/>
        </w:rPr>
        <w:t>初次报价一览表</w:t>
      </w:r>
      <w:r>
        <w:rPr>
          <w:rFonts w:hint="eastAsia" w:ascii="宋体" w:hAnsi="宋体" w:cs="宋体"/>
          <w:spacing w:val="10"/>
          <w:kern w:val="0"/>
          <w:szCs w:val="21"/>
          <w:highlight w:val="none"/>
        </w:rPr>
        <w:t>。</w:t>
      </w:r>
    </w:p>
    <w:p w14:paraId="7157842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18.4 初次报价一览表中标明的价格在政府采购合同执行过程中是固定不变的，供应商不得以任何理由予以变更。以可调整的价格提交的投标将被作为无效投标处理。</w:t>
      </w:r>
    </w:p>
    <w:p w14:paraId="45758EC7">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18.5 采购人不接受可选择的投标报价。</w:t>
      </w:r>
    </w:p>
    <w:p w14:paraId="49F3549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18.6 对于供应商在初次报价一览表和响应文件中列出的赠送条款，在评审时不得作为价格评分因素或者调整评标价格的依据。</w:t>
      </w:r>
    </w:p>
    <w:p w14:paraId="17000436">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19.磋商保证金（无）</w:t>
      </w:r>
    </w:p>
    <w:p w14:paraId="76AE54AB">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20.</w:t>
      </w:r>
      <w:r>
        <w:rPr>
          <w:rFonts w:hint="eastAsia" w:ascii="宋体" w:hAnsi="宋体" w:cs="宋体"/>
          <w:b/>
          <w:bCs/>
          <w:kern w:val="0"/>
          <w:szCs w:val="21"/>
          <w:highlight w:val="none"/>
        </w:rPr>
        <w:t>响应</w:t>
      </w:r>
      <w:r>
        <w:rPr>
          <w:rFonts w:hint="eastAsia" w:ascii="宋体" w:hAnsi="宋体" w:cs="宋体"/>
          <w:b/>
          <w:kern w:val="0"/>
          <w:szCs w:val="21"/>
          <w:highlight w:val="none"/>
        </w:rPr>
        <w:t>文件的签署及其他规定</w:t>
      </w:r>
    </w:p>
    <w:p w14:paraId="18F32826">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4357EF61">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20.2 响应文件应当对采购文件有关工期、</w:t>
      </w:r>
      <w:bookmarkStart w:id="54" w:name="OLE_LINK5"/>
      <w:r>
        <w:rPr>
          <w:rFonts w:hint="eastAsia" w:ascii="宋体" w:hAnsi="宋体" w:cs="宋体"/>
          <w:kern w:val="0"/>
          <w:szCs w:val="21"/>
          <w:highlight w:val="none"/>
        </w:rPr>
        <w:t>质量保修期</w:t>
      </w:r>
      <w:bookmarkEnd w:id="54"/>
      <w:r>
        <w:rPr>
          <w:rFonts w:hint="eastAsia" w:ascii="宋体" w:hAnsi="宋体" w:cs="宋体"/>
          <w:kern w:val="0"/>
          <w:szCs w:val="21"/>
          <w:highlight w:val="none"/>
        </w:rPr>
        <w:t>、响应文件有效期、质量要求等实质性内容作出响应。</w:t>
      </w:r>
    </w:p>
    <w:p w14:paraId="1F873136">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20779759">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20.4响应文件份数见供应商须知前附表。响应文件正本和副本的封面上应清楚地标记“正本”或“副本”的字样。</w:t>
      </w:r>
    </w:p>
    <w:p w14:paraId="26F5E3B0">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20.5响应文件的具体装订要求见供应商须知前附表规定。</w:t>
      </w:r>
    </w:p>
    <w:p w14:paraId="422C8CD0">
      <w:pPr>
        <w:snapToGrid w:val="0"/>
        <w:spacing w:line="360" w:lineRule="auto"/>
        <w:ind w:firstLine="562"/>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四、响应文件的递交</w:t>
      </w:r>
    </w:p>
    <w:p w14:paraId="4222D20B">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21. 响应文件的密封、标记</w:t>
      </w:r>
    </w:p>
    <w:p w14:paraId="4CE0B89A">
      <w:pPr>
        <w:spacing w:line="360" w:lineRule="auto"/>
        <w:ind w:firstLine="424" w:firstLineChars="202"/>
        <w:rPr>
          <w:rFonts w:hint="eastAsia" w:ascii="宋体" w:hAnsi="宋体" w:cs="宋体"/>
          <w:kern w:val="0"/>
          <w:szCs w:val="21"/>
          <w:highlight w:val="none"/>
        </w:rPr>
      </w:pPr>
      <w:r>
        <w:rPr>
          <w:rFonts w:hint="eastAsia" w:ascii="宋体" w:hAnsi="宋体" w:cs="宋体"/>
          <w:kern w:val="0"/>
          <w:szCs w:val="21"/>
          <w:highlight w:val="none"/>
        </w:rPr>
        <w:t>21.1</w:t>
      </w:r>
      <w:r>
        <w:rPr>
          <w:rFonts w:hint="eastAsia" w:ascii="宋体" w:hAnsi="宋体" w:cs="宋体"/>
          <w:highlight w:val="none"/>
        </w:rPr>
        <w:t>响应文件应密封包装，并在封套的封口处加盖供应商单位章或由供应商的法定代表人（单位负责人）或其授权的代理人签字。</w:t>
      </w:r>
    </w:p>
    <w:p w14:paraId="6416C628">
      <w:pPr>
        <w:snapToGrid w:val="0"/>
        <w:spacing w:line="360" w:lineRule="auto"/>
        <w:ind w:firstLine="420" w:firstLineChars="200"/>
        <w:jc w:val="left"/>
        <w:rPr>
          <w:rFonts w:hint="eastAsia" w:ascii="宋体" w:hAnsi="宋体" w:cs="宋体"/>
          <w:highlight w:val="none"/>
        </w:rPr>
      </w:pPr>
      <w:r>
        <w:rPr>
          <w:rFonts w:hint="eastAsia" w:ascii="宋体" w:hAnsi="宋体" w:cs="宋体"/>
          <w:highlight w:val="none"/>
        </w:rPr>
        <w:t>21.2 未按本章第21.1项要求密封的</w:t>
      </w:r>
      <w:r>
        <w:rPr>
          <w:rFonts w:hint="eastAsia" w:ascii="宋体" w:hAnsi="宋体" w:cs="宋体"/>
          <w:kern w:val="0"/>
          <w:szCs w:val="21"/>
          <w:highlight w:val="none"/>
        </w:rPr>
        <w:t>响应</w:t>
      </w:r>
      <w:r>
        <w:rPr>
          <w:rFonts w:hint="eastAsia" w:ascii="宋体" w:hAnsi="宋体" w:cs="宋体"/>
          <w:highlight w:val="none"/>
        </w:rPr>
        <w:t>文件，采购人不予受理。</w:t>
      </w:r>
    </w:p>
    <w:p w14:paraId="58BCE10B">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22. 响应文件的递交</w:t>
      </w:r>
    </w:p>
    <w:p w14:paraId="61124E24">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22.1 供应商应在规定的磋商截止时间前递交响应文件。</w:t>
      </w:r>
    </w:p>
    <w:p w14:paraId="164CB18B">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22.2 供应商递交响应文件的地点：见供应商须知前附表。</w:t>
      </w:r>
    </w:p>
    <w:p w14:paraId="1743DBA5">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22.3 除供应商须知前附表另有规定外，供应商所递交的响应文件不予退还。</w:t>
      </w:r>
    </w:p>
    <w:p w14:paraId="214DFA9F">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22.4 逾期送达的或者未送达指定地点的响应文件，采购人不予受理。</w:t>
      </w:r>
    </w:p>
    <w:p w14:paraId="479469A6">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23. 响应文件的修改和撤回</w:t>
      </w:r>
    </w:p>
    <w:p w14:paraId="23A5CE8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23.1 供应商在磋商截止时间前，可以对所提交的响应文件进行补充、修改或者撤回，并书面通知采购人。补充、修改的内容和撤回通知应当按本须知要求签署、盖章、密封，并作为响应文件的组成部分。</w:t>
      </w:r>
    </w:p>
    <w:p w14:paraId="2AF03CD3">
      <w:pPr>
        <w:snapToGrid w:val="0"/>
        <w:spacing w:line="360" w:lineRule="auto"/>
        <w:ind w:firstLine="420" w:firstLineChars="200"/>
        <w:jc w:val="left"/>
        <w:rPr>
          <w:rFonts w:hint="eastAsia" w:ascii="宋体" w:hAnsi="宋体" w:cs="宋体"/>
          <w:kern w:val="0"/>
          <w:sz w:val="24"/>
          <w:highlight w:val="none"/>
        </w:rPr>
      </w:pPr>
      <w:r>
        <w:rPr>
          <w:rFonts w:hint="eastAsia" w:ascii="宋体" w:hAnsi="宋体" w:cs="宋体"/>
          <w:kern w:val="0"/>
          <w:szCs w:val="21"/>
          <w:highlight w:val="none"/>
        </w:rPr>
        <w:t>23.2 供应商在磋商截止期后不得修改、撤回响应文件。供应商在磋商截止期后修改响应文件的，其磋商将被拒绝。</w:t>
      </w:r>
    </w:p>
    <w:p w14:paraId="5D5A3E32">
      <w:pPr>
        <w:snapToGrid w:val="0"/>
        <w:spacing w:line="360" w:lineRule="auto"/>
        <w:ind w:firstLine="562"/>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五、评标</w:t>
      </w:r>
    </w:p>
    <w:p w14:paraId="6A10F24E">
      <w:pPr>
        <w:snapToGrid w:val="0"/>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24. 组建磋商小组</w:t>
      </w:r>
    </w:p>
    <w:p w14:paraId="272C9AFD">
      <w:pPr>
        <w:snapToGrid w:val="0"/>
        <w:spacing w:line="360" w:lineRule="auto"/>
        <w:ind w:firstLine="422" w:firstLineChars="200"/>
        <w:jc w:val="left"/>
        <w:rPr>
          <w:rFonts w:hint="eastAsia" w:ascii="宋体" w:hAnsi="宋体" w:cs="宋体"/>
          <w:kern w:val="0"/>
          <w:szCs w:val="21"/>
          <w:highlight w:val="none"/>
        </w:rPr>
      </w:pPr>
      <w:r>
        <w:rPr>
          <w:rFonts w:hint="eastAsia" w:ascii="宋体" w:hAnsi="宋体" w:cs="宋体"/>
          <w:b/>
          <w:bCs/>
          <w:kern w:val="0"/>
          <w:szCs w:val="21"/>
          <w:highlight w:val="none"/>
        </w:rPr>
        <w:t>2</w:t>
      </w:r>
      <w:r>
        <w:rPr>
          <w:rFonts w:hint="eastAsia" w:ascii="宋体" w:hAnsi="宋体" w:cs="宋体"/>
          <w:kern w:val="0"/>
          <w:szCs w:val="21"/>
          <w:highlight w:val="none"/>
        </w:rPr>
        <w:t>4.1 磋商小组由采购人代表和评审专家组成。成员由3人以上单数组成。在开标后由磋商小组对响应文件进行审查、质疑、评估和比较，并做合理的建议。</w:t>
      </w:r>
    </w:p>
    <w:p w14:paraId="7542B107">
      <w:pPr>
        <w:snapToGrid w:val="0"/>
        <w:spacing w:line="360" w:lineRule="auto"/>
        <w:ind w:firstLine="420" w:firstLineChars="200"/>
        <w:jc w:val="left"/>
        <w:rPr>
          <w:rFonts w:hint="eastAsia" w:ascii="宋体" w:hAnsi="宋体" w:cs="宋体"/>
          <w:b/>
          <w:bCs/>
          <w:kern w:val="0"/>
          <w:szCs w:val="21"/>
          <w:highlight w:val="none"/>
        </w:rPr>
      </w:pPr>
      <w:r>
        <w:rPr>
          <w:rFonts w:hint="eastAsia" w:ascii="宋体" w:hAnsi="宋体" w:cs="宋体"/>
          <w:kern w:val="0"/>
          <w:szCs w:val="21"/>
          <w:highlight w:val="none"/>
        </w:rPr>
        <w:t>24.2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r>
        <w:rPr>
          <w:rFonts w:hint="eastAsia" w:ascii="宋体" w:hAnsi="宋体" w:cs="宋体"/>
          <w:b/>
          <w:bCs/>
          <w:kern w:val="0"/>
          <w:szCs w:val="21"/>
          <w:highlight w:val="none"/>
        </w:rPr>
        <w:t>。</w:t>
      </w:r>
    </w:p>
    <w:p w14:paraId="1A8E4092">
      <w:pPr>
        <w:snapToGrid w:val="0"/>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25. 响应文件的初审</w:t>
      </w:r>
    </w:p>
    <w:p w14:paraId="5E4FF19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25.1对所有供应商的评估，都采用相同的程序和标准。评标过程将严格按照竞争性磋商文件的要求和条件进行。</w:t>
      </w:r>
    </w:p>
    <w:p w14:paraId="3BF3EB72">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25.2 磋商小组将对响应文件进行检查，以确定响应文件是否完整、有无计算上的错误、文件是否已正确签署等。</w:t>
      </w:r>
    </w:p>
    <w:p w14:paraId="179C5A18">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25.3 响应文件报价出现前后不一致的，除竞争性磋商文件另有规定外，修正错误的原则如下：</w:t>
      </w:r>
    </w:p>
    <w:p w14:paraId="643910DA">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25.3.1响应文件初次报价一览表（报价表）内容与响应文件中相应内容不一致的，以初次报价一览表（报价表）为准；</w:t>
      </w:r>
    </w:p>
    <w:p w14:paraId="7C4855A1">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25.3.2大写金额与小写金额不一致的，以大写金额为准；</w:t>
      </w:r>
    </w:p>
    <w:p w14:paraId="7E0A0AE7">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25.3.3单价金额小数点或者百分比有明显错位的，以初次报价一览表的总价为准，并修改单价；</w:t>
      </w:r>
    </w:p>
    <w:p w14:paraId="62514537">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25.3.4总价金额与按单价汇总金额不一致的，以单价金额计算结果为准。</w:t>
      </w:r>
    </w:p>
    <w:p w14:paraId="62D92E3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25.3.5对不同文字文本响应文件的解释发生异议的，以中文文本为准。</w:t>
      </w:r>
    </w:p>
    <w:p w14:paraId="40CEC8A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25.3.6同时出现两种以上不一致的，按照前款规定的顺序修正。修正后的报价按照财政部87号令第五十一条第二款的规定经供应商确认后产生约束力，供应商不确认的，其投标无效。</w:t>
      </w:r>
    </w:p>
    <w:p w14:paraId="57F46BE2">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25.4 资格性检查和符合性检查。</w:t>
      </w:r>
    </w:p>
    <w:p w14:paraId="56DBA64D">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25.4.1资格性检查。依据法规政策和竞争性磋商文件的规定，在对响应文件详细评估之前，采购人将依据供应商提交的响应文件按采购公告第二项和竞争性磋商文件第三章4.供应商应提交的证明文件所述的资格标准对供应商进行资格审查,以确定其是否具备磋商资格。如果供应商不具备磋商资格、不满足竞争性磋商文件所规定的资格标准或提供资格证明文件不全,其投标将被作为无效磋商。在审查过程中，采购人有权要求供应商按竞争性磋商文件的规定提供相关资格证明材料的原件以供审查。供应商应在规定的时限内提供。供应商拒不提供的，或者不能在规定时限内提供的，视为其不具备该资格条件。</w:t>
      </w:r>
    </w:p>
    <w:p w14:paraId="4387B2B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25.4.2 资格审查后合格的供应商不足3家的，不得评标。</w:t>
      </w:r>
    </w:p>
    <w:p w14:paraId="47DFC8AF">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25.4.3 符合性检查。依据竞争性磋商文件的规定，磋商小组将从响应文件的有效性、完整性和对竞争性磋商文件的响应程度进行审查，以确定是否符合对竞争性磋商文件的实质性要求作出响应。对没有实质性响应的响应文件将不进行评估，其投标被作为无效磋商。凡有下列情况之一者，响应文件也将被视为未实质性响应竞争性磋商文件要求：</w:t>
      </w:r>
    </w:p>
    <w:p w14:paraId="6F22AFDF">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（1）响应文件未按规定签字、盖章的。</w:t>
      </w:r>
    </w:p>
    <w:p w14:paraId="20C1F719">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（2）供应商未能出具有效身份证明，或与身份不符的。</w:t>
      </w:r>
    </w:p>
    <w:p w14:paraId="4C3141F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（3）未按磋商文件规定报价，报价均超过采购预算或最高限价的。</w:t>
      </w:r>
    </w:p>
    <w:p w14:paraId="18BB7572">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（4）响应文件有效期、工期等不满足竞争性磋商文件要求的。</w:t>
      </w:r>
    </w:p>
    <w:p w14:paraId="6A956769">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（5）未响应或不满足竞争性磋商文件中技术要求与商务要求的。</w:t>
      </w:r>
    </w:p>
    <w:p w14:paraId="00AD0E8D">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（6）未按竞争性磋商文件提供的格式填列、项目不齐全或内容虚假的。</w:t>
      </w:r>
    </w:p>
    <w:p w14:paraId="0A13DDD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（7）响应文件的实质性内容未使用中文表述，或意思表述不明确，或前后矛盾，或使用计量单位不符合竞争性磋商文件要求的。</w:t>
      </w:r>
    </w:p>
    <w:p w14:paraId="37313CF2">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（8）响应文件的关键内容字迹模糊、无法辨认,或响应文件中经修正的内容字迹模糊无法辩认，或修改处未按规定签名盖章的。</w:t>
      </w:r>
    </w:p>
    <w:p w14:paraId="76FBE0B9">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（9）响应文件内容未按竞争性磋商文件响应的。</w:t>
      </w:r>
    </w:p>
    <w:p w14:paraId="37E90268">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（10）不符合竞争性磋商文件中规定的其它实质性条款。</w:t>
      </w:r>
    </w:p>
    <w:p w14:paraId="010E2A8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磋商小组决定投标的响应性只根据响应文件本身的内容，而不寻求其他的外部证据。</w:t>
      </w:r>
    </w:p>
    <w:p w14:paraId="178208E2">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25.4.4 对资格性检查和符合性检查不合格的供应商，将通过评标系统告知其理由。</w:t>
      </w:r>
    </w:p>
    <w:p w14:paraId="729B946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25.5 在评审过程中，磋商小组发现供应商有下列情形之一的，视为供应商串通投标，其磋商无效：</w:t>
      </w:r>
    </w:p>
    <w:p w14:paraId="559911A4">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25.5.1不同供应商的响应文件异常一致。</w:t>
      </w:r>
    </w:p>
    <w:p w14:paraId="6C46971E">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25.5.2不同供应商的响应文件由同一单位或者个人编制；</w:t>
      </w:r>
    </w:p>
    <w:p w14:paraId="6B20523B">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25.5.3不同供应商委托同一单位或者个人办理投标事宜；</w:t>
      </w:r>
    </w:p>
    <w:p w14:paraId="51FF96D8">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25.5.4不同供应商的响应文件载明的项目管理成员或者联系人员为同一人；　　</w:t>
      </w:r>
    </w:p>
    <w:p w14:paraId="554ACE95">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25.5.5不同供应商的响应文件相互混装；</w:t>
      </w:r>
    </w:p>
    <w:p w14:paraId="31E41C78">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25.5.6不同供应商的磋商保证金从同一单位或者个人的账户转出（若收取）。</w:t>
      </w:r>
    </w:p>
    <w:p w14:paraId="1725087B">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25.5.7 有证据证明供应商串通投标的其他情形的；</w:t>
      </w:r>
    </w:p>
    <w:p w14:paraId="02C304D8">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25.5.8 磋商小组认定的其他串通投标情形。</w:t>
      </w:r>
    </w:p>
    <w:p w14:paraId="57E394EF">
      <w:pPr>
        <w:tabs>
          <w:tab w:val="left" w:pos="0"/>
        </w:tabs>
        <w:wordWrap w:val="0"/>
        <w:snapToGrid w:val="0"/>
        <w:spacing w:line="360" w:lineRule="auto"/>
        <w:ind w:left="105" w:leftChars="50" w:firstLine="316" w:firstLineChars="150"/>
        <w:contextualSpacing/>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25.6 磋商</w:t>
      </w:r>
    </w:p>
    <w:p w14:paraId="50D58B6F">
      <w:pPr>
        <w:widowControl/>
        <w:kinsoku w:val="0"/>
        <w:wordWrap w:val="0"/>
        <w:autoSpaceDE w:val="0"/>
        <w:autoSpaceDN w:val="0"/>
        <w:adjustRightInd w:val="0"/>
        <w:snapToGrid w:val="0"/>
        <w:spacing w:line="360" w:lineRule="auto"/>
        <w:ind w:firstLine="420" w:firstLineChars="200"/>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对资格性检查和符合性检查合格的供应商，进入本次磋商程序。</w:t>
      </w:r>
    </w:p>
    <w:p w14:paraId="2B530FC5">
      <w:pPr>
        <w:widowControl/>
        <w:kinsoku w:val="0"/>
        <w:wordWrap w:val="0"/>
        <w:autoSpaceDE w:val="0"/>
        <w:autoSpaceDN w:val="0"/>
        <w:adjustRightInd w:val="0"/>
        <w:snapToGrid w:val="0"/>
        <w:spacing w:line="360" w:lineRule="auto"/>
        <w:ind w:firstLine="422" w:firstLineChars="200"/>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1BCDAEBB">
      <w:pPr>
        <w:snapToGrid w:val="0"/>
        <w:spacing w:line="360" w:lineRule="auto"/>
        <w:ind w:firstLine="422" w:firstLineChars="200"/>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25.6.2 本次竞争性磋商进行</w:t>
      </w:r>
      <w:r>
        <w:rPr>
          <w:rFonts w:hint="eastAsia" w:ascii="宋体" w:hAnsi="宋体" w:cs="宋体"/>
          <w:b/>
          <w:bCs/>
          <w:color w:val="000000" w:themeColor="text1"/>
          <w:szCs w:val="21"/>
          <w:highlight w:val="none"/>
          <w:u w:val="single"/>
          <w14:textFill>
            <w14:solidFill>
              <w14:schemeClr w14:val="tx1"/>
            </w14:solidFill>
          </w14:textFill>
        </w:rPr>
        <w:t xml:space="preserve"> 多 </w:t>
      </w:r>
      <w:r>
        <w:rPr>
          <w:rFonts w:hint="eastAsia" w:ascii="宋体" w:hAnsi="宋体" w:cs="宋体"/>
          <w:b/>
          <w:bCs/>
          <w:color w:val="000000" w:themeColor="text1"/>
          <w:szCs w:val="21"/>
          <w:highlight w:val="none"/>
          <w14:textFill>
            <w14:solidFill>
              <w14:schemeClr w14:val="tx1"/>
            </w14:solidFill>
          </w14:textFill>
        </w:rPr>
        <w:t>轮次报价（二次及以上），并给予每个供应商相同的机会。响应文件报价为第一轮报价，以后轮次报价不得高于上一轮次报价（除竞争性磋商文件有实质性变动外）</w:t>
      </w:r>
    </w:p>
    <w:p w14:paraId="0E9D81C0">
      <w:pPr>
        <w:snapToGrid w:val="0"/>
        <w:spacing w:line="360" w:lineRule="auto"/>
        <w:ind w:firstLine="422" w:firstLineChars="200"/>
        <w:jc w:val="left"/>
        <w:rPr>
          <w:rFonts w:hint="eastAsia" w:ascii="宋体" w:hAnsi="宋体" w:cs="宋体"/>
          <w:kern w:val="0"/>
          <w:szCs w:val="21"/>
          <w:highlight w:val="none"/>
        </w:rPr>
      </w:pPr>
      <w:r>
        <w:rPr>
          <w:rFonts w:hint="eastAsia" w:ascii="宋体" w:hAnsi="宋体" w:cs="宋体"/>
          <w:b/>
          <w:bCs/>
          <w:kern w:val="0"/>
          <w:szCs w:val="21"/>
          <w:highlight w:val="none"/>
        </w:rPr>
        <w:t>26. 响应文件的澄清</w:t>
      </w:r>
    </w:p>
    <w:p w14:paraId="4B876DD5">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258D4F02">
      <w:pPr>
        <w:snapToGrid w:val="0"/>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27. 比较与评价</w:t>
      </w:r>
    </w:p>
    <w:p w14:paraId="391CD645">
      <w:pPr>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27.1 磋商小组将按本竞争性磋商文件规定的评标方法与标准，对资格性检查和符合性检查合格的</w:t>
      </w:r>
      <w:r>
        <w:rPr>
          <w:rFonts w:hint="eastAsia" w:ascii="宋体" w:hAnsi="宋体" w:cs="宋体"/>
          <w:kern w:val="0"/>
          <w:szCs w:val="21"/>
          <w:highlight w:val="none"/>
          <w:shd w:val="clear" w:color="auto" w:fill="FFFFFF"/>
        </w:rPr>
        <w:t>响应文件</w:t>
      </w:r>
      <w:r>
        <w:rPr>
          <w:rFonts w:hint="eastAsia" w:ascii="宋体" w:hAnsi="宋体" w:cs="宋体"/>
          <w:kern w:val="0"/>
          <w:szCs w:val="21"/>
          <w:highlight w:val="none"/>
        </w:rPr>
        <w:t>进行商务和技术评估，综合比较与评价。</w:t>
      </w:r>
    </w:p>
    <w:p w14:paraId="2254E70A">
      <w:pPr>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27.2对漏（缺）报项的处理：竞争性磋商文件中要求列入报价的费用，漏（缺）报的视同已含在投标总价中。</w:t>
      </w:r>
    </w:p>
    <w:p w14:paraId="2E303989">
      <w:pPr>
        <w:snapToGrid w:val="0"/>
        <w:spacing w:line="360" w:lineRule="auto"/>
        <w:ind w:firstLine="420" w:firstLineChars="200"/>
        <w:rPr>
          <w:rFonts w:hint="eastAsia" w:ascii="宋体" w:hAnsi="宋体" w:cs="宋体"/>
          <w:b/>
          <w:bCs/>
          <w:kern w:val="0"/>
          <w:szCs w:val="21"/>
          <w:highlight w:val="none"/>
        </w:rPr>
      </w:pPr>
      <w:r>
        <w:rPr>
          <w:rFonts w:hint="eastAsia" w:ascii="宋体" w:hAnsi="宋体" w:cs="宋体"/>
          <w:kern w:val="0"/>
          <w:szCs w:val="21"/>
          <w:highlight w:val="none"/>
        </w:rPr>
        <w:t>27.3磋商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磋商小组应当将其作为无效投标处理。</w:t>
      </w:r>
    </w:p>
    <w:p w14:paraId="0B1BFA84">
      <w:pPr>
        <w:snapToGrid w:val="0"/>
        <w:spacing w:line="360" w:lineRule="auto"/>
        <w:ind w:firstLine="422" w:firstLineChars="200"/>
        <w:jc w:val="left"/>
        <w:rPr>
          <w:rFonts w:hint="eastAsia" w:ascii="宋体" w:hAnsi="宋体" w:cs="宋体"/>
          <w:kern w:val="0"/>
          <w:szCs w:val="21"/>
          <w:highlight w:val="none"/>
        </w:rPr>
      </w:pPr>
      <w:r>
        <w:rPr>
          <w:rFonts w:hint="eastAsia" w:ascii="宋体" w:hAnsi="宋体" w:cs="宋体"/>
          <w:b/>
          <w:bCs/>
          <w:kern w:val="0"/>
          <w:szCs w:val="21"/>
          <w:highlight w:val="none"/>
        </w:rPr>
        <w:t>28. 评标过程及保密原则</w:t>
      </w:r>
    </w:p>
    <w:p w14:paraId="4B6640D7">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28.1 凡与本次采购有关人员对属于审查、澄清、评价和比较磋商的有关资料以及定标意向等，均不得向供应商或其他人员透露。否则,将按有关规定追究相关人员的责任。</w:t>
      </w:r>
    </w:p>
    <w:p w14:paraId="2CD25C5C">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28.2 在评标期间，供应商试图影响或干预评审的任何行为，将导致其磋商被作为无效磋商，并承担相应的法律责任。</w:t>
      </w:r>
    </w:p>
    <w:p w14:paraId="1D2E109D">
      <w:pPr>
        <w:snapToGrid w:val="0"/>
        <w:spacing w:line="360" w:lineRule="auto"/>
        <w:ind w:firstLine="422" w:firstLineChars="200"/>
        <w:jc w:val="left"/>
        <w:rPr>
          <w:rFonts w:hint="eastAsia" w:ascii="宋体" w:hAnsi="宋体" w:cs="宋体"/>
          <w:b/>
          <w:kern w:val="0"/>
          <w:szCs w:val="21"/>
          <w:highlight w:val="none"/>
        </w:rPr>
      </w:pPr>
      <w:r>
        <w:rPr>
          <w:rFonts w:hint="eastAsia" w:ascii="宋体" w:hAnsi="宋体" w:cs="宋体"/>
          <w:b/>
          <w:kern w:val="0"/>
          <w:szCs w:val="21"/>
          <w:highlight w:val="none"/>
        </w:rPr>
        <w:t>29.评标异议登记</w:t>
      </w:r>
    </w:p>
    <w:p w14:paraId="0B400CB0">
      <w:pPr>
        <w:snapToGrid w:val="0"/>
        <w:spacing w:line="360" w:lineRule="auto"/>
        <w:ind w:firstLine="420" w:firstLineChars="200"/>
        <w:jc w:val="left"/>
        <w:rPr>
          <w:rFonts w:hint="eastAsia" w:ascii="宋体" w:hAnsi="宋体" w:cs="宋体"/>
          <w:kern w:val="0"/>
          <w:sz w:val="24"/>
          <w:highlight w:val="none"/>
        </w:rPr>
      </w:pPr>
      <w:r>
        <w:rPr>
          <w:rFonts w:hint="eastAsia" w:ascii="宋体" w:hAnsi="宋体" w:cs="宋体"/>
          <w:bCs/>
          <w:kern w:val="0"/>
          <w:szCs w:val="21"/>
          <w:highlight w:val="none"/>
        </w:rPr>
        <w:t>采购人</w:t>
      </w:r>
      <w:r>
        <w:rPr>
          <w:rFonts w:hint="eastAsia" w:ascii="宋体" w:hAnsi="宋体" w:cs="宋体"/>
          <w:kern w:val="0"/>
          <w:szCs w:val="21"/>
          <w:highlight w:val="none"/>
        </w:rPr>
        <w:t>工作人员对评审专家等相关人员在评审过程中发现、提出的异议进行逐项登记。</w:t>
      </w:r>
    </w:p>
    <w:p w14:paraId="33337183">
      <w:pPr>
        <w:snapToGrid w:val="0"/>
        <w:spacing w:line="360" w:lineRule="auto"/>
        <w:ind w:firstLine="562"/>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六、定标</w:t>
      </w:r>
    </w:p>
    <w:p w14:paraId="5796838F">
      <w:pPr>
        <w:snapToGrid w:val="0"/>
        <w:spacing w:line="360" w:lineRule="auto"/>
        <w:ind w:firstLine="422" w:firstLineChars="200"/>
        <w:rPr>
          <w:rFonts w:hint="eastAsia" w:ascii="宋体" w:hAnsi="宋体" w:cs="宋体"/>
          <w:kern w:val="0"/>
          <w:szCs w:val="21"/>
          <w:highlight w:val="none"/>
        </w:rPr>
      </w:pPr>
      <w:r>
        <w:rPr>
          <w:rFonts w:hint="eastAsia" w:ascii="宋体" w:hAnsi="宋体" w:cs="宋体"/>
          <w:b/>
          <w:bCs/>
          <w:kern w:val="0"/>
          <w:szCs w:val="21"/>
          <w:highlight w:val="none"/>
        </w:rPr>
        <w:t>30. 定标原则</w:t>
      </w:r>
    </w:p>
    <w:p w14:paraId="4441DE0A">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30.1 最低价不作为成交的保证。</w:t>
      </w:r>
    </w:p>
    <w:p w14:paraId="2DEFFE59">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30.2 确定实质上响应采购文件且满足下列条件的为成交候选供应商（或成交供应商）</w:t>
      </w:r>
    </w:p>
    <w:p w14:paraId="6AFD7891">
      <w:pPr>
        <w:snapToGrid w:val="0"/>
        <w:spacing w:line="360" w:lineRule="auto"/>
        <w:ind w:firstLine="420" w:firstLineChars="200"/>
        <w:rPr>
          <w:rFonts w:hint="eastAsia" w:ascii="宋体" w:hAnsi="宋体" w:cs="宋体"/>
          <w:szCs w:val="21"/>
          <w:highlight w:val="none"/>
        </w:rPr>
      </w:pPr>
      <w:bookmarkStart w:id="55" w:name="_Toc32200"/>
      <w:r>
        <w:rPr>
          <w:rFonts w:hint="eastAsia" w:ascii="宋体" w:hAnsi="宋体" w:cs="宋体"/>
          <w:bCs/>
          <w:kern w:val="0"/>
          <w:szCs w:val="21"/>
          <w:highlight w:val="none"/>
        </w:rPr>
        <w:t>30.2.1</w:t>
      </w:r>
      <w:bookmarkEnd w:id="55"/>
      <w:r>
        <w:rPr>
          <w:rFonts w:hint="eastAsia" w:ascii="宋体" w:hAnsi="宋体" w:cs="宋体"/>
          <w:bCs/>
          <w:kern w:val="0"/>
          <w:szCs w:val="21"/>
          <w:highlight w:val="none"/>
        </w:rPr>
        <w:t>本次评标采用</w:t>
      </w:r>
      <w:r>
        <w:rPr>
          <w:rFonts w:hint="eastAsia" w:ascii="宋体" w:hAnsi="宋体" w:cs="宋体"/>
          <w:szCs w:val="21"/>
          <w:highlight w:val="none"/>
        </w:rPr>
        <w:t>综合评分法，是指响应文件满足采购文件全部实质性要求，且按照评审因素的量化指标评审得分最高的供应商为成交供应商的评标方法。</w:t>
      </w:r>
    </w:p>
    <w:p w14:paraId="19074385">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采用综合评分法的，评标结果按评审后得分由高到低顺序排列。</w:t>
      </w:r>
      <w:r>
        <w:rPr>
          <w:rFonts w:hint="eastAsia" w:ascii="宋体" w:hAnsi="宋体" w:cs="宋体"/>
          <w:szCs w:val="21"/>
          <w:highlight w:val="none"/>
          <w:shd w:val="clear" w:color="auto" w:fill="FFFFFF"/>
        </w:rPr>
        <w:t>响应文件</w:t>
      </w:r>
      <w:r>
        <w:rPr>
          <w:rFonts w:hint="eastAsia" w:ascii="宋体" w:hAnsi="宋体" w:cs="宋体"/>
          <w:szCs w:val="21"/>
          <w:highlight w:val="none"/>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46B60E12">
      <w:pPr>
        <w:snapToGrid w:val="0"/>
        <w:spacing w:line="360" w:lineRule="auto"/>
        <w:ind w:firstLine="422" w:firstLineChars="200"/>
        <w:rPr>
          <w:rFonts w:hint="eastAsia" w:ascii="宋体" w:hAnsi="宋体" w:cs="宋体"/>
          <w:kern w:val="0"/>
          <w:szCs w:val="21"/>
          <w:highlight w:val="none"/>
        </w:rPr>
      </w:pPr>
      <w:r>
        <w:rPr>
          <w:rFonts w:hint="eastAsia" w:ascii="宋体" w:hAnsi="宋体" w:cs="宋体"/>
          <w:b/>
          <w:bCs/>
          <w:kern w:val="0"/>
          <w:szCs w:val="21"/>
          <w:highlight w:val="none"/>
        </w:rPr>
        <w:t>31. 确定成交供应商和成交候选供应商</w:t>
      </w:r>
    </w:p>
    <w:p w14:paraId="5146B0B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bCs/>
          <w:kern w:val="0"/>
          <w:szCs w:val="21"/>
          <w:highlight w:val="none"/>
        </w:rPr>
        <w:t>本项目由采购人授权磋商小组确定一名成交供应商并推荐一名成交候选供应商</w:t>
      </w:r>
      <w:r>
        <w:rPr>
          <w:rFonts w:hint="eastAsia" w:ascii="宋体" w:hAnsi="宋体" w:cs="宋体"/>
          <w:kern w:val="0"/>
          <w:szCs w:val="21"/>
          <w:highlight w:val="none"/>
        </w:rPr>
        <w:t>。</w:t>
      </w:r>
    </w:p>
    <w:p w14:paraId="1FF53C36">
      <w:pPr>
        <w:snapToGrid w:val="0"/>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32. 成交通知书及成交结果公告</w:t>
      </w:r>
    </w:p>
    <w:p w14:paraId="1E13A927">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32.1评审结束后，采购人将成交供应商的情况在本采购项目采购公告发布的同一媒介予以公示，公示期限1个工作日，公示期结束后向成交供应商发出成交通知书。</w:t>
      </w:r>
    </w:p>
    <w:p w14:paraId="734D0638">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32.2成交供应商在规定的时间内不领取成交通知书的，视为成交后自动放弃成交资格；成交供应商在有效报价中报价最低,非不可抗力放弃成交资格的。发生上述情况的承担由此引起的一切后果。</w:t>
      </w:r>
    </w:p>
    <w:p w14:paraId="6CF4965D">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32.3成交通知书对采购人和成交供应商具有同等法律效力。成交通知书发出后，采购人改变成交结果，或者成交供应商放弃成交，应按相关法律、规章、规范性文件的要求承担相应的法律责任。</w:t>
      </w:r>
    </w:p>
    <w:p w14:paraId="7E397015">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kern w:val="0"/>
          <w:szCs w:val="21"/>
          <w:highlight w:val="none"/>
        </w:rPr>
        <w:t>32</w:t>
      </w:r>
      <w:r>
        <w:rPr>
          <w:rFonts w:hint="eastAsia" w:ascii="宋体" w:hAnsi="宋体" w:cs="宋体"/>
          <w:bCs/>
          <w:kern w:val="0"/>
          <w:szCs w:val="21"/>
          <w:highlight w:val="none"/>
        </w:rPr>
        <w:t>.4成交通知书将作为签订合同的依据。合同签订后，成交通知书成为合同的一部分。</w:t>
      </w:r>
    </w:p>
    <w:p w14:paraId="7C8DD108">
      <w:pPr>
        <w:snapToGrid w:val="0"/>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33. 采购人宣布废标的权利</w:t>
      </w:r>
    </w:p>
    <w:p w14:paraId="67992667">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33.1出现下列情况之一时，采购人有权宣布废标，并将理由通知所有供应商：</w:t>
      </w:r>
    </w:p>
    <w:p w14:paraId="7963190D">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33.1.1出现影响采购公正的违法、违规行为的。</w:t>
      </w:r>
    </w:p>
    <w:p w14:paraId="69C50D8B">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33.1.2供应商的报价均超过了采购预算金额，采购人不能支付的。</w:t>
      </w:r>
    </w:p>
    <w:p w14:paraId="47A57738">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33.1.3因重大变故，采购任务取消的。</w:t>
      </w:r>
    </w:p>
    <w:p w14:paraId="31DB8480">
      <w:pPr>
        <w:snapToGrid w:val="0"/>
        <w:spacing w:line="360" w:lineRule="auto"/>
        <w:ind w:firstLine="420" w:firstLineChars="200"/>
        <w:rPr>
          <w:rFonts w:hint="eastAsia" w:ascii="宋体" w:hAnsi="宋体" w:cs="宋体"/>
          <w:szCs w:val="21"/>
          <w:highlight w:val="none"/>
        </w:rPr>
      </w:pPr>
      <w:r>
        <w:rPr>
          <w:rFonts w:hint="eastAsia" w:ascii="宋体" w:hAnsi="宋体" w:cs="宋体"/>
          <w:bCs/>
          <w:kern w:val="0"/>
          <w:szCs w:val="21"/>
          <w:highlight w:val="none"/>
        </w:rPr>
        <w:t>33</w:t>
      </w:r>
      <w:r>
        <w:rPr>
          <w:rFonts w:hint="eastAsia" w:ascii="宋体" w:hAnsi="宋体" w:cs="宋体"/>
          <w:kern w:val="0"/>
          <w:szCs w:val="21"/>
          <w:highlight w:val="none"/>
        </w:rPr>
        <w:t xml:space="preserve">.2 </w:t>
      </w:r>
      <w:r>
        <w:rPr>
          <w:rFonts w:hint="eastAsia" w:ascii="宋体" w:hAnsi="宋体" w:cs="宋体"/>
          <w:szCs w:val="21"/>
          <w:highlight w:val="none"/>
        </w:rPr>
        <w:t>投标截止后供应商不足3家或通过资格性检查或符合性检查的供应商不足3家的，除采购任务取消情形外，按照以下方式处理：</w:t>
      </w:r>
    </w:p>
    <w:p w14:paraId="4D76DE38">
      <w:pPr>
        <w:numPr>
          <w:ilvl w:val="0"/>
          <w:numId w:val="2"/>
        </w:num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采购文件存在不合理条款或者招标程序不符合规定的，采购人正后依法重新招标；</w:t>
      </w:r>
    </w:p>
    <w:p w14:paraId="6437DB44">
      <w:pPr>
        <w:snapToGrid w:val="0"/>
        <w:spacing w:line="360" w:lineRule="auto"/>
        <w:ind w:firstLine="420" w:firstLineChars="200"/>
        <w:rPr>
          <w:rFonts w:hint="eastAsia" w:ascii="宋体" w:hAnsi="宋体" w:cs="宋体"/>
          <w:b/>
          <w:kern w:val="0"/>
          <w:sz w:val="52"/>
          <w:szCs w:val="52"/>
          <w:highlight w:val="none"/>
        </w:rPr>
      </w:pPr>
      <w:r>
        <w:rPr>
          <w:rFonts w:hint="eastAsia" w:ascii="宋体" w:hAnsi="宋体" w:cs="宋体"/>
          <w:szCs w:val="21"/>
          <w:highlight w:val="none"/>
        </w:rPr>
        <w:t>（2）采购文件没有不合理条款、采购程序符合规定，需要采用其他采购方式采购的，采购人应当依法报财政部门批准。</w:t>
      </w:r>
    </w:p>
    <w:p w14:paraId="4DE3A023">
      <w:pPr>
        <w:snapToGrid w:val="0"/>
        <w:spacing w:line="360" w:lineRule="auto"/>
        <w:ind w:firstLine="562"/>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七、合同授予</w:t>
      </w:r>
    </w:p>
    <w:p w14:paraId="30832FCA">
      <w:pPr>
        <w:snapToGrid w:val="0"/>
        <w:spacing w:line="360" w:lineRule="auto"/>
        <w:ind w:firstLine="472" w:firstLineChars="224"/>
        <w:rPr>
          <w:rFonts w:hint="eastAsia" w:ascii="宋体" w:hAnsi="宋体" w:cs="宋体"/>
          <w:kern w:val="0"/>
          <w:szCs w:val="21"/>
          <w:highlight w:val="none"/>
        </w:rPr>
      </w:pPr>
      <w:r>
        <w:rPr>
          <w:rFonts w:hint="eastAsia" w:ascii="宋体" w:hAnsi="宋体" w:cs="宋体"/>
          <w:b/>
          <w:bCs/>
          <w:kern w:val="0"/>
          <w:szCs w:val="21"/>
          <w:highlight w:val="none"/>
        </w:rPr>
        <w:t>34.合同签订</w:t>
      </w:r>
    </w:p>
    <w:p w14:paraId="33CD2064">
      <w:pPr>
        <w:snapToGrid w:val="0"/>
        <w:spacing w:line="360" w:lineRule="auto"/>
        <w:ind w:firstLine="420" w:firstLineChars="200"/>
        <w:jc w:val="left"/>
        <w:rPr>
          <w:rFonts w:hint="eastAsia" w:ascii="宋体" w:hAnsi="宋体" w:cs="宋体"/>
          <w:kern w:val="0"/>
          <w:szCs w:val="21"/>
          <w:highlight w:val="none"/>
          <w:u w:val="single"/>
        </w:rPr>
      </w:pPr>
      <w:bookmarkStart w:id="56" w:name="_Toc8594"/>
      <w:r>
        <w:rPr>
          <w:rFonts w:hint="eastAsia" w:ascii="宋体" w:hAnsi="宋体" w:cs="宋体"/>
          <w:kern w:val="0"/>
          <w:szCs w:val="21"/>
          <w:highlight w:val="none"/>
        </w:rPr>
        <w:t>34.1 采购人、成交供应商自成交通知书发出之日起，在采购文件第三章《供应商须知前附表》规定的时间内，根据采购文件确定的事项和成交供应商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签订合同。双方所签订的合同不得对采购文件和成交供应商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作实质性修改。</w:t>
      </w:r>
    </w:p>
    <w:p w14:paraId="5F606528">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34.2 采购文件、采购文件的修改文件、成交供应商的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、补充或修改的文件及澄清或承诺文件等，均为双方签订合同的组成部分，并与合同一并作为本采购文件所列采购项目的互补性法律文件，与合同具有同等法律效力。</w:t>
      </w:r>
    </w:p>
    <w:p w14:paraId="10159EA7">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采购。</w:t>
      </w:r>
    </w:p>
    <w:bookmarkEnd w:id="56"/>
    <w:p w14:paraId="28742E75">
      <w:pPr>
        <w:rPr>
          <w:rFonts w:hint="eastAsia" w:ascii="宋体" w:hAnsi="宋体" w:cs="宋体"/>
          <w:highlight w:val="none"/>
        </w:rPr>
      </w:pPr>
      <w:r>
        <w:rPr>
          <w:rFonts w:hint="eastAsia" w:ascii="宋体" w:hAnsi="宋体" w:cs="宋体"/>
          <w:highlight w:val="none"/>
        </w:rPr>
        <w:br w:type="page"/>
      </w:r>
    </w:p>
    <w:p w14:paraId="0C27046A">
      <w:pPr>
        <w:widowControl/>
        <w:snapToGrid w:val="0"/>
        <w:ind w:firstLine="643"/>
        <w:jc w:val="center"/>
        <w:outlineLvl w:val="0"/>
        <w:rPr>
          <w:rFonts w:hint="eastAsia" w:ascii="宋体" w:hAnsi="宋体" w:cs="宋体"/>
          <w:kern w:val="0"/>
          <w:sz w:val="24"/>
          <w:highlight w:val="none"/>
        </w:rPr>
      </w:pPr>
      <w:bookmarkStart w:id="57" w:name="_Toc8767"/>
      <w:r>
        <w:rPr>
          <w:rFonts w:hint="eastAsia" w:ascii="宋体" w:hAnsi="宋体" w:cs="宋体"/>
          <w:b/>
          <w:bCs/>
          <w:kern w:val="0"/>
          <w:sz w:val="32"/>
          <w:szCs w:val="32"/>
          <w:highlight w:val="none"/>
        </w:rPr>
        <w:t>第四章  评标办法及评分标准</w:t>
      </w:r>
      <w:bookmarkEnd w:id="52"/>
      <w:bookmarkEnd w:id="57"/>
    </w:p>
    <w:p w14:paraId="4FE11C0A">
      <w:pPr>
        <w:rPr>
          <w:rFonts w:hint="eastAsia" w:ascii="宋体" w:hAnsi="宋体" w:cs="宋体"/>
          <w:highlight w:val="none"/>
        </w:rPr>
      </w:pPr>
    </w:p>
    <w:p w14:paraId="09FD9B0E">
      <w:pPr>
        <w:tabs>
          <w:tab w:val="left" w:pos="1620"/>
        </w:tabs>
        <w:snapToGrid w:val="0"/>
        <w:spacing w:line="360" w:lineRule="auto"/>
        <w:rPr>
          <w:rFonts w:hint="eastAsia" w:ascii="宋体" w:hAnsi="宋体" w:cs="宋体"/>
          <w:szCs w:val="21"/>
          <w:highlight w:val="none"/>
        </w:rPr>
      </w:pPr>
      <w:r>
        <w:rPr>
          <w:rFonts w:hint="eastAsia" w:ascii="宋体" w:hAnsi="宋体" w:cs="宋体"/>
          <w:szCs w:val="21"/>
          <w:highlight w:val="none"/>
        </w:rPr>
        <w:t>（一）评标原则</w:t>
      </w:r>
    </w:p>
    <w:p w14:paraId="61321F62">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按照“公平、公正”的原则对待所有供应商，按照采购文件的相关规定进行评标、定标。</w:t>
      </w:r>
    </w:p>
    <w:p w14:paraId="5AEACE63">
      <w:pPr>
        <w:tabs>
          <w:tab w:val="left" w:pos="1620"/>
        </w:tabs>
        <w:snapToGrid w:val="0"/>
        <w:spacing w:line="360" w:lineRule="auto"/>
        <w:rPr>
          <w:rFonts w:hint="eastAsia" w:ascii="宋体" w:hAnsi="宋体" w:cs="宋体"/>
          <w:szCs w:val="21"/>
          <w:highlight w:val="none"/>
        </w:rPr>
      </w:pPr>
      <w:r>
        <w:rPr>
          <w:rFonts w:hint="eastAsia" w:ascii="宋体" w:hAnsi="宋体" w:cs="宋体"/>
          <w:szCs w:val="21"/>
          <w:highlight w:val="none"/>
        </w:rPr>
        <w:t>（二）评标办法</w:t>
      </w:r>
    </w:p>
    <w:p w14:paraId="7CFC995B">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1．本项目采用综合评分法，总分为100分。</w:t>
      </w:r>
    </w:p>
    <w:p w14:paraId="01943FC2">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2．磋商小组按照采购文件中规定的评标方法和标准，对</w:t>
      </w:r>
      <w:r>
        <w:rPr>
          <w:rFonts w:hint="eastAsia" w:ascii="宋体" w:hAnsi="宋体" w:cs="宋体"/>
          <w:kern w:val="0"/>
          <w:szCs w:val="21"/>
          <w:highlight w:val="none"/>
        </w:rPr>
        <w:t>响应</w:t>
      </w:r>
      <w:r>
        <w:rPr>
          <w:rFonts w:hint="eastAsia" w:ascii="宋体" w:hAnsi="宋体" w:cs="宋体"/>
          <w:szCs w:val="21"/>
          <w:highlight w:val="none"/>
        </w:rPr>
        <w:t>文件进行综合比较与评价。</w:t>
      </w:r>
    </w:p>
    <w:p w14:paraId="2F5EA728">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3. 评标结果按评审后得分由高到低顺序排列，得分相同的，按投标报价由低到高顺序排列。得分且投标报价相同的，按技术部分得分顺序排列。</w:t>
      </w:r>
    </w:p>
    <w:p w14:paraId="5D3F6D6A">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4.</w:t>
      </w:r>
      <w:r>
        <w:rPr>
          <w:rFonts w:hint="eastAsia" w:ascii="宋体" w:hAnsi="宋体" w:cs="宋体"/>
          <w:kern w:val="0"/>
          <w:szCs w:val="21"/>
          <w:highlight w:val="none"/>
        </w:rPr>
        <w:t>响应</w:t>
      </w:r>
      <w:r>
        <w:rPr>
          <w:rFonts w:hint="eastAsia" w:ascii="宋体" w:hAnsi="宋体" w:cs="宋体"/>
          <w:szCs w:val="21"/>
          <w:highlight w:val="none"/>
        </w:rPr>
        <w:t>文件满足采购文件全部实质性要求，且评审得分最高的供应商为成交供应商。</w:t>
      </w:r>
    </w:p>
    <w:p w14:paraId="65557693">
      <w:pPr>
        <w:tabs>
          <w:tab w:val="left" w:pos="1620"/>
        </w:tabs>
        <w:snapToGrid w:val="0"/>
        <w:spacing w:line="360" w:lineRule="auto"/>
        <w:rPr>
          <w:rFonts w:hint="eastAsia" w:ascii="宋体" w:hAnsi="宋体" w:cs="宋体"/>
          <w:szCs w:val="21"/>
          <w:highlight w:val="none"/>
        </w:rPr>
      </w:pPr>
      <w:r>
        <w:rPr>
          <w:rFonts w:hint="eastAsia" w:ascii="宋体" w:hAnsi="宋体" w:cs="宋体"/>
          <w:szCs w:val="21"/>
          <w:highlight w:val="none"/>
        </w:rPr>
        <w:t>（三）评标程序</w:t>
      </w:r>
    </w:p>
    <w:p w14:paraId="1AB2DFB0">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2DB8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vAlign w:val="center"/>
          </w:tcPr>
          <w:p w14:paraId="5B3C2732">
            <w:pPr>
              <w:tabs>
                <w:tab w:val="left" w:pos="3000"/>
              </w:tabs>
              <w:snapToGrid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r>
      <w:tr w14:paraId="3D80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vAlign w:val="center"/>
          </w:tcPr>
          <w:p w14:paraId="1D410F9D">
            <w:pPr>
              <w:snapToGrid w:val="0"/>
              <w:spacing w:line="32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价格标部分 (30分)</w:t>
            </w:r>
          </w:p>
        </w:tc>
        <w:tc>
          <w:tcPr>
            <w:tcW w:w="8243" w:type="dxa"/>
            <w:gridSpan w:val="2"/>
            <w:vAlign w:val="center"/>
          </w:tcPr>
          <w:p w14:paraId="6400A917">
            <w:pPr>
              <w:pStyle w:val="4"/>
              <w:snapToGrid w:val="0"/>
              <w:spacing w:line="320" w:lineRule="exact"/>
              <w:jc w:val="both"/>
              <w:rPr>
                <w:rFonts w:hint="eastAsia"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0863B3E5">
            <w:pPr>
              <w:pStyle w:val="4"/>
              <w:snapToGrid w:val="0"/>
              <w:spacing w:line="320" w:lineRule="exact"/>
              <w:jc w:val="both"/>
              <w:rPr>
                <w:rFonts w:hint="eastAsia"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有效磋商报价：磋商报价不高于采购预算价的为有效磋商报价。</w:t>
            </w:r>
          </w:p>
          <w:p w14:paraId="73F9182D">
            <w:pPr>
              <w:pStyle w:val="4"/>
              <w:snapToGrid w:val="0"/>
              <w:spacing w:line="320" w:lineRule="exact"/>
              <w:jc w:val="both"/>
              <w:rPr>
                <w:rFonts w:hint="eastAsia"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评标基准值的确定：满足采购文件要求且磋商价格最低的有效磋商报价为评标基准价。</w:t>
            </w:r>
          </w:p>
          <w:p w14:paraId="36217B32">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磋商报价得分=（评标基准价/有效磋商报价）×30分</w:t>
            </w:r>
          </w:p>
        </w:tc>
      </w:tr>
      <w:tr w14:paraId="1E5E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1239" w:type="dxa"/>
            <w:vMerge w:val="restart"/>
            <w:vAlign w:val="center"/>
          </w:tcPr>
          <w:p w14:paraId="73E43FAB">
            <w:pPr>
              <w:snapToGrid w:val="0"/>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工程质量</w:t>
            </w:r>
          </w:p>
          <w:p w14:paraId="166B8AD2">
            <w:pPr>
              <w:snapToGrid w:val="0"/>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（52分）</w:t>
            </w:r>
          </w:p>
        </w:tc>
        <w:tc>
          <w:tcPr>
            <w:tcW w:w="1473" w:type="dxa"/>
            <w:vAlign w:val="center"/>
          </w:tcPr>
          <w:p w14:paraId="36B94BF8">
            <w:pPr>
              <w:snapToGrid w:val="0"/>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1.施工方案与技术措施（12分）</w:t>
            </w:r>
          </w:p>
        </w:tc>
        <w:tc>
          <w:tcPr>
            <w:tcW w:w="6770" w:type="dxa"/>
            <w:vAlign w:val="center"/>
          </w:tcPr>
          <w:p w14:paraId="3994282E">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供应商应根据采购需求编制完整、详细的施工方案，包含但不限于：1.对项目需求的理解与分析、施工工艺流程的合理性重点难点分析及应对措施（错峰施工方案、动火作业与受限空间作业专项方案、冬季施工措施等）。</w:t>
            </w:r>
          </w:p>
          <w:p w14:paraId="7DA42CFA">
            <w:pPr>
              <w:widowControl/>
              <w:snapToGrid w:val="0"/>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szCs w:val="21"/>
                <w:highlight w:val="none"/>
              </w:rPr>
              <w:t>方案完整科学、合理、实用，并具有针对性，得12分；</w:t>
            </w:r>
            <w:r>
              <w:rPr>
                <w:rFonts w:hint="eastAsia" w:ascii="宋体" w:hAnsi="宋体" w:cs="宋体"/>
                <w:color w:val="000000" w:themeColor="text1"/>
                <w:szCs w:val="21"/>
                <w:highlight w:val="none"/>
                <w14:textFill>
                  <w14:solidFill>
                    <w14:schemeClr w14:val="tx1"/>
                  </w14:solidFill>
                </w14:textFill>
              </w:rPr>
              <w:t>方案</w:t>
            </w:r>
            <w:r>
              <w:rPr>
                <w:rFonts w:hint="eastAsia" w:ascii="宋体" w:hAnsi="宋体" w:cs="宋体"/>
                <w:szCs w:val="21"/>
                <w:highlight w:val="none"/>
              </w:rPr>
              <w:t>较为清晰、较为详细、技术措施较为健全、较有针对性得8分；</w:t>
            </w:r>
            <w:r>
              <w:rPr>
                <w:rFonts w:hint="eastAsia" w:ascii="宋体" w:hAnsi="宋体" w:cs="宋体"/>
                <w:color w:val="000000" w:themeColor="text1"/>
                <w:szCs w:val="21"/>
                <w:highlight w:val="none"/>
                <w14:textFill>
                  <w14:solidFill>
                    <w14:schemeClr w14:val="tx1"/>
                  </w14:solidFill>
                </w14:textFill>
              </w:rPr>
              <w:t>方案</w:t>
            </w:r>
            <w:r>
              <w:rPr>
                <w:rFonts w:hint="eastAsia" w:ascii="宋体" w:hAnsi="宋体" w:cs="宋体"/>
                <w:szCs w:val="21"/>
                <w:highlight w:val="none"/>
              </w:rPr>
              <w:t>内容一般、技术措施一般，基本具有针对性得5分；</w:t>
            </w:r>
            <w:r>
              <w:rPr>
                <w:rFonts w:hint="eastAsia" w:ascii="宋体" w:hAnsi="宋体" w:cs="宋体"/>
                <w:color w:val="000000" w:themeColor="text1"/>
                <w:szCs w:val="21"/>
                <w:highlight w:val="none"/>
                <w14:textFill>
                  <w14:solidFill>
                    <w14:schemeClr w14:val="tx1"/>
                  </w14:solidFill>
                </w14:textFill>
              </w:rPr>
              <w:t>方案</w:t>
            </w:r>
            <w:r>
              <w:rPr>
                <w:rFonts w:hint="eastAsia" w:ascii="宋体" w:hAnsi="宋体" w:cs="宋体"/>
                <w:szCs w:val="21"/>
                <w:highlight w:val="none"/>
              </w:rPr>
              <w:t>内容不全、技术措施有所欠缺得3分；</w:t>
            </w:r>
            <w:r>
              <w:rPr>
                <w:rFonts w:hint="eastAsia" w:ascii="宋体" w:hAnsi="宋体" w:cs="宋体"/>
                <w:color w:val="000000" w:themeColor="text1"/>
                <w:szCs w:val="21"/>
                <w:highlight w:val="none"/>
                <w14:textFill>
                  <w14:solidFill>
                    <w14:schemeClr w14:val="tx1"/>
                  </w14:solidFill>
                </w14:textFill>
              </w:rPr>
              <w:t>缺项得0分。</w:t>
            </w:r>
          </w:p>
        </w:tc>
      </w:tr>
      <w:tr w14:paraId="2349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1239" w:type="dxa"/>
            <w:vMerge w:val="continue"/>
            <w:vAlign w:val="center"/>
          </w:tcPr>
          <w:p w14:paraId="25F15BA4">
            <w:pPr>
              <w:snapToGrid w:val="0"/>
              <w:spacing w:line="320" w:lineRule="exact"/>
              <w:jc w:val="center"/>
              <w:rPr>
                <w:rFonts w:hint="eastAsia" w:ascii="宋体" w:hAnsi="宋体" w:cs="宋体"/>
                <w:color w:val="000000" w:themeColor="text1"/>
                <w:szCs w:val="21"/>
                <w:highlight w:val="none"/>
                <w14:textFill>
                  <w14:solidFill>
                    <w14:schemeClr w14:val="tx1"/>
                  </w14:solidFill>
                </w14:textFill>
              </w:rPr>
            </w:pPr>
          </w:p>
        </w:tc>
        <w:tc>
          <w:tcPr>
            <w:tcW w:w="1473" w:type="dxa"/>
            <w:vAlign w:val="center"/>
          </w:tcPr>
          <w:p w14:paraId="375556BB">
            <w:pPr>
              <w:snapToGrid w:val="0"/>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2.质量管理方案与技术措施（12分）</w:t>
            </w:r>
          </w:p>
        </w:tc>
        <w:tc>
          <w:tcPr>
            <w:tcW w:w="6770" w:type="dxa"/>
            <w:vAlign w:val="center"/>
          </w:tcPr>
          <w:p w14:paraId="4994A97C">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供应商应根据采购需求编制完整、详细的质量管理体系与措施方案，包含但不限于：1</w:t>
            </w:r>
            <w:r>
              <w:rPr>
                <w:rFonts w:ascii="宋体" w:hAnsi="宋体" w:cs="宋体"/>
                <w:color w:val="000000" w:themeColor="text1"/>
                <w:szCs w:val="21"/>
                <w:highlight w:val="none"/>
                <w14:textFill>
                  <w14:solidFill>
                    <w14:schemeClr w14:val="tx1"/>
                  </w14:solidFill>
                </w14:textFill>
              </w:rPr>
              <w:t>质量保障体系与承诺验收标准与执行方案</w:t>
            </w:r>
            <w:r>
              <w:rPr>
                <w:rFonts w:hint="eastAsia" w:ascii="宋体" w:hAnsi="宋体" w:cs="宋体"/>
                <w:szCs w:val="21"/>
                <w:highlight w:val="none"/>
              </w:rPr>
              <w:t>；2.</w:t>
            </w:r>
            <w:r>
              <w:rPr>
                <w:rFonts w:ascii="宋体" w:hAnsi="宋体" w:cs="宋体"/>
                <w:color w:val="000000" w:themeColor="text1"/>
                <w:szCs w:val="21"/>
                <w:highlight w:val="none"/>
                <w14:textFill>
                  <w14:solidFill>
                    <w14:schemeClr w14:val="tx1"/>
                  </w14:solidFill>
                </w14:textFill>
              </w:rPr>
              <w:t>材料与设备质量管控措施</w:t>
            </w:r>
            <w:r>
              <w:rPr>
                <w:rFonts w:hint="eastAsia" w:ascii="宋体" w:hAnsi="宋体" w:cs="宋体"/>
                <w:szCs w:val="21"/>
                <w:highlight w:val="none"/>
              </w:rPr>
              <w:t>；3.施工过程质量控制措施等。</w:t>
            </w:r>
          </w:p>
          <w:p w14:paraId="5FED0798">
            <w:pPr>
              <w:widowControl/>
              <w:snapToGrid w:val="0"/>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szCs w:val="21"/>
                <w:highlight w:val="none"/>
              </w:rPr>
              <w:t>方案有明确的质量保障体系和组织架构。详细阐述各分项工程的验收程序、方法和标准，承诺100%按国标验收。材料进场检验流程严格、可追溯，得12分；</w:t>
            </w:r>
            <w:r>
              <w:rPr>
                <w:rFonts w:hint="eastAsia" w:ascii="宋体" w:hAnsi="宋体" w:cs="宋体"/>
                <w:color w:val="000000" w:themeColor="text1"/>
                <w:szCs w:val="21"/>
                <w:highlight w:val="none"/>
                <w14:textFill>
                  <w14:solidFill>
                    <w14:schemeClr w14:val="tx1"/>
                  </w14:solidFill>
                </w14:textFill>
              </w:rPr>
              <w:t>有基本的</w:t>
            </w:r>
            <w:bookmarkStart w:id="58" w:name="OLE_LINK2"/>
            <w:r>
              <w:rPr>
                <w:rFonts w:hint="eastAsia" w:ascii="宋体" w:hAnsi="宋体" w:cs="宋体"/>
                <w:color w:val="000000" w:themeColor="text1"/>
                <w:szCs w:val="21"/>
                <w:highlight w:val="none"/>
                <w14:textFill>
                  <w14:solidFill>
                    <w14:schemeClr w14:val="tx1"/>
                  </w14:solidFill>
                </w14:textFill>
              </w:rPr>
              <w:t>质量保障措施和验收方案</w:t>
            </w:r>
            <w:bookmarkEnd w:id="58"/>
            <w:r>
              <w:rPr>
                <w:rFonts w:hint="eastAsia" w:ascii="宋体" w:hAnsi="宋体" w:cs="宋体"/>
                <w:color w:val="000000" w:themeColor="text1"/>
                <w:szCs w:val="21"/>
                <w:highlight w:val="none"/>
                <w14:textFill>
                  <w14:solidFill>
                    <w14:schemeClr w14:val="tx1"/>
                  </w14:solidFill>
                </w14:textFill>
              </w:rPr>
              <w:t>，但细节不够完善。</w:t>
            </w:r>
            <w:r>
              <w:rPr>
                <w:rFonts w:hint="eastAsia" w:ascii="宋体" w:hAnsi="宋体" w:cs="宋体"/>
                <w:szCs w:val="21"/>
                <w:highlight w:val="none"/>
              </w:rPr>
              <w:t>得8分；</w:t>
            </w:r>
            <w:r>
              <w:rPr>
                <w:rFonts w:hint="eastAsia" w:ascii="宋体" w:hAnsi="宋体" w:cs="宋体"/>
                <w:color w:val="000000" w:themeColor="text1"/>
                <w:szCs w:val="21"/>
                <w:highlight w:val="none"/>
                <w14:textFill>
                  <w14:solidFill>
                    <w14:schemeClr w14:val="tx1"/>
                  </w14:solidFill>
                </w14:textFill>
              </w:rPr>
              <w:t>质量保障措施空泛，缺乏具体内容和承诺</w:t>
            </w:r>
            <w:r>
              <w:rPr>
                <w:rFonts w:hint="eastAsia" w:ascii="宋体" w:hAnsi="宋体" w:cs="宋体"/>
                <w:szCs w:val="21"/>
                <w:highlight w:val="none"/>
              </w:rPr>
              <w:t>得5分；</w:t>
            </w:r>
            <w:r>
              <w:rPr>
                <w:rFonts w:hint="eastAsia" w:ascii="宋体" w:hAnsi="宋体" w:cs="宋体"/>
                <w:color w:val="000000" w:themeColor="text1"/>
                <w:szCs w:val="21"/>
                <w:highlight w:val="none"/>
                <w14:textFill>
                  <w14:solidFill>
                    <w14:schemeClr w14:val="tx1"/>
                  </w14:solidFill>
                </w14:textFill>
              </w:rPr>
              <w:t>质量保障措施和验收方案</w:t>
            </w:r>
            <w:r>
              <w:rPr>
                <w:rFonts w:hint="eastAsia" w:ascii="宋体" w:hAnsi="宋体" w:cs="宋体"/>
                <w:szCs w:val="21"/>
                <w:highlight w:val="none"/>
              </w:rPr>
              <w:t>不全、缺少细节缺得3分；</w:t>
            </w:r>
            <w:r>
              <w:rPr>
                <w:rFonts w:hint="eastAsia" w:ascii="宋体" w:hAnsi="宋体" w:cs="宋体"/>
                <w:color w:val="000000" w:themeColor="text1"/>
                <w:szCs w:val="21"/>
                <w:highlight w:val="none"/>
                <w14:textFill>
                  <w14:solidFill>
                    <w14:schemeClr w14:val="tx1"/>
                  </w14:solidFill>
                </w14:textFill>
              </w:rPr>
              <w:t>缺项得0分。</w:t>
            </w:r>
          </w:p>
        </w:tc>
      </w:tr>
      <w:tr w14:paraId="1A14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239" w:type="dxa"/>
            <w:vMerge w:val="continue"/>
            <w:vAlign w:val="center"/>
          </w:tcPr>
          <w:p w14:paraId="494BABB3">
            <w:pPr>
              <w:snapToGrid w:val="0"/>
              <w:spacing w:line="320" w:lineRule="exact"/>
              <w:jc w:val="center"/>
              <w:rPr>
                <w:rFonts w:hint="eastAsia" w:ascii="宋体" w:hAnsi="宋体" w:cs="宋体"/>
                <w:color w:val="000000" w:themeColor="text1"/>
                <w:szCs w:val="21"/>
                <w:highlight w:val="none"/>
                <w14:textFill>
                  <w14:solidFill>
                    <w14:schemeClr w14:val="tx1"/>
                  </w14:solidFill>
                </w14:textFill>
              </w:rPr>
            </w:pPr>
          </w:p>
        </w:tc>
        <w:tc>
          <w:tcPr>
            <w:tcW w:w="1473" w:type="dxa"/>
            <w:vAlign w:val="center"/>
          </w:tcPr>
          <w:p w14:paraId="7706C472">
            <w:pPr>
              <w:snapToGrid w:val="0"/>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3.安全管理方案与技术措施、文明及环境保护管理方案与技术措施（12分）</w:t>
            </w:r>
          </w:p>
        </w:tc>
        <w:tc>
          <w:tcPr>
            <w:tcW w:w="6770" w:type="dxa"/>
            <w:vAlign w:val="center"/>
          </w:tcPr>
          <w:p w14:paraId="419226CC">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供应商应根据采购需求编制完整、详细的安全管理体系与措施、文明及环境保护管理体系与措施方案，包含但不限于：1.安全组织体系与责任制专项安全方案（动火、用电安全、受限空间等）文明施工与医院感染控制具体措施（围挡设置、医患隔离、粉尘噪音控制、废弃物清运承诺等）；2.安全培训；3.施工现场安全控制；4.应急机制等；5.文明施工管理制度；6.环境保护管理制度。</w:t>
            </w:r>
          </w:p>
          <w:p w14:paraId="59AB421F">
            <w:pPr>
              <w:widowControl/>
              <w:snapToGrid w:val="0"/>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szCs w:val="21"/>
                <w:highlight w:val="none"/>
              </w:rPr>
              <w:t>方案完整科学、合理、实用，并具有针对性，得12分；</w:t>
            </w:r>
            <w:r>
              <w:rPr>
                <w:rFonts w:hint="eastAsia" w:ascii="宋体" w:hAnsi="宋体" w:cs="宋体"/>
                <w:color w:val="000000" w:themeColor="text1"/>
                <w:szCs w:val="21"/>
                <w:highlight w:val="none"/>
                <w14:textFill>
                  <w14:solidFill>
                    <w14:schemeClr w14:val="tx1"/>
                  </w14:solidFill>
                </w14:textFill>
              </w:rPr>
              <w:t>方案</w:t>
            </w:r>
            <w:r>
              <w:rPr>
                <w:rFonts w:hint="eastAsia" w:ascii="宋体" w:hAnsi="宋体" w:cs="宋体"/>
                <w:szCs w:val="21"/>
                <w:highlight w:val="none"/>
              </w:rPr>
              <w:t>较为清晰、较为详细、技术措施较为健全、较有针对性得8分；</w:t>
            </w:r>
            <w:r>
              <w:rPr>
                <w:rFonts w:hint="eastAsia" w:ascii="宋体" w:hAnsi="宋体" w:cs="宋体"/>
                <w:color w:val="000000" w:themeColor="text1"/>
                <w:szCs w:val="21"/>
                <w:highlight w:val="none"/>
                <w14:textFill>
                  <w14:solidFill>
                    <w14:schemeClr w14:val="tx1"/>
                  </w14:solidFill>
                </w14:textFill>
              </w:rPr>
              <w:t>方案</w:t>
            </w:r>
            <w:r>
              <w:rPr>
                <w:rFonts w:hint="eastAsia" w:ascii="宋体" w:hAnsi="宋体" w:cs="宋体"/>
                <w:szCs w:val="21"/>
                <w:highlight w:val="none"/>
              </w:rPr>
              <w:t>内容一般、技术措施一般，基本具有针对性得5分；</w:t>
            </w:r>
            <w:r>
              <w:rPr>
                <w:rFonts w:hint="eastAsia" w:ascii="宋体" w:hAnsi="宋体" w:cs="宋体"/>
                <w:color w:val="000000" w:themeColor="text1"/>
                <w:szCs w:val="21"/>
                <w:highlight w:val="none"/>
                <w14:textFill>
                  <w14:solidFill>
                    <w14:schemeClr w14:val="tx1"/>
                  </w14:solidFill>
                </w14:textFill>
              </w:rPr>
              <w:t>方案</w:t>
            </w:r>
            <w:r>
              <w:rPr>
                <w:rFonts w:hint="eastAsia" w:ascii="宋体" w:hAnsi="宋体" w:cs="宋体"/>
                <w:szCs w:val="21"/>
                <w:highlight w:val="none"/>
              </w:rPr>
              <w:t>内容不全、技术措施有所欠缺得3分；</w:t>
            </w:r>
            <w:r>
              <w:rPr>
                <w:rFonts w:hint="eastAsia" w:ascii="宋体" w:hAnsi="宋体" w:cs="宋体"/>
                <w:color w:val="000000" w:themeColor="text1"/>
                <w:szCs w:val="21"/>
                <w:highlight w:val="none"/>
                <w14:textFill>
                  <w14:solidFill>
                    <w14:schemeClr w14:val="tx1"/>
                  </w14:solidFill>
                </w14:textFill>
              </w:rPr>
              <w:t>缺项得0分。</w:t>
            </w:r>
          </w:p>
        </w:tc>
      </w:tr>
      <w:tr w14:paraId="1111D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1239" w:type="dxa"/>
            <w:vMerge w:val="continue"/>
            <w:vAlign w:val="center"/>
          </w:tcPr>
          <w:p w14:paraId="220E82BC">
            <w:pPr>
              <w:snapToGrid w:val="0"/>
              <w:spacing w:line="320" w:lineRule="exact"/>
              <w:jc w:val="center"/>
              <w:rPr>
                <w:rFonts w:hint="eastAsia" w:ascii="宋体" w:hAnsi="宋体" w:cs="宋体"/>
                <w:color w:val="000000" w:themeColor="text1"/>
                <w:szCs w:val="21"/>
                <w:highlight w:val="none"/>
                <w14:textFill>
                  <w14:solidFill>
                    <w14:schemeClr w14:val="tx1"/>
                  </w14:solidFill>
                </w14:textFill>
              </w:rPr>
            </w:pPr>
          </w:p>
        </w:tc>
        <w:tc>
          <w:tcPr>
            <w:tcW w:w="1473" w:type="dxa"/>
            <w:vAlign w:val="center"/>
          </w:tcPr>
          <w:p w14:paraId="21BA314D">
            <w:pPr>
              <w:snapToGrid w:val="0"/>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4.拟投入资源配备计划（8分）</w:t>
            </w:r>
          </w:p>
        </w:tc>
        <w:tc>
          <w:tcPr>
            <w:tcW w:w="6770" w:type="dxa"/>
            <w:vAlign w:val="center"/>
          </w:tcPr>
          <w:p w14:paraId="758A0DB4">
            <w:pPr>
              <w:widowControl/>
              <w:snapToGrid w:val="0"/>
              <w:spacing w:line="320" w:lineRule="exact"/>
              <w:rPr>
                <w:rFonts w:hint="eastAsia"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根据供应商拟投入的施工人员、机械设备、物资投入计划综合对比。</w:t>
            </w:r>
            <w:r>
              <w:rPr>
                <w:rFonts w:hint="eastAsia" w:ascii="宋体" w:hAnsi="宋体" w:cs="宋体"/>
                <w:szCs w:val="21"/>
                <w:highlight w:val="none"/>
              </w:rPr>
              <w:t>包含但不限于：1.施工人员配备计划；2.机械、设备配备计划；3.材料资源保证措施等。</w:t>
            </w:r>
          </w:p>
          <w:p w14:paraId="7F0229FD">
            <w:pPr>
              <w:widowControl/>
              <w:snapToGrid w:val="0"/>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计划</w:t>
            </w:r>
            <w:r>
              <w:rPr>
                <w:rFonts w:hint="eastAsia" w:ascii="宋体" w:hAnsi="宋体" w:cs="宋体"/>
                <w:szCs w:val="21"/>
                <w:highlight w:val="none"/>
              </w:rPr>
              <w:t>完整科学、合理、实用，并具有针对性，得8分；</w:t>
            </w:r>
            <w:r>
              <w:rPr>
                <w:rFonts w:hint="eastAsia" w:ascii="宋体" w:hAnsi="宋体" w:cs="宋体"/>
                <w:color w:val="000000" w:themeColor="text1"/>
                <w:szCs w:val="21"/>
                <w:highlight w:val="none"/>
                <w14:textFill>
                  <w14:solidFill>
                    <w14:schemeClr w14:val="tx1"/>
                  </w14:solidFill>
                </w14:textFill>
              </w:rPr>
              <w:t>计划</w:t>
            </w:r>
            <w:r>
              <w:rPr>
                <w:rFonts w:hint="eastAsia" w:ascii="宋体" w:hAnsi="宋体" w:cs="宋体"/>
                <w:szCs w:val="21"/>
                <w:highlight w:val="none"/>
              </w:rPr>
              <w:t>较为清晰、较为详细、技术措施较为健全、较有针对性得6分；</w:t>
            </w:r>
            <w:r>
              <w:rPr>
                <w:rFonts w:hint="eastAsia" w:ascii="宋体" w:hAnsi="宋体" w:cs="宋体"/>
                <w:color w:val="000000" w:themeColor="text1"/>
                <w:szCs w:val="21"/>
                <w:highlight w:val="none"/>
                <w14:textFill>
                  <w14:solidFill>
                    <w14:schemeClr w14:val="tx1"/>
                  </w14:solidFill>
                </w14:textFill>
              </w:rPr>
              <w:t>计划</w:t>
            </w:r>
            <w:r>
              <w:rPr>
                <w:rFonts w:hint="eastAsia" w:ascii="宋体" w:hAnsi="宋体" w:cs="宋体"/>
                <w:szCs w:val="21"/>
                <w:highlight w:val="none"/>
              </w:rPr>
              <w:t>内容一般、技术措施一般，基本具有针对性得4分；</w:t>
            </w:r>
            <w:r>
              <w:rPr>
                <w:rFonts w:hint="eastAsia" w:ascii="宋体" w:hAnsi="宋体" w:cs="宋体"/>
                <w:color w:val="000000" w:themeColor="text1"/>
                <w:szCs w:val="21"/>
                <w:highlight w:val="none"/>
                <w14:textFill>
                  <w14:solidFill>
                    <w14:schemeClr w14:val="tx1"/>
                  </w14:solidFill>
                </w14:textFill>
              </w:rPr>
              <w:t>方案</w:t>
            </w:r>
            <w:r>
              <w:rPr>
                <w:rFonts w:hint="eastAsia" w:ascii="宋体" w:hAnsi="宋体" w:cs="宋体"/>
                <w:szCs w:val="21"/>
                <w:highlight w:val="none"/>
              </w:rPr>
              <w:t>内容不全、有所欠缺得2分；</w:t>
            </w:r>
            <w:r>
              <w:rPr>
                <w:rFonts w:hint="eastAsia" w:ascii="宋体" w:hAnsi="宋体" w:cs="宋体"/>
                <w:color w:val="000000" w:themeColor="text1"/>
                <w:szCs w:val="21"/>
                <w:highlight w:val="none"/>
                <w14:textFill>
                  <w14:solidFill>
                    <w14:schemeClr w14:val="tx1"/>
                  </w14:solidFill>
                </w14:textFill>
              </w:rPr>
              <w:t>缺项得0分。</w:t>
            </w:r>
          </w:p>
        </w:tc>
      </w:tr>
      <w:tr w14:paraId="5294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jc w:val="center"/>
        </w:trPr>
        <w:tc>
          <w:tcPr>
            <w:tcW w:w="1239" w:type="dxa"/>
            <w:vMerge w:val="continue"/>
            <w:vAlign w:val="center"/>
          </w:tcPr>
          <w:p w14:paraId="74BECC35">
            <w:pPr>
              <w:snapToGrid w:val="0"/>
              <w:spacing w:line="320" w:lineRule="exact"/>
              <w:jc w:val="center"/>
              <w:rPr>
                <w:rFonts w:hint="eastAsia" w:ascii="宋体" w:hAnsi="宋体" w:cs="宋体"/>
                <w:color w:val="000000" w:themeColor="text1"/>
                <w:szCs w:val="21"/>
                <w:highlight w:val="none"/>
                <w14:textFill>
                  <w14:solidFill>
                    <w14:schemeClr w14:val="tx1"/>
                  </w14:solidFill>
                </w14:textFill>
              </w:rPr>
            </w:pPr>
          </w:p>
        </w:tc>
        <w:tc>
          <w:tcPr>
            <w:tcW w:w="1473" w:type="dxa"/>
            <w:vAlign w:val="center"/>
          </w:tcPr>
          <w:p w14:paraId="56AD0D15">
            <w:pPr>
              <w:snapToGrid w:val="0"/>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szCs w:val="21"/>
                <w:highlight w:val="none"/>
              </w:rPr>
              <w:t>5.工程进度计划与措施</w:t>
            </w:r>
            <w:r>
              <w:rPr>
                <w:rFonts w:hint="eastAsia" w:ascii="宋体" w:hAnsi="宋体" w:cs="宋体"/>
                <w:color w:val="000000" w:themeColor="text1"/>
                <w:szCs w:val="21"/>
                <w:highlight w:val="none"/>
                <w14:textFill>
                  <w14:solidFill>
                    <w14:schemeClr w14:val="tx1"/>
                  </w14:solidFill>
                </w14:textFill>
              </w:rPr>
              <w:t>（8分）</w:t>
            </w:r>
          </w:p>
        </w:tc>
        <w:tc>
          <w:tcPr>
            <w:tcW w:w="6770" w:type="dxa"/>
            <w:vAlign w:val="center"/>
          </w:tcPr>
          <w:p w14:paraId="47DBB3F9">
            <w:pPr>
              <w:widowControl/>
              <w:snapToGrid w:val="0"/>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szCs w:val="21"/>
                <w:highlight w:val="none"/>
              </w:rPr>
              <w:t>供应商应根据采购需求编制完整、详细的工程进度计划与措施方案，包含但不限于：1.关键节点控制；2.工序衔接计划；3.进度管控机制等。</w:t>
            </w:r>
            <w:r>
              <w:rPr>
                <w:rFonts w:hint="eastAsia" w:ascii="宋体" w:hAnsi="宋体" w:cs="宋体"/>
                <w:color w:val="000000" w:themeColor="text1"/>
                <w:szCs w:val="21"/>
                <w:highlight w:val="none"/>
                <w14:textFill>
                  <w14:solidFill>
                    <w14:schemeClr w14:val="tx1"/>
                  </w14:solidFill>
                </w14:textFill>
              </w:rPr>
              <w:t>计划和措施</w:t>
            </w:r>
            <w:r>
              <w:rPr>
                <w:rFonts w:hint="eastAsia" w:ascii="宋体" w:hAnsi="宋体" w:cs="宋体"/>
                <w:szCs w:val="21"/>
                <w:highlight w:val="none"/>
              </w:rPr>
              <w:t>完整科学、合理、实用，并具有针对性，得8分；</w:t>
            </w:r>
            <w:r>
              <w:rPr>
                <w:rFonts w:hint="eastAsia" w:ascii="宋体" w:hAnsi="宋体" w:cs="宋体"/>
                <w:color w:val="000000" w:themeColor="text1"/>
                <w:szCs w:val="21"/>
                <w:highlight w:val="none"/>
                <w14:textFill>
                  <w14:solidFill>
                    <w14:schemeClr w14:val="tx1"/>
                  </w14:solidFill>
                </w14:textFill>
              </w:rPr>
              <w:t>计划和措施</w:t>
            </w:r>
            <w:r>
              <w:rPr>
                <w:rFonts w:hint="eastAsia" w:ascii="宋体" w:hAnsi="宋体" w:cs="宋体"/>
                <w:szCs w:val="21"/>
                <w:highlight w:val="none"/>
              </w:rPr>
              <w:t>较为清晰、较为详细、技术措施较为健全、较有针对性得5分；</w:t>
            </w:r>
            <w:r>
              <w:rPr>
                <w:rFonts w:hint="eastAsia" w:ascii="宋体" w:hAnsi="宋体" w:cs="宋体"/>
                <w:color w:val="000000" w:themeColor="text1"/>
                <w:szCs w:val="21"/>
                <w:highlight w:val="none"/>
                <w14:textFill>
                  <w14:solidFill>
                    <w14:schemeClr w14:val="tx1"/>
                  </w14:solidFill>
                </w14:textFill>
              </w:rPr>
              <w:t>计划和措施</w:t>
            </w:r>
            <w:r>
              <w:rPr>
                <w:rFonts w:hint="eastAsia" w:ascii="宋体" w:hAnsi="宋体" w:cs="宋体"/>
                <w:szCs w:val="21"/>
                <w:highlight w:val="none"/>
              </w:rPr>
              <w:t>内容一般、技术措施一般，基本具有针对性得3分；</w:t>
            </w:r>
            <w:r>
              <w:rPr>
                <w:rFonts w:hint="eastAsia" w:ascii="宋体" w:hAnsi="宋体" w:cs="宋体"/>
                <w:color w:val="000000" w:themeColor="text1"/>
                <w:szCs w:val="21"/>
                <w:highlight w:val="none"/>
                <w14:textFill>
                  <w14:solidFill>
                    <w14:schemeClr w14:val="tx1"/>
                  </w14:solidFill>
                </w14:textFill>
              </w:rPr>
              <w:t>方案</w:t>
            </w:r>
            <w:r>
              <w:rPr>
                <w:rFonts w:hint="eastAsia" w:ascii="宋体" w:hAnsi="宋体" w:cs="宋体"/>
                <w:szCs w:val="21"/>
                <w:highlight w:val="none"/>
              </w:rPr>
              <w:t>内容不全、有所欠缺得1分；</w:t>
            </w:r>
            <w:r>
              <w:rPr>
                <w:rFonts w:hint="eastAsia" w:ascii="宋体" w:hAnsi="宋体" w:cs="宋体"/>
                <w:color w:val="000000" w:themeColor="text1"/>
                <w:szCs w:val="21"/>
                <w:highlight w:val="none"/>
                <w14:textFill>
                  <w14:solidFill>
                    <w14:schemeClr w14:val="tx1"/>
                  </w14:solidFill>
                </w14:textFill>
              </w:rPr>
              <w:t>缺项得0分。</w:t>
            </w:r>
          </w:p>
        </w:tc>
      </w:tr>
      <w:tr w14:paraId="53A4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vAlign w:val="center"/>
          </w:tcPr>
          <w:p w14:paraId="199029A8">
            <w:pPr>
              <w:snapToGrid w:val="0"/>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商务评价</w:t>
            </w:r>
          </w:p>
          <w:p w14:paraId="4A9AC9C7">
            <w:pPr>
              <w:snapToGrid w:val="0"/>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(18分)</w:t>
            </w:r>
          </w:p>
        </w:tc>
        <w:tc>
          <w:tcPr>
            <w:tcW w:w="1473" w:type="dxa"/>
            <w:tcBorders>
              <w:top w:val="single" w:color="auto" w:sz="4" w:space="0"/>
            </w:tcBorders>
            <w:vAlign w:val="center"/>
          </w:tcPr>
          <w:p w14:paraId="2F3BB687">
            <w:pPr>
              <w:snapToGrid w:val="0"/>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1.类</w:t>
            </w:r>
            <w:r>
              <w:rPr>
                <w:rFonts w:hint="eastAsia" w:ascii="宋体" w:hAnsi="宋体" w:cs="宋体"/>
                <w:szCs w:val="21"/>
                <w:highlight w:val="none"/>
              </w:rPr>
              <w:t>似业绩（6分）</w:t>
            </w:r>
          </w:p>
        </w:tc>
        <w:tc>
          <w:tcPr>
            <w:tcW w:w="6770" w:type="dxa"/>
            <w:vAlign w:val="center"/>
          </w:tcPr>
          <w:p w14:paraId="20D62DB7">
            <w:pPr>
              <w:widowControl/>
              <w:snapToGrid w:val="0"/>
              <w:spacing w:line="32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供应商自2022年1月1日以来具有类似项目的业绩，每提供一份得2分，最多得6分。（注：以上业绩以合同关键页为准）。</w:t>
            </w:r>
          </w:p>
        </w:tc>
      </w:tr>
      <w:tr w14:paraId="0512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239" w:type="dxa"/>
            <w:vMerge w:val="continue"/>
            <w:vAlign w:val="center"/>
          </w:tcPr>
          <w:p w14:paraId="6936CFDC">
            <w:pPr>
              <w:snapToGrid w:val="0"/>
              <w:spacing w:line="320" w:lineRule="exact"/>
              <w:jc w:val="center"/>
              <w:rPr>
                <w:rFonts w:hint="eastAsia" w:ascii="宋体" w:hAnsi="宋体" w:cs="宋体"/>
                <w:color w:val="000000" w:themeColor="text1"/>
                <w:szCs w:val="21"/>
                <w:highlight w:val="none"/>
                <w14:textFill>
                  <w14:solidFill>
                    <w14:schemeClr w14:val="tx1"/>
                  </w14:solidFill>
                </w14:textFill>
              </w:rPr>
            </w:pPr>
          </w:p>
        </w:tc>
        <w:tc>
          <w:tcPr>
            <w:tcW w:w="1473" w:type="dxa"/>
            <w:tcBorders>
              <w:top w:val="single" w:color="auto" w:sz="4" w:space="0"/>
            </w:tcBorders>
            <w:vAlign w:val="center"/>
          </w:tcPr>
          <w:p w14:paraId="76D12C05">
            <w:pPr>
              <w:snapToGrid w:val="0"/>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2.特殊作业人员配备（6分）</w:t>
            </w:r>
          </w:p>
        </w:tc>
        <w:tc>
          <w:tcPr>
            <w:tcW w:w="6770" w:type="dxa"/>
            <w:vAlign w:val="center"/>
          </w:tcPr>
          <w:p w14:paraId="4500B867">
            <w:pPr>
              <w:widowControl/>
              <w:snapToGrid w:val="0"/>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供应商拟派项目团队配备人员中具有焊工、电工的，每提供1个得2分，最多得6分。</w:t>
            </w:r>
          </w:p>
          <w:p w14:paraId="5192BABF">
            <w:pPr>
              <w:widowControl/>
              <w:snapToGrid w:val="0"/>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注：</w:t>
            </w:r>
            <w:r>
              <w:rPr>
                <w:rFonts w:hint="eastAsia" w:ascii="宋体" w:hAnsi="宋体" w:cs="宋体"/>
                <w:color w:val="000000" w:themeColor="text1"/>
                <w:highlight w:val="none"/>
                <w14:textFill>
                  <w14:solidFill>
                    <w14:schemeClr w14:val="tx1"/>
                  </w14:solidFill>
                </w14:textFill>
              </w:rPr>
              <w:t>提供有效《特种设备安全管理和作业人员证》或其他法律法规要求的资质证书及本单位近半年以来任意一个月为其缴纳社保证明材料，新入职的从入职当月起算，不符合要求不得分。</w:t>
            </w:r>
          </w:p>
        </w:tc>
      </w:tr>
      <w:tr w14:paraId="6AF0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239" w:type="dxa"/>
            <w:vMerge w:val="continue"/>
            <w:vAlign w:val="center"/>
          </w:tcPr>
          <w:p w14:paraId="44ED9566">
            <w:pPr>
              <w:snapToGrid w:val="0"/>
              <w:spacing w:line="320" w:lineRule="exact"/>
              <w:jc w:val="center"/>
              <w:rPr>
                <w:rFonts w:hint="eastAsia" w:ascii="宋体" w:hAnsi="宋体" w:cs="宋体"/>
                <w:color w:val="000000" w:themeColor="text1"/>
                <w:szCs w:val="21"/>
                <w:highlight w:val="none"/>
                <w14:textFill>
                  <w14:solidFill>
                    <w14:schemeClr w14:val="tx1"/>
                  </w14:solidFill>
                </w14:textFill>
              </w:rPr>
            </w:pPr>
          </w:p>
        </w:tc>
        <w:tc>
          <w:tcPr>
            <w:tcW w:w="1473" w:type="dxa"/>
            <w:tcBorders>
              <w:top w:val="single" w:color="auto" w:sz="4" w:space="0"/>
            </w:tcBorders>
            <w:vAlign w:val="center"/>
          </w:tcPr>
          <w:p w14:paraId="69895008">
            <w:pPr>
              <w:snapToGrid w:val="0"/>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3.售后服务</w:t>
            </w:r>
          </w:p>
          <w:p w14:paraId="53D024E9">
            <w:pPr>
              <w:snapToGrid w:val="0"/>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(6分)</w:t>
            </w:r>
          </w:p>
        </w:tc>
        <w:tc>
          <w:tcPr>
            <w:tcW w:w="6770" w:type="dxa"/>
            <w:vAlign w:val="center"/>
          </w:tcPr>
          <w:p w14:paraId="47A2CD9C">
            <w:pPr>
              <w:widowControl/>
              <w:snapToGrid w:val="0"/>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供应商具有保证技术措施落实到位的承诺和落实不到位的处理承诺，其中包括各关键岗位人员（负责人及相关技术人员等）的在岗、更换等履职尽责、工程保修期内、外的优惠及服务承诺等。</w:t>
            </w:r>
          </w:p>
          <w:p w14:paraId="7324EEF6">
            <w:pPr>
              <w:widowControl/>
              <w:snapToGrid w:val="0"/>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承诺全面、详尽，合理、可行性程度强6分；承诺全面、详尽，合理、可行性程度较强4分；承诺基本全面，合理、可行性程度一般得2分；承诺不全面，合理、可行性程度差得1分。缺项得0分。</w:t>
            </w:r>
          </w:p>
        </w:tc>
      </w:tr>
      <w:tr w14:paraId="7270E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39" w:type="dxa"/>
          </w:tcPr>
          <w:p w14:paraId="1C9E2996">
            <w:pPr>
              <w:snapToGrid w:val="0"/>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得分的计算</w:t>
            </w:r>
          </w:p>
        </w:tc>
        <w:tc>
          <w:tcPr>
            <w:tcW w:w="8243" w:type="dxa"/>
            <w:gridSpan w:val="2"/>
            <w:vAlign w:val="center"/>
          </w:tcPr>
          <w:p w14:paraId="7AAE12AA">
            <w:pPr>
              <w:snapToGrid w:val="0"/>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磋商小组成员评分=各项评分因素的汇总得分。</w:t>
            </w:r>
          </w:p>
          <w:p w14:paraId="030F0649">
            <w:pPr>
              <w:snapToGrid w:val="0"/>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评标总得分=磋商小组所有成员合计评分/磋商小组组成人员数。</w:t>
            </w:r>
          </w:p>
        </w:tc>
      </w:tr>
    </w:tbl>
    <w:p w14:paraId="6FA1D960">
      <w:pPr>
        <w:snapToGrid w:val="0"/>
        <w:rPr>
          <w:rFonts w:hint="eastAsia" w:ascii="宋体" w:hAnsi="宋体" w:cs="宋体"/>
          <w:kern w:val="0"/>
          <w:szCs w:val="21"/>
          <w:highlight w:val="none"/>
        </w:rPr>
      </w:pPr>
    </w:p>
    <w:p w14:paraId="2F1D208D">
      <w:pPr>
        <w:ind w:firstLine="422"/>
        <w:rPr>
          <w:rFonts w:hint="eastAsia" w:ascii="宋体" w:hAnsi="宋体" w:cs="宋体"/>
          <w:b/>
          <w:highlight w:val="none"/>
        </w:rPr>
      </w:pPr>
      <w:r>
        <w:rPr>
          <w:rFonts w:hint="eastAsia" w:ascii="宋体" w:hAnsi="宋体" w:cs="宋体"/>
          <w:b/>
          <w:highlight w:val="none"/>
        </w:rPr>
        <w:br w:type="page"/>
      </w:r>
    </w:p>
    <w:bookmarkEnd w:id="53"/>
    <w:p w14:paraId="0B7691A0">
      <w:pPr>
        <w:rPr>
          <w:rFonts w:hint="eastAsia" w:ascii="宋体" w:hAnsi="宋体" w:cs="宋体"/>
          <w:highlight w:val="none"/>
        </w:rPr>
      </w:pPr>
      <w:bookmarkStart w:id="59" w:name="_Toc1947"/>
      <w:bookmarkStart w:id="60" w:name="_Toc1482"/>
      <w:bookmarkStart w:id="61" w:name="_Toc256519703"/>
      <w:bookmarkStart w:id="62" w:name="_Toc326786897"/>
    </w:p>
    <w:p w14:paraId="5EBD56C7">
      <w:pPr>
        <w:pStyle w:val="2"/>
        <w:snapToGrid w:val="0"/>
        <w:spacing w:before="0" w:after="0" w:line="480" w:lineRule="auto"/>
        <w:ind w:firstLine="562"/>
        <w:jc w:val="center"/>
        <w:rPr>
          <w:rFonts w:hint="eastAsia" w:ascii="宋体" w:hAnsi="宋体" w:cs="宋体"/>
          <w:sz w:val="28"/>
          <w:szCs w:val="28"/>
          <w:highlight w:val="none"/>
        </w:rPr>
      </w:pPr>
      <w:bookmarkStart w:id="63" w:name="_Toc11544"/>
      <w:r>
        <w:rPr>
          <w:rFonts w:hint="eastAsia" w:ascii="宋体" w:hAnsi="宋体" w:cs="宋体"/>
          <w:sz w:val="28"/>
          <w:szCs w:val="28"/>
          <w:highlight w:val="none"/>
        </w:rPr>
        <w:t>第五章  采购合同</w:t>
      </w:r>
      <w:bookmarkEnd w:id="63"/>
    </w:p>
    <w:p w14:paraId="20B6FE37">
      <w:pPr>
        <w:snapToGrid w:val="0"/>
        <w:spacing w:line="360" w:lineRule="auto"/>
        <w:jc w:val="center"/>
        <w:rPr>
          <w:rFonts w:hint="eastAsia" w:ascii="宋体" w:hAnsi="宋体" w:cs="宋体"/>
          <w:szCs w:val="21"/>
          <w:highlight w:val="none"/>
        </w:rPr>
      </w:pPr>
      <w:r>
        <w:rPr>
          <w:rFonts w:hint="eastAsia" w:ascii="宋体" w:hAnsi="宋体" w:cs="宋体"/>
          <w:szCs w:val="21"/>
          <w:highlight w:val="none"/>
        </w:rPr>
        <w:t>（以实际合同为准）</w:t>
      </w:r>
    </w:p>
    <w:p w14:paraId="2743495E">
      <w:pPr>
        <w:ind w:firstLine="640"/>
        <w:rPr>
          <w:rFonts w:hint="eastAsia" w:ascii="宋体" w:hAnsi="宋体" w:cs="宋体"/>
          <w:sz w:val="32"/>
          <w:szCs w:val="32"/>
          <w:highlight w:val="none"/>
        </w:rPr>
      </w:pPr>
    </w:p>
    <w:p w14:paraId="5B625644">
      <w:pPr>
        <w:rPr>
          <w:rFonts w:hint="eastAsia" w:ascii="宋体" w:hAnsi="宋体" w:cs="宋体"/>
          <w:highlight w:val="none"/>
        </w:rPr>
      </w:pPr>
      <w:r>
        <w:rPr>
          <w:rFonts w:hint="eastAsia" w:ascii="宋体" w:hAnsi="宋体" w:cs="宋体"/>
          <w:highlight w:val="none"/>
        </w:rPr>
        <w:br w:type="page"/>
      </w:r>
    </w:p>
    <w:bookmarkEnd w:id="59"/>
    <w:bookmarkEnd w:id="60"/>
    <w:p w14:paraId="6694549B">
      <w:pPr>
        <w:pStyle w:val="2"/>
        <w:ind w:firstLine="643"/>
        <w:jc w:val="center"/>
        <w:rPr>
          <w:rFonts w:hint="eastAsia" w:ascii="宋体" w:hAnsi="宋体" w:cs="宋体"/>
          <w:kern w:val="0"/>
          <w:highlight w:val="none"/>
        </w:rPr>
      </w:pPr>
      <w:bookmarkStart w:id="64" w:name="_Toc24384"/>
      <w:r>
        <w:rPr>
          <w:rFonts w:hint="eastAsia" w:ascii="宋体" w:hAnsi="宋体" w:cs="宋体"/>
          <w:sz w:val="32"/>
          <w:szCs w:val="32"/>
          <w:highlight w:val="none"/>
        </w:rPr>
        <w:t>第六章  响应文件格式</w:t>
      </w:r>
      <w:bookmarkEnd w:id="64"/>
    </w:p>
    <w:p w14:paraId="637E9958">
      <w:pPr>
        <w:ind w:firstLine="643"/>
        <w:jc w:val="center"/>
        <w:rPr>
          <w:rFonts w:hint="eastAsia" w:ascii="宋体" w:hAnsi="宋体" w:cs="宋体"/>
          <w:b/>
          <w:bCs/>
          <w:sz w:val="32"/>
          <w:szCs w:val="32"/>
          <w:highlight w:val="none"/>
        </w:rPr>
      </w:pPr>
      <w:bookmarkStart w:id="65" w:name="_Toc13604"/>
      <w:r>
        <w:rPr>
          <w:rFonts w:hint="eastAsia" w:ascii="宋体" w:hAnsi="宋体" w:cs="宋体"/>
          <w:b/>
          <w:bCs/>
          <w:sz w:val="32"/>
          <w:szCs w:val="32"/>
          <w:highlight w:val="none"/>
        </w:rPr>
        <w:t>目    录</w:t>
      </w:r>
      <w:bookmarkEnd w:id="65"/>
    </w:p>
    <w:p w14:paraId="0ACDB969">
      <w:pPr>
        <w:widowControl/>
        <w:wordWrap w:val="0"/>
        <w:spacing w:line="460" w:lineRule="exact"/>
        <w:ind w:firstLine="480" w:firstLineChars="200"/>
        <w:jc w:val="left"/>
        <w:rPr>
          <w:rFonts w:hint="eastAsia" w:ascii="宋体" w:hAnsi="宋体" w:cs="宋体"/>
          <w:kern w:val="0"/>
          <w:sz w:val="24"/>
          <w:highlight w:val="none"/>
        </w:rPr>
      </w:pPr>
    </w:p>
    <w:p w14:paraId="114EAEF7">
      <w:pPr>
        <w:snapToGrid w:val="0"/>
        <w:spacing w:line="360" w:lineRule="auto"/>
        <w:ind w:firstLine="480" w:firstLineChars="200"/>
        <w:rPr>
          <w:rFonts w:hint="eastAsia" w:ascii="宋体" w:hAnsi="宋体" w:cs="宋体"/>
          <w:sz w:val="24"/>
          <w:highlight w:val="none"/>
        </w:rPr>
      </w:pPr>
      <w:bookmarkStart w:id="66" w:name="_Toc11308"/>
      <w:r>
        <w:rPr>
          <w:rFonts w:hint="eastAsia" w:ascii="宋体" w:hAnsi="宋体" w:cs="宋体"/>
          <w:sz w:val="24"/>
          <w:highlight w:val="none"/>
        </w:rPr>
        <w:t>附件1 响应文件封面（格式）</w:t>
      </w:r>
      <w:bookmarkEnd w:id="66"/>
    </w:p>
    <w:p w14:paraId="129AE797">
      <w:pPr>
        <w:snapToGrid w:val="0"/>
        <w:spacing w:line="360" w:lineRule="auto"/>
        <w:ind w:firstLine="480" w:firstLineChars="200"/>
        <w:rPr>
          <w:rFonts w:hint="eastAsia" w:ascii="宋体" w:hAnsi="宋体" w:cs="宋体"/>
          <w:sz w:val="24"/>
          <w:highlight w:val="none"/>
        </w:rPr>
      </w:pPr>
      <w:bookmarkStart w:id="67" w:name="_Toc25345"/>
      <w:bookmarkStart w:id="68" w:name="_Toc9579"/>
      <w:r>
        <w:rPr>
          <w:rFonts w:hint="eastAsia" w:ascii="宋体" w:hAnsi="宋体" w:cs="宋体"/>
          <w:sz w:val="24"/>
          <w:highlight w:val="none"/>
        </w:rPr>
        <w:t xml:space="preserve">附件2 </w:t>
      </w:r>
      <w:r>
        <w:rPr>
          <w:rFonts w:hint="eastAsia" w:ascii="宋体" w:hAnsi="宋体" w:cs="宋体"/>
          <w:kern w:val="0"/>
          <w:sz w:val="24"/>
          <w:highlight w:val="none"/>
        </w:rPr>
        <w:t>竞争性磋商响应书</w:t>
      </w:r>
      <w:r>
        <w:rPr>
          <w:rFonts w:hint="eastAsia" w:ascii="宋体" w:hAnsi="宋体" w:cs="宋体"/>
          <w:sz w:val="24"/>
          <w:highlight w:val="none"/>
        </w:rPr>
        <w:t>（格式）</w:t>
      </w:r>
      <w:bookmarkEnd w:id="67"/>
    </w:p>
    <w:p w14:paraId="5BB345A0">
      <w:pPr>
        <w:snapToGrid w:val="0"/>
        <w:spacing w:line="360" w:lineRule="auto"/>
        <w:ind w:firstLine="480" w:firstLineChars="200"/>
        <w:rPr>
          <w:rFonts w:hint="eastAsia" w:ascii="宋体" w:hAnsi="宋体" w:cs="宋体"/>
          <w:sz w:val="24"/>
          <w:highlight w:val="none"/>
        </w:rPr>
      </w:pPr>
      <w:bookmarkStart w:id="69" w:name="_Toc10217"/>
      <w:r>
        <w:rPr>
          <w:rFonts w:hint="eastAsia" w:ascii="宋体" w:hAnsi="宋体" w:cs="宋体"/>
          <w:sz w:val="24"/>
          <w:highlight w:val="none"/>
        </w:rPr>
        <w:t xml:space="preserve">附件3 </w:t>
      </w:r>
      <w:r>
        <w:rPr>
          <w:rFonts w:hint="eastAsia" w:ascii="宋体" w:hAnsi="宋体" w:cs="宋体"/>
          <w:kern w:val="0"/>
          <w:sz w:val="24"/>
          <w:highlight w:val="none"/>
        </w:rPr>
        <w:t>初次报价一览表</w:t>
      </w:r>
      <w:r>
        <w:rPr>
          <w:rFonts w:hint="eastAsia" w:ascii="宋体" w:hAnsi="宋体" w:cs="宋体"/>
          <w:sz w:val="24"/>
          <w:highlight w:val="none"/>
        </w:rPr>
        <w:t>（格式）</w:t>
      </w:r>
      <w:bookmarkEnd w:id="69"/>
    </w:p>
    <w:p w14:paraId="0782E6B1">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附件4</w:t>
      </w:r>
      <w:bookmarkEnd w:id="68"/>
      <w:r>
        <w:rPr>
          <w:rFonts w:hint="eastAsia" w:ascii="宋体" w:hAnsi="宋体" w:cs="宋体"/>
          <w:sz w:val="24"/>
          <w:highlight w:val="none"/>
        </w:rPr>
        <w:t xml:space="preserve"> 项目预算书</w:t>
      </w:r>
    </w:p>
    <w:p w14:paraId="43D8C66E">
      <w:pPr>
        <w:snapToGrid w:val="0"/>
        <w:spacing w:line="360" w:lineRule="auto"/>
        <w:ind w:firstLine="480" w:firstLineChars="200"/>
        <w:rPr>
          <w:rFonts w:hint="eastAsia" w:ascii="宋体" w:hAnsi="宋体" w:cs="宋体"/>
          <w:sz w:val="24"/>
          <w:highlight w:val="none"/>
        </w:rPr>
      </w:pPr>
      <w:bookmarkStart w:id="70" w:name="_Toc28392"/>
      <w:r>
        <w:rPr>
          <w:rFonts w:hint="eastAsia" w:ascii="宋体" w:hAnsi="宋体" w:cs="宋体"/>
          <w:sz w:val="24"/>
          <w:highlight w:val="none"/>
        </w:rPr>
        <w:t xml:space="preserve">附件5 </w:t>
      </w:r>
      <w:bookmarkEnd w:id="70"/>
      <w:r>
        <w:rPr>
          <w:rFonts w:hint="eastAsia" w:ascii="宋体" w:hAnsi="宋体" w:cs="宋体"/>
          <w:kern w:val="0"/>
          <w:sz w:val="24"/>
          <w:highlight w:val="none"/>
        </w:rPr>
        <w:t>技术偏离表</w:t>
      </w:r>
    </w:p>
    <w:p w14:paraId="6E41314A">
      <w:pPr>
        <w:snapToGrid w:val="0"/>
        <w:spacing w:line="360" w:lineRule="auto"/>
        <w:ind w:firstLine="480" w:firstLineChars="200"/>
        <w:rPr>
          <w:rFonts w:hint="eastAsia" w:ascii="宋体" w:hAnsi="宋体" w:cs="宋体"/>
          <w:sz w:val="24"/>
          <w:highlight w:val="none"/>
        </w:rPr>
      </w:pPr>
      <w:bookmarkStart w:id="71" w:name="_Toc6234"/>
      <w:r>
        <w:rPr>
          <w:rFonts w:hint="eastAsia" w:ascii="宋体" w:hAnsi="宋体" w:cs="宋体"/>
          <w:sz w:val="24"/>
          <w:highlight w:val="none"/>
        </w:rPr>
        <w:t>附件6 商务</w:t>
      </w:r>
      <w:bookmarkEnd w:id="71"/>
      <w:r>
        <w:rPr>
          <w:rFonts w:hint="eastAsia" w:ascii="宋体" w:hAnsi="宋体" w:cs="宋体"/>
          <w:sz w:val="24"/>
          <w:highlight w:val="none"/>
        </w:rPr>
        <w:t>响应表（格式）</w:t>
      </w:r>
    </w:p>
    <w:p w14:paraId="560CE116">
      <w:pPr>
        <w:snapToGrid w:val="0"/>
        <w:spacing w:line="360" w:lineRule="auto"/>
        <w:ind w:firstLine="480" w:firstLineChars="200"/>
        <w:rPr>
          <w:rFonts w:hint="eastAsia" w:ascii="宋体" w:hAnsi="宋体" w:cs="宋体"/>
          <w:sz w:val="24"/>
          <w:highlight w:val="none"/>
        </w:rPr>
      </w:pPr>
      <w:bookmarkStart w:id="72" w:name="_Toc26231"/>
      <w:r>
        <w:rPr>
          <w:rFonts w:hint="eastAsia" w:ascii="宋体" w:hAnsi="宋体" w:cs="宋体"/>
          <w:sz w:val="24"/>
          <w:highlight w:val="none"/>
        </w:rPr>
        <w:t>附件7 法定代表人身份证明（格式）</w:t>
      </w:r>
      <w:bookmarkEnd w:id="72"/>
    </w:p>
    <w:p w14:paraId="4723F6E9">
      <w:pPr>
        <w:snapToGrid w:val="0"/>
        <w:spacing w:line="360" w:lineRule="auto"/>
        <w:ind w:firstLine="480" w:firstLineChars="200"/>
        <w:rPr>
          <w:rFonts w:hint="eastAsia" w:ascii="宋体" w:hAnsi="宋体" w:cs="宋体"/>
          <w:sz w:val="24"/>
          <w:highlight w:val="none"/>
        </w:rPr>
      </w:pPr>
      <w:bookmarkStart w:id="73" w:name="_Toc18484"/>
      <w:r>
        <w:rPr>
          <w:rFonts w:hint="eastAsia" w:ascii="宋体" w:hAnsi="宋体" w:cs="宋体"/>
          <w:sz w:val="24"/>
          <w:highlight w:val="none"/>
        </w:rPr>
        <w:t>附件8 法定代表人授权书（格式）</w:t>
      </w:r>
      <w:bookmarkEnd w:id="73"/>
    </w:p>
    <w:p w14:paraId="49C43464">
      <w:pPr>
        <w:snapToGrid w:val="0"/>
        <w:spacing w:line="360" w:lineRule="auto"/>
        <w:ind w:firstLine="480" w:firstLineChars="200"/>
        <w:rPr>
          <w:rFonts w:hint="eastAsia" w:ascii="宋体" w:hAnsi="宋体" w:cs="宋体"/>
          <w:sz w:val="24"/>
          <w:highlight w:val="none"/>
        </w:rPr>
      </w:pPr>
      <w:bookmarkStart w:id="74" w:name="_Toc31857"/>
      <w:r>
        <w:rPr>
          <w:rFonts w:hint="eastAsia" w:ascii="宋体" w:hAnsi="宋体" w:cs="宋体"/>
          <w:sz w:val="24"/>
          <w:highlight w:val="none"/>
        </w:rPr>
        <w:t>附件9 证明文件</w:t>
      </w:r>
      <w:bookmarkEnd w:id="74"/>
    </w:p>
    <w:p w14:paraId="071AC1D0">
      <w:pPr>
        <w:snapToGrid w:val="0"/>
        <w:spacing w:line="360" w:lineRule="auto"/>
        <w:ind w:firstLine="480" w:firstLineChars="200"/>
        <w:rPr>
          <w:rFonts w:hint="eastAsia" w:ascii="宋体" w:hAnsi="宋体" w:cs="宋体"/>
          <w:sz w:val="24"/>
          <w:highlight w:val="none"/>
        </w:rPr>
      </w:pPr>
      <w:bookmarkStart w:id="75" w:name="_Toc23116"/>
      <w:r>
        <w:rPr>
          <w:rFonts w:hint="eastAsia" w:ascii="宋体" w:hAnsi="宋体" w:cs="宋体"/>
          <w:sz w:val="24"/>
          <w:highlight w:val="none"/>
        </w:rPr>
        <w:t>附件10 供应商承诺书（格式）</w:t>
      </w:r>
      <w:bookmarkEnd w:id="75"/>
    </w:p>
    <w:p w14:paraId="288A081A">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附件11 供应商信用承诺函（格式）</w:t>
      </w:r>
    </w:p>
    <w:p w14:paraId="5265A87B">
      <w:pPr>
        <w:snapToGrid w:val="0"/>
        <w:spacing w:line="360" w:lineRule="auto"/>
        <w:ind w:firstLine="480" w:firstLineChars="200"/>
        <w:rPr>
          <w:rFonts w:hint="eastAsia" w:ascii="宋体" w:hAnsi="宋体" w:cs="宋体"/>
          <w:sz w:val="24"/>
          <w:highlight w:val="none"/>
        </w:rPr>
      </w:pPr>
    </w:p>
    <w:p w14:paraId="20FD6B20">
      <w:pPr>
        <w:pStyle w:val="33"/>
        <w:ind w:firstLine="210"/>
        <w:rPr>
          <w:rFonts w:hint="eastAsia" w:ascii="宋体" w:hAnsi="宋体" w:cs="宋体"/>
          <w:highlight w:val="none"/>
        </w:rPr>
      </w:pPr>
    </w:p>
    <w:p w14:paraId="35036871">
      <w:pPr>
        <w:widowControl/>
        <w:wordWrap w:val="0"/>
        <w:snapToGrid w:val="0"/>
        <w:spacing w:line="460" w:lineRule="exact"/>
        <w:ind w:firstLine="482" w:firstLineChars="200"/>
        <w:jc w:val="center"/>
        <w:rPr>
          <w:rFonts w:hint="eastAsia" w:ascii="宋体" w:hAnsi="宋体" w:cs="宋体"/>
          <w:b/>
          <w:bCs/>
          <w:kern w:val="0"/>
          <w:sz w:val="24"/>
          <w:highlight w:val="none"/>
        </w:rPr>
      </w:pPr>
    </w:p>
    <w:p w14:paraId="5ECA8B45">
      <w:pPr>
        <w:widowControl/>
        <w:wordWrap w:val="0"/>
        <w:snapToGrid w:val="0"/>
        <w:spacing w:line="460" w:lineRule="exact"/>
        <w:ind w:firstLine="482" w:firstLineChars="200"/>
        <w:jc w:val="center"/>
        <w:rPr>
          <w:rFonts w:hint="eastAsia" w:ascii="宋体" w:hAnsi="宋体" w:cs="宋体"/>
          <w:b/>
          <w:bCs/>
          <w:kern w:val="0"/>
          <w:sz w:val="24"/>
          <w:highlight w:val="none"/>
        </w:rPr>
      </w:pPr>
    </w:p>
    <w:p w14:paraId="1B4DB634">
      <w:pPr>
        <w:widowControl/>
        <w:wordWrap w:val="0"/>
        <w:snapToGrid w:val="0"/>
        <w:spacing w:line="460" w:lineRule="exact"/>
        <w:ind w:firstLine="482" w:firstLineChars="200"/>
        <w:jc w:val="center"/>
        <w:rPr>
          <w:rFonts w:hint="eastAsia" w:ascii="宋体" w:hAnsi="宋体" w:cs="宋体"/>
          <w:b/>
          <w:bCs/>
          <w:kern w:val="0"/>
          <w:sz w:val="24"/>
          <w:highlight w:val="none"/>
        </w:rPr>
      </w:pPr>
    </w:p>
    <w:p w14:paraId="0F539E18">
      <w:pPr>
        <w:pStyle w:val="3"/>
        <w:ind w:firstLine="482"/>
        <w:rPr>
          <w:rFonts w:hint="eastAsia" w:ascii="宋体" w:hAnsi="宋体" w:cs="宋体"/>
          <w:b/>
          <w:bCs/>
          <w:kern w:val="0"/>
          <w:sz w:val="24"/>
          <w:highlight w:val="none"/>
        </w:rPr>
      </w:pPr>
    </w:p>
    <w:p w14:paraId="15E4B0D9">
      <w:pPr>
        <w:pStyle w:val="4"/>
        <w:rPr>
          <w:rFonts w:hint="eastAsia" w:hAnsi="宋体"/>
          <w:b/>
          <w:bCs/>
          <w:color w:val="auto"/>
          <w:highlight w:val="none"/>
        </w:rPr>
      </w:pPr>
    </w:p>
    <w:p w14:paraId="01613C2B">
      <w:pPr>
        <w:pStyle w:val="4"/>
        <w:rPr>
          <w:rFonts w:hint="eastAsia" w:hAnsi="宋体"/>
          <w:b/>
          <w:bCs/>
          <w:color w:val="auto"/>
          <w:highlight w:val="none"/>
        </w:rPr>
      </w:pPr>
    </w:p>
    <w:p w14:paraId="0A4DEE1A">
      <w:pPr>
        <w:rPr>
          <w:rFonts w:hint="eastAsia" w:ascii="宋体" w:hAnsi="宋体" w:cs="宋体"/>
          <w:highlight w:val="none"/>
        </w:rPr>
      </w:pPr>
      <w:r>
        <w:rPr>
          <w:rFonts w:hint="eastAsia" w:ascii="宋体" w:hAnsi="宋体" w:cs="宋体"/>
          <w:highlight w:val="none"/>
        </w:rPr>
        <w:br w:type="page"/>
      </w:r>
    </w:p>
    <w:p w14:paraId="6AB422ED">
      <w:pPr>
        <w:pStyle w:val="28"/>
        <w:rPr>
          <w:rFonts w:hint="eastAsia" w:ascii="宋体" w:hAnsi="宋体" w:cs="宋体"/>
          <w:highlight w:val="none"/>
        </w:rPr>
      </w:pPr>
    </w:p>
    <w:p w14:paraId="1BACCE61">
      <w:pPr>
        <w:pStyle w:val="8"/>
        <w:snapToGrid w:val="0"/>
        <w:spacing w:before="20" w:after="20" w:line="360" w:lineRule="auto"/>
        <w:ind w:firstLine="562"/>
        <w:rPr>
          <w:rFonts w:hint="eastAsia" w:ascii="宋体" w:hAnsi="宋体" w:eastAsia="宋体" w:cs="宋体"/>
          <w:sz w:val="28"/>
          <w:szCs w:val="28"/>
          <w:highlight w:val="none"/>
        </w:rPr>
      </w:pPr>
      <w:bookmarkStart w:id="76" w:name="_Toc31798"/>
      <w:bookmarkStart w:id="77" w:name="_Toc24743"/>
      <w:r>
        <w:rPr>
          <w:rFonts w:hint="eastAsia" w:ascii="宋体" w:hAnsi="宋体" w:eastAsia="宋体" w:cs="宋体"/>
          <w:sz w:val="28"/>
          <w:szCs w:val="28"/>
          <w:highlight w:val="none"/>
        </w:rPr>
        <w:t>附件1               响应文件封面（格式）</w:t>
      </w:r>
      <w:bookmarkEnd w:id="76"/>
      <w:bookmarkEnd w:id="77"/>
    </w:p>
    <w:p w14:paraId="4F762D2A">
      <w:pPr>
        <w:widowControl/>
        <w:wordWrap w:val="0"/>
        <w:spacing w:line="460" w:lineRule="exact"/>
        <w:ind w:firstLine="482" w:firstLineChars="200"/>
        <w:jc w:val="center"/>
        <w:rPr>
          <w:rFonts w:hint="eastAsia" w:ascii="宋体" w:hAnsi="宋体" w:cs="宋体"/>
          <w:b/>
          <w:kern w:val="0"/>
          <w:sz w:val="24"/>
          <w:highlight w:val="none"/>
        </w:rPr>
      </w:pPr>
    </w:p>
    <w:p w14:paraId="03AF7A81">
      <w:pPr>
        <w:snapToGrid w:val="0"/>
        <w:spacing w:line="360" w:lineRule="auto"/>
        <w:ind w:firstLine="883"/>
        <w:jc w:val="center"/>
        <w:rPr>
          <w:rFonts w:hint="eastAsia" w:ascii="宋体" w:hAnsi="宋体" w:cs="宋体"/>
          <w:b/>
          <w:spacing w:val="90"/>
          <w:sz w:val="52"/>
          <w:szCs w:val="52"/>
          <w:highlight w:val="none"/>
        </w:rPr>
      </w:pPr>
      <w:r>
        <w:rPr>
          <w:rFonts w:hint="eastAsia" w:ascii="宋体" w:hAnsi="宋体" w:cs="宋体"/>
          <w:b/>
          <w:snapToGrid w:val="0"/>
          <w:kern w:val="0"/>
          <w:sz w:val="44"/>
          <w:szCs w:val="44"/>
          <w:highlight w:val="none"/>
        </w:rPr>
        <w:t>驻马店市中心医院</w:t>
      </w:r>
      <w:r>
        <w:rPr>
          <w:rFonts w:hint="eastAsia" w:ascii="宋体" w:hAnsi="宋体" w:cs="宋体"/>
          <w:b/>
          <w:snapToGrid w:val="0"/>
          <w:kern w:val="0"/>
          <w:sz w:val="44"/>
          <w:szCs w:val="44"/>
          <w:highlight w:val="none"/>
          <w:u w:val="single"/>
        </w:rPr>
        <w:t xml:space="preserve">      </w:t>
      </w:r>
      <w:r>
        <w:rPr>
          <w:rFonts w:hint="eastAsia" w:ascii="宋体" w:hAnsi="宋体" w:cs="宋体"/>
          <w:b/>
          <w:snapToGrid w:val="0"/>
          <w:kern w:val="0"/>
          <w:sz w:val="44"/>
          <w:szCs w:val="44"/>
          <w:highlight w:val="none"/>
        </w:rPr>
        <w:t>项目</w:t>
      </w:r>
    </w:p>
    <w:p w14:paraId="7DFB5CF5">
      <w:pPr>
        <w:snapToGrid w:val="0"/>
        <w:spacing w:line="360" w:lineRule="auto"/>
        <w:ind w:firstLine="1404"/>
        <w:jc w:val="center"/>
        <w:rPr>
          <w:rFonts w:hint="eastAsia" w:ascii="宋体" w:hAnsi="宋体" w:cs="宋体"/>
          <w:b/>
          <w:spacing w:val="90"/>
          <w:sz w:val="52"/>
          <w:szCs w:val="52"/>
          <w:highlight w:val="none"/>
        </w:rPr>
      </w:pPr>
      <w:r>
        <w:rPr>
          <w:rFonts w:hint="eastAsia" w:ascii="宋体" w:hAnsi="宋体" w:cs="宋体"/>
          <w:b/>
          <w:spacing w:val="90"/>
          <w:sz w:val="52"/>
          <w:szCs w:val="52"/>
          <w:highlight w:val="none"/>
        </w:rPr>
        <w:t>响应文件</w:t>
      </w:r>
    </w:p>
    <w:p w14:paraId="2F2A28C1">
      <w:pPr>
        <w:spacing w:line="360" w:lineRule="auto"/>
        <w:ind w:firstLine="560"/>
        <w:rPr>
          <w:rFonts w:hint="eastAsia" w:ascii="宋体" w:hAnsi="宋体" w:cs="宋体"/>
          <w:sz w:val="28"/>
          <w:highlight w:val="none"/>
        </w:rPr>
      </w:pPr>
    </w:p>
    <w:p w14:paraId="7F6A306D">
      <w:pPr>
        <w:pStyle w:val="4"/>
        <w:spacing w:line="360" w:lineRule="auto"/>
        <w:rPr>
          <w:rFonts w:hint="eastAsia" w:hAnsi="宋体"/>
          <w:color w:val="auto"/>
          <w:highlight w:val="none"/>
        </w:rPr>
      </w:pPr>
    </w:p>
    <w:p w14:paraId="27D0CE45">
      <w:pPr>
        <w:pStyle w:val="4"/>
        <w:spacing w:line="360" w:lineRule="auto"/>
        <w:rPr>
          <w:rFonts w:hint="eastAsia" w:hAnsi="宋体"/>
          <w:color w:val="auto"/>
          <w:highlight w:val="none"/>
        </w:rPr>
      </w:pPr>
    </w:p>
    <w:p w14:paraId="1085EC89">
      <w:pPr>
        <w:spacing w:line="360" w:lineRule="auto"/>
        <w:ind w:firstLine="560"/>
        <w:rPr>
          <w:rFonts w:hint="eastAsia" w:ascii="宋体" w:hAnsi="宋体" w:cs="宋体"/>
          <w:sz w:val="28"/>
          <w:highlight w:val="none"/>
        </w:rPr>
      </w:pPr>
    </w:p>
    <w:p w14:paraId="7CCFF179">
      <w:pPr>
        <w:spacing w:line="360" w:lineRule="auto"/>
        <w:ind w:firstLine="560"/>
        <w:rPr>
          <w:rFonts w:hint="eastAsia" w:ascii="宋体" w:hAnsi="宋体" w:cs="宋体"/>
          <w:sz w:val="28"/>
          <w:highlight w:val="none"/>
        </w:rPr>
      </w:pPr>
    </w:p>
    <w:p w14:paraId="506FA784">
      <w:pPr>
        <w:spacing w:line="360" w:lineRule="auto"/>
        <w:ind w:firstLine="560"/>
        <w:rPr>
          <w:rFonts w:hint="eastAsia" w:ascii="宋体" w:hAnsi="宋体" w:cs="宋体"/>
          <w:sz w:val="28"/>
          <w:highlight w:val="none"/>
        </w:rPr>
      </w:pPr>
    </w:p>
    <w:p w14:paraId="667A56D5">
      <w:pPr>
        <w:spacing w:line="360" w:lineRule="auto"/>
        <w:ind w:firstLine="560"/>
        <w:rPr>
          <w:rFonts w:hint="eastAsia" w:ascii="宋体" w:hAnsi="宋体" w:cs="宋体"/>
          <w:sz w:val="28"/>
          <w:highlight w:val="none"/>
        </w:rPr>
      </w:pPr>
    </w:p>
    <w:p w14:paraId="7E620816">
      <w:pPr>
        <w:spacing w:line="360" w:lineRule="auto"/>
        <w:ind w:firstLine="560"/>
        <w:rPr>
          <w:rFonts w:hint="eastAsia" w:ascii="宋体" w:hAnsi="宋体" w:cs="宋体"/>
          <w:sz w:val="28"/>
          <w:highlight w:val="none"/>
        </w:rPr>
      </w:pPr>
    </w:p>
    <w:p w14:paraId="11DD249D">
      <w:pPr>
        <w:spacing w:line="360" w:lineRule="auto"/>
        <w:ind w:firstLine="560"/>
        <w:rPr>
          <w:rFonts w:hint="eastAsia" w:ascii="宋体" w:hAnsi="宋体" w:cs="宋体"/>
          <w:sz w:val="28"/>
          <w:highlight w:val="none"/>
        </w:rPr>
      </w:pPr>
    </w:p>
    <w:p w14:paraId="6BD24ECF">
      <w:pPr>
        <w:spacing w:line="360" w:lineRule="auto"/>
        <w:ind w:firstLine="560"/>
        <w:jc w:val="center"/>
        <w:rPr>
          <w:rFonts w:hint="eastAsia"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（全称并加盖公章）</w:t>
      </w:r>
    </w:p>
    <w:p w14:paraId="7E2648BE">
      <w:pPr>
        <w:widowControl/>
        <w:wordWrap w:val="0"/>
        <w:spacing w:line="460" w:lineRule="exact"/>
        <w:ind w:firstLine="1400" w:firstLineChars="500"/>
        <w:rPr>
          <w:rFonts w:hint="eastAsia" w:ascii="宋体" w:hAnsi="宋体" w:cs="宋体"/>
          <w:sz w:val="28"/>
          <w:szCs w:val="28"/>
          <w:highlight w:val="none"/>
        </w:rPr>
      </w:pPr>
      <w:r>
        <w:rPr>
          <w:rFonts w:hint="eastAsia" w:ascii="宋体" w:hAnsi="宋体" w:cs="宋体"/>
          <w:sz w:val="28"/>
          <w:szCs w:val="28"/>
          <w:highlight w:val="none"/>
        </w:rPr>
        <w:t>法定代表人或委托代理人（签字或盖章）：</w:t>
      </w:r>
    </w:p>
    <w:p w14:paraId="1DC19072">
      <w:pPr>
        <w:widowControl/>
        <w:wordWrap w:val="0"/>
        <w:spacing w:line="460" w:lineRule="exact"/>
        <w:ind w:firstLine="560"/>
        <w:jc w:val="center"/>
        <w:rPr>
          <w:rFonts w:hint="eastAsia" w:ascii="宋体" w:hAnsi="宋体" w:cs="宋体"/>
          <w:b/>
          <w:kern w:val="0"/>
          <w:sz w:val="24"/>
          <w:highlight w:val="none"/>
        </w:rPr>
      </w:pPr>
      <w:r>
        <w:rPr>
          <w:rFonts w:hint="eastAsia" w:ascii="宋体" w:hAnsi="宋体" w:cs="宋体"/>
          <w:sz w:val="28"/>
          <w:szCs w:val="28"/>
          <w:highlight w:val="none"/>
        </w:rPr>
        <w:t>年   月   日</w:t>
      </w:r>
    </w:p>
    <w:p w14:paraId="25CF1CCA">
      <w:pPr>
        <w:widowControl/>
        <w:wordWrap w:val="0"/>
        <w:spacing w:line="460" w:lineRule="exact"/>
        <w:ind w:firstLine="482" w:firstLineChars="200"/>
        <w:jc w:val="left"/>
        <w:rPr>
          <w:rFonts w:hint="eastAsia" w:ascii="宋体" w:hAnsi="宋体" w:cs="宋体"/>
          <w:b/>
          <w:kern w:val="0"/>
          <w:sz w:val="24"/>
          <w:highlight w:val="none"/>
        </w:rPr>
      </w:pPr>
    </w:p>
    <w:p w14:paraId="15902DC7">
      <w:pPr>
        <w:pStyle w:val="3"/>
        <w:ind w:firstLine="482"/>
        <w:rPr>
          <w:rFonts w:hint="eastAsia" w:ascii="宋体" w:hAnsi="宋体" w:cs="宋体"/>
          <w:b/>
          <w:kern w:val="0"/>
          <w:sz w:val="24"/>
          <w:highlight w:val="none"/>
        </w:rPr>
      </w:pPr>
    </w:p>
    <w:p w14:paraId="5738EE34">
      <w:pPr>
        <w:ind w:firstLine="482"/>
        <w:rPr>
          <w:rFonts w:hint="eastAsia" w:ascii="宋体" w:hAnsi="宋体" w:cs="宋体"/>
          <w:b/>
          <w:kern w:val="0"/>
          <w:sz w:val="24"/>
          <w:highlight w:val="none"/>
        </w:rPr>
      </w:pPr>
      <w:r>
        <w:rPr>
          <w:rFonts w:hint="eastAsia" w:ascii="宋体" w:hAnsi="宋体" w:cs="宋体"/>
          <w:b/>
          <w:kern w:val="0"/>
          <w:sz w:val="24"/>
          <w:highlight w:val="none"/>
        </w:rPr>
        <w:br w:type="page"/>
      </w:r>
    </w:p>
    <w:bookmarkEnd w:id="61"/>
    <w:bookmarkEnd w:id="62"/>
    <w:p w14:paraId="3E172299">
      <w:pPr>
        <w:pStyle w:val="8"/>
        <w:snapToGrid w:val="0"/>
        <w:spacing w:before="20" w:after="20" w:line="360" w:lineRule="auto"/>
        <w:ind w:firstLine="562"/>
        <w:jc w:val="center"/>
        <w:rPr>
          <w:rFonts w:hint="eastAsia" w:ascii="宋体" w:hAnsi="宋体" w:eastAsia="宋体" w:cs="宋体"/>
          <w:sz w:val="28"/>
          <w:szCs w:val="28"/>
          <w:highlight w:val="none"/>
        </w:rPr>
      </w:pPr>
      <w:bookmarkStart w:id="78" w:name="_Toc14560"/>
      <w:bookmarkStart w:id="79" w:name="_Toc8818"/>
      <w:r>
        <w:rPr>
          <w:rFonts w:hint="eastAsia" w:ascii="宋体" w:hAnsi="宋体" w:eastAsia="宋体" w:cs="宋体"/>
          <w:sz w:val="28"/>
          <w:szCs w:val="28"/>
          <w:highlight w:val="none"/>
        </w:rPr>
        <w:t>附件2            竞争性磋商响应书（格式）</w:t>
      </w:r>
      <w:bookmarkEnd w:id="78"/>
      <w:bookmarkEnd w:id="79"/>
    </w:p>
    <w:p w14:paraId="18971C07">
      <w:pPr>
        <w:widowControl/>
        <w:wordWrap w:val="0"/>
        <w:snapToGrid w:val="0"/>
        <w:spacing w:line="460" w:lineRule="exact"/>
        <w:jc w:val="left"/>
        <w:rPr>
          <w:rFonts w:hint="eastAsia" w:ascii="宋体" w:hAnsi="宋体" w:cs="宋体"/>
          <w:kern w:val="0"/>
          <w:szCs w:val="21"/>
          <w:highlight w:val="none"/>
        </w:rPr>
      </w:pPr>
      <w:r>
        <w:rPr>
          <w:rFonts w:hint="eastAsia" w:ascii="宋体" w:hAnsi="宋体" w:cs="宋体"/>
          <w:kern w:val="0"/>
          <w:szCs w:val="21"/>
          <w:highlight w:val="none"/>
        </w:rPr>
        <w:t>致：</w:t>
      </w:r>
      <w:r>
        <w:rPr>
          <w:rFonts w:hint="eastAsia" w:ascii="宋体" w:hAnsi="宋体" w:cs="宋体"/>
          <w:kern w:val="0"/>
          <w:szCs w:val="21"/>
          <w:highlight w:val="none"/>
          <w:u w:val="single"/>
        </w:rPr>
        <w:t xml:space="preserve"> （采购人名称）</w:t>
      </w:r>
      <w:r>
        <w:rPr>
          <w:rFonts w:hint="eastAsia" w:ascii="宋体" w:hAnsi="宋体" w:cs="宋体"/>
          <w:kern w:val="0"/>
          <w:szCs w:val="21"/>
          <w:highlight w:val="none"/>
        </w:rPr>
        <w:t>：</w:t>
      </w:r>
    </w:p>
    <w:p w14:paraId="781B0737">
      <w:pPr>
        <w:widowControl/>
        <w:wordWrap w:val="0"/>
        <w:spacing w:line="460" w:lineRule="exact"/>
        <w:ind w:firstLine="525" w:firstLineChars="250"/>
        <w:jc w:val="left"/>
        <w:rPr>
          <w:rFonts w:hint="eastAsia" w:ascii="宋体" w:hAnsi="宋体" w:cs="宋体"/>
          <w:kern w:val="0"/>
          <w:szCs w:val="21"/>
          <w:highlight w:val="none"/>
        </w:rPr>
      </w:pPr>
      <w:r>
        <w:rPr>
          <w:rFonts w:hint="eastAsia" w:ascii="宋体" w:hAnsi="宋体" w:cs="宋体"/>
          <w:kern w:val="0"/>
          <w:szCs w:val="21"/>
          <w:highlight w:val="none"/>
          <w:u w:val="single"/>
        </w:rPr>
        <w:t xml:space="preserve">        （供应商名称）</w:t>
      </w:r>
      <w:r>
        <w:rPr>
          <w:rFonts w:hint="eastAsia" w:ascii="宋体" w:hAnsi="宋体" w:cs="宋体"/>
          <w:kern w:val="0"/>
          <w:szCs w:val="21"/>
          <w:highlight w:val="none"/>
        </w:rPr>
        <w:t xml:space="preserve">现委托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（姓名）为我方代理人，参加贵方组织的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项目的磋商。现正式提交下述文件1份：</w:t>
      </w:r>
    </w:p>
    <w:p w14:paraId="3FF0BE8B">
      <w:pPr>
        <w:widowControl/>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1、开标一览表。</w:t>
      </w:r>
    </w:p>
    <w:p w14:paraId="11CAB430">
      <w:pPr>
        <w:widowControl/>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2、项目预算书。</w:t>
      </w:r>
    </w:p>
    <w:p w14:paraId="286F592D">
      <w:pPr>
        <w:widowControl/>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3、技术偏离表。</w:t>
      </w:r>
    </w:p>
    <w:p w14:paraId="52BCCE9D">
      <w:pPr>
        <w:widowControl/>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4、商务响应表。</w:t>
      </w:r>
    </w:p>
    <w:p w14:paraId="304F50E0">
      <w:pPr>
        <w:widowControl/>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5、证明文件。</w:t>
      </w:r>
    </w:p>
    <w:p w14:paraId="6DDE742B">
      <w:pPr>
        <w:widowControl/>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为便于贵方公正、择优地确定中标供应商及其投标产品和服务，我方就本次投标有关事项郑重声明并宣布同意如下：</w:t>
      </w:r>
    </w:p>
    <w:p w14:paraId="0A1B8AD0">
      <w:pPr>
        <w:widowControl/>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5DA90455">
      <w:pPr>
        <w:widowControl/>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2、我方承诺在磋商活动中提供的各种材料真实有效。</w:t>
      </w:r>
    </w:p>
    <w:p w14:paraId="3818289D">
      <w:pPr>
        <w:widowControl/>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3、我方同意在响应文件有效期内遵守本响应文件中的承诺且在此期限期满之前均具有约束力。如果我方成交，响应文件有效期与合同履行期相同。</w:t>
      </w:r>
    </w:p>
    <w:p w14:paraId="11DAF2EB">
      <w:pPr>
        <w:widowControl/>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4、我方已详细审查全部采购文件，包括修改文件（如有的话）和有关附件，将自行承担因对全部采购文件理解不正确或误解而产生的相应后果。</w:t>
      </w:r>
    </w:p>
    <w:p w14:paraId="17A5D9B8">
      <w:pPr>
        <w:widowControl/>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5、我方保证尊重磋商小组的评审结果，完全理解本采购项目最低投标价不作为成交的保证。</w:t>
      </w:r>
    </w:p>
    <w:p w14:paraId="509E3219">
      <w:pPr>
        <w:widowControl/>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6、我方理解并遵守采购文件的全部规定，接受采购文件中政府采购合同的全部条款且无任何异议。</w:t>
      </w:r>
    </w:p>
    <w:p w14:paraId="5FF4C325">
      <w:pPr>
        <w:widowControl/>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7、如果我方代表</w:t>
      </w:r>
      <w:r>
        <w:rPr>
          <w:rFonts w:hint="eastAsia" w:ascii="宋体" w:hAnsi="宋体" w:cs="宋体"/>
          <w:bCs/>
          <w:kern w:val="0"/>
          <w:szCs w:val="21"/>
          <w:highlight w:val="none"/>
        </w:rPr>
        <w:t>未按时参加开标的，视同放弃开标监督权利，认可开标结果。</w:t>
      </w:r>
    </w:p>
    <w:p w14:paraId="4BEF4905">
      <w:pPr>
        <w:widowControl/>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8、如果我方存在供应商须知第9.3项所述情况，同意被认定为在经营活动中有重大违法记录。</w:t>
      </w:r>
    </w:p>
    <w:p w14:paraId="35D111D8">
      <w:pPr>
        <w:widowControl/>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9、如果发生供应商须知第25.4.1、25.4.3项所述情况，同意我方投标被作为无效磋商处理。</w:t>
      </w:r>
    </w:p>
    <w:p w14:paraId="30A65AD2">
      <w:pPr>
        <w:widowControl/>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10、如果发生供应商须知第25.5项所述情况，同意磋商小组认定我方的行为属于串通投标的行为，并自愿接受监管部门的处罚。</w:t>
      </w:r>
    </w:p>
    <w:p w14:paraId="78F6EB79">
      <w:pPr>
        <w:widowControl/>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11、如果现场变更采购方式，我方同意在不改变采购需求、资质条件等情况下，按变更后的采购方式的规定程序进行采购。</w:t>
      </w:r>
    </w:p>
    <w:p w14:paraId="33B48236">
      <w:pPr>
        <w:widowControl/>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12、如果被确定为成交供应商，我方同意按采购文件的规定领取成交通知书并缴纳服务费。否则，视为我方成交后自动放弃中标资格，承担由此引起的一切后果。</w:t>
      </w:r>
    </w:p>
    <w:p w14:paraId="2EF411D5">
      <w:pPr>
        <w:widowControl/>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13、如果被确定为成交供应商，我方同意在领取成交通知书之日起</w:t>
      </w:r>
      <w:r>
        <w:rPr>
          <w:rFonts w:hint="eastAsia" w:ascii="宋体" w:hAnsi="宋体" w:cs="宋体"/>
          <w:kern w:val="0"/>
          <w:szCs w:val="21"/>
          <w:highlight w:val="none"/>
          <w:u w:val="single"/>
        </w:rPr>
        <w:t xml:space="preserve"> 30 </w:t>
      </w:r>
      <w:r>
        <w:rPr>
          <w:rFonts w:hint="eastAsia" w:ascii="宋体" w:hAnsi="宋体" w:cs="宋体"/>
          <w:kern w:val="0"/>
          <w:szCs w:val="21"/>
          <w:highlight w:val="none"/>
        </w:rPr>
        <w:t>日内，按照采购文件的规定与采购人签订采购合同。否则，视为我方成交后无正当理由不与采购人签订合同并承担相应法律责任。</w:t>
      </w:r>
    </w:p>
    <w:p w14:paraId="645CE567">
      <w:pPr>
        <w:widowControl/>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14、我方最近3年内的被公开披露或查处的违法违规行为有：</w:t>
      </w:r>
      <w:r>
        <w:rPr>
          <w:rFonts w:hint="eastAsia" w:ascii="宋体" w:hAnsi="宋体" w:cs="宋体"/>
          <w:kern w:val="0"/>
          <w:szCs w:val="21"/>
          <w:highlight w:val="none"/>
          <w:u w:val="single"/>
        </w:rPr>
        <w:t xml:space="preserve">            </w:t>
      </w:r>
      <w:r>
        <w:rPr>
          <w:rFonts w:hint="eastAsia" w:ascii="宋体" w:hAnsi="宋体" w:cs="宋体"/>
          <w:b/>
          <w:bCs/>
          <w:kern w:val="0"/>
          <w:szCs w:val="21"/>
          <w:highlight w:val="none"/>
        </w:rPr>
        <w:t>（若无，则填无；若有，逐一列明）。</w:t>
      </w:r>
    </w:p>
    <w:p w14:paraId="5AD99621">
      <w:pPr>
        <w:widowControl/>
        <w:tabs>
          <w:tab w:val="left" w:pos="939"/>
        </w:tabs>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15、以上事项如有虚假或隐瞒，我方愿意承担一切后果和责任。</w:t>
      </w:r>
    </w:p>
    <w:p w14:paraId="68615789">
      <w:pPr>
        <w:widowControl/>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16、与磋商有关的一切正式往来通讯请寄（地址电话必须为最新并可以联系到）：</w:t>
      </w:r>
    </w:p>
    <w:p w14:paraId="79682405">
      <w:pPr>
        <w:widowControl/>
        <w:wordWrap w:val="0"/>
        <w:spacing w:line="460" w:lineRule="exact"/>
        <w:ind w:firstLine="420" w:firstLineChars="200"/>
        <w:jc w:val="left"/>
        <w:rPr>
          <w:rFonts w:hint="eastAsia" w:ascii="宋体" w:hAnsi="宋体" w:cs="宋体"/>
          <w:kern w:val="0"/>
          <w:szCs w:val="21"/>
          <w:highlight w:val="none"/>
          <w:u w:val="single"/>
        </w:rPr>
      </w:pPr>
      <w:r>
        <w:rPr>
          <w:rFonts w:hint="eastAsia" w:ascii="宋体" w:hAnsi="宋体" w:cs="宋体"/>
          <w:kern w:val="0"/>
          <w:szCs w:val="21"/>
          <w:highlight w:val="none"/>
        </w:rPr>
        <w:t xml:space="preserve">   地址：                   邮编：</w:t>
      </w:r>
    </w:p>
    <w:p w14:paraId="2B3ABA52">
      <w:pPr>
        <w:widowControl/>
        <w:wordWrap w:val="0"/>
        <w:spacing w:line="460" w:lineRule="exact"/>
        <w:ind w:firstLine="420" w:firstLineChars="200"/>
        <w:jc w:val="left"/>
        <w:rPr>
          <w:rFonts w:hint="eastAsia" w:ascii="宋体" w:hAnsi="宋体" w:cs="宋体"/>
          <w:kern w:val="0"/>
          <w:szCs w:val="21"/>
          <w:highlight w:val="none"/>
          <w:u w:val="single"/>
        </w:rPr>
      </w:pPr>
      <w:r>
        <w:rPr>
          <w:rFonts w:hint="eastAsia" w:ascii="宋体" w:hAnsi="宋体" w:cs="宋体"/>
          <w:kern w:val="0"/>
          <w:szCs w:val="21"/>
          <w:highlight w:val="none"/>
        </w:rPr>
        <w:t xml:space="preserve">   电话：                   传真： </w:t>
      </w:r>
    </w:p>
    <w:p w14:paraId="070AA1DA">
      <w:pPr>
        <w:widowControl/>
        <w:wordWrap w:val="0"/>
        <w:spacing w:line="460" w:lineRule="exact"/>
        <w:ind w:firstLine="420" w:firstLineChars="200"/>
        <w:jc w:val="left"/>
        <w:rPr>
          <w:rFonts w:hint="eastAsia" w:ascii="宋体" w:hAnsi="宋体" w:cs="宋体"/>
          <w:kern w:val="0"/>
          <w:szCs w:val="21"/>
          <w:highlight w:val="none"/>
        </w:rPr>
      </w:pPr>
    </w:p>
    <w:p w14:paraId="3DEFD54D">
      <w:pPr>
        <w:widowControl/>
        <w:wordWrap w:val="0"/>
        <w:spacing w:line="460" w:lineRule="exact"/>
        <w:ind w:firstLine="735" w:firstLineChars="350"/>
        <w:jc w:val="left"/>
        <w:rPr>
          <w:rFonts w:hint="eastAsia" w:ascii="宋体" w:hAnsi="宋体" w:cs="宋体"/>
          <w:kern w:val="0"/>
          <w:szCs w:val="21"/>
          <w:highlight w:val="none"/>
          <w:u w:val="single"/>
        </w:rPr>
      </w:pPr>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r>
        <w:rPr>
          <w:rFonts w:hint="eastAsia" w:ascii="宋体" w:hAnsi="宋体" w:cs="宋体"/>
          <w:kern w:val="0"/>
          <w:szCs w:val="21"/>
          <w:highlight w:val="none"/>
        </w:rPr>
        <w:t xml:space="preserve">： </w:t>
      </w:r>
    </w:p>
    <w:p w14:paraId="34D6D226">
      <w:pPr>
        <w:widowControl/>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   供应商：</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（全称并加盖公章）</w:t>
      </w:r>
    </w:p>
    <w:p w14:paraId="3048DA37">
      <w:pPr>
        <w:widowControl/>
        <w:snapToGrid w:val="0"/>
        <w:spacing w:line="460" w:lineRule="exact"/>
        <w:ind w:firstLine="1260" w:firstLineChars="600"/>
        <w:rPr>
          <w:rFonts w:hint="eastAsia" w:ascii="宋体" w:hAnsi="宋体" w:cs="宋体"/>
          <w:kern w:val="0"/>
          <w:sz w:val="24"/>
          <w:highlight w:val="none"/>
        </w:rPr>
      </w:pPr>
      <w:r>
        <w:rPr>
          <w:rFonts w:hint="eastAsia" w:ascii="宋体" w:hAnsi="宋体" w:cs="宋体"/>
          <w:kern w:val="0"/>
          <w:szCs w:val="21"/>
          <w:highlight w:val="none"/>
        </w:rPr>
        <w:t xml:space="preserve">年    月   日 </w:t>
      </w:r>
    </w:p>
    <w:p w14:paraId="75E844B9">
      <w:pPr>
        <w:widowControl/>
        <w:wordWrap w:val="0"/>
        <w:snapToGrid w:val="0"/>
        <w:spacing w:before="50" w:after="50" w:line="480" w:lineRule="auto"/>
        <w:ind w:firstLine="482"/>
        <w:jc w:val="left"/>
        <w:rPr>
          <w:rFonts w:hint="eastAsia" w:ascii="宋体" w:hAnsi="宋体" w:cs="宋体"/>
          <w:b/>
          <w:kern w:val="0"/>
          <w:sz w:val="24"/>
          <w:highlight w:val="none"/>
        </w:rPr>
      </w:pPr>
    </w:p>
    <w:p w14:paraId="6AA157C1">
      <w:pPr>
        <w:widowControl/>
        <w:wordWrap w:val="0"/>
        <w:snapToGrid w:val="0"/>
        <w:spacing w:before="50" w:after="50" w:line="480" w:lineRule="auto"/>
        <w:ind w:firstLine="482"/>
        <w:jc w:val="left"/>
        <w:rPr>
          <w:rFonts w:hint="eastAsia" w:ascii="宋体" w:hAnsi="宋体" w:cs="宋体"/>
          <w:b/>
          <w:kern w:val="0"/>
          <w:sz w:val="24"/>
          <w:highlight w:val="none"/>
        </w:rPr>
      </w:pPr>
    </w:p>
    <w:p w14:paraId="4AB06C57">
      <w:pPr>
        <w:spacing w:line="500" w:lineRule="exact"/>
        <w:ind w:firstLine="482"/>
        <w:jc w:val="center"/>
        <w:rPr>
          <w:rFonts w:hint="eastAsia" w:ascii="宋体" w:hAnsi="宋体" w:cs="宋体"/>
          <w:b/>
          <w:bCs/>
          <w:sz w:val="24"/>
          <w:highlight w:val="none"/>
        </w:rPr>
      </w:pPr>
    </w:p>
    <w:p w14:paraId="6D392EA7">
      <w:pPr>
        <w:ind w:firstLine="560"/>
        <w:rPr>
          <w:rFonts w:hint="eastAsia" w:ascii="宋体" w:hAnsi="宋体" w:cs="宋体"/>
          <w:sz w:val="28"/>
          <w:szCs w:val="28"/>
          <w:highlight w:val="none"/>
        </w:rPr>
      </w:pPr>
      <w:r>
        <w:rPr>
          <w:rFonts w:hint="eastAsia" w:ascii="宋体" w:hAnsi="宋体" w:cs="宋体"/>
          <w:sz w:val="28"/>
          <w:szCs w:val="28"/>
          <w:highlight w:val="none"/>
        </w:rPr>
        <w:br w:type="page"/>
      </w:r>
    </w:p>
    <w:p w14:paraId="45BFAFD5">
      <w:pPr>
        <w:pStyle w:val="8"/>
        <w:snapToGrid w:val="0"/>
        <w:spacing w:before="20" w:after="20" w:line="360" w:lineRule="auto"/>
        <w:ind w:firstLine="562"/>
        <w:jc w:val="center"/>
        <w:rPr>
          <w:rFonts w:hint="eastAsia" w:ascii="宋体" w:hAnsi="宋体" w:eastAsia="宋体" w:cs="宋体"/>
          <w:sz w:val="28"/>
          <w:szCs w:val="28"/>
          <w:highlight w:val="none"/>
        </w:rPr>
      </w:pPr>
      <w:bookmarkStart w:id="80" w:name="_Toc7838"/>
      <w:r>
        <w:rPr>
          <w:rFonts w:hint="eastAsia" w:ascii="宋体" w:hAnsi="宋体" w:eastAsia="宋体" w:cs="宋体"/>
          <w:sz w:val="28"/>
          <w:szCs w:val="28"/>
          <w:highlight w:val="none"/>
        </w:rPr>
        <w:t xml:space="preserve">附件3            </w:t>
      </w:r>
      <w:bookmarkEnd w:id="80"/>
      <w:r>
        <w:rPr>
          <w:rFonts w:hint="eastAsia" w:ascii="宋体" w:hAnsi="宋体" w:eastAsia="宋体" w:cs="宋体"/>
          <w:sz w:val="28"/>
          <w:szCs w:val="28"/>
          <w:highlight w:val="none"/>
        </w:rPr>
        <w:t>初次报价一览表（格式）</w:t>
      </w:r>
    </w:p>
    <w:p w14:paraId="65C95F42">
      <w:pPr>
        <w:spacing w:line="239" w:lineRule="auto"/>
        <w:ind w:firstLine="480"/>
        <w:jc w:val="right"/>
        <w:rPr>
          <w:rFonts w:hint="eastAsia" w:ascii="宋体" w:hAnsi="宋体" w:cs="宋体"/>
          <w:sz w:val="24"/>
          <w:highlight w:val="none"/>
        </w:rPr>
      </w:pPr>
      <w:r>
        <w:rPr>
          <w:rFonts w:hint="eastAsia" w:ascii="宋体" w:hAnsi="宋体" w:cs="宋体"/>
          <w:sz w:val="24"/>
          <w:highlight w:val="none"/>
        </w:rPr>
        <w:t>单位：人民币元</w:t>
      </w:r>
    </w:p>
    <w:p w14:paraId="795861DB">
      <w:pPr>
        <w:rPr>
          <w:rFonts w:hint="eastAsia" w:ascii="宋体" w:hAnsi="宋体" w:cs="宋体"/>
          <w:highlight w:val="none"/>
        </w:rPr>
      </w:pPr>
    </w:p>
    <w:tbl>
      <w:tblPr>
        <w:tblStyle w:val="34"/>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036"/>
      </w:tblGrid>
      <w:tr w14:paraId="0E45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978" w:type="dxa"/>
            <w:noWrap/>
            <w:vAlign w:val="center"/>
          </w:tcPr>
          <w:p w14:paraId="4EAF0A90">
            <w:pPr>
              <w:widowControl/>
              <w:snapToGrid w:val="0"/>
              <w:spacing w:before="50" w:after="50"/>
              <w:jc w:val="center"/>
              <w:rPr>
                <w:rFonts w:hint="eastAsia" w:ascii="宋体" w:hAnsi="宋体" w:cs="宋体"/>
                <w:szCs w:val="21"/>
                <w:highlight w:val="none"/>
              </w:rPr>
            </w:pPr>
            <w:r>
              <w:rPr>
                <w:rFonts w:hint="eastAsia" w:ascii="宋体" w:hAnsi="宋体" w:cs="宋体"/>
                <w:kern w:val="0"/>
                <w:szCs w:val="21"/>
                <w:highlight w:val="none"/>
              </w:rPr>
              <w:t>项目名称</w:t>
            </w:r>
          </w:p>
        </w:tc>
        <w:tc>
          <w:tcPr>
            <w:tcW w:w="7036" w:type="dxa"/>
            <w:noWrap/>
            <w:vAlign w:val="center"/>
          </w:tcPr>
          <w:p w14:paraId="2C3527D5">
            <w:pPr>
              <w:rPr>
                <w:rFonts w:hint="eastAsia" w:ascii="宋体" w:hAnsi="宋体" w:cs="宋体"/>
                <w:bCs/>
                <w:szCs w:val="21"/>
                <w:highlight w:val="none"/>
              </w:rPr>
            </w:pPr>
          </w:p>
        </w:tc>
      </w:tr>
      <w:tr w14:paraId="0010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78" w:type="dxa"/>
            <w:noWrap/>
            <w:vAlign w:val="center"/>
          </w:tcPr>
          <w:p w14:paraId="276EBBF2">
            <w:pPr>
              <w:widowControl/>
              <w:snapToGrid w:val="0"/>
              <w:spacing w:before="50" w:after="50"/>
              <w:jc w:val="center"/>
              <w:rPr>
                <w:rFonts w:hint="eastAsia" w:ascii="宋体" w:hAnsi="宋体" w:cs="宋体"/>
                <w:szCs w:val="21"/>
                <w:highlight w:val="none"/>
              </w:rPr>
            </w:pPr>
            <w:r>
              <w:rPr>
                <w:rFonts w:hint="eastAsia" w:ascii="宋体" w:hAnsi="宋体" w:cs="宋体"/>
                <w:kern w:val="0"/>
                <w:szCs w:val="21"/>
                <w:highlight w:val="none"/>
              </w:rPr>
              <w:t>供应商名称</w:t>
            </w:r>
          </w:p>
        </w:tc>
        <w:tc>
          <w:tcPr>
            <w:tcW w:w="7036" w:type="dxa"/>
            <w:noWrap/>
            <w:vAlign w:val="center"/>
          </w:tcPr>
          <w:p w14:paraId="5E2D046F">
            <w:pPr>
              <w:rPr>
                <w:rFonts w:hint="eastAsia" w:ascii="宋体" w:hAnsi="宋体" w:cs="宋体"/>
                <w:szCs w:val="21"/>
                <w:highlight w:val="none"/>
              </w:rPr>
            </w:pPr>
          </w:p>
        </w:tc>
      </w:tr>
      <w:tr w14:paraId="6C51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0215238D">
            <w:pPr>
              <w:jc w:val="center"/>
              <w:rPr>
                <w:rFonts w:hint="eastAsia" w:ascii="宋体" w:hAnsi="宋体" w:cs="宋体"/>
                <w:spacing w:val="-20"/>
                <w:szCs w:val="21"/>
                <w:highlight w:val="none"/>
              </w:rPr>
            </w:pPr>
            <w:r>
              <w:rPr>
                <w:rFonts w:hint="eastAsia" w:ascii="宋体" w:hAnsi="宋体" w:cs="宋体"/>
                <w:szCs w:val="21"/>
                <w:highlight w:val="none"/>
              </w:rPr>
              <w:t>磋商报价</w:t>
            </w:r>
          </w:p>
        </w:tc>
        <w:tc>
          <w:tcPr>
            <w:tcW w:w="7036" w:type="dxa"/>
            <w:noWrap/>
            <w:vAlign w:val="center"/>
          </w:tcPr>
          <w:p w14:paraId="00017CDE">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大写：</w:t>
            </w:r>
            <w:r>
              <w:rPr>
                <w:rFonts w:hint="eastAsia"/>
                <w:highlight w:val="none"/>
                <w:u w:val="single"/>
              </w:rPr>
              <w:t xml:space="preserve">          </w:t>
            </w:r>
            <w:r>
              <w:rPr>
                <w:rFonts w:hint="eastAsia" w:ascii="宋体" w:hAnsi="宋体" w:cs="宋体"/>
                <w:color w:val="000000" w:themeColor="text1"/>
                <w:szCs w:val="21"/>
                <w:highlight w:val="none"/>
                <w14:textFill>
                  <w14:solidFill>
                    <w14:schemeClr w14:val="tx1"/>
                  </w14:solidFill>
                </w14:textFill>
              </w:rPr>
              <w:t xml:space="preserve">        </w:t>
            </w:r>
          </w:p>
          <w:p w14:paraId="54200AF6">
            <w:pPr>
              <w:rPr>
                <w:rFonts w:hint="eastAsia"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小写：</w:t>
            </w:r>
            <w:r>
              <w:rPr>
                <w:rFonts w:hint="eastAsia"/>
                <w:highlight w:val="none"/>
                <w:u w:val="single"/>
              </w:rPr>
              <w:t xml:space="preserve">          </w:t>
            </w:r>
            <w:r>
              <w:rPr>
                <w:rFonts w:hint="eastAsia" w:ascii="宋体" w:hAnsi="宋体" w:cs="宋体"/>
                <w:color w:val="000000" w:themeColor="text1"/>
                <w:szCs w:val="21"/>
                <w:highlight w:val="none"/>
                <w14:textFill>
                  <w14:solidFill>
                    <w14:schemeClr w14:val="tx1"/>
                  </w14:solidFill>
                </w14:textFill>
              </w:rPr>
              <w:t>元（详见项目预算书）</w:t>
            </w:r>
          </w:p>
        </w:tc>
      </w:tr>
      <w:tr w14:paraId="7649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978" w:type="dxa"/>
            <w:noWrap/>
            <w:vAlign w:val="center"/>
          </w:tcPr>
          <w:p w14:paraId="087CB65E">
            <w:pPr>
              <w:jc w:val="center"/>
              <w:rPr>
                <w:rFonts w:hint="eastAsia" w:ascii="宋体" w:hAnsi="宋体" w:cs="宋体"/>
                <w:szCs w:val="21"/>
                <w:highlight w:val="none"/>
              </w:rPr>
            </w:pPr>
            <w:r>
              <w:rPr>
                <w:rFonts w:hint="eastAsia" w:ascii="宋体" w:hAnsi="宋体" w:cs="宋体"/>
                <w:szCs w:val="21"/>
                <w:highlight w:val="none"/>
              </w:rPr>
              <w:t>工期</w:t>
            </w:r>
          </w:p>
        </w:tc>
        <w:tc>
          <w:tcPr>
            <w:tcW w:w="7036" w:type="dxa"/>
            <w:noWrap/>
            <w:vAlign w:val="center"/>
          </w:tcPr>
          <w:p w14:paraId="336CF6E9">
            <w:pPr>
              <w:spacing w:line="360" w:lineRule="auto"/>
              <w:jc w:val="center"/>
              <w:rPr>
                <w:rFonts w:hint="eastAsia" w:ascii="宋体" w:hAnsi="宋体" w:cs="宋体"/>
                <w:szCs w:val="21"/>
                <w:highlight w:val="none"/>
                <w:u w:val="single"/>
              </w:rPr>
            </w:pPr>
          </w:p>
        </w:tc>
      </w:tr>
      <w:tr w14:paraId="799D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6DD3EB31">
            <w:pPr>
              <w:jc w:val="center"/>
              <w:rPr>
                <w:rFonts w:hint="eastAsia" w:ascii="宋体" w:hAnsi="宋体" w:cs="宋体"/>
                <w:kern w:val="0"/>
                <w:szCs w:val="21"/>
                <w:highlight w:val="none"/>
              </w:rPr>
            </w:pPr>
            <w:r>
              <w:rPr>
                <w:rFonts w:hint="eastAsia" w:ascii="宋体" w:hAnsi="宋体" w:cs="宋体"/>
                <w:szCs w:val="21"/>
                <w:highlight w:val="none"/>
              </w:rPr>
              <w:t>质量</w:t>
            </w:r>
          </w:p>
        </w:tc>
        <w:tc>
          <w:tcPr>
            <w:tcW w:w="7036" w:type="dxa"/>
            <w:noWrap/>
            <w:vAlign w:val="center"/>
          </w:tcPr>
          <w:p w14:paraId="75F2AB29">
            <w:pPr>
              <w:pStyle w:val="21"/>
              <w:ind w:left="0" w:leftChars="0"/>
              <w:rPr>
                <w:rFonts w:hint="eastAsia" w:cs="宋体"/>
                <w:sz w:val="21"/>
                <w:szCs w:val="21"/>
                <w:highlight w:val="none"/>
              </w:rPr>
            </w:pPr>
          </w:p>
        </w:tc>
      </w:tr>
      <w:tr w14:paraId="660D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78" w:type="dxa"/>
            <w:noWrap/>
            <w:vAlign w:val="center"/>
          </w:tcPr>
          <w:p w14:paraId="21CE7EE2">
            <w:pPr>
              <w:jc w:val="center"/>
              <w:rPr>
                <w:rFonts w:hint="eastAsia" w:ascii="宋体" w:hAnsi="宋体" w:cs="宋体"/>
                <w:szCs w:val="21"/>
                <w:highlight w:val="none"/>
              </w:rPr>
            </w:pPr>
            <w:r>
              <w:rPr>
                <w:rFonts w:hint="eastAsia" w:ascii="宋体" w:hAnsi="宋体" w:cs="宋体"/>
                <w:kern w:val="0"/>
                <w:szCs w:val="21"/>
                <w:highlight w:val="none"/>
              </w:rPr>
              <w:t>响应文件有效期</w:t>
            </w:r>
          </w:p>
        </w:tc>
        <w:tc>
          <w:tcPr>
            <w:tcW w:w="7036" w:type="dxa"/>
            <w:noWrap/>
            <w:vAlign w:val="center"/>
          </w:tcPr>
          <w:p w14:paraId="09E6606C">
            <w:pPr>
              <w:pStyle w:val="21"/>
              <w:ind w:left="0" w:leftChars="0"/>
              <w:rPr>
                <w:rFonts w:hint="eastAsia" w:cs="宋体"/>
                <w:szCs w:val="21"/>
                <w:highlight w:val="none"/>
                <w:u w:val="single"/>
              </w:rPr>
            </w:pPr>
            <w:r>
              <w:rPr>
                <w:rFonts w:hint="eastAsia" w:cs="宋体"/>
                <w:sz w:val="21"/>
                <w:szCs w:val="21"/>
                <w:highlight w:val="none"/>
              </w:rPr>
              <w:t>响应文件递交截止期结束后60日。</w:t>
            </w:r>
          </w:p>
        </w:tc>
      </w:tr>
      <w:tr w14:paraId="0D41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A38632D">
            <w:pPr>
              <w:jc w:val="center"/>
              <w:rPr>
                <w:rFonts w:hint="eastAsia" w:ascii="宋体" w:hAnsi="宋体" w:cs="宋体"/>
                <w:szCs w:val="21"/>
                <w:highlight w:val="none"/>
              </w:rPr>
            </w:pPr>
            <w:r>
              <w:rPr>
                <w:rFonts w:hint="eastAsia" w:ascii="宋体" w:hAnsi="宋体" w:cs="宋体"/>
                <w:szCs w:val="21"/>
                <w:highlight w:val="none"/>
              </w:rPr>
              <w:t>备  注</w:t>
            </w:r>
          </w:p>
        </w:tc>
        <w:tc>
          <w:tcPr>
            <w:tcW w:w="7036" w:type="dxa"/>
            <w:noWrap/>
            <w:vAlign w:val="center"/>
          </w:tcPr>
          <w:p w14:paraId="2041896B">
            <w:pPr>
              <w:pStyle w:val="21"/>
              <w:ind w:left="0" w:leftChars="0"/>
              <w:rPr>
                <w:rFonts w:hint="eastAsia" w:cs="宋体"/>
                <w:sz w:val="21"/>
                <w:szCs w:val="21"/>
                <w:highlight w:val="none"/>
              </w:rPr>
            </w:pPr>
          </w:p>
        </w:tc>
      </w:tr>
    </w:tbl>
    <w:p w14:paraId="29A68FFB">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注: 1、报价一经涂改，应在涂改处加盖单位公章或供应商代表签字或盖章，否则其投标作无效标处理。</w:t>
      </w:r>
    </w:p>
    <w:p w14:paraId="75EE67EC">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2、以上报价应与“报价明细表”中的报价相一致。</w:t>
      </w:r>
    </w:p>
    <w:p w14:paraId="5615BD79">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3、凡认为所投产品符合价格折扣条件的，在相应的产品的“备注”栏内注明符合何种折扣条件。</w:t>
      </w:r>
    </w:p>
    <w:p w14:paraId="1B12A4CC">
      <w:pPr>
        <w:spacing w:line="360" w:lineRule="auto"/>
        <w:ind w:firstLine="420" w:firstLineChars="200"/>
        <w:rPr>
          <w:rFonts w:hint="eastAsia" w:ascii="宋体" w:hAnsi="宋体" w:cs="宋体"/>
          <w:highlight w:val="none"/>
        </w:rPr>
      </w:pPr>
      <w:r>
        <w:rPr>
          <w:rFonts w:hint="eastAsia" w:ascii="宋体" w:hAnsi="宋体" w:cs="宋体"/>
          <w:kern w:val="0"/>
          <w:szCs w:val="21"/>
          <w:highlight w:val="none"/>
        </w:rPr>
        <w:t>4、供应商按格式填列，不得自行更改。否则引起的不利后果由供应商承担。</w:t>
      </w:r>
    </w:p>
    <w:p w14:paraId="3548F7C8">
      <w:pPr>
        <w:spacing w:line="360" w:lineRule="auto"/>
        <w:ind w:firstLine="420" w:firstLineChars="200"/>
        <w:jc w:val="center"/>
        <w:rPr>
          <w:rFonts w:hint="eastAsia" w:ascii="宋体" w:hAnsi="宋体" w:cs="宋体"/>
          <w:szCs w:val="21"/>
          <w:highlight w:val="none"/>
        </w:rPr>
      </w:pPr>
      <w:bookmarkStart w:id="81" w:name="_Toc20877"/>
      <w:bookmarkStart w:id="82" w:name="_Toc11620"/>
    </w:p>
    <w:bookmarkEnd w:id="81"/>
    <w:bookmarkEnd w:id="82"/>
    <w:p w14:paraId="4B568D0C">
      <w:pPr>
        <w:spacing w:line="360" w:lineRule="auto"/>
        <w:ind w:firstLine="420" w:firstLineChars="200"/>
        <w:jc w:val="center"/>
        <w:rPr>
          <w:rFonts w:hint="eastAsia" w:ascii="宋体" w:hAnsi="宋体" w:cs="宋体"/>
          <w:kern w:val="0"/>
          <w:szCs w:val="21"/>
          <w:highlight w:val="none"/>
        </w:rPr>
      </w:pPr>
      <w:bookmarkStart w:id="83" w:name="_Toc625"/>
      <w:bookmarkStart w:id="84" w:name="_Toc12222"/>
      <w:r>
        <w:rPr>
          <w:rFonts w:hint="eastAsia" w:ascii="宋体" w:hAnsi="宋体" w:cs="宋体"/>
          <w:kern w:val="0"/>
          <w:szCs w:val="21"/>
          <w:highlight w:val="none"/>
        </w:rPr>
        <w:t xml:space="preserve">              供应商：</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（全称并加盖公章）</w:t>
      </w:r>
    </w:p>
    <w:p w14:paraId="526DD395">
      <w:pPr>
        <w:spacing w:line="360" w:lineRule="auto"/>
        <w:ind w:firstLine="420" w:firstLineChars="200"/>
        <w:jc w:val="center"/>
        <w:rPr>
          <w:rFonts w:hint="eastAsia" w:ascii="宋体" w:hAnsi="宋体" w:cs="宋体"/>
          <w:szCs w:val="21"/>
          <w:highlight w:val="none"/>
          <w:u w:val="single"/>
        </w:rPr>
      </w:pPr>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bookmarkEnd w:id="83"/>
      <w:bookmarkEnd w:id="84"/>
    </w:p>
    <w:p w14:paraId="5A5AED3E">
      <w:pPr>
        <w:jc w:val="center"/>
        <w:rPr>
          <w:rFonts w:hint="eastAsia" w:ascii="宋体" w:hAnsi="宋体" w:cs="宋体"/>
          <w:szCs w:val="21"/>
          <w:highlight w:val="none"/>
        </w:rPr>
      </w:pPr>
    </w:p>
    <w:p w14:paraId="6D4C55DD">
      <w:pPr>
        <w:spacing w:line="360" w:lineRule="auto"/>
        <w:ind w:firstLine="420" w:firstLineChars="200"/>
        <w:jc w:val="center"/>
        <w:rPr>
          <w:rFonts w:hint="eastAsia" w:ascii="宋体" w:hAnsi="宋体" w:cs="宋体"/>
          <w:highlight w:val="none"/>
        </w:rPr>
      </w:pPr>
      <w:bookmarkStart w:id="85" w:name="_Toc1330"/>
      <w:bookmarkStart w:id="86" w:name="_Toc9950"/>
      <w:r>
        <w:rPr>
          <w:rFonts w:hint="eastAsia" w:ascii="宋体" w:hAnsi="宋体" w:cs="宋体"/>
          <w:szCs w:val="21"/>
          <w:highlight w:val="none"/>
        </w:rPr>
        <w:t>年  月  日</w:t>
      </w:r>
      <w:bookmarkEnd w:id="85"/>
      <w:bookmarkEnd w:id="86"/>
    </w:p>
    <w:p w14:paraId="2486E02B">
      <w:pPr>
        <w:rPr>
          <w:rFonts w:hint="eastAsia" w:ascii="宋体" w:hAnsi="宋体" w:cs="宋体"/>
          <w:highlight w:val="none"/>
        </w:rPr>
      </w:pPr>
    </w:p>
    <w:p w14:paraId="6552A637">
      <w:pPr>
        <w:spacing w:before="20" w:after="20"/>
        <w:rPr>
          <w:rFonts w:hint="eastAsia" w:ascii="宋体" w:hAnsi="宋体" w:cs="宋体"/>
          <w:highlight w:val="none"/>
        </w:rPr>
      </w:pPr>
      <w:bookmarkStart w:id="87" w:name="_Toc22004"/>
      <w:bookmarkStart w:id="88" w:name="_Toc24984"/>
    </w:p>
    <w:p w14:paraId="2EBF6898">
      <w:pPr>
        <w:rPr>
          <w:rFonts w:hint="eastAsia" w:ascii="宋体" w:hAnsi="宋体" w:cs="宋体"/>
          <w:highlight w:val="none"/>
        </w:rPr>
      </w:pPr>
    </w:p>
    <w:p w14:paraId="001C562E">
      <w:pPr>
        <w:rPr>
          <w:rFonts w:hint="eastAsia" w:ascii="宋体" w:hAnsi="宋体" w:cs="宋体"/>
          <w:highlight w:val="none"/>
        </w:rPr>
      </w:pPr>
      <w:r>
        <w:rPr>
          <w:rFonts w:hint="eastAsia" w:ascii="宋体" w:hAnsi="宋体" w:cs="宋体"/>
          <w:highlight w:val="none"/>
        </w:rPr>
        <w:br w:type="page"/>
      </w:r>
    </w:p>
    <w:bookmarkEnd w:id="87"/>
    <w:bookmarkEnd w:id="88"/>
    <w:p w14:paraId="5A22D6B6">
      <w:pPr>
        <w:widowControl/>
        <w:wordWrap w:val="0"/>
        <w:spacing w:line="460" w:lineRule="exact"/>
        <w:ind w:firstLine="1687" w:firstLineChars="600"/>
        <w:jc w:val="left"/>
        <w:rPr>
          <w:rFonts w:hint="eastAsia" w:ascii="宋体" w:hAnsi="宋体" w:cs="宋体"/>
          <w:b/>
          <w:bCs/>
          <w:sz w:val="28"/>
          <w:szCs w:val="28"/>
          <w:highlight w:val="none"/>
        </w:rPr>
      </w:pPr>
      <w:bookmarkStart w:id="89" w:name="_Toc15804"/>
      <w:bookmarkStart w:id="90" w:name="_Toc226"/>
      <w:r>
        <w:rPr>
          <w:rFonts w:hint="eastAsia" w:ascii="宋体" w:hAnsi="宋体" w:cs="宋体"/>
          <w:b/>
          <w:bCs/>
          <w:sz w:val="28"/>
          <w:szCs w:val="28"/>
          <w:highlight w:val="none"/>
        </w:rPr>
        <w:t xml:space="preserve">附件4              </w:t>
      </w:r>
      <w:bookmarkEnd w:id="89"/>
      <w:bookmarkEnd w:id="90"/>
      <w:r>
        <w:rPr>
          <w:rFonts w:hint="eastAsia" w:ascii="宋体" w:hAnsi="宋体" w:cs="宋体"/>
          <w:b/>
          <w:bCs/>
          <w:sz w:val="28"/>
          <w:szCs w:val="28"/>
          <w:highlight w:val="none"/>
        </w:rPr>
        <w:t>项目预算书</w:t>
      </w:r>
    </w:p>
    <w:p w14:paraId="0593E036">
      <w:pPr>
        <w:widowControl/>
        <w:wordWrap w:val="0"/>
        <w:spacing w:line="460" w:lineRule="exact"/>
        <w:ind w:firstLine="643" w:firstLineChars="200"/>
        <w:jc w:val="left"/>
        <w:rPr>
          <w:rFonts w:hint="eastAsia" w:ascii="宋体" w:hAnsi="宋体" w:cs="宋体"/>
          <w:b/>
          <w:kern w:val="0"/>
          <w:sz w:val="32"/>
          <w:szCs w:val="32"/>
          <w:highlight w:val="none"/>
        </w:rPr>
      </w:pPr>
    </w:p>
    <w:p w14:paraId="150D1C2F">
      <w:pPr>
        <w:widowControl/>
        <w:wordWrap w:val="0"/>
        <w:spacing w:line="460" w:lineRule="exact"/>
        <w:ind w:firstLine="643" w:firstLineChars="200"/>
        <w:jc w:val="left"/>
        <w:rPr>
          <w:rFonts w:hint="eastAsia" w:ascii="宋体" w:hAnsi="宋体" w:cs="宋体"/>
          <w:b/>
          <w:kern w:val="0"/>
          <w:sz w:val="32"/>
          <w:szCs w:val="32"/>
          <w:highlight w:val="none"/>
        </w:rPr>
      </w:pPr>
    </w:p>
    <w:p w14:paraId="32FF0321">
      <w:pPr>
        <w:widowControl/>
        <w:wordWrap w:val="0"/>
        <w:spacing w:line="460" w:lineRule="exact"/>
        <w:ind w:firstLine="643" w:firstLineChars="200"/>
        <w:jc w:val="left"/>
        <w:rPr>
          <w:rFonts w:hint="eastAsia" w:ascii="宋体" w:hAnsi="宋体" w:cs="宋体"/>
          <w:b/>
          <w:kern w:val="0"/>
          <w:sz w:val="32"/>
          <w:szCs w:val="32"/>
          <w:highlight w:val="none"/>
        </w:rPr>
      </w:pPr>
    </w:p>
    <w:p w14:paraId="7C27CA79">
      <w:pPr>
        <w:widowControl/>
        <w:wordWrap w:val="0"/>
        <w:spacing w:line="460" w:lineRule="exact"/>
        <w:ind w:firstLine="643" w:firstLineChars="200"/>
        <w:jc w:val="left"/>
        <w:rPr>
          <w:rFonts w:hint="eastAsia" w:ascii="宋体" w:hAnsi="宋体" w:cs="宋体"/>
          <w:b/>
          <w:kern w:val="0"/>
          <w:sz w:val="32"/>
          <w:szCs w:val="32"/>
          <w:highlight w:val="none"/>
        </w:rPr>
      </w:pPr>
    </w:p>
    <w:p w14:paraId="1D8F7AB9">
      <w:pPr>
        <w:widowControl/>
        <w:wordWrap w:val="0"/>
        <w:spacing w:line="460" w:lineRule="exact"/>
        <w:ind w:firstLine="643" w:firstLineChars="200"/>
        <w:jc w:val="left"/>
        <w:rPr>
          <w:rFonts w:hint="eastAsia" w:ascii="宋体" w:hAnsi="宋体" w:cs="宋体"/>
          <w:b/>
          <w:kern w:val="0"/>
          <w:sz w:val="32"/>
          <w:szCs w:val="32"/>
          <w:highlight w:val="none"/>
        </w:rPr>
      </w:pPr>
    </w:p>
    <w:p w14:paraId="2463BAF0">
      <w:pPr>
        <w:widowControl/>
        <w:wordWrap w:val="0"/>
        <w:spacing w:line="460" w:lineRule="exact"/>
        <w:ind w:firstLine="643" w:firstLineChars="200"/>
        <w:jc w:val="left"/>
        <w:rPr>
          <w:rFonts w:hint="eastAsia" w:ascii="宋体" w:hAnsi="宋体" w:cs="宋体"/>
          <w:b/>
          <w:kern w:val="0"/>
          <w:sz w:val="32"/>
          <w:szCs w:val="32"/>
          <w:highlight w:val="none"/>
        </w:rPr>
      </w:pPr>
    </w:p>
    <w:p w14:paraId="210757B7">
      <w:pPr>
        <w:widowControl/>
        <w:wordWrap w:val="0"/>
        <w:spacing w:line="460" w:lineRule="exact"/>
        <w:ind w:firstLine="643" w:firstLineChars="200"/>
        <w:jc w:val="left"/>
        <w:rPr>
          <w:rFonts w:hint="eastAsia" w:ascii="宋体" w:hAnsi="宋体" w:cs="宋体"/>
          <w:b/>
          <w:kern w:val="0"/>
          <w:sz w:val="32"/>
          <w:szCs w:val="32"/>
          <w:highlight w:val="none"/>
        </w:rPr>
      </w:pPr>
    </w:p>
    <w:p w14:paraId="31BCC8BF">
      <w:pPr>
        <w:widowControl/>
        <w:wordWrap w:val="0"/>
        <w:spacing w:line="460" w:lineRule="exact"/>
        <w:ind w:firstLine="643" w:firstLineChars="200"/>
        <w:jc w:val="left"/>
        <w:rPr>
          <w:rFonts w:hint="eastAsia" w:ascii="宋体" w:hAnsi="宋体" w:cs="宋体"/>
          <w:b/>
          <w:kern w:val="0"/>
          <w:sz w:val="32"/>
          <w:szCs w:val="32"/>
          <w:highlight w:val="none"/>
        </w:rPr>
      </w:pPr>
    </w:p>
    <w:p w14:paraId="326E02E2">
      <w:pPr>
        <w:widowControl/>
        <w:wordWrap w:val="0"/>
        <w:spacing w:line="460" w:lineRule="exact"/>
        <w:ind w:firstLine="643" w:firstLineChars="200"/>
        <w:jc w:val="left"/>
        <w:rPr>
          <w:rFonts w:hint="eastAsia" w:ascii="宋体" w:hAnsi="宋体" w:cs="宋体"/>
          <w:b/>
          <w:kern w:val="0"/>
          <w:sz w:val="32"/>
          <w:szCs w:val="32"/>
          <w:highlight w:val="none"/>
        </w:rPr>
      </w:pPr>
    </w:p>
    <w:p w14:paraId="4171541F">
      <w:pPr>
        <w:widowControl/>
        <w:wordWrap w:val="0"/>
        <w:spacing w:line="460" w:lineRule="exact"/>
        <w:ind w:firstLine="643" w:firstLineChars="200"/>
        <w:jc w:val="left"/>
        <w:rPr>
          <w:rFonts w:hint="eastAsia" w:ascii="宋体" w:hAnsi="宋体" w:cs="宋体"/>
          <w:b/>
          <w:kern w:val="0"/>
          <w:sz w:val="32"/>
          <w:szCs w:val="32"/>
          <w:highlight w:val="none"/>
        </w:rPr>
      </w:pPr>
    </w:p>
    <w:p w14:paraId="33B4EFB2">
      <w:pPr>
        <w:widowControl/>
        <w:wordWrap w:val="0"/>
        <w:spacing w:line="460" w:lineRule="exact"/>
        <w:ind w:firstLine="643" w:firstLineChars="200"/>
        <w:jc w:val="left"/>
        <w:rPr>
          <w:rFonts w:hint="eastAsia" w:ascii="宋体" w:hAnsi="宋体" w:cs="宋体"/>
          <w:b/>
          <w:kern w:val="0"/>
          <w:sz w:val="32"/>
          <w:szCs w:val="32"/>
          <w:highlight w:val="none"/>
        </w:rPr>
      </w:pPr>
    </w:p>
    <w:p w14:paraId="3F5C4F9D">
      <w:pPr>
        <w:widowControl/>
        <w:wordWrap w:val="0"/>
        <w:spacing w:line="460" w:lineRule="exact"/>
        <w:ind w:firstLine="643" w:firstLineChars="200"/>
        <w:jc w:val="left"/>
        <w:rPr>
          <w:rFonts w:hint="eastAsia" w:ascii="宋体" w:hAnsi="宋体" w:cs="宋体"/>
          <w:b/>
          <w:kern w:val="0"/>
          <w:sz w:val="32"/>
          <w:szCs w:val="32"/>
          <w:highlight w:val="none"/>
        </w:rPr>
      </w:pPr>
    </w:p>
    <w:p w14:paraId="53670C9B">
      <w:pPr>
        <w:widowControl/>
        <w:wordWrap w:val="0"/>
        <w:spacing w:line="460" w:lineRule="exact"/>
        <w:ind w:firstLine="643" w:firstLineChars="200"/>
        <w:jc w:val="left"/>
        <w:rPr>
          <w:rFonts w:hint="eastAsia" w:ascii="宋体" w:hAnsi="宋体" w:cs="宋体"/>
          <w:b/>
          <w:kern w:val="0"/>
          <w:sz w:val="32"/>
          <w:szCs w:val="32"/>
          <w:highlight w:val="none"/>
        </w:rPr>
      </w:pPr>
    </w:p>
    <w:p w14:paraId="335B7698">
      <w:pPr>
        <w:widowControl/>
        <w:wordWrap w:val="0"/>
        <w:spacing w:line="460" w:lineRule="exact"/>
        <w:ind w:firstLine="643" w:firstLineChars="200"/>
        <w:jc w:val="left"/>
        <w:rPr>
          <w:rFonts w:hint="eastAsia" w:ascii="宋体" w:hAnsi="宋体" w:cs="宋体"/>
          <w:b/>
          <w:kern w:val="0"/>
          <w:sz w:val="32"/>
          <w:szCs w:val="32"/>
          <w:highlight w:val="none"/>
        </w:rPr>
      </w:pPr>
    </w:p>
    <w:p w14:paraId="56E1685A">
      <w:pPr>
        <w:widowControl/>
        <w:wordWrap w:val="0"/>
        <w:spacing w:line="460" w:lineRule="exact"/>
        <w:ind w:firstLine="643" w:firstLineChars="200"/>
        <w:jc w:val="left"/>
        <w:rPr>
          <w:rFonts w:hint="eastAsia" w:ascii="宋体" w:hAnsi="宋体" w:cs="宋体"/>
          <w:b/>
          <w:kern w:val="0"/>
          <w:sz w:val="32"/>
          <w:szCs w:val="32"/>
          <w:highlight w:val="none"/>
        </w:rPr>
      </w:pPr>
    </w:p>
    <w:p w14:paraId="206D3B4F">
      <w:pPr>
        <w:widowControl/>
        <w:wordWrap w:val="0"/>
        <w:spacing w:line="460" w:lineRule="exact"/>
        <w:ind w:firstLine="643" w:firstLineChars="200"/>
        <w:jc w:val="left"/>
        <w:rPr>
          <w:rFonts w:hint="eastAsia" w:ascii="宋体" w:hAnsi="宋体" w:cs="宋体"/>
          <w:b/>
          <w:kern w:val="0"/>
          <w:sz w:val="32"/>
          <w:szCs w:val="32"/>
          <w:highlight w:val="none"/>
        </w:rPr>
      </w:pPr>
    </w:p>
    <w:p w14:paraId="19890DC8">
      <w:pPr>
        <w:widowControl/>
        <w:wordWrap w:val="0"/>
        <w:spacing w:line="460" w:lineRule="exact"/>
        <w:ind w:firstLine="643" w:firstLineChars="200"/>
        <w:jc w:val="left"/>
        <w:rPr>
          <w:rFonts w:hint="eastAsia" w:ascii="宋体" w:hAnsi="宋体" w:cs="宋体"/>
          <w:b/>
          <w:kern w:val="0"/>
          <w:sz w:val="32"/>
          <w:szCs w:val="32"/>
          <w:highlight w:val="none"/>
        </w:rPr>
      </w:pPr>
    </w:p>
    <w:p w14:paraId="39E28175">
      <w:pPr>
        <w:widowControl/>
        <w:wordWrap w:val="0"/>
        <w:spacing w:line="460" w:lineRule="exact"/>
        <w:ind w:firstLine="643" w:firstLineChars="200"/>
        <w:jc w:val="left"/>
        <w:rPr>
          <w:rFonts w:hint="eastAsia" w:ascii="宋体" w:hAnsi="宋体" w:cs="宋体"/>
          <w:b/>
          <w:kern w:val="0"/>
          <w:sz w:val="32"/>
          <w:szCs w:val="32"/>
          <w:highlight w:val="none"/>
        </w:rPr>
      </w:pPr>
    </w:p>
    <w:p w14:paraId="418D2A23">
      <w:pPr>
        <w:widowControl/>
        <w:wordWrap w:val="0"/>
        <w:spacing w:line="460" w:lineRule="exact"/>
        <w:ind w:firstLine="643" w:firstLineChars="200"/>
        <w:jc w:val="left"/>
        <w:rPr>
          <w:rFonts w:hint="eastAsia" w:ascii="宋体" w:hAnsi="宋体" w:cs="宋体"/>
          <w:b/>
          <w:kern w:val="0"/>
          <w:sz w:val="32"/>
          <w:szCs w:val="32"/>
          <w:highlight w:val="none"/>
        </w:rPr>
      </w:pPr>
    </w:p>
    <w:p w14:paraId="5F96693D">
      <w:pPr>
        <w:widowControl/>
        <w:wordWrap w:val="0"/>
        <w:spacing w:line="460" w:lineRule="exact"/>
        <w:ind w:firstLine="643" w:firstLineChars="200"/>
        <w:jc w:val="left"/>
        <w:rPr>
          <w:rFonts w:hint="eastAsia" w:ascii="宋体" w:hAnsi="宋体" w:cs="宋体"/>
          <w:b/>
          <w:kern w:val="0"/>
          <w:sz w:val="32"/>
          <w:szCs w:val="32"/>
          <w:highlight w:val="none"/>
        </w:rPr>
      </w:pPr>
    </w:p>
    <w:p w14:paraId="285031E9">
      <w:pPr>
        <w:widowControl/>
        <w:wordWrap w:val="0"/>
        <w:spacing w:line="460" w:lineRule="exact"/>
        <w:ind w:firstLine="643" w:firstLineChars="200"/>
        <w:jc w:val="left"/>
        <w:rPr>
          <w:rFonts w:hint="eastAsia" w:ascii="宋体" w:hAnsi="宋体" w:cs="宋体"/>
          <w:b/>
          <w:kern w:val="0"/>
          <w:sz w:val="32"/>
          <w:szCs w:val="32"/>
          <w:highlight w:val="none"/>
        </w:rPr>
      </w:pPr>
    </w:p>
    <w:p w14:paraId="27978EF0">
      <w:pPr>
        <w:widowControl/>
        <w:wordWrap w:val="0"/>
        <w:spacing w:line="460" w:lineRule="exact"/>
        <w:ind w:firstLine="643" w:firstLineChars="200"/>
        <w:jc w:val="left"/>
        <w:rPr>
          <w:rFonts w:hint="eastAsia" w:ascii="宋体" w:hAnsi="宋体" w:cs="宋体"/>
          <w:b/>
          <w:kern w:val="0"/>
          <w:sz w:val="32"/>
          <w:szCs w:val="32"/>
          <w:highlight w:val="none"/>
        </w:rPr>
      </w:pPr>
    </w:p>
    <w:p w14:paraId="7C53581D">
      <w:pPr>
        <w:widowControl/>
        <w:wordWrap w:val="0"/>
        <w:spacing w:line="460" w:lineRule="exact"/>
        <w:ind w:firstLine="643" w:firstLineChars="200"/>
        <w:jc w:val="left"/>
        <w:rPr>
          <w:rFonts w:hint="eastAsia" w:ascii="宋体" w:hAnsi="宋体" w:cs="宋体"/>
          <w:b/>
          <w:kern w:val="0"/>
          <w:sz w:val="32"/>
          <w:szCs w:val="32"/>
          <w:highlight w:val="none"/>
        </w:rPr>
      </w:pPr>
    </w:p>
    <w:p w14:paraId="246842F4">
      <w:pPr>
        <w:widowControl/>
        <w:wordWrap w:val="0"/>
        <w:snapToGrid w:val="0"/>
        <w:spacing w:before="50" w:after="159" w:afterLines="50"/>
        <w:ind w:firstLine="480"/>
        <w:jc w:val="left"/>
        <w:rPr>
          <w:rFonts w:hint="eastAsia" w:ascii="宋体" w:hAnsi="宋体" w:cs="宋体"/>
          <w:kern w:val="0"/>
          <w:sz w:val="24"/>
          <w:highlight w:val="none"/>
          <w:u w:val="single"/>
        </w:rPr>
      </w:pPr>
    </w:p>
    <w:p w14:paraId="4EDD4C34">
      <w:pPr>
        <w:pStyle w:val="8"/>
        <w:snapToGrid w:val="0"/>
        <w:spacing w:before="20" w:after="20" w:line="360" w:lineRule="auto"/>
        <w:ind w:firstLine="482"/>
        <w:jc w:val="center"/>
        <w:rPr>
          <w:rFonts w:hint="eastAsia" w:ascii="宋体" w:hAnsi="宋体" w:eastAsia="宋体" w:cs="宋体"/>
          <w:sz w:val="28"/>
          <w:szCs w:val="28"/>
          <w:highlight w:val="none"/>
        </w:rPr>
      </w:pPr>
      <w:r>
        <w:rPr>
          <w:rFonts w:hint="eastAsia" w:ascii="宋体" w:hAnsi="宋体" w:eastAsia="宋体" w:cs="宋体"/>
          <w:kern w:val="0"/>
          <w:sz w:val="24"/>
          <w:highlight w:val="none"/>
        </w:rPr>
        <w:br w:type="page"/>
      </w:r>
      <w:r>
        <w:rPr>
          <w:rFonts w:hint="eastAsia" w:ascii="宋体" w:hAnsi="宋体" w:cs="宋体"/>
          <w:kern w:val="0"/>
          <w:sz w:val="24"/>
          <w:highlight w:val="none"/>
        </w:rPr>
        <w:t xml:space="preserve">      </w:t>
      </w:r>
      <w:r>
        <w:rPr>
          <w:rFonts w:hint="eastAsia" w:ascii="宋体" w:hAnsi="宋体" w:eastAsia="宋体" w:cs="宋体"/>
          <w:sz w:val="28"/>
          <w:szCs w:val="28"/>
          <w:highlight w:val="none"/>
        </w:rPr>
        <w:t>附件5     技术响应表（格式）</w:t>
      </w:r>
    </w:p>
    <w:tbl>
      <w:tblPr>
        <w:tblStyle w:val="91"/>
        <w:tblW w:w="93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
        <w:gridCol w:w="2479"/>
        <w:gridCol w:w="2247"/>
        <w:gridCol w:w="1386"/>
        <w:gridCol w:w="1386"/>
        <w:gridCol w:w="1135"/>
      </w:tblGrid>
      <w:tr w14:paraId="53358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8" w:hRule="atLeast"/>
        </w:trPr>
        <w:tc>
          <w:tcPr>
            <w:tcW w:w="729" w:type="dxa"/>
            <w:vAlign w:val="center"/>
          </w:tcPr>
          <w:p w14:paraId="1AC13E42">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序号</w:t>
            </w:r>
          </w:p>
        </w:tc>
        <w:tc>
          <w:tcPr>
            <w:tcW w:w="2479" w:type="dxa"/>
            <w:vAlign w:val="center"/>
          </w:tcPr>
          <w:p w14:paraId="027E3BE1">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服务名称</w:t>
            </w:r>
          </w:p>
        </w:tc>
        <w:tc>
          <w:tcPr>
            <w:tcW w:w="2247" w:type="dxa"/>
            <w:vAlign w:val="center"/>
          </w:tcPr>
          <w:p w14:paraId="3FCBC84E">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磋商文件要求</w:t>
            </w:r>
          </w:p>
        </w:tc>
        <w:tc>
          <w:tcPr>
            <w:tcW w:w="1386" w:type="dxa"/>
            <w:vAlign w:val="center"/>
          </w:tcPr>
          <w:p w14:paraId="07D04091">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响应文件响应</w:t>
            </w:r>
          </w:p>
        </w:tc>
        <w:tc>
          <w:tcPr>
            <w:tcW w:w="1386" w:type="dxa"/>
            <w:vAlign w:val="center"/>
          </w:tcPr>
          <w:p w14:paraId="5B49B831">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偏离情况</w:t>
            </w:r>
          </w:p>
        </w:tc>
        <w:tc>
          <w:tcPr>
            <w:tcW w:w="1135" w:type="dxa"/>
            <w:vAlign w:val="center"/>
          </w:tcPr>
          <w:p w14:paraId="362C0E83">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备注</w:t>
            </w:r>
          </w:p>
        </w:tc>
      </w:tr>
      <w:tr w14:paraId="0D7F4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1" w:hRule="atLeast"/>
        </w:trPr>
        <w:tc>
          <w:tcPr>
            <w:tcW w:w="729" w:type="dxa"/>
            <w:vAlign w:val="center"/>
          </w:tcPr>
          <w:p w14:paraId="46C31588">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1</w:t>
            </w:r>
          </w:p>
        </w:tc>
        <w:tc>
          <w:tcPr>
            <w:tcW w:w="2479" w:type="dxa"/>
            <w:vAlign w:val="center"/>
          </w:tcPr>
          <w:p w14:paraId="451DE8FC">
            <w:pPr>
              <w:widowControl/>
              <w:spacing w:line="360" w:lineRule="auto"/>
              <w:jc w:val="center"/>
              <w:textAlignment w:val="baseline"/>
              <w:rPr>
                <w:rFonts w:hint="eastAsia" w:ascii="宋体" w:hAnsi="宋体" w:cs="宋体"/>
                <w:szCs w:val="21"/>
                <w:highlight w:val="none"/>
              </w:rPr>
            </w:pPr>
          </w:p>
        </w:tc>
        <w:tc>
          <w:tcPr>
            <w:tcW w:w="2247" w:type="dxa"/>
            <w:vAlign w:val="center"/>
          </w:tcPr>
          <w:p w14:paraId="277FD893">
            <w:pPr>
              <w:widowControl/>
              <w:spacing w:line="360" w:lineRule="auto"/>
              <w:jc w:val="center"/>
              <w:textAlignment w:val="baseline"/>
              <w:rPr>
                <w:rFonts w:hint="eastAsia" w:ascii="宋体" w:hAnsi="宋体" w:cs="宋体"/>
                <w:szCs w:val="21"/>
                <w:highlight w:val="none"/>
              </w:rPr>
            </w:pPr>
          </w:p>
        </w:tc>
        <w:tc>
          <w:tcPr>
            <w:tcW w:w="1386" w:type="dxa"/>
            <w:vAlign w:val="center"/>
          </w:tcPr>
          <w:p w14:paraId="6EA44EC0">
            <w:pPr>
              <w:widowControl/>
              <w:spacing w:line="360" w:lineRule="auto"/>
              <w:jc w:val="center"/>
              <w:textAlignment w:val="baseline"/>
              <w:rPr>
                <w:rFonts w:hint="eastAsia" w:ascii="宋体" w:hAnsi="宋体" w:cs="宋体"/>
                <w:szCs w:val="21"/>
                <w:highlight w:val="none"/>
              </w:rPr>
            </w:pPr>
          </w:p>
        </w:tc>
        <w:tc>
          <w:tcPr>
            <w:tcW w:w="1386" w:type="dxa"/>
            <w:vAlign w:val="center"/>
          </w:tcPr>
          <w:p w14:paraId="306E034D">
            <w:pPr>
              <w:widowControl/>
              <w:spacing w:line="360" w:lineRule="auto"/>
              <w:jc w:val="center"/>
              <w:textAlignment w:val="baseline"/>
              <w:rPr>
                <w:rFonts w:hint="eastAsia" w:ascii="宋体" w:hAnsi="宋体" w:cs="宋体"/>
                <w:szCs w:val="21"/>
                <w:highlight w:val="none"/>
              </w:rPr>
            </w:pPr>
          </w:p>
        </w:tc>
        <w:tc>
          <w:tcPr>
            <w:tcW w:w="1135" w:type="dxa"/>
            <w:vAlign w:val="center"/>
          </w:tcPr>
          <w:p w14:paraId="07817C04">
            <w:pPr>
              <w:widowControl/>
              <w:spacing w:line="360" w:lineRule="auto"/>
              <w:jc w:val="center"/>
              <w:textAlignment w:val="baseline"/>
              <w:rPr>
                <w:rFonts w:hint="eastAsia" w:ascii="宋体" w:hAnsi="宋体" w:cs="宋体"/>
                <w:szCs w:val="21"/>
                <w:highlight w:val="none"/>
              </w:rPr>
            </w:pPr>
          </w:p>
        </w:tc>
      </w:tr>
      <w:tr w14:paraId="4E36D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2" w:hRule="atLeast"/>
        </w:trPr>
        <w:tc>
          <w:tcPr>
            <w:tcW w:w="729" w:type="dxa"/>
            <w:vAlign w:val="center"/>
          </w:tcPr>
          <w:p w14:paraId="67C0286F">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2</w:t>
            </w:r>
          </w:p>
        </w:tc>
        <w:tc>
          <w:tcPr>
            <w:tcW w:w="2479" w:type="dxa"/>
            <w:vAlign w:val="center"/>
          </w:tcPr>
          <w:p w14:paraId="51DC24E8">
            <w:pPr>
              <w:widowControl/>
              <w:spacing w:line="360" w:lineRule="auto"/>
              <w:jc w:val="center"/>
              <w:textAlignment w:val="baseline"/>
              <w:rPr>
                <w:rFonts w:hint="eastAsia" w:ascii="宋体" w:hAnsi="宋体" w:cs="宋体"/>
                <w:szCs w:val="21"/>
                <w:highlight w:val="none"/>
              </w:rPr>
            </w:pPr>
          </w:p>
        </w:tc>
        <w:tc>
          <w:tcPr>
            <w:tcW w:w="2247" w:type="dxa"/>
            <w:vAlign w:val="center"/>
          </w:tcPr>
          <w:p w14:paraId="0580B86B">
            <w:pPr>
              <w:widowControl/>
              <w:spacing w:line="360" w:lineRule="auto"/>
              <w:jc w:val="center"/>
              <w:textAlignment w:val="baseline"/>
              <w:rPr>
                <w:rFonts w:hint="eastAsia" w:ascii="宋体" w:hAnsi="宋体" w:cs="宋体"/>
                <w:szCs w:val="21"/>
                <w:highlight w:val="none"/>
              </w:rPr>
            </w:pPr>
          </w:p>
        </w:tc>
        <w:tc>
          <w:tcPr>
            <w:tcW w:w="1386" w:type="dxa"/>
            <w:vAlign w:val="center"/>
          </w:tcPr>
          <w:p w14:paraId="362F9612">
            <w:pPr>
              <w:widowControl/>
              <w:spacing w:line="360" w:lineRule="auto"/>
              <w:jc w:val="center"/>
              <w:textAlignment w:val="baseline"/>
              <w:rPr>
                <w:rFonts w:hint="eastAsia" w:ascii="宋体" w:hAnsi="宋体" w:cs="宋体"/>
                <w:szCs w:val="21"/>
                <w:highlight w:val="none"/>
              </w:rPr>
            </w:pPr>
          </w:p>
        </w:tc>
        <w:tc>
          <w:tcPr>
            <w:tcW w:w="1386" w:type="dxa"/>
            <w:vAlign w:val="center"/>
          </w:tcPr>
          <w:p w14:paraId="5A9D0907">
            <w:pPr>
              <w:widowControl/>
              <w:spacing w:line="360" w:lineRule="auto"/>
              <w:jc w:val="center"/>
              <w:textAlignment w:val="baseline"/>
              <w:rPr>
                <w:rFonts w:hint="eastAsia" w:ascii="宋体" w:hAnsi="宋体" w:cs="宋体"/>
                <w:szCs w:val="21"/>
                <w:highlight w:val="none"/>
              </w:rPr>
            </w:pPr>
          </w:p>
        </w:tc>
        <w:tc>
          <w:tcPr>
            <w:tcW w:w="1135" w:type="dxa"/>
            <w:vAlign w:val="center"/>
          </w:tcPr>
          <w:p w14:paraId="55703F3D">
            <w:pPr>
              <w:widowControl/>
              <w:spacing w:line="360" w:lineRule="auto"/>
              <w:jc w:val="center"/>
              <w:textAlignment w:val="baseline"/>
              <w:rPr>
                <w:rFonts w:hint="eastAsia" w:ascii="宋体" w:hAnsi="宋体" w:cs="宋体"/>
                <w:szCs w:val="21"/>
                <w:highlight w:val="none"/>
              </w:rPr>
            </w:pPr>
          </w:p>
        </w:tc>
      </w:tr>
      <w:tr w14:paraId="796C9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0" w:hRule="atLeast"/>
        </w:trPr>
        <w:tc>
          <w:tcPr>
            <w:tcW w:w="729" w:type="dxa"/>
            <w:vAlign w:val="center"/>
          </w:tcPr>
          <w:p w14:paraId="29EF93D9">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w:t>
            </w:r>
          </w:p>
        </w:tc>
        <w:tc>
          <w:tcPr>
            <w:tcW w:w="2479" w:type="dxa"/>
            <w:vAlign w:val="center"/>
          </w:tcPr>
          <w:p w14:paraId="6707AA3F">
            <w:pPr>
              <w:widowControl/>
              <w:spacing w:line="360" w:lineRule="auto"/>
              <w:jc w:val="center"/>
              <w:textAlignment w:val="baseline"/>
              <w:rPr>
                <w:rFonts w:hint="eastAsia" w:ascii="宋体" w:hAnsi="宋体" w:cs="宋体"/>
                <w:szCs w:val="21"/>
                <w:highlight w:val="none"/>
              </w:rPr>
            </w:pPr>
          </w:p>
        </w:tc>
        <w:tc>
          <w:tcPr>
            <w:tcW w:w="2247" w:type="dxa"/>
            <w:vAlign w:val="center"/>
          </w:tcPr>
          <w:p w14:paraId="2C1B187E">
            <w:pPr>
              <w:widowControl/>
              <w:spacing w:line="360" w:lineRule="auto"/>
              <w:jc w:val="center"/>
              <w:textAlignment w:val="baseline"/>
              <w:rPr>
                <w:rFonts w:hint="eastAsia" w:ascii="宋体" w:hAnsi="宋体" w:cs="宋体"/>
                <w:szCs w:val="21"/>
                <w:highlight w:val="none"/>
              </w:rPr>
            </w:pPr>
          </w:p>
        </w:tc>
        <w:tc>
          <w:tcPr>
            <w:tcW w:w="1386" w:type="dxa"/>
            <w:vAlign w:val="center"/>
          </w:tcPr>
          <w:p w14:paraId="268758F1">
            <w:pPr>
              <w:widowControl/>
              <w:spacing w:line="360" w:lineRule="auto"/>
              <w:jc w:val="center"/>
              <w:textAlignment w:val="baseline"/>
              <w:rPr>
                <w:rFonts w:hint="eastAsia" w:ascii="宋体" w:hAnsi="宋体" w:cs="宋体"/>
                <w:szCs w:val="21"/>
                <w:highlight w:val="none"/>
              </w:rPr>
            </w:pPr>
          </w:p>
        </w:tc>
        <w:tc>
          <w:tcPr>
            <w:tcW w:w="1386" w:type="dxa"/>
            <w:vAlign w:val="center"/>
          </w:tcPr>
          <w:p w14:paraId="316BCDC0">
            <w:pPr>
              <w:widowControl/>
              <w:spacing w:line="360" w:lineRule="auto"/>
              <w:jc w:val="center"/>
              <w:textAlignment w:val="baseline"/>
              <w:rPr>
                <w:rFonts w:hint="eastAsia" w:ascii="宋体" w:hAnsi="宋体" w:cs="宋体"/>
                <w:szCs w:val="21"/>
                <w:highlight w:val="none"/>
              </w:rPr>
            </w:pPr>
          </w:p>
        </w:tc>
        <w:tc>
          <w:tcPr>
            <w:tcW w:w="1135" w:type="dxa"/>
            <w:vAlign w:val="center"/>
          </w:tcPr>
          <w:p w14:paraId="0FC0FB12">
            <w:pPr>
              <w:widowControl/>
              <w:spacing w:line="360" w:lineRule="auto"/>
              <w:jc w:val="center"/>
              <w:textAlignment w:val="baseline"/>
              <w:rPr>
                <w:rFonts w:hint="eastAsia" w:ascii="宋体" w:hAnsi="宋体" w:cs="宋体"/>
                <w:szCs w:val="21"/>
                <w:highlight w:val="none"/>
              </w:rPr>
            </w:pPr>
          </w:p>
        </w:tc>
      </w:tr>
    </w:tbl>
    <w:p w14:paraId="56E25D83">
      <w:pPr>
        <w:widowControl/>
        <w:wordWrap w:val="0"/>
        <w:spacing w:line="460" w:lineRule="exact"/>
        <w:ind w:firstLine="422" w:firstLineChars="200"/>
        <w:jc w:val="left"/>
        <w:rPr>
          <w:rFonts w:hint="eastAsia" w:ascii="宋体" w:hAnsi="宋体" w:cs="宋体"/>
          <w:b/>
          <w:kern w:val="0"/>
          <w:szCs w:val="21"/>
          <w:highlight w:val="none"/>
        </w:rPr>
      </w:pPr>
    </w:p>
    <w:p w14:paraId="452A3EBC">
      <w:pPr>
        <w:widowControl/>
        <w:spacing w:line="360" w:lineRule="auto"/>
        <w:textAlignment w:val="baseline"/>
        <w:rPr>
          <w:rFonts w:hint="eastAsia" w:ascii="宋体" w:hAnsi="宋体" w:cs="宋体"/>
          <w:szCs w:val="21"/>
          <w:highlight w:val="none"/>
        </w:rPr>
      </w:pPr>
      <w:r>
        <w:rPr>
          <w:rFonts w:hint="eastAsia" w:ascii="宋体" w:hAnsi="宋体" w:cs="宋体"/>
          <w:szCs w:val="21"/>
          <w:highlight w:val="none"/>
        </w:rPr>
        <w:t>注：供应商必须如实完整填写表格，“偏离情况”是指“正偏离”、“负偏离”或“无偏离”。</w:t>
      </w:r>
    </w:p>
    <w:p w14:paraId="00B58B77">
      <w:pPr>
        <w:widowControl/>
        <w:spacing w:line="360" w:lineRule="auto"/>
        <w:textAlignment w:val="baseline"/>
        <w:rPr>
          <w:rFonts w:hint="eastAsia" w:ascii="宋体" w:hAnsi="宋体" w:cs="宋体"/>
          <w:szCs w:val="21"/>
          <w:highlight w:val="none"/>
        </w:rPr>
      </w:pPr>
    </w:p>
    <w:p w14:paraId="4FB40D8D">
      <w:pPr>
        <w:widowControl/>
        <w:spacing w:line="360" w:lineRule="auto"/>
        <w:textAlignment w:val="baseline"/>
        <w:rPr>
          <w:rFonts w:hint="eastAsia" w:ascii="宋体" w:hAnsi="宋体" w:cs="宋体"/>
          <w:szCs w:val="21"/>
          <w:highlight w:val="none"/>
        </w:rPr>
      </w:pPr>
      <w:r>
        <w:rPr>
          <w:rFonts w:hint="eastAsia" w:ascii="宋体" w:hAnsi="宋体" w:cs="宋体"/>
          <w:szCs w:val="21"/>
          <w:highlight w:val="none"/>
        </w:rPr>
        <w:t xml:space="preserve">              </w:t>
      </w:r>
    </w:p>
    <w:p w14:paraId="4978B257">
      <w:pPr>
        <w:widowControl/>
        <w:spacing w:line="360" w:lineRule="auto"/>
        <w:ind w:firstLine="2100" w:firstLineChars="1000"/>
        <w:textAlignment w:val="baseline"/>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365E89EC">
      <w:pPr>
        <w:widowControl/>
        <w:wordWrap w:val="0"/>
        <w:spacing w:line="460" w:lineRule="exact"/>
        <w:ind w:firstLine="3570" w:firstLineChars="1700"/>
        <w:jc w:val="left"/>
        <w:rPr>
          <w:rFonts w:hint="eastAsia" w:ascii="宋体" w:hAnsi="宋体" w:cs="宋体"/>
          <w:b/>
          <w:kern w:val="0"/>
          <w:sz w:val="32"/>
          <w:szCs w:val="32"/>
          <w:highlight w:val="none"/>
        </w:rPr>
      </w:pPr>
      <w:r>
        <w:rPr>
          <w:rFonts w:hint="eastAsia" w:ascii="宋体" w:hAnsi="宋体" w:cs="宋体"/>
          <w:szCs w:val="21"/>
          <w:highlight w:val="none"/>
        </w:rPr>
        <w:t>年    月    日</w:t>
      </w:r>
    </w:p>
    <w:p w14:paraId="63DE062A">
      <w:pPr>
        <w:widowControl/>
        <w:wordWrap w:val="0"/>
        <w:spacing w:before="50" w:after="50" w:line="480" w:lineRule="auto"/>
        <w:ind w:firstLine="482"/>
        <w:jc w:val="left"/>
        <w:rPr>
          <w:rFonts w:hint="eastAsia" w:ascii="宋体" w:hAnsi="宋体" w:cs="宋体"/>
          <w:b/>
          <w:kern w:val="0"/>
          <w:sz w:val="24"/>
          <w:highlight w:val="none"/>
        </w:rPr>
      </w:pPr>
    </w:p>
    <w:p w14:paraId="579F5485">
      <w:pPr>
        <w:ind w:firstLine="482"/>
        <w:rPr>
          <w:rFonts w:hint="eastAsia" w:ascii="宋体" w:hAnsi="宋体" w:cs="宋体"/>
          <w:b/>
          <w:kern w:val="0"/>
          <w:sz w:val="24"/>
          <w:highlight w:val="none"/>
        </w:rPr>
      </w:pPr>
      <w:r>
        <w:rPr>
          <w:rFonts w:hint="eastAsia" w:ascii="宋体" w:hAnsi="宋体" w:cs="宋体"/>
          <w:b/>
          <w:kern w:val="0"/>
          <w:sz w:val="24"/>
          <w:highlight w:val="none"/>
        </w:rPr>
        <w:br w:type="page"/>
      </w:r>
    </w:p>
    <w:p w14:paraId="167A554D">
      <w:pPr>
        <w:pStyle w:val="8"/>
        <w:snapToGrid w:val="0"/>
        <w:spacing w:before="20" w:after="20" w:line="360" w:lineRule="auto"/>
        <w:ind w:firstLine="562"/>
        <w:jc w:val="center"/>
        <w:rPr>
          <w:rFonts w:hint="eastAsia" w:ascii="宋体" w:hAnsi="宋体" w:eastAsia="宋体" w:cs="宋体"/>
          <w:sz w:val="28"/>
          <w:szCs w:val="28"/>
          <w:highlight w:val="none"/>
        </w:rPr>
      </w:pPr>
      <w:bookmarkStart w:id="91" w:name="_Toc29960"/>
      <w:bookmarkStart w:id="92" w:name="_Toc20420"/>
      <w:bookmarkStart w:id="93" w:name="_Toc24168"/>
      <w:r>
        <w:rPr>
          <w:rFonts w:hint="eastAsia" w:ascii="宋体" w:hAnsi="宋体" w:eastAsia="宋体" w:cs="宋体"/>
          <w:sz w:val="28"/>
          <w:szCs w:val="28"/>
          <w:highlight w:val="none"/>
        </w:rPr>
        <w:t>附件6        商务响应</w:t>
      </w:r>
      <w:bookmarkEnd w:id="91"/>
      <w:bookmarkEnd w:id="92"/>
      <w:bookmarkEnd w:id="93"/>
      <w:r>
        <w:rPr>
          <w:rFonts w:hint="eastAsia" w:ascii="宋体" w:hAnsi="宋体" w:eastAsia="宋体" w:cs="宋体"/>
          <w:sz w:val="28"/>
          <w:szCs w:val="28"/>
          <w:highlight w:val="none"/>
        </w:rPr>
        <w:t>表（格式）</w:t>
      </w:r>
    </w:p>
    <w:tbl>
      <w:tblPr>
        <w:tblStyle w:val="91"/>
        <w:tblW w:w="86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9"/>
        <w:gridCol w:w="2040"/>
        <w:gridCol w:w="2355"/>
        <w:gridCol w:w="2370"/>
        <w:gridCol w:w="1144"/>
      </w:tblGrid>
      <w:tr w14:paraId="45E34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4" w:hRule="atLeast"/>
          <w:jc w:val="center"/>
        </w:trPr>
        <w:tc>
          <w:tcPr>
            <w:tcW w:w="709" w:type="dxa"/>
            <w:vAlign w:val="center"/>
          </w:tcPr>
          <w:p w14:paraId="6E271C6C">
            <w:pPr>
              <w:widowControl/>
              <w:wordWrap w:val="0"/>
              <w:spacing w:line="460" w:lineRule="exact"/>
              <w:ind w:firstLine="643"/>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kern w:val="0"/>
                <w:sz w:val="32"/>
                <w:szCs w:val="32"/>
                <w:highlight w:val="none"/>
              </w:rPr>
              <w:t xml:space="preserve"> </w:t>
            </w:r>
            <w:r>
              <w:rPr>
                <w:rFonts w:hint="eastAsia" w:ascii="宋体" w:hAnsi="宋体" w:cs="宋体"/>
                <w:color w:val="000000" w:themeColor="text1"/>
                <w:szCs w:val="21"/>
                <w:highlight w:val="none"/>
                <w14:textFill>
                  <w14:solidFill>
                    <w14:schemeClr w14:val="tx1"/>
                  </w14:solidFill>
                </w14:textFill>
              </w:rPr>
              <w:t>序号</w:t>
            </w:r>
          </w:p>
        </w:tc>
        <w:tc>
          <w:tcPr>
            <w:tcW w:w="2040" w:type="dxa"/>
            <w:vAlign w:val="center"/>
          </w:tcPr>
          <w:p w14:paraId="6D7A56F0">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名称</w:t>
            </w:r>
          </w:p>
        </w:tc>
        <w:tc>
          <w:tcPr>
            <w:tcW w:w="2355" w:type="dxa"/>
            <w:vAlign w:val="center"/>
          </w:tcPr>
          <w:p w14:paraId="09663133">
            <w:pPr>
              <w:widowControl/>
              <w:spacing w:line="360" w:lineRule="auto"/>
              <w:jc w:val="center"/>
              <w:textAlignment w:val="baseline"/>
              <w:rPr>
                <w:rFonts w:hint="eastAsia"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采购文件要求</w:t>
            </w:r>
          </w:p>
        </w:tc>
        <w:tc>
          <w:tcPr>
            <w:tcW w:w="2370" w:type="dxa"/>
            <w:vAlign w:val="center"/>
          </w:tcPr>
          <w:p w14:paraId="307A1652">
            <w:pPr>
              <w:widowControl/>
              <w:spacing w:line="360" w:lineRule="auto"/>
              <w:jc w:val="center"/>
              <w:textAlignment w:val="baseline"/>
              <w:rPr>
                <w:rFonts w:hint="eastAsia"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是否响应</w:t>
            </w:r>
          </w:p>
        </w:tc>
        <w:tc>
          <w:tcPr>
            <w:tcW w:w="1144" w:type="dxa"/>
            <w:vAlign w:val="center"/>
          </w:tcPr>
          <w:p w14:paraId="56B70262">
            <w:pPr>
              <w:widowControl/>
              <w:spacing w:line="360" w:lineRule="auto"/>
              <w:jc w:val="center"/>
              <w:textAlignment w:val="baseline"/>
              <w:rPr>
                <w:rFonts w:hint="eastAsia"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备注</w:t>
            </w:r>
          </w:p>
        </w:tc>
      </w:tr>
      <w:tr w14:paraId="4452D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4" w:hRule="atLeast"/>
          <w:jc w:val="center"/>
        </w:trPr>
        <w:tc>
          <w:tcPr>
            <w:tcW w:w="709" w:type="dxa"/>
            <w:vAlign w:val="center"/>
          </w:tcPr>
          <w:p w14:paraId="3528DF98">
            <w:pPr>
              <w:widowControl/>
              <w:spacing w:line="360" w:lineRule="auto"/>
              <w:jc w:val="center"/>
              <w:textAlignment w:val="baseline"/>
              <w:rPr>
                <w:rFonts w:hint="eastAsia" w:ascii="宋体" w:hAnsi="宋体" w:cs="宋体"/>
                <w:b/>
                <w:kern w:val="0"/>
                <w:sz w:val="32"/>
                <w:szCs w:val="32"/>
                <w:highlight w:val="none"/>
              </w:rPr>
            </w:pPr>
            <w:r>
              <w:rPr>
                <w:rFonts w:hint="eastAsia" w:ascii="宋体" w:hAnsi="宋体" w:cs="宋体"/>
                <w:szCs w:val="21"/>
                <w:highlight w:val="none"/>
              </w:rPr>
              <w:t>1</w:t>
            </w:r>
          </w:p>
        </w:tc>
        <w:tc>
          <w:tcPr>
            <w:tcW w:w="2040" w:type="dxa"/>
            <w:vAlign w:val="center"/>
          </w:tcPr>
          <w:p w14:paraId="7C169DD6">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jc w:val="center"/>
              <w:textAlignment w:val="baseline"/>
              <w:rPr>
                <w:rFonts w:hint="eastAsia" w:ascii="宋体" w:hAnsi="宋体" w:cs="宋体"/>
                <w:szCs w:val="21"/>
                <w:highlight w:val="none"/>
              </w:rPr>
            </w:pPr>
            <w:r>
              <w:rPr>
                <w:rFonts w:hint="eastAsia" w:ascii="宋体" w:hAnsi="宋体" w:cs="宋体"/>
                <w:szCs w:val="21"/>
                <w:highlight w:val="none"/>
              </w:rPr>
              <w:t>合同签订时间</w:t>
            </w:r>
          </w:p>
        </w:tc>
        <w:tc>
          <w:tcPr>
            <w:tcW w:w="2355" w:type="dxa"/>
            <w:vAlign w:val="center"/>
          </w:tcPr>
          <w:p w14:paraId="0AB20FDC">
            <w:pPr>
              <w:widowControl/>
              <w:spacing w:line="360" w:lineRule="auto"/>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2370" w:type="dxa"/>
            <w:vAlign w:val="center"/>
          </w:tcPr>
          <w:p w14:paraId="6C171ACC">
            <w:pPr>
              <w:widowControl/>
              <w:spacing w:line="360" w:lineRule="auto"/>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1144" w:type="dxa"/>
            <w:vAlign w:val="center"/>
          </w:tcPr>
          <w:p w14:paraId="4D6C06EF">
            <w:pPr>
              <w:widowControl/>
              <w:spacing w:line="360" w:lineRule="auto"/>
              <w:jc w:val="center"/>
              <w:textAlignment w:val="baseline"/>
              <w:rPr>
                <w:rFonts w:hint="eastAsia" w:ascii="宋体" w:hAnsi="宋体" w:cs="宋体"/>
                <w:color w:val="000000" w:themeColor="text1"/>
                <w:szCs w:val="21"/>
                <w:highlight w:val="none"/>
                <w14:textFill>
                  <w14:solidFill>
                    <w14:schemeClr w14:val="tx1"/>
                  </w14:solidFill>
                </w14:textFill>
              </w:rPr>
            </w:pPr>
          </w:p>
        </w:tc>
      </w:tr>
      <w:tr w14:paraId="2BDDA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vAlign w:val="center"/>
          </w:tcPr>
          <w:p w14:paraId="3ADE54E1">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2</w:t>
            </w:r>
          </w:p>
        </w:tc>
        <w:tc>
          <w:tcPr>
            <w:tcW w:w="2040" w:type="dxa"/>
            <w:vAlign w:val="center"/>
          </w:tcPr>
          <w:p w14:paraId="7E6B0730">
            <w:pPr>
              <w:pStyle w:val="7"/>
              <w:keepNext w:val="0"/>
              <w:keepLines w:val="0"/>
              <w:pageBreakBefore w:val="0"/>
              <w:widowControl/>
              <w:kinsoku/>
              <w:wordWrap/>
              <w:overflowPunct/>
              <w:topLinePunct w:val="0"/>
              <w:autoSpaceDE/>
              <w:autoSpaceDN/>
              <w:bidi w:val="0"/>
              <w:adjustRightInd/>
              <w:snapToGrid/>
              <w:spacing w:beforeAutospacing="0" w:afterAutospacing="0"/>
              <w:ind w:right="0" w:firstLine="688" w:firstLineChars="328"/>
              <w:jc w:val="both"/>
              <w:rPr>
                <w:rFonts w:hint="eastAsia"/>
                <w:kern w:val="2"/>
                <w:sz w:val="21"/>
                <w:szCs w:val="21"/>
                <w:highlight w:val="none"/>
              </w:rPr>
            </w:pPr>
            <w:r>
              <w:rPr>
                <w:rFonts w:hint="eastAsia"/>
                <w:kern w:val="2"/>
                <w:sz w:val="21"/>
                <w:szCs w:val="21"/>
                <w:highlight w:val="none"/>
              </w:rPr>
              <w:t>工期</w:t>
            </w:r>
          </w:p>
        </w:tc>
        <w:tc>
          <w:tcPr>
            <w:tcW w:w="2355" w:type="dxa"/>
            <w:vAlign w:val="center"/>
          </w:tcPr>
          <w:p w14:paraId="6AFFB944">
            <w:pPr>
              <w:pStyle w:val="7"/>
              <w:ind w:firstLine="480"/>
              <w:jc w:val="center"/>
              <w:rPr>
                <w:rFonts w:hint="eastAsia"/>
                <w:szCs w:val="21"/>
                <w:highlight w:val="none"/>
              </w:rPr>
            </w:pPr>
          </w:p>
        </w:tc>
        <w:tc>
          <w:tcPr>
            <w:tcW w:w="2370" w:type="dxa"/>
            <w:vAlign w:val="center"/>
          </w:tcPr>
          <w:p w14:paraId="6F735738">
            <w:pPr>
              <w:widowControl/>
              <w:spacing w:line="360" w:lineRule="auto"/>
              <w:jc w:val="center"/>
              <w:textAlignment w:val="baseline"/>
              <w:rPr>
                <w:rFonts w:hint="eastAsia" w:ascii="宋体" w:hAnsi="宋体" w:cs="宋体"/>
                <w:szCs w:val="21"/>
                <w:highlight w:val="none"/>
              </w:rPr>
            </w:pPr>
          </w:p>
        </w:tc>
        <w:tc>
          <w:tcPr>
            <w:tcW w:w="1144" w:type="dxa"/>
            <w:vAlign w:val="center"/>
          </w:tcPr>
          <w:p w14:paraId="36E5E060">
            <w:pPr>
              <w:widowControl/>
              <w:spacing w:line="360" w:lineRule="auto"/>
              <w:jc w:val="center"/>
              <w:textAlignment w:val="baseline"/>
              <w:rPr>
                <w:rFonts w:hint="eastAsia" w:ascii="宋体" w:hAnsi="宋体" w:cs="宋体"/>
                <w:szCs w:val="21"/>
                <w:highlight w:val="none"/>
              </w:rPr>
            </w:pPr>
          </w:p>
        </w:tc>
      </w:tr>
      <w:tr w14:paraId="0B926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vAlign w:val="center"/>
          </w:tcPr>
          <w:p w14:paraId="711F5B26">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3</w:t>
            </w:r>
          </w:p>
        </w:tc>
        <w:tc>
          <w:tcPr>
            <w:tcW w:w="2040" w:type="dxa"/>
            <w:vAlign w:val="center"/>
          </w:tcPr>
          <w:p w14:paraId="5AF8AEDF">
            <w:pPr>
              <w:pStyle w:val="7"/>
              <w:keepNext w:val="0"/>
              <w:keepLines w:val="0"/>
              <w:pageBreakBefore w:val="0"/>
              <w:widowControl/>
              <w:kinsoku/>
              <w:wordWrap/>
              <w:overflowPunct/>
              <w:topLinePunct w:val="0"/>
              <w:autoSpaceDE/>
              <w:autoSpaceDN/>
              <w:bidi w:val="0"/>
              <w:adjustRightInd/>
              <w:snapToGrid/>
              <w:spacing w:beforeAutospacing="0" w:afterAutospacing="0"/>
              <w:ind w:right="0"/>
              <w:jc w:val="center"/>
              <w:rPr>
                <w:rFonts w:hint="eastAsia"/>
                <w:kern w:val="2"/>
                <w:sz w:val="21"/>
                <w:szCs w:val="21"/>
                <w:highlight w:val="none"/>
              </w:rPr>
            </w:pPr>
            <w:r>
              <w:rPr>
                <w:rFonts w:hint="eastAsia"/>
                <w:kern w:val="2"/>
                <w:sz w:val="21"/>
                <w:szCs w:val="21"/>
                <w:highlight w:val="none"/>
              </w:rPr>
              <w:t>质量要求</w:t>
            </w:r>
          </w:p>
        </w:tc>
        <w:tc>
          <w:tcPr>
            <w:tcW w:w="2355" w:type="dxa"/>
            <w:vAlign w:val="center"/>
          </w:tcPr>
          <w:p w14:paraId="11599AC6">
            <w:pPr>
              <w:pStyle w:val="7"/>
              <w:ind w:firstLine="480"/>
              <w:jc w:val="center"/>
              <w:rPr>
                <w:rFonts w:hint="eastAsia"/>
                <w:szCs w:val="21"/>
                <w:highlight w:val="none"/>
              </w:rPr>
            </w:pPr>
          </w:p>
        </w:tc>
        <w:tc>
          <w:tcPr>
            <w:tcW w:w="2370" w:type="dxa"/>
            <w:vAlign w:val="center"/>
          </w:tcPr>
          <w:p w14:paraId="359357C6">
            <w:pPr>
              <w:widowControl/>
              <w:spacing w:line="360" w:lineRule="auto"/>
              <w:jc w:val="center"/>
              <w:textAlignment w:val="baseline"/>
              <w:rPr>
                <w:rFonts w:hint="eastAsia" w:ascii="宋体" w:hAnsi="宋体" w:cs="宋体"/>
                <w:szCs w:val="21"/>
                <w:highlight w:val="none"/>
              </w:rPr>
            </w:pPr>
          </w:p>
        </w:tc>
        <w:tc>
          <w:tcPr>
            <w:tcW w:w="1144" w:type="dxa"/>
            <w:vAlign w:val="center"/>
          </w:tcPr>
          <w:p w14:paraId="709B2975">
            <w:pPr>
              <w:widowControl/>
              <w:spacing w:line="360" w:lineRule="auto"/>
              <w:jc w:val="center"/>
              <w:textAlignment w:val="baseline"/>
              <w:rPr>
                <w:rFonts w:hint="eastAsia" w:ascii="宋体" w:hAnsi="宋体" w:cs="宋体"/>
                <w:szCs w:val="21"/>
                <w:highlight w:val="none"/>
              </w:rPr>
            </w:pPr>
          </w:p>
        </w:tc>
      </w:tr>
      <w:tr w14:paraId="6773F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vAlign w:val="center"/>
          </w:tcPr>
          <w:p w14:paraId="0AB5B405">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4</w:t>
            </w:r>
          </w:p>
        </w:tc>
        <w:tc>
          <w:tcPr>
            <w:tcW w:w="2040" w:type="dxa"/>
            <w:vAlign w:val="center"/>
          </w:tcPr>
          <w:p w14:paraId="77C7DEB5">
            <w:pPr>
              <w:pStyle w:val="7"/>
              <w:keepNext w:val="0"/>
              <w:keepLines w:val="0"/>
              <w:pageBreakBefore w:val="0"/>
              <w:widowControl/>
              <w:kinsoku/>
              <w:wordWrap/>
              <w:overflowPunct/>
              <w:topLinePunct w:val="0"/>
              <w:autoSpaceDE/>
              <w:autoSpaceDN/>
              <w:bidi w:val="0"/>
              <w:adjustRightInd/>
              <w:snapToGrid/>
              <w:spacing w:beforeAutospacing="0" w:afterAutospacing="0"/>
              <w:ind w:right="0"/>
              <w:jc w:val="center"/>
              <w:rPr>
                <w:rFonts w:hint="eastAsia"/>
                <w:kern w:val="2"/>
                <w:sz w:val="21"/>
                <w:szCs w:val="21"/>
                <w:highlight w:val="none"/>
              </w:rPr>
            </w:pPr>
            <w:r>
              <w:rPr>
                <w:rFonts w:hint="eastAsia"/>
                <w:kern w:val="2"/>
                <w:sz w:val="21"/>
                <w:szCs w:val="21"/>
                <w:highlight w:val="none"/>
              </w:rPr>
              <w:t>质量保修期</w:t>
            </w:r>
          </w:p>
        </w:tc>
        <w:tc>
          <w:tcPr>
            <w:tcW w:w="2355" w:type="dxa"/>
          </w:tcPr>
          <w:p w14:paraId="49B7BD1D">
            <w:pPr>
              <w:pStyle w:val="7"/>
              <w:ind w:firstLine="480"/>
              <w:jc w:val="center"/>
              <w:rPr>
                <w:rFonts w:hint="eastAsia"/>
                <w:szCs w:val="21"/>
                <w:highlight w:val="none"/>
              </w:rPr>
            </w:pPr>
          </w:p>
        </w:tc>
        <w:tc>
          <w:tcPr>
            <w:tcW w:w="2370" w:type="dxa"/>
            <w:vAlign w:val="center"/>
          </w:tcPr>
          <w:p w14:paraId="28DEE903">
            <w:pPr>
              <w:widowControl/>
              <w:spacing w:line="360" w:lineRule="auto"/>
              <w:jc w:val="center"/>
              <w:textAlignment w:val="baseline"/>
              <w:rPr>
                <w:rFonts w:hint="eastAsia" w:ascii="宋体" w:hAnsi="宋体" w:cs="宋体"/>
                <w:szCs w:val="21"/>
                <w:highlight w:val="none"/>
              </w:rPr>
            </w:pPr>
          </w:p>
        </w:tc>
        <w:tc>
          <w:tcPr>
            <w:tcW w:w="1144" w:type="dxa"/>
            <w:vAlign w:val="center"/>
          </w:tcPr>
          <w:p w14:paraId="0A9DEC03">
            <w:pPr>
              <w:widowControl/>
              <w:spacing w:line="360" w:lineRule="auto"/>
              <w:jc w:val="center"/>
              <w:textAlignment w:val="baseline"/>
              <w:rPr>
                <w:rFonts w:hint="eastAsia" w:ascii="宋体" w:hAnsi="宋体" w:cs="宋体"/>
                <w:szCs w:val="21"/>
                <w:highlight w:val="none"/>
              </w:rPr>
            </w:pPr>
          </w:p>
        </w:tc>
      </w:tr>
      <w:tr w14:paraId="61B71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vAlign w:val="center"/>
          </w:tcPr>
          <w:p w14:paraId="664B8960">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5</w:t>
            </w:r>
          </w:p>
        </w:tc>
        <w:tc>
          <w:tcPr>
            <w:tcW w:w="2040" w:type="dxa"/>
            <w:vAlign w:val="center"/>
          </w:tcPr>
          <w:p w14:paraId="7AE2253A">
            <w:pPr>
              <w:pStyle w:val="7"/>
              <w:keepNext w:val="0"/>
              <w:keepLines w:val="0"/>
              <w:pageBreakBefore w:val="0"/>
              <w:widowControl/>
              <w:kinsoku/>
              <w:wordWrap/>
              <w:overflowPunct/>
              <w:topLinePunct w:val="0"/>
              <w:autoSpaceDE/>
              <w:autoSpaceDN/>
              <w:bidi w:val="0"/>
              <w:adjustRightInd/>
              <w:snapToGrid/>
              <w:spacing w:beforeAutospacing="0" w:afterAutospacing="0"/>
              <w:ind w:right="0"/>
              <w:jc w:val="center"/>
              <w:rPr>
                <w:rFonts w:hint="eastAsia"/>
                <w:kern w:val="2"/>
                <w:sz w:val="21"/>
                <w:szCs w:val="21"/>
                <w:highlight w:val="none"/>
              </w:rPr>
            </w:pPr>
            <w:r>
              <w:rPr>
                <w:rFonts w:hint="eastAsia"/>
                <w:kern w:val="2"/>
                <w:sz w:val="21"/>
                <w:szCs w:val="21"/>
                <w:highlight w:val="none"/>
              </w:rPr>
              <w:t>付款方式</w:t>
            </w:r>
          </w:p>
        </w:tc>
        <w:tc>
          <w:tcPr>
            <w:tcW w:w="2355" w:type="dxa"/>
            <w:vAlign w:val="center"/>
          </w:tcPr>
          <w:p w14:paraId="50BB1DDA">
            <w:pPr>
              <w:pStyle w:val="7"/>
              <w:ind w:firstLine="480"/>
              <w:jc w:val="center"/>
              <w:rPr>
                <w:rFonts w:hint="eastAsia"/>
                <w:szCs w:val="21"/>
                <w:highlight w:val="none"/>
              </w:rPr>
            </w:pPr>
          </w:p>
        </w:tc>
        <w:tc>
          <w:tcPr>
            <w:tcW w:w="2370" w:type="dxa"/>
            <w:vAlign w:val="center"/>
          </w:tcPr>
          <w:p w14:paraId="357510BC">
            <w:pPr>
              <w:widowControl/>
              <w:spacing w:line="360" w:lineRule="auto"/>
              <w:jc w:val="center"/>
              <w:textAlignment w:val="baseline"/>
              <w:rPr>
                <w:rFonts w:hint="eastAsia" w:ascii="宋体" w:hAnsi="宋体" w:cs="宋体"/>
                <w:szCs w:val="21"/>
                <w:highlight w:val="none"/>
              </w:rPr>
            </w:pPr>
          </w:p>
        </w:tc>
        <w:tc>
          <w:tcPr>
            <w:tcW w:w="1144" w:type="dxa"/>
            <w:vAlign w:val="center"/>
          </w:tcPr>
          <w:p w14:paraId="670FBC49">
            <w:pPr>
              <w:widowControl/>
              <w:spacing w:line="360" w:lineRule="auto"/>
              <w:jc w:val="center"/>
              <w:textAlignment w:val="baseline"/>
              <w:rPr>
                <w:rFonts w:hint="eastAsia" w:ascii="宋体" w:hAnsi="宋体" w:cs="宋体"/>
                <w:szCs w:val="21"/>
                <w:highlight w:val="none"/>
              </w:rPr>
            </w:pPr>
          </w:p>
        </w:tc>
      </w:tr>
    </w:tbl>
    <w:p w14:paraId="617D587B">
      <w:pPr>
        <w:ind w:firstLine="422"/>
        <w:rPr>
          <w:rFonts w:hint="eastAsia" w:ascii="宋体" w:hAnsi="宋体" w:cs="宋体"/>
          <w:b/>
          <w:kern w:val="0"/>
          <w:szCs w:val="21"/>
          <w:highlight w:val="none"/>
        </w:rPr>
      </w:pPr>
    </w:p>
    <w:p w14:paraId="20B84C97">
      <w:pPr>
        <w:pStyle w:val="33"/>
        <w:ind w:firstLine="210"/>
        <w:rPr>
          <w:rFonts w:hint="eastAsia" w:ascii="宋体" w:hAnsi="宋体" w:cs="宋体"/>
          <w:highlight w:val="none"/>
        </w:rPr>
      </w:pPr>
    </w:p>
    <w:p w14:paraId="595EF187">
      <w:pPr>
        <w:widowControl/>
        <w:spacing w:line="360" w:lineRule="auto"/>
        <w:ind w:firstLine="3360" w:firstLineChars="1600"/>
        <w:textAlignment w:val="baseline"/>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2A64BC7C">
      <w:pPr>
        <w:widowControl/>
        <w:spacing w:line="360" w:lineRule="auto"/>
        <w:ind w:firstLine="4410" w:firstLineChars="2100"/>
        <w:textAlignment w:val="baseline"/>
        <w:rPr>
          <w:rFonts w:hint="eastAsia" w:ascii="宋体" w:hAnsi="宋体" w:cs="宋体"/>
          <w:sz w:val="24"/>
          <w:highlight w:val="none"/>
        </w:rPr>
      </w:pPr>
      <w:r>
        <w:rPr>
          <w:rFonts w:hint="eastAsia" w:ascii="宋体" w:hAnsi="宋体" w:cs="宋体"/>
          <w:szCs w:val="21"/>
          <w:highlight w:val="none"/>
        </w:rPr>
        <w:t>年    月    日</w:t>
      </w:r>
    </w:p>
    <w:p w14:paraId="759F9EDC">
      <w:pPr>
        <w:rPr>
          <w:rFonts w:hint="eastAsia" w:ascii="宋体" w:hAnsi="宋体" w:cs="宋体"/>
          <w:highlight w:val="none"/>
        </w:rPr>
      </w:pPr>
    </w:p>
    <w:p w14:paraId="079E5882">
      <w:pPr>
        <w:rPr>
          <w:rFonts w:hint="eastAsia" w:ascii="宋体" w:hAnsi="宋体" w:cs="宋体"/>
          <w:highlight w:val="none"/>
        </w:rPr>
      </w:pPr>
    </w:p>
    <w:p w14:paraId="60B62CFF">
      <w:pPr>
        <w:rPr>
          <w:rFonts w:hint="eastAsia" w:ascii="宋体" w:hAnsi="宋体" w:cs="宋体"/>
          <w:highlight w:val="none"/>
        </w:rPr>
      </w:pPr>
    </w:p>
    <w:p w14:paraId="47E90E33">
      <w:pPr>
        <w:rPr>
          <w:rFonts w:hint="eastAsia" w:ascii="宋体" w:hAnsi="宋体" w:cs="宋体"/>
          <w:highlight w:val="none"/>
        </w:rPr>
      </w:pPr>
    </w:p>
    <w:p w14:paraId="52D29304">
      <w:pPr>
        <w:rPr>
          <w:rFonts w:hint="eastAsia" w:ascii="宋体" w:hAnsi="宋体" w:cs="宋体"/>
          <w:highlight w:val="none"/>
        </w:rPr>
      </w:pPr>
    </w:p>
    <w:p w14:paraId="735EEE25">
      <w:pPr>
        <w:rPr>
          <w:rFonts w:hint="eastAsia" w:ascii="宋体" w:hAnsi="宋体" w:cs="宋体"/>
          <w:highlight w:val="none"/>
        </w:rPr>
      </w:pPr>
    </w:p>
    <w:p w14:paraId="1BE2FEA6">
      <w:pPr>
        <w:rPr>
          <w:rFonts w:hint="eastAsia" w:ascii="宋体" w:hAnsi="宋体" w:cs="宋体"/>
          <w:highlight w:val="none"/>
        </w:rPr>
      </w:pPr>
    </w:p>
    <w:p w14:paraId="6E4FEDDC">
      <w:pPr>
        <w:rPr>
          <w:rFonts w:hint="eastAsia" w:ascii="宋体" w:hAnsi="宋体" w:cs="宋体"/>
          <w:highlight w:val="none"/>
        </w:rPr>
      </w:pPr>
    </w:p>
    <w:p w14:paraId="0B64FCAC">
      <w:pPr>
        <w:rPr>
          <w:rFonts w:hint="eastAsia" w:ascii="宋体" w:hAnsi="宋体" w:cs="宋体"/>
          <w:highlight w:val="none"/>
        </w:rPr>
      </w:pPr>
    </w:p>
    <w:p w14:paraId="3C3E0DC1">
      <w:pPr>
        <w:rPr>
          <w:rFonts w:hint="eastAsia" w:ascii="宋体" w:hAnsi="宋体" w:cs="宋体"/>
          <w:highlight w:val="none"/>
        </w:rPr>
      </w:pPr>
    </w:p>
    <w:p w14:paraId="33A27297">
      <w:pPr>
        <w:rPr>
          <w:rFonts w:hint="eastAsia" w:ascii="宋体" w:hAnsi="宋体" w:cs="宋体"/>
          <w:highlight w:val="none"/>
        </w:rPr>
      </w:pPr>
    </w:p>
    <w:p w14:paraId="7A12DDA6">
      <w:pPr>
        <w:rPr>
          <w:rFonts w:hint="eastAsia" w:ascii="宋体" w:hAnsi="宋体" w:cs="宋体"/>
          <w:highlight w:val="none"/>
        </w:rPr>
      </w:pPr>
    </w:p>
    <w:p w14:paraId="40CE1E7E">
      <w:pPr>
        <w:rPr>
          <w:rFonts w:hint="eastAsia" w:ascii="宋体" w:hAnsi="宋体" w:cs="宋体"/>
          <w:highlight w:val="none"/>
        </w:rPr>
      </w:pPr>
    </w:p>
    <w:p w14:paraId="3E74A4E9">
      <w:pPr>
        <w:rPr>
          <w:rFonts w:hint="eastAsia" w:ascii="宋体" w:hAnsi="宋体" w:cs="宋体"/>
          <w:highlight w:val="none"/>
        </w:rPr>
      </w:pPr>
    </w:p>
    <w:p w14:paraId="1BE75005">
      <w:pPr>
        <w:rPr>
          <w:rFonts w:hint="eastAsia" w:ascii="宋体" w:hAnsi="宋体" w:cs="宋体"/>
          <w:highlight w:val="none"/>
        </w:rPr>
      </w:pPr>
    </w:p>
    <w:p w14:paraId="13F58D56">
      <w:pPr>
        <w:ind w:firstLine="562"/>
        <w:rPr>
          <w:rFonts w:hint="eastAsia" w:ascii="宋体" w:hAnsi="宋体" w:cs="宋体"/>
          <w:b/>
          <w:sz w:val="28"/>
          <w:highlight w:val="none"/>
        </w:rPr>
      </w:pPr>
      <w:bookmarkStart w:id="94" w:name="_Toc31526"/>
      <w:bookmarkStart w:id="95" w:name="_Toc28621"/>
      <w:r>
        <w:rPr>
          <w:rFonts w:hint="eastAsia" w:ascii="宋体" w:hAnsi="宋体" w:cs="宋体"/>
          <w:b/>
          <w:sz w:val="28"/>
          <w:highlight w:val="none"/>
        </w:rPr>
        <w:br w:type="page"/>
      </w:r>
    </w:p>
    <w:p w14:paraId="4E3BD496">
      <w:pPr>
        <w:pStyle w:val="8"/>
        <w:snapToGrid w:val="0"/>
        <w:spacing w:before="20" w:after="20" w:line="360" w:lineRule="auto"/>
        <w:ind w:firstLine="562"/>
        <w:jc w:val="center"/>
        <w:rPr>
          <w:rFonts w:hint="eastAsia" w:ascii="宋体" w:hAnsi="宋体" w:eastAsia="宋体" w:cs="宋体"/>
          <w:sz w:val="28"/>
          <w:szCs w:val="28"/>
          <w:highlight w:val="none"/>
        </w:rPr>
      </w:pPr>
      <w:bookmarkStart w:id="96" w:name="_Toc29406"/>
      <w:r>
        <w:rPr>
          <w:rFonts w:hint="eastAsia" w:ascii="宋体" w:hAnsi="宋体" w:eastAsia="宋体" w:cs="宋体"/>
          <w:sz w:val="28"/>
          <w:szCs w:val="28"/>
          <w:highlight w:val="none"/>
        </w:rPr>
        <w:t>附件7         法定代表人身份证明（格式）</w:t>
      </w:r>
      <w:bookmarkEnd w:id="94"/>
      <w:bookmarkEnd w:id="95"/>
      <w:bookmarkEnd w:id="96"/>
    </w:p>
    <w:p w14:paraId="68576F1B">
      <w:pPr>
        <w:widowControl/>
        <w:wordWrap w:val="0"/>
        <w:spacing w:line="460" w:lineRule="exact"/>
        <w:ind w:firstLine="480"/>
        <w:jc w:val="left"/>
        <w:rPr>
          <w:rFonts w:hint="eastAsia" w:ascii="宋体" w:hAnsi="宋体" w:cs="宋体"/>
          <w:kern w:val="0"/>
          <w:sz w:val="24"/>
          <w:highlight w:val="none"/>
        </w:rPr>
      </w:pPr>
    </w:p>
    <w:p w14:paraId="7D4E5F3B">
      <w:pPr>
        <w:widowControl/>
        <w:wordWrap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供应商名称：</w:t>
      </w:r>
      <w:r>
        <w:rPr>
          <w:rFonts w:hint="eastAsia" w:ascii="宋体" w:hAnsi="宋体" w:cs="宋体"/>
          <w:kern w:val="0"/>
          <w:szCs w:val="21"/>
          <w:highlight w:val="none"/>
          <w:u w:val="single"/>
        </w:rPr>
        <w:t xml:space="preserve">                                </w:t>
      </w:r>
    </w:p>
    <w:p w14:paraId="42A86760">
      <w:pPr>
        <w:widowControl/>
        <w:wordWrap w:val="0"/>
        <w:spacing w:line="460" w:lineRule="exact"/>
        <w:ind w:firstLine="480" w:firstLineChars="200"/>
        <w:jc w:val="left"/>
        <w:rPr>
          <w:rFonts w:hint="eastAsia" w:ascii="宋体" w:hAnsi="宋体" w:cs="宋体"/>
          <w:kern w:val="0"/>
          <w:sz w:val="24"/>
          <w:highlight w:val="none"/>
          <w:u w:val="single"/>
        </w:rPr>
      </w:pPr>
      <w:r>
        <w:rPr>
          <w:rFonts w:hint="eastAsia" w:ascii="宋体" w:hAnsi="宋体" w:cs="宋体"/>
          <w:kern w:val="0"/>
          <w:sz w:val="24"/>
          <w:highlight w:val="none"/>
        </w:rPr>
        <w:t>地址：</w:t>
      </w:r>
      <w:r>
        <w:rPr>
          <w:rFonts w:hint="eastAsia" w:ascii="宋体" w:hAnsi="宋体" w:cs="宋体"/>
          <w:kern w:val="0"/>
          <w:szCs w:val="21"/>
          <w:highlight w:val="none"/>
          <w:u w:val="single"/>
        </w:rPr>
        <w:t xml:space="preserve">                                        </w:t>
      </w:r>
    </w:p>
    <w:p w14:paraId="51929AFA">
      <w:pPr>
        <w:widowControl/>
        <w:wordWrap w:val="0"/>
        <w:spacing w:line="460" w:lineRule="exact"/>
        <w:ind w:firstLine="480" w:firstLineChars="200"/>
        <w:jc w:val="left"/>
        <w:rPr>
          <w:rFonts w:hint="eastAsia" w:ascii="宋体" w:hAnsi="宋体" w:cs="宋体"/>
          <w:kern w:val="0"/>
          <w:sz w:val="24"/>
          <w:szCs w:val="20"/>
          <w:highlight w:val="none"/>
        </w:rPr>
      </w:pPr>
      <w:r>
        <w:rPr>
          <w:rFonts w:hint="eastAsia" w:ascii="宋体" w:hAnsi="宋体" w:cs="宋体"/>
          <w:kern w:val="0"/>
          <w:sz w:val="24"/>
          <w:highlight w:val="none"/>
        </w:rPr>
        <w:t>成立时间：</w:t>
      </w:r>
      <w:r>
        <w:rPr>
          <w:rFonts w:hint="eastAsia" w:ascii="宋体" w:hAnsi="宋体" w:cs="宋体"/>
          <w:kern w:val="0"/>
          <w:szCs w:val="21"/>
          <w:highlight w:val="none"/>
          <w:u w:val="single"/>
        </w:rPr>
        <w:t xml:space="preserve">        </w:t>
      </w:r>
      <w:r>
        <w:rPr>
          <w:rFonts w:hint="eastAsia" w:ascii="宋体" w:hAnsi="宋体" w:cs="宋体"/>
          <w:kern w:val="0"/>
          <w:sz w:val="24"/>
          <w:highlight w:val="none"/>
        </w:rPr>
        <w:t xml:space="preserve"> </w:t>
      </w:r>
      <w:r>
        <w:rPr>
          <w:rFonts w:hint="eastAsia" w:ascii="宋体" w:hAnsi="宋体" w:cs="宋体"/>
          <w:kern w:val="0"/>
          <w:sz w:val="24"/>
          <w:szCs w:val="20"/>
          <w:highlight w:val="none"/>
        </w:rPr>
        <w:t xml:space="preserve">年 </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 xml:space="preserve">月 </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日</w:t>
      </w:r>
    </w:p>
    <w:p w14:paraId="00503F24">
      <w:pPr>
        <w:widowControl/>
        <w:wordWrap w:val="0"/>
        <w:spacing w:line="460" w:lineRule="exact"/>
        <w:ind w:firstLine="480" w:firstLineChars="200"/>
        <w:jc w:val="left"/>
        <w:rPr>
          <w:rFonts w:hint="eastAsia" w:ascii="宋体" w:hAnsi="宋体" w:cs="宋体"/>
          <w:kern w:val="0"/>
          <w:sz w:val="24"/>
          <w:highlight w:val="none"/>
          <w:u w:val="single"/>
        </w:rPr>
      </w:pPr>
      <w:r>
        <w:rPr>
          <w:rFonts w:hint="eastAsia" w:ascii="宋体" w:hAnsi="宋体" w:cs="宋体"/>
          <w:kern w:val="0"/>
          <w:sz w:val="24"/>
          <w:szCs w:val="20"/>
          <w:highlight w:val="none"/>
        </w:rPr>
        <w:t>经营期限：</w:t>
      </w:r>
      <w:r>
        <w:rPr>
          <w:rFonts w:hint="eastAsia" w:ascii="宋体" w:hAnsi="宋体" w:cs="宋体"/>
          <w:kern w:val="0"/>
          <w:szCs w:val="21"/>
          <w:highlight w:val="none"/>
          <w:u w:val="single"/>
        </w:rPr>
        <w:t xml:space="preserve">                        </w:t>
      </w:r>
    </w:p>
    <w:p w14:paraId="21930526">
      <w:pPr>
        <w:widowControl/>
        <w:wordWrap w:val="0"/>
        <w:spacing w:line="460" w:lineRule="exact"/>
        <w:ind w:firstLine="480" w:firstLineChars="200"/>
        <w:jc w:val="left"/>
        <w:rPr>
          <w:rFonts w:hint="eastAsia" w:ascii="宋体" w:hAnsi="宋体" w:cs="宋体"/>
          <w:kern w:val="0"/>
          <w:szCs w:val="21"/>
          <w:highlight w:val="none"/>
          <w:u w:val="single"/>
        </w:rPr>
      </w:pPr>
      <w:r>
        <w:rPr>
          <w:rFonts w:hint="eastAsia" w:ascii="宋体" w:hAnsi="宋体" w:cs="宋体"/>
          <w:kern w:val="0"/>
          <w:sz w:val="24"/>
          <w:highlight w:val="none"/>
        </w:rPr>
        <w:t>姓名：</w:t>
      </w:r>
      <w:r>
        <w:rPr>
          <w:rFonts w:hint="eastAsia" w:ascii="宋体" w:hAnsi="宋体" w:cs="宋体"/>
          <w:kern w:val="0"/>
          <w:szCs w:val="21"/>
          <w:highlight w:val="none"/>
          <w:u w:val="single"/>
        </w:rPr>
        <w:t xml:space="preserve">        </w:t>
      </w:r>
      <w:r>
        <w:rPr>
          <w:rFonts w:hint="eastAsia" w:ascii="宋体" w:hAnsi="宋体" w:cs="宋体"/>
          <w:kern w:val="0"/>
          <w:sz w:val="24"/>
          <w:highlight w:val="none"/>
        </w:rPr>
        <w:t xml:space="preserve"> </w:t>
      </w:r>
      <w:r>
        <w:rPr>
          <w:rFonts w:hint="eastAsia" w:ascii="宋体" w:hAnsi="宋体" w:cs="宋体"/>
          <w:kern w:val="0"/>
          <w:sz w:val="24"/>
          <w:szCs w:val="20"/>
          <w:highlight w:val="none"/>
        </w:rPr>
        <w:t>，性别：</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，年龄：</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，职务：</w:t>
      </w:r>
      <w:r>
        <w:rPr>
          <w:rFonts w:hint="eastAsia" w:ascii="宋体" w:hAnsi="宋体" w:cs="宋体"/>
          <w:kern w:val="0"/>
          <w:szCs w:val="21"/>
          <w:highlight w:val="none"/>
          <w:u w:val="single"/>
        </w:rPr>
        <w:t xml:space="preserve">        </w:t>
      </w:r>
    </w:p>
    <w:p w14:paraId="203937B5">
      <w:pPr>
        <w:widowControl/>
        <w:wordWrap w:val="0"/>
        <w:spacing w:line="460" w:lineRule="exact"/>
        <w:ind w:firstLine="480"/>
        <w:jc w:val="left"/>
        <w:rPr>
          <w:rFonts w:hint="eastAsia" w:ascii="宋体" w:hAnsi="宋体" w:cs="宋体"/>
          <w:kern w:val="0"/>
          <w:sz w:val="24"/>
          <w:szCs w:val="20"/>
          <w:highlight w:val="none"/>
        </w:rPr>
      </w:pPr>
      <w:r>
        <w:rPr>
          <w:rFonts w:hint="eastAsia" w:ascii="宋体" w:hAnsi="宋体" w:cs="宋体"/>
          <w:kern w:val="0"/>
          <w:sz w:val="24"/>
          <w:szCs w:val="20"/>
          <w:highlight w:val="none"/>
        </w:rPr>
        <w:t>系</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（供应商名称）的法定代表人。</w:t>
      </w:r>
    </w:p>
    <w:p w14:paraId="4E1AE5C2">
      <w:pPr>
        <w:widowControl/>
        <w:wordWrap w:val="0"/>
        <w:spacing w:line="460" w:lineRule="exact"/>
        <w:ind w:firstLine="480"/>
        <w:jc w:val="left"/>
        <w:rPr>
          <w:rFonts w:hint="eastAsia" w:ascii="宋体" w:hAnsi="宋体" w:cs="宋体"/>
          <w:kern w:val="0"/>
          <w:sz w:val="24"/>
          <w:szCs w:val="20"/>
          <w:highlight w:val="none"/>
        </w:rPr>
      </w:pPr>
    </w:p>
    <w:p w14:paraId="78ED167E">
      <w:pPr>
        <w:widowControl/>
        <w:wordWrap w:val="0"/>
        <w:spacing w:line="460" w:lineRule="exact"/>
        <w:ind w:firstLine="480" w:firstLineChars="200"/>
        <w:jc w:val="left"/>
        <w:rPr>
          <w:rFonts w:hint="eastAsia" w:ascii="宋体" w:hAnsi="宋体" w:cs="宋体"/>
          <w:kern w:val="0"/>
          <w:sz w:val="24"/>
          <w:szCs w:val="20"/>
          <w:highlight w:val="none"/>
        </w:rPr>
      </w:pPr>
      <w:r>
        <w:rPr>
          <w:rFonts w:hint="eastAsia" w:ascii="宋体" w:hAnsi="宋体" w:cs="宋体"/>
          <w:kern w:val="0"/>
          <w:sz w:val="24"/>
          <w:szCs w:val="20"/>
          <w:highlight w:val="none"/>
        </w:rPr>
        <w:t>特此证明。</w:t>
      </w:r>
    </w:p>
    <w:p w14:paraId="3A84E9DE">
      <w:pPr>
        <w:widowControl/>
        <w:wordWrap w:val="0"/>
        <w:spacing w:line="460" w:lineRule="exact"/>
        <w:ind w:firstLine="480"/>
        <w:jc w:val="left"/>
        <w:rPr>
          <w:rFonts w:hint="eastAsia" w:ascii="宋体" w:hAnsi="宋体" w:cs="宋体"/>
          <w:kern w:val="0"/>
          <w:sz w:val="24"/>
          <w:szCs w:val="20"/>
          <w:highlight w:val="none"/>
        </w:rPr>
      </w:pPr>
    </w:p>
    <w:p w14:paraId="180CBA80">
      <w:pPr>
        <w:widowControl/>
        <w:wordWrap w:val="0"/>
        <w:spacing w:before="319" w:beforeLines="100" w:after="319" w:afterLines="100" w:line="480" w:lineRule="exact"/>
        <w:ind w:firstLine="723"/>
        <w:jc w:val="center"/>
        <w:rPr>
          <w:rFonts w:hint="eastAsia" w:ascii="宋体" w:hAnsi="宋体" w:cs="宋体"/>
          <w:b/>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3022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3B5B739A">
            <w:pPr>
              <w:widowControl/>
              <w:spacing w:line="480" w:lineRule="exact"/>
              <w:ind w:firstLine="480"/>
              <w:jc w:val="left"/>
              <w:rPr>
                <w:rFonts w:hint="eastAsia" w:ascii="宋体" w:hAnsi="宋体" w:cs="宋体"/>
                <w:bCs/>
                <w:kern w:val="0"/>
                <w:sz w:val="24"/>
                <w:highlight w:val="none"/>
              </w:rPr>
            </w:pPr>
            <w:r>
              <w:rPr>
                <w:rFonts w:hint="eastAsia" w:ascii="宋体" w:hAnsi="宋体" w:cs="宋体"/>
                <w:bCs/>
                <w:kern w:val="0"/>
                <w:sz w:val="24"/>
                <w:highlight w:val="none"/>
              </w:rPr>
              <w:t>此处请粘贴法定代表人身份证复印件</w:t>
            </w:r>
          </w:p>
          <w:p w14:paraId="3E6EB024">
            <w:pPr>
              <w:widowControl/>
              <w:spacing w:line="480" w:lineRule="exact"/>
              <w:ind w:firstLine="480"/>
              <w:jc w:val="left"/>
              <w:rPr>
                <w:rFonts w:hint="eastAsia" w:ascii="宋体" w:hAnsi="宋体" w:cs="宋体"/>
                <w:kern w:val="0"/>
                <w:sz w:val="24"/>
                <w:highlight w:val="none"/>
              </w:rPr>
            </w:pPr>
          </w:p>
          <w:p w14:paraId="37681CB6">
            <w:pPr>
              <w:widowControl/>
              <w:spacing w:line="480" w:lineRule="exact"/>
              <w:ind w:firstLine="480"/>
              <w:jc w:val="left"/>
              <w:rPr>
                <w:rFonts w:hint="eastAsia" w:ascii="宋体" w:hAnsi="宋体" w:cs="宋体"/>
                <w:kern w:val="0"/>
                <w:sz w:val="24"/>
                <w:highlight w:val="none"/>
              </w:rPr>
            </w:pPr>
          </w:p>
        </w:tc>
      </w:tr>
    </w:tbl>
    <w:p w14:paraId="2CC35EF5">
      <w:pPr>
        <w:widowControl/>
        <w:wordWrap w:val="0"/>
        <w:spacing w:before="319" w:beforeLines="100" w:after="319" w:afterLines="100" w:line="480" w:lineRule="exact"/>
        <w:ind w:firstLine="482"/>
        <w:jc w:val="center"/>
        <w:rPr>
          <w:rFonts w:hint="eastAsia" w:ascii="宋体" w:hAnsi="宋体" w:cs="宋体"/>
          <w:b/>
          <w:kern w:val="0"/>
          <w:sz w:val="24"/>
          <w:highlight w:val="none"/>
        </w:rPr>
      </w:pPr>
    </w:p>
    <w:p w14:paraId="5E1E9CEB">
      <w:pPr>
        <w:widowControl/>
        <w:wordWrap w:val="0"/>
        <w:spacing w:before="319" w:beforeLines="100" w:after="319" w:afterLines="100" w:line="480" w:lineRule="exact"/>
        <w:ind w:firstLine="723"/>
        <w:jc w:val="center"/>
        <w:rPr>
          <w:rFonts w:hint="eastAsia" w:ascii="宋体" w:hAnsi="宋体" w:cs="宋体"/>
          <w:b/>
          <w:kern w:val="0"/>
          <w:sz w:val="36"/>
          <w:szCs w:val="36"/>
          <w:highlight w:val="none"/>
        </w:rPr>
      </w:pPr>
    </w:p>
    <w:p w14:paraId="5776BAE3">
      <w:pPr>
        <w:widowControl/>
        <w:wordWrap w:val="0"/>
        <w:spacing w:before="319" w:beforeLines="100" w:after="319" w:afterLines="100" w:line="480" w:lineRule="exact"/>
        <w:ind w:firstLine="723"/>
        <w:jc w:val="center"/>
        <w:rPr>
          <w:rFonts w:hint="eastAsia" w:ascii="宋体" w:hAnsi="宋体" w:cs="宋体"/>
          <w:b/>
          <w:kern w:val="0"/>
          <w:sz w:val="36"/>
          <w:szCs w:val="36"/>
          <w:highlight w:val="none"/>
        </w:rPr>
      </w:pPr>
    </w:p>
    <w:p w14:paraId="00EC764D">
      <w:pPr>
        <w:widowControl/>
        <w:wordWrap w:val="0"/>
        <w:spacing w:line="480" w:lineRule="exact"/>
        <w:ind w:firstLine="480"/>
        <w:jc w:val="right"/>
        <w:rPr>
          <w:rFonts w:hint="eastAsia" w:ascii="宋体" w:hAnsi="宋体" w:cs="宋体"/>
          <w:kern w:val="0"/>
          <w:sz w:val="24"/>
          <w:highlight w:val="none"/>
        </w:rPr>
      </w:pPr>
    </w:p>
    <w:p w14:paraId="0A8327AA">
      <w:pPr>
        <w:widowControl/>
        <w:wordWrap w:val="0"/>
        <w:spacing w:line="480" w:lineRule="exact"/>
        <w:ind w:firstLine="480"/>
        <w:jc w:val="right"/>
        <w:rPr>
          <w:rFonts w:hint="eastAsia" w:ascii="宋体" w:hAnsi="宋体" w:cs="宋体"/>
          <w:kern w:val="0"/>
          <w:sz w:val="24"/>
          <w:highlight w:val="none"/>
        </w:rPr>
      </w:pPr>
    </w:p>
    <w:p w14:paraId="6495675E">
      <w:pPr>
        <w:widowControl/>
        <w:wordWrap w:val="0"/>
        <w:snapToGrid w:val="0"/>
        <w:spacing w:line="460" w:lineRule="exact"/>
        <w:ind w:firstLine="2760" w:firstLineChars="1150"/>
        <w:jc w:val="left"/>
        <w:rPr>
          <w:rFonts w:hint="eastAsia"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Cs w:val="21"/>
          <w:highlight w:val="none"/>
          <w:u w:val="single"/>
        </w:rPr>
        <w:t xml:space="preserve">                </w:t>
      </w:r>
      <w:r>
        <w:rPr>
          <w:rFonts w:hint="eastAsia" w:ascii="宋体" w:hAnsi="宋体" w:cs="宋体"/>
          <w:kern w:val="0"/>
          <w:sz w:val="24"/>
          <w:highlight w:val="none"/>
        </w:rPr>
        <w:t>（全称并加盖公章）</w:t>
      </w:r>
    </w:p>
    <w:p w14:paraId="52AB78D8">
      <w:pPr>
        <w:widowControl/>
        <w:wordWrap w:val="0"/>
        <w:spacing w:line="460" w:lineRule="exact"/>
        <w:ind w:left="3780" w:leftChars="1800"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年    月    日</w:t>
      </w:r>
    </w:p>
    <w:p w14:paraId="1747EA03">
      <w:pPr>
        <w:rPr>
          <w:rFonts w:hint="eastAsia" w:ascii="宋体" w:hAnsi="宋体" w:cs="宋体"/>
          <w:highlight w:val="none"/>
        </w:rPr>
      </w:pPr>
    </w:p>
    <w:p w14:paraId="3CE92C03">
      <w:pPr>
        <w:rPr>
          <w:rFonts w:hint="eastAsia" w:ascii="宋体" w:hAnsi="宋体" w:cs="宋体"/>
          <w:highlight w:val="none"/>
        </w:rPr>
      </w:pPr>
      <w:r>
        <w:rPr>
          <w:rFonts w:hint="eastAsia" w:ascii="宋体" w:hAnsi="宋体" w:cs="宋体"/>
          <w:highlight w:val="none"/>
        </w:rPr>
        <w:br w:type="page"/>
      </w:r>
    </w:p>
    <w:p w14:paraId="584A4E66">
      <w:pPr>
        <w:pStyle w:val="8"/>
        <w:snapToGrid w:val="0"/>
        <w:spacing w:before="20" w:after="20" w:line="360" w:lineRule="auto"/>
        <w:ind w:firstLine="562"/>
        <w:jc w:val="center"/>
        <w:rPr>
          <w:rFonts w:hint="eastAsia" w:ascii="宋体" w:hAnsi="宋体" w:eastAsia="宋体" w:cs="宋体"/>
          <w:sz w:val="28"/>
          <w:szCs w:val="28"/>
          <w:highlight w:val="none"/>
        </w:rPr>
      </w:pPr>
      <w:bookmarkStart w:id="97" w:name="_Toc13976"/>
      <w:bookmarkStart w:id="98" w:name="_Toc30519"/>
      <w:bookmarkStart w:id="99" w:name="_Toc12939"/>
      <w:r>
        <w:rPr>
          <w:rFonts w:hint="eastAsia" w:ascii="宋体" w:hAnsi="宋体" w:eastAsia="宋体" w:cs="宋体"/>
          <w:sz w:val="28"/>
          <w:szCs w:val="28"/>
          <w:highlight w:val="none"/>
        </w:rPr>
        <w:t>附件8         法定代表人授权书（格式）</w:t>
      </w:r>
      <w:bookmarkEnd w:id="97"/>
      <w:bookmarkEnd w:id="98"/>
      <w:bookmarkEnd w:id="99"/>
    </w:p>
    <w:p w14:paraId="35AE7AB1">
      <w:pPr>
        <w:widowControl/>
        <w:tabs>
          <w:tab w:val="left" w:pos="420"/>
          <w:tab w:val="left" w:pos="2160"/>
        </w:tabs>
        <w:wordWrap w:val="0"/>
        <w:spacing w:line="460" w:lineRule="exact"/>
        <w:ind w:firstLine="480" w:firstLineChars="200"/>
        <w:jc w:val="left"/>
        <w:rPr>
          <w:rFonts w:hint="eastAsia" w:ascii="宋体" w:hAnsi="宋体" w:cs="宋体"/>
          <w:kern w:val="0"/>
          <w:sz w:val="24"/>
          <w:highlight w:val="none"/>
        </w:rPr>
      </w:pPr>
    </w:p>
    <w:p w14:paraId="01A5B7C3">
      <w:pPr>
        <w:widowControl/>
        <w:wordWrap w:val="0"/>
        <w:snapToGrid w:val="0"/>
        <w:spacing w:line="460" w:lineRule="exact"/>
        <w:ind w:firstLine="480"/>
        <w:jc w:val="left"/>
        <w:rPr>
          <w:rFonts w:hint="eastAsia" w:ascii="宋体" w:hAnsi="宋体" w:cs="宋体"/>
          <w:b/>
          <w:bCs/>
          <w:kern w:val="0"/>
          <w:sz w:val="24"/>
          <w:highlight w:val="none"/>
        </w:rPr>
      </w:pPr>
      <w:r>
        <w:rPr>
          <w:rFonts w:hint="eastAsia" w:ascii="宋体" w:hAnsi="宋体" w:cs="宋体"/>
          <w:bCs/>
          <w:kern w:val="0"/>
          <w:sz w:val="24"/>
          <w:highlight w:val="none"/>
        </w:rPr>
        <w:t>致：</w:t>
      </w:r>
      <w:r>
        <w:rPr>
          <w:rFonts w:hint="eastAsia" w:ascii="宋体" w:hAnsi="宋体" w:cs="宋体"/>
          <w:kern w:val="0"/>
          <w:szCs w:val="21"/>
          <w:highlight w:val="none"/>
          <w:u w:val="single"/>
        </w:rPr>
        <w:t xml:space="preserve">                </w:t>
      </w:r>
      <w:r>
        <w:rPr>
          <w:rFonts w:hint="eastAsia" w:ascii="宋体" w:hAnsi="宋体" w:cs="宋体"/>
          <w:kern w:val="0"/>
          <w:sz w:val="24"/>
          <w:highlight w:val="none"/>
        </w:rPr>
        <w:t>（采购人名称）：</w:t>
      </w:r>
    </w:p>
    <w:p w14:paraId="4D87770D">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我</w:t>
      </w:r>
      <w:r>
        <w:rPr>
          <w:rFonts w:hint="eastAsia" w:ascii="宋体" w:hAnsi="宋体" w:cs="宋体"/>
          <w:kern w:val="0"/>
          <w:szCs w:val="21"/>
          <w:highlight w:val="none"/>
          <w:u w:val="single"/>
        </w:rPr>
        <w:t xml:space="preserve">        </w:t>
      </w:r>
      <w:r>
        <w:rPr>
          <w:rFonts w:hint="eastAsia" w:ascii="宋体" w:hAnsi="宋体" w:cs="宋体"/>
          <w:kern w:val="0"/>
          <w:sz w:val="24"/>
          <w:highlight w:val="none"/>
        </w:rPr>
        <w:t>（姓名）系</w:t>
      </w:r>
      <w:r>
        <w:rPr>
          <w:rFonts w:hint="eastAsia" w:ascii="宋体" w:hAnsi="宋体" w:cs="宋体"/>
          <w:kern w:val="0"/>
          <w:szCs w:val="21"/>
          <w:highlight w:val="none"/>
          <w:u w:val="single"/>
        </w:rPr>
        <w:t xml:space="preserve">                </w:t>
      </w:r>
      <w:r>
        <w:rPr>
          <w:rFonts w:hint="eastAsia" w:ascii="宋体" w:hAnsi="宋体" w:cs="宋体"/>
          <w:kern w:val="0"/>
          <w:sz w:val="24"/>
          <w:highlight w:val="none"/>
        </w:rPr>
        <w:t xml:space="preserve">（供应商名称）的法定代表人，现委托 </w:t>
      </w:r>
      <w:r>
        <w:rPr>
          <w:rFonts w:hint="eastAsia" w:ascii="宋体" w:hAnsi="宋体" w:cs="宋体"/>
          <w:kern w:val="0"/>
          <w:szCs w:val="21"/>
          <w:highlight w:val="none"/>
          <w:u w:val="single"/>
        </w:rPr>
        <w:t xml:space="preserve">        </w:t>
      </w:r>
      <w:r>
        <w:rPr>
          <w:rFonts w:hint="eastAsia" w:ascii="宋体" w:hAnsi="宋体" w:cs="宋体"/>
          <w:kern w:val="0"/>
          <w:sz w:val="24"/>
          <w:highlight w:val="none"/>
        </w:rPr>
        <w:t>（姓名）为我方代理人。代理人根据本授权，以我方的名义参加</w:t>
      </w:r>
      <w:r>
        <w:rPr>
          <w:rFonts w:hint="eastAsia" w:ascii="宋体" w:hAnsi="宋体" w:cs="宋体"/>
          <w:kern w:val="0"/>
          <w:szCs w:val="21"/>
          <w:highlight w:val="none"/>
          <w:u w:val="single"/>
        </w:rPr>
        <w:t xml:space="preserve">             </w:t>
      </w:r>
      <w:r>
        <w:rPr>
          <w:rFonts w:hint="eastAsia" w:ascii="宋体" w:hAnsi="宋体" w:cs="宋体"/>
          <w:kern w:val="0"/>
          <w:sz w:val="24"/>
          <w:highlight w:val="none"/>
        </w:rPr>
        <w:t>项目的投标活动，并代表我方全权办理针对上述项目的磋商、开标、评审、签约等具体事务和签署相关文件。</w:t>
      </w:r>
    </w:p>
    <w:p w14:paraId="60EF04F0">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我方对代理人的签名负全部责任。在撤销授权的书面通知以前，本授权书一直有效。代理人在授权书有效期内签署的所有文件不因授权的撤销而失效。</w:t>
      </w:r>
    </w:p>
    <w:p w14:paraId="4C9D60F9">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如果本次采购活动现场变更采购方式，本授权书有效。</w:t>
      </w:r>
    </w:p>
    <w:p w14:paraId="4C9E1EFA">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代理人无转委托权。</w:t>
      </w:r>
    </w:p>
    <w:p w14:paraId="69173396">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委托期限：</w:t>
      </w:r>
    </w:p>
    <w:p w14:paraId="3A22E85F">
      <w:pPr>
        <w:widowControl/>
        <w:wordWrap w:val="0"/>
        <w:snapToGrid w:val="0"/>
        <w:spacing w:line="460" w:lineRule="exact"/>
        <w:ind w:firstLine="480" w:firstLineChars="200"/>
        <w:jc w:val="left"/>
        <w:rPr>
          <w:rFonts w:hint="eastAsia" w:ascii="宋体" w:hAnsi="宋体" w:cs="宋体"/>
          <w:kern w:val="0"/>
          <w:sz w:val="24"/>
          <w:highlight w:val="none"/>
        </w:rPr>
      </w:pPr>
    </w:p>
    <w:p w14:paraId="6839470C">
      <w:pPr>
        <w:widowControl/>
        <w:wordWrap w:val="0"/>
        <w:snapToGrid w:val="0"/>
        <w:spacing w:line="460" w:lineRule="exact"/>
        <w:ind w:firstLine="480" w:firstLineChars="200"/>
        <w:jc w:val="left"/>
        <w:rPr>
          <w:rFonts w:hint="eastAsia" w:ascii="宋体" w:hAnsi="宋体" w:cs="宋体"/>
          <w:kern w:val="0"/>
          <w:sz w:val="24"/>
          <w:highlight w:val="none"/>
          <w:u w:val="single"/>
        </w:rPr>
      </w:pPr>
      <w:r>
        <w:rPr>
          <w:rFonts w:hint="eastAsia" w:ascii="宋体" w:hAnsi="宋体" w:cs="宋体"/>
          <w:kern w:val="0"/>
          <w:sz w:val="24"/>
          <w:highlight w:val="none"/>
        </w:rPr>
        <w:t>委托代理人签名：             法定代表人签名或盖章：</w:t>
      </w:r>
    </w:p>
    <w:p w14:paraId="78677C96">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2B7AF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35236F8B">
            <w:pPr>
              <w:widowControl/>
              <w:spacing w:line="480" w:lineRule="exact"/>
              <w:ind w:firstLine="480"/>
              <w:jc w:val="left"/>
              <w:rPr>
                <w:rFonts w:hint="eastAsia" w:ascii="宋体" w:hAnsi="宋体" w:cs="宋体"/>
                <w:kern w:val="0"/>
                <w:sz w:val="24"/>
                <w:highlight w:val="none"/>
              </w:rPr>
            </w:pPr>
            <w:r>
              <w:rPr>
                <w:rFonts w:hint="eastAsia" w:ascii="宋体" w:hAnsi="宋体" w:cs="宋体"/>
                <w:bCs/>
                <w:kern w:val="0"/>
                <w:sz w:val="24"/>
                <w:highlight w:val="none"/>
              </w:rPr>
              <w:t>此处请粘贴</w:t>
            </w:r>
            <w:r>
              <w:rPr>
                <w:rFonts w:hint="eastAsia" w:ascii="宋体" w:hAnsi="宋体" w:cs="宋体"/>
                <w:kern w:val="0"/>
                <w:sz w:val="24"/>
                <w:highlight w:val="none"/>
              </w:rPr>
              <w:t>委托代理人</w:t>
            </w:r>
            <w:r>
              <w:rPr>
                <w:rFonts w:hint="eastAsia" w:ascii="宋体" w:hAnsi="宋体" w:cs="宋体"/>
                <w:bCs/>
                <w:kern w:val="0"/>
                <w:sz w:val="24"/>
                <w:highlight w:val="none"/>
              </w:rPr>
              <w:t>身份证复印件</w:t>
            </w:r>
          </w:p>
        </w:tc>
      </w:tr>
    </w:tbl>
    <w:p w14:paraId="2700A829">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委托代理人身份证号码：</w:t>
      </w:r>
    </w:p>
    <w:p w14:paraId="5F3FF234">
      <w:pPr>
        <w:widowControl/>
        <w:wordWrap w:val="0"/>
        <w:spacing w:line="460" w:lineRule="exact"/>
        <w:ind w:firstLine="4800" w:firstLineChars="2000"/>
        <w:jc w:val="left"/>
        <w:rPr>
          <w:rFonts w:hint="eastAsia" w:ascii="宋体" w:hAnsi="宋体" w:cs="宋体"/>
          <w:kern w:val="0"/>
          <w:sz w:val="24"/>
          <w:highlight w:val="none"/>
        </w:rPr>
      </w:pPr>
    </w:p>
    <w:p w14:paraId="333B8F68">
      <w:pPr>
        <w:widowControl/>
        <w:wordWrap w:val="0"/>
        <w:spacing w:line="360" w:lineRule="auto"/>
        <w:ind w:firstLine="480"/>
        <w:jc w:val="center"/>
        <w:rPr>
          <w:rFonts w:hint="eastAsia" w:ascii="宋体" w:hAnsi="宋体" w:cs="宋体"/>
          <w:kern w:val="0"/>
          <w:sz w:val="24"/>
          <w:highlight w:val="none"/>
        </w:rPr>
      </w:pPr>
    </w:p>
    <w:p w14:paraId="0EF94C72">
      <w:pPr>
        <w:widowControl/>
        <w:wordWrap w:val="0"/>
        <w:spacing w:line="360" w:lineRule="auto"/>
        <w:ind w:firstLine="480"/>
        <w:jc w:val="right"/>
        <w:rPr>
          <w:rFonts w:hint="eastAsia" w:ascii="宋体" w:hAnsi="宋体" w:cs="宋体"/>
          <w:kern w:val="0"/>
          <w:sz w:val="24"/>
          <w:highlight w:val="none"/>
        </w:rPr>
      </w:pPr>
    </w:p>
    <w:p w14:paraId="0CF665B8">
      <w:pPr>
        <w:widowControl/>
        <w:wordWrap w:val="0"/>
        <w:spacing w:line="360" w:lineRule="auto"/>
        <w:ind w:firstLine="480"/>
        <w:jc w:val="right"/>
        <w:rPr>
          <w:rFonts w:hint="eastAsia" w:ascii="宋体" w:hAnsi="宋体" w:cs="宋体"/>
          <w:kern w:val="0"/>
          <w:sz w:val="24"/>
          <w:highlight w:val="none"/>
        </w:rPr>
      </w:pPr>
    </w:p>
    <w:p w14:paraId="63A8EF13">
      <w:pPr>
        <w:widowControl/>
        <w:wordWrap w:val="0"/>
        <w:spacing w:line="360" w:lineRule="auto"/>
        <w:ind w:firstLine="480"/>
        <w:jc w:val="right"/>
        <w:rPr>
          <w:rFonts w:hint="eastAsia" w:ascii="宋体" w:hAnsi="宋体" w:cs="宋体"/>
          <w:kern w:val="0"/>
          <w:sz w:val="24"/>
          <w:highlight w:val="none"/>
        </w:rPr>
      </w:pPr>
    </w:p>
    <w:p w14:paraId="62E8A4AF">
      <w:pPr>
        <w:widowControl/>
        <w:wordWrap w:val="0"/>
        <w:spacing w:line="360" w:lineRule="auto"/>
        <w:ind w:firstLine="480"/>
        <w:jc w:val="right"/>
        <w:rPr>
          <w:rFonts w:hint="eastAsia" w:ascii="宋体" w:hAnsi="宋体" w:cs="宋体"/>
          <w:kern w:val="0"/>
          <w:sz w:val="24"/>
          <w:highlight w:val="none"/>
        </w:rPr>
      </w:pPr>
    </w:p>
    <w:p w14:paraId="1202C649">
      <w:pPr>
        <w:widowControl/>
        <w:wordWrap w:val="0"/>
        <w:spacing w:line="360" w:lineRule="auto"/>
        <w:ind w:firstLine="480"/>
        <w:jc w:val="right"/>
        <w:rPr>
          <w:rFonts w:hint="eastAsia" w:ascii="宋体" w:hAnsi="宋体" w:cs="宋体"/>
          <w:kern w:val="0"/>
          <w:sz w:val="24"/>
          <w:highlight w:val="none"/>
        </w:rPr>
      </w:pPr>
    </w:p>
    <w:p w14:paraId="0F7DA9E7">
      <w:pPr>
        <w:widowControl/>
        <w:spacing w:line="360" w:lineRule="auto"/>
        <w:ind w:firstLine="480"/>
        <w:jc w:val="center"/>
        <w:rPr>
          <w:rFonts w:hint="eastAsia"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Cs w:val="21"/>
          <w:highlight w:val="none"/>
          <w:u w:val="single"/>
        </w:rPr>
        <w:t xml:space="preserve">                </w:t>
      </w:r>
      <w:r>
        <w:rPr>
          <w:rFonts w:hint="eastAsia" w:ascii="宋体" w:hAnsi="宋体" w:cs="宋体"/>
          <w:kern w:val="0"/>
          <w:sz w:val="24"/>
          <w:highlight w:val="none"/>
        </w:rPr>
        <w:t>（全称并加盖公章）</w:t>
      </w:r>
    </w:p>
    <w:p w14:paraId="62EBAC0D">
      <w:pPr>
        <w:widowControl/>
        <w:wordWrap w:val="0"/>
        <w:spacing w:line="460" w:lineRule="exact"/>
        <w:ind w:firstLine="3840" w:firstLineChars="1600"/>
        <w:jc w:val="left"/>
        <w:rPr>
          <w:rFonts w:hint="eastAsia" w:ascii="宋体" w:hAnsi="宋体" w:cs="宋体"/>
          <w:b/>
          <w:kern w:val="0"/>
          <w:sz w:val="32"/>
          <w:szCs w:val="32"/>
          <w:highlight w:val="none"/>
        </w:rPr>
      </w:pPr>
      <w:r>
        <w:rPr>
          <w:rFonts w:hint="eastAsia" w:ascii="宋体" w:hAnsi="宋体" w:cs="宋体"/>
          <w:kern w:val="0"/>
          <w:sz w:val="24"/>
          <w:highlight w:val="none"/>
        </w:rPr>
        <w:t>年    月    日</w:t>
      </w:r>
    </w:p>
    <w:p w14:paraId="06346437">
      <w:pPr>
        <w:widowControl/>
        <w:spacing w:line="360" w:lineRule="auto"/>
        <w:ind w:firstLine="7228" w:firstLineChars="2250"/>
        <w:jc w:val="left"/>
        <w:rPr>
          <w:rFonts w:hint="eastAsia" w:ascii="宋体" w:hAnsi="宋体" w:cs="宋体"/>
          <w:b/>
          <w:kern w:val="0"/>
          <w:sz w:val="32"/>
          <w:szCs w:val="32"/>
          <w:highlight w:val="none"/>
        </w:rPr>
      </w:pPr>
    </w:p>
    <w:p w14:paraId="22F53E44">
      <w:pPr>
        <w:ind w:firstLine="643"/>
        <w:rPr>
          <w:rFonts w:hint="eastAsia" w:ascii="宋体" w:hAnsi="宋体" w:cs="宋体"/>
          <w:b/>
          <w:kern w:val="0"/>
          <w:sz w:val="32"/>
          <w:szCs w:val="32"/>
          <w:highlight w:val="none"/>
        </w:rPr>
      </w:pPr>
      <w:r>
        <w:rPr>
          <w:rFonts w:hint="eastAsia" w:ascii="宋体" w:hAnsi="宋体" w:cs="宋体"/>
          <w:b/>
          <w:kern w:val="0"/>
          <w:sz w:val="32"/>
          <w:szCs w:val="32"/>
          <w:highlight w:val="none"/>
        </w:rPr>
        <w:br w:type="page"/>
      </w:r>
    </w:p>
    <w:p w14:paraId="35627798">
      <w:pPr>
        <w:pStyle w:val="8"/>
        <w:snapToGrid w:val="0"/>
        <w:spacing w:before="20" w:after="20" w:line="360" w:lineRule="auto"/>
        <w:ind w:firstLine="562"/>
        <w:jc w:val="center"/>
        <w:rPr>
          <w:rFonts w:hint="eastAsia" w:ascii="宋体" w:hAnsi="宋体" w:eastAsia="宋体" w:cs="宋体"/>
          <w:sz w:val="28"/>
          <w:szCs w:val="28"/>
          <w:highlight w:val="none"/>
        </w:rPr>
      </w:pPr>
      <w:bookmarkStart w:id="100" w:name="_Toc3342"/>
      <w:bookmarkStart w:id="101" w:name="_Toc24693"/>
      <w:bookmarkStart w:id="102" w:name="_Toc18105"/>
      <w:r>
        <w:rPr>
          <w:rFonts w:hint="eastAsia" w:ascii="宋体" w:hAnsi="宋体" w:eastAsia="宋体" w:cs="宋体"/>
          <w:sz w:val="28"/>
          <w:szCs w:val="28"/>
          <w:highlight w:val="none"/>
        </w:rPr>
        <w:t>附件9          证明文件</w:t>
      </w:r>
      <w:bookmarkEnd w:id="100"/>
      <w:bookmarkEnd w:id="101"/>
      <w:bookmarkEnd w:id="102"/>
    </w:p>
    <w:p w14:paraId="1D92C13C">
      <w:pPr>
        <w:pStyle w:val="13"/>
        <w:spacing w:beforeAutospacing="0" w:afterAutospacing="0" w:line="480" w:lineRule="auto"/>
        <w:ind w:firstLine="470" w:firstLineChars="224"/>
        <w:jc w:val="both"/>
        <w:rPr>
          <w:rFonts w:hint="eastAsia"/>
          <w:bCs/>
          <w:sz w:val="21"/>
          <w:szCs w:val="21"/>
          <w:highlight w:val="none"/>
        </w:rPr>
      </w:pPr>
      <w:r>
        <w:rPr>
          <w:rFonts w:hint="eastAsia"/>
          <w:bCs/>
          <w:sz w:val="21"/>
          <w:szCs w:val="21"/>
          <w:highlight w:val="none"/>
        </w:rPr>
        <w:t>9.1 资格审查资料</w:t>
      </w:r>
    </w:p>
    <w:p w14:paraId="220BEB6C">
      <w:pPr>
        <w:pStyle w:val="13"/>
        <w:spacing w:beforeAutospacing="0" w:afterAutospacing="0" w:line="480" w:lineRule="auto"/>
        <w:ind w:firstLine="470" w:firstLineChars="224"/>
        <w:jc w:val="both"/>
        <w:rPr>
          <w:rFonts w:hint="eastAsia"/>
          <w:bCs/>
          <w:sz w:val="21"/>
          <w:szCs w:val="21"/>
          <w:highlight w:val="none"/>
        </w:rPr>
      </w:pPr>
      <w:r>
        <w:rPr>
          <w:rFonts w:hint="eastAsia"/>
          <w:bCs/>
          <w:sz w:val="21"/>
          <w:szCs w:val="21"/>
          <w:highlight w:val="none"/>
        </w:rPr>
        <w:t xml:space="preserve">9.2 </w:t>
      </w:r>
      <w:bookmarkStart w:id="103" w:name="_Toc17966"/>
      <w:r>
        <w:rPr>
          <w:rFonts w:hint="eastAsia"/>
          <w:bCs/>
          <w:sz w:val="21"/>
          <w:szCs w:val="21"/>
          <w:highlight w:val="none"/>
        </w:rPr>
        <w:t>评分标准中需提供的证明材料</w:t>
      </w:r>
    </w:p>
    <w:p w14:paraId="3E5352CB">
      <w:pPr>
        <w:pStyle w:val="13"/>
        <w:spacing w:beforeAutospacing="0" w:afterAutospacing="0" w:line="480" w:lineRule="auto"/>
        <w:ind w:firstLine="470" w:firstLineChars="224"/>
        <w:jc w:val="both"/>
        <w:rPr>
          <w:rFonts w:hint="eastAsia"/>
          <w:bCs/>
          <w:sz w:val="21"/>
          <w:szCs w:val="21"/>
          <w:highlight w:val="none"/>
        </w:rPr>
      </w:pPr>
      <w:r>
        <w:rPr>
          <w:rFonts w:hint="eastAsia"/>
          <w:bCs/>
          <w:sz w:val="21"/>
          <w:szCs w:val="21"/>
          <w:highlight w:val="none"/>
        </w:rPr>
        <w:t>9.3 供应商认为其他需要提供的证明材料。</w:t>
      </w:r>
    </w:p>
    <w:p w14:paraId="1D9C174E">
      <w:pPr>
        <w:pStyle w:val="13"/>
        <w:spacing w:beforeAutospacing="0" w:afterAutospacing="0" w:line="480" w:lineRule="auto"/>
        <w:ind w:firstLine="540" w:firstLineChars="224"/>
        <w:jc w:val="both"/>
        <w:rPr>
          <w:rFonts w:hint="eastAsia"/>
          <w:b/>
          <w:bCs/>
          <w:highlight w:val="none"/>
        </w:rPr>
      </w:pPr>
    </w:p>
    <w:p w14:paraId="0836D1D9">
      <w:pPr>
        <w:pStyle w:val="13"/>
        <w:spacing w:beforeAutospacing="0" w:afterAutospacing="0" w:line="480" w:lineRule="auto"/>
        <w:ind w:firstLine="540" w:firstLineChars="224"/>
        <w:jc w:val="both"/>
        <w:rPr>
          <w:rFonts w:hint="eastAsia"/>
          <w:b/>
          <w:bCs/>
          <w:highlight w:val="none"/>
        </w:rPr>
      </w:pPr>
    </w:p>
    <w:p w14:paraId="3A1D2263">
      <w:pPr>
        <w:pStyle w:val="13"/>
        <w:spacing w:beforeAutospacing="0" w:afterAutospacing="0" w:line="480" w:lineRule="auto"/>
        <w:ind w:firstLine="540" w:firstLineChars="224"/>
        <w:jc w:val="both"/>
        <w:rPr>
          <w:rFonts w:hint="eastAsia"/>
          <w:b/>
          <w:bCs/>
          <w:highlight w:val="none"/>
        </w:rPr>
      </w:pPr>
    </w:p>
    <w:p w14:paraId="0ABCFE6B">
      <w:pPr>
        <w:pStyle w:val="13"/>
        <w:spacing w:beforeAutospacing="0" w:afterAutospacing="0" w:line="480" w:lineRule="auto"/>
        <w:ind w:firstLine="540" w:firstLineChars="224"/>
        <w:jc w:val="both"/>
        <w:rPr>
          <w:rFonts w:hint="eastAsia"/>
          <w:b/>
          <w:bCs/>
          <w:highlight w:val="none"/>
        </w:rPr>
      </w:pPr>
    </w:p>
    <w:p w14:paraId="0F79092B">
      <w:pPr>
        <w:pStyle w:val="13"/>
        <w:spacing w:beforeAutospacing="0" w:afterAutospacing="0" w:line="480" w:lineRule="auto"/>
        <w:ind w:firstLine="540" w:firstLineChars="224"/>
        <w:jc w:val="both"/>
        <w:rPr>
          <w:rFonts w:hint="eastAsia"/>
          <w:b/>
          <w:bCs/>
          <w:highlight w:val="none"/>
        </w:rPr>
      </w:pPr>
    </w:p>
    <w:p w14:paraId="3161763D">
      <w:pPr>
        <w:pStyle w:val="13"/>
        <w:spacing w:beforeAutospacing="0" w:afterAutospacing="0" w:line="480" w:lineRule="auto"/>
        <w:ind w:firstLine="540" w:firstLineChars="224"/>
        <w:jc w:val="both"/>
        <w:rPr>
          <w:rFonts w:hint="eastAsia"/>
          <w:b/>
          <w:bCs/>
          <w:highlight w:val="none"/>
        </w:rPr>
      </w:pPr>
    </w:p>
    <w:p w14:paraId="0301BDCF">
      <w:pPr>
        <w:pStyle w:val="13"/>
        <w:spacing w:beforeAutospacing="0" w:afterAutospacing="0" w:line="480" w:lineRule="auto"/>
        <w:ind w:firstLine="540" w:firstLineChars="224"/>
        <w:jc w:val="both"/>
        <w:rPr>
          <w:rFonts w:hint="eastAsia"/>
          <w:b/>
          <w:bCs/>
          <w:highlight w:val="none"/>
        </w:rPr>
      </w:pPr>
    </w:p>
    <w:p w14:paraId="74DB51CA">
      <w:pPr>
        <w:pStyle w:val="13"/>
        <w:spacing w:beforeAutospacing="0" w:afterAutospacing="0" w:line="480" w:lineRule="auto"/>
        <w:ind w:firstLine="540" w:firstLineChars="224"/>
        <w:jc w:val="both"/>
        <w:rPr>
          <w:rFonts w:hint="eastAsia"/>
          <w:b/>
          <w:bCs/>
          <w:highlight w:val="none"/>
        </w:rPr>
      </w:pPr>
    </w:p>
    <w:p w14:paraId="1CDD96F1">
      <w:pPr>
        <w:pStyle w:val="13"/>
        <w:spacing w:beforeAutospacing="0" w:afterAutospacing="0" w:line="480" w:lineRule="auto"/>
        <w:ind w:firstLine="540" w:firstLineChars="224"/>
        <w:jc w:val="both"/>
        <w:rPr>
          <w:rFonts w:hint="eastAsia"/>
          <w:b/>
          <w:bCs/>
          <w:highlight w:val="none"/>
        </w:rPr>
      </w:pPr>
    </w:p>
    <w:p w14:paraId="7BF45CF6">
      <w:pPr>
        <w:pStyle w:val="13"/>
        <w:spacing w:beforeAutospacing="0" w:afterAutospacing="0" w:line="480" w:lineRule="auto"/>
        <w:ind w:firstLine="540" w:firstLineChars="224"/>
        <w:jc w:val="both"/>
        <w:rPr>
          <w:rFonts w:hint="eastAsia"/>
          <w:b/>
          <w:bCs/>
          <w:highlight w:val="none"/>
        </w:rPr>
      </w:pPr>
    </w:p>
    <w:p w14:paraId="689F3928">
      <w:pPr>
        <w:pStyle w:val="13"/>
        <w:spacing w:beforeAutospacing="0" w:afterAutospacing="0" w:line="480" w:lineRule="auto"/>
        <w:ind w:firstLine="540" w:firstLineChars="224"/>
        <w:jc w:val="both"/>
        <w:rPr>
          <w:rFonts w:hint="eastAsia"/>
          <w:b/>
          <w:bCs/>
          <w:highlight w:val="none"/>
        </w:rPr>
      </w:pPr>
    </w:p>
    <w:p w14:paraId="3F60B409">
      <w:pPr>
        <w:pStyle w:val="13"/>
        <w:spacing w:beforeAutospacing="0" w:afterAutospacing="0" w:line="480" w:lineRule="auto"/>
        <w:ind w:firstLine="540" w:firstLineChars="224"/>
        <w:jc w:val="both"/>
        <w:rPr>
          <w:rFonts w:hint="eastAsia"/>
          <w:b/>
          <w:bCs/>
          <w:highlight w:val="none"/>
        </w:rPr>
      </w:pPr>
    </w:p>
    <w:p w14:paraId="7BE78473">
      <w:pPr>
        <w:pStyle w:val="13"/>
        <w:spacing w:beforeAutospacing="0" w:afterAutospacing="0" w:line="480" w:lineRule="auto"/>
        <w:ind w:firstLine="540" w:firstLineChars="224"/>
        <w:jc w:val="both"/>
        <w:rPr>
          <w:rFonts w:hint="eastAsia"/>
          <w:b/>
          <w:bCs/>
          <w:highlight w:val="none"/>
        </w:rPr>
      </w:pPr>
    </w:p>
    <w:p w14:paraId="7BD11F0B">
      <w:pPr>
        <w:pStyle w:val="13"/>
        <w:spacing w:beforeAutospacing="0" w:afterAutospacing="0" w:line="480" w:lineRule="auto"/>
        <w:ind w:firstLine="540" w:firstLineChars="224"/>
        <w:jc w:val="both"/>
        <w:rPr>
          <w:rFonts w:hint="eastAsia"/>
          <w:b/>
          <w:bCs/>
          <w:highlight w:val="none"/>
        </w:rPr>
      </w:pPr>
    </w:p>
    <w:p w14:paraId="20A0DF29">
      <w:pPr>
        <w:pStyle w:val="13"/>
        <w:spacing w:beforeAutospacing="0" w:afterAutospacing="0" w:line="480" w:lineRule="auto"/>
        <w:ind w:firstLine="540" w:firstLineChars="224"/>
        <w:jc w:val="both"/>
        <w:rPr>
          <w:rFonts w:hint="eastAsia"/>
          <w:b/>
          <w:bCs/>
          <w:highlight w:val="none"/>
        </w:rPr>
      </w:pPr>
    </w:p>
    <w:p w14:paraId="569DEC9A">
      <w:pPr>
        <w:pStyle w:val="13"/>
        <w:spacing w:beforeAutospacing="0" w:afterAutospacing="0" w:line="480" w:lineRule="auto"/>
        <w:ind w:firstLine="540" w:firstLineChars="224"/>
        <w:jc w:val="both"/>
        <w:rPr>
          <w:rFonts w:hint="eastAsia"/>
          <w:b/>
          <w:bCs/>
          <w:highlight w:val="none"/>
        </w:rPr>
      </w:pPr>
    </w:p>
    <w:p w14:paraId="038ABF71">
      <w:pPr>
        <w:ind w:firstLine="560"/>
        <w:rPr>
          <w:rFonts w:hint="eastAsia" w:ascii="宋体" w:hAnsi="宋体" w:cs="宋体"/>
          <w:sz w:val="28"/>
          <w:szCs w:val="28"/>
          <w:highlight w:val="none"/>
        </w:rPr>
      </w:pPr>
      <w:bookmarkStart w:id="104" w:name="_Toc16083"/>
      <w:bookmarkStart w:id="105" w:name="_Toc13726"/>
      <w:bookmarkStart w:id="106" w:name="_Toc12888"/>
      <w:r>
        <w:rPr>
          <w:rFonts w:hint="eastAsia" w:ascii="宋体" w:hAnsi="宋体" w:cs="宋体"/>
          <w:sz w:val="28"/>
          <w:szCs w:val="28"/>
          <w:highlight w:val="none"/>
        </w:rPr>
        <w:br w:type="page"/>
      </w:r>
    </w:p>
    <w:p w14:paraId="7CDF1050">
      <w:pPr>
        <w:pStyle w:val="8"/>
        <w:snapToGrid w:val="0"/>
        <w:spacing w:before="20" w:after="20" w:line="360" w:lineRule="auto"/>
        <w:ind w:firstLine="562"/>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附件10      </w:t>
      </w:r>
      <w:bookmarkEnd w:id="103"/>
      <w:r>
        <w:rPr>
          <w:rFonts w:hint="eastAsia" w:ascii="宋体" w:hAnsi="宋体" w:eastAsia="宋体" w:cs="宋体"/>
          <w:sz w:val="28"/>
          <w:szCs w:val="28"/>
          <w:highlight w:val="none"/>
        </w:rPr>
        <w:t>供 应 商 承 诺 书 （格式）</w:t>
      </w:r>
      <w:bookmarkEnd w:id="104"/>
      <w:bookmarkEnd w:id="105"/>
      <w:bookmarkEnd w:id="106"/>
    </w:p>
    <w:p w14:paraId="1481CB18">
      <w:pPr>
        <w:rPr>
          <w:rFonts w:hint="eastAsia" w:ascii="宋体" w:hAnsi="宋体" w:cs="宋体"/>
          <w:highlight w:val="none"/>
        </w:rPr>
      </w:pPr>
    </w:p>
    <w:p w14:paraId="52591F46">
      <w:pPr>
        <w:snapToGrid w:val="0"/>
        <w:spacing w:line="480" w:lineRule="auto"/>
        <w:ind w:firstLine="480"/>
        <w:rPr>
          <w:rFonts w:hint="eastAsia" w:ascii="宋体" w:hAnsi="宋体" w:cs="宋体"/>
          <w:sz w:val="24"/>
          <w:highlight w:val="none"/>
        </w:rPr>
      </w:pPr>
      <w:r>
        <w:rPr>
          <w:rFonts w:hint="eastAsia" w:ascii="宋体" w:hAnsi="宋体" w:cs="宋体"/>
          <w:sz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4011AC2D">
      <w:pPr>
        <w:snapToGrid w:val="0"/>
        <w:spacing w:line="480" w:lineRule="auto"/>
        <w:ind w:firstLine="480"/>
        <w:rPr>
          <w:rFonts w:hint="eastAsia" w:ascii="宋体" w:hAnsi="宋体" w:cs="宋体"/>
          <w:sz w:val="24"/>
          <w:highlight w:val="none"/>
        </w:rPr>
      </w:pPr>
      <w:r>
        <w:rPr>
          <w:rFonts w:hint="eastAsia" w:ascii="宋体" w:hAnsi="宋体" w:cs="宋体"/>
          <w:sz w:val="24"/>
          <w:highlight w:val="none"/>
        </w:rPr>
        <w:t>1、遵循公开、公平、公正和诚实信用的原则自愿参加，所提供的一切材料真实、有效、合法。</w:t>
      </w:r>
    </w:p>
    <w:p w14:paraId="01071BD5">
      <w:pPr>
        <w:snapToGrid w:val="0"/>
        <w:spacing w:line="480" w:lineRule="auto"/>
        <w:ind w:firstLine="480"/>
        <w:rPr>
          <w:rFonts w:hint="eastAsia" w:ascii="宋体" w:hAnsi="宋体" w:cs="宋体"/>
          <w:sz w:val="24"/>
          <w:highlight w:val="none"/>
        </w:rPr>
      </w:pPr>
      <w:r>
        <w:rPr>
          <w:rFonts w:hint="eastAsia" w:ascii="宋体" w:hAnsi="宋体" w:cs="宋体"/>
          <w:sz w:val="24"/>
          <w:highlight w:val="none"/>
        </w:rPr>
        <w:t>2、遵守甲方采购纪律，诚实守信地为甲方提供安全可靠的产品、服务及相关技术，保证质量并主动做好售后服务工作。</w:t>
      </w:r>
    </w:p>
    <w:p w14:paraId="08C379EC">
      <w:pPr>
        <w:snapToGrid w:val="0"/>
        <w:spacing w:line="480" w:lineRule="auto"/>
        <w:ind w:firstLine="480"/>
        <w:rPr>
          <w:rFonts w:hint="eastAsia" w:ascii="宋体" w:hAnsi="宋体" w:cs="宋体"/>
          <w:sz w:val="24"/>
          <w:highlight w:val="none"/>
        </w:rPr>
      </w:pPr>
      <w:r>
        <w:rPr>
          <w:rFonts w:hint="eastAsia" w:ascii="宋体" w:hAnsi="宋体" w:cs="宋体"/>
          <w:sz w:val="24"/>
          <w:highlight w:val="none"/>
        </w:rPr>
        <w:t>3、杜绝利用提供财物或给予其他不正当利益谋取中标的不良行为。</w:t>
      </w:r>
    </w:p>
    <w:p w14:paraId="4E290769">
      <w:pPr>
        <w:snapToGrid w:val="0"/>
        <w:spacing w:line="480" w:lineRule="auto"/>
        <w:ind w:firstLine="480"/>
        <w:rPr>
          <w:rFonts w:hint="eastAsia" w:ascii="宋体" w:hAnsi="宋体" w:cs="宋体"/>
          <w:sz w:val="24"/>
          <w:highlight w:val="none"/>
        </w:rPr>
      </w:pPr>
      <w:r>
        <w:rPr>
          <w:rFonts w:hint="eastAsia" w:ascii="宋体" w:hAnsi="宋体" w:cs="宋体"/>
          <w:sz w:val="24"/>
          <w:highlight w:val="none"/>
        </w:rPr>
        <w:t>4、不发生其他任何可能影响甲方工作人员公正执行公务或者职务廉洁的行为。</w:t>
      </w:r>
    </w:p>
    <w:p w14:paraId="170E20B9">
      <w:pPr>
        <w:snapToGrid w:val="0"/>
        <w:spacing w:line="480" w:lineRule="auto"/>
        <w:ind w:firstLine="480"/>
        <w:rPr>
          <w:rFonts w:hint="eastAsia" w:ascii="宋体" w:hAnsi="宋体" w:cs="宋体"/>
          <w:sz w:val="24"/>
          <w:highlight w:val="none"/>
        </w:rPr>
      </w:pPr>
      <w:r>
        <w:rPr>
          <w:rFonts w:hint="eastAsia" w:ascii="宋体" w:hAnsi="宋体" w:cs="宋体"/>
          <w:sz w:val="24"/>
          <w:highlight w:val="none"/>
        </w:rPr>
        <w:t>5、不参与串标、围标或其他不正当竞争行为；杜绝以虚报资质、业绩或其他弄虚作假等方式骗取中标。</w:t>
      </w:r>
    </w:p>
    <w:p w14:paraId="140A25A3">
      <w:pPr>
        <w:snapToGrid w:val="0"/>
        <w:spacing w:line="480" w:lineRule="auto"/>
        <w:ind w:firstLine="480"/>
        <w:rPr>
          <w:rFonts w:hint="eastAsia" w:ascii="宋体" w:hAnsi="宋体" w:cs="宋体"/>
          <w:sz w:val="24"/>
          <w:highlight w:val="none"/>
        </w:rPr>
      </w:pPr>
      <w:r>
        <w:rPr>
          <w:rFonts w:hint="eastAsia" w:ascii="宋体" w:hAnsi="宋体" w:cs="宋体"/>
          <w:sz w:val="24"/>
          <w:highlight w:val="none"/>
        </w:rPr>
        <w:t>6、响应时，杜绝擅自修改采购文件或技术标准（包括差异表）技术配置的行为。</w:t>
      </w:r>
    </w:p>
    <w:p w14:paraId="64529C2E">
      <w:pPr>
        <w:snapToGrid w:val="0"/>
        <w:spacing w:line="480" w:lineRule="auto"/>
        <w:ind w:firstLine="480"/>
        <w:rPr>
          <w:rFonts w:hint="eastAsia" w:ascii="宋体" w:hAnsi="宋体" w:cs="宋体"/>
          <w:sz w:val="24"/>
          <w:highlight w:val="none"/>
        </w:rPr>
      </w:pPr>
      <w:r>
        <w:rPr>
          <w:rFonts w:hint="eastAsia" w:ascii="宋体" w:hAnsi="宋体" w:cs="宋体"/>
          <w:sz w:val="24"/>
          <w:highlight w:val="none"/>
        </w:rPr>
        <w:t>7、严格按照采购、响应文件要求签订合同，不违反法律无故拒签合同，不签订背离合同（或技术协议书）实质性内容的协议。</w:t>
      </w:r>
    </w:p>
    <w:p w14:paraId="503E72DE">
      <w:pPr>
        <w:snapToGrid w:val="0"/>
        <w:spacing w:line="480" w:lineRule="auto"/>
        <w:ind w:firstLine="480"/>
        <w:rPr>
          <w:rFonts w:hint="eastAsia" w:ascii="宋体" w:hAnsi="宋体" w:cs="宋体"/>
          <w:sz w:val="24"/>
          <w:highlight w:val="none"/>
        </w:rPr>
      </w:pPr>
    </w:p>
    <w:p w14:paraId="06C9868B">
      <w:pPr>
        <w:snapToGrid w:val="0"/>
        <w:spacing w:line="480" w:lineRule="auto"/>
        <w:ind w:firstLine="480"/>
        <w:rPr>
          <w:rFonts w:hint="eastAsia" w:ascii="宋体" w:hAnsi="宋体" w:cs="宋体"/>
          <w:sz w:val="24"/>
          <w:highlight w:val="none"/>
        </w:rPr>
      </w:pPr>
      <w:r>
        <w:rPr>
          <w:rFonts w:hint="eastAsia" w:ascii="宋体" w:hAnsi="宋体" w:cs="宋体"/>
          <w:sz w:val="24"/>
          <w:highlight w:val="none"/>
        </w:rPr>
        <w:t xml:space="preserve">供应商（公司名称）：               </w:t>
      </w:r>
    </w:p>
    <w:p w14:paraId="02825932">
      <w:pPr>
        <w:snapToGrid w:val="0"/>
        <w:spacing w:line="480" w:lineRule="auto"/>
        <w:ind w:firstLine="480"/>
        <w:rPr>
          <w:rFonts w:hint="eastAsia" w:ascii="宋体" w:hAnsi="宋体" w:cs="宋体"/>
          <w:sz w:val="24"/>
          <w:highlight w:val="none"/>
        </w:rPr>
      </w:pPr>
      <w:r>
        <w:rPr>
          <w:rFonts w:hint="eastAsia" w:ascii="宋体" w:hAnsi="宋体" w:cs="宋体"/>
          <w:sz w:val="24"/>
          <w:highlight w:val="none"/>
        </w:rPr>
        <w:t xml:space="preserve">法定代表人或委托人（签字或盖章）：           </w:t>
      </w:r>
    </w:p>
    <w:p w14:paraId="7C3B3871">
      <w:pPr>
        <w:snapToGrid w:val="0"/>
        <w:spacing w:line="480" w:lineRule="auto"/>
        <w:ind w:firstLine="480"/>
        <w:rPr>
          <w:rFonts w:hint="eastAsia" w:ascii="宋体" w:hAnsi="宋体" w:cs="宋体"/>
          <w:sz w:val="28"/>
          <w:szCs w:val="28"/>
          <w:highlight w:val="none"/>
        </w:rPr>
      </w:pPr>
      <w:r>
        <w:rPr>
          <w:rFonts w:hint="eastAsia" w:ascii="宋体" w:hAnsi="宋体" w:cs="宋体"/>
          <w:sz w:val="24"/>
          <w:highlight w:val="none"/>
        </w:rPr>
        <w:t xml:space="preserve">        年   月   日</w:t>
      </w:r>
    </w:p>
    <w:p w14:paraId="06F13EDD">
      <w:pPr>
        <w:widowControl/>
        <w:spacing w:line="360" w:lineRule="auto"/>
        <w:ind w:firstLine="4305" w:firstLineChars="2050"/>
        <w:jc w:val="left"/>
        <w:rPr>
          <w:rFonts w:hint="eastAsia" w:ascii="宋体" w:hAnsi="宋体" w:cs="宋体"/>
          <w:kern w:val="0"/>
          <w:szCs w:val="21"/>
          <w:highlight w:val="none"/>
        </w:rPr>
      </w:pPr>
    </w:p>
    <w:p w14:paraId="700568D8">
      <w:pPr>
        <w:pStyle w:val="33"/>
        <w:ind w:firstLine="210"/>
        <w:rPr>
          <w:rFonts w:hint="eastAsia" w:ascii="宋体" w:hAnsi="宋体" w:cs="宋体"/>
          <w:kern w:val="0"/>
          <w:highlight w:val="none"/>
        </w:rPr>
      </w:pPr>
    </w:p>
    <w:p w14:paraId="1A940807">
      <w:pPr>
        <w:pStyle w:val="6"/>
        <w:ind w:firstLine="480"/>
        <w:rPr>
          <w:rFonts w:hint="eastAsia"/>
          <w:szCs w:val="21"/>
          <w:highlight w:val="none"/>
        </w:rPr>
      </w:pPr>
    </w:p>
    <w:p w14:paraId="3C04BB33">
      <w:pPr>
        <w:pStyle w:val="13"/>
        <w:ind w:firstLine="480"/>
        <w:rPr>
          <w:rFonts w:hint="eastAsia"/>
          <w:highlight w:val="none"/>
        </w:rPr>
      </w:pPr>
    </w:p>
    <w:p w14:paraId="1C8E7862">
      <w:pPr>
        <w:pStyle w:val="8"/>
        <w:snapToGrid w:val="0"/>
        <w:spacing w:before="20" w:after="20" w:line="360" w:lineRule="auto"/>
        <w:ind w:firstLine="562"/>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附件11     供应商信用承诺函（格式）</w:t>
      </w:r>
    </w:p>
    <w:p w14:paraId="20AD0DD0">
      <w:pPr>
        <w:snapToGrid w:val="0"/>
        <w:spacing w:line="360" w:lineRule="auto"/>
        <w:ind w:firstLine="420"/>
        <w:rPr>
          <w:rFonts w:hint="eastAsia" w:ascii="宋体" w:hAnsi="宋体" w:cs="宋体"/>
          <w:szCs w:val="21"/>
          <w:highlight w:val="none"/>
        </w:rPr>
      </w:pPr>
      <w:r>
        <w:rPr>
          <w:rFonts w:hint="eastAsia" w:ascii="宋体" w:hAnsi="宋体" w:cs="宋体"/>
          <w:szCs w:val="21"/>
          <w:highlight w:val="none"/>
        </w:rPr>
        <w:t>致（采购人或政府采购代理机构）：</w:t>
      </w:r>
    </w:p>
    <w:p w14:paraId="29F79F9C">
      <w:pPr>
        <w:snapToGrid w:val="0"/>
        <w:spacing w:line="360" w:lineRule="auto"/>
        <w:ind w:firstLine="420"/>
        <w:rPr>
          <w:rFonts w:hint="eastAsia" w:ascii="宋体" w:hAnsi="宋体" w:cs="宋体"/>
          <w:szCs w:val="21"/>
          <w:highlight w:val="none"/>
        </w:rPr>
      </w:pPr>
      <w:r>
        <w:rPr>
          <w:rFonts w:hint="eastAsia" w:ascii="宋体" w:hAnsi="宋体" w:cs="宋体"/>
          <w:szCs w:val="21"/>
          <w:highlight w:val="none"/>
        </w:rPr>
        <w:t>单位名称（自然人姓名）：</w:t>
      </w:r>
    </w:p>
    <w:p w14:paraId="1BB2DC3F">
      <w:pPr>
        <w:snapToGrid w:val="0"/>
        <w:spacing w:line="360" w:lineRule="auto"/>
        <w:ind w:firstLine="420"/>
        <w:rPr>
          <w:rFonts w:hint="eastAsia" w:ascii="宋体" w:hAnsi="宋体" w:cs="宋体"/>
          <w:szCs w:val="21"/>
          <w:highlight w:val="none"/>
        </w:rPr>
      </w:pPr>
      <w:r>
        <w:rPr>
          <w:rFonts w:hint="eastAsia" w:ascii="宋体" w:hAnsi="宋体" w:cs="宋体"/>
          <w:szCs w:val="21"/>
          <w:highlight w:val="none"/>
        </w:rPr>
        <w:t>统一社会信用代码（身份证号码）：</w:t>
      </w:r>
    </w:p>
    <w:p w14:paraId="37B815AF">
      <w:pPr>
        <w:snapToGrid w:val="0"/>
        <w:spacing w:line="360" w:lineRule="auto"/>
        <w:ind w:firstLine="420"/>
        <w:rPr>
          <w:rFonts w:hint="eastAsia" w:ascii="宋体" w:hAnsi="宋体" w:cs="宋体"/>
          <w:szCs w:val="21"/>
          <w:highlight w:val="none"/>
        </w:rPr>
      </w:pPr>
      <w:r>
        <w:rPr>
          <w:rFonts w:hint="eastAsia" w:ascii="宋体" w:hAnsi="宋体" w:cs="宋体"/>
          <w:szCs w:val="21"/>
          <w:highlight w:val="none"/>
        </w:rPr>
        <w:t>法定代表人（负责人）：</w:t>
      </w:r>
    </w:p>
    <w:p w14:paraId="2C24A847">
      <w:pPr>
        <w:snapToGrid w:val="0"/>
        <w:spacing w:line="360" w:lineRule="auto"/>
        <w:ind w:firstLine="420"/>
        <w:rPr>
          <w:rFonts w:hint="eastAsia" w:ascii="宋体" w:hAnsi="宋体" w:cs="宋体"/>
          <w:szCs w:val="21"/>
          <w:highlight w:val="none"/>
        </w:rPr>
      </w:pPr>
      <w:r>
        <w:rPr>
          <w:rFonts w:hint="eastAsia" w:ascii="宋体" w:hAnsi="宋体" w:cs="宋体"/>
          <w:szCs w:val="21"/>
          <w:highlight w:val="none"/>
        </w:rPr>
        <w:t>联系地址和电话：</w:t>
      </w:r>
    </w:p>
    <w:p w14:paraId="15586D22">
      <w:pPr>
        <w:snapToGrid w:val="0"/>
        <w:spacing w:line="360" w:lineRule="auto"/>
        <w:ind w:firstLine="420"/>
        <w:rPr>
          <w:rFonts w:hint="eastAsia" w:ascii="宋体" w:hAnsi="宋体" w:cs="宋体"/>
          <w:szCs w:val="21"/>
          <w:highlight w:val="none"/>
        </w:rPr>
      </w:pPr>
      <w:r>
        <w:rPr>
          <w:rFonts w:hint="eastAsia" w:ascii="宋体" w:hAnsi="宋体" w:cs="宋体"/>
          <w:szCs w:val="21"/>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C5F73CF">
      <w:pPr>
        <w:snapToGrid w:val="0"/>
        <w:spacing w:line="360" w:lineRule="auto"/>
        <w:ind w:firstLine="420"/>
        <w:rPr>
          <w:rFonts w:hint="eastAsia" w:ascii="宋体" w:hAnsi="宋体" w:cs="宋体"/>
          <w:szCs w:val="21"/>
          <w:highlight w:val="none"/>
        </w:rPr>
      </w:pPr>
      <w:r>
        <w:rPr>
          <w:rFonts w:hint="eastAsia" w:ascii="宋体" w:hAnsi="宋体" w:cs="宋体"/>
          <w:szCs w:val="21"/>
          <w:highlight w:val="none"/>
        </w:rPr>
        <w:t>（一）具有独立承担民事责任的能力；</w:t>
      </w:r>
    </w:p>
    <w:p w14:paraId="74EAD0D2">
      <w:pPr>
        <w:snapToGrid w:val="0"/>
        <w:spacing w:line="360" w:lineRule="auto"/>
        <w:ind w:firstLine="420"/>
        <w:rPr>
          <w:rFonts w:hint="eastAsia" w:ascii="宋体" w:hAnsi="宋体" w:cs="宋体"/>
          <w:szCs w:val="21"/>
          <w:highlight w:val="none"/>
        </w:rPr>
      </w:pPr>
      <w:r>
        <w:rPr>
          <w:rFonts w:hint="eastAsia" w:ascii="宋体" w:hAnsi="宋体" w:cs="宋体"/>
          <w:szCs w:val="21"/>
          <w:highlight w:val="none"/>
        </w:rPr>
        <w:t>（二）具有良好的商业信誉和健全的财务会计制度；</w:t>
      </w:r>
    </w:p>
    <w:p w14:paraId="6F59F59B">
      <w:pPr>
        <w:snapToGrid w:val="0"/>
        <w:spacing w:line="360" w:lineRule="auto"/>
        <w:ind w:firstLine="420"/>
        <w:rPr>
          <w:rFonts w:hint="eastAsia" w:ascii="宋体" w:hAnsi="宋体" w:cs="宋体"/>
          <w:szCs w:val="21"/>
          <w:highlight w:val="none"/>
        </w:rPr>
      </w:pPr>
      <w:r>
        <w:rPr>
          <w:rFonts w:hint="eastAsia" w:ascii="宋体" w:hAnsi="宋体" w:cs="宋体"/>
          <w:szCs w:val="21"/>
          <w:highlight w:val="none"/>
        </w:rPr>
        <w:t>（三）具有履行合同所必需的设备和专业技术能力；</w:t>
      </w:r>
    </w:p>
    <w:p w14:paraId="69303C1C">
      <w:pPr>
        <w:snapToGrid w:val="0"/>
        <w:spacing w:line="360" w:lineRule="auto"/>
        <w:ind w:firstLine="420"/>
        <w:rPr>
          <w:rFonts w:hint="eastAsia" w:ascii="宋体" w:hAnsi="宋体" w:cs="宋体"/>
          <w:szCs w:val="21"/>
          <w:highlight w:val="none"/>
        </w:rPr>
      </w:pPr>
      <w:r>
        <w:rPr>
          <w:rFonts w:hint="eastAsia" w:ascii="宋体" w:hAnsi="宋体" w:cs="宋体"/>
          <w:szCs w:val="21"/>
          <w:highlight w:val="none"/>
        </w:rPr>
        <w:t>（四）有依法缴纳税收和社会保障资金的良好记录；</w:t>
      </w:r>
    </w:p>
    <w:p w14:paraId="7A7EE14C">
      <w:pPr>
        <w:snapToGrid w:val="0"/>
        <w:spacing w:line="360" w:lineRule="auto"/>
        <w:ind w:firstLine="420"/>
        <w:rPr>
          <w:rFonts w:hint="eastAsia" w:ascii="宋体" w:hAnsi="宋体" w:cs="宋体"/>
          <w:szCs w:val="21"/>
          <w:highlight w:val="none"/>
        </w:rPr>
      </w:pPr>
      <w:r>
        <w:rPr>
          <w:rFonts w:hint="eastAsia" w:ascii="宋体" w:hAnsi="宋体" w:cs="宋体"/>
          <w:szCs w:val="21"/>
          <w:highlight w:val="none"/>
        </w:rPr>
        <w:t>（五）参加政府采购活动前三年内，在经营活动中没有重大违法记录；</w:t>
      </w:r>
    </w:p>
    <w:p w14:paraId="70962CB9">
      <w:pPr>
        <w:snapToGrid w:val="0"/>
        <w:spacing w:line="360" w:lineRule="auto"/>
        <w:ind w:firstLine="420"/>
        <w:rPr>
          <w:rFonts w:hint="eastAsia" w:ascii="宋体" w:hAnsi="宋体" w:cs="宋体"/>
          <w:szCs w:val="21"/>
          <w:highlight w:val="none"/>
        </w:rPr>
      </w:pPr>
      <w:r>
        <w:rPr>
          <w:rFonts w:hint="eastAsia" w:ascii="宋体" w:hAnsi="宋体" w:cs="宋体"/>
          <w:szCs w:val="21"/>
          <w:highlight w:val="none"/>
        </w:rPr>
        <w:t>（六）未被列入严重失信主体名单、失信被执行人、税收违法黑名单、政府采购严重违法失信行为记录名单，未曾作出虚假承诺；</w:t>
      </w:r>
    </w:p>
    <w:p w14:paraId="4C3EA8D2">
      <w:pPr>
        <w:snapToGrid w:val="0"/>
        <w:spacing w:line="360" w:lineRule="auto"/>
        <w:ind w:firstLine="420"/>
        <w:rPr>
          <w:rFonts w:hint="eastAsia" w:ascii="宋体" w:hAnsi="宋体" w:cs="宋体"/>
          <w:szCs w:val="21"/>
          <w:highlight w:val="none"/>
        </w:rPr>
      </w:pPr>
      <w:r>
        <w:rPr>
          <w:rFonts w:hint="eastAsia" w:ascii="宋体" w:hAnsi="宋体" w:cs="宋体"/>
          <w:szCs w:val="21"/>
          <w:highlight w:val="none"/>
        </w:rPr>
        <w:t>（七）符合法律、行政法规规定的其他条件。</w:t>
      </w:r>
    </w:p>
    <w:p w14:paraId="1ADF649F">
      <w:pPr>
        <w:snapToGrid w:val="0"/>
        <w:spacing w:line="360" w:lineRule="auto"/>
        <w:ind w:firstLine="420"/>
        <w:rPr>
          <w:rFonts w:hint="eastAsia" w:ascii="宋体" w:hAnsi="宋体" w:cs="宋体"/>
          <w:szCs w:val="21"/>
          <w:highlight w:val="none"/>
        </w:rPr>
      </w:pPr>
      <w:r>
        <w:rPr>
          <w:rFonts w:hint="eastAsia" w:ascii="宋体" w:hAnsi="宋体" w:cs="宋体"/>
          <w:szCs w:val="21"/>
          <w:highlight w:val="none"/>
        </w:rPr>
        <w:t>我单位（本人）保证上述承诺事项的真实性，如有弄虚作假或其他违法违规行为，愿意承担一切法律责任，并承担因此所造成的一切损失。</w:t>
      </w:r>
    </w:p>
    <w:p w14:paraId="0723E38F">
      <w:pPr>
        <w:snapToGrid w:val="0"/>
        <w:spacing w:line="360" w:lineRule="auto"/>
        <w:ind w:firstLine="420"/>
        <w:rPr>
          <w:rFonts w:hint="eastAsia" w:ascii="宋体" w:hAnsi="宋体" w:cs="宋体"/>
          <w:szCs w:val="21"/>
          <w:highlight w:val="none"/>
        </w:rPr>
      </w:pPr>
    </w:p>
    <w:p w14:paraId="06DD967B">
      <w:pPr>
        <w:snapToGrid w:val="0"/>
        <w:spacing w:line="360" w:lineRule="auto"/>
        <w:ind w:firstLine="420"/>
        <w:rPr>
          <w:rFonts w:hint="eastAsia" w:ascii="宋体" w:hAnsi="宋体" w:cs="宋体"/>
          <w:szCs w:val="21"/>
          <w:highlight w:val="none"/>
        </w:rPr>
      </w:pPr>
      <w:r>
        <w:rPr>
          <w:rFonts w:hint="eastAsia" w:ascii="宋体" w:hAnsi="宋体" w:cs="宋体"/>
          <w:szCs w:val="21"/>
          <w:highlight w:val="none"/>
        </w:rPr>
        <w:t>供应商名称（盖章）：</w:t>
      </w:r>
    </w:p>
    <w:p w14:paraId="7DE2A2A1">
      <w:pPr>
        <w:snapToGrid w:val="0"/>
        <w:spacing w:line="360" w:lineRule="auto"/>
        <w:ind w:firstLine="420"/>
        <w:rPr>
          <w:rFonts w:hint="eastAsia" w:ascii="宋体" w:hAnsi="宋体" w:cs="宋体"/>
          <w:szCs w:val="21"/>
          <w:highlight w:val="none"/>
        </w:rPr>
      </w:pPr>
      <w:r>
        <w:rPr>
          <w:rFonts w:hint="eastAsia" w:ascii="宋体" w:hAnsi="宋体" w:cs="宋体"/>
          <w:szCs w:val="21"/>
          <w:highlight w:val="none"/>
        </w:rPr>
        <w:t>法定代表人、负责人、自然人或授权代表(签字或盖章)：</w:t>
      </w:r>
    </w:p>
    <w:p w14:paraId="7A85F24C">
      <w:pPr>
        <w:snapToGrid w:val="0"/>
        <w:spacing w:line="360" w:lineRule="auto"/>
        <w:ind w:firstLine="420"/>
        <w:rPr>
          <w:rFonts w:hint="eastAsia" w:ascii="宋体" w:hAnsi="宋体" w:cs="宋体"/>
          <w:szCs w:val="21"/>
          <w:highlight w:val="none"/>
        </w:rPr>
      </w:pPr>
      <w:r>
        <w:rPr>
          <w:rFonts w:hint="eastAsia" w:ascii="宋体" w:hAnsi="宋体" w:cs="宋体"/>
          <w:szCs w:val="21"/>
          <w:highlight w:val="none"/>
        </w:rPr>
        <w:t>日期：       年      月       日</w:t>
      </w:r>
    </w:p>
    <w:p w14:paraId="7FAD3887">
      <w:pPr>
        <w:snapToGrid w:val="0"/>
        <w:spacing w:line="360" w:lineRule="auto"/>
        <w:ind w:firstLine="420"/>
        <w:rPr>
          <w:rFonts w:hint="eastAsia" w:ascii="宋体" w:hAnsi="宋体" w:cs="宋体"/>
          <w:szCs w:val="21"/>
          <w:highlight w:val="none"/>
        </w:rPr>
      </w:pPr>
    </w:p>
    <w:p w14:paraId="335E9B0A">
      <w:pPr>
        <w:snapToGrid w:val="0"/>
        <w:spacing w:line="360" w:lineRule="auto"/>
        <w:ind w:firstLine="420"/>
        <w:rPr>
          <w:rFonts w:hint="eastAsia" w:ascii="宋体" w:hAnsi="宋体" w:cs="宋体"/>
          <w:szCs w:val="21"/>
          <w:highlight w:val="none"/>
        </w:rPr>
      </w:pPr>
    </w:p>
    <w:p w14:paraId="4F6E9C2F">
      <w:pPr>
        <w:snapToGrid w:val="0"/>
        <w:spacing w:line="360" w:lineRule="auto"/>
        <w:ind w:firstLine="420"/>
        <w:rPr>
          <w:rFonts w:hint="eastAsia" w:ascii="宋体" w:hAnsi="宋体" w:cs="宋体"/>
          <w:szCs w:val="21"/>
          <w:highlight w:val="none"/>
        </w:rPr>
      </w:pPr>
      <w:r>
        <w:rPr>
          <w:rFonts w:hint="eastAsia" w:ascii="宋体" w:hAnsi="宋体" w:cs="宋体"/>
          <w:szCs w:val="21"/>
          <w:highlight w:val="none"/>
        </w:rPr>
        <w:t>注：1.供应商须在投标（响应性）文件中按此模板提供承诺函，未提供视为未实质性响应招标文件要求，按无效投标（响应）处理。</w:t>
      </w:r>
    </w:p>
    <w:p w14:paraId="616A90D6">
      <w:pPr>
        <w:snapToGrid w:val="0"/>
        <w:spacing w:line="360" w:lineRule="auto"/>
        <w:ind w:firstLine="420"/>
        <w:rPr>
          <w:rFonts w:hint="eastAsia" w:ascii="宋体" w:hAnsi="宋体" w:cs="宋体"/>
          <w:szCs w:val="21"/>
          <w:highlight w:val="none"/>
        </w:rPr>
      </w:pPr>
      <w:r>
        <w:rPr>
          <w:rFonts w:hint="eastAsia" w:ascii="宋体" w:hAnsi="宋体" w:cs="宋体"/>
          <w:szCs w:val="21"/>
          <w:highlight w:val="none"/>
        </w:rPr>
        <w:t>2.供应商的法定代表人或者授权代表的签字或盖章应真实、有效，如由授权代表签字或盖章的，应提供“法定代表人授权书”。</w:t>
      </w:r>
    </w:p>
    <w:p w14:paraId="504352CF">
      <w:pPr>
        <w:pStyle w:val="13"/>
        <w:spacing w:beforeAutospacing="0" w:afterAutospacing="0" w:line="460" w:lineRule="atLeast"/>
        <w:ind w:firstLine="562"/>
        <w:jc w:val="both"/>
        <w:rPr>
          <w:rFonts w:hint="eastAsia"/>
          <w:b/>
          <w:bCs/>
          <w:sz w:val="28"/>
          <w:szCs w:val="28"/>
          <w:highlight w:val="none"/>
        </w:rPr>
        <w:sectPr>
          <w:pgSz w:w="11906" w:h="16838"/>
          <w:pgMar w:top="1417" w:right="1474" w:bottom="1417" w:left="1474" w:header="851" w:footer="624" w:gutter="0"/>
          <w:cols w:space="720" w:num="1"/>
          <w:docGrid w:type="lines" w:linePitch="319" w:charSpace="0"/>
        </w:sectPr>
      </w:pPr>
    </w:p>
    <w:p w14:paraId="41CCACB6">
      <w:pPr>
        <w:pStyle w:val="8"/>
        <w:snapToGrid w:val="0"/>
        <w:spacing w:before="20" w:after="20" w:line="360" w:lineRule="auto"/>
        <w:ind w:firstLine="643"/>
        <w:jc w:val="center"/>
        <w:rPr>
          <w:rFonts w:hint="eastAsia" w:ascii="宋体" w:hAnsi="宋体" w:eastAsia="宋体" w:cs="宋体"/>
          <w:highlight w:val="none"/>
        </w:rPr>
      </w:pPr>
      <w:bookmarkStart w:id="107" w:name="_Toc25094"/>
      <w:bookmarkStart w:id="108" w:name="_Toc31685"/>
      <w:bookmarkStart w:id="109" w:name="_Toc23394"/>
      <w:r>
        <w:rPr>
          <w:rFonts w:hint="eastAsia" w:ascii="宋体" w:hAnsi="宋体" w:eastAsia="宋体" w:cs="宋体"/>
          <w:highlight w:val="none"/>
        </w:rPr>
        <w:t>供应商认为有必要的其他资料</w:t>
      </w:r>
      <w:bookmarkEnd w:id="107"/>
      <w:bookmarkEnd w:id="108"/>
      <w:bookmarkEnd w:id="109"/>
    </w:p>
    <w:p w14:paraId="640A8FF7">
      <w:pPr>
        <w:pStyle w:val="13"/>
        <w:spacing w:beforeAutospacing="0" w:afterAutospacing="0" w:line="460" w:lineRule="atLeast"/>
        <w:ind w:firstLine="480"/>
        <w:jc w:val="both"/>
        <w:rPr>
          <w:rFonts w:hint="eastAsia"/>
          <w:b/>
          <w:bCs/>
          <w:sz w:val="28"/>
          <w:szCs w:val="28"/>
          <w:highlight w:val="none"/>
        </w:rPr>
      </w:pPr>
      <w:r>
        <w:rPr>
          <w:rFonts w:hint="eastAsia"/>
          <w:szCs w:val="21"/>
          <w:highlight w:val="none"/>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sectPr>
      <w:footerReference r:id="rId5" w:type="default"/>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118B0">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06802EF">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506802EF">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D5136">
    <w:pPr>
      <w:pStyle w:val="23"/>
      <w:pBdr>
        <w:top w:val="single" w:color="auto" w:sz="4" w:space="1"/>
      </w:pBdr>
      <w:ind w:firstLine="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1DC3847A">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1DC3847A">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CB13938">
    <w:pPr>
      <w:pStyle w:val="2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FE899">
    <w:pPr>
      <w:pStyle w:val="25"/>
      <w:jc w:val="right"/>
    </w:pPr>
    <w:r>
      <w:rPr>
        <w:rFonts w:hint="eastAsia" w:ascii="宋体" w:hAnsi="宋体" w:cs="宋体"/>
        <w:szCs w:val="21"/>
        <w:shd w:val="clear" w:color="auto" w:fill="FFFFFF"/>
      </w:rPr>
      <w:t>驻马店市中心医院锅炉、供暖管道及配套设施检修、检验项目磋商文件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HorizontalSpacing w:val="105"/>
  <w:drawingGridVerticalSpacing w:val="319"/>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hZTdkZTNmYjc5NmQyOWFjZDRjNjliMTNiMzIyYWYifQ=="/>
  </w:docVars>
  <w:rsids>
    <w:rsidRoot w:val="00172A27"/>
    <w:rsid w:val="00000E51"/>
    <w:rsid w:val="00003688"/>
    <w:rsid w:val="000036EC"/>
    <w:rsid w:val="00003E5C"/>
    <w:rsid w:val="00012F90"/>
    <w:rsid w:val="00015EE3"/>
    <w:rsid w:val="000165C3"/>
    <w:rsid w:val="00017230"/>
    <w:rsid w:val="00020C53"/>
    <w:rsid w:val="00021C37"/>
    <w:rsid w:val="00022E51"/>
    <w:rsid w:val="00024627"/>
    <w:rsid w:val="000262D7"/>
    <w:rsid w:val="00026481"/>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281D"/>
    <w:rsid w:val="000A2FA9"/>
    <w:rsid w:val="000A43CA"/>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2C46"/>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24F1A"/>
    <w:rsid w:val="00231F56"/>
    <w:rsid w:val="00234020"/>
    <w:rsid w:val="00235D34"/>
    <w:rsid w:val="0024066E"/>
    <w:rsid w:val="00243153"/>
    <w:rsid w:val="00243C82"/>
    <w:rsid w:val="0024618D"/>
    <w:rsid w:val="002476D8"/>
    <w:rsid w:val="002727E2"/>
    <w:rsid w:val="00275597"/>
    <w:rsid w:val="002818DD"/>
    <w:rsid w:val="00281F28"/>
    <w:rsid w:val="00286921"/>
    <w:rsid w:val="0028697D"/>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3DB2"/>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1401"/>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13DD"/>
    <w:rsid w:val="00462411"/>
    <w:rsid w:val="004637BF"/>
    <w:rsid w:val="004638C7"/>
    <w:rsid w:val="00467CD8"/>
    <w:rsid w:val="00467DBB"/>
    <w:rsid w:val="00474384"/>
    <w:rsid w:val="00474C5C"/>
    <w:rsid w:val="00476D4F"/>
    <w:rsid w:val="00477033"/>
    <w:rsid w:val="00481BE4"/>
    <w:rsid w:val="00482A00"/>
    <w:rsid w:val="00483DEE"/>
    <w:rsid w:val="00483F46"/>
    <w:rsid w:val="004840F2"/>
    <w:rsid w:val="004860CE"/>
    <w:rsid w:val="00486848"/>
    <w:rsid w:val="00487965"/>
    <w:rsid w:val="0049159F"/>
    <w:rsid w:val="00491CFF"/>
    <w:rsid w:val="00494AE3"/>
    <w:rsid w:val="004A1FF8"/>
    <w:rsid w:val="004A2DC2"/>
    <w:rsid w:val="004A3ED1"/>
    <w:rsid w:val="004A56AA"/>
    <w:rsid w:val="004B0865"/>
    <w:rsid w:val="004B0DC2"/>
    <w:rsid w:val="004B1068"/>
    <w:rsid w:val="004B3872"/>
    <w:rsid w:val="004B479D"/>
    <w:rsid w:val="004B6CE6"/>
    <w:rsid w:val="004C6D19"/>
    <w:rsid w:val="004D36D4"/>
    <w:rsid w:val="004D5FCF"/>
    <w:rsid w:val="004D751C"/>
    <w:rsid w:val="004D7B42"/>
    <w:rsid w:val="004E164B"/>
    <w:rsid w:val="004F0462"/>
    <w:rsid w:val="00503E97"/>
    <w:rsid w:val="0050638A"/>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019F"/>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863"/>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5BA4"/>
    <w:rsid w:val="00766B59"/>
    <w:rsid w:val="0076783A"/>
    <w:rsid w:val="00770296"/>
    <w:rsid w:val="0077380E"/>
    <w:rsid w:val="00776A44"/>
    <w:rsid w:val="007819D5"/>
    <w:rsid w:val="00784D17"/>
    <w:rsid w:val="007855DC"/>
    <w:rsid w:val="00791C0A"/>
    <w:rsid w:val="007A1ABC"/>
    <w:rsid w:val="007A1BDB"/>
    <w:rsid w:val="007A393C"/>
    <w:rsid w:val="007A7C91"/>
    <w:rsid w:val="007A7CCF"/>
    <w:rsid w:val="007B2EDA"/>
    <w:rsid w:val="007B5BF3"/>
    <w:rsid w:val="007B6B89"/>
    <w:rsid w:val="007C13DE"/>
    <w:rsid w:val="007C1D12"/>
    <w:rsid w:val="007D1504"/>
    <w:rsid w:val="007D783A"/>
    <w:rsid w:val="007D7FE5"/>
    <w:rsid w:val="007E07D0"/>
    <w:rsid w:val="007E0DAC"/>
    <w:rsid w:val="007E1070"/>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0620"/>
    <w:rsid w:val="008717DC"/>
    <w:rsid w:val="008757D7"/>
    <w:rsid w:val="00880AFB"/>
    <w:rsid w:val="0088168B"/>
    <w:rsid w:val="00881F4C"/>
    <w:rsid w:val="00890267"/>
    <w:rsid w:val="00893E5D"/>
    <w:rsid w:val="008A10E8"/>
    <w:rsid w:val="008A115E"/>
    <w:rsid w:val="008A380B"/>
    <w:rsid w:val="008A43FC"/>
    <w:rsid w:val="008A4B1D"/>
    <w:rsid w:val="008A69F8"/>
    <w:rsid w:val="008A7033"/>
    <w:rsid w:val="008B0660"/>
    <w:rsid w:val="008B51F5"/>
    <w:rsid w:val="008B5432"/>
    <w:rsid w:val="008B5D0F"/>
    <w:rsid w:val="008B7FB1"/>
    <w:rsid w:val="008C0459"/>
    <w:rsid w:val="008C2BC7"/>
    <w:rsid w:val="008C31FD"/>
    <w:rsid w:val="008C47EB"/>
    <w:rsid w:val="008C4BE6"/>
    <w:rsid w:val="008C53A8"/>
    <w:rsid w:val="008C698C"/>
    <w:rsid w:val="008C7324"/>
    <w:rsid w:val="008D2BEE"/>
    <w:rsid w:val="008D3384"/>
    <w:rsid w:val="008D64BC"/>
    <w:rsid w:val="008D70CD"/>
    <w:rsid w:val="008E4585"/>
    <w:rsid w:val="008E5901"/>
    <w:rsid w:val="008E6850"/>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457C"/>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1B31"/>
    <w:rsid w:val="009B2766"/>
    <w:rsid w:val="009B41D3"/>
    <w:rsid w:val="009B46DB"/>
    <w:rsid w:val="009C113C"/>
    <w:rsid w:val="009C2AC3"/>
    <w:rsid w:val="009C491F"/>
    <w:rsid w:val="009C4A96"/>
    <w:rsid w:val="009C6859"/>
    <w:rsid w:val="009C78C9"/>
    <w:rsid w:val="009C7E8F"/>
    <w:rsid w:val="009D01D7"/>
    <w:rsid w:val="009D0F10"/>
    <w:rsid w:val="009D12F3"/>
    <w:rsid w:val="009D2408"/>
    <w:rsid w:val="009D63E5"/>
    <w:rsid w:val="009D7201"/>
    <w:rsid w:val="009D7F59"/>
    <w:rsid w:val="009D7FA9"/>
    <w:rsid w:val="009E0962"/>
    <w:rsid w:val="009E0C76"/>
    <w:rsid w:val="009E0FBD"/>
    <w:rsid w:val="009E79A7"/>
    <w:rsid w:val="009F07C2"/>
    <w:rsid w:val="009F4C0F"/>
    <w:rsid w:val="00A00B61"/>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56F6"/>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352D"/>
    <w:rsid w:val="00AA53A8"/>
    <w:rsid w:val="00AA6A35"/>
    <w:rsid w:val="00AA6C76"/>
    <w:rsid w:val="00AA721E"/>
    <w:rsid w:val="00AB0080"/>
    <w:rsid w:val="00AB0CF3"/>
    <w:rsid w:val="00AB1F09"/>
    <w:rsid w:val="00AB4031"/>
    <w:rsid w:val="00AB4C61"/>
    <w:rsid w:val="00AB55EA"/>
    <w:rsid w:val="00AB579E"/>
    <w:rsid w:val="00AC0269"/>
    <w:rsid w:val="00AC0B8C"/>
    <w:rsid w:val="00AC201A"/>
    <w:rsid w:val="00AC3299"/>
    <w:rsid w:val="00AC33E8"/>
    <w:rsid w:val="00AC6684"/>
    <w:rsid w:val="00AC6DB7"/>
    <w:rsid w:val="00AC7267"/>
    <w:rsid w:val="00AD1762"/>
    <w:rsid w:val="00AD3F62"/>
    <w:rsid w:val="00AD46D9"/>
    <w:rsid w:val="00AD7381"/>
    <w:rsid w:val="00AD74FE"/>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1BFA"/>
    <w:rsid w:val="00B2500C"/>
    <w:rsid w:val="00B2561A"/>
    <w:rsid w:val="00B32876"/>
    <w:rsid w:val="00B349BF"/>
    <w:rsid w:val="00B3724C"/>
    <w:rsid w:val="00B408FD"/>
    <w:rsid w:val="00B40A62"/>
    <w:rsid w:val="00B42996"/>
    <w:rsid w:val="00B524CE"/>
    <w:rsid w:val="00B57C88"/>
    <w:rsid w:val="00B60FFC"/>
    <w:rsid w:val="00B611E8"/>
    <w:rsid w:val="00B619A1"/>
    <w:rsid w:val="00B71613"/>
    <w:rsid w:val="00B72167"/>
    <w:rsid w:val="00B73C1F"/>
    <w:rsid w:val="00B761C4"/>
    <w:rsid w:val="00B765B2"/>
    <w:rsid w:val="00B8080C"/>
    <w:rsid w:val="00B822BE"/>
    <w:rsid w:val="00B84F51"/>
    <w:rsid w:val="00B906B9"/>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1D47"/>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26CA9"/>
    <w:rsid w:val="00C32EF1"/>
    <w:rsid w:val="00C33AFC"/>
    <w:rsid w:val="00C34CD9"/>
    <w:rsid w:val="00C34F32"/>
    <w:rsid w:val="00C35645"/>
    <w:rsid w:val="00C35F68"/>
    <w:rsid w:val="00C369DC"/>
    <w:rsid w:val="00C36E4C"/>
    <w:rsid w:val="00C40F57"/>
    <w:rsid w:val="00C41A5B"/>
    <w:rsid w:val="00C41FC9"/>
    <w:rsid w:val="00C42341"/>
    <w:rsid w:val="00C447A9"/>
    <w:rsid w:val="00C4729B"/>
    <w:rsid w:val="00C50AEF"/>
    <w:rsid w:val="00C50B42"/>
    <w:rsid w:val="00C52F9F"/>
    <w:rsid w:val="00C53A2B"/>
    <w:rsid w:val="00C5483C"/>
    <w:rsid w:val="00C623F0"/>
    <w:rsid w:val="00C64491"/>
    <w:rsid w:val="00C66135"/>
    <w:rsid w:val="00C66264"/>
    <w:rsid w:val="00C71532"/>
    <w:rsid w:val="00C75CFC"/>
    <w:rsid w:val="00C75E3A"/>
    <w:rsid w:val="00C760FD"/>
    <w:rsid w:val="00C77F08"/>
    <w:rsid w:val="00C8370B"/>
    <w:rsid w:val="00C86101"/>
    <w:rsid w:val="00C87916"/>
    <w:rsid w:val="00C90C23"/>
    <w:rsid w:val="00C91556"/>
    <w:rsid w:val="00C915EB"/>
    <w:rsid w:val="00C943E0"/>
    <w:rsid w:val="00CA2EDD"/>
    <w:rsid w:val="00CA4EFF"/>
    <w:rsid w:val="00CA61E0"/>
    <w:rsid w:val="00CC2EFC"/>
    <w:rsid w:val="00CC673F"/>
    <w:rsid w:val="00CD000D"/>
    <w:rsid w:val="00CD0D03"/>
    <w:rsid w:val="00CD0D99"/>
    <w:rsid w:val="00CD1028"/>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AD0"/>
    <w:rsid w:val="00D91BFF"/>
    <w:rsid w:val="00D92E03"/>
    <w:rsid w:val="00D955C8"/>
    <w:rsid w:val="00D95A7C"/>
    <w:rsid w:val="00D97115"/>
    <w:rsid w:val="00DA47D9"/>
    <w:rsid w:val="00DA61DA"/>
    <w:rsid w:val="00DA7BED"/>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4D24"/>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EF60B3"/>
    <w:rsid w:val="00F025BC"/>
    <w:rsid w:val="00F10A0C"/>
    <w:rsid w:val="00F128EE"/>
    <w:rsid w:val="00F12C86"/>
    <w:rsid w:val="00F13026"/>
    <w:rsid w:val="00F15234"/>
    <w:rsid w:val="00F202C7"/>
    <w:rsid w:val="00F21CDF"/>
    <w:rsid w:val="00F25755"/>
    <w:rsid w:val="00F2736A"/>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465E"/>
    <w:rsid w:val="00F87D1D"/>
    <w:rsid w:val="00F905EC"/>
    <w:rsid w:val="00F9130E"/>
    <w:rsid w:val="00F91DCB"/>
    <w:rsid w:val="00F924D8"/>
    <w:rsid w:val="00F94816"/>
    <w:rsid w:val="00F96980"/>
    <w:rsid w:val="00FA2055"/>
    <w:rsid w:val="00FA208E"/>
    <w:rsid w:val="00FA382B"/>
    <w:rsid w:val="00FA3973"/>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A478A"/>
    <w:rsid w:val="010C3DC8"/>
    <w:rsid w:val="011E110B"/>
    <w:rsid w:val="01410E67"/>
    <w:rsid w:val="01525212"/>
    <w:rsid w:val="01564054"/>
    <w:rsid w:val="015C0A67"/>
    <w:rsid w:val="01745FBF"/>
    <w:rsid w:val="017E0CD4"/>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54F7C"/>
    <w:rsid w:val="02C866AB"/>
    <w:rsid w:val="02C941D1"/>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2F4508"/>
    <w:rsid w:val="04416C20"/>
    <w:rsid w:val="04732647"/>
    <w:rsid w:val="047968B1"/>
    <w:rsid w:val="04870542"/>
    <w:rsid w:val="0492236D"/>
    <w:rsid w:val="04B30F7A"/>
    <w:rsid w:val="04D56E5D"/>
    <w:rsid w:val="05074E1E"/>
    <w:rsid w:val="050E236F"/>
    <w:rsid w:val="054C0111"/>
    <w:rsid w:val="05545DD3"/>
    <w:rsid w:val="056E2AD6"/>
    <w:rsid w:val="05720B50"/>
    <w:rsid w:val="057E12A3"/>
    <w:rsid w:val="05806815"/>
    <w:rsid w:val="058251D3"/>
    <w:rsid w:val="05832D5D"/>
    <w:rsid w:val="058C28F1"/>
    <w:rsid w:val="05945CCE"/>
    <w:rsid w:val="059D05A4"/>
    <w:rsid w:val="059D5E17"/>
    <w:rsid w:val="059E1E1A"/>
    <w:rsid w:val="05A04999"/>
    <w:rsid w:val="05AB0A28"/>
    <w:rsid w:val="05AB0F81"/>
    <w:rsid w:val="05B93D6B"/>
    <w:rsid w:val="05C23EEE"/>
    <w:rsid w:val="05CA4074"/>
    <w:rsid w:val="05D53002"/>
    <w:rsid w:val="05D75738"/>
    <w:rsid w:val="05EB110D"/>
    <w:rsid w:val="05EB4481"/>
    <w:rsid w:val="05F17CC7"/>
    <w:rsid w:val="05F27581"/>
    <w:rsid w:val="061E7D14"/>
    <w:rsid w:val="06241EC5"/>
    <w:rsid w:val="06446B44"/>
    <w:rsid w:val="064918B1"/>
    <w:rsid w:val="0650158F"/>
    <w:rsid w:val="06560AED"/>
    <w:rsid w:val="0659586C"/>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6FF4665"/>
    <w:rsid w:val="07063917"/>
    <w:rsid w:val="070D2D5D"/>
    <w:rsid w:val="07104A12"/>
    <w:rsid w:val="07111B8D"/>
    <w:rsid w:val="072916E2"/>
    <w:rsid w:val="072C5514"/>
    <w:rsid w:val="073065CD"/>
    <w:rsid w:val="0737768A"/>
    <w:rsid w:val="07481B68"/>
    <w:rsid w:val="074A5B92"/>
    <w:rsid w:val="075D0147"/>
    <w:rsid w:val="075E3193"/>
    <w:rsid w:val="078E18EB"/>
    <w:rsid w:val="078F7797"/>
    <w:rsid w:val="07AA2823"/>
    <w:rsid w:val="07B02D9F"/>
    <w:rsid w:val="07B10EA5"/>
    <w:rsid w:val="07C510CB"/>
    <w:rsid w:val="07CC279A"/>
    <w:rsid w:val="07CD6512"/>
    <w:rsid w:val="07CE3FA1"/>
    <w:rsid w:val="07EC2ECB"/>
    <w:rsid w:val="07FE66CB"/>
    <w:rsid w:val="080B4D47"/>
    <w:rsid w:val="081B727D"/>
    <w:rsid w:val="081D2FF5"/>
    <w:rsid w:val="08321601"/>
    <w:rsid w:val="08326375"/>
    <w:rsid w:val="083D5C91"/>
    <w:rsid w:val="0847191F"/>
    <w:rsid w:val="084A1910"/>
    <w:rsid w:val="08591DC3"/>
    <w:rsid w:val="085B58CB"/>
    <w:rsid w:val="08672793"/>
    <w:rsid w:val="08695E80"/>
    <w:rsid w:val="087C4541"/>
    <w:rsid w:val="087E5595"/>
    <w:rsid w:val="08B37E08"/>
    <w:rsid w:val="08BA4CE8"/>
    <w:rsid w:val="08BC0A60"/>
    <w:rsid w:val="08C52D6F"/>
    <w:rsid w:val="08DB66CD"/>
    <w:rsid w:val="08E42BE4"/>
    <w:rsid w:val="08E616F2"/>
    <w:rsid w:val="08EF0201"/>
    <w:rsid w:val="08F41DE8"/>
    <w:rsid w:val="092B1742"/>
    <w:rsid w:val="093D1475"/>
    <w:rsid w:val="094840A2"/>
    <w:rsid w:val="09644C54"/>
    <w:rsid w:val="09737462"/>
    <w:rsid w:val="09741BE6"/>
    <w:rsid w:val="099156C3"/>
    <w:rsid w:val="099F194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99092D"/>
    <w:rsid w:val="0ABA2D7D"/>
    <w:rsid w:val="0ACE6829"/>
    <w:rsid w:val="0AD13A85"/>
    <w:rsid w:val="0AE0655C"/>
    <w:rsid w:val="0AFD0EBC"/>
    <w:rsid w:val="0B091954"/>
    <w:rsid w:val="0B0A08D6"/>
    <w:rsid w:val="0B195776"/>
    <w:rsid w:val="0B1A7CC0"/>
    <w:rsid w:val="0B34773E"/>
    <w:rsid w:val="0B3B7D65"/>
    <w:rsid w:val="0B434C20"/>
    <w:rsid w:val="0B5F0822"/>
    <w:rsid w:val="0B637D77"/>
    <w:rsid w:val="0B7006C4"/>
    <w:rsid w:val="0B726646"/>
    <w:rsid w:val="0B7606E8"/>
    <w:rsid w:val="0B8B471A"/>
    <w:rsid w:val="0B924545"/>
    <w:rsid w:val="0BAC324F"/>
    <w:rsid w:val="0BB04180"/>
    <w:rsid w:val="0BB40DF1"/>
    <w:rsid w:val="0BC11EE9"/>
    <w:rsid w:val="0BC419DA"/>
    <w:rsid w:val="0BF16C73"/>
    <w:rsid w:val="0BF72F1E"/>
    <w:rsid w:val="0C0A7D34"/>
    <w:rsid w:val="0C191D25"/>
    <w:rsid w:val="0C1E733C"/>
    <w:rsid w:val="0C230DF6"/>
    <w:rsid w:val="0C3152C1"/>
    <w:rsid w:val="0C3957A5"/>
    <w:rsid w:val="0C3C77C2"/>
    <w:rsid w:val="0C507E2F"/>
    <w:rsid w:val="0C600D66"/>
    <w:rsid w:val="0C626DA7"/>
    <w:rsid w:val="0C6876AE"/>
    <w:rsid w:val="0C71390F"/>
    <w:rsid w:val="0C720EC8"/>
    <w:rsid w:val="0C942042"/>
    <w:rsid w:val="0C9D50DC"/>
    <w:rsid w:val="0CA5271D"/>
    <w:rsid w:val="0CA733F4"/>
    <w:rsid w:val="0CAC4D10"/>
    <w:rsid w:val="0CC53C5B"/>
    <w:rsid w:val="0CC72121"/>
    <w:rsid w:val="0CEE5A21"/>
    <w:rsid w:val="0D05268E"/>
    <w:rsid w:val="0D0646E7"/>
    <w:rsid w:val="0D0C38CA"/>
    <w:rsid w:val="0D206810"/>
    <w:rsid w:val="0D35493D"/>
    <w:rsid w:val="0D4861FD"/>
    <w:rsid w:val="0D735465"/>
    <w:rsid w:val="0DC577E0"/>
    <w:rsid w:val="0DDC6319"/>
    <w:rsid w:val="0DE1181F"/>
    <w:rsid w:val="0DEE7222"/>
    <w:rsid w:val="0DFA5B87"/>
    <w:rsid w:val="0DFE4F67"/>
    <w:rsid w:val="0E034A3B"/>
    <w:rsid w:val="0E0B38F0"/>
    <w:rsid w:val="0E0C0D4C"/>
    <w:rsid w:val="0E115DA1"/>
    <w:rsid w:val="0E122ED0"/>
    <w:rsid w:val="0E1409F6"/>
    <w:rsid w:val="0E162D6D"/>
    <w:rsid w:val="0E460DCC"/>
    <w:rsid w:val="0E541CA2"/>
    <w:rsid w:val="0E576B35"/>
    <w:rsid w:val="0E594756"/>
    <w:rsid w:val="0E8A0CB9"/>
    <w:rsid w:val="0E95596D"/>
    <w:rsid w:val="0EAE6205"/>
    <w:rsid w:val="0EAE6579"/>
    <w:rsid w:val="0EAF71BF"/>
    <w:rsid w:val="0ECE6257"/>
    <w:rsid w:val="0EE4129D"/>
    <w:rsid w:val="0F024913"/>
    <w:rsid w:val="0F096081"/>
    <w:rsid w:val="0F171032"/>
    <w:rsid w:val="0F335E69"/>
    <w:rsid w:val="0F372614"/>
    <w:rsid w:val="0F3D59C9"/>
    <w:rsid w:val="0F516D5A"/>
    <w:rsid w:val="0F565B36"/>
    <w:rsid w:val="0F684933"/>
    <w:rsid w:val="0F6E2388"/>
    <w:rsid w:val="0F73799F"/>
    <w:rsid w:val="0F821E7D"/>
    <w:rsid w:val="0FC91CB4"/>
    <w:rsid w:val="0FCA42ED"/>
    <w:rsid w:val="0FD52407"/>
    <w:rsid w:val="0FDB5F4F"/>
    <w:rsid w:val="0FE7592C"/>
    <w:rsid w:val="0FFC17A5"/>
    <w:rsid w:val="0FFD20F0"/>
    <w:rsid w:val="10097E78"/>
    <w:rsid w:val="101271B8"/>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63A95"/>
    <w:rsid w:val="10F93ED3"/>
    <w:rsid w:val="111B6196"/>
    <w:rsid w:val="111D7BC2"/>
    <w:rsid w:val="11250F40"/>
    <w:rsid w:val="113329E7"/>
    <w:rsid w:val="113F294C"/>
    <w:rsid w:val="11437C85"/>
    <w:rsid w:val="11575085"/>
    <w:rsid w:val="1166372C"/>
    <w:rsid w:val="11700D10"/>
    <w:rsid w:val="117074FA"/>
    <w:rsid w:val="11716160"/>
    <w:rsid w:val="1178125A"/>
    <w:rsid w:val="118441E0"/>
    <w:rsid w:val="1196056D"/>
    <w:rsid w:val="11B85B3D"/>
    <w:rsid w:val="11CD20A0"/>
    <w:rsid w:val="11D34654"/>
    <w:rsid w:val="12010480"/>
    <w:rsid w:val="120E707F"/>
    <w:rsid w:val="121D0051"/>
    <w:rsid w:val="12241424"/>
    <w:rsid w:val="12413D84"/>
    <w:rsid w:val="127A7D1C"/>
    <w:rsid w:val="12836D8B"/>
    <w:rsid w:val="128B3251"/>
    <w:rsid w:val="12993BC0"/>
    <w:rsid w:val="12AB0349"/>
    <w:rsid w:val="12B66520"/>
    <w:rsid w:val="12CD57F1"/>
    <w:rsid w:val="12CE5941"/>
    <w:rsid w:val="12CE7AFA"/>
    <w:rsid w:val="12D67466"/>
    <w:rsid w:val="12E27315"/>
    <w:rsid w:val="13036052"/>
    <w:rsid w:val="13272A5D"/>
    <w:rsid w:val="132A2A6A"/>
    <w:rsid w:val="133C40E3"/>
    <w:rsid w:val="133F4BFF"/>
    <w:rsid w:val="13410069"/>
    <w:rsid w:val="13493108"/>
    <w:rsid w:val="134A4EBA"/>
    <w:rsid w:val="13713CFE"/>
    <w:rsid w:val="13733928"/>
    <w:rsid w:val="137361BF"/>
    <w:rsid w:val="13741F37"/>
    <w:rsid w:val="13826402"/>
    <w:rsid w:val="13857CA0"/>
    <w:rsid w:val="13920D68"/>
    <w:rsid w:val="139C16C9"/>
    <w:rsid w:val="13A5238E"/>
    <w:rsid w:val="13B63CE1"/>
    <w:rsid w:val="13BC6684"/>
    <w:rsid w:val="13C72B3A"/>
    <w:rsid w:val="13D11138"/>
    <w:rsid w:val="13D12EE6"/>
    <w:rsid w:val="13DF575E"/>
    <w:rsid w:val="13E470BD"/>
    <w:rsid w:val="13EE3A98"/>
    <w:rsid w:val="13F3280A"/>
    <w:rsid w:val="142123F7"/>
    <w:rsid w:val="142A11D8"/>
    <w:rsid w:val="144B544C"/>
    <w:rsid w:val="145002AE"/>
    <w:rsid w:val="145B7B45"/>
    <w:rsid w:val="14627FE2"/>
    <w:rsid w:val="14717443"/>
    <w:rsid w:val="14825F8A"/>
    <w:rsid w:val="148869FC"/>
    <w:rsid w:val="148C70AD"/>
    <w:rsid w:val="148D52E3"/>
    <w:rsid w:val="14992B90"/>
    <w:rsid w:val="149C34F4"/>
    <w:rsid w:val="149F10C7"/>
    <w:rsid w:val="14AF1856"/>
    <w:rsid w:val="14AF19A3"/>
    <w:rsid w:val="14B22D17"/>
    <w:rsid w:val="14B53957"/>
    <w:rsid w:val="14C53ECE"/>
    <w:rsid w:val="14C663E1"/>
    <w:rsid w:val="14CF6CB0"/>
    <w:rsid w:val="14D10E8D"/>
    <w:rsid w:val="14DB04C0"/>
    <w:rsid w:val="14DC5FE6"/>
    <w:rsid w:val="14E002E6"/>
    <w:rsid w:val="14FC36BD"/>
    <w:rsid w:val="14FF5EA7"/>
    <w:rsid w:val="15024303"/>
    <w:rsid w:val="15127C5A"/>
    <w:rsid w:val="151E3A0F"/>
    <w:rsid w:val="152534E9"/>
    <w:rsid w:val="152A4FA3"/>
    <w:rsid w:val="152D6842"/>
    <w:rsid w:val="153A36AA"/>
    <w:rsid w:val="15477903"/>
    <w:rsid w:val="1557566D"/>
    <w:rsid w:val="1565422D"/>
    <w:rsid w:val="156E0971"/>
    <w:rsid w:val="15785B3E"/>
    <w:rsid w:val="15811F1B"/>
    <w:rsid w:val="15A30135"/>
    <w:rsid w:val="15A34015"/>
    <w:rsid w:val="15BB487B"/>
    <w:rsid w:val="15CE086D"/>
    <w:rsid w:val="15E2236F"/>
    <w:rsid w:val="15FF1F8C"/>
    <w:rsid w:val="16005D04"/>
    <w:rsid w:val="161D09ED"/>
    <w:rsid w:val="162163A6"/>
    <w:rsid w:val="162323A3"/>
    <w:rsid w:val="162F30B1"/>
    <w:rsid w:val="1650762F"/>
    <w:rsid w:val="16510F12"/>
    <w:rsid w:val="166448F9"/>
    <w:rsid w:val="166718DF"/>
    <w:rsid w:val="1677211D"/>
    <w:rsid w:val="16774218"/>
    <w:rsid w:val="167954F9"/>
    <w:rsid w:val="169311EC"/>
    <w:rsid w:val="169C5A2D"/>
    <w:rsid w:val="169F7296"/>
    <w:rsid w:val="16A060BA"/>
    <w:rsid w:val="16A50D85"/>
    <w:rsid w:val="16A57EAF"/>
    <w:rsid w:val="16A918E4"/>
    <w:rsid w:val="16AC6E3F"/>
    <w:rsid w:val="16B442E0"/>
    <w:rsid w:val="16B56AEF"/>
    <w:rsid w:val="16C872D5"/>
    <w:rsid w:val="16D54FA3"/>
    <w:rsid w:val="16D84D9F"/>
    <w:rsid w:val="16DF1111"/>
    <w:rsid w:val="16E94D3E"/>
    <w:rsid w:val="170D06E0"/>
    <w:rsid w:val="17233E03"/>
    <w:rsid w:val="173059F6"/>
    <w:rsid w:val="17332185"/>
    <w:rsid w:val="17475951"/>
    <w:rsid w:val="175C542D"/>
    <w:rsid w:val="175D0ED4"/>
    <w:rsid w:val="176D5FB2"/>
    <w:rsid w:val="17793FC0"/>
    <w:rsid w:val="179D33A9"/>
    <w:rsid w:val="179F2E61"/>
    <w:rsid w:val="17A06264"/>
    <w:rsid w:val="17BE19D3"/>
    <w:rsid w:val="17C227C0"/>
    <w:rsid w:val="17D66D7C"/>
    <w:rsid w:val="17DE0EDF"/>
    <w:rsid w:val="17EE5BFF"/>
    <w:rsid w:val="18097740"/>
    <w:rsid w:val="1811244B"/>
    <w:rsid w:val="18136133"/>
    <w:rsid w:val="184055B9"/>
    <w:rsid w:val="184A2082"/>
    <w:rsid w:val="185A16FC"/>
    <w:rsid w:val="185D3C42"/>
    <w:rsid w:val="185F38AF"/>
    <w:rsid w:val="1867206B"/>
    <w:rsid w:val="188F0211"/>
    <w:rsid w:val="18AD1BEB"/>
    <w:rsid w:val="18B3004A"/>
    <w:rsid w:val="18B31B6D"/>
    <w:rsid w:val="18B83CF9"/>
    <w:rsid w:val="18B96080"/>
    <w:rsid w:val="18CB43A7"/>
    <w:rsid w:val="18CE20EA"/>
    <w:rsid w:val="18DB2CD8"/>
    <w:rsid w:val="18DF60A5"/>
    <w:rsid w:val="18F67868"/>
    <w:rsid w:val="190B2D88"/>
    <w:rsid w:val="190E6B63"/>
    <w:rsid w:val="19123928"/>
    <w:rsid w:val="19194264"/>
    <w:rsid w:val="19283048"/>
    <w:rsid w:val="192B12EA"/>
    <w:rsid w:val="193F69DB"/>
    <w:rsid w:val="19420786"/>
    <w:rsid w:val="19427EC0"/>
    <w:rsid w:val="19436634"/>
    <w:rsid w:val="195711D7"/>
    <w:rsid w:val="195D2A3F"/>
    <w:rsid w:val="198310E9"/>
    <w:rsid w:val="198D747A"/>
    <w:rsid w:val="19A15638"/>
    <w:rsid w:val="19A74DFE"/>
    <w:rsid w:val="19A753EF"/>
    <w:rsid w:val="19B92850"/>
    <w:rsid w:val="19FB2187"/>
    <w:rsid w:val="1A0758B3"/>
    <w:rsid w:val="1A125525"/>
    <w:rsid w:val="1A2A15A2"/>
    <w:rsid w:val="1A5F4342"/>
    <w:rsid w:val="1A616E2C"/>
    <w:rsid w:val="1A715D02"/>
    <w:rsid w:val="1A7A7F4B"/>
    <w:rsid w:val="1A7F369B"/>
    <w:rsid w:val="1A8C5D82"/>
    <w:rsid w:val="1A994988"/>
    <w:rsid w:val="1A9B546C"/>
    <w:rsid w:val="1A9E141F"/>
    <w:rsid w:val="1AA3511F"/>
    <w:rsid w:val="1AA72BF2"/>
    <w:rsid w:val="1AAB4490"/>
    <w:rsid w:val="1AAE3B54"/>
    <w:rsid w:val="1AC10987"/>
    <w:rsid w:val="1AE23C2A"/>
    <w:rsid w:val="1AEB6F83"/>
    <w:rsid w:val="1AF423FA"/>
    <w:rsid w:val="1B0C5B32"/>
    <w:rsid w:val="1B0D3E82"/>
    <w:rsid w:val="1B1464DA"/>
    <w:rsid w:val="1B1652AB"/>
    <w:rsid w:val="1B181CD5"/>
    <w:rsid w:val="1B265306"/>
    <w:rsid w:val="1B4346C9"/>
    <w:rsid w:val="1B486183"/>
    <w:rsid w:val="1B4E278B"/>
    <w:rsid w:val="1B4F2450"/>
    <w:rsid w:val="1B50619C"/>
    <w:rsid w:val="1B530868"/>
    <w:rsid w:val="1B6573E8"/>
    <w:rsid w:val="1B663D36"/>
    <w:rsid w:val="1B6922A5"/>
    <w:rsid w:val="1B721452"/>
    <w:rsid w:val="1B8B3DBE"/>
    <w:rsid w:val="1B8C18B7"/>
    <w:rsid w:val="1B920007"/>
    <w:rsid w:val="1BB73AE1"/>
    <w:rsid w:val="1BDA6D68"/>
    <w:rsid w:val="1BF14125"/>
    <w:rsid w:val="1C002CEE"/>
    <w:rsid w:val="1C177904"/>
    <w:rsid w:val="1C4032FE"/>
    <w:rsid w:val="1C4E5A1B"/>
    <w:rsid w:val="1C4E77C9"/>
    <w:rsid w:val="1C555978"/>
    <w:rsid w:val="1C625023"/>
    <w:rsid w:val="1C6554A1"/>
    <w:rsid w:val="1C7971B7"/>
    <w:rsid w:val="1C8036FB"/>
    <w:rsid w:val="1C917D91"/>
    <w:rsid w:val="1CAB2820"/>
    <w:rsid w:val="1CD402EC"/>
    <w:rsid w:val="1CED16EF"/>
    <w:rsid w:val="1CF02333"/>
    <w:rsid w:val="1D047E88"/>
    <w:rsid w:val="1D0C33A2"/>
    <w:rsid w:val="1D0C4F8F"/>
    <w:rsid w:val="1D0D10AD"/>
    <w:rsid w:val="1D0E51AB"/>
    <w:rsid w:val="1D113E6E"/>
    <w:rsid w:val="1D114E5E"/>
    <w:rsid w:val="1D1F0050"/>
    <w:rsid w:val="1D214EDE"/>
    <w:rsid w:val="1D2222DC"/>
    <w:rsid w:val="1D271DC8"/>
    <w:rsid w:val="1D4B5AB7"/>
    <w:rsid w:val="1D5144F7"/>
    <w:rsid w:val="1D5B3CDE"/>
    <w:rsid w:val="1D5D0701"/>
    <w:rsid w:val="1D6E2950"/>
    <w:rsid w:val="1D756FD8"/>
    <w:rsid w:val="1D79298C"/>
    <w:rsid w:val="1D98209B"/>
    <w:rsid w:val="1DA23746"/>
    <w:rsid w:val="1DAA14B9"/>
    <w:rsid w:val="1DD04513"/>
    <w:rsid w:val="1DD8524D"/>
    <w:rsid w:val="1DDD2BCB"/>
    <w:rsid w:val="1E0345E3"/>
    <w:rsid w:val="1E1B7B7F"/>
    <w:rsid w:val="1E443370"/>
    <w:rsid w:val="1E656063"/>
    <w:rsid w:val="1E685A19"/>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6F6B0B"/>
    <w:rsid w:val="1F7369C7"/>
    <w:rsid w:val="1F8533C6"/>
    <w:rsid w:val="1F9113A9"/>
    <w:rsid w:val="1F94547B"/>
    <w:rsid w:val="1FA47700"/>
    <w:rsid w:val="1FAF308C"/>
    <w:rsid w:val="1FB64FF9"/>
    <w:rsid w:val="1FC11109"/>
    <w:rsid w:val="1FDA3223"/>
    <w:rsid w:val="1FDE2C12"/>
    <w:rsid w:val="1FE0525A"/>
    <w:rsid w:val="1FEF08C8"/>
    <w:rsid w:val="1FF72E6A"/>
    <w:rsid w:val="1FFB6F12"/>
    <w:rsid w:val="201B3ED4"/>
    <w:rsid w:val="20230F6D"/>
    <w:rsid w:val="20310B02"/>
    <w:rsid w:val="20344F28"/>
    <w:rsid w:val="206F0406"/>
    <w:rsid w:val="207417C9"/>
    <w:rsid w:val="20784063"/>
    <w:rsid w:val="207E346A"/>
    <w:rsid w:val="208E12C3"/>
    <w:rsid w:val="209502A3"/>
    <w:rsid w:val="20AF45AF"/>
    <w:rsid w:val="20DD0F8D"/>
    <w:rsid w:val="20EA3839"/>
    <w:rsid w:val="2100305C"/>
    <w:rsid w:val="210F579E"/>
    <w:rsid w:val="21163FF0"/>
    <w:rsid w:val="211B39F2"/>
    <w:rsid w:val="212550B5"/>
    <w:rsid w:val="21592B62"/>
    <w:rsid w:val="2172049B"/>
    <w:rsid w:val="21747CD2"/>
    <w:rsid w:val="218B501C"/>
    <w:rsid w:val="219263AA"/>
    <w:rsid w:val="219E5782"/>
    <w:rsid w:val="21AB2FC8"/>
    <w:rsid w:val="21AB64FA"/>
    <w:rsid w:val="21D10545"/>
    <w:rsid w:val="21E72B0B"/>
    <w:rsid w:val="21E76A4A"/>
    <w:rsid w:val="21EE607E"/>
    <w:rsid w:val="21F229A5"/>
    <w:rsid w:val="21F66F4C"/>
    <w:rsid w:val="221F2D96"/>
    <w:rsid w:val="22246DB1"/>
    <w:rsid w:val="22440067"/>
    <w:rsid w:val="225A6017"/>
    <w:rsid w:val="225E628C"/>
    <w:rsid w:val="22631AF5"/>
    <w:rsid w:val="227A5532"/>
    <w:rsid w:val="22843A03"/>
    <w:rsid w:val="228E5C2C"/>
    <w:rsid w:val="22A338AB"/>
    <w:rsid w:val="22AD37A2"/>
    <w:rsid w:val="22B31E8A"/>
    <w:rsid w:val="22C05285"/>
    <w:rsid w:val="22C735BD"/>
    <w:rsid w:val="22CF0F38"/>
    <w:rsid w:val="22D729A8"/>
    <w:rsid w:val="22E03145"/>
    <w:rsid w:val="22E92A89"/>
    <w:rsid w:val="22F06957"/>
    <w:rsid w:val="23057681"/>
    <w:rsid w:val="23122833"/>
    <w:rsid w:val="231D4917"/>
    <w:rsid w:val="23223458"/>
    <w:rsid w:val="23225D32"/>
    <w:rsid w:val="23290F35"/>
    <w:rsid w:val="23357BE6"/>
    <w:rsid w:val="2342574E"/>
    <w:rsid w:val="2355143D"/>
    <w:rsid w:val="236D1BFA"/>
    <w:rsid w:val="236D331D"/>
    <w:rsid w:val="2377331D"/>
    <w:rsid w:val="237D43DE"/>
    <w:rsid w:val="23940114"/>
    <w:rsid w:val="239A1546"/>
    <w:rsid w:val="23A6613D"/>
    <w:rsid w:val="23B4085A"/>
    <w:rsid w:val="23B57016"/>
    <w:rsid w:val="23C4797E"/>
    <w:rsid w:val="23CD5478"/>
    <w:rsid w:val="23D4764B"/>
    <w:rsid w:val="23EC3718"/>
    <w:rsid w:val="23EE304F"/>
    <w:rsid w:val="23FD7010"/>
    <w:rsid w:val="23FF75FB"/>
    <w:rsid w:val="240243FC"/>
    <w:rsid w:val="24044EF2"/>
    <w:rsid w:val="2407139D"/>
    <w:rsid w:val="240B04F4"/>
    <w:rsid w:val="240E369A"/>
    <w:rsid w:val="241E2177"/>
    <w:rsid w:val="242A0646"/>
    <w:rsid w:val="2435301D"/>
    <w:rsid w:val="243A0633"/>
    <w:rsid w:val="243A6885"/>
    <w:rsid w:val="243D6E1A"/>
    <w:rsid w:val="24453D05"/>
    <w:rsid w:val="244A2F6C"/>
    <w:rsid w:val="24607F91"/>
    <w:rsid w:val="246C581B"/>
    <w:rsid w:val="247C52A2"/>
    <w:rsid w:val="24942917"/>
    <w:rsid w:val="24AE34FB"/>
    <w:rsid w:val="24BF0C1B"/>
    <w:rsid w:val="24C24B6D"/>
    <w:rsid w:val="24CC106B"/>
    <w:rsid w:val="24D00598"/>
    <w:rsid w:val="24D725E9"/>
    <w:rsid w:val="24EC31CF"/>
    <w:rsid w:val="25045F70"/>
    <w:rsid w:val="250474F1"/>
    <w:rsid w:val="25056E93"/>
    <w:rsid w:val="25092EBA"/>
    <w:rsid w:val="250E5D48"/>
    <w:rsid w:val="25241020"/>
    <w:rsid w:val="25302410"/>
    <w:rsid w:val="255B6AB3"/>
    <w:rsid w:val="25665B84"/>
    <w:rsid w:val="257572C3"/>
    <w:rsid w:val="25790E85"/>
    <w:rsid w:val="257B7155"/>
    <w:rsid w:val="25965D3D"/>
    <w:rsid w:val="25972C60"/>
    <w:rsid w:val="25974C6F"/>
    <w:rsid w:val="259D1676"/>
    <w:rsid w:val="25A353EB"/>
    <w:rsid w:val="25AE3087"/>
    <w:rsid w:val="25B83F05"/>
    <w:rsid w:val="25B87B65"/>
    <w:rsid w:val="25CB78C3"/>
    <w:rsid w:val="25D54390"/>
    <w:rsid w:val="25D6438C"/>
    <w:rsid w:val="261879A7"/>
    <w:rsid w:val="261A071C"/>
    <w:rsid w:val="262D66A1"/>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E423C"/>
    <w:rsid w:val="271F6B87"/>
    <w:rsid w:val="272D0B1E"/>
    <w:rsid w:val="274E2228"/>
    <w:rsid w:val="27517A93"/>
    <w:rsid w:val="27565784"/>
    <w:rsid w:val="275859A0"/>
    <w:rsid w:val="275E53AF"/>
    <w:rsid w:val="27606603"/>
    <w:rsid w:val="276658E8"/>
    <w:rsid w:val="276F6846"/>
    <w:rsid w:val="277E30D2"/>
    <w:rsid w:val="27803F2A"/>
    <w:rsid w:val="278A18D2"/>
    <w:rsid w:val="27983FEE"/>
    <w:rsid w:val="27A34941"/>
    <w:rsid w:val="27A97FAA"/>
    <w:rsid w:val="27D67030"/>
    <w:rsid w:val="27DC037F"/>
    <w:rsid w:val="27EE3A7B"/>
    <w:rsid w:val="27FA25B3"/>
    <w:rsid w:val="28033B5E"/>
    <w:rsid w:val="28100029"/>
    <w:rsid w:val="282615FA"/>
    <w:rsid w:val="282B09BF"/>
    <w:rsid w:val="282B2878"/>
    <w:rsid w:val="282E4F00"/>
    <w:rsid w:val="283C23DF"/>
    <w:rsid w:val="283D69F1"/>
    <w:rsid w:val="283F090E"/>
    <w:rsid w:val="284C16F5"/>
    <w:rsid w:val="28570AB5"/>
    <w:rsid w:val="285F2CDC"/>
    <w:rsid w:val="28622C36"/>
    <w:rsid w:val="2869172C"/>
    <w:rsid w:val="288C2D07"/>
    <w:rsid w:val="289E7E22"/>
    <w:rsid w:val="28C2534B"/>
    <w:rsid w:val="28C5525A"/>
    <w:rsid w:val="28C75384"/>
    <w:rsid w:val="28D14B96"/>
    <w:rsid w:val="29020C46"/>
    <w:rsid w:val="290240C7"/>
    <w:rsid w:val="291678C1"/>
    <w:rsid w:val="291713AF"/>
    <w:rsid w:val="291A2B97"/>
    <w:rsid w:val="29274EE0"/>
    <w:rsid w:val="294F692F"/>
    <w:rsid w:val="295029E3"/>
    <w:rsid w:val="29543A59"/>
    <w:rsid w:val="29670ED3"/>
    <w:rsid w:val="2969197F"/>
    <w:rsid w:val="29746E87"/>
    <w:rsid w:val="297939AC"/>
    <w:rsid w:val="297C03C2"/>
    <w:rsid w:val="29804D3A"/>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D3510"/>
    <w:rsid w:val="2A6F6D07"/>
    <w:rsid w:val="2A852253"/>
    <w:rsid w:val="2A882500"/>
    <w:rsid w:val="2AA35184"/>
    <w:rsid w:val="2AAB4E76"/>
    <w:rsid w:val="2AB63ABC"/>
    <w:rsid w:val="2AB63D0A"/>
    <w:rsid w:val="2AC31382"/>
    <w:rsid w:val="2AD046CD"/>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AA3B4C"/>
    <w:rsid w:val="2BD96984"/>
    <w:rsid w:val="2BDB5A88"/>
    <w:rsid w:val="2BDB6BA0"/>
    <w:rsid w:val="2BE91C37"/>
    <w:rsid w:val="2BEC3F72"/>
    <w:rsid w:val="2C083572"/>
    <w:rsid w:val="2C185F94"/>
    <w:rsid w:val="2C1F1AC4"/>
    <w:rsid w:val="2C2945BA"/>
    <w:rsid w:val="2C2E71FC"/>
    <w:rsid w:val="2C3F3A41"/>
    <w:rsid w:val="2C4431C4"/>
    <w:rsid w:val="2C55747C"/>
    <w:rsid w:val="2C5C383D"/>
    <w:rsid w:val="2C62059F"/>
    <w:rsid w:val="2C646B95"/>
    <w:rsid w:val="2C6634FA"/>
    <w:rsid w:val="2C7566AC"/>
    <w:rsid w:val="2C7843EE"/>
    <w:rsid w:val="2C833687"/>
    <w:rsid w:val="2CA25191"/>
    <w:rsid w:val="2CAC022C"/>
    <w:rsid w:val="2CC11807"/>
    <w:rsid w:val="2CC66CD6"/>
    <w:rsid w:val="2CE327BC"/>
    <w:rsid w:val="2CF16074"/>
    <w:rsid w:val="2CF81D1B"/>
    <w:rsid w:val="2D26411B"/>
    <w:rsid w:val="2D3F2453"/>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3F6F72"/>
    <w:rsid w:val="2E443652"/>
    <w:rsid w:val="2E505773"/>
    <w:rsid w:val="2E5C0A3D"/>
    <w:rsid w:val="2E742F70"/>
    <w:rsid w:val="2E9077CD"/>
    <w:rsid w:val="2E9574DA"/>
    <w:rsid w:val="2E9A689E"/>
    <w:rsid w:val="2ED61D9E"/>
    <w:rsid w:val="2EDC2A13"/>
    <w:rsid w:val="2EFD7DB9"/>
    <w:rsid w:val="2F0B779C"/>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C17E5A"/>
    <w:rsid w:val="2FEE6EA1"/>
    <w:rsid w:val="2FFE7D49"/>
    <w:rsid w:val="3002294D"/>
    <w:rsid w:val="3011153D"/>
    <w:rsid w:val="30142680"/>
    <w:rsid w:val="302567CF"/>
    <w:rsid w:val="302A11B1"/>
    <w:rsid w:val="302A5C42"/>
    <w:rsid w:val="30340091"/>
    <w:rsid w:val="30347C76"/>
    <w:rsid w:val="305B205D"/>
    <w:rsid w:val="305E56A9"/>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67308"/>
    <w:rsid w:val="31AD0D61"/>
    <w:rsid w:val="31B23EFF"/>
    <w:rsid w:val="31C42968"/>
    <w:rsid w:val="31C5181A"/>
    <w:rsid w:val="31CD297B"/>
    <w:rsid w:val="31CD73BD"/>
    <w:rsid w:val="31D66571"/>
    <w:rsid w:val="31DB4220"/>
    <w:rsid w:val="31DC56CD"/>
    <w:rsid w:val="31E63B94"/>
    <w:rsid w:val="31F27AF7"/>
    <w:rsid w:val="31FA74CA"/>
    <w:rsid w:val="32176602"/>
    <w:rsid w:val="322A7699"/>
    <w:rsid w:val="322B25C6"/>
    <w:rsid w:val="32422E70"/>
    <w:rsid w:val="324B6E67"/>
    <w:rsid w:val="325E56C6"/>
    <w:rsid w:val="3275698A"/>
    <w:rsid w:val="327C0679"/>
    <w:rsid w:val="32870EE7"/>
    <w:rsid w:val="3287538B"/>
    <w:rsid w:val="32943B86"/>
    <w:rsid w:val="32A74AE4"/>
    <w:rsid w:val="32A93829"/>
    <w:rsid w:val="32B943EC"/>
    <w:rsid w:val="32B9519B"/>
    <w:rsid w:val="32DC63A0"/>
    <w:rsid w:val="32E429C1"/>
    <w:rsid w:val="330503EE"/>
    <w:rsid w:val="33274478"/>
    <w:rsid w:val="332B4462"/>
    <w:rsid w:val="334045BE"/>
    <w:rsid w:val="334A3B2A"/>
    <w:rsid w:val="336057C5"/>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D71C9"/>
    <w:rsid w:val="341E4CAB"/>
    <w:rsid w:val="343F2DF0"/>
    <w:rsid w:val="34584EE2"/>
    <w:rsid w:val="347A1C51"/>
    <w:rsid w:val="347D373F"/>
    <w:rsid w:val="34922A93"/>
    <w:rsid w:val="34956481"/>
    <w:rsid w:val="34A35871"/>
    <w:rsid w:val="34C06C9D"/>
    <w:rsid w:val="34C46423"/>
    <w:rsid w:val="34DF24AE"/>
    <w:rsid w:val="351C4931"/>
    <w:rsid w:val="351C4EAC"/>
    <w:rsid w:val="351D4C26"/>
    <w:rsid w:val="35284C04"/>
    <w:rsid w:val="352B46F4"/>
    <w:rsid w:val="352E1AEE"/>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40CE4"/>
    <w:rsid w:val="36203B2D"/>
    <w:rsid w:val="363E0457"/>
    <w:rsid w:val="365B4B65"/>
    <w:rsid w:val="369B4CF0"/>
    <w:rsid w:val="36A302BA"/>
    <w:rsid w:val="36D62629"/>
    <w:rsid w:val="36D76172"/>
    <w:rsid w:val="36D84407"/>
    <w:rsid w:val="36E833BB"/>
    <w:rsid w:val="36EB1E1B"/>
    <w:rsid w:val="36F17F0D"/>
    <w:rsid w:val="36F9612C"/>
    <w:rsid w:val="36FA25D0"/>
    <w:rsid w:val="36FB00F6"/>
    <w:rsid w:val="37103BA1"/>
    <w:rsid w:val="37224581"/>
    <w:rsid w:val="3735197D"/>
    <w:rsid w:val="373756A2"/>
    <w:rsid w:val="374A416C"/>
    <w:rsid w:val="375A4E1C"/>
    <w:rsid w:val="375E0DA6"/>
    <w:rsid w:val="37702140"/>
    <w:rsid w:val="377639AE"/>
    <w:rsid w:val="378142CB"/>
    <w:rsid w:val="378B61A6"/>
    <w:rsid w:val="3794423A"/>
    <w:rsid w:val="37B26A07"/>
    <w:rsid w:val="37B90F0B"/>
    <w:rsid w:val="37CD3F98"/>
    <w:rsid w:val="37D20E57"/>
    <w:rsid w:val="37D90437"/>
    <w:rsid w:val="37DF75BA"/>
    <w:rsid w:val="37E148E2"/>
    <w:rsid w:val="37F544C0"/>
    <w:rsid w:val="37F848EE"/>
    <w:rsid w:val="37F912FC"/>
    <w:rsid w:val="37FB65FF"/>
    <w:rsid w:val="380D59EE"/>
    <w:rsid w:val="38304889"/>
    <w:rsid w:val="3836588A"/>
    <w:rsid w:val="38382675"/>
    <w:rsid w:val="383B7B0D"/>
    <w:rsid w:val="3848553B"/>
    <w:rsid w:val="3851700B"/>
    <w:rsid w:val="385246B6"/>
    <w:rsid w:val="385E6B8E"/>
    <w:rsid w:val="38697929"/>
    <w:rsid w:val="3876113B"/>
    <w:rsid w:val="387A7F41"/>
    <w:rsid w:val="38A53DB7"/>
    <w:rsid w:val="38BF3388"/>
    <w:rsid w:val="38CC268D"/>
    <w:rsid w:val="38DF1FDA"/>
    <w:rsid w:val="38EC2960"/>
    <w:rsid w:val="390069DD"/>
    <w:rsid w:val="39030CF9"/>
    <w:rsid w:val="39091F35"/>
    <w:rsid w:val="392536E2"/>
    <w:rsid w:val="39465F15"/>
    <w:rsid w:val="39505209"/>
    <w:rsid w:val="395B1E65"/>
    <w:rsid w:val="396453C5"/>
    <w:rsid w:val="39922CCF"/>
    <w:rsid w:val="39A24859"/>
    <w:rsid w:val="39A65327"/>
    <w:rsid w:val="39A65C9B"/>
    <w:rsid w:val="39B8602B"/>
    <w:rsid w:val="39BC5ED6"/>
    <w:rsid w:val="39D27231"/>
    <w:rsid w:val="39E82BB3"/>
    <w:rsid w:val="39EB39E0"/>
    <w:rsid w:val="39EE7A9E"/>
    <w:rsid w:val="39EF02D4"/>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064AC1"/>
    <w:rsid w:val="3B312338"/>
    <w:rsid w:val="3B3C5B77"/>
    <w:rsid w:val="3B3D0FF2"/>
    <w:rsid w:val="3B501351"/>
    <w:rsid w:val="3B521A18"/>
    <w:rsid w:val="3B655869"/>
    <w:rsid w:val="3B8D2B96"/>
    <w:rsid w:val="3B923660"/>
    <w:rsid w:val="3BC646E5"/>
    <w:rsid w:val="3BCA44BE"/>
    <w:rsid w:val="3BD639A7"/>
    <w:rsid w:val="3C033CD5"/>
    <w:rsid w:val="3C061F3A"/>
    <w:rsid w:val="3C073099"/>
    <w:rsid w:val="3C0A04F9"/>
    <w:rsid w:val="3C1A6612"/>
    <w:rsid w:val="3C2B401C"/>
    <w:rsid w:val="3C495480"/>
    <w:rsid w:val="3C4C3A42"/>
    <w:rsid w:val="3C557EA4"/>
    <w:rsid w:val="3C6F0167"/>
    <w:rsid w:val="3C71667B"/>
    <w:rsid w:val="3C7C75E3"/>
    <w:rsid w:val="3C914F3B"/>
    <w:rsid w:val="3CB33A7A"/>
    <w:rsid w:val="3CC17F13"/>
    <w:rsid w:val="3CD15B81"/>
    <w:rsid w:val="3CD50B40"/>
    <w:rsid w:val="3CE320A3"/>
    <w:rsid w:val="3CE9196C"/>
    <w:rsid w:val="3CF01DB1"/>
    <w:rsid w:val="3CF15105"/>
    <w:rsid w:val="3D0C04B9"/>
    <w:rsid w:val="3D1414C5"/>
    <w:rsid w:val="3D1C763E"/>
    <w:rsid w:val="3D201AA5"/>
    <w:rsid w:val="3D2B37EA"/>
    <w:rsid w:val="3D2F7FF3"/>
    <w:rsid w:val="3D3B56F0"/>
    <w:rsid w:val="3D3D1507"/>
    <w:rsid w:val="3D485717"/>
    <w:rsid w:val="3D62085B"/>
    <w:rsid w:val="3D6B12FD"/>
    <w:rsid w:val="3D7B4622"/>
    <w:rsid w:val="3D8E5820"/>
    <w:rsid w:val="3D931088"/>
    <w:rsid w:val="3D942E29"/>
    <w:rsid w:val="3DA53531"/>
    <w:rsid w:val="3DB54E0C"/>
    <w:rsid w:val="3DB900C1"/>
    <w:rsid w:val="3DE51866"/>
    <w:rsid w:val="3DE91725"/>
    <w:rsid w:val="3DF159B1"/>
    <w:rsid w:val="3DFF0470"/>
    <w:rsid w:val="3E0930F8"/>
    <w:rsid w:val="3E135D25"/>
    <w:rsid w:val="3E1A106E"/>
    <w:rsid w:val="3E36303B"/>
    <w:rsid w:val="3E526044"/>
    <w:rsid w:val="3E5C591E"/>
    <w:rsid w:val="3E5E3444"/>
    <w:rsid w:val="3E6C2B3A"/>
    <w:rsid w:val="3E6F38A3"/>
    <w:rsid w:val="3E8C5311"/>
    <w:rsid w:val="3E8E7E55"/>
    <w:rsid w:val="3EA451FF"/>
    <w:rsid w:val="3EB61473"/>
    <w:rsid w:val="3EC66011"/>
    <w:rsid w:val="3ED25BE0"/>
    <w:rsid w:val="3ED75B7F"/>
    <w:rsid w:val="3EDE27D7"/>
    <w:rsid w:val="3EF67B54"/>
    <w:rsid w:val="3EF9316D"/>
    <w:rsid w:val="3F2A1578"/>
    <w:rsid w:val="3F315E6B"/>
    <w:rsid w:val="3F5175E2"/>
    <w:rsid w:val="3F56276A"/>
    <w:rsid w:val="3F6C10E0"/>
    <w:rsid w:val="3F963015"/>
    <w:rsid w:val="3F964D35"/>
    <w:rsid w:val="3FA327ED"/>
    <w:rsid w:val="3FAA090B"/>
    <w:rsid w:val="3FB11738"/>
    <w:rsid w:val="3FB5581B"/>
    <w:rsid w:val="3FBD063E"/>
    <w:rsid w:val="3FC33D05"/>
    <w:rsid w:val="3FF46B18"/>
    <w:rsid w:val="3FF74A2E"/>
    <w:rsid w:val="3FFC36E2"/>
    <w:rsid w:val="4005572D"/>
    <w:rsid w:val="402833BA"/>
    <w:rsid w:val="40283C2B"/>
    <w:rsid w:val="40394FD1"/>
    <w:rsid w:val="40425879"/>
    <w:rsid w:val="405C1C05"/>
    <w:rsid w:val="405E3BCF"/>
    <w:rsid w:val="406617C4"/>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90595"/>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977158"/>
    <w:rsid w:val="42A06B6C"/>
    <w:rsid w:val="42A27996"/>
    <w:rsid w:val="42A45E72"/>
    <w:rsid w:val="42AA04E2"/>
    <w:rsid w:val="42C14A6A"/>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6E5F"/>
    <w:rsid w:val="43BD7F58"/>
    <w:rsid w:val="43D43ECA"/>
    <w:rsid w:val="43D97563"/>
    <w:rsid w:val="43DD12AF"/>
    <w:rsid w:val="43DD452F"/>
    <w:rsid w:val="43DE6CD4"/>
    <w:rsid w:val="43E2642C"/>
    <w:rsid w:val="43E51150"/>
    <w:rsid w:val="43EA7528"/>
    <w:rsid w:val="43EF28BB"/>
    <w:rsid w:val="43EF56D3"/>
    <w:rsid w:val="43F47D80"/>
    <w:rsid w:val="43F565F9"/>
    <w:rsid w:val="44095C00"/>
    <w:rsid w:val="440A6FD2"/>
    <w:rsid w:val="442A1797"/>
    <w:rsid w:val="44366C11"/>
    <w:rsid w:val="444946CA"/>
    <w:rsid w:val="444B3F54"/>
    <w:rsid w:val="445C6678"/>
    <w:rsid w:val="446948F1"/>
    <w:rsid w:val="4476661F"/>
    <w:rsid w:val="447E3AC5"/>
    <w:rsid w:val="44805ED4"/>
    <w:rsid w:val="448E5DEE"/>
    <w:rsid w:val="449E4142"/>
    <w:rsid w:val="44A90BAA"/>
    <w:rsid w:val="44B24A20"/>
    <w:rsid w:val="44BB7CB2"/>
    <w:rsid w:val="44BC0BEE"/>
    <w:rsid w:val="44BF6C07"/>
    <w:rsid w:val="44C24001"/>
    <w:rsid w:val="44C55A88"/>
    <w:rsid w:val="44FB1C9C"/>
    <w:rsid w:val="45392A13"/>
    <w:rsid w:val="453E3FCF"/>
    <w:rsid w:val="454F1836"/>
    <w:rsid w:val="45887B45"/>
    <w:rsid w:val="458B66DF"/>
    <w:rsid w:val="45940F0E"/>
    <w:rsid w:val="459B4F7E"/>
    <w:rsid w:val="45AC5DBA"/>
    <w:rsid w:val="45C647AF"/>
    <w:rsid w:val="45DD529D"/>
    <w:rsid w:val="45E57886"/>
    <w:rsid w:val="45E945CC"/>
    <w:rsid w:val="45EC7588"/>
    <w:rsid w:val="46003076"/>
    <w:rsid w:val="46026F63"/>
    <w:rsid w:val="46113492"/>
    <w:rsid w:val="46177E29"/>
    <w:rsid w:val="46205B7F"/>
    <w:rsid w:val="462A4554"/>
    <w:rsid w:val="462A6010"/>
    <w:rsid w:val="465D501C"/>
    <w:rsid w:val="466367DB"/>
    <w:rsid w:val="46686D18"/>
    <w:rsid w:val="466D15DA"/>
    <w:rsid w:val="46BF7E28"/>
    <w:rsid w:val="46C3037C"/>
    <w:rsid w:val="46D83FB0"/>
    <w:rsid w:val="46EF26BD"/>
    <w:rsid w:val="46FF15E0"/>
    <w:rsid w:val="4700581C"/>
    <w:rsid w:val="4702516A"/>
    <w:rsid w:val="4724600B"/>
    <w:rsid w:val="47264D1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80CC1"/>
    <w:rsid w:val="484E729D"/>
    <w:rsid w:val="48566773"/>
    <w:rsid w:val="485A23C2"/>
    <w:rsid w:val="48623B31"/>
    <w:rsid w:val="48627FD5"/>
    <w:rsid w:val="48691107"/>
    <w:rsid w:val="48895289"/>
    <w:rsid w:val="48A16B62"/>
    <w:rsid w:val="48AE0D54"/>
    <w:rsid w:val="48B00D40"/>
    <w:rsid w:val="48BC6222"/>
    <w:rsid w:val="48C245E9"/>
    <w:rsid w:val="48DB312A"/>
    <w:rsid w:val="48DE58A9"/>
    <w:rsid w:val="48DF49D9"/>
    <w:rsid w:val="48F52BF7"/>
    <w:rsid w:val="492108CC"/>
    <w:rsid w:val="49413F52"/>
    <w:rsid w:val="494F6304"/>
    <w:rsid w:val="49792B95"/>
    <w:rsid w:val="49F11610"/>
    <w:rsid w:val="4A0207A9"/>
    <w:rsid w:val="4A031344"/>
    <w:rsid w:val="4A05334F"/>
    <w:rsid w:val="4A060864"/>
    <w:rsid w:val="4A244932"/>
    <w:rsid w:val="4A2922C8"/>
    <w:rsid w:val="4A4117B2"/>
    <w:rsid w:val="4A4A6F73"/>
    <w:rsid w:val="4A78588E"/>
    <w:rsid w:val="4A7A4350"/>
    <w:rsid w:val="4A7B1703"/>
    <w:rsid w:val="4A7E2497"/>
    <w:rsid w:val="4A896826"/>
    <w:rsid w:val="4A963F66"/>
    <w:rsid w:val="4AAB0F8E"/>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35C59"/>
    <w:rsid w:val="4B520DF4"/>
    <w:rsid w:val="4B603107"/>
    <w:rsid w:val="4B7A5635"/>
    <w:rsid w:val="4B7D0C82"/>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267F5"/>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3C5D4D"/>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A4C6C"/>
    <w:rsid w:val="4DFC14EA"/>
    <w:rsid w:val="4DFF6815"/>
    <w:rsid w:val="4E0A3427"/>
    <w:rsid w:val="4E0C363C"/>
    <w:rsid w:val="4E2423AC"/>
    <w:rsid w:val="4E261AA5"/>
    <w:rsid w:val="4E287F63"/>
    <w:rsid w:val="4E304B5D"/>
    <w:rsid w:val="4E3F66C2"/>
    <w:rsid w:val="4E611B8B"/>
    <w:rsid w:val="4E6279D7"/>
    <w:rsid w:val="4E682F8C"/>
    <w:rsid w:val="4E6A7BB7"/>
    <w:rsid w:val="4E6C5D89"/>
    <w:rsid w:val="4E9133C2"/>
    <w:rsid w:val="4EB23220"/>
    <w:rsid w:val="4ECF4EE4"/>
    <w:rsid w:val="4ED11A10"/>
    <w:rsid w:val="4EE661F8"/>
    <w:rsid w:val="4EF27A04"/>
    <w:rsid w:val="4F0773B4"/>
    <w:rsid w:val="4F241019"/>
    <w:rsid w:val="4F307BB1"/>
    <w:rsid w:val="4F336227"/>
    <w:rsid w:val="4F3C3EF2"/>
    <w:rsid w:val="4F3D562D"/>
    <w:rsid w:val="4F4915A7"/>
    <w:rsid w:val="4F5C4EE0"/>
    <w:rsid w:val="4F681AF1"/>
    <w:rsid w:val="4F6E1972"/>
    <w:rsid w:val="4F943166"/>
    <w:rsid w:val="4F9C19A5"/>
    <w:rsid w:val="4FBA02A1"/>
    <w:rsid w:val="4FE7106E"/>
    <w:rsid w:val="4FF82FCD"/>
    <w:rsid w:val="50053943"/>
    <w:rsid w:val="50260569"/>
    <w:rsid w:val="50374A3C"/>
    <w:rsid w:val="50487AB0"/>
    <w:rsid w:val="50550E55"/>
    <w:rsid w:val="508825A3"/>
    <w:rsid w:val="50901457"/>
    <w:rsid w:val="509F43E4"/>
    <w:rsid w:val="50A54D3E"/>
    <w:rsid w:val="50B82E88"/>
    <w:rsid w:val="50B909AE"/>
    <w:rsid w:val="50BB32A7"/>
    <w:rsid w:val="50CC5CB2"/>
    <w:rsid w:val="50ED1473"/>
    <w:rsid w:val="50F1402B"/>
    <w:rsid w:val="50FD2AD9"/>
    <w:rsid w:val="51037E7B"/>
    <w:rsid w:val="51081E85"/>
    <w:rsid w:val="51097D9A"/>
    <w:rsid w:val="511A650F"/>
    <w:rsid w:val="51237D2E"/>
    <w:rsid w:val="51313B46"/>
    <w:rsid w:val="514229EF"/>
    <w:rsid w:val="515B06D0"/>
    <w:rsid w:val="516273A1"/>
    <w:rsid w:val="51764AF1"/>
    <w:rsid w:val="517F7502"/>
    <w:rsid w:val="51884D75"/>
    <w:rsid w:val="51996737"/>
    <w:rsid w:val="51B408B8"/>
    <w:rsid w:val="51B80848"/>
    <w:rsid w:val="51CA0754"/>
    <w:rsid w:val="51CC0868"/>
    <w:rsid w:val="51CE72C5"/>
    <w:rsid w:val="51D5340F"/>
    <w:rsid w:val="52287B99"/>
    <w:rsid w:val="52382F2A"/>
    <w:rsid w:val="52386E3D"/>
    <w:rsid w:val="523A7DD1"/>
    <w:rsid w:val="523B7711"/>
    <w:rsid w:val="5271774C"/>
    <w:rsid w:val="527A416D"/>
    <w:rsid w:val="528D5323"/>
    <w:rsid w:val="528D7B65"/>
    <w:rsid w:val="529A036B"/>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9B439B"/>
    <w:rsid w:val="53A44D07"/>
    <w:rsid w:val="53A46AC8"/>
    <w:rsid w:val="53AB7F1F"/>
    <w:rsid w:val="53AC6F7B"/>
    <w:rsid w:val="53C01F4F"/>
    <w:rsid w:val="53C070F8"/>
    <w:rsid w:val="53C51418"/>
    <w:rsid w:val="53EB297B"/>
    <w:rsid w:val="53EC4BF7"/>
    <w:rsid w:val="53F671DE"/>
    <w:rsid w:val="53F71F19"/>
    <w:rsid w:val="53F758A1"/>
    <w:rsid w:val="540D5A7F"/>
    <w:rsid w:val="542E2BC2"/>
    <w:rsid w:val="54352A96"/>
    <w:rsid w:val="54447390"/>
    <w:rsid w:val="544B514D"/>
    <w:rsid w:val="545E1D01"/>
    <w:rsid w:val="54674051"/>
    <w:rsid w:val="5472334E"/>
    <w:rsid w:val="547277F2"/>
    <w:rsid w:val="54935B8F"/>
    <w:rsid w:val="54996B2C"/>
    <w:rsid w:val="549D3677"/>
    <w:rsid w:val="54B03E76"/>
    <w:rsid w:val="54BF230B"/>
    <w:rsid w:val="54CC6227"/>
    <w:rsid w:val="54D10F9B"/>
    <w:rsid w:val="54D97871"/>
    <w:rsid w:val="54DC4C6B"/>
    <w:rsid w:val="550B5550"/>
    <w:rsid w:val="551D586C"/>
    <w:rsid w:val="55200298"/>
    <w:rsid w:val="55335E1B"/>
    <w:rsid w:val="5536079B"/>
    <w:rsid w:val="554B7EF0"/>
    <w:rsid w:val="5556778F"/>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4E1B99"/>
    <w:rsid w:val="56666B5B"/>
    <w:rsid w:val="56717635"/>
    <w:rsid w:val="56990B7C"/>
    <w:rsid w:val="569E1126"/>
    <w:rsid w:val="56A8690E"/>
    <w:rsid w:val="56B679AB"/>
    <w:rsid w:val="56B80DEB"/>
    <w:rsid w:val="56D50751"/>
    <w:rsid w:val="56E0560F"/>
    <w:rsid w:val="56E06E61"/>
    <w:rsid w:val="56EF3C74"/>
    <w:rsid w:val="56F653FE"/>
    <w:rsid w:val="57007337"/>
    <w:rsid w:val="57250900"/>
    <w:rsid w:val="574448FC"/>
    <w:rsid w:val="57561D39"/>
    <w:rsid w:val="575B7AFD"/>
    <w:rsid w:val="57660D3F"/>
    <w:rsid w:val="5785783C"/>
    <w:rsid w:val="578F06BB"/>
    <w:rsid w:val="5794182D"/>
    <w:rsid w:val="57A469A0"/>
    <w:rsid w:val="57CC4BC2"/>
    <w:rsid w:val="57CF5333"/>
    <w:rsid w:val="57D10760"/>
    <w:rsid w:val="57D1153D"/>
    <w:rsid w:val="57D77297"/>
    <w:rsid w:val="57FA3774"/>
    <w:rsid w:val="58084A3C"/>
    <w:rsid w:val="5813309A"/>
    <w:rsid w:val="582772A7"/>
    <w:rsid w:val="5847689F"/>
    <w:rsid w:val="58531B77"/>
    <w:rsid w:val="585D2975"/>
    <w:rsid w:val="585D4315"/>
    <w:rsid w:val="585E3492"/>
    <w:rsid w:val="585F64F9"/>
    <w:rsid w:val="587E3341"/>
    <w:rsid w:val="587F428B"/>
    <w:rsid w:val="58843A9C"/>
    <w:rsid w:val="58B26A96"/>
    <w:rsid w:val="58B31855"/>
    <w:rsid w:val="58CD4FF7"/>
    <w:rsid w:val="58CF56D8"/>
    <w:rsid w:val="58D31010"/>
    <w:rsid w:val="58D6741E"/>
    <w:rsid w:val="58DB0535"/>
    <w:rsid w:val="58E467E4"/>
    <w:rsid w:val="58E62E0E"/>
    <w:rsid w:val="58EA3D0E"/>
    <w:rsid w:val="58F24A5D"/>
    <w:rsid w:val="58F71269"/>
    <w:rsid w:val="58FE045E"/>
    <w:rsid w:val="58FE78A6"/>
    <w:rsid w:val="59014CEF"/>
    <w:rsid w:val="59017396"/>
    <w:rsid w:val="590824D3"/>
    <w:rsid w:val="59404518"/>
    <w:rsid w:val="59561946"/>
    <w:rsid w:val="59670F51"/>
    <w:rsid w:val="596A44F9"/>
    <w:rsid w:val="596C19BB"/>
    <w:rsid w:val="59790BDB"/>
    <w:rsid w:val="597E3F42"/>
    <w:rsid w:val="59856944"/>
    <w:rsid w:val="598653AC"/>
    <w:rsid w:val="59AC3C86"/>
    <w:rsid w:val="59B817D3"/>
    <w:rsid w:val="59C11856"/>
    <w:rsid w:val="59C153AB"/>
    <w:rsid w:val="59D42FDA"/>
    <w:rsid w:val="59DA4E01"/>
    <w:rsid w:val="59F64E82"/>
    <w:rsid w:val="5A0A04CC"/>
    <w:rsid w:val="5A0A5DD6"/>
    <w:rsid w:val="5A10435C"/>
    <w:rsid w:val="5A1530F9"/>
    <w:rsid w:val="5A2654CC"/>
    <w:rsid w:val="5A323A44"/>
    <w:rsid w:val="5A395E66"/>
    <w:rsid w:val="5A476FBE"/>
    <w:rsid w:val="5A484352"/>
    <w:rsid w:val="5A5321A5"/>
    <w:rsid w:val="5A6F20DD"/>
    <w:rsid w:val="5A783688"/>
    <w:rsid w:val="5A845B89"/>
    <w:rsid w:val="5A8734AF"/>
    <w:rsid w:val="5A920462"/>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A04FC"/>
    <w:rsid w:val="5B6D62B9"/>
    <w:rsid w:val="5B746CFA"/>
    <w:rsid w:val="5B9A2B59"/>
    <w:rsid w:val="5BA652E6"/>
    <w:rsid w:val="5BC0085A"/>
    <w:rsid w:val="5BE03293"/>
    <w:rsid w:val="5BF03D58"/>
    <w:rsid w:val="5BF20AFB"/>
    <w:rsid w:val="5C14137F"/>
    <w:rsid w:val="5C1A6BB2"/>
    <w:rsid w:val="5C306D31"/>
    <w:rsid w:val="5C37233A"/>
    <w:rsid w:val="5C5355FE"/>
    <w:rsid w:val="5C5A49A5"/>
    <w:rsid w:val="5C6519EA"/>
    <w:rsid w:val="5C6715FE"/>
    <w:rsid w:val="5C6F4105"/>
    <w:rsid w:val="5C941E0E"/>
    <w:rsid w:val="5CBB7F6F"/>
    <w:rsid w:val="5CC248CE"/>
    <w:rsid w:val="5CC826A5"/>
    <w:rsid w:val="5CE22EAB"/>
    <w:rsid w:val="5D042FB1"/>
    <w:rsid w:val="5D442CB4"/>
    <w:rsid w:val="5D5D171E"/>
    <w:rsid w:val="5D7874FB"/>
    <w:rsid w:val="5D7C3F11"/>
    <w:rsid w:val="5D8365CC"/>
    <w:rsid w:val="5D885990"/>
    <w:rsid w:val="5D971C5A"/>
    <w:rsid w:val="5D9D49E0"/>
    <w:rsid w:val="5DA01E9E"/>
    <w:rsid w:val="5DAD3649"/>
    <w:rsid w:val="5DC310BE"/>
    <w:rsid w:val="5DC32E6C"/>
    <w:rsid w:val="5DDF1821"/>
    <w:rsid w:val="5DE2656A"/>
    <w:rsid w:val="5DEA2F91"/>
    <w:rsid w:val="5DF94AE0"/>
    <w:rsid w:val="5DFA5883"/>
    <w:rsid w:val="5E224037"/>
    <w:rsid w:val="5E3146A3"/>
    <w:rsid w:val="5E442F62"/>
    <w:rsid w:val="5E4A10FC"/>
    <w:rsid w:val="5E6C2C5B"/>
    <w:rsid w:val="5E6E2DD8"/>
    <w:rsid w:val="5E7251A2"/>
    <w:rsid w:val="5E781EA8"/>
    <w:rsid w:val="5E7C3591"/>
    <w:rsid w:val="5E9842F9"/>
    <w:rsid w:val="5E9D0E18"/>
    <w:rsid w:val="5EA26F25"/>
    <w:rsid w:val="5EA341D7"/>
    <w:rsid w:val="5EA755DE"/>
    <w:rsid w:val="5EAE7678"/>
    <w:rsid w:val="5ED35F0E"/>
    <w:rsid w:val="5EDF7832"/>
    <w:rsid w:val="5EFC1390"/>
    <w:rsid w:val="5EFC3EB6"/>
    <w:rsid w:val="5F014081"/>
    <w:rsid w:val="5F03335D"/>
    <w:rsid w:val="5F0368C7"/>
    <w:rsid w:val="5F090D52"/>
    <w:rsid w:val="5F1544E7"/>
    <w:rsid w:val="5F197EE8"/>
    <w:rsid w:val="5F312D8D"/>
    <w:rsid w:val="5F3C4923"/>
    <w:rsid w:val="5F4160B0"/>
    <w:rsid w:val="5F4B3119"/>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8C1C3B"/>
    <w:rsid w:val="60902A4E"/>
    <w:rsid w:val="60AA3E6F"/>
    <w:rsid w:val="60B53748"/>
    <w:rsid w:val="60C07B37"/>
    <w:rsid w:val="60F5158E"/>
    <w:rsid w:val="60FF21D9"/>
    <w:rsid w:val="6109328C"/>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442604"/>
    <w:rsid w:val="6250406E"/>
    <w:rsid w:val="6267666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13257"/>
    <w:rsid w:val="6393508F"/>
    <w:rsid w:val="639A3568"/>
    <w:rsid w:val="63A75341"/>
    <w:rsid w:val="63A85E90"/>
    <w:rsid w:val="63A962DB"/>
    <w:rsid w:val="63AB1A91"/>
    <w:rsid w:val="63B75221"/>
    <w:rsid w:val="63B82D47"/>
    <w:rsid w:val="63C74D38"/>
    <w:rsid w:val="63EA73A4"/>
    <w:rsid w:val="63EE4692"/>
    <w:rsid w:val="63FD622D"/>
    <w:rsid w:val="641066DF"/>
    <w:rsid w:val="64177A6E"/>
    <w:rsid w:val="643F32F9"/>
    <w:rsid w:val="64582686"/>
    <w:rsid w:val="64673C87"/>
    <w:rsid w:val="64877733"/>
    <w:rsid w:val="64925346"/>
    <w:rsid w:val="64A170D2"/>
    <w:rsid w:val="64A251DD"/>
    <w:rsid w:val="64BC182A"/>
    <w:rsid w:val="650242F0"/>
    <w:rsid w:val="65365B2B"/>
    <w:rsid w:val="653F447E"/>
    <w:rsid w:val="654F4FE5"/>
    <w:rsid w:val="65542778"/>
    <w:rsid w:val="655829AF"/>
    <w:rsid w:val="656B70C3"/>
    <w:rsid w:val="657038D9"/>
    <w:rsid w:val="65711400"/>
    <w:rsid w:val="658E3D60"/>
    <w:rsid w:val="658F4798"/>
    <w:rsid w:val="659B1EBA"/>
    <w:rsid w:val="65A11CE5"/>
    <w:rsid w:val="65A83379"/>
    <w:rsid w:val="65B461E9"/>
    <w:rsid w:val="65BE39A8"/>
    <w:rsid w:val="65C23A09"/>
    <w:rsid w:val="65FB3FBE"/>
    <w:rsid w:val="66101A71"/>
    <w:rsid w:val="66171FA7"/>
    <w:rsid w:val="66247D11"/>
    <w:rsid w:val="663743F7"/>
    <w:rsid w:val="663B3EC9"/>
    <w:rsid w:val="6646463A"/>
    <w:rsid w:val="665A1E94"/>
    <w:rsid w:val="66736112"/>
    <w:rsid w:val="667F5B5B"/>
    <w:rsid w:val="6694262A"/>
    <w:rsid w:val="66990381"/>
    <w:rsid w:val="66A870A3"/>
    <w:rsid w:val="66B31B01"/>
    <w:rsid w:val="66CA0DC7"/>
    <w:rsid w:val="66CD13C5"/>
    <w:rsid w:val="66CE1E80"/>
    <w:rsid w:val="66E225B5"/>
    <w:rsid w:val="66E362F9"/>
    <w:rsid w:val="66E47FD9"/>
    <w:rsid w:val="66E520A5"/>
    <w:rsid w:val="66F04175"/>
    <w:rsid w:val="66F127F8"/>
    <w:rsid w:val="67071922"/>
    <w:rsid w:val="673B73C0"/>
    <w:rsid w:val="674743C8"/>
    <w:rsid w:val="675608B6"/>
    <w:rsid w:val="67754402"/>
    <w:rsid w:val="677D54ED"/>
    <w:rsid w:val="678B726C"/>
    <w:rsid w:val="679C2ADC"/>
    <w:rsid w:val="67B25E27"/>
    <w:rsid w:val="67B4646D"/>
    <w:rsid w:val="67B464CA"/>
    <w:rsid w:val="67C31A07"/>
    <w:rsid w:val="67C4383B"/>
    <w:rsid w:val="67D35E1A"/>
    <w:rsid w:val="67D839B8"/>
    <w:rsid w:val="67F35317"/>
    <w:rsid w:val="67F73E3E"/>
    <w:rsid w:val="67FD6F7B"/>
    <w:rsid w:val="68016A6B"/>
    <w:rsid w:val="680201B7"/>
    <w:rsid w:val="68040309"/>
    <w:rsid w:val="68060525"/>
    <w:rsid w:val="680B5B3B"/>
    <w:rsid w:val="68362BFB"/>
    <w:rsid w:val="683D085A"/>
    <w:rsid w:val="683F1130"/>
    <w:rsid w:val="684456A1"/>
    <w:rsid w:val="685E1363"/>
    <w:rsid w:val="687731D1"/>
    <w:rsid w:val="6878475E"/>
    <w:rsid w:val="688B4E68"/>
    <w:rsid w:val="688E1089"/>
    <w:rsid w:val="68993219"/>
    <w:rsid w:val="689E42BA"/>
    <w:rsid w:val="68A026F3"/>
    <w:rsid w:val="68AF6C13"/>
    <w:rsid w:val="68F25680"/>
    <w:rsid w:val="68F42063"/>
    <w:rsid w:val="69074555"/>
    <w:rsid w:val="690E07C7"/>
    <w:rsid w:val="69140A20"/>
    <w:rsid w:val="69236A65"/>
    <w:rsid w:val="692E469B"/>
    <w:rsid w:val="69315C48"/>
    <w:rsid w:val="694019EC"/>
    <w:rsid w:val="694841AF"/>
    <w:rsid w:val="694A4441"/>
    <w:rsid w:val="694F1A58"/>
    <w:rsid w:val="69584DB4"/>
    <w:rsid w:val="695B5B89"/>
    <w:rsid w:val="696C3D80"/>
    <w:rsid w:val="696D7E94"/>
    <w:rsid w:val="696F3EA8"/>
    <w:rsid w:val="698A5EE4"/>
    <w:rsid w:val="6993213E"/>
    <w:rsid w:val="69C811ED"/>
    <w:rsid w:val="69D33070"/>
    <w:rsid w:val="69DA57C5"/>
    <w:rsid w:val="69E97E75"/>
    <w:rsid w:val="69EE301F"/>
    <w:rsid w:val="69FB5D9E"/>
    <w:rsid w:val="69FF6FDA"/>
    <w:rsid w:val="6A09542B"/>
    <w:rsid w:val="6A0C16F7"/>
    <w:rsid w:val="6A1A3007"/>
    <w:rsid w:val="6A1E645E"/>
    <w:rsid w:val="6A3C6480"/>
    <w:rsid w:val="6A417049"/>
    <w:rsid w:val="6A576E16"/>
    <w:rsid w:val="6A7903E5"/>
    <w:rsid w:val="6A8219B9"/>
    <w:rsid w:val="6A8641F2"/>
    <w:rsid w:val="6A9701A5"/>
    <w:rsid w:val="6AA03032"/>
    <w:rsid w:val="6AA86FEC"/>
    <w:rsid w:val="6ACB20F7"/>
    <w:rsid w:val="6ADA6AC4"/>
    <w:rsid w:val="6ADB11D6"/>
    <w:rsid w:val="6AE07A41"/>
    <w:rsid w:val="6B0E7DE3"/>
    <w:rsid w:val="6B142F59"/>
    <w:rsid w:val="6B1A2C3C"/>
    <w:rsid w:val="6B221F4E"/>
    <w:rsid w:val="6B31644D"/>
    <w:rsid w:val="6B486C86"/>
    <w:rsid w:val="6B554C72"/>
    <w:rsid w:val="6B680BAF"/>
    <w:rsid w:val="6B735ED1"/>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81AA9"/>
    <w:rsid w:val="6C6D1126"/>
    <w:rsid w:val="6C986334"/>
    <w:rsid w:val="6CA35B3A"/>
    <w:rsid w:val="6CA41A5D"/>
    <w:rsid w:val="6CA479DF"/>
    <w:rsid w:val="6CAF588C"/>
    <w:rsid w:val="6CB4638E"/>
    <w:rsid w:val="6CBF3C6A"/>
    <w:rsid w:val="6CBF5306"/>
    <w:rsid w:val="6CCA2D18"/>
    <w:rsid w:val="6CD7423E"/>
    <w:rsid w:val="6CD930DF"/>
    <w:rsid w:val="6CDC1854"/>
    <w:rsid w:val="6CE70FA1"/>
    <w:rsid w:val="6CF05300"/>
    <w:rsid w:val="6CFA6351"/>
    <w:rsid w:val="6CFC3C40"/>
    <w:rsid w:val="6D261AD0"/>
    <w:rsid w:val="6D2F6F7D"/>
    <w:rsid w:val="6D480984"/>
    <w:rsid w:val="6D8079F9"/>
    <w:rsid w:val="6DB13E57"/>
    <w:rsid w:val="6DC245A2"/>
    <w:rsid w:val="6DC71662"/>
    <w:rsid w:val="6DCD5126"/>
    <w:rsid w:val="6DDB6CB0"/>
    <w:rsid w:val="6DDC4B6E"/>
    <w:rsid w:val="6DE21877"/>
    <w:rsid w:val="6DE52ACD"/>
    <w:rsid w:val="6DF36E56"/>
    <w:rsid w:val="6DFC0B44"/>
    <w:rsid w:val="6E0458E7"/>
    <w:rsid w:val="6E1119D2"/>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03395"/>
    <w:rsid w:val="6EF773A4"/>
    <w:rsid w:val="6F174DC6"/>
    <w:rsid w:val="6F1E2E65"/>
    <w:rsid w:val="6F1E3633"/>
    <w:rsid w:val="6F2F2D9E"/>
    <w:rsid w:val="6F4147D9"/>
    <w:rsid w:val="6F581F47"/>
    <w:rsid w:val="6F5B0D5A"/>
    <w:rsid w:val="6F5C35EA"/>
    <w:rsid w:val="6F63625D"/>
    <w:rsid w:val="6F6B6A15"/>
    <w:rsid w:val="6F900E4F"/>
    <w:rsid w:val="6F947E4B"/>
    <w:rsid w:val="6FA30BDA"/>
    <w:rsid w:val="6FB21D4C"/>
    <w:rsid w:val="6FB80698"/>
    <w:rsid w:val="6FFD5E0F"/>
    <w:rsid w:val="701021F4"/>
    <w:rsid w:val="701C29A6"/>
    <w:rsid w:val="7024611F"/>
    <w:rsid w:val="7038498C"/>
    <w:rsid w:val="70637B96"/>
    <w:rsid w:val="70797317"/>
    <w:rsid w:val="707E201F"/>
    <w:rsid w:val="708446DD"/>
    <w:rsid w:val="7099044B"/>
    <w:rsid w:val="709A06E1"/>
    <w:rsid w:val="709D518F"/>
    <w:rsid w:val="70B76860"/>
    <w:rsid w:val="70C759D3"/>
    <w:rsid w:val="70CD7E32"/>
    <w:rsid w:val="70CF2B23"/>
    <w:rsid w:val="70D70CB1"/>
    <w:rsid w:val="70D80585"/>
    <w:rsid w:val="70FA674D"/>
    <w:rsid w:val="710952C1"/>
    <w:rsid w:val="713954C7"/>
    <w:rsid w:val="713A7A58"/>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1F45CF"/>
    <w:rsid w:val="72310D1A"/>
    <w:rsid w:val="72323CC5"/>
    <w:rsid w:val="725D6B54"/>
    <w:rsid w:val="72986FA0"/>
    <w:rsid w:val="72A17C99"/>
    <w:rsid w:val="72A2709C"/>
    <w:rsid w:val="72A5093A"/>
    <w:rsid w:val="72AD48FD"/>
    <w:rsid w:val="72AD7197"/>
    <w:rsid w:val="72AF6F7E"/>
    <w:rsid w:val="72BD2C86"/>
    <w:rsid w:val="72CD226C"/>
    <w:rsid w:val="72D27981"/>
    <w:rsid w:val="72E235EE"/>
    <w:rsid w:val="73047407"/>
    <w:rsid w:val="73047904"/>
    <w:rsid w:val="731A4E85"/>
    <w:rsid w:val="73253EFA"/>
    <w:rsid w:val="7335373B"/>
    <w:rsid w:val="73353A6C"/>
    <w:rsid w:val="734C1A6A"/>
    <w:rsid w:val="735663B7"/>
    <w:rsid w:val="735C5949"/>
    <w:rsid w:val="73671287"/>
    <w:rsid w:val="73737DA5"/>
    <w:rsid w:val="73740A39"/>
    <w:rsid w:val="73783823"/>
    <w:rsid w:val="73887B3E"/>
    <w:rsid w:val="73892412"/>
    <w:rsid w:val="739169EA"/>
    <w:rsid w:val="73AB01D2"/>
    <w:rsid w:val="73AF2114"/>
    <w:rsid w:val="73AF381F"/>
    <w:rsid w:val="73B76B77"/>
    <w:rsid w:val="73E96BCA"/>
    <w:rsid w:val="73EE4A6E"/>
    <w:rsid w:val="741048BC"/>
    <w:rsid w:val="74277CCB"/>
    <w:rsid w:val="742E78D4"/>
    <w:rsid w:val="74317498"/>
    <w:rsid w:val="74335A84"/>
    <w:rsid w:val="743A6A13"/>
    <w:rsid w:val="744F0B5E"/>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93FF5"/>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9C7EA3"/>
    <w:rsid w:val="76A53BED"/>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553F8B"/>
    <w:rsid w:val="786778FE"/>
    <w:rsid w:val="789D588A"/>
    <w:rsid w:val="78B65E3A"/>
    <w:rsid w:val="78E0091E"/>
    <w:rsid w:val="78EE1C79"/>
    <w:rsid w:val="78F85605"/>
    <w:rsid w:val="78FA66FA"/>
    <w:rsid w:val="79345B6A"/>
    <w:rsid w:val="79424F6E"/>
    <w:rsid w:val="794E03ED"/>
    <w:rsid w:val="795F3706"/>
    <w:rsid w:val="797239CC"/>
    <w:rsid w:val="797F54AB"/>
    <w:rsid w:val="79831473"/>
    <w:rsid w:val="79983E9C"/>
    <w:rsid w:val="7999527A"/>
    <w:rsid w:val="79A731EA"/>
    <w:rsid w:val="79AF76C5"/>
    <w:rsid w:val="79C25EE1"/>
    <w:rsid w:val="79CE2967"/>
    <w:rsid w:val="79E30EE8"/>
    <w:rsid w:val="79E34934"/>
    <w:rsid w:val="79EA664C"/>
    <w:rsid w:val="79F9627A"/>
    <w:rsid w:val="79FF6948"/>
    <w:rsid w:val="7A044199"/>
    <w:rsid w:val="7A0657CF"/>
    <w:rsid w:val="7A2F3BBF"/>
    <w:rsid w:val="7A2F459A"/>
    <w:rsid w:val="7A322A39"/>
    <w:rsid w:val="7A3525A4"/>
    <w:rsid w:val="7A517022"/>
    <w:rsid w:val="7A6F5001"/>
    <w:rsid w:val="7A7720A0"/>
    <w:rsid w:val="7A925C48"/>
    <w:rsid w:val="7A9635B3"/>
    <w:rsid w:val="7AA2343E"/>
    <w:rsid w:val="7AD60EB8"/>
    <w:rsid w:val="7ADA73A4"/>
    <w:rsid w:val="7AE66B99"/>
    <w:rsid w:val="7AF34646"/>
    <w:rsid w:val="7AFE508C"/>
    <w:rsid w:val="7B0A3BCA"/>
    <w:rsid w:val="7B1C0EF4"/>
    <w:rsid w:val="7B345AA9"/>
    <w:rsid w:val="7B3A1CA3"/>
    <w:rsid w:val="7B4048C1"/>
    <w:rsid w:val="7B4C5DF7"/>
    <w:rsid w:val="7B576EF9"/>
    <w:rsid w:val="7B676107"/>
    <w:rsid w:val="7B73082F"/>
    <w:rsid w:val="7B7B492E"/>
    <w:rsid w:val="7B9A3D1D"/>
    <w:rsid w:val="7BB46FBD"/>
    <w:rsid w:val="7BC62E00"/>
    <w:rsid w:val="7BC73B55"/>
    <w:rsid w:val="7BC82AD2"/>
    <w:rsid w:val="7BD52290"/>
    <w:rsid w:val="7BE35E2A"/>
    <w:rsid w:val="7BF24BF0"/>
    <w:rsid w:val="7BF538C2"/>
    <w:rsid w:val="7BF66C24"/>
    <w:rsid w:val="7BFA1CC7"/>
    <w:rsid w:val="7BFB70B3"/>
    <w:rsid w:val="7C0251DA"/>
    <w:rsid w:val="7C0C0E4A"/>
    <w:rsid w:val="7C0E41D1"/>
    <w:rsid w:val="7C1052F2"/>
    <w:rsid w:val="7C1D7794"/>
    <w:rsid w:val="7C21292C"/>
    <w:rsid w:val="7C2462EE"/>
    <w:rsid w:val="7C2668D9"/>
    <w:rsid w:val="7C32497F"/>
    <w:rsid w:val="7C354AA2"/>
    <w:rsid w:val="7C3C69AE"/>
    <w:rsid w:val="7C422690"/>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0373A"/>
    <w:rsid w:val="7D475E29"/>
    <w:rsid w:val="7D480B34"/>
    <w:rsid w:val="7D4A6C58"/>
    <w:rsid w:val="7D777A3E"/>
    <w:rsid w:val="7D7C2435"/>
    <w:rsid w:val="7D9005BC"/>
    <w:rsid w:val="7D9F0AD0"/>
    <w:rsid w:val="7DB22BDF"/>
    <w:rsid w:val="7DD12BB7"/>
    <w:rsid w:val="7DF223A2"/>
    <w:rsid w:val="7DFF0955"/>
    <w:rsid w:val="7E0B750E"/>
    <w:rsid w:val="7E1939E8"/>
    <w:rsid w:val="7E2400E7"/>
    <w:rsid w:val="7E2822EA"/>
    <w:rsid w:val="7E2A20CE"/>
    <w:rsid w:val="7E325778"/>
    <w:rsid w:val="7E355A7B"/>
    <w:rsid w:val="7E455322"/>
    <w:rsid w:val="7E682F48"/>
    <w:rsid w:val="7E6E3E85"/>
    <w:rsid w:val="7E747B3F"/>
    <w:rsid w:val="7E991353"/>
    <w:rsid w:val="7E9B5353"/>
    <w:rsid w:val="7E9C184B"/>
    <w:rsid w:val="7EA72948"/>
    <w:rsid w:val="7EB31EDB"/>
    <w:rsid w:val="7EC16AFC"/>
    <w:rsid w:val="7ED61132"/>
    <w:rsid w:val="7EE70CC0"/>
    <w:rsid w:val="7EEB48DB"/>
    <w:rsid w:val="7EF27444"/>
    <w:rsid w:val="7F185A04"/>
    <w:rsid w:val="7F1D01D6"/>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link w:val="97"/>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after="290" w:line="372" w:lineRule="auto"/>
      <w:outlineLvl w:val="4"/>
    </w:pPr>
    <w:rPr>
      <w:b/>
      <w:sz w:val="28"/>
    </w:r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link w:val="98"/>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widowControl/>
      <w:snapToGrid w:val="0"/>
      <w:spacing w:line="360" w:lineRule="auto"/>
      <w:ind w:firstLine="420" w:firstLineChars="200"/>
      <w:jc w:val="center"/>
    </w:pPr>
    <w:rPr>
      <w:rFonts w:ascii="宋体" w:hAnsi="宋体" w:cs="宋体"/>
      <w:color w:val="EE0000"/>
      <w:kern w:val="0"/>
      <w:szCs w:val="21"/>
      <w:shd w:val="clear" w:color="auto" w:fill="FFFFFF"/>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link w:val="99"/>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字符"/>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字符"/>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character" w:customStyle="1" w:styleId="97">
    <w:name w:val="标题 2 字符"/>
    <w:basedOn w:val="36"/>
    <w:link w:val="8"/>
    <w:qFormat/>
    <w:uiPriority w:val="0"/>
    <w:rPr>
      <w:rFonts w:ascii="Arial" w:hAnsi="Arial" w:eastAsia="黑体"/>
      <w:b/>
      <w:bCs/>
      <w:kern w:val="2"/>
      <w:sz w:val="32"/>
      <w:szCs w:val="32"/>
    </w:rPr>
  </w:style>
  <w:style w:type="character" w:customStyle="1" w:styleId="98">
    <w:name w:val="纯文本 字符"/>
    <w:basedOn w:val="36"/>
    <w:link w:val="20"/>
    <w:qFormat/>
    <w:uiPriority w:val="0"/>
    <w:rPr>
      <w:rFonts w:ascii="宋体" w:hAnsi="宋体" w:cs="宋体"/>
      <w:sz w:val="24"/>
      <w:szCs w:val="24"/>
    </w:rPr>
  </w:style>
  <w:style w:type="character" w:customStyle="1" w:styleId="99">
    <w:name w:val="正文文本首行缩进 字符"/>
    <w:basedOn w:val="75"/>
    <w:link w:val="33"/>
    <w:qFormat/>
    <w:uiPriority w:val="0"/>
    <w:rPr>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16533</Words>
  <Characters>17287</Characters>
  <Lines>138</Lines>
  <Paragraphs>39</Paragraphs>
  <TotalTime>0</TotalTime>
  <ScaleCrop>false</ScaleCrop>
  <LinksUpToDate>false</LinksUpToDate>
  <CharactersWithSpaces>18299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2025-10-29T01:30:00Z</dcterms:created>
  <dc:creator>微软用户</dc:creator>
  <cp:lastModifiedBy>枫玲儿</cp:lastModifiedBy>
  <cp:lastPrinted>2021-09-30T00:46:00Z</cp:lastPrinted>
  <dcterms:modified xsi:type="dcterms:W3CDTF">2026-01-19T04:27:35Z</dcterms:modified>
  <dc:title>驻马店市政府采购货物项目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C2773EA5103D4840AD6F6B7852053524_13</vt:lpwstr>
  </property>
  <property fmtid="{D5CDD505-2E9C-101B-9397-08002B2CF9AE}" pid="4" name="KSOTemplateDocerSaveRecord">
    <vt:lpwstr>eyJoZGlkIjoiYzIwMjRmYTY4OTJhZjc1NTA1MGQwNDc0NzZhNTkwMmUiLCJ1c2VySWQiOiIxNjg0NTc5MjM2In0=</vt:lpwstr>
  </property>
</Properties>
</file>