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18AA1A">
      <w:pPr>
        <w:pStyle w:val="20"/>
        <w:widowControl w:val="0"/>
        <w:spacing w:before="156" w:beforeLines="50"/>
        <w:jc w:val="center"/>
        <w:rPr>
          <w:rFonts w:hint="eastAsia"/>
          <w:b/>
          <w:bCs/>
          <w:sz w:val="48"/>
          <w:szCs w:val="48"/>
        </w:rPr>
      </w:pPr>
      <w:bookmarkStart w:id="0" w:name="_Toc22953395"/>
      <w:bookmarkEnd w:id="0"/>
      <w:bookmarkStart w:id="1" w:name="_Toc22804073"/>
      <w:bookmarkEnd w:id="1"/>
    </w:p>
    <w:p w14:paraId="5E42937E">
      <w:pPr>
        <w:pStyle w:val="20"/>
        <w:jc w:val="center"/>
        <w:rPr>
          <w:rStyle w:val="44"/>
          <w:rFonts w:hint="eastAsia"/>
          <w:b/>
          <w:bCs/>
          <w:color w:val="auto"/>
          <w:sz w:val="48"/>
          <w:szCs w:val="48"/>
        </w:rPr>
      </w:pPr>
      <w:bookmarkStart w:id="104" w:name="_GoBack"/>
      <w:r>
        <w:rPr>
          <w:rFonts w:hint="eastAsia"/>
          <w:b/>
          <w:bCs/>
          <w:sz w:val="44"/>
          <w:szCs w:val="44"/>
        </w:rPr>
        <w:t>驻马店市中心医院病房改造提升项目初步设计</w:t>
      </w:r>
      <w:bookmarkEnd w:id="104"/>
    </w:p>
    <w:p w14:paraId="3B211FC4">
      <w:pPr>
        <w:pStyle w:val="20"/>
        <w:jc w:val="center"/>
        <w:rPr>
          <w:rStyle w:val="44"/>
          <w:rFonts w:hint="eastAsia"/>
          <w:b/>
          <w:bCs/>
          <w:color w:val="auto"/>
          <w:sz w:val="48"/>
          <w:szCs w:val="48"/>
        </w:rPr>
      </w:pPr>
    </w:p>
    <w:p w14:paraId="00CC77A0">
      <w:pPr>
        <w:pStyle w:val="20"/>
        <w:jc w:val="center"/>
        <w:rPr>
          <w:rStyle w:val="44"/>
          <w:rFonts w:hint="eastAsia"/>
          <w:b/>
          <w:bCs/>
          <w:color w:val="auto"/>
          <w:sz w:val="44"/>
          <w:szCs w:val="44"/>
        </w:rPr>
      </w:pPr>
      <w:r>
        <w:rPr>
          <w:rStyle w:val="44"/>
          <w:rFonts w:hint="eastAsia"/>
          <w:b/>
          <w:bCs/>
          <w:color w:val="auto"/>
          <w:sz w:val="44"/>
          <w:szCs w:val="44"/>
        </w:rPr>
        <w:t>竞争性磋商文件</w:t>
      </w:r>
    </w:p>
    <w:p w14:paraId="3F15EB4C">
      <w:pPr>
        <w:tabs>
          <w:tab w:val="left" w:pos="2700"/>
          <w:tab w:val="left" w:pos="2880"/>
          <w:tab w:val="left" w:pos="3060"/>
          <w:tab w:val="left" w:pos="7560"/>
        </w:tabs>
        <w:snapToGrid w:val="0"/>
        <w:spacing w:line="360" w:lineRule="auto"/>
        <w:rPr>
          <w:rFonts w:hint="eastAsia" w:ascii="宋体" w:hAnsi="宋体" w:cs="宋体"/>
          <w:b/>
          <w:bCs/>
          <w:spacing w:val="-10"/>
          <w:sz w:val="34"/>
          <w:szCs w:val="34"/>
        </w:rPr>
      </w:pPr>
    </w:p>
    <w:p w14:paraId="46F0A8F6">
      <w:pPr>
        <w:pStyle w:val="6"/>
        <w:rPr>
          <w:rFonts w:hint="eastAsia" w:ascii="宋体" w:hAnsi="宋体" w:eastAsia="宋体" w:cs="宋体"/>
          <w:spacing w:val="-10"/>
          <w:sz w:val="34"/>
          <w:szCs w:val="34"/>
        </w:rPr>
      </w:pPr>
    </w:p>
    <w:p w14:paraId="198ECF52">
      <w:pPr>
        <w:rPr>
          <w:rFonts w:hint="eastAsia" w:ascii="宋体" w:hAnsi="宋体" w:cs="宋体"/>
          <w:b/>
          <w:bCs/>
          <w:spacing w:val="-10"/>
          <w:sz w:val="34"/>
          <w:szCs w:val="34"/>
        </w:rPr>
      </w:pPr>
    </w:p>
    <w:p w14:paraId="16B42A20">
      <w:pPr>
        <w:rPr>
          <w:rFonts w:hint="eastAsia" w:ascii="宋体" w:hAnsi="宋体" w:cs="宋体"/>
          <w:b/>
          <w:bCs/>
          <w:spacing w:val="-10"/>
          <w:sz w:val="34"/>
          <w:szCs w:val="34"/>
        </w:rPr>
      </w:pPr>
    </w:p>
    <w:p w14:paraId="18C0BCFB">
      <w:pPr>
        <w:rPr>
          <w:rFonts w:hint="eastAsia" w:ascii="宋体" w:hAnsi="宋体" w:cs="宋体"/>
          <w:b/>
          <w:bCs/>
          <w:spacing w:val="-10"/>
          <w:sz w:val="34"/>
          <w:szCs w:val="34"/>
        </w:rPr>
      </w:pPr>
    </w:p>
    <w:p w14:paraId="351EBB3B">
      <w:pPr>
        <w:rPr>
          <w:rFonts w:hint="eastAsia" w:ascii="宋体" w:hAnsi="宋体" w:cs="宋体"/>
          <w:b/>
          <w:bCs/>
          <w:spacing w:val="-10"/>
          <w:sz w:val="34"/>
          <w:szCs w:val="34"/>
        </w:rPr>
      </w:pPr>
    </w:p>
    <w:p w14:paraId="77019C4C"/>
    <w:p w14:paraId="13D615F5">
      <w:pPr>
        <w:snapToGrid w:val="0"/>
        <w:spacing w:line="380" w:lineRule="exact"/>
        <w:jc w:val="center"/>
        <w:rPr>
          <w:rFonts w:hint="eastAsia" w:ascii="宋体" w:hAnsi="宋体" w:cs="宋体"/>
          <w:b/>
          <w:sz w:val="32"/>
          <w:szCs w:val="32"/>
        </w:rPr>
      </w:pPr>
    </w:p>
    <w:p w14:paraId="171525B5">
      <w:pPr>
        <w:pStyle w:val="31"/>
        <w:ind w:firstLine="210"/>
        <w:rPr>
          <w:rFonts w:hint="eastAsia" w:ascii="宋体" w:hAnsi="宋体" w:cs="宋体"/>
        </w:rPr>
      </w:pPr>
    </w:p>
    <w:p w14:paraId="21545218">
      <w:pPr>
        <w:pStyle w:val="62"/>
        <w:rPr>
          <w:rFonts w:hint="eastAsia" w:ascii="宋体" w:hAnsi="宋体" w:cs="宋体"/>
          <w:bCs/>
          <w:sz w:val="2"/>
          <w:szCs w:val="2"/>
        </w:rPr>
      </w:pPr>
    </w:p>
    <w:p w14:paraId="3ADE252E">
      <w:pPr>
        <w:rPr>
          <w:rFonts w:hint="eastAsia" w:ascii="宋体" w:hAnsi="宋体" w:cs="宋体"/>
          <w:bCs/>
          <w:sz w:val="2"/>
          <w:szCs w:val="2"/>
        </w:rPr>
      </w:pPr>
    </w:p>
    <w:p w14:paraId="774533F8">
      <w:pPr>
        <w:spacing w:line="20" w:lineRule="exact"/>
        <w:rPr>
          <w:rFonts w:hint="eastAsia" w:ascii="宋体" w:hAnsi="宋体" w:cs="宋体"/>
          <w:bCs/>
          <w:sz w:val="2"/>
          <w:szCs w:val="2"/>
        </w:rPr>
      </w:pPr>
    </w:p>
    <w:p w14:paraId="34E79E44">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采   购   人：驻马店市中心医院</w:t>
      </w:r>
    </w:p>
    <w:p w14:paraId="34AF6335">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采购代理机构：中基建安工程管理有限公司</w:t>
      </w:r>
    </w:p>
    <w:p w14:paraId="477DAD30">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rPr>
      </w:pPr>
      <w:r>
        <w:rPr>
          <w:rFonts w:hint="eastAsia" w:ascii="宋体" w:hAnsi="宋体" w:cs="宋体"/>
          <w:b/>
          <w:bCs/>
          <w:spacing w:val="-10"/>
          <w:sz w:val="34"/>
          <w:szCs w:val="34"/>
        </w:rPr>
        <w:t>日        期：2025年1</w:t>
      </w:r>
      <w:r>
        <w:rPr>
          <w:rFonts w:hint="eastAsia" w:ascii="宋体" w:hAnsi="宋体" w:cs="宋体"/>
          <w:b/>
          <w:bCs/>
          <w:spacing w:val="-10"/>
          <w:sz w:val="34"/>
          <w:szCs w:val="34"/>
          <w:lang w:val="en-US" w:eastAsia="zh-CN"/>
        </w:rPr>
        <w:t>1</w:t>
      </w:r>
      <w:r>
        <w:rPr>
          <w:rFonts w:hint="eastAsia" w:ascii="宋体" w:hAnsi="宋体" w:cs="宋体"/>
          <w:b/>
          <w:bCs/>
          <w:spacing w:val="-10"/>
          <w:sz w:val="34"/>
          <w:szCs w:val="34"/>
        </w:rPr>
        <w:t>月</w:t>
      </w:r>
    </w:p>
    <w:p w14:paraId="3B69E879">
      <w:pPr>
        <w:pStyle w:val="6"/>
        <w:spacing w:before="0" w:after="0" w:line="240" w:lineRule="auto"/>
        <w:ind w:firstLine="2891" w:firstLineChars="800"/>
        <w:rPr>
          <w:rFonts w:hint="eastAsia" w:ascii="宋体" w:hAnsi="宋体" w:eastAsia="宋体" w:cs="宋体"/>
          <w:sz w:val="36"/>
          <w:szCs w:val="36"/>
        </w:rPr>
      </w:pPr>
    </w:p>
    <w:p w14:paraId="69084238">
      <w:pPr>
        <w:sectPr>
          <w:pgSz w:w="11923" w:h="16838"/>
          <w:pgMar w:top="1440" w:right="1080" w:bottom="1440" w:left="1080" w:header="720" w:footer="720" w:gutter="0"/>
          <w:pgNumType w:start="1"/>
          <w:cols w:space="720" w:num="1"/>
          <w:docGrid w:type="lines" w:linePitch="312" w:charSpace="0"/>
        </w:sectPr>
      </w:pPr>
    </w:p>
    <w:p w14:paraId="7CE15D7E">
      <w:pPr>
        <w:rPr>
          <w:rFonts w:hint="eastAsia" w:ascii="宋体" w:hAnsi="宋体" w:cs="宋体"/>
          <w:bCs/>
          <w:sz w:val="24"/>
        </w:rPr>
      </w:pPr>
    </w:p>
    <w:p w14:paraId="6CCCB457">
      <w:pPr>
        <w:jc w:val="center"/>
        <w:rPr>
          <w:rFonts w:hint="eastAsia" w:ascii="宋体" w:hAnsi="宋体" w:cs="宋体"/>
          <w:b/>
          <w:bCs/>
          <w:sz w:val="36"/>
          <w:szCs w:val="36"/>
        </w:rPr>
      </w:pPr>
      <w:r>
        <w:rPr>
          <w:rFonts w:hint="eastAsia" w:ascii="宋体" w:hAnsi="宋体" w:cs="宋体"/>
          <w:b/>
          <w:bCs/>
          <w:sz w:val="36"/>
          <w:szCs w:val="36"/>
        </w:rPr>
        <w:t>目录</w:t>
      </w:r>
    </w:p>
    <w:p w14:paraId="042F5A55">
      <w:pPr>
        <w:pStyle w:val="56"/>
        <w:rPr>
          <w:rFonts w:hint="eastAsia"/>
          <w:color w:val="auto"/>
        </w:rPr>
      </w:pPr>
    </w:p>
    <w:p w14:paraId="27A91193">
      <w:pPr>
        <w:pStyle w:val="24"/>
        <w:tabs>
          <w:tab w:val="right" w:leader="dot" w:pos="8958"/>
        </w:tabs>
        <w:spacing w:line="500" w:lineRule="exact"/>
        <w:rPr>
          <w:rFonts w:hint="eastAsia"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"_Toc26528" </w:instrText>
      </w:r>
      <w:r>
        <w:fldChar w:fldCharType="separate"/>
      </w:r>
      <w:r>
        <w:rPr>
          <w:rFonts w:hint="eastAsia" w:ascii="宋体" w:hAnsi="宋体" w:cs="宋体"/>
          <w:szCs w:val="32"/>
        </w:rPr>
        <w:t>第一章  竞争性磋商公告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_Toc26528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cs="宋体"/>
        </w:rPr>
        <w:fldChar w:fldCharType="end"/>
      </w:r>
    </w:p>
    <w:p w14:paraId="1C13EBB4">
      <w:pPr>
        <w:pStyle w:val="24"/>
        <w:tabs>
          <w:tab w:val="right" w:leader="dot" w:pos="8958"/>
        </w:tabs>
        <w:spacing w:line="500" w:lineRule="exact"/>
        <w:rPr>
          <w:rFonts w:hint="eastAsia" w:ascii="宋体" w:hAnsi="宋体" w:cs="宋体"/>
        </w:rPr>
      </w:pPr>
      <w:r>
        <w:fldChar w:fldCharType="begin"/>
      </w:r>
      <w:r>
        <w:instrText xml:space="preserve"> HYPERLINK \l "_Toc19124"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_Toc19124 \h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14:paraId="43460DD1">
      <w:pPr>
        <w:pStyle w:val="24"/>
        <w:tabs>
          <w:tab w:val="right" w:leader="dot" w:pos="8958"/>
        </w:tabs>
        <w:spacing w:line="500" w:lineRule="exact"/>
        <w:rPr>
          <w:rFonts w:hint="eastAsia" w:ascii="宋体" w:hAnsi="宋体" w:cs="宋体"/>
        </w:rPr>
      </w:pPr>
      <w:r>
        <w:fldChar w:fldCharType="begin"/>
      </w:r>
      <w:r>
        <w:instrText xml:space="preserve"> HYPERLINK \l "_Toc8501"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_Toc8501 \h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cs="宋体"/>
        </w:rPr>
        <w:fldChar w:fldCharType="end"/>
      </w:r>
    </w:p>
    <w:p w14:paraId="718CD1F5">
      <w:pPr>
        <w:pStyle w:val="24"/>
        <w:tabs>
          <w:tab w:val="right" w:leader="dot" w:pos="8958"/>
        </w:tabs>
        <w:spacing w:line="500" w:lineRule="exact"/>
        <w:rPr>
          <w:rFonts w:hint="eastAsia" w:ascii="宋体" w:hAnsi="宋体" w:cs="宋体"/>
        </w:rPr>
      </w:pPr>
      <w:r>
        <w:fldChar w:fldCharType="begin"/>
      </w:r>
      <w:r>
        <w:instrText xml:space="preserve"> HYPERLINK \l "_Toc31399"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_Toc31399 \h </w:instrText>
      </w:r>
      <w:r>
        <w:rPr>
          <w:rFonts w:hint="eastAsia" w:ascii="宋体" w:hAnsi="宋体" w:cs="宋体"/>
        </w:rPr>
        <w:fldChar w:fldCharType="separate"/>
      </w:r>
      <w:r>
        <w:rPr>
          <w:rFonts w:hint="eastAsia" w:ascii="宋体" w:hAnsi="宋体" w:cs="宋体"/>
        </w:rPr>
        <w:t>22</w:t>
      </w:r>
      <w:r>
        <w:rPr>
          <w:rFonts w:hint="eastAsia" w:ascii="宋体" w:hAnsi="宋体" w:cs="宋体"/>
        </w:rPr>
        <w:fldChar w:fldCharType="end"/>
      </w:r>
      <w:r>
        <w:rPr>
          <w:rFonts w:hint="eastAsia" w:ascii="宋体" w:hAnsi="宋体" w:cs="宋体"/>
        </w:rPr>
        <w:fldChar w:fldCharType="end"/>
      </w:r>
    </w:p>
    <w:p w14:paraId="425F8556">
      <w:pPr>
        <w:pStyle w:val="24"/>
        <w:tabs>
          <w:tab w:val="right" w:leader="dot" w:pos="8958"/>
        </w:tabs>
        <w:spacing w:line="500" w:lineRule="exact"/>
        <w:rPr>
          <w:rFonts w:hint="eastAsia" w:ascii="宋体" w:hAnsi="宋体" w:cs="宋体"/>
        </w:rPr>
      </w:pPr>
      <w:r>
        <w:fldChar w:fldCharType="begin"/>
      </w:r>
      <w:r>
        <w:instrText xml:space="preserve"> HYPERLINK \l "_Toc11904"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_Toc11904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14:paraId="658B0C48">
      <w:pPr>
        <w:pStyle w:val="24"/>
        <w:tabs>
          <w:tab w:val="right" w:leader="dot" w:pos="8958"/>
        </w:tabs>
        <w:spacing w:line="500" w:lineRule="exact"/>
      </w:pPr>
      <w:r>
        <w:fldChar w:fldCharType="begin"/>
      </w:r>
      <w:r>
        <w:instrText xml:space="preserve"> HYPERLINK \l "_Toc18702"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_Toc18702 \h </w:instrText>
      </w:r>
      <w:r>
        <w:rPr>
          <w:rFonts w:hint="eastAsia" w:ascii="宋体" w:hAnsi="宋体" w:cs="宋体"/>
        </w:rPr>
        <w:fldChar w:fldCharType="separate"/>
      </w:r>
      <w:r>
        <w:rPr>
          <w:rFonts w:hint="eastAsia" w:ascii="宋体" w:hAnsi="宋体" w:cs="宋体"/>
        </w:rPr>
        <w:t>25</w:t>
      </w:r>
      <w:r>
        <w:rPr>
          <w:rFonts w:hint="eastAsia" w:ascii="宋体" w:hAnsi="宋体" w:cs="宋体"/>
        </w:rPr>
        <w:fldChar w:fldCharType="end"/>
      </w:r>
      <w:r>
        <w:rPr>
          <w:rFonts w:hint="eastAsia" w:ascii="宋体" w:hAnsi="宋体" w:cs="宋体"/>
        </w:rPr>
        <w:fldChar w:fldCharType="end"/>
      </w:r>
    </w:p>
    <w:p w14:paraId="22631068">
      <w:pPr>
        <w:pStyle w:val="86"/>
        <w:tabs>
          <w:tab w:val="right" w:leader="dot" w:pos="8300"/>
        </w:tabs>
        <w:snapToGrid w:val="0"/>
        <w:spacing w:line="360" w:lineRule="auto"/>
        <w:rPr>
          <w:rFonts w:hint="eastAsia" w:ascii="宋体" w:hAnsi="宋体" w:cs="宋体"/>
          <w:sz w:val="32"/>
          <w:szCs w:val="32"/>
        </w:rPr>
      </w:pPr>
      <w:r>
        <w:rPr>
          <w:rFonts w:hint="eastAsia" w:ascii="宋体" w:hAnsi="宋体" w:cs="宋体"/>
          <w:bCs/>
          <w:szCs w:val="32"/>
        </w:rPr>
        <w:fldChar w:fldCharType="end"/>
      </w:r>
    </w:p>
    <w:p w14:paraId="4D792EFC">
      <w:pPr>
        <w:spacing w:line="440" w:lineRule="exact"/>
        <w:rPr>
          <w:rFonts w:hint="eastAsia" w:ascii="宋体" w:hAnsi="宋体" w:cs="宋体"/>
          <w:b/>
          <w:sz w:val="32"/>
          <w:szCs w:val="32"/>
        </w:rPr>
      </w:pPr>
    </w:p>
    <w:p w14:paraId="3D0C6525">
      <w:pPr>
        <w:spacing w:line="360" w:lineRule="auto"/>
        <w:ind w:firstLine="2409" w:firstLineChars="600"/>
        <w:rPr>
          <w:rFonts w:hint="eastAsia"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1F910FFD">
      <w:pPr>
        <w:spacing w:line="360" w:lineRule="auto"/>
        <w:jc w:val="center"/>
        <w:outlineLvl w:val="0"/>
        <w:rPr>
          <w:rFonts w:hint="eastAsia" w:ascii="宋体" w:hAnsi="宋体" w:cs="宋体"/>
          <w:b/>
          <w:sz w:val="32"/>
          <w:szCs w:val="32"/>
        </w:rPr>
      </w:pPr>
      <w:bookmarkStart w:id="2" w:name="_Toc26528"/>
      <w:r>
        <w:rPr>
          <w:rFonts w:hint="eastAsia" w:ascii="宋体" w:hAnsi="宋体" w:cs="宋体"/>
          <w:b/>
          <w:sz w:val="32"/>
          <w:szCs w:val="32"/>
        </w:rPr>
        <w:t>第一章  竞争性磋商公告</w:t>
      </w:r>
      <w:bookmarkEnd w:id="2"/>
    </w:p>
    <w:p w14:paraId="1B1F24B2">
      <w:pPr>
        <w:widowControl/>
        <w:adjustRightInd w:val="0"/>
        <w:snapToGrid w:val="0"/>
        <w:spacing w:line="324" w:lineRule="auto"/>
        <w:jc w:val="center"/>
        <w:rPr>
          <w:rFonts w:hint="eastAsia" w:ascii="宋体" w:hAnsi="宋体" w:cs="宋体"/>
          <w:b/>
          <w:kern w:val="0"/>
          <w:sz w:val="28"/>
          <w:szCs w:val="28"/>
        </w:rPr>
      </w:pPr>
      <w:r>
        <w:rPr>
          <w:rFonts w:hint="eastAsia" w:ascii="宋体" w:hAnsi="宋体" w:cs="宋体"/>
          <w:b/>
          <w:kern w:val="0"/>
          <w:sz w:val="28"/>
          <w:szCs w:val="28"/>
        </w:rPr>
        <w:t>驻马店市中心医院病房改造提升项目初步设计竞争性磋商公告</w:t>
      </w:r>
    </w:p>
    <w:p w14:paraId="14CF7498">
      <w:pPr>
        <w:snapToGrid w:val="0"/>
        <w:spacing w:line="324" w:lineRule="auto"/>
        <w:ind w:firstLine="420" w:firstLineChars="200"/>
        <w:rPr>
          <w:rFonts w:hint="eastAsia" w:ascii="宋体" w:hAnsi="宋体" w:cs="宋体"/>
          <w:szCs w:val="21"/>
        </w:rPr>
      </w:pPr>
      <w:r>
        <w:rPr>
          <w:rFonts w:hint="eastAsia" w:ascii="宋体" w:hAnsi="宋体" w:cs="宋体"/>
        </w:rPr>
        <w:t>驻马店市中心医院现对</w:t>
      </w:r>
      <w:r>
        <w:rPr>
          <w:rFonts w:hint="eastAsia" w:ascii="宋体" w:hAnsi="宋体" w:cs="宋体"/>
          <w:u w:val="single"/>
        </w:rPr>
        <w:t>驻马店市中心医院病房改造提升项目初步设计</w:t>
      </w:r>
      <w:r>
        <w:rPr>
          <w:rFonts w:hint="eastAsia" w:ascii="宋体" w:hAnsi="宋体" w:cs="宋体"/>
        </w:rPr>
        <w:t>进行院内竞争性磋商，欢迎符合资格条件的供应商前来报名并</w:t>
      </w:r>
      <w:r>
        <w:rPr>
          <w:rFonts w:hint="eastAsia" w:ascii="宋体" w:hAnsi="宋体" w:cs="宋体"/>
          <w:szCs w:val="21"/>
        </w:rPr>
        <w:t>获取竞争性磋商文件。</w:t>
      </w:r>
    </w:p>
    <w:p w14:paraId="75B899F9">
      <w:pPr>
        <w:widowControl/>
        <w:snapToGrid w:val="0"/>
        <w:spacing w:line="324" w:lineRule="auto"/>
        <w:jc w:val="left"/>
        <w:outlineLvl w:val="1"/>
        <w:rPr>
          <w:rFonts w:hint="eastAsia" w:ascii="宋体" w:hAnsi="宋体" w:cs="宋体"/>
          <w:b/>
          <w:bCs/>
          <w:szCs w:val="21"/>
          <w:shd w:val="clear" w:color="auto" w:fill="FFFFFF"/>
        </w:rPr>
      </w:pPr>
      <w:r>
        <w:rPr>
          <w:rFonts w:hint="eastAsia" w:ascii="宋体" w:hAnsi="宋体" w:cs="宋体"/>
          <w:b/>
          <w:bCs/>
          <w:szCs w:val="21"/>
          <w:shd w:val="clear" w:color="auto" w:fill="FFFFFF"/>
        </w:rPr>
        <w:t>一、项目基本情况</w:t>
      </w:r>
    </w:p>
    <w:p w14:paraId="45F7CC7C">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1、项目名称：驻马店市中心医院病房改造提升项目初步设计；</w:t>
      </w:r>
    </w:p>
    <w:p w14:paraId="4E6C8198">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2、采购需求：具体详见磋商文件第二章采购需求；</w:t>
      </w:r>
    </w:p>
    <w:p w14:paraId="33B4882D">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w:t>
      </w:r>
      <w:bookmarkStart w:id="3" w:name="_Toc26725"/>
      <w:r>
        <w:rPr>
          <w:rFonts w:hint="eastAsia" w:ascii="宋体" w:hAnsi="宋体" w:cs="宋体"/>
          <w:szCs w:val="21"/>
          <w:shd w:val="clear" w:color="auto" w:fill="FFFFFF"/>
        </w:rPr>
        <w:t>、预算金额：48万元；</w:t>
      </w:r>
    </w:p>
    <w:p w14:paraId="2FD8E5A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4、服务期限：30天</w:t>
      </w:r>
    </w:p>
    <w:p w14:paraId="2EEF70E4">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5、服务质量：符合现行国家、省、市地方相关规范和标准，满足磋商文件规定标准</w:t>
      </w:r>
    </w:p>
    <w:p w14:paraId="32CAB545">
      <w:pPr>
        <w:widowControl/>
        <w:snapToGrid w:val="0"/>
        <w:spacing w:line="324" w:lineRule="auto"/>
        <w:jc w:val="left"/>
        <w:outlineLvl w:val="1"/>
        <w:rPr>
          <w:rFonts w:hint="eastAsia" w:ascii="宋体" w:hAnsi="宋体" w:cs="宋体"/>
          <w:b/>
          <w:bCs/>
          <w:szCs w:val="21"/>
          <w:shd w:val="clear" w:color="auto" w:fill="FFFFFF"/>
        </w:rPr>
      </w:pPr>
      <w:bookmarkStart w:id="4" w:name="_Toc27704"/>
      <w:bookmarkStart w:id="5" w:name="_Toc23626"/>
      <w:bookmarkStart w:id="6" w:name="_Toc16639"/>
      <w:bookmarkStart w:id="7" w:name="_Toc18607"/>
      <w:r>
        <w:rPr>
          <w:rFonts w:hint="eastAsia" w:ascii="宋体" w:hAnsi="宋体" w:cs="宋体"/>
          <w:b/>
          <w:bCs/>
          <w:szCs w:val="21"/>
          <w:shd w:val="clear" w:color="auto" w:fill="FFFFFF"/>
        </w:rPr>
        <w:t>二、</w:t>
      </w:r>
      <w:bookmarkEnd w:id="3"/>
      <w:bookmarkEnd w:id="4"/>
      <w:bookmarkEnd w:id="5"/>
      <w:bookmarkEnd w:id="6"/>
      <w:bookmarkEnd w:id="7"/>
      <w:r>
        <w:rPr>
          <w:rFonts w:hint="eastAsia" w:ascii="宋体" w:hAnsi="宋体" w:cs="宋体"/>
          <w:b/>
          <w:bCs/>
          <w:szCs w:val="21"/>
          <w:shd w:val="clear" w:color="auto" w:fill="FFFFFF"/>
        </w:rPr>
        <w:t>供应商资格要求：</w:t>
      </w:r>
    </w:p>
    <w:p w14:paraId="2598D4C3">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bookmarkStart w:id="8" w:name="_Toc9562"/>
      <w:bookmarkStart w:id="9" w:name="_Toc23395"/>
      <w:bookmarkStart w:id="10" w:name="_Toc30971"/>
      <w:bookmarkStart w:id="11" w:name="_Toc7823"/>
      <w:bookmarkStart w:id="12" w:name="_Toc30643"/>
      <w:r>
        <w:rPr>
          <w:rFonts w:hint="eastAsia" w:ascii="宋体" w:hAnsi="宋体" w:cs="宋体"/>
          <w:szCs w:val="21"/>
          <w:shd w:val="clear" w:color="auto" w:fill="FFFFFF"/>
        </w:rPr>
        <w:t>1、具有独立承担民事责任的能力（提供营业执照或其他证明材料）；</w:t>
      </w:r>
    </w:p>
    <w:p w14:paraId="7326F542">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389BDC9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4E695641">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3A1EE291">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5、参加本采购活动前三年内，在经营活动中没有重大违法记录（提供书面承诺函）；</w:t>
      </w:r>
    </w:p>
    <w:p w14:paraId="4DE69E2E">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234F2BD2">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szCs w:val="21"/>
          <w:shd w:val="clear" w:color="auto" w:fill="FFFFFF"/>
        </w:rPr>
        <w:t>7、单位负责人为同一人或</w:t>
      </w:r>
      <w:r>
        <w:rPr>
          <w:rFonts w:hint="eastAsia" w:ascii="宋体" w:hAnsi="宋体" w:cs="宋体"/>
          <w:color w:val="auto"/>
          <w:szCs w:val="21"/>
          <w:shd w:val="clear" w:color="auto" w:fill="FFFFFF"/>
        </w:rPr>
        <w:t>者存在直接控股、管理关系的不同供应商，不得参加同一合同项下的磋商（</w:t>
      </w:r>
      <w:r>
        <w:rPr>
          <w:rFonts w:hint="eastAsia" w:ascii="宋体" w:hAnsi="宋体" w:cs="宋体"/>
          <w:color w:val="auto"/>
          <w:kern w:val="0"/>
          <w:szCs w:val="21"/>
        </w:rPr>
        <w:t>提供在“国家企业信用信息公示系统”中查询的相关材料并加盖公章（需包含公司基本信息、股东信息及股权变更信息）或提供承诺函</w:t>
      </w:r>
      <w:r>
        <w:rPr>
          <w:rFonts w:hint="eastAsia" w:ascii="宋体" w:hAnsi="宋体" w:cs="宋体"/>
          <w:color w:val="auto"/>
          <w:szCs w:val="21"/>
          <w:shd w:val="clear" w:color="auto" w:fill="FFFFFF"/>
        </w:rPr>
        <w:t>）。一经发现，将导致投标同时被拒绝。</w:t>
      </w:r>
    </w:p>
    <w:p w14:paraId="2F50DA5A">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8、本项目特定资格要求：</w:t>
      </w:r>
    </w:p>
    <w:p w14:paraId="4BD577FA">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bookmarkStart w:id="13" w:name="OLE_LINK7"/>
      <w:r>
        <w:rPr>
          <w:rFonts w:hint="eastAsia" w:ascii="宋体" w:hAnsi="宋体" w:cs="宋体"/>
          <w:color w:val="auto"/>
          <w:szCs w:val="21"/>
          <w:shd w:val="clear" w:color="auto" w:fill="FFFFFF"/>
        </w:rPr>
        <w:t>供应商须具有建设行政主管部门颁发工程设计综合资质甲级或建筑行业(建筑工程)设计甲级资质，并在人员、设备、资金等方面应具有相应的设计能力；拟派项目负责人须具有一级注册建筑师执业资格。</w:t>
      </w:r>
    </w:p>
    <w:bookmarkEnd w:id="13"/>
    <w:p w14:paraId="57687E05">
      <w:pPr>
        <w:widowControl/>
        <w:tabs>
          <w:tab w:val="left" w:pos="840"/>
        </w:tabs>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9、不接受联合体磋商。</w:t>
      </w:r>
    </w:p>
    <w:p w14:paraId="5EB77B9A">
      <w:pPr>
        <w:widowControl/>
        <w:snapToGrid w:val="0"/>
        <w:spacing w:line="324" w:lineRule="auto"/>
        <w:jc w:val="left"/>
        <w:outlineLvl w:val="1"/>
        <w:rPr>
          <w:rFonts w:hint="eastAsia" w:ascii="宋体" w:hAnsi="宋体" w:cs="宋体"/>
          <w:b/>
          <w:bCs/>
          <w:color w:val="auto"/>
        </w:rPr>
      </w:pPr>
      <w:r>
        <w:rPr>
          <w:rFonts w:hint="eastAsia" w:ascii="宋体" w:hAnsi="宋体" w:cs="宋体"/>
          <w:b/>
          <w:bCs/>
          <w:color w:val="auto"/>
        </w:rPr>
        <w:t>三、获取</w:t>
      </w:r>
      <w:bookmarkEnd w:id="8"/>
      <w:bookmarkEnd w:id="9"/>
      <w:bookmarkEnd w:id="10"/>
      <w:bookmarkEnd w:id="11"/>
      <w:bookmarkEnd w:id="12"/>
      <w:r>
        <w:rPr>
          <w:rFonts w:hint="eastAsia" w:ascii="宋体" w:hAnsi="宋体" w:cs="宋体"/>
          <w:b/>
          <w:bCs/>
          <w:color w:val="auto"/>
        </w:rPr>
        <w:t>竞争性磋商文件</w:t>
      </w:r>
    </w:p>
    <w:p w14:paraId="400DB177">
      <w:pPr>
        <w:widowControl/>
        <w:adjustRightInd w:val="0"/>
        <w:snapToGrid w:val="0"/>
        <w:spacing w:line="324" w:lineRule="auto"/>
        <w:ind w:firstLine="420" w:firstLineChars="200"/>
        <w:jc w:val="left"/>
        <w:rPr>
          <w:rFonts w:hint="eastAsia" w:ascii="宋体" w:hAnsi="宋体" w:cs="宋体"/>
          <w:color w:val="auto"/>
          <w:szCs w:val="21"/>
          <w:shd w:val="clear" w:color="auto" w:fill="FFFFFF"/>
        </w:rPr>
      </w:pPr>
      <w:r>
        <w:rPr>
          <w:rFonts w:hint="eastAsia" w:ascii="宋体" w:hAnsi="宋体" w:cs="宋体"/>
          <w:color w:val="auto"/>
          <w:szCs w:val="21"/>
          <w:shd w:val="clear" w:color="auto" w:fill="FFFFFF"/>
        </w:rPr>
        <w:t>1. 报名时间：2025年</w:t>
      </w:r>
      <w:r>
        <w:rPr>
          <w:rFonts w:hint="eastAsia" w:ascii="宋体" w:hAnsi="宋体" w:cs="宋体"/>
          <w:color w:val="auto"/>
          <w:szCs w:val="21"/>
          <w:shd w:val="clear" w:color="auto" w:fill="FFFFFF"/>
          <w:lang w:val="en-US" w:eastAsia="zh-CN"/>
        </w:rPr>
        <w:t>11</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5</w:t>
      </w:r>
      <w:r>
        <w:rPr>
          <w:rFonts w:hint="eastAsia" w:ascii="宋体" w:hAnsi="宋体" w:cs="宋体"/>
          <w:color w:val="auto"/>
          <w:szCs w:val="21"/>
          <w:shd w:val="clear" w:color="auto" w:fill="FFFFFF"/>
        </w:rPr>
        <w:t>日-2025年</w:t>
      </w:r>
      <w:r>
        <w:rPr>
          <w:rFonts w:hint="eastAsia" w:ascii="宋体" w:hAnsi="宋体" w:cs="宋体"/>
          <w:color w:val="auto"/>
          <w:szCs w:val="21"/>
          <w:shd w:val="clear" w:color="auto" w:fill="FFFFFF"/>
          <w:lang w:val="en-US" w:eastAsia="zh-CN"/>
        </w:rPr>
        <w:t>11</w:t>
      </w:r>
      <w:r>
        <w:rPr>
          <w:rFonts w:hint="eastAsia" w:ascii="宋体" w:hAnsi="宋体" w:cs="宋体"/>
          <w:color w:val="auto"/>
          <w:szCs w:val="21"/>
          <w:shd w:val="clear" w:color="auto" w:fill="FFFFFF"/>
        </w:rPr>
        <w:t>月</w:t>
      </w:r>
      <w:r>
        <w:rPr>
          <w:rFonts w:hint="eastAsia" w:ascii="宋体" w:hAnsi="宋体" w:cs="宋体"/>
          <w:color w:val="auto"/>
          <w:szCs w:val="21"/>
          <w:shd w:val="clear" w:color="auto" w:fill="FFFFFF"/>
          <w:lang w:val="en-US" w:eastAsia="zh-CN"/>
        </w:rPr>
        <w:t>7</w:t>
      </w:r>
      <w:r>
        <w:rPr>
          <w:rFonts w:hint="eastAsia" w:ascii="宋体" w:hAnsi="宋体" w:cs="宋体"/>
          <w:color w:val="auto"/>
          <w:szCs w:val="21"/>
          <w:shd w:val="clear" w:color="auto" w:fill="FFFFFF"/>
        </w:rPr>
        <w:t>日，上午08：00-下午17:30（北京时间，法定节假日除外）。</w:t>
      </w:r>
    </w:p>
    <w:p w14:paraId="685DF8FF">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2. 凡报名成功的供应商无故不来参与投标的，列入我院黑名单，一年内不得参与我院任何采购活动。</w:t>
      </w:r>
    </w:p>
    <w:p w14:paraId="78263583">
      <w:pPr>
        <w:widowControl/>
        <w:wordWrap w:val="0"/>
        <w:snapToGrid w:val="0"/>
        <w:spacing w:line="324" w:lineRule="auto"/>
        <w:ind w:firstLine="420" w:firstLineChars="200"/>
        <w:jc w:val="left"/>
        <w:rPr>
          <w:rFonts w:hint="eastAsia" w:ascii="宋体" w:hAnsi="宋体" w:cs="宋体"/>
          <w:color w:val="auto"/>
          <w:kern w:val="0"/>
          <w:szCs w:val="21"/>
          <w:u w:val="single"/>
          <w:shd w:val="clear" w:color="auto" w:fill="FFFFFF"/>
        </w:rPr>
      </w:pPr>
      <w:r>
        <w:rPr>
          <w:rFonts w:hint="eastAsia" w:ascii="宋体" w:hAnsi="宋体" w:cs="宋体"/>
          <w:color w:val="auto"/>
          <w:kern w:val="0"/>
          <w:szCs w:val="21"/>
          <w:shd w:val="clear" w:color="auto" w:fill="FFFFFF"/>
        </w:rPr>
        <w:t>3. 竞争性磋商文件获取方式：供应商须把填写完整的报名登记表及本磋商公告第二项供应商资格要求中需提供加盖单位公章的相关资料扫描件按序排版为PDF格式文件，发送至以下邮箱：</w:t>
      </w:r>
      <w:r>
        <w:rPr>
          <w:color w:val="auto"/>
        </w:rPr>
        <w:fldChar w:fldCharType="begin"/>
      </w:r>
      <w:r>
        <w:rPr>
          <w:color w:val="auto"/>
        </w:rPr>
        <w:instrText xml:space="preserve"> HYPERLINK "mailto:hnwxzb2@163.com并标明XX" </w:instrText>
      </w:r>
      <w:r>
        <w:rPr>
          <w:color w:val="auto"/>
        </w:rPr>
        <w:fldChar w:fldCharType="separate"/>
      </w:r>
      <w:r>
        <w:rPr>
          <w:rFonts w:hint="eastAsia" w:ascii="宋体" w:hAnsi="宋体" w:cs="宋体"/>
          <w:color w:val="auto"/>
          <w:kern w:val="0"/>
          <w:szCs w:val="21"/>
          <w:shd w:val="clear" w:color="auto" w:fill="FFFFFF"/>
        </w:rPr>
        <w:t>1132414313@qq.com,并标明XX公司</w:t>
      </w:r>
      <w:r>
        <w:rPr>
          <w:rFonts w:hint="eastAsia" w:ascii="宋体" w:hAnsi="宋体" w:cs="宋体"/>
          <w:color w:val="auto"/>
          <w:kern w:val="0"/>
          <w:szCs w:val="21"/>
          <w:shd w:val="clear" w:color="auto" w:fill="FFFFFF"/>
        </w:rPr>
        <w:fldChar w:fldCharType="end"/>
      </w:r>
      <w:r>
        <w:rPr>
          <w:rFonts w:hint="eastAsia" w:ascii="宋体" w:hAnsi="宋体" w:cs="宋体"/>
          <w:color w:val="auto"/>
          <w:kern w:val="0"/>
          <w:szCs w:val="21"/>
          <w:shd w:val="clear" w:color="auto" w:fill="FFFFFF"/>
        </w:rPr>
        <w:t>XX项目报名资料。</w:t>
      </w:r>
    </w:p>
    <w:p w14:paraId="6CDFCB7D">
      <w:pPr>
        <w:widowControl/>
        <w:wordWrap w:val="0"/>
        <w:snapToGrid w:val="0"/>
        <w:spacing w:line="324" w:lineRule="auto"/>
        <w:ind w:left="420" w:left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4. 报名登记表：请从附件中下载。</w:t>
      </w:r>
    </w:p>
    <w:p w14:paraId="608E5FA3">
      <w:pPr>
        <w:widowControl/>
        <w:snapToGrid w:val="0"/>
        <w:spacing w:line="324" w:lineRule="auto"/>
        <w:jc w:val="left"/>
        <w:outlineLvl w:val="1"/>
        <w:rPr>
          <w:rFonts w:hint="eastAsia" w:ascii="宋体" w:hAnsi="宋体" w:cs="宋体"/>
          <w:b/>
          <w:bCs/>
          <w:color w:val="auto"/>
          <w:szCs w:val="21"/>
        </w:rPr>
      </w:pPr>
      <w:bookmarkStart w:id="14" w:name="_Toc15111"/>
      <w:bookmarkStart w:id="15" w:name="_Toc10738"/>
      <w:bookmarkStart w:id="16" w:name="_Toc15135"/>
      <w:bookmarkStart w:id="17" w:name="_Toc25869"/>
      <w:bookmarkStart w:id="18" w:name="_Toc27480"/>
      <w:r>
        <w:rPr>
          <w:rFonts w:hint="eastAsia" w:ascii="宋体" w:hAnsi="宋体" w:cs="宋体"/>
          <w:b/>
          <w:bCs/>
          <w:color w:val="auto"/>
          <w:szCs w:val="21"/>
          <w:shd w:val="clear" w:color="auto" w:fill="FFFFFF"/>
        </w:rPr>
        <w:t>四、磋商截止时间及地点</w:t>
      </w:r>
      <w:bookmarkEnd w:id="14"/>
      <w:bookmarkEnd w:id="15"/>
      <w:bookmarkEnd w:id="16"/>
      <w:bookmarkEnd w:id="17"/>
      <w:bookmarkEnd w:id="18"/>
    </w:p>
    <w:p w14:paraId="50F7D957">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1. 时间：</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4F59B260">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 地点：</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3F1CE990">
      <w:pPr>
        <w:widowControl/>
        <w:snapToGrid w:val="0"/>
        <w:spacing w:line="324" w:lineRule="auto"/>
        <w:jc w:val="left"/>
        <w:outlineLvl w:val="1"/>
        <w:rPr>
          <w:rFonts w:hint="eastAsia" w:ascii="宋体" w:hAnsi="宋体" w:cs="宋体"/>
          <w:b/>
          <w:bCs/>
          <w:color w:val="auto"/>
          <w:szCs w:val="21"/>
        </w:rPr>
      </w:pPr>
      <w:r>
        <w:rPr>
          <w:rFonts w:hint="eastAsia" w:ascii="宋体" w:hAnsi="宋体" w:cs="宋体"/>
          <w:b/>
          <w:bCs/>
          <w:color w:val="auto"/>
          <w:szCs w:val="21"/>
          <w:shd w:val="clear" w:color="auto" w:fill="FFFFFF"/>
        </w:rPr>
        <w:t>五、磋商时间及地点</w:t>
      </w:r>
    </w:p>
    <w:p w14:paraId="5339073D">
      <w:pPr>
        <w:widowControl/>
        <w:snapToGrid w:val="0"/>
        <w:spacing w:line="324"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shd w:val="clear" w:color="auto" w:fill="FFFFFF"/>
        </w:rPr>
        <w:t>1. 时间：</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4DD78567">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 地点：</w:t>
      </w:r>
      <w:r>
        <w:rPr>
          <w:rFonts w:hint="eastAsia" w:ascii="宋体" w:hAnsi="宋体" w:cs="宋体"/>
          <w:color w:val="auto"/>
          <w:szCs w:val="21"/>
        </w:rPr>
        <w:t>另行通知</w:t>
      </w:r>
      <w:r>
        <w:rPr>
          <w:rFonts w:hint="eastAsia" w:ascii="宋体" w:hAnsi="宋体" w:cs="宋体"/>
          <w:color w:val="auto"/>
          <w:kern w:val="0"/>
          <w:szCs w:val="21"/>
          <w:shd w:val="clear" w:color="auto" w:fill="FFFFFF"/>
        </w:rPr>
        <w:t>。</w:t>
      </w:r>
    </w:p>
    <w:p w14:paraId="60259CE1">
      <w:pPr>
        <w:widowControl/>
        <w:snapToGrid w:val="0"/>
        <w:spacing w:line="324" w:lineRule="auto"/>
        <w:jc w:val="left"/>
        <w:outlineLvl w:val="1"/>
        <w:rPr>
          <w:rFonts w:hint="eastAsia" w:ascii="宋体" w:hAnsi="宋体" w:cs="宋体"/>
          <w:b/>
          <w:bCs/>
          <w:color w:val="auto"/>
          <w:szCs w:val="21"/>
        </w:rPr>
      </w:pPr>
      <w:bookmarkStart w:id="19" w:name="_Toc6523"/>
      <w:bookmarkStart w:id="20" w:name="_Toc20287"/>
      <w:bookmarkStart w:id="21" w:name="_Toc30918"/>
      <w:bookmarkStart w:id="22" w:name="_Toc29784"/>
      <w:r>
        <w:rPr>
          <w:rFonts w:hint="eastAsia" w:ascii="宋体" w:hAnsi="宋体" w:cs="宋体"/>
          <w:b/>
          <w:bCs/>
          <w:color w:val="auto"/>
          <w:szCs w:val="21"/>
          <w:shd w:val="clear" w:color="auto" w:fill="FFFFFF"/>
        </w:rPr>
        <w:t>六、发布公告的媒介及</w:t>
      </w:r>
      <w:r>
        <w:rPr>
          <w:rFonts w:hint="eastAsia" w:ascii="宋体" w:hAnsi="宋体" w:cs="宋体"/>
          <w:b/>
          <w:bCs/>
          <w:color w:val="auto"/>
          <w:szCs w:val="21"/>
        </w:rPr>
        <w:t>采购</w:t>
      </w:r>
      <w:r>
        <w:rPr>
          <w:rFonts w:hint="eastAsia" w:ascii="宋体" w:hAnsi="宋体" w:cs="宋体"/>
          <w:b/>
          <w:bCs/>
          <w:color w:val="auto"/>
          <w:szCs w:val="21"/>
          <w:shd w:val="clear" w:color="auto" w:fill="FFFFFF"/>
        </w:rPr>
        <w:t>公告期限</w:t>
      </w:r>
      <w:bookmarkEnd w:id="19"/>
      <w:bookmarkEnd w:id="20"/>
      <w:bookmarkEnd w:id="21"/>
      <w:bookmarkEnd w:id="22"/>
    </w:p>
    <w:p w14:paraId="1E004320">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本次</w:t>
      </w:r>
      <w:r>
        <w:rPr>
          <w:rFonts w:hint="eastAsia" w:ascii="宋体" w:hAnsi="宋体" w:cs="宋体"/>
          <w:color w:val="auto"/>
          <w:szCs w:val="21"/>
        </w:rPr>
        <w:t>采购</w:t>
      </w:r>
      <w:r>
        <w:rPr>
          <w:rFonts w:hint="eastAsia" w:ascii="宋体" w:hAnsi="宋体" w:cs="宋体"/>
          <w:color w:val="auto"/>
          <w:kern w:val="0"/>
          <w:szCs w:val="21"/>
          <w:shd w:val="clear" w:color="auto" w:fill="FFFFFF"/>
        </w:rPr>
        <w:t>公告在《驻马店市中心医院》院内网</w:t>
      </w:r>
      <w:r>
        <w:rPr>
          <w:rFonts w:hint="eastAsia" w:ascii="宋体" w:hAnsi="宋体" w:cs="宋体"/>
          <w:color w:val="auto"/>
          <w:szCs w:val="21"/>
        </w:rPr>
        <w:t>上发布，采购公告期限为三个工作日</w:t>
      </w:r>
      <w:r>
        <w:rPr>
          <w:rFonts w:hint="eastAsia" w:ascii="宋体" w:hAnsi="宋体" w:cs="宋体"/>
          <w:color w:val="auto"/>
          <w:kern w:val="0"/>
          <w:szCs w:val="21"/>
          <w:shd w:val="clear" w:color="auto" w:fill="FFFFFF"/>
        </w:rPr>
        <w:t>。</w:t>
      </w:r>
      <w:bookmarkStart w:id="23" w:name="_Toc35393795"/>
      <w:bookmarkStart w:id="24" w:name="_Toc35393626"/>
    </w:p>
    <w:bookmarkEnd w:id="23"/>
    <w:bookmarkEnd w:id="24"/>
    <w:p w14:paraId="0B1BDEDF">
      <w:pPr>
        <w:widowControl/>
        <w:snapToGrid w:val="0"/>
        <w:spacing w:line="324" w:lineRule="auto"/>
        <w:jc w:val="left"/>
        <w:outlineLvl w:val="1"/>
        <w:rPr>
          <w:rFonts w:hint="eastAsia" w:ascii="宋体" w:hAnsi="宋体" w:cs="宋体"/>
          <w:b/>
          <w:bCs/>
          <w:color w:val="auto"/>
          <w:szCs w:val="21"/>
        </w:rPr>
      </w:pPr>
      <w:bookmarkStart w:id="25" w:name="_Toc3604"/>
      <w:bookmarkStart w:id="26" w:name="_Toc31928"/>
      <w:bookmarkStart w:id="27" w:name="_Toc27370"/>
      <w:bookmarkStart w:id="28" w:name="_Toc24274"/>
      <w:bookmarkStart w:id="29" w:name="_Toc16291"/>
      <w:r>
        <w:rPr>
          <w:rFonts w:hint="eastAsia" w:ascii="宋体" w:hAnsi="宋体" w:cs="宋体"/>
          <w:b/>
          <w:bCs/>
          <w:color w:val="auto"/>
          <w:szCs w:val="21"/>
          <w:shd w:val="clear" w:color="auto" w:fill="FFFFFF"/>
        </w:rPr>
        <w:t>七、</w:t>
      </w:r>
      <w:bookmarkEnd w:id="25"/>
      <w:bookmarkEnd w:id="26"/>
      <w:bookmarkEnd w:id="27"/>
      <w:bookmarkEnd w:id="28"/>
      <w:bookmarkEnd w:id="29"/>
      <w:r>
        <w:rPr>
          <w:rFonts w:hint="eastAsia" w:ascii="宋体" w:hAnsi="宋体" w:cs="宋体"/>
          <w:b/>
          <w:bCs/>
          <w:color w:val="auto"/>
          <w:szCs w:val="21"/>
          <w:shd w:val="clear" w:color="auto" w:fill="FFFFFF"/>
        </w:rPr>
        <w:t>凡对本次招标提出询问，请按照以下方式联系</w:t>
      </w:r>
    </w:p>
    <w:p w14:paraId="4741C5FC">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1.采购人：驻马店市中心医院</w:t>
      </w:r>
    </w:p>
    <w:p w14:paraId="41553E7F">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地址：驻马店市中华大道747号</w:t>
      </w:r>
    </w:p>
    <w:p w14:paraId="7E4B61D4">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联系人：陈先生</w:t>
      </w:r>
    </w:p>
    <w:p w14:paraId="2CF4FE19">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电话：0396-2726379</w:t>
      </w:r>
    </w:p>
    <w:p w14:paraId="4DC4D721">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2.采购代理机构：中基建安工程管理有限公司</w:t>
      </w:r>
    </w:p>
    <w:p w14:paraId="137DE2DC">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地址：河南自贸试验区郑州片区（郑东）心怡路319号易元国际B座16层1624号</w:t>
      </w:r>
    </w:p>
    <w:p w14:paraId="5F74CB8A">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 xml:space="preserve">联系人：赵女士 </w:t>
      </w:r>
    </w:p>
    <w:p w14:paraId="1EB16120">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联系方式：18568019891</w:t>
      </w:r>
    </w:p>
    <w:p w14:paraId="15E7C2FF">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3.监督部门：驻马店市中心医院纪检监察室</w:t>
      </w:r>
    </w:p>
    <w:p w14:paraId="77307737">
      <w:pPr>
        <w:widowControl/>
        <w:snapToGrid w:val="0"/>
        <w:spacing w:line="324" w:lineRule="auto"/>
        <w:ind w:firstLine="420" w:firstLineChars="200"/>
        <w:jc w:val="lef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监督电话：0396-2726678</w:t>
      </w:r>
    </w:p>
    <w:p w14:paraId="195A7D3B">
      <w:pPr>
        <w:widowControl/>
        <w:snapToGrid w:val="0"/>
        <w:spacing w:line="324" w:lineRule="auto"/>
        <w:ind w:firstLine="420" w:firstLineChars="200"/>
        <w:jc w:val="right"/>
        <w:rPr>
          <w:rFonts w:hint="eastAsia" w:ascii="宋体" w:hAnsi="宋体" w:cs="宋体"/>
          <w:color w:val="auto"/>
          <w:kern w:val="0"/>
          <w:szCs w:val="21"/>
          <w:shd w:val="clear" w:color="auto" w:fill="FFFFFF"/>
        </w:rPr>
      </w:pPr>
      <w:r>
        <w:rPr>
          <w:rFonts w:hint="eastAsia" w:ascii="宋体" w:hAnsi="宋体" w:cs="宋体"/>
          <w:color w:val="auto"/>
          <w:kern w:val="0"/>
          <w:szCs w:val="21"/>
          <w:shd w:val="clear" w:color="auto" w:fill="FFFFFF"/>
        </w:rPr>
        <w:t>驻马店市中心医院采购科</w:t>
      </w:r>
    </w:p>
    <w:p w14:paraId="3F830AD6">
      <w:pPr>
        <w:pStyle w:val="29"/>
        <w:widowControl/>
        <w:snapToGrid w:val="0"/>
        <w:spacing w:before="0" w:beforeAutospacing="0" w:after="0" w:afterAutospacing="0" w:line="324" w:lineRule="auto"/>
        <w:ind w:firstLine="420" w:firstLineChars="200"/>
        <w:jc w:val="center"/>
        <w:rPr>
          <w:rFonts w:hint="eastAsia" w:ascii="宋体" w:hAnsi="宋体" w:cs="宋体"/>
          <w:color w:val="auto"/>
          <w:sz w:val="21"/>
          <w:szCs w:val="21"/>
          <w:shd w:val="clear" w:color="auto" w:fill="FFFFFF"/>
        </w:rPr>
      </w:pPr>
      <w:r>
        <w:rPr>
          <w:rFonts w:hint="eastAsia" w:ascii="宋体" w:hAnsi="宋体" w:cs="宋体"/>
          <w:color w:val="auto"/>
          <w:sz w:val="21"/>
          <w:szCs w:val="21"/>
          <w:shd w:val="clear" w:color="auto" w:fill="FFFFFF"/>
        </w:rPr>
        <w:t xml:space="preserve">                                                         2025年11月</w:t>
      </w:r>
      <w:r>
        <w:rPr>
          <w:rFonts w:hint="eastAsia" w:ascii="宋体" w:hAnsi="宋体" w:cs="宋体"/>
          <w:color w:val="auto"/>
          <w:sz w:val="21"/>
          <w:szCs w:val="21"/>
          <w:shd w:val="clear" w:color="auto" w:fill="FFFFFF"/>
          <w:lang w:val="en-US" w:eastAsia="zh-CN"/>
        </w:rPr>
        <w:t>4</w:t>
      </w:r>
      <w:r>
        <w:rPr>
          <w:rFonts w:hint="eastAsia" w:ascii="宋体" w:hAnsi="宋体" w:cs="宋体"/>
          <w:color w:val="auto"/>
          <w:sz w:val="21"/>
          <w:szCs w:val="21"/>
          <w:shd w:val="clear" w:color="auto" w:fill="FFFFFF"/>
        </w:rPr>
        <w:t>日</w:t>
      </w:r>
    </w:p>
    <w:p w14:paraId="21439BBF">
      <w:pPr>
        <w:rPr>
          <w:rFonts w:hint="eastAsia" w:ascii="宋体" w:hAnsi="宋体" w:cs="宋体"/>
          <w:b/>
          <w:color w:val="auto"/>
          <w:sz w:val="32"/>
          <w:szCs w:val="32"/>
        </w:rPr>
      </w:pPr>
      <w:bookmarkStart w:id="30" w:name="_Toc29890"/>
      <w:bookmarkStart w:id="31" w:name="_Toc23793"/>
      <w:r>
        <w:rPr>
          <w:rFonts w:hint="eastAsia" w:ascii="宋体" w:hAnsi="宋体" w:cs="宋体"/>
          <w:b/>
          <w:color w:val="auto"/>
          <w:sz w:val="32"/>
          <w:szCs w:val="32"/>
        </w:rPr>
        <w:br w:type="page"/>
      </w:r>
    </w:p>
    <w:p w14:paraId="39BAA65C">
      <w:pPr>
        <w:widowControl/>
        <w:spacing w:line="360" w:lineRule="auto"/>
        <w:ind w:firstLine="643" w:firstLineChars="200"/>
        <w:jc w:val="center"/>
        <w:outlineLvl w:val="0"/>
        <w:rPr>
          <w:rFonts w:hint="eastAsia" w:ascii="宋体" w:hAnsi="宋体" w:cs="宋体"/>
          <w:b/>
          <w:sz w:val="32"/>
          <w:szCs w:val="32"/>
        </w:rPr>
      </w:pPr>
      <w:bookmarkStart w:id="32" w:name="_Toc19124"/>
      <w:r>
        <w:rPr>
          <w:rFonts w:hint="eastAsia" w:ascii="宋体" w:hAnsi="宋体" w:cs="宋体"/>
          <w:b/>
          <w:sz w:val="32"/>
          <w:szCs w:val="32"/>
        </w:rPr>
        <w:t>第二章  采购需求</w:t>
      </w:r>
      <w:bookmarkEnd w:id="32"/>
      <w:bookmarkStart w:id="33" w:name="_Toc9989"/>
      <w:bookmarkStart w:id="34" w:name="_Toc31536"/>
      <w:bookmarkStart w:id="35" w:name="_Toc23610"/>
    </w:p>
    <w:bookmarkEnd w:id="30"/>
    <w:bookmarkEnd w:id="31"/>
    <w:bookmarkEnd w:id="33"/>
    <w:bookmarkEnd w:id="34"/>
    <w:bookmarkEnd w:id="35"/>
    <w:p w14:paraId="488CE532">
      <w:pPr>
        <w:rPr>
          <w:rFonts w:hint="eastAsia" w:ascii="宋体" w:hAnsi="宋体" w:cs="宋体"/>
          <w:szCs w:val="21"/>
          <w:shd w:val="clear" w:color="auto" w:fill="FFFFFF"/>
        </w:rPr>
      </w:pPr>
      <w:r>
        <w:rPr>
          <w:rFonts w:hint="eastAsia" w:ascii="宋体" w:hAnsi="宋体" w:cs="宋体"/>
          <w:b/>
          <w:bCs/>
          <w:iCs/>
          <w:szCs w:val="21"/>
        </w:rPr>
        <w:t>一、项目名称：</w:t>
      </w:r>
      <w:r>
        <w:rPr>
          <w:rFonts w:hint="eastAsia" w:ascii="宋体" w:hAnsi="宋体" w:cs="宋体"/>
          <w:szCs w:val="21"/>
          <w:shd w:val="clear" w:color="auto" w:fill="FFFFFF"/>
        </w:rPr>
        <w:t>驻马店市中心医院病房改造提升项目初步设计</w:t>
      </w:r>
    </w:p>
    <w:p w14:paraId="60419DD5">
      <w:pPr>
        <w:rPr>
          <w:rFonts w:hint="eastAsia" w:ascii="宋体" w:hAnsi="宋体" w:cs="宋体"/>
          <w:szCs w:val="21"/>
          <w:shd w:val="clear" w:color="auto" w:fill="FFFFFF"/>
        </w:rPr>
      </w:pPr>
      <w:r>
        <w:rPr>
          <w:rFonts w:hint="eastAsia" w:ascii="宋体" w:hAnsi="宋体" w:cs="宋体"/>
          <w:b/>
          <w:bCs/>
          <w:szCs w:val="21"/>
          <w:shd w:val="clear" w:color="auto" w:fill="FFFFFF"/>
        </w:rPr>
        <w:t>二、项目概况：</w:t>
      </w:r>
      <w:r>
        <w:rPr>
          <w:rFonts w:hint="eastAsia" w:ascii="宋体" w:hAnsi="宋体" w:cs="宋体"/>
          <w:kern w:val="0"/>
          <w:sz w:val="22"/>
          <w:szCs w:val="22"/>
        </w:rPr>
        <w:t>根据驻发改审批〔2024〕72号文件批复内容，驻马店市中心医院病房改造提升项目总投资估算约为8681万元，建设内容主要包括二号病房楼的消防设施改造和整体环境改造，门诊楼、急诊楼的电梯改造和中央空调主机改造，四号病房楼的污水处理站改造和电梯改造，五号病房楼的消防设施改造和整体环境改造，三号病房楼改造，康复分院病房楼改造和采暖系统改造等。</w:t>
      </w:r>
    </w:p>
    <w:p w14:paraId="5050D915">
      <w:pPr>
        <w:rPr>
          <w:rFonts w:hint="eastAsia" w:ascii="宋体" w:hAnsi="宋体" w:cs="宋体"/>
          <w:b/>
          <w:bCs/>
          <w:szCs w:val="21"/>
          <w:shd w:val="clear" w:color="auto" w:fill="FFFFFF"/>
        </w:rPr>
      </w:pPr>
      <w:r>
        <w:rPr>
          <w:rFonts w:hint="eastAsia" w:ascii="宋体" w:hAnsi="宋体" w:cs="宋体"/>
          <w:b/>
          <w:bCs/>
          <w:szCs w:val="21"/>
          <w:shd w:val="clear" w:color="auto" w:fill="FFFFFF"/>
        </w:rPr>
        <w:t>三、采购标的清单：</w:t>
      </w:r>
    </w:p>
    <w:tbl>
      <w:tblPr>
        <w:tblStyle w:val="34"/>
        <w:tblW w:w="8811"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2171"/>
        <w:gridCol w:w="759"/>
        <w:gridCol w:w="1096"/>
        <w:gridCol w:w="1573"/>
        <w:gridCol w:w="1125"/>
        <w:gridCol w:w="1436"/>
      </w:tblGrid>
      <w:tr w14:paraId="7CF2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1" w:type="dxa"/>
            <w:vAlign w:val="center"/>
          </w:tcPr>
          <w:p w14:paraId="48A4D943">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序号</w:t>
            </w:r>
          </w:p>
        </w:tc>
        <w:tc>
          <w:tcPr>
            <w:tcW w:w="2171" w:type="dxa"/>
            <w:vAlign w:val="center"/>
          </w:tcPr>
          <w:p w14:paraId="772FC8FC">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标的名称</w:t>
            </w:r>
          </w:p>
        </w:tc>
        <w:tc>
          <w:tcPr>
            <w:tcW w:w="759" w:type="dxa"/>
            <w:vAlign w:val="center"/>
          </w:tcPr>
          <w:p w14:paraId="7F3E7017">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单位</w:t>
            </w:r>
          </w:p>
        </w:tc>
        <w:tc>
          <w:tcPr>
            <w:tcW w:w="1096" w:type="dxa"/>
            <w:vAlign w:val="center"/>
          </w:tcPr>
          <w:p w14:paraId="195F2F00">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数量</w:t>
            </w:r>
          </w:p>
        </w:tc>
        <w:tc>
          <w:tcPr>
            <w:tcW w:w="1573" w:type="dxa"/>
            <w:vAlign w:val="center"/>
          </w:tcPr>
          <w:p w14:paraId="739AC43A">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资金预算</w:t>
            </w:r>
          </w:p>
        </w:tc>
        <w:tc>
          <w:tcPr>
            <w:tcW w:w="1125" w:type="dxa"/>
            <w:vAlign w:val="center"/>
          </w:tcPr>
          <w:p w14:paraId="1366CBE0">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资金</w:t>
            </w:r>
          </w:p>
          <w:p w14:paraId="69A80BF1">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性质</w:t>
            </w:r>
          </w:p>
        </w:tc>
        <w:tc>
          <w:tcPr>
            <w:tcW w:w="1436" w:type="dxa"/>
            <w:vAlign w:val="center"/>
          </w:tcPr>
          <w:p w14:paraId="6EDF05E6">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国产/进口</w:t>
            </w:r>
          </w:p>
        </w:tc>
      </w:tr>
      <w:tr w14:paraId="244A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1" w:type="dxa"/>
            <w:vAlign w:val="center"/>
          </w:tcPr>
          <w:p w14:paraId="725774D4">
            <w:pPr>
              <w:jc w:val="center"/>
              <w:rPr>
                <w:rFonts w:hint="eastAsia" w:ascii="宋体" w:hAnsi="宋体" w:cs="宋体"/>
                <w:szCs w:val="21"/>
                <w:shd w:val="clear" w:color="auto" w:fill="FFFFFF"/>
              </w:rPr>
            </w:pPr>
            <w:r>
              <w:rPr>
                <w:rFonts w:hint="eastAsia" w:ascii="宋体" w:hAnsi="宋体" w:cs="宋体"/>
                <w:szCs w:val="21"/>
                <w:shd w:val="clear" w:color="auto" w:fill="FFFFFF"/>
              </w:rPr>
              <w:t>1</w:t>
            </w:r>
          </w:p>
        </w:tc>
        <w:tc>
          <w:tcPr>
            <w:tcW w:w="2171" w:type="dxa"/>
            <w:vAlign w:val="center"/>
          </w:tcPr>
          <w:p w14:paraId="2029E579">
            <w:pPr>
              <w:jc w:val="center"/>
              <w:rPr>
                <w:rFonts w:hint="eastAsia" w:ascii="宋体" w:hAnsi="宋体" w:cs="宋体"/>
                <w:szCs w:val="21"/>
                <w:shd w:val="clear" w:color="auto" w:fill="FFFFFF"/>
              </w:rPr>
            </w:pPr>
            <w:r>
              <w:rPr>
                <w:rFonts w:hint="eastAsia" w:ascii="宋体" w:hAnsi="宋体" w:cs="宋体"/>
                <w:szCs w:val="21"/>
                <w:shd w:val="clear" w:color="auto" w:fill="FFFFFF"/>
              </w:rPr>
              <w:t>病房改造提升项目初步设计</w:t>
            </w:r>
          </w:p>
        </w:tc>
        <w:tc>
          <w:tcPr>
            <w:tcW w:w="759" w:type="dxa"/>
            <w:vAlign w:val="center"/>
          </w:tcPr>
          <w:p w14:paraId="02552190">
            <w:pPr>
              <w:jc w:val="center"/>
              <w:rPr>
                <w:rFonts w:hint="eastAsia" w:ascii="宋体" w:hAnsi="宋体" w:cs="宋体"/>
                <w:szCs w:val="21"/>
                <w:shd w:val="clear" w:color="auto" w:fill="FFFFFF"/>
              </w:rPr>
            </w:pPr>
            <w:r>
              <w:rPr>
                <w:rFonts w:hint="eastAsia" w:ascii="宋体" w:hAnsi="宋体" w:cs="宋体"/>
                <w:szCs w:val="21"/>
                <w:shd w:val="clear" w:color="auto" w:fill="FFFFFF"/>
              </w:rPr>
              <w:t>项</w:t>
            </w:r>
          </w:p>
        </w:tc>
        <w:tc>
          <w:tcPr>
            <w:tcW w:w="1096" w:type="dxa"/>
            <w:vAlign w:val="center"/>
          </w:tcPr>
          <w:p w14:paraId="16F5332F">
            <w:pPr>
              <w:jc w:val="center"/>
              <w:rPr>
                <w:rFonts w:hint="eastAsia" w:ascii="宋体" w:hAnsi="宋体" w:cs="宋体"/>
                <w:szCs w:val="21"/>
                <w:shd w:val="clear" w:color="auto" w:fill="FFFFFF"/>
              </w:rPr>
            </w:pPr>
            <w:r>
              <w:rPr>
                <w:rFonts w:hint="eastAsia" w:ascii="宋体" w:hAnsi="宋体" w:cs="宋体"/>
                <w:szCs w:val="21"/>
                <w:shd w:val="clear" w:color="auto" w:fill="FFFFFF"/>
              </w:rPr>
              <w:t>1</w:t>
            </w:r>
          </w:p>
        </w:tc>
        <w:tc>
          <w:tcPr>
            <w:tcW w:w="1573" w:type="dxa"/>
            <w:vAlign w:val="center"/>
          </w:tcPr>
          <w:p w14:paraId="57B94973">
            <w:pPr>
              <w:ind w:firstLine="210" w:firstLineChars="100"/>
              <w:jc w:val="center"/>
              <w:rPr>
                <w:rFonts w:hint="eastAsia" w:ascii="宋体" w:hAnsi="宋体" w:cs="宋体"/>
                <w:szCs w:val="21"/>
                <w:shd w:val="clear" w:color="auto" w:fill="FFFFFF"/>
              </w:rPr>
            </w:pPr>
            <w:r>
              <w:rPr>
                <w:rFonts w:hint="eastAsia" w:ascii="宋体" w:hAnsi="宋体" w:cs="宋体"/>
                <w:szCs w:val="21"/>
                <w:shd w:val="clear" w:color="auto" w:fill="FFFFFF"/>
              </w:rPr>
              <w:t>48万元</w:t>
            </w:r>
          </w:p>
        </w:tc>
        <w:tc>
          <w:tcPr>
            <w:tcW w:w="1125" w:type="dxa"/>
            <w:vAlign w:val="center"/>
          </w:tcPr>
          <w:p w14:paraId="7A43942B">
            <w:pPr>
              <w:ind w:firstLine="210" w:firstLineChars="100"/>
              <w:jc w:val="center"/>
              <w:rPr>
                <w:rFonts w:hint="eastAsia" w:ascii="宋体" w:hAnsi="宋体" w:cs="宋体"/>
                <w:szCs w:val="21"/>
                <w:shd w:val="clear" w:color="auto" w:fill="FFFFFF"/>
              </w:rPr>
            </w:pPr>
            <w:r>
              <w:rPr>
                <w:rFonts w:hint="eastAsia" w:ascii="宋体" w:hAnsi="宋体" w:cs="宋体"/>
                <w:szCs w:val="21"/>
                <w:shd w:val="clear" w:color="auto" w:fill="FFFFFF"/>
              </w:rPr>
              <w:t>自筹</w:t>
            </w:r>
          </w:p>
        </w:tc>
        <w:tc>
          <w:tcPr>
            <w:tcW w:w="1436" w:type="dxa"/>
            <w:vAlign w:val="center"/>
          </w:tcPr>
          <w:p w14:paraId="0D983C32">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w:t>
            </w:r>
          </w:p>
        </w:tc>
      </w:tr>
      <w:tr w14:paraId="1F3E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1" w:type="dxa"/>
            <w:vAlign w:val="center"/>
          </w:tcPr>
          <w:p w14:paraId="46E1BF40">
            <w:pPr>
              <w:jc w:val="center"/>
              <w:rPr>
                <w:rFonts w:hint="eastAsia" w:ascii="宋体" w:hAnsi="宋体" w:cs="宋体"/>
                <w:b/>
                <w:bCs/>
                <w:szCs w:val="21"/>
                <w:shd w:val="clear" w:color="auto" w:fill="FFFFFF"/>
              </w:rPr>
            </w:pPr>
            <w:r>
              <w:rPr>
                <w:rFonts w:hint="eastAsia" w:ascii="宋体" w:hAnsi="宋体" w:cs="宋体"/>
                <w:b/>
                <w:bCs/>
                <w:szCs w:val="21"/>
                <w:shd w:val="clear" w:color="auto" w:fill="FFFFFF"/>
              </w:rPr>
              <w:t>合计</w:t>
            </w:r>
          </w:p>
        </w:tc>
        <w:tc>
          <w:tcPr>
            <w:tcW w:w="2166" w:type="dxa"/>
            <w:vAlign w:val="center"/>
          </w:tcPr>
          <w:p w14:paraId="5D72C1F4">
            <w:pPr>
              <w:jc w:val="center"/>
              <w:rPr>
                <w:rFonts w:hint="eastAsia" w:ascii="宋体" w:hAnsi="宋体" w:cs="宋体"/>
                <w:b/>
                <w:bCs/>
                <w:szCs w:val="21"/>
                <w:shd w:val="clear" w:color="auto" w:fill="FFFFFF"/>
              </w:rPr>
            </w:pPr>
          </w:p>
        </w:tc>
        <w:tc>
          <w:tcPr>
            <w:tcW w:w="759" w:type="dxa"/>
            <w:vAlign w:val="center"/>
          </w:tcPr>
          <w:p w14:paraId="1687A754">
            <w:pPr>
              <w:jc w:val="center"/>
              <w:rPr>
                <w:rFonts w:hint="eastAsia" w:ascii="宋体" w:hAnsi="宋体" w:cs="宋体"/>
                <w:b/>
                <w:bCs/>
                <w:szCs w:val="21"/>
                <w:shd w:val="clear" w:color="auto" w:fill="FFFFFF"/>
              </w:rPr>
            </w:pPr>
          </w:p>
        </w:tc>
        <w:tc>
          <w:tcPr>
            <w:tcW w:w="1096" w:type="dxa"/>
            <w:vAlign w:val="center"/>
          </w:tcPr>
          <w:p w14:paraId="6D2AF464">
            <w:pPr>
              <w:jc w:val="center"/>
              <w:rPr>
                <w:rFonts w:hint="eastAsia" w:ascii="宋体" w:hAnsi="宋体" w:cs="宋体"/>
                <w:b/>
                <w:bCs/>
                <w:szCs w:val="21"/>
                <w:shd w:val="clear" w:color="auto" w:fill="FFFFFF"/>
              </w:rPr>
            </w:pPr>
          </w:p>
        </w:tc>
        <w:tc>
          <w:tcPr>
            <w:tcW w:w="1573" w:type="dxa"/>
            <w:vAlign w:val="center"/>
          </w:tcPr>
          <w:p w14:paraId="23EE86FB">
            <w:pPr>
              <w:ind w:firstLine="420" w:firstLineChars="200"/>
              <w:rPr>
                <w:rFonts w:hint="eastAsia" w:ascii="宋体" w:hAnsi="宋体" w:cs="宋体"/>
                <w:b/>
                <w:bCs/>
                <w:szCs w:val="21"/>
                <w:shd w:val="clear" w:color="auto" w:fill="FFFFFF"/>
              </w:rPr>
            </w:pPr>
            <w:r>
              <w:rPr>
                <w:rFonts w:hint="eastAsia" w:ascii="宋体" w:hAnsi="宋体" w:cs="宋体"/>
                <w:szCs w:val="21"/>
                <w:shd w:val="clear" w:color="auto" w:fill="FFFFFF"/>
              </w:rPr>
              <w:t>48万元</w:t>
            </w:r>
          </w:p>
        </w:tc>
        <w:tc>
          <w:tcPr>
            <w:tcW w:w="1125" w:type="dxa"/>
            <w:vAlign w:val="center"/>
          </w:tcPr>
          <w:p w14:paraId="10BD1F55">
            <w:pPr>
              <w:rPr>
                <w:rFonts w:hint="eastAsia" w:ascii="宋体" w:hAnsi="宋体" w:cs="宋体"/>
                <w:b/>
                <w:bCs/>
                <w:szCs w:val="21"/>
                <w:shd w:val="clear" w:color="auto" w:fill="FFFFFF"/>
              </w:rPr>
            </w:pPr>
          </w:p>
        </w:tc>
        <w:tc>
          <w:tcPr>
            <w:tcW w:w="1436" w:type="dxa"/>
            <w:vAlign w:val="center"/>
          </w:tcPr>
          <w:p w14:paraId="4267B2AE">
            <w:pPr>
              <w:rPr>
                <w:rFonts w:hint="eastAsia" w:ascii="宋体" w:hAnsi="宋体" w:cs="宋体"/>
                <w:b/>
                <w:bCs/>
                <w:szCs w:val="21"/>
                <w:shd w:val="clear" w:color="auto" w:fill="FFFFFF"/>
              </w:rPr>
            </w:pPr>
          </w:p>
        </w:tc>
      </w:tr>
    </w:tbl>
    <w:p w14:paraId="4015D54F">
      <w:pPr>
        <w:rPr>
          <w:b/>
          <w:bCs/>
        </w:rPr>
      </w:pPr>
    </w:p>
    <w:p w14:paraId="20A5028E">
      <w:pPr>
        <w:rPr>
          <w:b/>
          <w:bCs/>
        </w:rPr>
      </w:pPr>
      <w:r>
        <w:rPr>
          <w:rFonts w:hint="eastAsia"/>
          <w:b/>
          <w:bCs/>
        </w:rPr>
        <w:t xml:space="preserve">四、技术要求 </w:t>
      </w:r>
    </w:p>
    <w:p w14:paraId="755FC6AB">
      <w:pPr>
        <w:widowControl/>
        <w:snapToGrid w:val="0"/>
        <w:spacing w:line="360" w:lineRule="auto"/>
        <w:ind w:firstLine="440" w:firstLineChars="200"/>
        <w:rPr>
          <w:rFonts w:hint="eastAsia" w:ascii="宋体" w:hAnsi="宋体" w:cs="宋体"/>
          <w:sz w:val="22"/>
          <w:szCs w:val="28"/>
        </w:rPr>
      </w:pPr>
      <w:r>
        <w:rPr>
          <w:rFonts w:hint="eastAsia" w:ascii="宋体" w:hAnsi="宋体" w:cs="宋体"/>
          <w:sz w:val="22"/>
          <w:szCs w:val="28"/>
        </w:rPr>
        <w:t>1.设计范围包括初步设计方案及初步设计概算。</w:t>
      </w:r>
    </w:p>
    <w:p w14:paraId="76557A17">
      <w:pPr>
        <w:widowControl/>
        <w:snapToGrid w:val="0"/>
        <w:spacing w:line="360" w:lineRule="auto"/>
        <w:ind w:firstLine="440" w:firstLineChars="200"/>
        <w:rPr>
          <w:rFonts w:hint="eastAsia" w:ascii="宋体" w:hAnsi="宋体" w:cs="宋体"/>
          <w:sz w:val="22"/>
          <w:szCs w:val="28"/>
        </w:rPr>
      </w:pPr>
      <w:r>
        <w:rPr>
          <w:rFonts w:hint="eastAsia" w:ascii="宋体" w:hAnsi="宋体" w:cs="宋体"/>
          <w:sz w:val="22"/>
          <w:szCs w:val="28"/>
        </w:rPr>
        <w:t>2.应当按照国家、行业和地方现行法律、法规、规章制度、规范及标准要求进行设计。设计成果应当满足采购人要求，同时需要通过相关职能部门的审批专业机构的审查。</w:t>
      </w:r>
    </w:p>
    <w:p w14:paraId="4839BAD1">
      <w:pPr>
        <w:widowControl/>
        <w:snapToGrid w:val="0"/>
        <w:spacing w:line="360" w:lineRule="auto"/>
        <w:ind w:firstLine="440" w:firstLineChars="200"/>
        <w:rPr>
          <w:rFonts w:hint="eastAsia" w:ascii="宋体" w:hAnsi="宋体" w:cs="宋体"/>
          <w:sz w:val="22"/>
          <w:szCs w:val="28"/>
        </w:rPr>
      </w:pPr>
      <w:r>
        <w:rPr>
          <w:rFonts w:hint="eastAsia" w:ascii="宋体" w:hAnsi="宋体" w:cs="宋体"/>
          <w:sz w:val="22"/>
          <w:szCs w:val="28"/>
        </w:rPr>
        <w:t>3.应当满足采购人提出的各项合理要求。成果要求:最终提交初步设计方案纸质文件6套(加盖供应商出图章),初步设计概算纸质文件2套(加盖供应商出图章)，电子文件光盘2套。</w:t>
      </w:r>
    </w:p>
    <w:p w14:paraId="69C0C482">
      <w:pPr>
        <w:widowControl/>
        <w:snapToGrid w:val="0"/>
        <w:spacing w:line="360" w:lineRule="auto"/>
        <w:ind w:firstLine="440" w:firstLineChars="200"/>
        <w:rPr>
          <w:rFonts w:hint="eastAsia" w:ascii="宋体" w:hAnsi="宋体" w:cs="宋体"/>
          <w:sz w:val="22"/>
          <w:szCs w:val="28"/>
        </w:rPr>
      </w:pPr>
      <w:r>
        <w:rPr>
          <w:rFonts w:hint="eastAsia" w:ascii="宋体" w:hAnsi="宋体" w:cs="宋体"/>
          <w:sz w:val="22"/>
          <w:szCs w:val="28"/>
        </w:rPr>
        <w:t>4.保密要求:本项目设计过程中所涉及的所有信息资料及所产生的成果的所有权归采购人所有，未经采购人书面允许不得将信息资料透露给第三方，否则采购人有权追究其法律责任。</w:t>
      </w:r>
    </w:p>
    <w:p w14:paraId="233F8E3D">
      <w:pPr>
        <w:widowControl/>
        <w:snapToGrid w:val="0"/>
        <w:spacing w:line="360" w:lineRule="auto"/>
        <w:ind w:firstLine="440" w:firstLineChars="200"/>
        <w:rPr>
          <w:rFonts w:hint="eastAsia" w:ascii="宋体" w:hAnsi="宋体" w:cs="宋体"/>
          <w:sz w:val="22"/>
          <w:szCs w:val="28"/>
        </w:rPr>
        <w:sectPr>
          <w:footerReference r:id="rId5" w:type="default"/>
          <w:pgSz w:w="11906" w:h="16838"/>
          <w:pgMar w:top="1417" w:right="1474" w:bottom="1417" w:left="1474" w:header="851" w:footer="624" w:gutter="0"/>
          <w:cols w:space="720" w:num="1"/>
          <w:docGrid w:type="lines" w:linePitch="319" w:charSpace="0"/>
        </w:sectPr>
      </w:pPr>
      <w:r>
        <w:rPr>
          <w:rFonts w:hint="eastAsia" w:ascii="宋体" w:hAnsi="宋体" w:cs="宋体"/>
          <w:sz w:val="22"/>
          <w:szCs w:val="28"/>
        </w:rPr>
        <w:t>5.服务过程中保证安全生产，如有安全事故，其造成的伤害事故及一切经济损失，由中标方承担全责。</w:t>
      </w:r>
    </w:p>
    <w:p w14:paraId="584079EC">
      <w:pPr>
        <w:widowControl/>
        <w:snapToGrid w:val="0"/>
        <w:spacing w:line="360" w:lineRule="auto"/>
        <w:ind w:firstLine="440" w:firstLineChars="200"/>
        <w:rPr>
          <w:rFonts w:hint="eastAsia" w:ascii="宋体" w:hAnsi="宋体" w:cs="宋体"/>
          <w:sz w:val="22"/>
          <w:szCs w:val="28"/>
        </w:rPr>
      </w:pPr>
    </w:p>
    <w:p w14:paraId="3C9242AE">
      <w:pPr>
        <w:ind w:firstLine="420"/>
        <w:jc w:val="center"/>
        <w:rPr>
          <w:rFonts w:hint="eastAsia" w:ascii="宋体" w:hAnsi="宋体" w:cs="宋体"/>
          <w:b/>
          <w:bCs/>
          <w:sz w:val="30"/>
          <w:szCs w:val="30"/>
        </w:rPr>
      </w:pPr>
      <w:r>
        <w:rPr>
          <w:rFonts w:hint="eastAsia" w:ascii="宋体" w:hAnsi="宋体" w:cs="宋体"/>
          <w:b/>
          <w:bCs/>
          <w:sz w:val="30"/>
          <w:szCs w:val="30"/>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15"/>
        <w:gridCol w:w="7871"/>
      </w:tblGrid>
      <w:tr w14:paraId="25F45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5214CEEC">
            <w:pPr>
              <w:widowControl/>
              <w:spacing w:line="360" w:lineRule="exact"/>
              <w:jc w:val="center"/>
              <w:rPr>
                <w:rFonts w:hint="eastAsia" w:ascii="宋体" w:hAnsi="宋体" w:cs="宋体"/>
                <w:kern w:val="0"/>
                <w:szCs w:val="21"/>
              </w:rPr>
            </w:pPr>
            <w:r>
              <w:rPr>
                <w:rFonts w:hint="eastAsia" w:ascii="宋体" w:hAnsi="宋体" w:cs="宋体"/>
                <w:kern w:val="0"/>
                <w:szCs w:val="21"/>
              </w:rPr>
              <w:t>服务质量</w:t>
            </w:r>
          </w:p>
        </w:tc>
        <w:tc>
          <w:tcPr>
            <w:tcW w:w="7871" w:type="dxa"/>
            <w:tcBorders>
              <w:top w:val="single" w:color="auto" w:sz="4" w:space="0"/>
              <w:left w:val="single" w:color="auto" w:sz="4" w:space="0"/>
              <w:bottom w:val="single" w:color="auto" w:sz="4" w:space="0"/>
              <w:right w:val="single" w:color="auto" w:sz="4" w:space="0"/>
            </w:tcBorders>
            <w:noWrap/>
            <w:vAlign w:val="center"/>
          </w:tcPr>
          <w:p w14:paraId="0353190B">
            <w:pPr>
              <w:widowControl/>
              <w:spacing w:line="360" w:lineRule="exact"/>
              <w:rPr>
                <w:rFonts w:hint="eastAsia" w:ascii="宋体" w:hAnsi="宋体" w:cs="宋体"/>
                <w:kern w:val="0"/>
                <w:szCs w:val="21"/>
              </w:rPr>
            </w:pPr>
            <w:r>
              <w:rPr>
                <w:rFonts w:hint="eastAsia" w:ascii="宋体" w:hAnsi="宋体" w:cs="宋体"/>
                <w:kern w:val="0"/>
                <w:szCs w:val="21"/>
              </w:rPr>
              <w:t>符合现行国家、省、市地方相关规范和标准，满足磋商文件规定标准</w:t>
            </w:r>
          </w:p>
        </w:tc>
      </w:tr>
      <w:tr w14:paraId="7F0BB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2AD20591">
            <w:pPr>
              <w:widowControl/>
              <w:spacing w:line="360" w:lineRule="exact"/>
              <w:jc w:val="center"/>
              <w:rPr>
                <w:rFonts w:hint="eastAsia" w:ascii="宋体" w:hAnsi="宋体" w:cs="宋体"/>
                <w:kern w:val="0"/>
                <w:szCs w:val="21"/>
              </w:rPr>
            </w:pPr>
            <w:r>
              <w:rPr>
                <w:rFonts w:hint="eastAsia" w:ascii="宋体" w:hAnsi="宋体" w:cs="宋体"/>
                <w:kern w:val="0"/>
                <w:szCs w:val="21"/>
              </w:rPr>
              <w:t>服务期限</w:t>
            </w:r>
          </w:p>
        </w:tc>
        <w:tc>
          <w:tcPr>
            <w:tcW w:w="7871" w:type="dxa"/>
            <w:tcBorders>
              <w:top w:val="single" w:color="auto" w:sz="4" w:space="0"/>
              <w:left w:val="single" w:color="auto" w:sz="4" w:space="0"/>
              <w:bottom w:val="single" w:color="auto" w:sz="4" w:space="0"/>
              <w:right w:val="single" w:color="auto" w:sz="4" w:space="0"/>
            </w:tcBorders>
            <w:noWrap/>
            <w:vAlign w:val="center"/>
          </w:tcPr>
          <w:p w14:paraId="562C5D7F">
            <w:pPr>
              <w:widowControl/>
              <w:spacing w:line="360" w:lineRule="exact"/>
              <w:rPr>
                <w:rFonts w:hint="eastAsia" w:ascii="宋体" w:hAnsi="宋体" w:cs="宋体"/>
                <w:kern w:val="0"/>
                <w:szCs w:val="21"/>
              </w:rPr>
            </w:pPr>
            <w:r>
              <w:rPr>
                <w:rFonts w:hint="eastAsia" w:ascii="宋体" w:hAnsi="宋体" w:cs="宋体"/>
                <w:szCs w:val="21"/>
                <w:shd w:val="clear" w:color="auto" w:fill="FFFFFF"/>
              </w:rPr>
              <w:t>服务期限要求30天，响应院方服务期限要求，若承诺的期限内不能按时完成，按合同约定进行处罚。</w:t>
            </w:r>
          </w:p>
        </w:tc>
      </w:tr>
      <w:tr w14:paraId="64B70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7FB07336">
            <w:pPr>
              <w:pStyle w:val="15"/>
              <w:jc w:val="center"/>
              <w:rPr>
                <w:rFonts w:hint="eastAsia"/>
                <w:sz w:val="21"/>
                <w:szCs w:val="21"/>
              </w:rPr>
            </w:pPr>
            <w:r>
              <w:rPr>
                <w:rFonts w:hint="eastAsia"/>
                <w:sz w:val="21"/>
                <w:szCs w:val="21"/>
              </w:rPr>
              <w:t>支付方式</w:t>
            </w:r>
          </w:p>
        </w:tc>
        <w:tc>
          <w:tcPr>
            <w:tcW w:w="7871" w:type="dxa"/>
            <w:tcBorders>
              <w:top w:val="single" w:color="auto" w:sz="4" w:space="0"/>
              <w:left w:val="single" w:color="auto" w:sz="4" w:space="0"/>
              <w:bottom w:val="single" w:color="auto" w:sz="4" w:space="0"/>
              <w:right w:val="single" w:color="auto" w:sz="4" w:space="0"/>
            </w:tcBorders>
            <w:noWrap/>
            <w:vAlign w:val="center"/>
          </w:tcPr>
          <w:p w14:paraId="2F40D1A2">
            <w:pPr>
              <w:pStyle w:val="15"/>
              <w:rPr>
                <w:rFonts w:hint="eastAsia"/>
                <w:szCs w:val="21"/>
                <w:shd w:val="clear" w:color="auto" w:fill="FFFFFF"/>
              </w:rPr>
            </w:pPr>
            <w:r>
              <w:rPr>
                <w:rFonts w:hint="eastAsia"/>
                <w:sz w:val="21"/>
                <w:szCs w:val="21"/>
              </w:rPr>
              <w:t>以合同约定为准。</w:t>
            </w:r>
          </w:p>
        </w:tc>
      </w:tr>
      <w:tr w14:paraId="35E8F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1615" w:type="dxa"/>
            <w:tcBorders>
              <w:top w:val="single" w:color="auto" w:sz="4" w:space="0"/>
              <w:left w:val="single" w:color="auto" w:sz="4" w:space="0"/>
              <w:bottom w:val="single" w:color="auto" w:sz="4" w:space="0"/>
              <w:right w:val="single" w:color="auto" w:sz="4" w:space="0"/>
            </w:tcBorders>
            <w:noWrap/>
            <w:vAlign w:val="center"/>
          </w:tcPr>
          <w:p w14:paraId="5C8C9CDF">
            <w:pPr>
              <w:pStyle w:val="15"/>
              <w:jc w:val="center"/>
              <w:rPr>
                <w:rFonts w:hint="eastAsia"/>
                <w:sz w:val="21"/>
                <w:szCs w:val="21"/>
              </w:rPr>
            </w:pPr>
            <w:r>
              <w:rPr>
                <w:rFonts w:hint="eastAsia"/>
                <w:sz w:val="21"/>
                <w:szCs w:val="21"/>
              </w:rPr>
              <w:t>服务地点</w:t>
            </w:r>
          </w:p>
        </w:tc>
        <w:tc>
          <w:tcPr>
            <w:tcW w:w="7871" w:type="dxa"/>
            <w:tcBorders>
              <w:top w:val="single" w:color="auto" w:sz="4" w:space="0"/>
              <w:left w:val="single" w:color="auto" w:sz="4" w:space="0"/>
              <w:bottom w:val="single" w:color="auto" w:sz="4" w:space="0"/>
              <w:right w:val="single" w:color="auto" w:sz="4" w:space="0"/>
            </w:tcBorders>
            <w:noWrap/>
            <w:vAlign w:val="center"/>
          </w:tcPr>
          <w:p w14:paraId="196AEBE8">
            <w:pPr>
              <w:pStyle w:val="15"/>
              <w:rPr>
                <w:rFonts w:hint="eastAsia"/>
                <w:sz w:val="21"/>
                <w:szCs w:val="21"/>
              </w:rPr>
            </w:pPr>
            <w:r>
              <w:rPr>
                <w:rFonts w:hint="eastAsia"/>
                <w:sz w:val="21"/>
                <w:szCs w:val="21"/>
              </w:rPr>
              <w:t>采购人指点地点（驻马店市中心医院）。</w:t>
            </w:r>
          </w:p>
        </w:tc>
      </w:tr>
    </w:tbl>
    <w:p w14:paraId="451B4D41">
      <w:pPr>
        <w:snapToGrid w:val="0"/>
        <w:spacing w:before="159" w:beforeLines="50" w:line="360" w:lineRule="auto"/>
        <w:jc w:val="center"/>
        <w:rPr>
          <w:rFonts w:hint="eastAsia" w:ascii="宋体" w:hAnsi="宋体" w:cs="宋体"/>
          <w:b/>
          <w:bCs/>
          <w:sz w:val="30"/>
          <w:szCs w:val="30"/>
        </w:rPr>
      </w:pPr>
    </w:p>
    <w:p w14:paraId="436F927A">
      <w:pPr>
        <w:snapToGrid w:val="0"/>
        <w:spacing w:before="159" w:beforeLines="50" w:line="360" w:lineRule="auto"/>
        <w:jc w:val="center"/>
        <w:rPr>
          <w:rFonts w:hint="eastAsia" w:ascii="宋体" w:hAnsi="宋体" w:cs="宋体"/>
          <w:b/>
          <w:bCs/>
          <w:sz w:val="30"/>
          <w:szCs w:val="30"/>
        </w:rPr>
      </w:pPr>
    </w:p>
    <w:p w14:paraId="2A532053">
      <w:pPr>
        <w:snapToGrid w:val="0"/>
        <w:spacing w:before="159" w:beforeLines="50" w:line="360" w:lineRule="auto"/>
        <w:jc w:val="center"/>
        <w:rPr>
          <w:rFonts w:hint="eastAsia" w:ascii="宋体" w:hAnsi="宋体" w:cs="宋体"/>
          <w:b/>
          <w:bCs/>
          <w:sz w:val="30"/>
          <w:szCs w:val="30"/>
        </w:rPr>
      </w:pPr>
      <w:r>
        <w:rPr>
          <w:rFonts w:hint="eastAsia" w:ascii="宋体" w:hAnsi="宋体" w:cs="宋体"/>
          <w:b/>
          <w:bCs/>
          <w:sz w:val="30"/>
          <w:szCs w:val="30"/>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854EF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20BC700">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8DE2358">
            <w:pPr>
              <w:widowControl/>
              <w:numPr>
                <w:ilvl w:val="0"/>
                <w:numId w:val="1"/>
              </w:numPr>
              <w:snapToGrid w:val="0"/>
              <w:spacing w:line="360" w:lineRule="auto"/>
              <w:rPr>
                <w:rFonts w:hint="eastAsia" w:ascii="宋体" w:hAnsi="宋体" w:cs="宋体"/>
              </w:rPr>
            </w:pPr>
            <w:r>
              <w:rPr>
                <w:rFonts w:hint="eastAsia" w:ascii="宋体" w:hAnsi="宋体" w:cs="宋体"/>
              </w:rPr>
              <w:t>不接受联合体投标，不允许转包和分包。</w:t>
            </w:r>
          </w:p>
          <w:p w14:paraId="6CFEA05D">
            <w:pPr>
              <w:widowControl/>
              <w:snapToGrid w:val="0"/>
              <w:spacing w:line="360" w:lineRule="auto"/>
              <w:rPr>
                <w:rFonts w:hint="eastAsia" w:ascii="宋体" w:hAnsi="宋体" w:cs="宋体"/>
              </w:rPr>
            </w:pPr>
            <w:r>
              <w:rPr>
                <w:rFonts w:hint="eastAsia" w:ascii="宋体" w:hAnsi="宋体" w:cs="宋体"/>
              </w:rPr>
              <w:t>2、授权磋商小组确定一名成交供应商并推荐一名成交候选供应商。</w:t>
            </w:r>
          </w:p>
          <w:p w14:paraId="7F5AEEDE">
            <w:pPr>
              <w:widowControl/>
              <w:snapToGrid w:val="0"/>
              <w:spacing w:line="360" w:lineRule="auto"/>
              <w:rPr>
                <w:rFonts w:hint="eastAsia" w:ascii="宋体" w:hAnsi="宋体" w:cs="宋体"/>
              </w:rPr>
            </w:pPr>
            <w:r>
              <w:rPr>
                <w:rFonts w:hint="eastAsia" w:ascii="宋体" w:hAnsi="宋体" w:cs="宋体"/>
              </w:rPr>
              <w:t>3、供应商应根据竞争性磋商文件的要求提供技术响应部分、商务响应部分等内容以对竞争性磋商文件作出响应。</w:t>
            </w:r>
          </w:p>
          <w:p w14:paraId="5E8AA7D1">
            <w:pPr>
              <w:widowControl/>
              <w:snapToGrid w:val="0"/>
              <w:spacing w:line="360" w:lineRule="auto"/>
              <w:rPr>
                <w:rFonts w:hint="eastAsia" w:ascii="宋体" w:hAnsi="宋体" w:cs="宋体"/>
              </w:rPr>
            </w:pPr>
            <w:r>
              <w:rPr>
                <w:rFonts w:hint="eastAsia" w:ascii="宋体" w:hAnsi="宋体" w:cs="宋体"/>
              </w:rPr>
              <w:t>4、</w:t>
            </w:r>
            <w:r>
              <w:rPr>
                <w:rFonts w:hint="eastAsia"/>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D8003AE">
      <w:pPr>
        <w:rPr>
          <w:rFonts w:hint="eastAsia" w:ascii="宋体" w:hAnsi="宋体" w:cs="宋体"/>
        </w:rPr>
      </w:pPr>
    </w:p>
    <w:p w14:paraId="731A083E">
      <w:pPr>
        <w:jc w:val="center"/>
        <w:outlineLvl w:val="0"/>
        <w:rPr>
          <w:rFonts w:hint="eastAsia" w:ascii="宋体" w:hAnsi="宋体" w:cs="宋体"/>
          <w:b/>
          <w:bCs/>
          <w:sz w:val="32"/>
          <w:szCs w:val="32"/>
        </w:rPr>
      </w:pPr>
      <w:bookmarkStart w:id="36" w:name="_Toc8501"/>
    </w:p>
    <w:p w14:paraId="48BB3127">
      <w:pPr>
        <w:jc w:val="center"/>
        <w:outlineLvl w:val="0"/>
        <w:rPr>
          <w:rFonts w:hint="eastAsia" w:ascii="宋体" w:hAnsi="宋体" w:cs="宋体"/>
          <w:b/>
          <w:bCs/>
          <w:sz w:val="32"/>
          <w:szCs w:val="32"/>
        </w:rPr>
      </w:pPr>
    </w:p>
    <w:p w14:paraId="50597E1B">
      <w:pPr>
        <w:jc w:val="center"/>
        <w:outlineLvl w:val="0"/>
        <w:rPr>
          <w:rFonts w:hint="eastAsia" w:ascii="宋体" w:hAnsi="宋体" w:cs="宋体"/>
          <w:b/>
          <w:bCs/>
          <w:sz w:val="32"/>
          <w:szCs w:val="32"/>
        </w:rPr>
      </w:pPr>
    </w:p>
    <w:p w14:paraId="1447C2F4">
      <w:pPr>
        <w:jc w:val="center"/>
        <w:outlineLvl w:val="0"/>
        <w:rPr>
          <w:rFonts w:hint="eastAsia" w:ascii="宋体" w:hAnsi="宋体" w:cs="宋体"/>
          <w:b/>
          <w:bCs/>
          <w:sz w:val="32"/>
          <w:szCs w:val="32"/>
        </w:rPr>
      </w:pPr>
    </w:p>
    <w:p w14:paraId="200EC8C2">
      <w:pPr>
        <w:jc w:val="center"/>
        <w:outlineLvl w:val="0"/>
        <w:rPr>
          <w:rFonts w:hint="eastAsia" w:ascii="宋体" w:hAnsi="宋体" w:cs="宋体"/>
          <w:b/>
          <w:bCs/>
          <w:sz w:val="32"/>
          <w:szCs w:val="32"/>
        </w:rPr>
      </w:pPr>
    </w:p>
    <w:p w14:paraId="72388434">
      <w:pPr>
        <w:jc w:val="center"/>
        <w:outlineLvl w:val="0"/>
        <w:rPr>
          <w:rFonts w:hint="eastAsia" w:ascii="宋体" w:hAnsi="宋体" w:cs="宋体"/>
          <w:b/>
          <w:bCs/>
          <w:sz w:val="32"/>
          <w:szCs w:val="32"/>
        </w:rPr>
      </w:pPr>
    </w:p>
    <w:p w14:paraId="7D34B4E6">
      <w:pPr>
        <w:jc w:val="center"/>
        <w:outlineLvl w:val="0"/>
        <w:rPr>
          <w:rFonts w:hint="eastAsia" w:ascii="宋体" w:hAnsi="宋体" w:cs="宋体"/>
          <w:b/>
          <w:bCs/>
          <w:sz w:val="32"/>
          <w:szCs w:val="32"/>
        </w:rPr>
      </w:pPr>
    </w:p>
    <w:p w14:paraId="6A0CDF0D">
      <w:pPr>
        <w:jc w:val="center"/>
        <w:outlineLvl w:val="0"/>
        <w:rPr>
          <w:rFonts w:hint="eastAsia" w:ascii="宋体" w:hAnsi="宋体" w:cs="宋体"/>
          <w:b/>
          <w:bCs/>
          <w:sz w:val="32"/>
          <w:szCs w:val="32"/>
        </w:rPr>
      </w:pPr>
      <w:r>
        <w:rPr>
          <w:rFonts w:hint="eastAsia" w:ascii="宋体" w:hAnsi="宋体" w:cs="宋体"/>
          <w:b/>
          <w:bCs/>
          <w:sz w:val="32"/>
          <w:szCs w:val="32"/>
        </w:rPr>
        <w:t>第三章  供应商须知</w:t>
      </w:r>
      <w:bookmarkEnd w:id="36"/>
    </w:p>
    <w:p w14:paraId="0AD5ED89">
      <w:pPr>
        <w:snapToGrid w:val="0"/>
        <w:spacing w:before="159" w:beforeLines="50" w:line="360" w:lineRule="auto"/>
        <w:jc w:val="center"/>
        <w:outlineLvl w:val="1"/>
        <w:rPr>
          <w:rFonts w:hint="eastAsia" w:ascii="宋体" w:hAnsi="宋体" w:cs="宋体"/>
          <w:sz w:val="28"/>
          <w:szCs w:val="28"/>
        </w:rPr>
      </w:pPr>
      <w:r>
        <w:rPr>
          <w:rFonts w:hint="eastAsia" w:ascii="宋体" w:hAnsi="宋体" w:cs="宋体"/>
          <w:sz w:val="28"/>
          <w:szCs w:val="28"/>
        </w:rPr>
        <w:t>供应商须知前附表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11701A8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066541">
            <w:pPr>
              <w:widowControl/>
              <w:jc w:val="center"/>
              <w:rPr>
                <w:rFonts w:hint="eastAsia" w:ascii="宋体" w:hAnsi="宋体" w:cs="宋体"/>
                <w:kern w:val="0"/>
                <w:szCs w:val="21"/>
              </w:rPr>
            </w:pPr>
            <w:r>
              <w:rPr>
                <w:rFonts w:hint="eastAsia" w:ascii="宋体" w:hAnsi="宋体" w:cs="宋体"/>
                <w:kern w:val="0"/>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674934">
            <w:pPr>
              <w:widowControl/>
              <w:jc w:val="center"/>
              <w:rPr>
                <w:rFonts w:hint="eastAsia" w:ascii="宋体" w:hAnsi="宋体" w:cs="宋体"/>
                <w:kern w:val="0"/>
                <w:szCs w:val="21"/>
              </w:rPr>
            </w:pPr>
            <w:r>
              <w:rPr>
                <w:rFonts w:hint="eastAsia" w:ascii="宋体" w:hAnsi="宋体" w:cs="宋体"/>
                <w:kern w:val="0"/>
                <w:szCs w:val="21"/>
              </w:rPr>
              <w:t>内容、要求</w:t>
            </w:r>
          </w:p>
        </w:tc>
      </w:tr>
      <w:tr w14:paraId="4FDADD1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4B636DD">
            <w:pPr>
              <w:widowControl/>
              <w:spacing w:line="460" w:lineRule="atLeast"/>
              <w:jc w:val="center"/>
              <w:rPr>
                <w:rFonts w:hint="eastAsia" w:ascii="宋体" w:hAnsi="宋体" w:cs="宋体"/>
                <w:kern w:val="0"/>
                <w:szCs w:val="21"/>
              </w:rPr>
            </w:pPr>
            <w:r>
              <w:rPr>
                <w:rFonts w:hint="eastAsia" w:ascii="宋体" w:hAnsi="宋体" w:cs="宋体"/>
                <w:kern w:val="0"/>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6367E5">
            <w:pPr>
              <w:widowControl/>
              <w:snapToGrid w:val="0"/>
              <w:spacing w:line="440" w:lineRule="exact"/>
              <w:jc w:val="left"/>
              <w:outlineLvl w:val="0"/>
              <w:rPr>
                <w:rFonts w:hint="eastAsia" w:ascii="宋体" w:hAnsi="宋体" w:cs="宋体"/>
                <w:szCs w:val="21"/>
                <w:shd w:val="clear" w:color="auto" w:fill="FFFFFF"/>
              </w:rPr>
            </w:pPr>
            <w:bookmarkStart w:id="37" w:name="_Toc27817"/>
            <w:bookmarkStart w:id="38" w:name="_Toc9566"/>
            <w:bookmarkStart w:id="39" w:name="_Toc30169"/>
            <w:r>
              <w:rPr>
                <w:rFonts w:hint="eastAsia" w:ascii="宋体" w:hAnsi="宋体" w:cs="宋体"/>
              </w:rPr>
              <w:t>1.1项目名称：</w:t>
            </w:r>
            <w:bookmarkEnd w:id="37"/>
            <w:bookmarkEnd w:id="38"/>
            <w:bookmarkEnd w:id="39"/>
            <w:bookmarkStart w:id="40" w:name="_Toc28320"/>
            <w:bookmarkStart w:id="41" w:name="_Toc23424"/>
            <w:bookmarkStart w:id="42" w:name="_Toc29400"/>
            <w:r>
              <w:rPr>
                <w:rFonts w:hint="eastAsia" w:ascii="宋体" w:hAnsi="宋体" w:cs="宋体"/>
                <w:szCs w:val="21"/>
                <w:shd w:val="clear" w:color="auto" w:fill="FFFFFF"/>
              </w:rPr>
              <w:t>驻马店市中心医院病房改造提升项目初步设计</w:t>
            </w:r>
          </w:p>
          <w:p w14:paraId="59958B17">
            <w:pPr>
              <w:widowControl/>
              <w:snapToGrid w:val="0"/>
              <w:spacing w:line="440" w:lineRule="exact"/>
              <w:jc w:val="left"/>
              <w:outlineLvl w:val="0"/>
              <w:rPr>
                <w:rFonts w:hint="eastAsia" w:ascii="宋体" w:hAnsi="宋体" w:cs="宋体"/>
              </w:rPr>
            </w:pPr>
            <w:r>
              <w:rPr>
                <w:rFonts w:hint="eastAsia" w:ascii="宋体" w:hAnsi="宋体" w:cs="宋体"/>
              </w:rPr>
              <w:t>1.2采购人名称：</w:t>
            </w:r>
            <w:bookmarkEnd w:id="40"/>
            <w:bookmarkEnd w:id="41"/>
            <w:bookmarkEnd w:id="42"/>
            <w:r>
              <w:rPr>
                <w:rFonts w:hint="eastAsia" w:ascii="宋体" w:hAnsi="宋体" w:cs="宋体"/>
              </w:rPr>
              <w:t>驻马店市中心医院</w:t>
            </w:r>
          </w:p>
          <w:p w14:paraId="5905D575">
            <w:pPr>
              <w:widowControl/>
              <w:snapToGrid w:val="0"/>
              <w:spacing w:line="440" w:lineRule="exact"/>
              <w:jc w:val="left"/>
              <w:outlineLvl w:val="0"/>
              <w:rPr>
                <w:rFonts w:hint="eastAsia" w:ascii="宋体" w:hAnsi="宋体" w:cs="宋体"/>
              </w:rPr>
            </w:pPr>
            <w:bookmarkStart w:id="43" w:name="_Toc24541"/>
            <w:bookmarkStart w:id="44" w:name="_Toc26199"/>
            <w:bookmarkStart w:id="45" w:name="_Toc3148"/>
            <w:r>
              <w:rPr>
                <w:rFonts w:hint="eastAsia" w:ascii="宋体" w:hAnsi="宋体" w:cs="宋体"/>
              </w:rPr>
              <w:t>1.3采购范围：详见第二章采购需求</w:t>
            </w:r>
            <w:bookmarkEnd w:id="43"/>
            <w:bookmarkEnd w:id="44"/>
            <w:bookmarkEnd w:id="45"/>
          </w:p>
        </w:tc>
      </w:tr>
      <w:tr w14:paraId="5E23921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61AC28">
            <w:pPr>
              <w:widowControl/>
              <w:spacing w:line="460" w:lineRule="atLeast"/>
              <w:jc w:val="center"/>
              <w:rPr>
                <w:rFonts w:hint="eastAsia" w:ascii="宋体" w:hAnsi="宋体" w:cs="宋体"/>
                <w:kern w:val="0"/>
                <w:szCs w:val="21"/>
              </w:rPr>
            </w:pPr>
            <w:r>
              <w:rPr>
                <w:rFonts w:hint="eastAsia" w:ascii="宋体" w:hAnsi="宋体" w:cs="宋体"/>
                <w:kern w:val="0"/>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0162F5B">
            <w:pPr>
              <w:widowControl/>
              <w:spacing w:line="440" w:lineRule="exact"/>
              <w:rPr>
                <w:rFonts w:hint="eastAsia" w:ascii="宋体" w:hAnsi="宋体" w:cs="宋体"/>
                <w:kern w:val="0"/>
                <w:szCs w:val="21"/>
              </w:rPr>
            </w:pPr>
            <w:r>
              <w:rPr>
                <w:rFonts w:hint="eastAsia" w:ascii="宋体" w:hAnsi="宋体" w:cs="宋体"/>
                <w:kern w:val="0"/>
                <w:szCs w:val="21"/>
              </w:rPr>
              <w:t>合格供应商：具备采购公告第二项规定的条件。</w:t>
            </w:r>
          </w:p>
        </w:tc>
      </w:tr>
      <w:tr w14:paraId="25317FCB">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5A7987B">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991554A">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采购预算：</w:t>
            </w:r>
            <w:r>
              <w:rPr>
                <w:rFonts w:hint="eastAsia" w:ascii="宋体" w:hAnsi="宋体" w:cs="宋体"/>
                <w:szCs w:val="21"/>
                <w:shd w:val="clear" w:color="auto" w:fill="FFFFFF"/>
              </w:rPr>
              <w:t>48万元；</w:t>
            </w:r>
          </w:p>
          <w:p w14:paraId="3781D0F9">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3.1 本项目以人民币报价。</w:t>
            </w:r>
          </w:p>
          <w:p w14:paraId="0A3AB92D">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3.2 供应商的报价超过采购预算，采购人不能支付的，按废标处理。</w:t>
            </w:r>
          </w:p>
          <w:p w14:paraId="09DEA93A">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3.3 本项目由成交供应商缴纳招标代理服务费。代理服务费不得高于《招代理机构服务管理暂行办法》（计价格[2002]1980号）相应标准：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3C53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w:tcPr>
                <w:p w14:paraId="3E0EBA30">
                  <w:pPr>
                    <w:widowControl/>
                    <w:snapToGrid w:val="0"/>
                    <w:rPr>
                      <w:rFonts w:hint="eastAsia" w:ascii="宋体" w:hAnsi="宋体" w:cs="宋体"/>
                      <w:b/>
                      <w:bCs/>
                      <w:kern w:val="0"/>
                      <w:szCs w:val="21"/>
                    </w:rPr>
                  </w:pPr>
                  <w:r>
                    <w:rPr>
                      <w:b/>
                      <w:bCs/>
                    </w:rPr>
                    <mc:AlternateContent>
                      <mc:Choice Requires="wps">
                        <w:drawing>
                          <wp:anchor distT="0" distB="0" distL="114300" distR="114300" simplePos="0" relativeHeight="251659264" behindDoc="0" locked="0" layoutInCell="1" allowOverlap="1">
                            <wp:simplePos x="0" y="0"/>
                            <wp:positionH relativeFrom="column">
                              <wp:posOffset>934085</wp:posOffset>
                            </wp:positionH>
                            <wp:positionV relativeFrom="paragraph">
                              <wp:posOffset>80010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32FE01C">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55pt;margin-top:6.3pt;height:24.05pt;width:76.4pt;z-index:251659264;mso-width-relative:page;mso-height-relative:page;" fillcolor="#FFFFFF [3201]" filled="t" stroked="f" coordsize="21600,21600" o:gfxdata="UEsDBAoAAAAAAIdO4kAAAAAAAAAAAAAAAAAEAAAAZHJzL1BLAwQUAAAACACHTuJAhywJkdQAAAAJ&#10;AQAADwAAAGRycy9kb3ducmV2LnhtbE2PTU/DMAyG70j8h8hI3FjSaupoaboDElcktrFz1pi2InGq&#10;JPv89ZgT3PzKj14/btcX78QJY5oCaSgWCgRSH+xEg4bd9u3pGUTKhqxxgVDDFROsu/u71jQ2nOkD&#10;T5s8CC6h1BgNY85zI2XqR/QmLcKMxLuvEL3JHOMgbTRnLvdOlkpV0puJ+MJoZnwdsf/eHL2G/eBv&#10;+89ijqP1bknvt+t2FyatHx8K9QIi4yX/wfCrz+rQsdMhHMkm4TgvVwWjPJQVCAbKuq5BHDRUagWy&#10;a+X/D7ofUEsDBBQAAAAIAIdO4kDcTRLkXAIAAJoEAAAOAAAAZHJzL2Uyb0RvYy54bWytVM1u2zAM&#10;vg/YOwi6r3b+mjSIU2QtMgwo1gLdsLMiy7EASdQkJXb3ANsb9LTL7nuuPsco2WmzboceloNDiZ8/&#10;kh9JL85brcheOC/BFHRwklMiDIdSmm1BP31cv5lR4gMzJVNgREHvhKfny9evFo2diyHUoErhCJIY&#10;P29sQesQ7DzLPK+FZv4ErDDorMBpFvDotlnpWIPsWmXDPD/NGnCldcCF93h72Tlpz+heQghVJbm4&#10;BL7TwoSO1QnFApbka2k9XaZsq0rwcF1VXgSiCoqVhvTEIGhv4jNbLth865itJe9TYC9J4VlNmkmD&#10;QR+pLllgZOfkX1RacgceqnDCQWddIUkRrGKQP9PmtmZWpFpQam8fRff/j5Z/2N84IsuCTigxTGPD&#10;H+6/P/z49fDzG5lEeRrr54i6tYgL7VtocWgO9x4vY9Vt5XT8x3pI9J9OR8MhEt4VdDwdTWajXmjR&#10;BsIRcDbNhzNsAUfAKJ+MRylS9kRknQ/vBGgSjYI67GOSl+2vfMCkEHqAxLgelCzXUql0cNvNhXJk&#10;z7Dn6/SL+eIrf8CUIU1BT0eTPDEbiO93OGUQHuvu6otWaDdtL8YGyjvUwkE3TN7ytcQsr5gPN8zh&#10;9GBhuF/hGh+VAgwCvUVJDe7rv+4jHpuKXkoanMaC+i875gQl6r3Bdp8NxuM4vukwnkyHeHDHns2x&#10;x+z0BWDxA9xky5MZ8UEdzMqB/oxruIpR0cUMx9gFDQfzInQ7gmvMxWqVQDiwloUrc2t5pI5SG1jt&#10;AlQytSTK1GnTq4cjm2Tv1yvuxPE5oZ4+Kc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hywJkdQA&#10;AAAJAQAADwAAAAAAAAABACAAAAAiAAAAZHJzL2Rvd25yZXYueG1sUEsBAhQAFAAAAAgAh07iQNxN&#10;EuRcAgAAmgQAAA4AAAAAAAAAAQAgAAAAIwEAAGRycy9lMm9Eb2MueG1sUEsFBgAAAAAGAAYAWQEA&#10;APEFAAAAAA==&#10;">
                            <v:fill on="t" focussize="0,0"/>
                            <v:stroke on="f" weight="0.5pt"/>
                            <v:imagedata o:title=""/>
                            <o:lock v:ext="edit" aspectratio="f"/>
                            <v:textbox>
                              <w:txbxContent>
                                <w:p w14:paraId="332FE01C">
                                  <w:r>
                                    <w:rPr>
                                      <w:rFonts w:hint="eastAsia"/>
                                      <w:b/>
                                      <w:bCs/>
                                    </w:rPr>
                                    <w:t>服务费率类</w:t>
                                  </w:r>
                                  <w:r>
                                    <w:rPr>
                                      <w:rFonts w:hint="eastAsia"/>
                                    </w:rPr>
                                    <w:t>型</w:t>
                                  </w:r>
                                </w:p>
                              </w:txbxContent>
                            </v:textbox>
                          </v:shape>
                        </w:pict>
                      </mc:Fallback>
                    </mc:AlternateContent>
                  </w:r>
                </w:p>
                <w:p w14:paraId="56098C0B">
                  <w:pPr>
                    <w:widowControl/>
                    <w:snapToGrid w:val="0"/>
                    <w:spacing w:line="440" w:lineRule="exact"/>
                    <w:jc w:val="center"/>
                    <w:rPr>
                      <w:rFonts w:hint="eastAsia" w:ascii="宋体" w:hAnsi="宋体" w:cs="宋体"/>
                      <w:b/>
                      <w:bCs/>
                      <w:kern w:val="0"/>
                      <w:szCs w:val="21"/>
                    </w:rPr>
                  </w:pPr>
                  <w:r>
                    <w:rPr>
                      <w:b/>
                      <w:bCs/>
                    </w:rPr>
                    <mc:AlternateContent>
                      <mc:Choice Requires="wps">
                        <w:drawing>
                          <wp:anchor distT="0" distB="0" distL="114300" distR="114300" simplePos="0" relativeHeight="251660288" behindDoc="0" locked="0" layoutInCell="1" allowOverlap="1">
                            <wp:simplePos x="0" y="0"/>
                            <wp:positionH relativeFrom="column">
                              <wp:posOffset>127000</wp:posOffset>
                            </wp:positionH>
                            <wp:positionV relativeFrom="paragraph">
                              <wp:posOffset>218440</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E543F6A">
                                        <w:pPr>
                                          <w:rPr>
                                            <w:b/>
                                            <w:bCs/>
                                          </w:rPr>
                                        </w:pPr>
                                        <w:r>
                                          <w:rPr>
                                            <w:rFonts w:hint="eastAsia"/>
                                            <w:b/>
                                            <w:bCs/>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17.2pt;height:22.5pt;width:66.65pt;z-index:251660288;mso-width-relative:page;mso-height-relative:page;" fillcolor="#FFFFFF [3201]" filled="t" stroked="f" coordsize="21600,21600" o:gfxdata="UEsDBAoAAAAAAIdO4kAAAAAAAAAAAAAAAAAEAAAAZHJzL1BLAwQUAAAACACHTuJAlhVd9dMAAAAI&#10;AQAADwAAAGRycy9kb3ducmV2LnhtbE2Py07DMBBF90j8gzVI7KgTEh4NmXSBxBaJtnTtxtM4wh5H&#10;tvv8etwVLEf36twz7eLkrDhQiKNnhHJWgCDuvR55QFivPh5eQcSkWCvrmRDOFGHR3d60qtH+yF90&#10;WKZBZAjHRiGYlKZGytgbcirO/EScs50PTqV8hkHqoI4Z7qx8LIpn6dTIecGoid4N9T/LvUPYDO6y&#10;+S6nYLSzNX9ezqu1HxHv78riDUSiU/orw1U/q0OXnbZ+zzoKi5DpuYlQ1TWIa/5UVSC2CC/zGmTX&#10;yv8PdL9QSwMEFAAAAAgAh07iQN4mIXtbAgAAmgQAAA4AAABkcnMvZTJvRG9jLnhtbK1UwW4TMRC9&#10;I/EPlu90N+kmbaNsqpAqCKmilQri7Hi9WUu2x9hOdssHwB/0xIU739XvYOzdtKVw6IEcnLHneWbe&#10;88zOzzutyF44L8GUdHSUUyIMh0qabUk/fVy/OaXEB2YqpsCIkt4KT88Xr1/NWzsTY2hAVcIRDGL8&#10;rLUlbUKwsyzzvBGa+SOwwqCzBqdZwK3bZpVjLUbXKhvn+TRrwVXWARfe4+lF76RDRPeSgFDXkosL&#10;4DstTOijOqFYQEq+kdbTRaq2rgUPV3XtRSCqpMg0pBWToL2Ja7aYs9nWMdtIPpTAXlLCM06aSYNJ&#10;H0JdsMDIzsm/QmnJHXiowxEHnfVEkiLIYpQ/0+amYVYkLii1tw+i+/8Xln/YXzsiq5IWlBim8cHv&#10;777f//h1//MbKaI8rfUzRN1YxIXuLXTYNIdzj4eRdVc7Hf+RD4n+47OTPEeJb0s6GY3zaTEILbpA&#10;OAJOi2kxmVDCETA+nZxMkj97DGSdD+8EaBKNkjp8xyQv21/6gEUh9ACJeT0oWa2lUmnjtpuVcmTP&#10;8M3X6RfrxSt/wJQhbUmnx5g73jIQ7/c4ZRAeeff8ohW6TTeIsYHqFrVw0DeTt3wtscpL5sM1c9g9&#10;SBznK1zhUivAJDBYlDTgvv7rPOLxUdFLSYvdWFL/ZcecoES9N/jcZ6MCNSQhbYrJyRg37qln89Rj&#10;dnoFSH6Ek2x5MiM+qINZO9CfcQyXMSu6mOGYu6ThYK5CPyM4xlwslwmEDWtZuDQ3lsfQvWjLXYBa&#10;pieJMvXaDOphyybZh/GKM/F0n1CPn5TF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YVXfXTAAAA&#10;CAEAAA8AAAAAAAAAAQAgAAAAIgAAAGRycy9kb3ducmV2LnhtbFBLAQIUABQAAAAIAIdO4kDeJiF7&#10;WwIAAJoEAAAOAAAAAAAAAAEAIAAAACIBAABkcnMvZTJvRG9jLnhtbFBLBQYAAAAABgAGAFkBAADv&#10;BQAAAAA=&#10;">
                            <v:fill on="t" focussize="0,0"/>
                            <v:stroke on="f" weight="0.5pt"/>
                            <v:imagedata o:title=""/>
                            <o:lock v:ext="edit" aspectratio="f"/>
                            <v:textbox>
                              <w:txbxContent>
                                <w:p w14:paraId="1E543F6A">
                                  <w:pPr>
                                    <w:rPr>
                                      <w:b/>
                                      <w:bCs/>
                                    </w:rPr>
                                  </w:pPr>
                                  <w:r>
                                    <w:rPr>
                                      <w:rFonts w:hint="eastAsia"/>
                                      <w:b/>
                                      <w:bCs/>
                                    </w:rPr>
                                    <w:t>中标金额</w:t>
                                  </w:r>
                                </w:p>
                              </w:txbxContent>
                            </v:textbox>
                          </v:shape>
                        </w:pict>
                      </mc:Fallback>
                    </mc:AlternateContent>
                  </w:r>
                </w:p>
              </w:tc>
              <w:tc>
                <w:tcPr>
                  <w:tcW w:w="1605" w:type="dxa"/>
                  <w:vAlign w:val="center"/>
                </w:tcPr>
                <w:p w14:paraId="474E5C36">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货物招标</w:t>
                  </w:r>
                </w:p>
              </w:tc>
              <w:tc>
                <w:tcPr>
                  <w:tcW w:w="1560" w:type="dxa"/>
                  <w:vAlign w:val="center"/>
                </w:tcPr>
                <w:p w14:paraId="243451C5">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服务招标</w:t>
                  </w:r>
                </w:p>
              </w:tc>
              <w:tc>
                <w:tcPr>
                  <w:tcW w:w="1380" w:type="dxa"/>
                  <w:vAlign w:val="center"/>
                </w:tcPr>
                <w:p w14:paraId="0631B75B">
                  <w:pPr>
                    <w:widowControl/>
                    <w:snapToGrid w:val="0"/>
                    <w:spacing w:line="440" w:lineRule="exact"/>
                    <w:jc w:val="center"/>
                    <w:rPr>
                      <w:rFonts w:hint="eastAsia" w:ascii="宋体" w:hAnsi="宋体" w:cs="宋体"/>
                      <w:b/>
                      <w:bCs/>
                      <w:kern w:val="0"/>
                      <w:szCs w:val="21"/>
                    </w:rPr>
                  </w:pPr>
                  <w:r>
                    <w:rPr>
                      <w:rFonts w:hint="eastAsia" w:ascii="宋体" w:hAnsi="宋体" w:cs="宋体"/>
                      <w:b/>
                      <w:bCs/>
                      <w:kern w:val="0"/>
                      <w:szCs w:val="21"/>
                    </w:rPr>
                    <w:t>工程招标</w:t>
                  </w:r>
                </w:p>
              </w:tc>
            </w:tr>
            <w:tr w14:paraId="234B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75249740">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100万元以下</w:t>
                  </w:r>
                </w:p>
              </w:tc>
              <w:tc>
                <w:tcPr>
                  <w:tcW w:w="1605" w:type="dxa"/>
                  <w:vAlign w:val="center"/>
                </w:tcPr>
                <w:p w14:paraId="17CB70A8">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560" w:type="dxa"/>
                  <w:vAlign w:val="center"/>
                </w:tcPr>
                <w:p w14:paraId="72ADA0FD">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1.5%</w:t>
                  </w:r>
                </w:p>
              </w:tc>
              <w:tc>
                <w:tcPr>
                  <w:tcW w:w="1380" w:type="dxa"/>
                  <w:vAlign w:val="center"/>
                </w:tcPr>
                <w:p w14:paraId="0A060073">
                  <w:pPr>
                    <w:widowControl/>
                    <w:snapToGrid w:val="0"/>
                    <w:spacing w:line="440" w:lineRule="exact"/>
                    <w:jc w:val="center"/>
                    <w:rPr>
                      <w:rFonts w:hint="eastAsia" w:ascii="宋体" w:hAnsi="宋体" w:cs="宋体"/>
                      <w:kern w:val="0"/>
                      <w:szCs w:val="21"/>
                    </w:rPr>
                  </w:pPr>
                  <w:r>
                    <w:rPr>
                      <w:rFonts w:hint="eastAsia" w:ascii="宋体" w:hAnsi="宋体" w:cs="宋体"/>
                      <w:kern w:val="0"/>
                      <w:szCs w:val="21"/>
                    </w:rPr>
                    <w:t>1.0%</w:t>
                  </w:r>
                </w:p>
              </w:tc>
            </w:tr>
          </w:tbl>
          <w:p w14:paraId="35374A7D">
            <w:pPr>
              <w:widowControl/>
              <w:snapToGrid w:val="0"/>
              <w:spacing w:line="440" w:lineRule="exact"/>
              <w:jc w:val="left"/>
              <w:rPr>
                <w:rFonts w:hint="eastAsia" w:ascii="宋体" w:hAnsi="宋体" w:cs="宋体"/>
                <w:kern w:val="0"/>
                <w:szCs w:val="21"/>
              </w:rPr>
            </w:pPr>
          </w:p>
        </w:tc>
      </w:tr>
      <w:tr w14:paraId="770A470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00552D">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2D095A8">
            <w:pPr>
              <w:widowControl/>
              <w:spacing w:line="440" w:lineRule="exact"/>
              <w:jc w:val="left"/>
              <w:rPr>
                <w:rFonts w:hint="eastAsia" w:ascii="宋体" w:hAnsi="宋体" w:cs="宋体"/>
                <w:kern w:val="0"/>
                <w:szCs w:val="21"/>
              </w:rPr>
            </w:pPr>
            <w:r>
              <w:rPr>
                <w:rFonts w:hint="eastAsia" w:ascii="宋体" w:hAnsi="宋体" w:cs="宋体"/>
                <w:kern w:val="0"/>
                <w:szCs w:val="21"/>
              </w:rPr>
              <w:t>现场踏勘或标前答疑：本项目不组织现场踏勘或标前答疑会。</w:t>
            </w:r>
          </w:p>
        </w:tc>
      </w:tr>
      <w:tr w14:paraId="455B4F0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5431E2">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90A90A2">
            <w:pPr>
              <w:widowControl/>
              <w:snapToGrid w:val="0"/>
              <w:spacing w:line="440" w:lineRule="exact"/>
              <w:jc w:val="left"/>
              <w:rPr>
                <w:rFonts w:hint="eastAsia" w:ascii="宋体" w:hAnsi="宋体" w:cs="宋体"/>
              </w:rPr>
            </w:pPr>
            <w:r>
              <w:rPr>
                <w:rFonts w:hint="eastAsia" w:ascii="宋体" w:hAnsi="宋体" w:cs="宋体"/>
              </w:rPr>
              <w:t>响应文件组成：纸质响应文件正本1份、副本2份。</w:t>
            </w:r>
          </w:p>
        </w:tc>
      </w:tr>
      <w:tr w14:paraId="70D8C99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AF4620A">
            <w:pPr>
              <w:widowControl/>
              <w:snapToGrid w:val="0"/>
              <w:jc w:val="center"/>
              <w:rPr>
                <w:rFonts w:hint="eastAsia" w:ascii="宋体" w:hAnsi="宋体" w:cs="宋体"/>
                <w:kern w:val="0"/>
                <w:szCs w:val="21"/>
              </w:rPr>
            </w:pPr>
            <w:r>
              <w:rPr>
                <w:rFonts w:hint="eastAsia" w:ascii="宋体" w:hAnsi="宋体" w:cs="宋体"/>
                <w:kern w:val="0"/>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61FBF0">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磋商截止时间及开标时间：</w:t>
            </w:r>
            <w:r>
              <w:rPr>
                <w:rFonts w:hint="eastAsia" w:ascii="宋体" w:hAnsi="宋体" w:cs="宋体"/>
                <w:szCs w:val="21"/>
              </w:rPr>
              <w:t>另行通知</w:t>
            </w:r>
          </w:p>
          <w:p w14:paraId="060B0C05">
            <w:pPr>
              <w:widowControl/>
              <w:snapToGrid w:val="0"/>
              <w:spacing w:line="440" w:lineRule="exact"/>
              <w:jc w:val="left"/>
              <w:rPr>
                <w:rFonts w:hint="eastAsia" w:ascii="宋体" w:hAnsi="宋体" w:cs="宋体"/>
                <w:kern w:val="0"/>
                <w:szCs w:val="21"/>
              </w:rPr>
            </w:pPr>
            <w:r>
              <w:rPr>
                <w:rFonts w:hint="eastAsia" w:ascii="宋体" w:hAnsi="宋体" w:cs="宋体"/>
                <w:kern w:val="0"/>
                <w:szCs w:val="21"/>
              </w:rPr>
              <w:t>响应文件递交地点及开标地点：</w:t>
            </w:r>
            <w:r>
              <w:rPr>
                <w:rFonts w:hint="eastAsia" w:ascii="宋体" w:hAnsi="宋体" w:cs="宋体"/>
                <w:szCs w:val="21"/>
              </w:rPr>
              <w:t>另行通知</w:t>
            </w:r>
            <w:r>
              <w:rPr>
                <w:rFonts w:hint="eastAsia" w:ascii="宋体" w:hAnsi="宋体" w:cs="宋体"/>
                <w:kern w:val="0"/>
                <w:szCs w:val="21"/>
              </w:rPr>
              <w:t>。</w:t>
            </w:r>
          </w:p>
        </w:tc>
      </w:tr>
      <w:tr w14:paraId="78699BA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7BACBBF">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4273E38">
            <w:pPr>
              <w:spacing w:line="440" w:lineRule="exact"/>
              <w:rPr>
                <w:rFonts w:hint="eastAsia" w:ascii="宋体" w:hAnsi="宋体" w:cs="宋体"/>
                <w:szCs w:val="21"/>
              </w:rPr>
            </w:pPr>
            <w:r>
              <w:rPr>
                <w:rFonts w:hint="eastAsia" w:ascii="宋体" w:hAnsi="宋体" w:cs="宋体"/>
                <w:szCs w:val="21"/>
              </w:rPr>
              <w:t>磋商小组成</w:t>
            </w:r>
            <w:r>
              <w:rPr>
                <w:rFonts w:hint="eastAsia" w:ascii="宋体" w:hAnsi="宋体" w:cs="宋体"/>
                <w:kern w:val="0"/>
                <w:szCs w:val="21"/>
              </w:rPr>
              <w:t>员：</w:t>
            </w:r>
            <w:r>
              <w:rPr>
                <w:rFonts w:hint="eastAsia" w:ascii="宋体" w:hAnsi="宋体" w:cs="宋体"/>
                <w:szCs w:val="21"/>
              </w:rPr>
              <w:t>3</w:t>
            </w:r>
            <w:r>
              <w:rPr>
                <w:rFonts w:hint="eastAsia" w:ascii="宋体" w:hAnsi="宋体" w:cs="宋体"/>
              </w:rPr>
              <w:t>人及以上单数</w:t>
            </w:r>
            <w:r>
              <w:rPr>
                <w:rFonts w:hint="eastAsia" w:ascii="宋体" w:hAnsi="宋体" w:cs="宋体"/>
                <w:kern w:val="0"/>
                <w:szCs w:val="21"/>
              </w:rPr>
              <w:t>。</w:t>
            </w:r>
          </w:p>
          <w:p w14:paraId="508AD065">
            <w:pPr>
              <w:widowControl/>
              <w:spacing w:line="460" w:lineRule="atLeast"/>
              <w:rPr>
                <w:rFonts w:hint="eastAsia" w:ascii="宋体" w:hAnsi="宋体" w:cs="宋体"/>
                <w:kern w:val="0"/>
                <w:szCs w:val="21"/>
              </w:rPr>
            </w:pPr>
            <w:r>
              <w:rPr>
                <w:rFonts w:hint="eastAsia" w:ascii="宋体" w:hAnsi="宋体" w:cs="宋体"/>
                <w:szCs w:val="21"/>
              </w:rPr>
              <w:t>专家确定</w:t>
            </w:r>
            <w:r>
              <w:rPr>
                <w:rFonts w:hint="eastAsia" w:ascii="宋体" w:hAnsi="宋体" w:cs="宋体"/>
                <w:kern w:val="0"/>
                <w:szCs w:val="21"/>
              </w:rPr>
              <w:t>方式：由评审专家、采购人代表组成</w:t>
            </w:r>
          </w:p>
        </w:tc>
      </w:tr>
      <w:tr w14:paraId="7456833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85B4F5">
            <w:pPr>
              <w:widowControl/>
              <w:jc w:val="center"/>
              <w:rPr>
                <w:rFonts w:hint="eastAsia" w:ascii="宋体" w:hAnsi="宋体" w:cs="宋体"/>
                <w:kern w:val="0"/>
                <w:szCs w:val="21"/>
              </w:rPr>
            </w:pPr>
            <w:r>
              <w:rPr>
                <w:rFonts w:hint="eastAsia" w:ascii="宋体" w:hAnsi="宋体" w:cs="宋体"/>
                <w:kern w:val="0"/>
                <w:szCs w:val="21"/>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27BD991">
            <w:pPr>
              <w:rPr>
                <w:rFonts w:hint="eastAsia" w:ascii="宋体" w:hAnsi="宋体" w:cs="宋体"/>
                <w:kern w:val="0"/>
                <w:szCs w:val="21"/>
              </w:rPr>
            </w:pPr>
            <w:r>
              <w:rPr>
                <w:rFonts w:hint="eastAsia" w:ascii="宋体" w:hAnsi="宋体" w:cs="宋体"/>
                <w:szCs w:val="21"/>
              </w:rPr>
              <w:t>评标办法：</w:t>
            </w:r>
            <w:r>
              <w:rPr>
                <w:rFonts w:hint="eastAsia" w:ascii="宋体" w:hAnsi="宋体" w:cs="宋体"/>
                <w:kern w:val="0"/>
                <w:szCs w:val="21"/>
              </w:rPr>
              <w:t>本项目采用</w:t>
            </w:r>
            <w:r>
              <w:rPr>
                <w:rFonts w:hint="eastAsia" w:ascii="宋体" w:hAnsi="宋体" w:cs="宋体"/>
                <w:szCs w:val="21"/>
              </w:rPr>
              <w:t>综合评分法</w:t>
            </w:r>
            <w:r>
              <w:rPr>
                <w:rFonts w:hint="eastAsia" w:ascii="宋体" w:hAnsi="宋体" w:cs="宋体"/>
                <w:kern w:val="0"/>
                <w:szCs w:val="21"/>
              </w:rPr>
              <w:t>。</w:t>
            </w:r>
          </w:p>
        </w:tc>
      </w:tr>
      <w:tr w14:paraId="315AC09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5F4B244">
            <w:pPr>
              <w:widowControl/>
              <w:spacing w:line="460" w:lineRule="atLeast"/>
              <w:jc w:val="center"/>
              <w:rPr>
                <w:rFonts w:hint="eastAsia" w:ascii="宋体" w:hAnsi="宋体" w:cs="宋体"/>
                <w:kern w:val="0"/>
                <w:szCs w:val="21"/>
              </w:rPr>
            </w:pPr>
            <w:r>
              <w:rPr>
                <w:rFonts w:hint="eastAsia" w:ascii="宋体" w:hAnsi="宋体" w:cs="宋体"/>
                <w:kern w:val="0"/>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67BA17">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2F00E2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9B88EC">
            <w:pPr>
              <w:widowControl/>
              <w:spacing w:line="460" w:lineRule="atLeast"/>
              <w:jc w:val="center"/>
              <w:rPr>
                <w:rFonts w:hint="eastAsia" w:ascii="宋体" w:hAnsi="宋体" w:cs="宋体"/>
                <w:kern w:val="0"/>
                <w:szCs w:val="21"/>
              </w:rPr>
            </w:pPr>
            <w:r>
              <w:rPr>
                <w:rFonts w:hint="eastAsia" w:ascii="宋体" w:hAnsi="宋体" w:cs="宋体"/>
                <w:kern w:val="0"/>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E08952">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签订合同：自成交通知书发出之日起30日内。</w:t>
            </w:r>
          </w:p>
        </w:tc>
      </w:tr>
      <w:tr w14:paraId="194627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FFD903A">
            <w:pPr>
              <w:widowControl/>
              <w:spacing w:line="460" w:lineRule="atLeast"/>
              <w:jc w:val="center"/>
              <w:rPr>
                <w:rFonts w:hint="eastAsia" w:ascii="宋体" w:hAnsi="宋体" w:cs="宋体"/>
                <w:kern w:val="0"/>
                <w:szCs w:val="21"/>
              </w:rPr>
            </w:pPr>
            <w:r>
              <w:rPr>
                <w:rFonts w:hint="eastAsia" w:ascii="宋体" w:hAnsi="宋体" w:cs="宋体"/>
                <w:kern w:val="0"/>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D92F176">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采购资金来源：自筹资金。</w:t>
            </w:r>
          </w:p>
        </w:tc>
      </w:tr>
      <w:tr w14:paraId="0009FFF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61F3E8">
            <w:pPr>
              <w:widowControl/>
              <w:spacing w:line="460" w:lineRule="atLeast"/>
              <w:jc w:val="center"/>
              <w:rPr>
                <w:rFonts w:hint="eastAsia" w:ascii="宋体" w:hAnsi="宋体" w:cs="宋体"/>
                <w:kern w:val="0"/>
                <w:szCs w:val="21"/>
              </w:rPr>
            </w:pPr>
            <w:r>
              <w:rPr>
                <w:rFonts w:hint="eastAsia" w:ascii="宋体" w:hAnsi="宋体" w:cs="宋体"/>
                <w:kern w:val="0"/>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D6D72F">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付款方式：详见第二章采购需求。</w:t>
            </w:r>
          </w:p>
        </w:tc>
      </w:tr>
      <w:tr w14:paraId="0F786908">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AE658E">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7AA77E">
            <w:pPr>
              <w:widowControl/>
              <w:spacing w:line="440" w:lineRule="exact"/>
              <w:jc w:val="left"/>
              <w:textAlignment w:val="bottom"/>
              <w:rPr>
                <w:rFonts w:hint="eastAsia" w:ascii="宋体" w:hAnsi="宋体" w:cs="宋体"/>
                <w:kern w:val="0"/>
                <w:szCs w:val="21"/>
              </w:rPr>
            </w:pPr>
            <w:r>
              <w:rPr>
                <w:rFonts w:hint="eastAsia" w:ascii="宋体" w:hAnsi="宋体" w:cs="宋体"/>
                <w:kern w:val="0"/>
                <w:szCs w:val="21"/>
              </w:rPr>
              <w:t>响应文件有效期：响应文件递交截止期结束后60日。成交供应商的响应文件是合同的组成部分,有效期至合同完全履行止。 </w:t>
            </w:r>
          </w:p>
        </w:tc>
      </w:tr>
      <w:tr w14:paraId="11E464B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621A85">
            <w:pPr>
              <w:widowControl/>
              <w:spacing w:line="460" w:lineRule="atLeast"/>
              <w:jc w:val="center"/>
              <w:rPr>
                <w:rFonts w:hint="eastAsia" w:ascii="宋体" w:hAnsi="宋体" w:cs="宋体"/>
                <w:kern w:val="0"/>
                <w:szCs w:val="21"/>
              </w:rPr>
            </w:pPr>
            <w:r>
              <w:rPr>
                <w:rFonts w:hint="eastAsia" w:ascii="宋体" w:hAnsi="宋体" w:cs="宋体"/>
                <w:kern w:val="0"/>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3A02626">
            <w:pPr>
              <w:pStyle w:val="15"/>
              <w:widowControl w:val="0"/>
              <w:snapToGrid w:val="0"/>
              <w:spacing w:beforeAutospacing="0" w:afterAutospacing="0" w:line="360" w:lineRule="auto"/>
              <w:rPr>
                <w:rFonts w:hint="eastAsia"/>
                <w:szCs w:val="21"/>
              </w:rPr>
            </w:pPr>
            <w:r>
              <w:rPr>
                <w:rFonts w:hint="eastAsia"/>
                <w:kern w:val="2"/>
                <w:sz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CC941D6">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1F94D7A">
            <w:pPr>
              <w:widowControl/>
              <w:snapToGrid w:val="0"/>
              <w:spacing w:line="360" w:lineRule="auto"/>
              <w:jc w:val="center"/>
              <w:rPr>
                <w:rFonts w:hint="eastAsia" w:ascii="宋体" w:hAnsi="宋体" w:cs="宋体"/>
                <w:kern w:val="0"/>
                <w:szCs w:val="21"/>
              </w:rPr>
            </w:pPr>
            <w:r>
              <w:rPr>
                <w:rFonts w:hint="eastAsia" w:ascii="宋体" w:hAnsi="宋体" w:cs="宋体"/>
                <w:kern w:val="0"/>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1DF83E">
            <w:pPr>
              <w:spacing w:line="360" w:lineRule="auto"/>
              <w:rPr>
                <w:rFonts w:hint="eastAsia" w:ascii="宋体" w:hAnsi="宋体" w:cs="宋体"/>
                <w:kern w:val="0"/>
                <w:szCs w:val="21"/>
              </w:rPr>
            </w:pPr>
            <w:r>
              <w:rPr>
                <w:rFonts w:hint="eastAsia" w:ascii="宋体" w:hAnsi="宋体" w:cs="宋体"/>
                <w:bCs/>
                <w:kern w:val="0"/>
                <w:szCs w:val="21"/>
              </w:rPr>
              <w:t>质疑和投诉：供应商认为竞争性磋商文件使自己的合法权益受到损害的，</w:t>
            </w:r>
            <w:r>
              <w:rPr>
                <w:rFonts w:hint="eastAsia" w:ascii="宋体" w:hAnsi="宋体" w:cs="宋体"/>
                <w:kern w:val="0"/>
                <w:szCs w:val="21"/>
              </w:rPr>
              <w:t>应当在采购公告期限届满之日(或收到竞争性磋商文件之日)起3个工作日之内向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tc>
      </w:tr>
      <w:tr w14:paraId="626C79A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FEF7B04">
            <w:pPr>
              <w:widowControl/>
              <w:spacing w:line="460" w:lineRule="atLeast"/>
              <w:jc w:val="center"/>
              <w:rPr>
                <w:rFonts w:hint="eastAsia" w:ascii="宋体" w:hAnsi="宋体" w:cs="宋体"/>
                <w:kern w:val="0"/>
                <w:szCs w:val="21"/>
              </w:rPr>
            </w:pPr>
            <w:r>
              <w:rPr>
                <w:rFonts w:hint="eastAsia" w:ascii="宋体" w:hAnsi="宋体" w:cs="宋体"/>
                <w:kern w:val="0"/>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4F4535">
            <w:pPr>
              <w:widowControl/>
              <w:spacing w:line="360" w:lineRule="auto"/>
              <w:jc w:val="left"/>
              <w:textAlignment w:val="bottom"/>
              <w:rPr>
                <w:rFonts w:hint="eastAsia" w:ascii="宋体" w:hAnsi="宋体" w:cs="宋体"/>
              </w:rPr>
            </w:pPr>
            <w:r>
              <w:rPr>
                <w:rFonts w:hint="eastAsia" w:ascii="宋体" w:hAnsi="宋体" w:cs="宋体"/>
              </w:rPr>
              <w:t>解释：1、构成本竞争性磋商文件的各个组成文件应互为解释，互为说明；如有不明确或不一致，构成合同文件组成内容的，以合同文件约定内容为准；除竞争性磋商文件中有特殊规定外，仅适用于招标投标阶段的规定，按采购公告、供应商须知、评标办法、响应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691EECBA">
            <w:pPr>
              <w:widowControl/>
              <w:spacing w:line="360" w:lineRule="auto"/>
              <w:jc w:val="left"/>
              <w:textAlignment w:val="bottom"/>
              <w:rPr>
                <w:rFonts w:hint="eastAsia" w:ascii="宋体" w:hAnsi="宋体" w:cs="宋体"/>
                <w:kern w:val="0"/>
                <w:szCs w:val="21"/>
              </w:rPr>
            </w:pPr>
            <w:r>
              <w:rPr>
                <w:rFonts w:hint="eastAsia" w:ascii="宋体" w:hAnsi="宋体" w:cs="宋体"/>
              </w:rPr>
              <w:t>2、本竞争性磋商文件解释权归采购人。</w:t>
            </w:r>
          </w:p>
        </w:tc>
      </w:tr>
    </w:tbl>
    <w:p w14:paraId="7684E771">
      <w:pPr>
        <w:rPr>
          <w:rFonts w:hint="eastAsia" w:ascii="宋体" w:hAnsi="宋体" w:cs="宋体"/>
        </w:rPr>
      </w:pPr>
    </w:p>
    <w:p w14:paraId="63AFD515">
      <w:pPr>
        <w:snapToGrid w:val="0"/>
        <w:spacing w:line="360" w:lineRule="auto"/>
        <w:jc w:val="center"/>
        <w:outlineLvl w:val="1"/>
        <w:rPr>
          <w:rFonts w:hint="eastAsia" w:ascii="宋体" w:hAnsi="宋体" w:cs="宋体"/>
          <w:kern w:val="0"/>
          <w:sz w:val="24"/>
        </w:rPr>
      </w:pPr>
      <w:bookmarkStart w:id="46" w:name="_Toc4700"/>
      <w:bookmarkStart w:id="47" w:name="_Toc16669"/>
      <w:r>
        <w:rPr>
          <w:rFonts w:hint="eastAsia" w:ascii="宋体" w:hAnsi="宋体" w:cs="宋体"/>
          <w:b/>
          <w:bCs/>
          <w:kern w:val="0"/>
          <w:sz w:val="28"/>
          <w:szCs w:val="28"/>
        </w:rPr>
        <w:t>一 、说 明</w:t>
      </w:r>
    </w:p>
    <w:p w14:paraId="6B8E6A5B">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1.适用范围</w:t>
      </w:r>
    </w:p>
    <w:p w14:paraId="51931C3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本竞争性磋商文件仅适用于采购公告中所叙述项目的服务采购。</w:t>
      </w:r>
    </w:p>
    <w:p w14:paraId="13AD7CD0">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2.定义</w:t>
      </w:r>
    </w:p>
    <w:p w14:paraId="0199F87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2.1“采购人”系指驻马店市中心医院。</w:t>
      </w:r>
    </w:p>
    <w:p w14:paraId="0ADD392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2.2“供应商”系指领取了本竞争性磋商文件，且已经提交本次响应文件的供应商。</w:t>
      </w:r>
    </w:p>
    <w:p w14:paraId="63E6842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1D68C29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2.4“服务”系指供应商按竞争性磋商文件规定向采购人提供的一切工作内容。</w:t>
      </w:r>
    </w:p>
    <w:p w14:paraId="56FE0B19">
      <w:pPr>
        <w:snapToGrid w:val="0"/>
        <w:spacing w:line="360" w:lineRule="auto"/>
        <w:ind w:firstLine="420"/>
        <w:jc w:val="left"/>
        <w:rPr>
          <w:rFonts w:hint="eastAsia" w:ascii="宋体" w:hAnsi="宋体" w:cs="宋体"/>
          <w:b/>
          <w:bCs/>
          <w:kern w:val="0"/>
          <w:szCs w:val="21"/>
        </w:rPr>
      </w:pPr>
      <w:r>
        <w:rPr>
          <w:rFonts w:hint="eastAsia" w:ascii="宋体" w:hAnsi="宋体" w:cs="宋体"/>
          <w:b/>
          <w:bCs/>
          <w:kern w:val="0"/>
          <w:szCs w:val="21"/>
        </w:rPr>
        <w:t>3.采购预算：48万元。</w:t>
      </w:r>
    </w:p>
    <w:p w14:paraId="6AFC9BAA">
      <w:pPr>
        <w:snapToGrid w:val="0"/>
        <w:spacing w:line="360" w:lineRule="auto"/>
        <w:ind w:firstLine="420"/>
        <w:jc w:val="left"/>
        <w:rPr>
          <w:rFonts w:hint="eastAsia" w:ascii="宋体" w:hAnsi="宋体" w:cs="宋体"/>
          <w:szCs w:val="21"/>
        </w:rPr>
      </w:pPr>
      <w:r>
        <w:rPr>
          <w:rFonts w:hint="eastAsia" w:ascii="宋体" w:hAnsi="宋体" w:cs="宋体"/>
          <w:b/>
          <w:bCs/>
          <w:kern w:val="0"/>
          <w:szCs w:val="21"/>
        </w:rPr>
        <w:t>4.供应商应提交的证明文件</w:t>
      </w:r>
    </w:p>
    <w:p w14:paraId="77ECC3F0">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5125BFB4">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30383D6D">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78993AB0">
      <w:pPr>
        <w:widowControl/>
        <w:tabs>
          <w:tab w:val="left" w:pos="840"/>
        </w:tabs>
        <w:snapToGrid w:val="0"/>
        <w:spacing w:line="360"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296D65B4">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4.5、参加本采购活动前三年内，在经营活动中没有重大违法记录（提供书面承诺函）；</w:t>
      </w:r>
    </w:p>
    <w:p w14:paraId="64E3764B">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053DF52A">
      <w:pPr>
        <w:widowControl/>
        <w:tabs>
          <w:tab w:val="left" w:pos="840"/>
        </w:tabs>
        <w:snapToGrid w:val="0"/>
        <w:spacing w:line="324" w:lineRule="auto"/>
        <w:ind w:firstLine="420" w:firstLineChars="200"/>
        <w:jc w:val="left"/>
        <w:rPr>
          <w:rFonts w:hint="eastAsia"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34F2FE89">
      <w:pPr>
        <w:widowControl/>
        <w:tabs>
          <w:tab w:val="left" w:pos="840"/>
        </w:tabs>
        <w:snapToGrid w:val="0"/>
        <w:spacing w:line="324" w:lineRule="auto"/>
        <w:ind w:firstLine="420" w:firstLineChars="200"/>
        <w:jc w:val="left"/>
      </w:pPr>
      <w:r>
        <w:rPr>
          <w:rFonts w:hint="eastAsia" w:ascii="宋体" w:hAnsi="宋体" w:cs="宋体"/>
          <w:szCs w:val="21"/>
          <w:shd w:val="clear" w:color="auto" w:fill="FFFFFF"/>
        </w:rPr>
        <w:t>4.8、供应商须具有建设行政主管部门颁发工程设计综合资质甲级或建筑行业(建筑工程)设计甲级资质，并在人员、设备、资金等方面应具有相应的设计能力；拟派项目负责人须具有一级注册建筑师执业资格。</w:t>
      </w:r>
    </w:p>
    <w:p w14:paraId="691BA309">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5.投标费用</w:t>
      </w:r>
    </w:p>
    <w:p w14:paraId="644A853B">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不论投标结果如何，供应商均应自行承担所有与投标有关的全部费用。</w:t>
      </w:r>
    </w:p>
    <w:p w14:paraId="19E61708">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6.联合体投标：本项目不接受联合体投标。</w:t>
      </w:r>
    </w:p>
    <w:p w14:paraId="2B0E4548">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7.关联企业投标</w:t>
      </w:r>
    </w:p>
    <w:p w14:paraId="5D84978C">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7.1 本竞争性磋商文件所称关联企业,是指存在关联关系的企业。“关联关系”的界定适用《中华人民共和国公司法》第二百一十六条、《中华人民共和国政府采购法实施条例》第十八条之规定。</w:t>
      </w:r>
    </w:p>
    <w:p w14:paraId="42B6BF22">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77CF5D0E">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14:paraId="6931DCE4">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8.转包与分包</w:t>
      </w:r>
    </w:p>
    <w:p w14:paraId="38F40BF1">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8.1本项目不允许采取转包方式履行合同。</w:t>
      </w:r>
    </w:p>
    <w:p w14:paraId="057AF2B9">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8.2本项目不允许采取分包方式履行合同。</w:t>
      </w:r>
    </w:p>
    <w:p w14:paraId="58BE5256">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9.特别说明：</w:t>
      </w:r>
    </w:p>
    <w:p w14:paraId="186990C0">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9.1 供应商投标所使用的资格、信誉、荣誉、业绩与企业认证必须为本法人所拥有。  </w:t>
      </w:r>
    </w:p>
    <w:p w14:paraId="24E2D19F">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9.2 供应商代表只能接受一个供应商的委托参加投标。</w:t>
      </w:r>
    </w:p>
    <w:p w14:paraId="2C907942">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D88B12B">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14:paraId="40019071">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10.质疑和投诉</w:t>
      </w:r>
    </w:p>
    <w:p w14:paraId="170F2661">
      <w:pPr>
        <w:snapToGrid w:val="0"/>
        <w:spacing w:line="360" w:lineRule="auto"/>
        <w:ind w:firstLine="411" w:firstLineChars="196"/>
        <w:jc w:val="left"/>
        <w:rPr>
          <w:rFonts w:hint="eastAsia" w:ascii="宋体" w:hAnsi="宋体" w:cs="宋体"/>
          <w:kern w:val="0"/>
          <w:szCs w:val="21"/>
        </w:rPr>
      </w:pPr>
      <w:r>
        <w:rPr>
          <w:rFonts w:hint="eastAsia" w:ascii="宋体" w:hAnsi="宋体" w:cs="宋体"/>
          <w:kern w:val="0"/>
          <w:szCs w:val="21"/>
        </w:rPr>
        <w:t xml:space="preserve">10.1 </w:t>
      </w:r>
      <w:r>
        <w:rPr>
          <w:rFonts w:hint="eastAsia" w:ascii="宋体" w:hAnsi="宋体" w:cs="宋体"/>
          <w:bCs/>
          <w:kern w:val="0"/>
          <w:szCs w:val="21"/>
        </w:rPr>
        <w:t>供应商认为竞争性磋商文件使自己的合法权益受到损害的，</w:t>
      </w:r>
      <w:r>
        <w:rPr>
          <w:rFonts w:hint="eastAsia" w:ascii="宋体" w:hAnsi="宋体" w:cs="宋体"/>
          <w:kern w:val="0"/>
          <w:szCs w:val="21"/>
        </w:rPr>
        <w:t>应当在采购公告期限届满之日(或收到竞争性磋商文件之日)起3个工作日之内向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3B401D39">
      <w:pPr>
        <w:shd w:val="clear" w:color="auto" w:fill="FFFFFF"/>
        <w:snapToGrid w:val="0"/>
        <w:spacing w:line="360" w:lineRule="auto"/>
        <w:ind w:firstLine="480"/>
        <w:jc w:val="left"/>
        <w:rPr>
          <w:rFonts w:hint="eastAsia" w:ascii="宋体" w:hAnsi="宋体" w:cs="宋体"/>
          <w:kern w:val="0"/>
          <w:szCs w:val="21"/>
        </w:rPr>
      </w:pPr>
      <w:r>
        <w:rPr>
          <w:rFonts w:hint="eastAsia" w:ascii="宋体" w:hAnsi="宋体" w:cs="宋体"/>
          <w:kern w:val="0"/>
          <w:szCs w:val="21"/>
        </w:rPr>
        <w:t xml:space="preserve">10.2 </w:t>
      </w:r>
      <w:r>
        <w:rPr>
          <w:rFonts w:hint="eastAsia" w:ascii="宋体" w:hAnsi="宋体" w:cs="宋体"/>
          <w:bCs/>
          <w:kern w:val="0"/>
          <w:szCs w:val="21"/>
        </w:rPr>
        <w:t>质疑、投诉应当采用书面形式，质疑书、投诉书均应明确阐述竞争性磋商文件、磋商过程和成交结果中使自己合法权益受到损害的实质性内容，提供相关事实、依据和证据及其来源或线索，便于有关单位调查、答复和处理。</w:t>
      </w:r>
    </w:p>
    <w:p w14:paraId="25ADE036">
      <w:pPr>
        <w:snapToGrid w:val="0"/>
        <w:spacing w:line="360" w:lineRule="auto"/>
        <w:ind w:firstLine="420"/>
        <w:jc w:val="left"/>
        <w:rPr>
          <w:rFonts w:hint="eastAsia" w:ascii="宋体" w:hAnsi="宋体" w:cs="宋体"/>
          <w:kern w:val="0"/>
          <w:szCs w:val="21"/>
        </w:rPr>
      </w:pPr>
      <w:r>
        <w:rPr>
          <w:rFonts w:hint="eastAsia" w:ascii="宋体" w:hAnsi="宋体" w:cs="宋体"/>
          <w:b/>
          <w:bCs/>
          <w:kern w:val="0"/>
          <w:szCs w:val="21"/>
        </w:rPr>
        <w:t>11.供应商的风险</w:t>
      </w:r>
    </w:p>
    <w:p w14:paraId="1A7F3C8E">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供应商没有按照竞争性磋商文件要求提供全部资料，或者供应商没有对竞争性磋商文件在各方面都作出实质性响应是供应商的风险，并可能导致其投标被拒绝。</w:t>
      </w:r>
    </w:p>
    <w:p w14:paraId="1E42CB43">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二、竞争性磋商文件</w:t>
      </w:r>
    </w:p>
    <w:p w14:paraId="037C7B3F">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12.竞争性磋商文件的构成。本竞争性磋商文件由以下部分组成：</w:t>
      </w:r>
    </w:p>
    <w:p w14:paraId="5990D25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12.1 竞争性磋商公告</w:t>
      </w:r>
    </w:p>
    <w:p w14:paraId="23E12A4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12.2 采购需求</w:t>
      </w:r>
    </w:p>
    <w:p w14:paraId="101F5F6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12.3 供应商须知</w:t>
      </w:r>
    </w:p>
    <w:p w14:paraId="1E9CA195">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12.4 评标办法</w:t>
      </w:r>
    </w:p>
    <w:p w14:paraId="79EF817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12.5 合同主要条款</w:t>
      </w:r>
    </w:p>
    <w:p w14:paraId="7446456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12.6 响应文件格式</w:t>
      </w:r>
    </w:p>
    <w:p w14:paraId="46E1BA2A">
      <w:pPr>
        <w:snapToGrid w:val="0"/>
        <w:spacing w:line="360" w:lineRule="auto"/>
        <w:ind w:firstLine="417" w:firstLineChars="198"/>
        <w:rPr>
          <w:rFonts w:hint="eastAsia" w:ascii="宋体" w:hAnsi="宋体" w:cs="宋体"/>
          <w:b/>
          <w:bCs/>
          <w:kern w:val="0"/>
          <w:szCs w:val="21"/>
        </w:rPr>
      </w:pPr>
      <w:r>
        <w:rPr>
          <w:rFonts w:hint="eastAsia" w:ascii="宋体" w:hAnsi="宋体" w:cs="宋体"/>
          <w:b/>
          <w:bCs/>
          <w:kern w:val="0"/>
          <w:szCs w:val="21"/>
        </w:rPr>
        <w:t>13.竞争性磋商文件的澄清与修改</w:t>
      </w:r>
    </w:p>
    <w:p w14:paraId="5CAFC22F">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13.1 采购人对已发出的竞争性磋商文件进行必要澄清、修改或补充的，应当在竞争性磋商文件要求提交响应文件截止时间3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前，在原采购公告发布相关媒体上发布更正公告或变更公告。竞争性磋商文件公示期间对竞争性磋商文件进行的澄清、修改或补充不受上述限制。</w:t>
      </w:r>
    </w:p>
    <w:p w14:paraId="5DB9789D">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13.2 竞争性磋商文件澄清、修改或补充的内容为竞争性磋商文件的组成部分。</w:t>
      </w:r>
    </w:p>
    <w:p w14:paraId="2F54FC52">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13.3 竞争性磋商文件的澄清、修改或补充都应以法定形式发布。采购人未对竞争性磋商文件进行的澄清、修改或补充无效，评标时不予认可。</w:t>
      </w:r>
    </w:p>
    <w:p w14:paraId="6A60B518">
      <w:pPr>
        <w:snapToGrid w:val="0"/>
        <w:spacing w:line="360" w:lineRule="auto"/>
        <w:ind w:firstLine="480"/>
        <w:jc w:val="left"/>
        <w:rPr>
          <w:rFonts w:hint="eastAsia"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可以视采购具体情况延长磋商截止时间和磋商时间，但至少应当在竞争性磋商文件要求提交响应文件的截止时间3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1B105BB9">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三、响应文件的编制</w:t>
      </w:r>
    </w:p>
    <w:p w14:paraId="5D9B814D">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14.要求</w:t>
      </w:r>
    </w:p>
    <w:p w14:paraId="31BC508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14.1 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文件应对竞争性磋商文件的要求作出实质性响应（包括供应商资格要求、技术要求、商务要求和响应文件格式中对磋商的要求），供应商对所提供的全部资料的合法性、真实性负责。</w:t>
      </w:r>
    </w:p>
    <w:p w14:paraId="206AE21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供应商应完整签署响应文件格式附件中《竞争性磋商响应书》和《抵制商业贿赂承诺》，不得增减或修改内容。否则视为对竞争性磋商文件未作出实质性响应。</w:t>
      </w:r>
    </w:p>
    <w:p w14:paraId="3F6FDD3A">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15.响应文件的语言和计量单位</w:t>
      </w:r>
    </w:p>
    <w:p w14:paraId="4186CA3E">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6B0993FF">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15.2 关于磋商计量单位，竞争性磋商文件已有明确规定的，使用竞争性磋商文件规定的计量单位；竞争性磋商文件没有规定的，应采用中华人民共和国法定计量单位。否则视为对竞争性磋商文件未作出实质性响应。</w:t>
      </w:r>
    </w:p>
    <w:p w14:paraId="697F97EB">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5EF3FCFE">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513D885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16.1、竞争性磋商响应书</w:t>
      </w:r>
    </w:p>
    <w:p w14:paraId="40A388C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16.2、初次报价一览表</w:t>
      </w:r>
    </w:p>
    <w:p w14:paraId="5CC3361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16.3  技术响应表</w:t>
      </w:r>
    </w:p>
    <w:p w14:paraId="47FE537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16.4、技术要求证明材料</w:t>
      </w:r>
    </w:p>
    <w:p w14:paraId="02D3D60B">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16.5、商务响应表</w:t>
      </w:r>
    </w:p>
    <w:p w14:paraId="13C71C1F">
      <w:pPr>
        <w:snapToGrid w:val="0"/>
        <w:spacing w:line="360" w:lineRule="auto"/>
        <w:ind w:left="208" w:leftChars="99" w:firstLine="210" w:firstLineChars="100"/>
        <w:jc w:val="left"/>
        <w:rPr>
          <w:rFonts w:hint="eastAsia" w:ascii="宋体" w:hAnsi="宋体" w:cs="宋体"/>
          <w:kern w:val="0"/>
          <w:szCs w:val="21"/>
        </w:rPr>
      </w:pPr>
      <w:r>
        <w:rPr>
          <w:rFonts w:hint="eastAsia" w:ascii="宋体" w:hAnsi="宋体" w:cs="宋体"/>
          <w:kern w:val="0"/>
          <w:szCs w:val="21"/>
        </w:rPr>
        <w:t>16.6、法定代表人身份证明</w:t>
      </w:r>
    </w:p>
    <w:p w14:paraId="588E869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16.7、法定代表人授权书</w:t>
      </w:r>
    </w:p>
    <w:p w14:paraId="6ECF0C1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16.8、证明文件</w:t>
      </w:r>
    </w:p>
    <w:p w14:paraId="18101DD6">
      <w:pPr>
        <w:snapToGrid w:val="0"/>
        <w:spacing w:line="360" w:lineRule="auto"/>
        <w:ind w:firstLine="420"/>
        <w:rPr>
          <w:rFonts w:hint="eastAsia" w:ascii="宋体" w:hAnsi="宋体" w:cs="宋体"/>
          <w:kern w:val="0"/>
          <w:szCs w:val="21"/>
        </w:rPr>
      </w:pPr>
      <w:r>
        <w:rPr>
          <w:rFonts w:hint="eastAsia" w:ascii="宋体" w:hAnsi="宋体" w:cs="宋体"/>
          <w:kern w:val="0"/>
          <w:szCs w:val="21"/>
        </w:rPr>
        <w:t>16.9、供应商承诺书</w:t>
      </w:r>
    </w:p>
    <w:p w14:paraId="3D554CDF">
      <w:pPr>
        <w:pStyle w:val="32"/>
        <w:widowControl w:val="0"/>
        <w:snapToGrid w:val="0"/>
        <w:spacing w:beforeAutospacing="0" w:afterAutospacing="0" w:line="360" w:lineRule="auto"/>
        <w:rPr>
          <w:rFonts w:hint="eastAsia"/>
          <w:sz w:val="21"/>
          <w:szCs w:val="21"/>
        </w:rPr>
      </w:pPr>
      <w:r>
        <w:rPr>
          <w:rFonts w:hint="eastAsia"/>
          <w:sz w:val="21"/>
          <w:szCs w:val="21"/>
        </w:rPr>
        <w:t>16.10、供应商信用承诺函</w:t>
      </w:r>
    </w:p>
    <w:p w14:paraId="0C72CE59">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17.响应文件有效期</w:t>
      </w:r>
    </w:p>
    <w:p w14:paraId="2B62DCD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17.1 响应文件从采购公告所规定的投标截止期之后开始生效，在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0ABDDF0C">
      <w:pPr>
        <w:snapToGrid w:val="0"/>
        <w:spacing w:line="360" w:lineRule="auto"/>
        <w:ind w:firstLine="480"/>
        <w:jc w:val="left"/>
        <w:rPr>
          <w:rFonts w:hint="eastAsia"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1228DC7">
      <w:pPr>
        <w:snapToGrid w:val="0"/>
        <w:spacing w:line="360" w:lineRule="auto"/>
        <w:ind w:firstLine="417" w:firstLineChars="198"/>
        <w:rPr>
          <w:rFonts w:hint="eastAsia" w:ascii="宋体" w:hAnsi="宋体" w:cs="宋体"/>
          <w:kern w:val="0"/>
          <w:szCs w:val="21"/>
        </w:rPr>
      </w:pPr>
      <w:r>
        <w:rPr>
          <w:rFonts w:hint="eastAsia" w:ascii="宋体" w:hAnsi="宋体" w:cs="宋体"/>
          <w:b/>
          <w:bCs/>
          <w:kern w:val="0"/>
          <w:szCs w:val="21"/>
        </w:rPr>
        <w:t>18.投标报价</w:t>
      </w:r>
    </w:p>
    <w:p w14:paraId="15A5CA8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18.1 磋商报价均以人民币元为计算单位。</w:t>
      </w:r>
    </w:p>
    <w:p w14:paraId="1457A8F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18.2 供应商要按初次报价一览表的内容填写。</w:t>
      </w:r>
    </w:p>
    <w:p w14:paraId="01F8B76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3DA00D48">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18.4 初次报价一览表中标明的价格在政采购合同执行过程中是固定不变的，供应商不得以任何理由予以变更。以可调整的价格提交的投标将被作为无效投标处理。</w:t>
      </w:r>
    </w:p>
    <w:p w14:paraId="402A657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18.5 采购人不接受可选择的投标报价。</w:t>
      </w:r>
    </w:p>
    <w:p w14:paraId="35835CB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0B880A09">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19.磋商保证金（无）</w:t>
      </w:r>
    </w:p>
    <w:p w14:paraId="7CF5A7EC">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773812D3">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初次报价一览表在满足竞争性磋商文件实质性要求的基础上，可以提出比竞争性磋商文件要求更有利于采购人的承诺。</w:t>
      </w:r>
    </w:p>
    <w:p w14:paraId="3D371FDD">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20.2 响应文件应当对竞争性磋商文件有关服务期限、响应文件有效期、服务质量等实质性内容作出响应。</w:t>
      </w:r>
    </w:p>
    <w:p w14:paraId="06CE3AD4">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30B38CD1">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732DF16F">
      <w:pPr>
        <w:snapToGrid w:val="0"/>
        <w:spacing w:line="360" w:lineRule="auto"/>
        <w:ind w:firstLine="415" w:firstLineChars="198"/>
        <w:rPr>
          <w:rFonts w:hint="eastAsia" w:ascii="宋体" w:hAnsi="宋体" w:cs="宋体"/>
          <w:kern w:val="0"/>
          <w:szCs w:val="21"/>
        </w:rPr>
      </w:pPr>
      <w:r>
        <w:rPr>
          <w:rFonts w:hint="eastAsia" w:ascii="宋体" w:hAnsi="宋体" w:cs="宋体"/>
          <w:kern w:val="0"/>
          <w:szCs w:val="21"/>
        </w:rPr>
        <w:t>20.5响应文件的具体装订要求见供应商须知前附表规定。</w:t>
      </w:r>
    </w:p>
    <w:p w14:paraId="4494226A">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四、响应文件的递交</w:t>
      </w:r>
    </w:p>
    <w:p w14:paraId="01F9165A">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21. 响应文件的密封、标记</w:t>
      </w:r>
    </w:p>
    <w:p w14:paraId="4BDB2601">
      <w:pPr>
        <w:spacing w:line="360" w:lineRule="auto"/>
        <w:ind w:firstLine="424" w:firstLineChars="202"/>
        <w:rPr>
          <w:rFonts w:hint="eastAsia"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314DCDC2">
      <w:pPr>
        <w:snapToGrid w:val="0"/>
        <w:spacing w:line="360" w:lineRule="auto"/>
        <w:ind w:firstLine="420" w:firstLineChars="200"/>
        <w:jc w:val="left"/>
        <w:rPr>
          <w:rFonts w:hint="eastAsia"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10DB4A58">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22. 响应文件的递交</w:t>
      </w:r>
    </w:p>
    <w:p w14:paraId="47BFD4A8">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22.1 供应商应在规定的磋商截止时间前递交响应文件。</w:t>
      </w:r>
    </w:p>
    <w:p w14:paraId="254DFDD6">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22.2 供应商递交响应文件的地点：见供应商须知前附表。</w:t>
      </w:r>
    </w:p>
    <w:p w14:paraId="3C0FB530">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41A6BFFD">
      <w:pPr>
        <w:autoSpaceDE w:val="0"/>
        <w:autoSpaceDN w:val="0"/>
        <w:adjustRightInd w:val="0"/>
        <w:snapToGrid w:val="0"/>
        <w:spacing w:line="360" w:lineRule="auto"/>
        <w:ind w:right="-34" w:rightChars="-16" w:firstLine="420" w:firstLineChars="200"/>
        <w:jc w:val="left"/>
        <w:rPr>
          <w:rFonts w:hint="eastAsia" w:ascii="宋体" w:hAnsi="宋体" w:cs="宋体"/>
          <w:kern w:val="0"/>
          <w:szCs w:val="21"/>
        </w:rPr>
      </w:pPr>
      <w:r>
        <w:rPr>
          <w:rFonts w:hint="eastAsia" w:ascii="宋体" w:hAnsi="宋体" w:cs="宋体"/>
          <w:kern w:val="0"/>
          <w:szCs w:val="21"/>
        </w:rPr>
        <w:t>22.4 逾期送达的或者未送达指定地点的响应文件，采购人不予受理。</w:t>
      </w:r>
    </w:p>
    <w:p w14:paraId="352026AD">
      <w:pPr>
        <w:snapToGrid w:val="0"/>
        <w:spacing w:line="360" w:lineRule="auto"/>
        <w:ind w:firstLine="417" w:firstLineChars="198"/>
        <w:rPr>
          <w:rFonts w:hint="eastAsia" w:ascii="宋体" w:hAnsi="宋体" w:cs="宋体"/>
          <w:b/>
          <w:kern w:val="0"/>
          <w:szCs w:val="21"/>
        </w:rPr>
      </w:pPr>
      <w:r>
        <w:rPr>
          <w:rFonts w:hint="eastAsia" w:ascii="宋体" w:hAnsi="宋体" w:cs="宋体"/>
          <w:b/>
          <w:kern w:val="0"/>
          <w:szCs w:val="21"/>
        </w:rPr>
        <w:t>23. 响应文件的修改和撤回</w:t>
      </w:r>
    </w:p>
    <w:p w14:paraId="2D78858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23.1 供应商在投标截止时间前，可以对所提交的响应文件进行补充、修改或者撤回，并书面通知采购人。补充、修改的内容和撤回通知应当按本须知要求签署、盖章、密封，并作为响应文件的组成部分。</w:t>
      </w:r>
    </w:p>
    <w:p w14:paraId="03A84FBD">
      <w:pPr>
        <w:snapToGrid w:val="0"/>
        <w:spacing w:line="360" w:lineRule="auto"/>
        <w:ind w:firstLine="420" w:firstLineChars="200"/>
        <w:jc w:val="left"/>
        <w:rPr>
          <w:rFonts w:hint="eastAsia" w:ascii="宋体" w:hAnsi="宋体" w:cs="宋体"/>
          <w:kern w:val="0"/>
          <w:sz w:val="24"/>
        </w:rPr>
      </w:pPr>
      <w:r>
        <w:rPr>
          <w:rFonts w:hint="eastAsia" w:ascii="宋体" w:hAnsi="宋体" w:cs="宋体"/>
          <w:kern w:val="0"/>
          <w:szCs w:val="21"/>
        </w:rPr>
        <w:t>23.2 供应商在磋商截止期后不得修改、撤回响应文件。供应商在投标截止期后修改响应文件的，其投标将被拒绝。</w:t>
      </w:r>
    </w:p>
    <w:p w14:paraId="6B07AD25">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五、评标</w:t>
      </w:r>
    </w:p>
    <w:p w14:paraId="208A5A15">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24. 组建磋商小组</w:t>
      </w:r>
    </w:p>
    <w:p w14:paraId="76AE91FF">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2223D096">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5305C22A">
      <w:pPr>
        <w:snapToGrid w:val="0"/>
        <w:spacing w:line="360" w:lineRule="auto"/>
        <w:ind w:firstLine="422" w:firstLineChars="200"/>
        <w:jc w:val="left"/>
        <w:rPr>
          <w:rFonts w:hint="eastAsia"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1EF69D87">
      <w:pPr>
        <w:pStyle w:val="29"/>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25.1对所有供应商的评估，都采用相同的程序和标准。评标过程将严格按照竞争性磋商文件的要求和条件进行。</w:t>
      </w:r>
    </w:p>
    <w:p w14:paraId="7605F67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5DCD3CCC">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 响应文件报价出现前后不一致的，除竞争性磋商文件另有规定外，修正错误的原则如下：</w:t>
      </w:r>
    </w:p>
    <w:p w14:paraId="25A24AD5">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初次报价一览表（报价表）内容与响应文件中相应内容不一致的，以初次报价一览表（报价表）为准；</w:t>
      </w:r>
    </w:p>
    <w:p w14:paraId="5E1D965C">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301E1E1D">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单价金额小数点或者百分比有明显错位的，以初次报价一览表的总价为准，并修改单价；</w:t>
      </w:r>
    </w:p>
    <w:p w14:paraId="0E761E72">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647AC212">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25.3.5对不同文字文本响应文件的解释发生异议的，以中文文本为准。</w:t>
      </w:r>
    </w:p>
    <w:p w14:paraId="54741164">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25.3.6同时出现两种以上不一致的，按照前款规定的顺序修正。修正后的报价按照财政部87号令第五十一条第二款的规定经供应商确认后产生约束力，供应商不确认的，其投标无效。</w:t>
      </w:r>
    </w:p>
    <w:p w14:paraId="03CC15E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 资格性检查和符合性检查。</w:t>
      </w:r>
    </w:p>
    <w:p w14:paraId="4770F9F6">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资格性检查。依据法规政策和竞争性磋商文件的规定，在对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竞争性磋商文件第三章4.供应商应提交的证明文件所述的资格标准对供应商进行资格审查,以确定其是否具备磋商资格。如果供应商不具备磋商资格、不满足竞争性磋商文件所规定的资格标准或提供资格证明文件不全,其投标将被作为无效磋商。在审查过程中，采购人有权要求供应商按竞争性磋商文件的规定提供相关资格证明材料的原件以供审查。供应商应在规定的时限内提供。供应商拒不提供的，或者不能在规定时限内提供的，视为其不具备该资格条件。</w:t>
      </w:r>
    </w:p>
    <w:p w14:paraId="5432314D">
      <w:pPr>
        <w:snapToGrid w:val="0"/>
        <w:spacing w:line="360" w:lineRule="auto"/>
        <w:ind w:firstLine="420" w:firstLineChars="200"/>
        <w:jc w:val="left"/>
        <w:rPr>
          <w:rFonts w:hint="eastAsia" w:ascii="宋体" w:hAnsi="宋体" w:cs="宋体"/>
          <w:szCs w:val="21"/>
        </w:rPr>
      </w:pPr>
      <w:r>
        <w:rPr>
          <w:rFonts w:hint="eastAsia" w:ascii="宋体" w:hAnsi="宋体" w:cs="宋体"/>
          <w:szCs w:val="21"/>
        </w:rPr>
        <w:t>25.4.2 资格审查后合格的供应商不足3家的，不得评标。</w:t>
      </w:r>
    </w:p>
    <w:p w14:paraId="249A3622">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25.4.3 符合性检查。依据竞争性磋商文件的规定，磋商小组将从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竞争性磋商文件的响应程度进行审查，以确定是否符合对竞争性磋商文件的实质性要求作出响应。对没有实质性响应的响应文件将不进行评估，其投标被作为无效磋商。凡有下列情况之一者，响应文件也将被视为未实质性响应竞争性磋商文件要求：</w:t>
      </w:r>
    </w:p>
    <w:p w14:paraId="4B1B840D">
      <w:pPr>
        <w:tabs>
          <w:tab w:val="left" w:pos="0"/>
        </w:tabs>
        <w:snapToGrid w:val="0"/>
        <w:spacing w:line="360" w:lineRule="auto"/>
        <w:ind w:firstLine="420" w:firstLineChars="200"/>
        <w:contextualSpacing/>
        <w:jc w:val="left"/>
        <w:rPr>
          <w:rFonts w:hint="eastAsia" w:ascii="宋体" w:hAnsi="宋体" w:cs="宋体"/>
          <w:szCs w:val="21"/>
        </w:rPr>
      </w:pPr>
      <w:bookmarkStart w:id="48" w:name="_Hlk212647502"/>
      <w:r>
        <w:rPr>
          <w:rFonts w:hint="eastAsia" w:ascii="宋体" w:hAnsi="宋体" w:cs="宋体"/>
          <w:szCs w:val="21"/>
        </w:rPr>
        <w:t>（1）</w:t>
      </w:r>
      <w:r>
        <w:rPr>
          <w:rFonts w:hint="eastAsia" w:ascii="宋体" w:hAnsi="宋体" w:cs="宋体"/>
          <w:szCs w:val="21"/>
          <w:shd w:val="clear" w:color="auto" w:fill="FFFFFF"/>
        </w:rPr>
        <w:t>响应文件</w:t>
      </w:r>
      <w:r>
        <w:rPr>
          <w:rFonts w:hint="eastAsia" w:ascii="宋体" w:hAnsi="宋体" w:cs="宋体"/>
          <w:szCs w:val="21"/>
        </w:rPr>
        <w:t>未按规定签字、盖章的。</w:t>
      </w:r>
    </w:p>
    <w:p w14:paraId="79A5CE6C">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（2）供应商未能出具有效身份证明，或与身份不符的。</w:t>
      </w:r>
    </w:p>
    <w:p w14:paraId="68ECEE0F">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（3）未按磋商文件规定报价，报价均超过采购预算或最高限价的。</w:t>
      </w:r>
    </w:p>
    <w:p w14:paraId="647593C8">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（4）响应文件有效期、服务期限等不满足竞争性磋商文件要求的。</w:t>
      </w:r>
    </w:p>
    <w:p w14:paraId="0DB353CC">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（5）未响应或不满足竞争性磋商文件中技术要求与商务要求的。</w:t>
      </w:r>
    </w:p>
    <w:p w14:paraId="33A2816B">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（6）未按竞争性磋商文件提供的格式填列、项目不齐全或内容虚假的。</w:t>
      </w:r>
    </w:p>
    <w:p w14:paraId="7C4BA435">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（7）</w:t>
      </w:r>
      <w:r>
        <w:rPr>
          <w:rFonts w:hint="eastAsia" w:ascii="宋体" w:hAnsi="宋体" w:cs="宋体"/>
          <w:szCs w:val="21"/>
          <w:shd w:val="clear" w:color="auto" w:fill="FFFFFF"/>
        </w:rPr>
        <w:t>响应文件</w:t>
      </w:r>
      <w:r>
        <w:rPr>
          <w:rFonts w:hint="eastAsia" w:ascii="宋体" w:hAnsi="宋体" w:cs="宋体"/>
          <w:szCs w:val="21"/>
        </w:rPr>
        <w:t>的实质性内容未使用中文表述，或意思表述不明确，或前后矛盾，或使用计量单位不符合竞争性磋商文件要求的。</w:t>
      </w:r>
    </w:p>
    <w:p w14:paraId="7CE78A40">
      <w:pPr>
        <w:tabs>
          <w:tab w:val="left" w:pos="0"/>
        </w:tabs>
        <w:snapToGrid w:val="0"/>
        <w:spacing w:line="360" w:lineRule="auto"/>
        <w:ind w:firstLine="420" w:firstLineChars="200"/>
        <w:contextualSpacing/>
        <w:jc w:val="left"/>
        <w:rPr>
          <w:rFonts w:hint="eastAsia" w:ascii="宋体" w:hAnsi="宋体" w:cs="宋体"/>
          <w:szCs w:val="21"/>
        </w:rPr>
      </w:pPr>
      <w:r>
        <w:rPr>
          <w:rFonts w:hint="eastAsia" w:ascii="宋体" w:hAnsi="宋体" w:cs="宋体"/>
          <w:szCs w:val="21"/>
        </w:rPr>
        <w:t>（8）</w:t>
      </w:r>
      <w:r>
        <w:rPr>
          <w:rFonts w:hint="eastAsia" w:ascii="宋体" w:hAnsi="宋体" w:cs="宋体"/>
          <w:szCs w:val="21"/>
          <w:shd w:val="clear" w:color="auto" w:fill="FFFFFF"/>
        </w:rPr>
        <w:t>响应文件</w:t>
      </w:r>
      <w:r>
        <w:rPr>
          <w:rFonts w:hint="eastAsia" w:ascii="宋体" w:hAnsi="宋体" w:cs="宋体"/>
          <w:szCs w:val="21"/>
        </w:rPr>
        <w:t>的关键内容字迹模糊、无法辨认,或</w:t>
      </w:r>
      <w:r>
        <w:rPr>
          <w:rFonts w:hint="eastAsia" w:ascii="宋体" w:hAnsi="宋体" w:cs="宋体"/>
          <w:kern w:val="0"/>
          <w:szCs w:val="21"/>
        </w:rPr>
        <w:t>响应</w:t>
      </w:r>
      <w:r>
        <w:rPr>
          <w:rFonts w:hint="eastAsia" w:ascii="宋体" w:hAnsi="宋体" w:cs="宋体"/>
          <w:szCs w:val="21"/>
        </w:rPr>
        <w:t>文件中经修正的内容字迹模糊无法辩认，或修改处未按规定签名盖章的。</w:t>
      </w:r>
    </w:p>
    <w:p w14:paraId="59AFA2F9">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szCs w:val="21"/>
        </w:rPr>
        <w:t>（9）</w:t>
      </w:r>
      <w:r>
        <w:rPr>
          <w:rFonts w:hint="eastAsia" w:ascii="宋体" w:hAnsi="宋体" w:cs="宋体"/>
          <w:szCs w:val="21"/>
          <w:shd w:val="clear" w:color="auto" w:fill="FFFFFF"/>
        </w:rPr>
        <w:t>响应文件</w:t>
      </w:r>
      <w:r>
        <w:rPr>
          <w:rFonts w:hint="eastAsia" w:ascii="宋体" w:hAnsi="宋体" w:cs="宋体"/>
          <w:szCs w:val="21"/>
        </w:rPr>
        <w:t>内容未按竞争性磋商文件响应的。</w:t>
      </w:r>
    </w:p>
    <w:p w14:paraId="420C0FAF">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（10）不符合竞争性磋商文件中规定的其它实质性条款。</w:t>
      </w:r>
    </w:p>
    <w:bookmarkEnd w:id="48"/>
    <w:p w14:paraId="63C2959F">
      <w:pPr>
        <w:tabs>
          <w:tab w:val="left" w:pos="0"/>
        </w:tabs>
        <w:snapToGrid w:val="0"/>
        <w:spacing w:line="360" w:lineRule="auto"/>
        <w:ind w:firstLine="420" w:firstLineChars="200"/>
        <w:contextualSpacing/>
        <w:jc w:val="left"/>
        <w:rPr>
          <w:rFonts w:hint="eastAsia" w:ascii="宋体" w:hAnsi="宋体" w:cs="宋体"/>
          <w:kern w:val="0"/>
          <w:szCs w:val="21"/>
        </w:rPr>
      </w:pPr>
      <w:r>
        <w:rPr>
          <w:rFonts w:hint="eastAsia" w:ascii="宋体" w:hAnsi="宋体" w:cs="宋体"/>
          <w:kern w:val="0"/>
          <w:szCs w:val="21"/>
        </w:rPr>
        <w:t>磋商小组决定投标的响应性只根据响应文件本身的内容，而不寻求其他的外部证据。</w:t>
      </w:r>
    </w:p>
    <w:p w14:paraId="3AF2E7ED">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13B84FE8">
      <w:pPr>
        <w:pStyle w:val="29"/>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25.5 在评审过程中，磋商小组发现供应商有下列情形之一的，视为供应商串通投标，其磋商无效：</w:t>
      </w:r>
    </w:p>
    <w:p w14:paraId="20DE44D6">
      <w:pPr>
        <w:tabs>
          <w:tab w:val="left" w:pos="0"/>
        </w:tabs>
        <w:snapToGrid w:val="0"/>
        <w:spacing w:line="360" w:lineRule="auto"/>
        <w:ind w:left="105" w:leftChars="50" w:firstLine="315" w:firstLineChars="150"/>
        <w:contextualSpacing/>
        <w:jc w:val="left"/>
        <w:rPr>
          <w:rFonts w:hint="eastAsia"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0A037926">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424B4B25">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25.5.3不同供应商委托同一单位或者个人办理投标事宜；</w:t>
      </w:r>
    </w:p>
    <w:p w14:paraId="5D8EA7F3">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w:t>
      </w:r>
    </w:p>
    <w:p w14:paraId="44CE097E">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2F4EF60D">
      <w:pPr>
        <w:tabs>
          <w:tab w:val="left" w:pos="0"/>
        </w:tabs>
        <w:snapToGrid w:val="0"/>
        <w:spacing w:line="360" w:lineRule="auto"/>
        <w:ind w:left="105" w:leftChars="50" w:firstLine="315" w:firstLineChars="150"/>
        <w:contextualSpacing/>
        <w:jc w:val="left"/>
        <w:rPr>
          <w:rFonts w:hint="eastAsia" w:ascii="宋体" w:hAnsi="宋体" w:cs="宋体"/>
          <w:szCs w:val="21"/>
        </w:rPr>
      </w:pPr>
      <w:r>
        <w:rPr>
          <w:rFonts w:hint="eastAsia" w:ascii="宋体" w:hAnsi="宋体" w:cs="宋体"/>
          <w:szCs w:val="21"/>
        </w:rPr>
        <w:t>25.5.6不同供应商的磋商保证金从同一单位或者个人的账户转出（若收取）。</w:t>
      </w:r>
    </w:p>
    <w:p w14:paraId="03420AF2">
      <w:pPr>
        <w:adjustRightInd w:val="0"/>
        <w:snapToGrid w:val="0"/>
        <w:spacing w:line="360" w:lineRule="auto"/>
        <w:ind w:left="19" w:leftChars="9" w:firstLine="399" w:firstLineChars="190"/>
        <w:jc w:val="left"/>
        <w:textAlignment w:val="baseline"/>
        <w:rPr>
          <w:rFonts w:hint="eastAsia" w:ascii="宋体" w:hAnsi="宋体" w:cs="宋体"/>
          <w:szCs w:val="21"/>
        </w:rPr>
      </w:pPr>
      <w:r>
        <w:rPr>
          <w:rFonts w:hint="eastAsia" w:ascii="宋体" w:hAnsi="宋体" w:cs="宋体"/>
          <w:kern w:val="0"/>
          <w:szCs w:val="21"/>
        </w:rPr>
        <w:t>25.5.7 有证据证明供应商串通投标的其他情形的；</w:t>
      </w:r>
    </w:p>
    <w:p w14:paraId="17AA9E9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25.5.8 磋商小组认定的其他串通投标情形。</w:t>
      </w:r>
    </w:p>
    <w:p w14:paraId="0791BA15">
      <w:pPr>
        <w:tabs>
          <w:tab w:val="left" w:pos="0"/>
        </w:tabs>
        <w:wordWrap w:val="0"/>
        <w:snapToGrid w:val="0"/>
        <w:spacing w:line="360" w:lineRule="auto"/>
        <w:ind w:left="105" w:leftChars="50" w:firstLine="316" w:firstLineChars="150"/>
        <w:contextualSpacing/>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 磋商</w:t>
      </w:r>
    </w:p>
    <w:p w14:paraId="7C9C71D8">
      <w:pPr>
        <w:widowControl/>
        <w:kinsoku w:val="0"/>
        <w:wordWrap w:val="0"/>
        <w:autoSpaceDE w:val="0"/>
        <w:autoSpaceDN w:val="0"/>
        <w:adjustRightInd w:val="0"/>
        <w:snapToGrid w:val="0"/>
        <w:spacing w:line="360" w:lineRule="auto"/>
        <w:ind w:firstLine="420" w:firstLineChars="200"/>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对资格性检查和符合性检查合格的供应商，进入本次磋商程序。</w:t>
      </w:r>
    </w:p>
    <w:p w14:paraId="18C870D8">
      <w:pPr>
        <w:widowControl/>
        <w:kinsoku w:val="0"/>
        <w:wordWrap w:val="0"/>
        <w:autoSpaceDE w:val="0"/>
        <w:autoSpaceDN w:val="0"/>
        <w:adjustRightInd w:val="0"/>
        <w:snapToGrid w:val="0"/>
        <w:spacing w:line="360" w:lineRule="auto"/>
        <w:ind w:firstLine="422" w:firstLineChars="200"/>
        <w:textAlignment w:val="baseline"/>
        <w:rPr>
          <w:rFonts w:hint="eastAsia"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5C9DCE3B">
      <w:pPr>
        <w:snapToGrid w:val="0"/>
        <w:spacing w:line="360" w:lineRule="auto"/>
        <w:ind w:firstLine="422" w:firstLineChars="20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25.6.2 本次竞争性磋商进行</w:t>
      </w:r>
      <w:r>
        <w:rPr>
          <w:rFonts w:hint="eastAsia" w:ascii="宋体" w:hAnsi="宋体" w:cs="宋体"/>
          <w:b/>
          <w:bCs/>
          <w:color w:val="000000" w:themeColor="text1"/>
          <w:szCs w:val="21"/>
          <w:u w:val="single"/>
          <w14:textFill>
            <w14:solidFill>
              <w14:schemeClr w14:val="tx1"/>
            </w14:solidFill>
          </w14:textFill>
        </w:rPr>
        <w:t xml:space="preserve"> 多 </w:t>
      </w:r>
      <w:r>
        <w:rPr>
          <w:rFonts w:hint="eastAsia" w:ascii="宋体" w:hAnsi="宋体" w:cs="宋体"/>
          <w:b/>
          <w:bCs/>
          <w:color w:val="000000" w:themeColor="text1"/>
          <w:szCs w:val="21"/>
          <w14:textFill>
            <w14:solidFill>
              <w14:schemeClr w14:val="tx1"/>
            </w14:solidFill>
          </w14:textFill>
        </w:rPr>
        <w:t>轮次报价（二次及以上），并给予每个供应商相同的机会。响应文件报价为第一轮报价，以后轮次报价不得高于上一轮次报价（除竞争性磋商文件有实质性变动外）</w:t>
      </w:r>
    </w:p>
    <w:p w14:paraId="2CFD9D61">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26. 响应文件的澄清</w:t>
      </w:r>
    </w:p>
    <w:p w14:paraId="188B53F4">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34207695">
      <w:pPr>
        <w:snapToGrid w:val="0"/>
        <w:spacing w:line="360" w:lineRule="auto"/>
        <w:ind w:firstLine="422" w:firstLineChars="200"/>
        <w:jc w:val="left"/>
        <w:rPr>
          <w:rFonts w:hint="eastAsia" w:ascii="宋体" w:hAnsi="宋体" w:cs="宋体"/>
          <w:b/>
          <w:bCs/>
          <w:kern w:val="0"/>
          <w:szCs w:val="21"/>
        </w:rPr>
      </w:pPr>
      <w:r>
        <w:rPr>
          <w:rFonts w:hint="eastAsia" w:ascii="宋体" w:hAnsi="宋体" w:cs="宋体"/>
          <w:b/>
          <w:bCs/>
          <w:kern w:val="0"/>
          <w:szCs w:val="21"/>
        </w:rPr>
        <w:t>27. 比较与评价</w:t>
      </w:r>
    </w:p>
    <w:p w14:paraId="5C71FBC8">
      <w:pPr>
        <w:pStyle w:val="29"/>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27.1 磋商小组将按本竞争性磋商文件规定的评标方法与标准，对资格性检查和符合性检查合格的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1BD516B4">
      <w:pPr>
        <w:pStyle w:val="29"/>
        <w:snapToGrid w:val="0"/>
        <w:spacing w:before="0" w:beforeAutospacing="0" w:after="0" w:afterAutospacing="0" w:line="360" w:lineRule="auto"/>
        <w:ind w:firstLine="420" w:firstLineChars="200"/>
        <w:jc w:val="both"/>
        <w:rPr>
          <w:rFonts w:hint="eastAsia" w:ascii="宋体" w:hAnsi="宋体" w:cs="宋体"/>
          <w:sz w:val="21"/>
          <w:szCs w:val="21"/>
        </w:rPr>
      </w:pPr>
      <w:r>
        <w:rPr>
          <w:rFonts w:hint="eastAsia" w:ascii="宋体" w:hAnsi="宋体" w:cs="宋体"/>
          <w:sz w:val="21"/>
          <w:szCs w:val="21"/>
        </w:rPr>
        <w:t>27.2对漏（缺）报项的处理：竞争性磋商文件中要求列入报价的费用，漏（缺）报的视同已含在投标总价中。</w:t>
      </w:r>
    </w:p>
    <w:p w14:paraId="58D4B235">
      <w:pPr>
        <w:pStyle w:val="29"/>
        <w:snapToGrid w:val="0"/>
        <w:spacing w:before="0" w:beforeAutospacing="0" w:after="0" w:afterAutospacing="0" w:line="360" w:lineRule="auto"/>
        <w:ind w:firstLine="420" w:firstLineChars="200"/>
        <w:jc w:val="both"/>
        <w:rPr>
          <w:rFonts w:hint="eastAsia"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p w14:paraId="72C58BA5">
      <w:pPr>
        <w:snapToGrid w:val="0"/>
        <w:spacing w:line="360" w:lineRule="auto"/>
        <w:ind w:firstLine="422" w:firstLineChars="200"/>
        <w:jc w:val="left"/>
        <w:rPr>
          <w:rFonts w:hint="eastAsia" w:ascii="宋体" w:hAnsi="宋体" w:cs="宋体"/>
          <w:kern w:val="0"/>
          <w:szCs w:val="21"/>
        </w:rPr>
      </w:pPr>
      <w:r>
        <w:rPr>
          <w:rFonts w:hint="eastAsia" w:ascii="宋体" w:hAnsi="宋体" w:cs="宋体"/>
          <w:b/>
          <w:bCs/>
          <w:kern w:val="0"/>
          <w:szCs w:val="21"/>
        </w:rPr>
        <w:t>28. 评标过程及保密原则</w:t>
      </w:r>
    </w:p>
    <w:p w14:paraId="1F8B247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3802B5E2">
      <w:pPr>
        <w:snapToGrid w:val="0"/>
        <w:spacing w:line="360" w:lineRule="auto"/>
        <w:ind w:firstLine="420" w:firstLineChars="200"/>
        <w:jc w:val="left"/>
        <w:rPr>
          <w:rFonts w:hint="eastAsia"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5B0871F9">
      <w:pPr>
        <w:snapToGrid w:val="0"/>
        <w:spacing w:line="360" w:lineRule="auto"/>
        <w:ind w:firstLine="422" w:firstLineChars="200"/>
        <w:jc w:val="left"/>
        <w:rPr>
          <w:rFonts w:hint="eastAsia" w:ascii="宋体" w:hAnsi="宋体" w:cs="宋体"/>
          <w:b/>
          <w:kern w:val="0"/>
          <w:szCs w:val="21"/>
        </w:rPr>
      </w:pPr>
      <w:r>
        <w:rPr>
          <w:rFonts w:hint="eastAsia" w:ascii="宋体" w:hAnsi="宋体" w:cs="宋体"/>
          <w:b/>
          <w:kern w:val="0"/>
          <w:szCs w:val="21"/>
        </w:rPr>
        <w:t>29.评标异议登记</w:t>
      </w:r>
    </w:p>
    <w:p w14:paraId="6E09333F">
      <w:pPr>
        <w:snapToGrid w:val="0"/>
        <w:spacing w:line="360" w:lineRule="auto"/>
        <w:ind w:firstLine="420" w:firstLineChars="200"/>
        <w:jc w:val="left"/>
        <w:rPr>
          <w:rFonts w:hint="eastAsia"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71FFF743">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六、定标</w:t>
      </w:r>
    </w:p>
    <w:p w14:paraId="03BDBD74">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30. 定标原则</w:t>
      </w:r>
    </w:p>
    <w:p w14:paraId="2119C536">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30.1 最低投标价不作为成交的保证。</w:t>
      </w:r>
    </w:p>
    <w:p w14:paraId="74AF79B0">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30.2 确定实质上响应竞争性磋商文件且满足下列条件的为成交候选供应商（或成交供应商）</w:t>
      </w:r>
    </w:p>
    <w:p w14:paraId="0ADC434F">
      <w:pPr>
        <w:snapToGrid w:val="0"/>
        <w:spacing w:line="360" w:lineRule="auto"/>
        <w:ind w:firstLine="420" w:firstLineChars="200"/>
        <w:rPr>
          <w:rFonts w:hint="eastAsia" w:ascii="宋体" w:hAnsi="宋体" w:cs="宋体"/>
          <w:szCs w:val="21"/>
        </w:rPr>
      </w:pPr>
      <w:bookmarkStart w:id="49" w:name="_Toc32200"/>
      <w:r>
        <w:rPr>
          <w:rFonts w:hint="eastAsia" w:ascii="宋体" w:hAnsi="宋体" w:cs="宋体"/>
          <w:bCs/>
          <w:kern w:val="0"/>
          <w:szCs w:val="21"/>
        </w:rPr>
        <w:t>30.2.1</w:t>
      </w:r>
      <w:bookmarkEnd w:id="49"/>
      <w:r>
        <w:rPr>
          <w:rFonts w:hint="eastAsia" w:ascii="宋体" w:hAnsi="宋体" w:cs="宋体"/>
          <w:bCs/>
          <w:kern w:val="0"/>
          <w:szCs w:val="21"/>
        </w:rPr>
        <w:t>本次评标采用</w:t>
      </w:r>
      <w:r>
        <w:rPr>
          <w:rFonts w:hint="eastAsia" w:ascii="宋体" w:hAnsi="宋体" w:cs="宋体"/>
          <w:szCs w:val="21"/>
        </w:rPr>
        <w:t>综合评分法，是指响应文件满足竞争性磋商文件全部实质性要求，且按照评审因素的量化指标评审得分最高的供应商为成交供应商的评标方法。</w:t>
      </w:r>
    </w:p>
    <w:p w14:paraId="3F0EF69B">
      <w:pPr>
        <w:snapToGrid w:val="0"/>
        <w:spacing w:line="360" w:lineRule="auto"/>
        <w:ind w:firstLine="420" w:firstLineChars="200"/>
        <w:rPr>
          <w:rFonts w:hint="eastAsia"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竞争性磋商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C176808">
      <w:pPr>
        <w:snapToGrid w:val="0"/>
        <w:spacing w:line="360" w:lineRule="auto"/>
        <w:ind w:firstLine="422" w:firstLineChars="200"/>
        <w:rPr>
          <w:rFonts w:hint="eastAsia" w:ascii="宋体" w:hAnsi="宋体" w:cs="宋体"/>
          <w:kern w:val="0"/>
          <w:szCs w:val="21"/>
        </w:rPr>
      </w:pPr>
      <w:r>
        <w:rPr>
          <w:rFonts w:hint="eastAsia" w:ascii="宋体" w:hAnsi="宋体" w:cs="宋体"/>
          <w:b/>
          <w:bCs/>
          <w:kern w:val="0"/>
          <w:szCs w:val="21"/>
        </w:rPr>
        <w:t>31. 确定成交供应商和成交候选供应商</w:t>
      </w:r>
    </w:p>
    <w:p w14:paraId="68FEDEEF">
      <w:pPr>
        <w:snapToGrid w:val="0"/>
        <w:spacing w:line="360" w:lineRule="auto"/>
        <w:ind w:firstLine="420" w:firstLineChars="200"/>
        <w:jc w:val="left"/>
        <w:rPr>
          <w:rFonts w:hint="eastAsia"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14BB6379">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32. 成交通知书及成交结果公告</w:t>
      </w:r>
    </w:p>
    <w:p w14:paraId="73E3DAF7">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32.1评审结束后，采购人将成交供应商的情况在本采购项目采购公告发布的同一媒介予以公示，公示期限1个工作日，公示期结束后向成交供应商发出成交通知书。</w:t>
      </w:r>
    </w:p>
    <w:p w14:paraId="075436E9">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44CB41D1">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44A8B91B">
      <w:pPr>
        <w:snapToGrid w:val="0"/>
        <w:spacing w:line="360" w:lineRule="auto"/>
        <w:ind w:firstLine="420" w:firstLineChars="200"/>
        <w:jc w:val="left"/>
        <w:rPr>
          <w:rFonts w:hint="eastAsia"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17D213E8">
      <w:pPr>
        <w:snapToGrid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33. 采购人宣布废标的权利</w:t>
      </w:r>
    </w:p>
    <w:p w14:paraId="71526F9D">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0290CD0E">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33.1.1出现影响采购公正的违法、违规行为的。</w:t>
      </w:r>
    </w:p>
    <w:p w14:paraId="08173EAC">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33.1.2供应商的报价均超过了采购预算金额，采购人不能支付的。</w:t>
      </w:r>
    </w:p>
    <w:p w14:paraId="7ECC02E2">
      <w:pPr>
        <w:snapToGrid w:val="0"/>
        <w:spacing w:line="360" w:lineRule="auto"/>
        <w:ind w:firstLine="420" w:firstLineChars="200"/>
        <w:jc w:val="left"/>
        <w:rPr>
          <w:rFonts w:hint="eastAsia" w:ascii="宋体" w:hAnsi="宋体" w:cs="宋体"/>
          <w:bCs/>
          <w:kern w:val="0"/>
          <w:szCs w:val="21"/>
        </w:rPr>
      </w:pPr>
      <w:r>
        <w:rPr>
          <w:rFonts w:hint="eastAsia" w:ascii="宋体" w:hAnsi="宋体" w:cs="宋体"/>
          <w:bCs/>
          <w:kern w:val="0"/>
          <w:szCs w:val="21"/>
        </w:rPr>
        <w:t>33.1.3因重大变故，采购任务取消的。</w:t>
      </w:r>
    </w:p>
    <w:p w14:paraId="739783FC">
      <w:pPr>
        <w:snapToGrid w:val="0"/>
        <w:spacing w:line="360" w:lineRule="auto"/>
        <w:ind w:firstLine="420" w:firstLineChars="200"/>
        <w:rPr>
          <w:rFonts w:hint="eastAsia"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14:paraId="16AF6132">
      <w:pPr>
        <w:numPr>
          <w:ilvl w:val="0"/>
          <w:numId w:val="2"/>
        </w:numPr>
        <w:snapToGrid w:val="0"/>
        <w:spacing w:line="360" w:lineRule="auto"/>
        <w:ind w:firstLine="420" w:firstLineChars="200"/>
        <w:rPr>
          <w:rFonts w:hint="eastAsia" w:ascii="宋体" w:hAnsi="宋体" w:cs="宋体"/>
          <w:szCs w:val="21"/>
        </w:rPr>
      </w:pPr>
      <w:r>
        <w:rPr>
          <w:rFonts w:hint="eastAsia" w:ascii="宋体" w:hAnsi="宋体" w:cs="宋体"/>
          <w:szCs w:val="21"/>
        </w:rPr>
        <w:t>竞争性磋商文件存在不合理条款或者招标程序不符合规定的，采购人正后依法重新招标；　</w:t>
      </w:r>
    </w:p>
    <w:p w14:paraId="61307E5F">
      <w:pPr>
        <w:snapToGrid w:val="0"/>
        <w:spacing w:line="360" w:lineRule="auto"/>
        <w:ind w:firstLine="420" w:firstLineChars="200"/>
        <w:rPr>
          <w:rFonts w:hint="eastAsia" w:ascii="宋体" w:hAnsi="宋体" w:cs="宋体"/>
          <w:b/>
          <w:kern w:val="0"/>
          <w:sz w:val="52"/>
          <w:szCs w:val="52"/>
        </w:rPr>
      </w:pPr>
      <w:r>
        <w:rPr>
          <w:rFonts w:hint="eastAsia" w:ascii="宋体" w:hAnsi="宋体" w:cs="宋体"/>
          <w:szCs w:val="21"/>
        </w:rPr>
        <w:t>（2）竞争性磋商文件没有不合理条款、招标程序符合规定，需要采用其他采购方式采购的，采购人应当依法报财政部门批准。</w:t>
      </w:r>
    </w:p>
    <w:p w14:paraId="1C6D0018">
      <w:pPr>
        <w:snapToGrid w:val="0"/>
        <w:spacing w:line="360" w:lineRule="auto"/>
        <w:jc w:val="center"/>
        <w:outlineLvl w:val="1"/>
        <w:rPr>
          <w:rFonts w:hint="eastAsia" w:ascii="宋体" w:hAnsi="宋体" w:cs="宋体"/>
          <w:b/>
          <w:bCs/>
          <w:kern w:val="0"/>
          <w:sz w:val="28"/>
          <w:szCs w:val="28"/>
        </w:rPr>
      </w:pPr>
      <w:r>
        <w:rPr>
          <w:rFonts w:hint="eastAsia" w:ascii="宋体" w:hAnsi="宋体" w:cs="宋体"/>
          <w:b/>
          <w:bCs/>
          <w:kern w:val="0"/>
          <w:sz w:val="28"/>
          <w:szCs w:val="28"/>
        </w:rPr>
        <w:t>七、合同授予</w:t>
      </w:r>
    </w:p>
    <w:p w14:paraId="1CA95CAE">
      <w:pPr>
        <w:snapToGrid w:val="0"/>
        <w:spacing w:line="360" w:lineRule="auto"/>
        <w:ind w:firstLine="472" w:firstLineChars="224"/>
        <w:rPr>
          <w:rFonts w:hint="eastAsia" w:ascii="宋体" w:hAnsi="宋体" w:cs="宋体"/>
          <w:kern w:val="0"/>
          <w:szCs w:val="21"/>
        </w:rPr>
      </w:pPr>
      <w:r>
        <w:rPr>
          <w:rFonts w:hint="eastAsia" w:ascii="宋体" w:hAnsi="宋体" w:cs="宋体"/>
          <w:b/>
          <w:bCs/>
          <w:kern w:val="0"/>
          <w:szCs w:val="21"/>
        </w:rPr>
        <w:t>34.合同签订</w:t>
      </w:r>
    </w:p>
    <w:p w14:paraId="28554F63">
      <w:pPr>
        <w:snapToGrid w:val="0"/>
        <w:spacing w:line="360" w:lineRule="auto"/>
        <w:ind w:firstLine="420" w:firstLineChars="200"/>
        <w:jc w:val="left"/>
        <w:rPr>
          <w:rFonts w:hint="eastAsia" w:ascii="宋体" w:hAnsi="宋体" w:cs="宋体"/>
          <w:kern w:val="0"/>
          <w:szCs w:val="21"/>
          <w:u w:val="single"/>
        </w:rPr>
      </w:pPr>
      <w:bookmarkStart w:id="50" w:name="_Toc8594"/>
      <w:r>
        <w:rPr>
          <w:rFonts w:hint="eastAsia" w:ascii="宋体" w:hAnsi="宋体" w:cs="宋体"/>
          <w:kern w:val="0"/>
          <w:szCs w:val="21"/>
        </w:rPr>
        <w:t>34.1 采购人、成交供应商自成交通知书发出之日起，在竞争性磋商文件第三章《供应商须知前附表》规定的时间内，根据竞争性磋商文件确定的事项和成交供应商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签订合同。双方所签订的合同不得对竞争性磋商文件和成交供应商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6BD34A13">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34.2 竞争性磋商文件、竞争性磋商文件的修改文件、成交供应商的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、补充或修改的文件及澄清或承诺文件等，均为双方签订合同的组成部分，并与合同一并作为本竞争性磋商文件所列采购项目的互补性法律文件，与合同具有同等法律效力。</w:t>
      </w:r>
    </w:p>
    <w:p w14:paraId="23CDB530">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34.3 成交供应商放弃成交、因不可抗力不能履行合同、不按照竞争性磋商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50"/>
    <w:p w14:paraId="25ACB6B3">
      <w:pPr>
        <w:rPr>
          <w:rFonts w:hint="eastAsia" w:ascii="宋体" w:hAnsi="宋体" w:cs="宋体"/>
        </w:rPr>
      </w:pPr>
      <w:r>
        <w:rPr>
          <w:rFonts w:hint="eastAsia" w:ascii="宋体" w:hAnsi="宋体" w:cs="宋体"/>
        </w:rPr>
        <w:br w:type="page"/>
      </w:r>
    </w:p>
    <w:p w14:paraId="6DE9B6B5">
      <w:pPr>
        <w:widowControl/>
        <w:snapToGrid w:val="0"/>
        <w:jc w:val="center"/>
        <w:outlineLvl w:val="0"/>
        <w:rPr>
          <w:rFonts w:hint="eastAsia" w:ascii="宋体" w:hAnsi="宋体" w:cs="宋体"/>
          <w:kern w:val="0"/>
          <w:sz w:val="24"/>
        </w:rPr>
      </w:pPr>
      <w:bookmarkStart w:id="51" w:name="_Toc31399"/>
      <w:r>
        <w:rPr>
          <w:rFonts w:hint="eastAsia" w:ascii="宋体" w:hAnsi="宋体" w:cs="宋体"/>
          <w:b/>
          <w:bCs/>
          <w:kern w:val="0"/>
          <w:sz w:val="32"/>
          <w:szCs w:val="32"/>
        </w:rPr>
        <w:t>第四章  评标办法及评分标准</w:t>
      </w:r>
      <w:bookmarkEnd w:id="46"/>
      <w:bookmarkEnd w:id="51"/>
    </w:p>
    <w:p w14:paraId="3A133B1C">
      <w:pPr>
        <w:rPr>
          <w:rFonts w:hint="eastAsia" w:ascii="宋体" w:hAnsi="宋体" w:cs="宋体"/>
        </w:rPr>
      </w:pPr>
    </w:p>
    <w:p w14:paraId="0ECF76AB">
      <w:pPr>
        <w:tabs>
          <w:tab w:val="left" w:pos="1620"/>
        </w:tabs>
        <w:snapToGrid w:val="0"/>
        <w:spacing w:line="360" w:lineRule="auto"/>
        <w:rPr>
          <w:rFonts w:hint="eastAsia" w:ascii="宋体" w:hAnsi="宋体" w:cs="宋体"/>
          <w:szCs w:val="21"/>
        </w:rPr>
      </w:pPr>
      <w:r>
        <w:rPr>
          <w:rFonts w:hint="eastAsia" w:ascii="宋体" w:hAnsi="宋体" w:cs="宋体"/>
          <w:szCs w:val="21"/>
        </w:rPr>
        <w:t>（一）评标原则</w:t>
      </w:r>
    </w:p>
    <w:p w14:paraId="48083B43">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按照“公平、公正”的原则对待所有供应商，按照竞争性磋商文件的相关规定进行评标、定标。</w:t>
      </w:r>
    </w:p>
    <w:p w14:paraId="7ED65B91">
      <w:pPr>
        <w:tabs>
          <w:tab w:val="left" w:pos="1620"/>
        </w:tabs>
        <w:snapToGrid w:val="0"/>
        <w:spacing w:line="360" w:lineRule="auto"/>
        <w:rPr>
          <w:rFonts w:hint="eastAsia" w:ascii="宋体" w:hAnsi="宋体" w:cs="宋体"/>
          <w:szCs w:val="21"/>
        </w:rPr>
      </w:pPr>
      <w:r>
        <w:rPr>
          <w:rFonts w:hint="eastAsia" w:ascii="宋体" w:hAnsi="宋体" w:cs="宋体"/>
          <w:szCs w:val="21"/>
        </w:rPr>
        <w:t>（二）评标办法</w:t>
      </w:r>
    </w:p>
    <w:p w14:paraId="0083CEE7">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1．本项目采用综合评分法，总分为100分。</w:t>
      </w:r>
    </w:p>
    <w:p w14:paraId="5BA525E5">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2．磋商小组按照竞争性磋商文件中规定的评标方法和标准，对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69ABA1F3">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3. 评标结果按评审后得分由高到低顺序排列，得分相同的，按投标报价由低到高顺序排列。得分且投标报价相同的，按技术部分得分顺序排列。</w:t>
      </w:r>
    </w:p>
    <w:p w14:paraId="7870D1D2">
      <w:pPr>
        <w:tabs>
          <w:tab w:val="left" w:pos="1620"/>
        </w:tabs>
        <w:snapToGrid w:val="0"/>
        <w:spacing w:line="360" w:lineRule="auto"/>
        <w:ind w:firstLine="462" w:firstLineChars="220"/>
        <w:rPr>
          <w:rFonts w:hint="eastAsia"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文件满足竞争性磋商文件全部实质性要求，且评审得分最高的供应商为成交供应商。</w:t>
      </w:r>
    </w:p>
    <w:p w14:paraId="1B2E70BC">
      <w:pPr>
        <w:tabs>
          <w:tab w:val="left" w:pos="1620"/>
        </w:tabs>
        <w:snapToGrid w:val="0"/>
        <w:spacing w:line="360" w:lineRule="auto"/>
        <w:rPr>
          <w:rFonts w:hint="eastAsia" w:ascii="宋体" w:hAnsi="宋体" w:cs="宋体"/>
          <w:szCs w:val="21"/>
        </w:rPr>
      </w:pPr>
      <w:r>
        <w:rPr>
          <w:rFonts w:hint="eastAsia" w:ascii="宋体" w:hAnsi="宋体" w:cs="宋体"/>
          <w:szCs w:val="21"/>
        </w:rPr>
        <w:t>（三）评标程序</w:t>
      </w:r>
    </w:p>
    <w:p w14:paraId="5FA7911F">
      <w:pPr>
        <w:snapToGrid w:val="0"/>
        <w:spacing w:line="360" w:lineRule="auto"/>
        <w:ind w:firstLine="420" w:firstLineChars="200"/>
        <w:rPr>
          <w:rFonts w:hint="eastAsia" w:ascii="宋体" w:hAnsi="宋体" w:cs="宋体"/>
          <w:szCs w:val="21"/>
        </w:rPr>
      </w:pPr>
      <w:r>
        <w:rPr>
          <w:rFonts w:hint="eastAsia" w:ascii="宋体" w:hAnsi="宋体" w:cs="宋体"/>
          <w:szCs w:val="21"/>
        </w:rPr>
        <w:t>1.详细评审（100分）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0937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vAlign w:val="center"/>
          </w:tcPr>
          <w:p w14:paraId="3A772E46">
            <w:pPr>
              <w:tabs>
                <w:tab w:val="left" w:pos="3000"/>
              </w:tabs>
              <w:snapToGrid w:val="0"/>
              <w:spacing w:line="340" w:lineRule="exact"/>
              <w:jc w:val="center"/>
              <w:rPr>
                <w:rFonts w:hint="eastAsia" w:ascii="宋体" w:hAnsi="宋体" w:cs="宋体"/>
                <w:szCs w:val="21"/>
              </w:rPr>
            </w:pPr>
            <w:r>
              <w:rPr>
                <w:rFonts w:hint="eastAsia" w:ascii="宋体" w:hAnsi="宋体" w:cs="宋体"/>
                <w:szCs w:val="21"/>
              </w:rPr>
              <w:t>评审内容</w:t>
            </w:r>
          </w:p>
        </w:tc>
      </w:tr>
      <w:tr w14:paraId="24196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vAlign w:val="center"/>
          </w:tcPr>
          <w:p w14:paraId="20555E1F">
            <w:pPr>
              <w:snapToGrid w:val="0"/>
              <w:spacing w:line="340" w:lineRule="exact"/>
              <w:jc w:val="left"/>
              <w:rPr>
                <w:rFonts w:hint="eastAsia" w:ascii="宋体" w:hAnsi="宋体" w:cs="宋体"/>
                <w:szCs w:val="21"/>
              </w:rPr>
            </w:pPr>
            <w:r>
              <w:rPr>
                <w:rFonts w:hint="eastAsia" w:ascii="宋体" w:hAnsi="宋体" w:cs="宋体"/>
                <w:szCs w:val="21"/>
              </w:rPr>
              <w:t>价格标部分(20分)</w:t>
            </w:r>
          </w:p>
        </w:tc>
        <w:tc>
          <w:tcPr>
            <w:tcW w:w="8284" w:type="dxa"/>
            <w:gridSpan w:val="2"/>
            <w:vAlign w:val="center"/>
          </w:tcPr>
          <w:p w14:paraId="06087DFE">
            <w:pPr>
              <w:pStyle w:val="4"/>
              <w:snapToGrid w:val="0"/>
              <w:spacing w:line="320" w:lineRule="exact"/>
              <w:jc w:val="both"/>
              <w:rPr>
                <w:rFonts w:hint="eastAsia" w:hAnsi="宋体"/>
                <w:color w:val="auto"/>
                <w:sz w:val="21"/>
                <w:szCs w:val="21"/>
              </w:rPr>
            </w:pPr>
            <w:r>
              <w:rPr>
                <w:rFonts w:hint="eastAsia" w:hAnsi="宋体"/>
                <w:color w:val="auto"/>
                <w:sz w:val="21"/>
                <w:szCs w:val="21"/>
              </w:rPr>
              <w:t>说明：当磋商小组发现供应商的投标报价明显低于其他投标报价，使其投标报价可能低于其个别成本的，磋商小组可对其质询，并要求该供应商做出书面说明和提供相关的证明材料；该供应商不能合理说明或提供证明材料的，磋商小组应按无效投标处理。</w:t>
            </w:r>
          </w:p>
          <w:p w14:paraId="0ED62BA1">
            <w:pPr>
              <w:pStyle w:val="4"/>
              <w:snapToGrid w:val="0"/>
              <w:spacing w:line="320" w:lineRule="exact"/>
              <w:jc w:val="both"/>
              <w:rPr>
                <w:rFonts w:hint="eastAsia" w:hAnsi="宋体"/>
                <w:color w:val="auto"/>
                <w:sz w:val="21"/>
                <w:szCs w:val="21"/>
              </w:rPr>
            </w:pPr>
            <w:r>
              <w:rPr>
                <w:rFonts w:hint="eastAsia" w:hAnsi="宋体"/>
                <w:color w:val="auto"/>
                <w:sz w:val="21"/>
                <w:szCs w:val="21"/>
              </w:rPr>
              <w:t>有效投标报价：投标报价不高于采购预算价的为有效投标报价。</w:t>
            </w:r>
          </w:p>
          <w:p w14:paraId="4954755D">
            <w:pPr>
              <w:pStyle w:val="4"/>
              <w:snapToGrid w:val="0"/>
              <w:spacing w:line="320" w:lineRule="exact"/>
              <w:jc w:val="both"/>
              <w:rPr>
                <w:rFonts w:hint="eastAsia" w:hAnsi="宋体"/>
                <w:color w:val="auto"/>
                <w:sz w:val="21"/>
                <w:szCs w:val="21"/>
              </w:rPr>
            </w:pPr>
            <w:r>
              <w:rPr>
                <w:rFonts w:hint="eastAsia" w:hAnsi="宋体"/>
                <w:color w:val="auto"/>
                <w:sz w:val="21"/>
                <w:szCs w:val="21"/>
              </w:rPr>
              <w:t>评标基准值的确定：满足采购文件要求且投标价格最低的有效投标报价为评标基准价。</w:t>
            </w:r>
          </w:p>
          <w:p w14:paraId="48273B44">
            <w:pPr>
              <w:rPr>
                <w:rFonts w:hint="eastAsia" w:ascii="宋体" w:hAnsi="宋体" w:cs="宋体"/>
                <w:szCs w:val="21"/>
              </w:rPr>
            </w:pPr>
            <w:r>
              <w:rPr>
                <w:rFonts w:hint="eastAsia" w:ascii="宋体" w:hAnsi="宋体" w:cs="宋体"/>
                <w:color w:val="000000" w:themeColor="text1"/>
                <w14:textFill>
                  <w14:solidFill>
                    <w14:schemeClr w14:val="tx1"/>
                  </w14:solidFill>
                </w14:textFill>
              </w:rPr>
              <w:t>投标报价得分=（评标基准价/有效投标报价）×20分</w:t>
            </w:r>
          </w:p>
        </w:tc>
      </w:tr>
      <w:tr w14:paraId="4B94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98" w:type="dxa"/>
            <w:vMerge w:val="restart"/>
            <w:vAlign w:val="center"/>
          </w:tcPr>
          <w:p w14:paraId="7DC378E9">
            <w:pPr>
              <w:snapToGrid w:val="0"/>
              <w:spacing w:line="320" w:lineRule="exact"/>
              <w:jc w:val="center"/>
              <w:rPr>
                <w:rFonts w:hint="eastAsia" w:ascii="宋体" w:hAnsi="宋体" w:cs="宋体"/>
                <w:szCs w:val="21"/>
              </w:rPr>
            </w:pPr>
            <w:r>
              <w:rPr>
                <w:rFonts w:hint="eastAsia" w:ascii="宋体" w:hAnsi="宋体" w:cs="宋体"/>
                <w:szCs w:val="21"/>
              </w:rPr>
              <w:t>技术部分</w:t>
            </w:r>
          </w:p>
          <w:p w14:paraId="4F027728">
            <w:pPr>
              <w:snapToGrid w:val="0"/>
              <w:spacing w:line="320" w:lineRule="exact"/>
              <w:jc w:val="center"/>
              <w:rPr>
                <w:rFonts w:hint="eastAsia" w:ascii="宋体" w:hAnsi="宋体" w:cs="宋体"/>
                <w:szCs w:val="21"/>
              </w:rPr>
            </w:pPr>
            <w:r>
              <w:rPr>
                <w:rFonts w:hint="eastAsia" w:ascii="宋体" w:hAnsi="宋体" w:cs="宋体"/>
                <w:szCs w:val="21"/>
              </w:rPr>
              <w:t>（52分）</w:t>
            </w:r>
          </w:p>
        </w:tc>
        <w:tc>
          <w:tcPr>
            <w:tcW w:w="1362" w:type="dxa"/>
            <w:vAlign w:val="center"/>
          </w:tcPr>
          <w:p w14:paraId="2CA224C1">
            <w:pPr>
              <w:snapToGrid w:val="0"/>
              <w:spacing w:line="320" w:lineRule="exact"/>
              <w:jc w:val="center"/>
              <w:rPr>
                <w:rFonts w:hint="eastAsia" w:ascii="宋体" w:hAnsi="宋体" w:cs="宋体"/>
                <w:szCs w:val="21"/>
              </w:rPr>
            </w:pPr>
            <w:r>
              <w:rPr>
                <w:rFonts w:hint="eastAsia" w:ascii="宋体" w:hAnsi="宋体" w:cs="宋体"/>
                <w:szCs w:val="21"/>
              </w:rPr>
              <w:t>1.项目概况</w:t>
            </w:r>
          </w:p>
          <w:p w14:paraId="6368D72E">
            <w:pPr>
              <w:snapToGrid w:val="0"/>
              <w:spacing w:line="320" w:lineRule="exact"/>
              <w:jc w:val="center"/>
              <w:rPr>
                <w:rFonts w:hint="eastAsia" w:ascii="宋体" w:hAnsi="宋体" w:cs="宋体"/>
                <w:szCs w:val="21"/>
              </w:rPr>
            </w:pPr>
            <w:r>
              <w:rPr>
                <w:rFonts w:hint="eastAsia" w:ascii="宋体" w:hAnsi="宋体" w:cs="宋体"/>
                <w:szCs w:val="21"/>
              </w:rPr>
              <w:t>（5分）</w:t>
            </w:r>
          </w:p>
        </w:tc>
        <w:tc>
          <w:tcPr>
            <w:tcW w:w="6922" w:type="dxa"/>
            <w:vAlign w:val="center"/>
          </w:tcPr>
          <w:p w14:paraId="4813DC19">
            <w:pPr>
              <w:pStyle w:val="4"/>
              <w:snapToGrid w:val="0"/>
              <w:spacing w:line="320" w:lineRule="exact"/>
              <w:jc w:val="both"/>
              <w:rPr>
                <w:rFonts w:hint="eastAsia" w:hAnsi="宋体"/>
                <w:color w:val="auto"/>
                <w:sz w:val="21"/>
                <w:szCs w:val="21"/>
              </w:rPr>
            </w:pPr>
            <w:r>
              <w:rPr>
                <w:rFonts w:hint="eastAsia" w:hAnsi="宋体"/>
                <w:color w:val="auto"/>
                <w:sz w:val="21"/>
                <w:szCs w:val="21"/>
              </w:rPr>
              <w:t>深刻理解设计意图，对项目情况的了解和充分分析准确性、全面性。</w:t>
            </w:r>
          </w:p>
          <w:p w14:paraId="3CEF837F">
            <w:pPr>
              <w:pStyle w:val="4"/>
              <w:snapToGrid w:val="0"/>
              <w:spacing w:line="320" w:lineRule="exact"/>
              <w:jc w:val="both"/>
              <w:rPr>
                <w:rFonts w:hint="eastAsia" w:hAnsi="宋体"/>
                <w:color w:val="auto"/>
                <w:sz w:val="21"/>
                <w:szCs w:val="21"/>
              </w:rPr>
            </w:pPr>
            <w:r>
              <w:rPr>
                <w:rFonts w:hint="eastAsia" w:hAnsi="宋体"/>
                <w:color w:val="auto"/>
                <w:sz w:val="21"/>
                <w:szCs w:val="21"/>
              </w:rPr>
              <w:t>了解全面、分析准确全面的得5分；了解较为全面、分析较为准确基本合理的得3分；了解分析不够全面、不够合理的得1分；缺项不得分。</w:t>
            </w:r>
          </w:p>
        </w:tc>
      </w:tr>
      <w:tr w14:paraId="37488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1198" w:type="dxa"/>
            <w:vMerge w:val="continue"/>
            <w:vAlign w:val="center"/>
          </w:tcPr>
          <w:p w14:paraId="1BE04A40">
            <w:pPr>
              <w:snapToGrid w:val="0"/>
              <w:spacing w:line="320" w:lineRule="exact"/>
              <w:jc w:val="center"/>
              <w:rPr>
                <w:rFonts w:hint="eastAsia" w:ascii="宋体" w:hAnsi="宋体" w:cs="宋体"/>
                <w:szCs w:val="21"/>
              </w:rPr>
            </w:pPr>
          </w:p>
        </w:tc>
        <w:tc>
          <w:tcPr>
            <w:tcW w:w="1362" w:type="dxa"/>
            <w:vAlign w:val="center"/>
          </w:tcPr>
          <w:p w14:paraId="068D405C">
            <w:pPr>
              <w:snapToGrid w:val="0"/>
              <w:spacing w:line="320" w:lineRule="exact"/>
              <w:jc w:val="center"/>
              <w:rPr>
                <w:rFonts w:hint="eastAsia" w:ascii="宋体" w:hAnsi="宋体" w:cs="宋体"/>
                <w:szCs w:val="21"/>
              </w:rPr>
            </w:pPr>
            <w:r>
              <w:rPr>
                <w:rFonts w:hint="eastAsia" w:ascii="宋体" w:hAnsi="宋体" w:cs="宋体"/>
                <w:szCs w:val="21"/>
              </w:rPr>
              <w:t>2.</w:t>
            </w:r>
            <w:r>
              <w:rPr>
                <w:rFonts w:ascii="宋体" w:hAnsi="宋体" w:cs="宋体"/>
                <w:szCs w:val="21"/>
              </w:rPr>
              <w:t>总体设计思路（6分）</w:t>
            </w:r>
          </w:p>
        </w:tc>
        <w:tc>
          <w:tcPr>
            <w:tcW w:w="6922" w:type="dxa"/>
            <w:vAlign w:val="center"/>
          </w:tcPr>
          <w:p w14:paraId="73EACB5B">
            <w:pPr>
              <w:widowControl/>
              <w:snapToGrid w:val="0"/>
              <w:spacing w:line="320" w:lineRule="exact"/>
              <w:rPr>
                <w:rFonts w:hint="eastAsia" w:ascii="宋体" w:hAnsi="宋体" w:cs="宋体"/>
                <w:szCs w:val="21"/>
              </w:rPr>
            </w:pPr>
            <w:r>
              <w:rPr>
                <w:rFonts w:hint="eastAsia" w:ascii="宋体" w:hAnsi="宋体" w:cs="宋体"/>
                <w:szCs w:val="21"/>
              </w:rPr>
              <w:t>总体设计思路清晰、完整，有必要的图纸及说明文字，符合该项目建设需求的。</w:t>
            </w:r>
          </w:p>
          <w:p w14:paraId="11885C45">
            <w:pPr>
              <w:widowControl/>
              <w:snapToGrid w:val="0"/>
              <w:spacing w:line="320" w:lineRule="exact"/>
              <w:rPr>
                <w:rFonts w:hint="eastAsia" w:ascii="宋体" w:hAnsi="宋体" w:cs="宋体"/>
                <w:szCs w:val="21"/>
              </w:rPr>
            </w:pPr>
            <w:r>
              <w:rPr>
                <w:rFonts w:hint="eastAsia" w:ascii="宋体" w:hAnsi="宋体" w:cs="宋体"/>
                <w:szCs w:val="21"/>
              </w:rPr>
              <w:t>内容完整、思路清晰具备可行性的得6分；内容较为完整全面、基本合理的得4分；内容不够完整不够全面的得2分；缺项不得分</w:t>
            </w:r>
          </w:p>
        </w:tc>
      </w:tr>
      <w:tr w14:paraId="62FA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1198" w:type="dxa"/>
            <w:vMerge w:val="continue"/>
            <w:vAlign w:val="center"/>
          </w:tcPr>
          <w:p w14:paraId="7373F318">
            <w:pPr>
              <w:snapToGrid w:val="0"/>
              <w:spacing w:line="320" w:lineRule="exact"/>
              <w:jc w:val="center"/>
              <w:rPr>
                <w:rFonts w:hint="eastAsia" w:ascii="宋体" w:hAnsi="宋体" w:cs="宋体"/>
                <w:szCs w:val="21"/>
              </w:rPr>
            </w:pPr>
          </w:p>
        </w:tc>
        <w:tc>
          <w:tcPr>
            <w:tcW w:w="1362" w:type="dxa"/>
            <w:vAlign w:val="center"/>
          </w:tcPr>
          <w:p w14:paraId="4241D894">
            <w:pPr>
              <w:snapToGrid w:val="0"/>
              <w:spacing w:line="320" w:lineRule="exact"/>
              <w:jc w:val="center"/>
              <w:rPr>
                <w:rFonts w:hint="eastAsia" w:ascii="宋体" w:hAnsi="宋体" w:cs="宋体"/>
                <w:szCs w:val="21"/>
              </w:rPr>
            </w:pPr>
            <w:r>
              <w:rPr>
                <w:rFonts w:hint="eastAsia" w:ascii="宋体" w:hAnsi="宋体" w:cs="宋体"/>
                <w:szCs w:val="21"/>
              </w:rPr>
              <w:t>3.</w:t>
            </w:r>
            <w:r>
              <w:rPr>
                <w:rFonts w:ascii="宋体" w:hAnsi="宋体" w:cs="宋体"/>
                <w:szCs w:val="21"/>
              </w:rPr>
              <w:t>设计方案（12分）</w:t>
            </w:r>
          </w:p>
        </w:tc>
        <w:tc>
          <w:tcPr>
            <w:tcW w:w="6922" w:type="dxa"/>
            <w:vAlign w:val="center"/>
          </w:tcPr>
          <w:p w14:paraId="731E7F27">
            <w:pPr>
              <w:widowControl/>
              <w:snapToGrid w:val="0"/>
              <w:spacing w:line="320" w:lineRule="exact"/>
              <w:rPr>
                <w:rFonts w:hint="eastAsia" w:ascii="宋体" w:hAnsi="宋体" w:cs="宋体"/>
                <w:szCs w:val="21"/>
              </w:rPr>
            </w:pPr>
            <w:r>
              <w:rPr>
                <w:rFonts w:hint="eastAsia" w:ascii="宋体" w:hAnsi="宋体" w:cs="宋体"/>
                <w:szCs w:val="21"/>
              </w:rPr>
              <w:t>编制内容、深度及其重点在遵循国家政策导向和医院实际为前提，充分考虑医院设计特点、准确把握项目定位，对设计内容和实施有全面周到的考虑和安排，符合相关规范标准；设计内容设置合理，专业设计依据充分，引用规范合法、有效。</w:t>
            </w:r>
          </w:p>
          <w:p w14:paraId="7400EFC1">
            <w:pPr>
              <w:widowControl/>
              <w:snapToGrid w:val="0"/>
              <w:spacing w:line="320" w:lineRule="exact"/>
              <w:rPr>
                <w:rFonts w:hint="eastAsia" w:ascii="宋体" w:hAnsi="宋体" w:cs="宋体"/>
                <w:szCs w:val="21"/>
              </w:rPr>
            </w:pPr>
            <w:r>
              <w:rPr>
                <w:rFonts w:hint="eastAsia" w:ascii="宋体" w:hAnsi="宋体" w:cs="宋体"/>
                <w:szCs w:val="21"/>
              </w:rPr>
              <w:t>设计方案全面可行、设计内容设置合理的得12分；设计方案较为全面，能满足项目基本需求的得8分；设计方案不够全面，有明显缺陷或缺乏可行性的得4分；缺项不得分。</w:t>
            </w:r>
          </w:p>
        </w:tc>
      </w:tr>
      <w:tr w14:paraId="1994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198" w:type="dxa"/>
            <w:vMerge w:val="continue"/>
            <w:vAlign w:val="center"/>
          </w:tcPr>
          <w:p w14:paraId="466DF07C">
            <w:pPr>
              <w:snapToGrid w:val="0"/>
              <w:spacing w:line="320" w:lineRule="exact"/>
              <w:jc w:val="center"/>
              <w:rPr>
                <w:rFonts w:hint="eastAsia" w:ascii="宋体" w:hAnsi="宋体" w:cs="宋体"/>
                <w:szCs w:val="21"/>
              </w:rPr>
            </w:pPr>
          </w:p>
        </w:tc>
        <w:tc>
          <w:tcPr>
            <w:tcW w:w="1362" w:type="dxa"/>
            <w:vAlign w:val="center"/>
          </w:tcPr>
          <w:p w14:paraId="02AFACE7">
            <w:pPr>
              <w:snapToGrid w:val="0"/>
              <w:spacing w:line="320" w:lineRule="exact"/>
              <w:jc w:val="center"/>
              <w:rPr>
                <w:rFonts w:hint="eastAsia" w:ascii="宋体" w:hAnsi="宋体" w:cs="宋体"/>
                <w:szCs w:val="21"/>
              </w:rPr>
            </w:pPr>
            <w:r>
              <w:rPr>
                <w:rFonts w:hint="eastAsia" w:ascii="宋体" w:hAnsi="宋体" w:cs="宋体"/>
                <w:szCs w:val="21"/>
              </w:rPr>
              <w:t>4.</w:t>
            </w:r>
            <w:r>
              <w:rPr>
                <w:rFonts w:ascii="宋体" w:hAnsi="宋体" w:cs="宋体"/>
                <w:szCs w:val="21"/>
              </w:rPr>
              <w:t>设计的经济性（</w:t>
            </w:r>
            <w:r>
              <w:rPr>
                <w:rFonts w:hint="eastAsia" w:ascii="宋体" w:hAnsi="宋体" w:cs="宋体"/>
                <w:szCs w:val="21"/>
              </w:rPr>
              <w:t>5</w:t>
            </w:r>
            <w:r>
              <w:rPr>
                <w:rFonts w:ascii="宋体" w:hAnsi="宋体" w:cs="宋体"/>
                <w:szCs w:val="21"/>
              </w:rPr>
              <w:t>分）</w:t>
            </w:r>
          </w:p>
        </w:tc>
        <w:tc>
          <w:tcPr>
            <w:tcW w:w="6922" w:type="dxa"/>
            <w:vAlign w:val="center"/>
          </w:tcPr>
          <w:p w14:paraId="2888C3F4">
            <w:pPr>
              <w:widowControl/>
              <w:snapToGrid w:val="0"/>
              <w:spacing w:line="320" w:lineRule="exact"/>
              <w:rPr>
                <w:rFonts w:hint="eastAsia" w:ascii="宋体" w:hAnsi="宋体" w:cs="宋体"/>
                <w:szCs w:val="21"/>
              </w:rPr>
            </w:pPr>
            <w:r>
              <w:rPr>
                <w:rFonts w:hint="eastAsia" w:ascii="宋体" w:hAnsi="宋体" w:cs="宋体"/>
                <w:szCs w:val="21"/>
              </w:rPr>
              <w:t>设计内容经济，具有全面、完善、合理的工程造价的投资分析及降低造价的措施。</w:t>
            </w:r>
          </w:p>
          <w:p w14:paraId="21D23DAA">
            <w:pPr>
              <w:widowControl/>
              <w:snapToGrid w:val="0"/>
              <w:spacing w:line="320" w:lineRule="exact"/>
              <w:rPr>
                <w:rFonts w:hint="eastAsia" w:ascii="宋体" w:hAnsi="宋体" w:cs="宋体"/>
                <w:szCs w:val="21"/>
              </w:rPr>
            </w:pPr>
            <w:r>
              <w:rPr>
                <w:rFonts w:hint="eastAsia" w:ascii="宋体" w:hAnsi="宋体" w:cs="宋体"/>
                <w:szCs w:val="21"/>
              </w:rPr>
              <w:t>措施全面合理、内容完整具备可行性的得5分；内容较为全面基本合理的得3分；内容不够全面的的得1分；缺项不得分。</w:t>
            </w:r>
          </w:p>
        </w:tc>
      </w:tr>
      <w:tr w14:paraId="24F65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198" w:type="dxa"/>
            <w:vMerge w:val="continue"/>
            <w:vAlign w:val="center"/>
          </w:tcPr>
          <w:p w14:paraId="6B722552">
            <w:pPr>
              <w:snapToGrid w:val="0"/>
              <w:spacing w:line="320" w:lineRule="exact"/>
              <w:jc w:val="center"/>
              <w:rPr>
                <w:rFonts w:hint="eastAsia" w:ascii="宋体" w:hAnsi="宋体" w:cs="宋体"/>
                <w:szCs w:val="21"/>
              </w:rPr>
            </w:pPr>
          </w:p>
        </w:tc>
        <w:tc>
          <w:tcPr>
            <w:tcW w:w="1362" w:type="dxa"/>
            <w:vAlign w:val="center"/>
          </w:tcPr>
          <w:p w14:paraId="150E9D19">
            <w:pPr>
              <w:snapToGrid w:val="0"/>
              <w:spacing w:line="320" w:lineRule="exact"/>
              <w:jc w:val="center"/>
              <w:rPr>
                <w:rFonts w:hint="eastAsia" w:ascii="宋体" w:hAnsi="宋体" w:cs="宋体"/>
                <w:szCs w:val="21"/>
              </w:rPr>
            </w:pPr>
            <w:r>
              <w:rPr>
                <w:rFonts w:hint="eastAsia" w:ascii="宋体" w:hAnsi="宋体" w:cs="宋体"/>
                <w:szCs w:val="21"/>
              </w:rPr>
              <w:t>5.</w:t>
            </w:r>
            <w:r>
              <w:rPr>
                <w:rFonts w:ascii="宋体" w:hAnsi="宋体" w:cs="宋体"/>
                <w:szCs w:val="21"/>
              </w:rPr>
              <w:t>设计的环保性（</w:t>
            </w:r>
            <w:r>
              <w:rPr>
                <w:rFonts w:hint="eastAsia" w:ascii="宋体" w:hAnsi="宋体" w:cs="宋体"/>
                <w:szCs w:val="21"/>
              </w:rPr>
              <w:t>6</w:t>
            </w:r>
            <w:r>
              <w:rPr>
                <w:rFonts w:ascii="宋体" w:hAnsi="宋体" w:cs="宋体"/>
                <w:szCs w:val="21"/>
              </w:rPr>
              <w:t>分）</w:t>
            </w:r>
          </w:p>
        </w:tc>
        <w:tc>
          <w:tcPr>
            <w:tcW w:w="6922" w:type="dxa"/>
            <w:vAlign w:val="center"/>
          </w:tcPr>
          <w:p w14:paraId="6CAD878B">
            <w:pPr>
              <w:widowControl/>
              <w:snapToGrid w:val="0"/>
              <w:spacing w:line="320" w:lineRule="exact"/>
              <w:rPr>
                <w:rFonts w:hint="eastAsia" w:ascii="宋体" w:hAnsi="宋体" w:cs="宋体"/>
                <w:szCs w:val="21"/>
              </w:rPr>
            </w:pPr>
            <w:r>
              <w:rPr>
                <w:rFonts w:hint="eastAsia" w:ascii="宋体" w:hAnsi="宋体" w:cs="宋体"/>
                <w:szCs w:val="21"/>
              </w:rPr>
              <w:t>设计实施方案将环保融入设计，涵盖节能、绿色建材与室内空气质量、人性化设计、废弃物管理等内容。</w:t>
            </w:r>
          </w:p>
          <w:p w14:paraId="5835D9EE">
            <w:pPr>
              <w:widowControl/>
              <w:snapToGrid w:val="0"/>
              <w:spacing w:line="320" w:lineRule="exact"/>
              <w:rPr>
                <w:rFonts w:hint="eastAsia" w:ascii="宋体" w:hAnsi="宋体" w:cs="宋体"/>
                <w:szCs w:val="21"/>
              </w:rPr>
            </w:pPr>
            <w:r>
              <w:rPr>
                <w:rFonts w:hint="eastAsia" w:ascii="宋体" w:hAnsi="宋体" w:cs="宋体"/>
                <w:szCs w:val="21"/>
              </w:rPr>
              <w:t>规划合理、内容齐全，符合规定的得6分；内容较为齐全的得4分；内容不够齐全的得2分，缺项或不合理者不得分。</w:t>
            </w:r>
          </w:p>
        </w:tc>
      </w:tr>
      <w:tr w14:paraId="7665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198" w:type="dxa"/>
            <w:vMerge w:val="continue"/>
            <w:vAlign w:val="center"/>
          </w:tcPr>
          <w:p w14:paraId="18AD3D94">
            <w:pPr>
              <w:snapToGrid w:val="0"/>
              <w:spacing w:line="320" w:lineRule="exact"/>
              <w:jc w:val="center"/>
              <w:rPr>
                <w:rFonts w:hint="eastAsia" w:ascii="宋体" w:hAnsi="宋体" w:cs="宋体"/>
                <w:szCs w:val="21"/>
              </w:rPr>
            </w:pPr>
          </w:p>
        </w:tc>
        <w:tc>
          <w:tcPr>
            <w:tcW w:w="1362" w:type="dxa"/>
            <w:vAlign w:val="center"/>
          </w:tcPr>
          <w:p w14:paraId="49202644">
            <w:pPr>
              <w:snapToGrid w:val="0"/>
              <w:spacing w:line="32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质量的技术组织措施</w:t>
            </w:r>
          </w:p>
          <w:p w14:paraId="7168CDD3">
            <w:pPr>
              <w:snapToGrid w:val="0"/>
              <w:spacing w:line="320" w:lineRule="exact"/>
              <w:jc w:val="center"/>
              <w:rPr>
                <w:rFonts w:hint="eastAsia" w:ascii="宋体" w:hAnsi="宋体" w:cs="宋体"/>
                <w:szCs w:val="21"/>
              </w:rPr>
            </w:pPr>
            <w:r>
              <w:rPr>
                <w:rFonts w:ascii="宋体" w:hAnsi="宋体" w:cs="宋体"/>
                <w:szCs w:val="21"/>
              </w:rPr>
              <w:t>（</w:t>
            </w:r>
            <w:r>
              <w:rPr>
                <w:rFonts w:hint="eastAsia" w:ascii="宋体" w:hAnsi="宋体" w:cs="宋体"/>
                <w:szCs w:val="21"/>
              </w:rPr>
              <w:t>6</w:t>
            </w:r>
            <w:r>
              <w:rPr>
                <w:rFonts w:ascii="宋体" w:hAnsi="宋体" w:cs="宋体"/>
                <w:szCs w:val="21"/>
              </w:rPr>
              <w:t>分）</w:t>
            </w:r>
          </w:p>
        </w:tc>
        <w:tc>
          <w:tcPr>
            <w:tcW w:w="6922" w:type="dxa"/>
            <w:vAlign w:val="center"/>
          </w:tcPr>
          <w:p w14:paraId="5CAD10A9">
            <w:pPr>
              <w:widowControl/>
              <w:snapToGrid w:val="0"/>
              <w:spacing w:line="320" w:lineRule="exact"/>
              <w:rPr>
                <w:rFonts w:hint="eastAsia" w:ascii="宋体" w:hAnsi="宋体" w:cs="宋体"/>
                <w:szCs w:val="21"/>
              </w:rPr>
            </w:pPr>
            <w:r>
              <w:rPr>
                <w:rFonts w:hint="eastAsia" w:ascii="宋体" w:hAnsi="宋体" w:cs="宋体"/>
                <w:szCs w:val="21"/>
              </w:rPr>
              <w:t>确保设计质量的技术组织措施内容全面、减少设计变更等措施方法可行。措施全面合理、内容完整具备可行性的得6分；内容较为全面基本合理的得4分；内容不够全面的得2分；缺项不得分。</w:t>
            </w:r>
          </w:p>
        </w:tc>
      </w:tr>
      <w:tr w14:paraId="1E02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198" w:type="dxa"/>
            <w:vMerge w:val="continue"/>
            <w:vAlign w:val="center"/>
          </w:tcPr>
          <w:p w14:paraId="1D592131">
            <w:pPr>
              <w:snapToGrid w:val="0"/>
              <w:spacing w:line="320" w:lineRule="exact"/>
              <w:jc w:val="center"/>
              <w:rPr>
                <w:rFonts w:hint="eastAsia" w:ascii="宋体" w:hAnsi="宋体" w:cs="宋体"/>
                <w:szCs w:val="21"/>
              </w:rPr>
            </w:pPr>
          </w:p>
        </w:tc>
        <w:tc>
          <w:tcPr>
            <w:tcW w:w="1362" w:type="dxa"/>
            <w:vAlign w:val="center"/>
          </w:tcPr>
          <w:p w14:paraId="7F5B2173">
            <w:pPr>
              <w:snapToGrid w:val="0"/>
              <w:spacing w:line="320" w:lineRule="exact"/>
              <w:jc w:val="center"/>
              <w:rPr>
                <w:rFonts w:hint="eastAsia" w:ascii="宋体" w:hAnsi="宋体" w:cs="宋体"/>
                <w:szCs w:val="21"/>
              </w:rPr>
            </w:pPr>
            <w:r>
              <w:rPr>
                <w:rFonts w:hint="eastAsia" w:ascii="宋体" w:hAnsi="宋体" w:cs="宋体"/>
                <w:szCs w:val="21"/>
              </w:rPr>
              <w:t>7.进度措施</w:t>
            </w:r>
          </w:p>
          <w:p w14:paraId="661F3202">
            <w:pPr>
              <w:snapToGrid w:val="0"/>
              <w:spacing w:line="320" w:lineRule="exact"/>
              <w:jc w:val="center"/>
              <w:rPr>
                <w:rFonts w:hint="eastAsia" w:ascii="宋体" w:hAnsi="宋体" w:cs="宋体"/>
                <w:szCs w:val="21"/>
              </w:rPr>
            </w:pPr>
            <w:r>
              <w:rPr>
                <w:rFonts w:hint="eastAsia" w:ascii="宋体" w:hAnsi="宋体" w:cs="宋体"/>
                <w:szCs w:val="21"/>
              </w:rPr>
              <w:t>（5分）</w:t>
            </w:r>
          </w:p>
        </w:tc>
        <w:tc>
          <w:tcPr>
            <w:tcW w:w="6922" w:type="dxa"/>
            <w:vAlign w:val="center"/>
          </w:tcPr>
          <w:p w14:paraId="55CE7308">
            <w:pPr>
              <w:widowControl/>
              <w:snapToGrid w:val="0"/>
              <w:spacing w:line="320" w:lineRule="exact"/>
              <w:rPr>
                <w:rFonts w:hint="eastAsia" w:ascii="宋体" w:hAnsi="宋体" w:cs="宋体"/>
                <w:szCs w:val="21"/>
              </w:rPr>
            </w:pPr>
            <w:r>
              <w:rPr>
                <w:rFonts w:hint="eastAsia" w:ascii="宋体" w:hAnsi="宋体" w:cs="宋体"/>
                <w:szCs w:val="21"/>
              </w:rPr>
              <w:t>针对本项目特点及设计周期安排设计进度计划，项目设计进度计划表编制科学合理，有确保进度的技术组织措施切实可行。</w:t>
            </w:r>
          </w:p>
          <w:p w14:paraId="6C1FE0DB">
            <w:pPr>
              <w:widowControl/>
              <w:snapToGrid w:val="0"/>
              <w:spacing w:line="320" w:lineRule="exact"/>
              <w:rPr>
                <w:rFonts w:hint="eastAsia" w:ascii="宋体" w:hAnsi="宋体" w:cs="宋体"/>
                <w:szCs w:val="21"/>
              </w:rPr>
            </w:pPr>
            <w:r>
              <w:rPr>
                <w:rFonts w:hint="eastAsia" w:ascii="宋体" w:hAnsi="宋体" w:cs="宋体"/>
                <w:szCs w:val="21"/>
              </w:rPr>
              <w:t>措施全面合理、内容完整具备可行性得5分；内容较为全面基本合理得3分；内容不够全面的得1分；缺项不得分。</w:t>
            </w:r>
          </w:p>
        </w:tc>
      </w:tr>
      <w:tr w14:paraId="1981F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198" w:type="dxa"/>
            <w:vMerge w:val="continue"/>
            <w:vAlign w:val="center"/>
          </w:tcPr>
          <w:p w14:paraId="52C933C7">
            <w:pPr>
              <w:snapToGrid w:val="0"/>
              <w:spacing w:line="320" w:lineRule="exact"/>
              <w:jc w:val="center"/>
              <w:rPr>
                <w:rFonts w:hint="eastAsia" w:ascii="宋体" w:hAnsi="宋体" w:cs="宋体"/>
                <w:szCs w:val="21"/>
              </w:rPr>
            </w:pPr>
          </w:p>
        </w:tc>
        <w:tc>
          <w:tcPr>
            <w:tcW w:w="1362" w:type="dxa"/>
            <w:vAlign w:val="center"/>
          </w:tcPr>
          <w:p w14:paraId="0BD449B0">
            <w:pPr>
              <w:snapToGrid w:val="0"/>
              <w:spacing w:line="320" w:lineRule="exact"/>
              <w:jc w:val="center"/>
              <w:rPr>
                <w:rFonts w:hint="eastAsia" w:ascii="宋体" w:hAnsi="宋体" w:cs="宋体"/>
                <w:szCs w:val="21"/>
              </w:rPr>
            </w:pPr>
            <w:r>
              <w:rPr>
                <w:rFonts w:hint="eastAsia" w:ascii="宋体" w:hAnsi="宋体" w:cs="宋体"/>
                <w:szCs w:val="21"/>
              </w:rPr>
              <w:t>8.工作重点、难点分析</w:t>
            </w:r>
          </w:p>
          <w:p w14:paraId="6A1BAA18">
            <w:pPr>
              <w:snapToGrid w:val="0"/>
              <w:spacing w:line="320" w:lineRule="exact"/>
              <w:jc w:val="center"/>
              <w:rPr>
                <w:rFonts w:hint="eastAsia" w:ascii="宋体" w:hAnsi="宋体" w:cs="宋体"/>
                <w:szCs w:val="21"/>
              </w:rPr>
            </w:pPr>
            <w:r>
              <w:rPr>
                <w:rFonts w:hint="eastAsia" w:ascii="宋体" w:hAnsi="宋体" w:cs="宋体"/>
                <w:szCs w:val="21"/>
              </w:rPr>
              <w:t>（5分）</w:t>
            </w:r>
          </w:p>
        </w:tc>
        <w:tc>
          <w:tcPr>
            <w:tcW w:w="6922" w:type="dxa"/>
            <w:vAlign w:val="center"/>
          </w:tcPr>
          <w:p w14:paraId="42594DA9">
            <w:pPr>
              <w:widowControl/>
              <w:snapToGrid w:val="0"/>
              <w:spacing w:line="320" w:lineRule="exact"/>
              <w:rPr>
                <w:rFonts w:hint="eastAsia" w:ascii="宋体" w:hAnsi="宋体" w:cs="宋体"/>
                <w:szCs w:val="21"/>
              </w:rPr>
            </w:pPr>
            <w:r>
              <w:rPr>
                <w:rFonts w:hint="eastAsia" w:ascii="宋体" w:hAnsi="宋体" w:cs="宋体"/>
                <w:szCs w:val="21"/>
              </w:rPr>
              <w:t>设计工作重点、难点分析和解决方案。</w:t>
            </w:r>
          </w:p>
          <w:p w14:paraId="7705184B">
            <w:pPr>
              <w:widowControl/>
              <w:snapToGrid w:val="0"/>
              <w:spacing w:line="320" w:lineRule="exact"/>
              <w:rPr>
                <w:rFonts w:hint="eastAsia" w:ascii="宋体" w:hAnsi="宋体" w:cs="宋体"/>
                <w:szCs w:val="21"/>
              </w:rPr>
            </w:pPr>
            <w:r>
              <w:rPr>
                <w:rFonts w:hint="eastAsia" w:ascii="宋体" w:hAnsi="宋体" w:cs="宋体"/>
                <w:szCs w:val="21"/>
              </w:rPr>
              <w:t>重难点分析全面，解决措施可行的得5分；重难点分析较为全面，解决措施较为可行的得3分；重难点分析不够全面，解决措施基本可行的得1分；缺项或不合理者不得分。</w:t>
            </w:r>
          </w:p>
        </w:tc>
      </w:tr>
      <w:tr w14:paraId="3A7C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198" w:type="dxa"/>
            <w:vMerge w:val="continue"/>
            <w:vAlign w:val="center"/>
          </w:tcPr>
          <w:p w14:paraId="29B4EE52">
            <w:pPr>
              <w:snapToGrid w:val="0"/>
              <w:spacing w:line="320" w:lineRule="exact"/>
              <w:jc w:val="center"/>
              <w:rPr>
                <w:rFonts w:hint="eastAsia" w:ascii="宋体" w:hAnsi="宋体" w:cs="宋体"/>
                <w:szCs w:val="21"/>
              </w:rPr>
            </w:pPr>
          </w:p>
        </w:tc>
        <w:tc>
          <w:tcPr>
            <w:tcW w:w="1362" w:type="dxa"/>
            <w:vAlign w:val="center"/>
          </w:tcPr>
          <w:p w14:paraId="1D27950F">
            <w:pPr>
              <w:snapToGrid w:val="0"/>
              <w:spacing w:line="320" w:lineRule="exact"/>
              <w:jc w:val="center"/>
              <w:rPr>
                <w:rFonts w:hint="eastAsia" w:ascii="宋体" w:hAnsi="宋体" w:cs="宋体"/>
                <w:szCs w:val="21"/>
              </w:rPr>
            </w:pPr>
            <w:r>
              <w:rPr>
                <w:rFonts w:hint="eastAsia" w:ascii="宋体" w:hAnsi="宋体" w:cs="宋体"/>
                <w:szCs w:val="21"/>
              </w:rPr>
              <w:t>9.服务承诺</w:t>
            </w:r>
          </w:p>
          <w:p w14:paraId="128E2F0D">
            <w:pPr>
              <w:snapToGrid w:val="0"/>
              <w:spacing w:line="320" w:lineRule="exact"/>
              <w:jc w:val="center"/>
              <w:rPr>
                <w:rFonts w:hint="eastAsia" w:ascii="宋体" w:hAnsi="宋体" w:cs="宋体"/>
                <w:szCs w:val="21"/>
              </w:rPr>
            </w:pPr>
            <w:r>
              <w:rPr>
                <w:rFonts w:hint="eastAsia" w:ascii="宋体" w:hAnsi="宋体" w:cs="宋体"/>
                <w:szCs w:val="21"/>
              </w:rPr>
              <w:t>（2分）</w:t>
            </w:r>
          </w:p>
        </w:tc>
        <w:tc>
          <w:tcPr>
            <w:tcW w:w="6922" w:type="dxa"/>
            <w:vAlign w:val="center"/>
          </w:tcPr>
          <w:p w14:paraId="73AFCDF3">
            <w:pPr>
              <w:widowControl/>
              <w:snapToGrid w:val="0"/>
              <w:spacing w:line="320" w:lineRule="exact"/>
              <w:rPr>
                <w:rFonts w:hint="eastAsia" w:ascii="宋体" w:hAnsi="宋体" w:cs="宋体"/>
                <w:szCs w:val="21"/>
              </w:rPr>
            </w:pPr>
            <w:r>
              <w:rPr>
                <w:rFonts w:hint="eastAsia" w:ascii="宋体" w:hAnsi="宋体" w:cs="宋体"/>
                <w:szCs w:val="21"/>
              </w:rPr>
              <w:t>供应商针对该项目施工阶段，安排不少于1名参与并熟悉该项目的主要设计人员，须明确驻场人员，并承诺驻场人员能够随时响应招标人要求，需要提供现场服务的，2小时内到达现场，有违约愿接受处罚措施。提供相关承诺得2分，没有的不得分。</w:t>
            </w:r>
          </w:p>
        </w:tc>
      </w:tr>
      <w:tr w14:paraId="55D7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98" w:type="dxa"/>
            <w:vMerge w:val="restart"/>
            <w:vAlign w:val="center"/>
          </w:tcPr>
          <w:p w14:paraId="64C530B4">
            <w:pPr>
              <w:snapToGrid w:val="0"/>
              <w:spacing w:line="320" w:lineRule="exact"/>
              <w:jc w:val="center"/>
              <w:rPr>
                <w:rFonts w:hint="eastAsia" w:ascii="宋体" w:hAnsi="宋体" w:cs="宋体"/>
                <w:szCs w:val="21"/>
              </w:rPr>
            </w:pPr>
            <w:r>
              <w:rPr>
                <w:rFonts w:hint="eastAsia" w:ascii="宋体" w:hAnsi="宋体" w:cs="宋体"/>
                <w:szCs w:val="21"/>
              </w:rPr>
              <w:t>商务评价</w:t>
            </w:r>
          </w:p>
          <w:p w14:paraId="7BEA59A1">
            <w:pPr>
              <w:snapToGrid w:val="0"/>
              <w:spacing w:line="320" w:lineRule="exact"/>
              <w:jc w:val="center"/>
              <w:rPr>
                <w:rFonts w:hint="eastAsia" w:ascii="宋体" w:hAnsi="宋体" w:cs="宋体"/>
                <w:szCs w:val="21"/>
              </w:rPr>
            </w:pPr>
            <w:r>
              <w:rPr>
                <w:rFonts w:hint="eastAsia" w:ascii="宋体" w:hAnsi="宋体" w:cs="宋体"/>
                <w:szCs w:val="21"/>
              </w:rPr>
              <w:t>(28分)</w:t>
            </w:r>
          </w:p>
        </w:tc>
        <w:tc>
          <w:tcPr>
            <w:tcW w:w="1362" w:type="dxa"/>
            <w:vMerge w:val="restart"/>
            <w:tcBorders>
              <w:top w:val="single" w:color="auto" w:sz="4" w:space="0"/>
            </w:tcBorders>
            <w:vAlign w:val="center"/>
          </w:tcPr>
          <w:p w14:paraId="687D796F">
            <w:pPr>
              <w:snapToGrid w:val="0"/>
              <w:spacing w:line="320" w:lineRule="exact"/>
              <w:jc w:val="center"/>
              <w:rPr>
                <w:rFonts w:hint="eastAsia" w:ascii="宋体" w:hAnsi="宋体" w:cs="宋体"/>
                <w:szCs w:val="21"/>
              </w:rPr>
            </w:pPr>
            <w:r>
              <w:rPr>
                <w:rFonts w:hint="eastAsia" w:ascii="宋体" w:hAnsi="宋体" w:cs="宋体"/>
                <w:szCs w:val="21"/>
              </w:rPr>
              <w:t>1.服务团队</w:t>
            </w:r>
          </w:p>
          <w:p w14:paraId="30A89295">
            <w:pPr>
              <w:snapToGrid w:val="0"/>
              <w:spacing w:line="320" w:lineRule="exact"/>
              <w:jc w:val="center"/>
              <w:rPr>
                <w:rFonts w:hint="eastAsia" w:ascii="宋体" w:hAnsi="宋体" w:cs="宋体"/>
                <w:szCs w:val="21"/>
              </w:rPr>
            </w:pPr>
            <w:r>
              <w:rPr>
                <w:rFonts w:hint="eastAsia" w:ascii="宋体" w:hAnsi="宋体" w:cs="宋体"/>
                <w:szCs w:val="21"/>
              </w:rPr>
              <w:t>（20分）</w:t>
            </w:r>
          </w:p>
        </w:tc>
        <w:tc>
          <w:tcPr>
            <w:tcW w:w="6922" w:type="dxa"/>
            <w:vAlign w:val="center"/>
          </w:tcPr>
          <w:p w14:paraId="4E0C3040">
            <w:pPr>
              <w:widowControl/>
              <w:snapToGrid w:val="0"/>
              <w:spacing w:line="320" w:lineRule="exact"/>
              <w:rPr>
                <w:rFonts w:hint="eastAsia" w:ascii="宋体" w:hAnsi="宋体" w:cs="宋体"/>
                <w:szCs w:val="21"/>
              </w:rPr>
            </w:pPr>
            <w:r>
              <w:rPr>
                <w:rFonts w:hint="eastAsia" w:ascii="宋体" w:hAnsi="宋体" w:cs="宋体"/>
                <w:szCs w:val="21"/>
              </w:rPr>
              <w:t>为确保设计质量、进度、安全拟配备人员齐全满足项目需要，岗位配备合理。机构设置完善、岗位配备齐全的得4分，机构设置较为完善、岗位</w:t>
            </w:r>
          </w:p>
          <w:p w14:paraId="44A3E416">
            <w:pPr>
              <w:widowControl/>
              <w:snapToGrid w:val="0"/>
              <w:spacing w:line="320" w:lineRule="exact"/>
              <w:rPr>
                <w:rFonts w:hint="eastAsia" w:ascii="宋体" w:hAnsi="宋体" w:cs="宋体"/>
                <w:szCs w:val="21"/>
              </w:rPr>
            </w:pPr>
            <w:r>
              <w:rPr>
                <w:rFonts w:hint="eastAsia" w:ascii="宋体" w:hAnsi="宋体" w:cs="宋体"/>
                <w:szCs w:val="21"/>
              </w:rPr>
              <w:t>配备较为齐全的得2分，岗位配备不够齐全的得1分，缺项或不合理者不得分。</w:t>
            </w:r>
          </w:p>
          <w:p w14:paraId="5E71FBDA">
            <w:pPr>
              <w:widowControl/>
              <w:snapToGrid w:val="0"/>
              <w:spacing w:line="320" w:lineRule="exact"/>
            </w:pPr>
            <w:r>
              <w:rPr>
                <w:rFonts w:hint="eastAsia" w:ascii="宋体" w:hAnsi="宋体" w:cs="宋体"/>
                <w:szCs w:val="21"/>
              </w:rPr>
              <w:t>注：提供组织结构图或配备机构说明；配备人员的清单及职责、分工。</w:t>
            </w:r>
          </w:p>
        </w:tc>
      </w:tr>
      <w:tr w14:paraId="3CF67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98" w:type="dxa"/>
            <w:vMerge w:val="continue"/>
            <w:vAlign w:val="center"/>
          </w:tcPr>
          <w:p w14:paraId="531C2129">
            <w:pPr>
              <w:snapToGrid w:val="0"/>
              <w:spacing w:line="320" w:lineRule="exact"/>
              <w:jc w:val="center"/>
              <w:rPr>
                <w:rFonts w:hint="eastAsia" w:ascii="宋体" w:hAnsi="宋体" w:cs="宋体"/>
                <w:szCs w:val="21"/>
              </w:rPr>
            </w:pPr>
          </w:p>
        </w:tc>
        <w:tc>
          <w:tcPr>
            <w:tcW w:w="1362" w:type="dxa"/>
            <w:vMerge w:val="continue"/>
            <w:tcBorders>
              <w:top w:val="single" w:color="auto" w:sz="4" w:space="0"/>
            </w:tcBorders>
            <w:vAlign w:val="center"/>
          </w:tcPr>
          <w:p w14:paraId="7930FA3B">
            <w:pPr>
              <w:snapToGrid w:val="0"/>
              <w:spacing w:line="320" w:lineRule="exact"/>
              <w:jc w:val="center"/>
              <w:rPr>
                <w:rFonts w:hint="eastAsia" w:ascii="宋体" w:hAnsi="宋体" w:cs="宋体"/>
                <w:szCs w:val="21"/>
              </w:rPr>
            </w:pPr>
          </w:p>
        </w:tc>
        <w:tc>
          <w:tcPr>
            <w:tcW w:w="6922" w:type="dxa"/>
            <w:vAlign w:val="center"/>
          </w:tcPr>
          <w:p w14:paraId="66FCAF8E">
            <w:pPr>
              <w:widowControl/>
              <w:snapToGrid w:val="0"/>
              <w:spacing w:line="320" w:lineRule="exact"/>
              <w:rPr>
                <w:highlight w:val="none"/>
              </w:rPr>
            </w:pPr>
            <w:r>
              <w:rPr>
                <w:highlight w:val="none"/>
              </w:rPr>
              <w:t>根据</w:t>
            </w:r>
            <w:r>
              <w:rPr>
                <w:rFonts w:hint="eastAsia"/>
                <w:highlight w:val="none"/>
              </w:rPr>
              <w:t>供应商</w:t>
            </w:r>
            <w:r>
              <w:rPr>
                <w:highlight w:val="none"/>
              </w:rPr>
              <w:t>拟派入本项目的人员情况</w:t>
            </w:r>
            <w:r>
              <w:rPr>
                <w:rFonts w:hint="eastAsia"/>
                <w:highlight w:val="none"/>
              </w:rPr>
              <w:t>：</w:t>
            </w:r>
          </w:p>
          <w:p w14:paraId="06E7B9D3">
            <w:pPr>
              <w:widowControl/>
              <w:snapToGrid w:val="0"/>
              <w:spacing w:line="320" w:lineRule="exact"/>
              <w:rPr>
                <w:highlight w:val="none"/>
              </w:rPr>
            </w:pPr>
            <w:r>
              <w:rPr>
                <w:rFonts w:hint="eastAsia"/>
                <w:highlight w:val="none"/>
              </w:rPr>
              <w:t>1.</w:t>
            </w:r>
            <w:r>
              <w:rPr>
                <w:highlight w:val="none"/>
              </w:rPr>
              <w:t>具有</w:t>
            </w:r>
            <w:r>
              <w:rPr>
                <w:rFonts w:hint="eastAsia"/>
                <w:highlight w:val="none"/>
              </w:rPr>
              <w:t>一名</w:t>
            </w:r>
            <w:r>
              <w:rPr>
                <w:highlight w:val="none"/>
              </w:rPr>
              <w:t>设计类高级职称的加</w:t>
            </w:r>
            <w:r>
              <w:rPr>
                <w:rFonts w:hint="eastAsia"/>
                <w:highlight w:val="none"/>
              </w:rPr>
              <w:t>4</w:t>
            </w:r>
            <w:r>
              <w:rPr>
                <w:highlight w:val="none"/>
              </w:rPr>
              <w:t>分；本项最多得</w:t>
            </w:r>
            <w:r>
              <w:rPr>
                <w:rFonts w:hint="eastAsia"/>
                <w:highlight w:val="none"/>
              </w:rPr>
              <w:t>4</w:t>
            </w:r>
            <w:r>
              <w:rPr>
                <w:highlight w:val="none"/>
              </w:rPr>
              <w:t>分</w:t>
            </w:r>
            <w:r>
              <w:rPr>
                <w:rFonts w:hint="eastAsia"/>
                <w:highlight w:val="none"/>
              </w:rPr>
              <w:t>；</w:t>
            </w:r>
          </w:p>
          <w:p w14:paraId="02D081F6">
            <w:pPr>
              <w:widowControl/>
              <w:snapToGrid w:val="0"/>
              <w:spacing w:line="320" w:lineRule="exact"/>
              <w:rPr>
                <w:highlight w:val="none"/>
              </w:rPr>
            </w:pPr>
            <w:r>
              <w:rPr>
                <w:highlight w:val="none"/>
              </w:rPr>
              <w:t>2.拟投入项目成员具备建筑、结构、给排水、暖通、电气、造价等专业，具有国家注册证书或高级及职称</w:t>
            </w:r>
            <w:r>
              <w:rPr>
                <w:rFonts w:hint="eastAsia"/>
                <w:highlight w:val="none"/>
              </w:rPr>
              <w:t>的</w:t>
            </w:r>
            <w:r>
              <w:rPr>
                <w:highlight w:val="none"/>
              </w:rPr>
              <w:t>，各专业齐全得</w:t>
            </w:r>
            <w:r>
              <w:rPr>
                <w:rFonts w:hint="eastAsia"/>
                <w:highlight w:val="none"/>
              </w:rPr>
              <w:t>12</w:t>
            </w:r>
            <w:r>
              <w:rPr>
                <w:highlight w:val="none"/>
              </w:rPr>
              <w:t>分，缺少1个专业扣</w:t>
            </w:r>
            <w:r>
              <w:rPr>
                <w:rFonts w:hint="eastAsia"/>
                <w:highlight w:val="none"/>
              </w:rPr>
              <w:t>2</w:t>
            </w:r>
            <w:r>
              <w:rPr>
                <w:highlight w:val="none"/>
              </w:rPr>
              <w:t>分，扣完为止。</w:t>
            </w:r>
          </w:p>
          <w:p w14:paraId="14167796">
            <w:pPr>
              <w:widowControl/>
              <w:snapToGrid w:val="0"/>
              <w:spacing w:line="320" w:lineRule="exact"/>
              <w:jc w:val="left"/>
              <w:rPr>
                <w:rFonts w:hint="eastAsia" w:ascii="宋体" w:hAnsi="宋体" w:cs="宋体"/>
                <w:szCs w:val="21"/>
                <w:highlight w:val="none"/>
              </w:rPr>
            </w:pPr>
            <w:r>
              <w:rPr>
                <w:highlight w:val="none"/>
              </w:rPr>
              <w:t>注：</w:t>
            </w:r>
            <w:r>
              <w:rPr>
                <w:rFonts w:hint="eastAsia"/>
                <w:highlight w:val="none"/>
              </w:rPr>
              <w:t>以上人员满足资格条件外，</w:t>
            </w:r>
            <w:r>
              <w:rPr>
                <w:highlight w:val="none"/>
              </w:rPr>
              <w:t>人员不重复得分；需提供相应证明材料并加盖供应商公章。</w:t>
            </w:r>
          </w:p>
        </w:tc>
      </w:tr>
      <w:tr w14:paraId="6044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98" w:type="dxa"/>
            <w:vMerge w:val="continue"/>
            <w:vAlign w:val="center"/>
          </w:tcPr>
          <w:p w14:paraId="56732041">
            <w:pPr>
              <w:snapToGrid w:val="0"/>
              <w:spacing w:line="320" w:lineRule="exact"/>
              <w:jc w:val="center"/>
              <w:rPr>
                <w:rFonts w:hint="eastAsia" w:ascii="宋体" w:hAnsi="宋体" w:cs="宋体"/>
                <w:szCs w:val="21"/>
              </w:rPr>
            </w:pPr>
          </w:p>
        </w:tc>
        <w:tc>
          <w:tcPr>
            <w:tcW w:w="1362" w:type="dxa"/>
            <w:tcBorders>
              <w:top w:val="single" w:color="auto" w:sz="4" w:space="0"/>
            </w:tcBorders>
            <w:vAlign w:val="center"/>
          </w:tcPr>
          <w:p w14:paraId="19A9537A">
            <w:pPr>
              <w:snapToGrid w:val="0"/>
              <w:spacing w:line="320" w:lineRule="exact"/>
              <w:jc w:val="center"/>
              <w:rPr>
                <w:rFonts w:hint="eastAsia" w:ascii="宋体" w:hAnsi="宋体" w:cs="宋体"/>
                <w:szCs w:val="21"/>
              </w:rPr>
            </w:pPr>
            <w:r>
              <w:rPr>
                <w:rFonts w:hint="eastAsia" w:ascii="宋体" w:hAnsi="宋体" w:cs="宋体"/>
                <w:szCs w:val="21"/>
              </w:rPr>
              <w:t>2.类似业绩</w:t>
            </w:r>
          </w:p>
          <w:p w14:paraId="0FF43E73">
            <w:pPr>
              <w:snapToGrid w:val="0"/>
              <w:spacing w:line="320" w:lineRule="exact"/>
              <w:jc w:val="center"/>
              <w:rPr>
                <w:rFonts w:hint="eastAsia" w:ascii="宋体" w:hAnsi="宋体" w:cs="宋体"/>
                <w:szCs w:val="21"/>
              </w:rPr>
            </w:pPr>
            <w:r>
              <w:rPr>
                <w:rFonts w:hint="eastAsia" w:ascii="宋体" w:hAnsi="宋体" w:cs="宋体"/>
                <w:szCs w:val="21"/>
              </w:rPr>
              <w:t>(8分)</w:t>
            </w:r>
          </w:p>
        </w:tc>
        <w:tc>
          <w:tcPr>
            <w:tcW w:w="6922" w:type="dxa"/>
            <w:vAlign w:val="center"/>
          </w:tcPr>
          <w:p w14:paraId="280C6E10">
            <w:pPr>
              <w:widowControl/>
              <w:snapToGrid w:val="0"/>
              <w:spacing w:line="320" w:lineRule="exact"/>
              <w:jc w:val="left"/>
              <w:rPr>
                <w:rFonts w:hint="eastAsia" w:ascii="宋体" w:hAnsi="宋体" w:cs="宋体"/>
              </w:rPr>
            </w:pPr>
            <w:r>
              <w:rPr>
                <w:rFonts w:hint="eastAsia" w:ascii="宋体" w:hAnsi="宋体" w:cs="宋体"/>
              </w:rPr>
              <w:t>供应商自2022年1月1日以来供应商承担过的类似设计类项目；</w:t>
            </w:r>
            <w:r>
              <w:rPr>
                <w:rFonts w:hint="eastAsia" w:ascii="宋体" w:hAnsi="宋体" w:cs="宋体"/>
                <w:szCs w:val="21"/>
              </w:rPr>
              <w:t>每提供一份得2分</w:t>
            </w:r>
            <w:r>
              <w:rPr>
                <w:rFonts w:hint="eastAsia" w:ascii="宋体" w:hAnsi="宋体" w:cs="宋体"/>
              </w:rPr>
              <w:t>，本项最多得8分。</w:t>
            </w:r>
          </w:p>
          <w:p w14:paraId="7FE71CB2">
            <w:pPr>
              <w:widowControl/>
              <w:snapToGrid w:val="0"/>
              <w:spacing w:line="320" w:lineRule="exact"/>
              <w:jc w:val="left"/>
              <w:rPr>
                <w:rFonts w:hint="eastAsia" w:ascii="宋体" w:hAnsi="宋体" w:cs="宋体"/>
              </w:rPr>
            </w:pPr>
            <w:r>
              <w:rPr>
                <w:rFonts w:hint="eastAsia" w:ascii="宋体" w:hAnsi="宋体" w:cs="宋体"/>
              </w:rPr>
              <w:t>注：提供合同</w:t>
            </w:r>
            <w:r>
              <w:rPr>
                <w:rFonts w:hint="eastAsia" w:ascii="宋体" w:hAnsi="宋体" w:cs="宋体"/>
                <w:lang w:val="en-US" w:eastAsia="zh-CN"/>
              </w:rPr>
              <w:t>复印件</w:t>
            </w:r>
            <w:r>
              <w:rPr>
                <w:rFonts w:hint="eastAsia" w:ascii="宋体" w:hAnsi="宋体" w:cs="宋体"/>
              </w:rPr>
              <w:t>。</w:t>
            </w:r>
          </w:p>
        </w:tc>
      </w:tr>
      <w:tr w14:paraId="4698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tcPr>
          <w:p w14:paraId="4DFB3A7A">
            <w:pPr>
              <w:snapToGrid w:val="0"/>
              <w:spacing w:line="340" w:lineRule="exact"/>
              <w:jc w:val="center"/>
              <w:rPr>
                <w:rFonts w:hint="eastAsia" w:ascii="宋体" w:hAnsi="宋体" w:cs="宋体"/>
                <w:szCs w:val="21"/>
              </w:rPr>
            </w:pPr>
            <w:r>
              <w:rPr>
                <w:rFonts w:hint="eastAsia" w:ascii="宋体" w:hAnsi="宋体" w:cs="宋体"/>
                <w:szCs w:val="21"/>
              </w:rPr>
              <w:t>得分的计算</w:t>
            </w:r>
          </w:p>
        </w:tc>
        <w:tc>
          <w:tcPr>
            <w:tcW w:w="8284" w:type="dxa"/>
            <w:gridSpan w:val="2"/>
            <w:vAlign w:val="center"/>
          </w:tcPr>
          <w:p w14:paraId="39FF4C36">
            <w:pPr>
              <w:snapToGrid w:val="0"/>
              <w:spacing w:line="340" w:lineRule="exact"/>
              <w:rPr>
                <w:rFonts w:hint="eastAsia" w:ascii="宋体" w:hAnsi="宋体" w:cs="宋体"/>
                <w:szCs w:val="21"/>
              </w:rPr>
            </w:pPr>
            <w:r>
              <w:rPr>
                <w:rFonts w:hint="eastAsia" w:ascii="宋体" w:hAnsi="宋体" w:cs="宋体"/>
                <w:szCs w:val="21"/>
              </w:rPr>
              <w:t>磋商小组成员评分=各项评分因素的汇总得分。</w:t>
            </w:r>
          </w:p>
          <w:p w14:paraId="121B910E">
            <w:pPr>
              <w:snapToGrid w:val="0"/>
              <w:spacing w:line="340" w:lineRule="exact"/>
              <w:rPr>
                <w:rFonts w:hint="eastAsia" w:ascii="宋体" w:hAnsi="宋体" w:cs="宋体"/>
                <w:szCs w:val="21"/>
              </w:rPr>
            </w:pPr>
            <w:r>
              <w:rPr>
                <w:rFonts w:hint="eastAsia" w:ascii="宋体" w:hAnsi="宋体" w:cs="宋体"/>
                <w:szCs w:val="21"/>
              </w:rPr>
              <w:t>评标总得分=磋商小组所有成员合计评分/磋商小组组成人员数。</w:t>
            </w:r>
          </w:p>
        </w:tc>
      </w:tr>
    </w:tbl>
    <w:p w14:paraId="6564D97D">
      <w:pPr>
        <w:snapToGrid w:val="0"/>
        <w:rPr>
          <w:rFonts w:hint="eastAsia" w:ascii="宋体" w:hAnsi="宋体" w:cs="宋体"/>
          <w:kern w:val="0"/>
          <w:szCs w:val="21"/>
        </w:rPr>
      </w:pPr>
    </w:p>
    <w:p w14:paraId="68F8709E">
      <w:pPr>
        <w:rPr>
          <w:rFonts w:hint="eastAsia" w:ascii="宋体" w:hAnsi="宋体" w:cs="宋体"/>
          <w:b/>
        </w:rPr>
      </w:pPr>
      <w:r>
        <w:rPr>
          <w:rFonts w:hint="eastAsia" w:ascii="宋体" w:hAnsi="宋体" w:cs="宋体"/>
          <w:b/>
        </w:rPr>
        <w:br w:type="page"/>
      </w:r>
    </w:p>
    <w:bookmarkEnd w:id="47"/>
    <w:p w14:paraId="1E053FEE">
      <w:pPr>
        <w:rPr>
          <w:rFonts w:hint="eastAsia" w:ascii="宋体" w:hAnsi="宋体" w:cs="宋体"/>
        </w:rPr>
      </w:pPr>
      <w:bookmarkStart w:id="52" w:name="_Toc1482"/>
      <w:bookmarkStart w:id="53" w:name="_Toc1947"/>
      <w:bookmarkStart w:id="54" w:name="_Toc326786897"/>
      <w:bookmarkStart w:id="55" w:name="_Toc256519703"/>
    </w:p>
    <w:p w14:paraId="4A7261D4">
      <w:pPr>
        <w:pStyle w:val="2"/>
        <w:snapToGrid w:val="0"/>
        <w:spacing w:before="0" w:after="0" w:line="480" w:lineRule="auto"/>
        <w:jc w:val="center"/>
        <w:rPr>
          <w:rFonts w:hint="eastAsia" w:ascii="宋体" w:hAnsi="宋体" w:cs="宋体"/>
          <w:sz w:val="28"/>
          <w:szCs w:val="28"/>
        </w:rPr>
      </w:pPr>
      <w:bookmarkStart w:id="56" w:name="_Toc11904"/>
      <w:r>
        <w:rPr>
          <w:rFonts w:hint="eastAsia" w:ascii="宋体" w:hAnsi="宋体" w:cs="宋体"/>
          <w:sz w:val="28"/>
          <w:szCs w:val="28"/>
        </w:rPr>
        <w:t>第五章  采购合同</w:t>
      </w:r>
      <w:bookmarkEnd w:id="56"/>
    </w:p>
    <w:p w14:paraId="211FF016">
      <w:pPr>
        <w:snapToGrid w:val="0"/>
        <w:spacing w:line="360" w:lineRule="auto"/>
        <w:jc w:val="center"/>
        <w:rPr>
          <w:rFonts w:hint="eastAsia" w:ascii="宋体" w:hAnsi="宋体" w:cs="宋体"/>
          <w:szCs w:val="21"/>
        </w:rPr>
      </w:pPr>
      <w:r>
        <w:rPr>
          <w:rFonts w:hint="eastAsia" w:ascii="宋体" w:hAnsi="宋体" w:cs="宋体"/>
          <w:szCs w:val="21"/>
        </w:rPr>
        <w:t>（以实际合同为准）</w:t>
      </w:r>
    </w:p>
    <w:p w14:paraId="614A4F50">
      <w:pPr>
        <w:rPr>
          <w:rFonts w:hint="eastAsia" w:ascii="宋体" w:hAnsi="宋体" w:cs="宋体"/>
          <w:sz w:val="32"/>
          <w:szCs w:val="32"/>
        </w:rPr>
      </w:pPr>
    </w:p>
    <w:p w14:paraId="7AD1894D">
      <w:pPr>
        <w:rPr>
          <w:rFonts w:hint="eastAsia" w:ascii="宋体" w:hAnsi="宋体" w:cs="宋体"/>
        </w:rPr>
      </w:pPr>
      <w:r>
        <w:rPr>
          <w:rFonts w:hint="eastAsia" w:ascii="宋体" w:hAnsi="宋体" w:cs="宋体"/>
        </w:rPr>
        <w:br w:type="page"/>
      </w:r>
    </w:p>
    <w:p w14:paraId="538D35A0">
      <w:pPr>
        <w:pStyle w:val="31"/>
        <w:ind w:firstLine="210"/>
        <w:rPr>
          <w:rFonts w:hint="eastAsia" w:ascii="宋体" w:hAnsi="宋体" w:cs="宋体"/>
        </w:rPr>
      </w:pPr>
    </w:p>
    <w:p w14:paraId="6B4F0F44">
      <w:pPr>
        <w:pStyle w:val="2"/>
        <w:jc w:val="center"/>
        <w:rPr>
          <w:rFonts w:hint="eastAsia" w:ascii="宋体" w:hAnsi="宋体" w:cs="宋体"/>
          <w:kern w:val="0"/>
        </w:rPr>
      </w:pPr>
      <w:bookmarkStart w:id="57" w:name="_Toc18702"/>
      <w:r>
        <w:rPr>
          <w:rFonts w:hint="eastAsia" w:ascii="宋体" w:hAnsi="宋体" w:cs="宋体"/>
          <w:sz w:val="32"/>
          <w:szCs w:val="32"/>
        </w:rPr>
        <w:t>第六章  响应文件格式</w:t>
      </w:r>
      <w:bookmarkEnd w:id="52"/>
      <w:bookmarkEnd w:id="53"/>
      <w:bookmarkEnd w:id="57"/>
    </w:p>
    <w:p w14:paraId="5309A33B">
      <w:pPr>
        <w:spacing w:line="440" w:lineRule="exact"/>
        <w:rPr>
          <w:rFonts w:hint="eastAsia" w:ascii="宋体" w:hAnsi="宋体" w:cs="宋体"/>
          <w:sz w:val="24"/>
        </w:rPr>
      </w:pPr>
    </w:p>
    <w:p w14:paraId="33C7EE45">
      <w:pPr>
        <w:jc w:val="center"/>
        <w:rPr>
          <w:rFonts w:hint="eastAsia" w:ascii="宋体" w:hAnsi="宋体" w:cs="宋体"/>
          <w:b/>
          <w:bCs/>
          <w:sz w:val="32"/>
          <w:szCs w:val="32"/>
        </w:rPr>
      </w:pPr>
      <w:bookmarkStart w:id="58" w:name="_Toc13604"/>
      <w:r>
        <w:rPr>
          <w:rFonts w:hint="eastAsia" w:ascii="宋体" w:hAnsi="宋体" w:cs="宋体"/>
          <w:b/>
          <w:bCs/>
          <w:sz w:val="32"/>
          <w:szCs w:val="32"/>
        </w:rPr>
        <w:t>目    录</w:t>
      </w:r>
      <w:bookmarkEnd w:id="58"/>
    </w:p>
    <w:p w14:paraId="180C8CC2">
      <w:pPr>
        <w:widowControl/>
        <w:wordWrap w:val="0"/>
        <w:spacing w:line="460" w:lineRule="exact"/>
        <w:ind w:firstLine="480" w:firstLineChars="200"/>
        <w:jc w:val="left"/>
        <w:rPr>
          <w:rFonts w:hint="eastAsia" w:ascii="宋体" w:hAnsi="宋体" w:cs="宋体"/>
          <w:kern w:val="0"/>
          <w:sz w:val="24"/>
        </w:rPr>
      </w:pPr>
    </w:p>
    <w:p w14:paraId="3480B117">
      <w:pPr>
        <w:widowControl/>
        <w:wordWrap w:val="0"/>
        <w:spacing w:line="460" w:lineRule="exact"/>
        <w:ind w:firstLine="480" w:firstLineChars="200"/>
        <w:jc w:val="left"/>
        <w:rPr>
          <w:rFonts w:hint="eastAsia" w:ascii="宋体" w:hAnsi="宋体" w:cs="宋体"/>
          <w:kern w:val="0"/>
          <w:sz w:val="24"/>
        </w:rPr>
      </w:pPr>
    </w:p>
    <w:p w14:paraId="48168530">
      <w:pPr>
        <w:snapToGrid w:val="0"/>
        <w:spacing w:line="360" w:lineRule="auto"/>
        <w:ind w:firstLine="480" w:firstLineChars="200"/>
        <w:rPr>
          <w:rFonts w:hint="eastAsia" w:ascii="宋体" w:hAnsi="宋体" w:cs="宋体"/>
          <w:sz w:val="24"/>
        </w:rPr>
      </w:pPr>
      <w:bookmarkStart w:id="59" w:name="_Toc11308"/>
      <w:r>
        <w:rPr>
          <w:rFonts w:hint="eastAsia" w:ascii="宋体" w:hAnsi="宋体" w:cs="宋体"/>
          <w:sz w:val="24"/>
        </w:rPr>
        <w:t>附件1 响应文件封面（格式）</w:t>
      </w:r>
      <w:bookmarkEnd w:id="59"/>
    </w:p>
    <w:p w14:paraId="2300675E">
      <w:pPr>
        <w:snapToGrid w:val="0"/>
        <w:spacing w:line="360" w:lineRule="auto"/>
        <w:ind w:firstLine="480" w:firstLineChars="200"/>
        <w:rPr>
          <w:rFonts w:hint="eastAsia" w:ascii="宋体" w:hAnsi="宋体" w:cs="宋体"/>
          <w:sz w:val="24"/>
        </w:rPr>
      </w:pPr>
      <w:bookmarkStart w:id="60" w:name="_Toc25345"/>
      <w:r>
        <w:rPr>
          <w:rFonts w:hint="eastAsia" w:ascii="宋体" w:hAnsi="宋体" w:cs="宋体"/>
          <w:sz w:val="24"/>
        </w:rPr>
        <w:t>附件2 竞争性磋商响应书（格式）</w:t>
      </w:r>
      <w:bookmarkEnd w:id="60"/>
    </w:p>
    <w:p w14:paraId="618A4E53">
      <w:pPr>
        <w:snapToGrid w:val="0"/>
        <w:spacing w:line="360" w:lineRule="auto"/>
        <w:ind w:firstLine="480" w:firstLineChars="200"/>
        <w:rPr>
          <w:rFonts w:hint="eastAsia" w:ascii="宋体" w:hAnsi="宋体" w:cs="宋体"/>
          <w:sz w:val="24"/>
        </w:rPr>
      </w:pPr>
      <w:bookmarkStart w:id="61" w:name="_Toc10217"/>
      <w:r>
        <w:rPr>
          <w:rFonts w:hint="eastAsia" w:ascii="宋体" w:hAnsi="宋体" w:cs="宋体"/>
          <w:sz w:val="24"/>
        </w:rPr>
        <w:t>附件3 初次报价一览表（格式）</w:t>
      </w:r>
      <w:bookmarkEnd w:id="61"/>
    </w:p>
    <w:p w14:paraId="11EBA371">
      <w:pPr>
        <w:snapToGrid w:val="0"/>
        <w:spacing w:line="360" w:lineRule="auto"/>
        <w:ind w:firstLine="480" w:firstLineChars="200"/>
        <w:rPr>
          <w:rFonts w:hint="eastAsia" w:ascii="宋体" w:hAnsi="宋体" w:cs="宋体"/>
          <w:sz w:val="24"/>
        </w:rPr>
      </w:pPr>
      <w:bookmarkStart w:id="62" w:name="_Toc9579"/>
      <w:r>
        <w:rPr>
          <w:rFonts w:hint="eastAsia" w:ascii="宋体" w:hAnsi="宋体" w:cs="宋体"/>
          <w:sz w:val="24"/>
        </w:rPr>
        <w:t xml:space="preserve">附件4 </w:t>
      </w:r>
      <w:bookmarkEnd w:id="62"/>
      <w:r>
        <w:rPr>
          <w:rFonts w:hint="eastAsia" w:ascii="宋体" w:hAnsi="宋体" w:cs="宋体"/>
          <w:sz w:val="24"/>
        </w:rPr>
        <w:t>技术响应表（格式）</w:t>
      </w:r>
    </w:p>
    <w:p w14:paraId="17E9DF00">
      <w:pPr>
        <w:snapToGrid w:val="0"/>
        <w:spacing w:line="360" w:lineRule="auto"/>
        <w:ind w:firstLine="480" w:firstLineChars="200"/>
        <w:rPr>
          <w:rFonts w:hint="eastAsia" w:ascii="宋体" w:hAnsi="宋体" w:cs="宋体"/>
          <w:sz w:val="24"/>
        </w:rPr>
      </w:pPr>
      <w:bookmarkStart w:id="63" w:name="_Toc28392"/>
      <w:r>
        <w:rPr>
          <w:rFonts w:hint="eastAsia" w:ascii="宋体" w:hAnsi="宋体" w:cs="宋体"/>
          <w:sz w:val="24"/>
        </w:rPr>
        <w:t>附件5</w:t>
      </w:r>
      <w:bookmarkEnd w:id="63"/>
      <w:r>
        <w:rPr>
          <w:rFonts w:hint="eastAsia" w:ascii="宋体" w:hAnsi="宋体" w:cs="宋体"/>
          <w:sz w:val="24"/>
        </w:rPr>
        <w:t>技术要求证明材料（格式）</w:t>
      </w:r>
    </w:p>
    <w:p w14:paraId="021CB847">
      <w:pPr>
        <w:snapToGrid w:val="0"/>
        <w:spacing w:line="360" w:lineRule="auto"/>
        <w:ind w:firstLine="480" w:firstLineChars="200"/>
        <w:rPr>
          <w:rFonts w:hint="eastAsia" w:ascii="宋体" w:hAnsi="宋体" w:cs="宋体"/>
          <w:sz w:val="24"/>
        </w:rPr>
      </w:pPr>
      <w:bookmarkStart w:id="64" w:name="_Toc6234"/>
      <w:r>
        <w:rPr>
          <w:rFonts w:hint="eastAsia" w:ascii="宋体" w:hAnsi="宋体" w:cs="宋体"/>
          <w:sz w:val="24"/>
        </w:rPr>
        <w:t>附件6 商务</w:t>
      </w:r>
      <w:bookmarkEnd w:id="64"/>
      <w:r>
        <w:rPr>
          <w:rFonts w:hint="eastAsia" w:ascii="宋体" w:hAnsi="宋体" w:cs="宋体"/>
          <w:sz w:val="24"/>
        </w:rPr>
        <w:t>响应表（格式）</w:t>
      </w:r>
    </w:p>
    <w:p w14:paraId="22D634E4">
      <w:pPr>
        <w:snapToGrid w:val="0"/>
        <w:spacing w:line="360" w:lineRule="auto"/>
        <w:ind w:firstLine="480" w:firstLineChars="200"/>
        <w:rPr>
          <w:rFonts w:hint="eastAsia" w:ascii="宋体" w:hAnsi="宋体" w:cs="宋体"/>
          <w:sz w:val="24"/>
        </w:rPr>
      </w:pPr>
      <w:bookmarkStart w:id="65" w:name="_Toc26231"/>
      <w:r>
        <w:rPr>
          <w:rFonts w:hint="eastAsia" w:ascii="宋体" w:hAnsi="宋体" w:cs="宋体"/>
          <w:sz w:val="24"/>
        </w:rPr>
        <w:t>附件7 法定代表人身份证明（格式）</w:t>
      </w:r>
      <w:bookmarkEnd w:id="65"/>
    </w:p>
    <w:p w14:paraId="0EB7D20B">
      <w:pPr>
        <w:snapToGrid w:val="0"/>
        <w:spacing w:line="360" w:lineRule="auto"/>
        <w:ind w:firstLine="480" w:firstLineChars="200"/>
        <w:rPr>
          <w:rFonts w:hint="eastAsia" w:ascii="宋体" w:hAnsi="宋体" w:cs="宋体"/>
          <w:sz w:val="24"/>
        </w:rPr>
      </w:pPr>
      <w:bookmarkStart w:id="66" w:name="_Toc18484"/>
      <w:r>
        <w:rPr>
          <w:rFonts w:hint="eastAsia" w:ascii="宋体" w:hAnsi="宋体" w:cs="宋体"/>
          <w:sz w:val="24"/>
        </w:rPr>
        <w:t>附件8 法定代表人授权书（格式）</w:t>
      </w:r>
      <w:bookmarkEnd w:id="66"/>
    </w:p>
    <w:p w14:paraId="3D01B7DA">
      <w:pPr>
        <w:snapToGrid w:val="0"/>
        <w:spacing w:line="360" w:lineRule="auto"/>
        <w:ind w:firstLine="480" w:firstLineChars="200"/>
        <w:rPr>
          <w:rFonts w:hint="eastAsia" w:ascii="宋体" w:hAnsi="宋体" w:cs="宋体"/>
          <w:sz w:val="24"/>
        </w:rPr>
      </w:pPr>
      <w:bookmarkStart w:id="67" w:name="_Toc31857"/>
      <w:r>
        <w:rPr>
          <w:rFonts w:hint="eastAsia" w:ascii="宋体" w:hAnsi="宋体" w:cs="宋体"/>
          <w:sz w:val="24"/>
        </w:rPr>
        <w:t>附件9 证明文件</w:t>
      </w:r>
      <w:bookmarkEnd w:id="67"/>
    </w:p>
    <w:p w14:paraId="05F70775">
      <w:pPr>
        <w:snapToGrid w:val="0"/>
        <w:spacing w:line="360" w:lineRule="auto"/>
        <w:ind w:firstLine="480" w:firstLineChars="200"/>
        <w:rPr>
          <w:rFonts w:hint="eastAsia" w:ascii="宋体" w:hAnsi="宋体" w:cs="宋体"/>
          <w:sz w:val="24"/>
        </w:rPr>
      </w:pPr>
      <w:bookmarkStart w:id="68" w:name="_Toc23116"/>
      <w:r>
        <w:rPr>
          <w:rFonts w:hint="eastAsia" w:ascii="宋体" w:hAnsi="宋体" w:cs="宋体"/>
          <w:sz w:val="24"/>
        </w:rPr>
        <w:t>附件10 供应商承诺书（格式）</w:t>
      </w:r>
      <w:bookmarkEnd w:id="68"/>
    </w:p>
    <w:p w14:paraId="70E5BE23">
      <w:pPr>
        <w:snapToGrid w:val="0"/>
        <w:spacing w:line="360" w:lineRule="auto"/>
        <w:ind w:firstLine="480" w:firstLineChars="200"/>
        <w:rPr>
          <w:rFonts w:hint="eastAsia" w:ascii="宋体" w:hAnsi="宋体" w:cs="宋体"/>
          <w:sz w:val="24"/>
        </w:rPr>
      </w:pPr>
      <w:r>
        <w:rPr>
          <w:rFonts w:hint="eastAsia" w:ascii="宋体" w:hAnsi="宋体" w:cs="宋体"/>
          <w:sz w:val="24"/>
        </w:rPr>
        <w:t>附件11 供应商信用承诺函（格式）</w:t>
      </w:r>
    </w:p>
    <w:p w14:paraId="38BC2C1E">
      <w:pPr>
        <w:snapToGrid w:val="0"/>
        <w:spacing w:line="360" w:lineRule="auto"/>
        <w:ind w:firstLine="480" w:firstLineChars="200"/>
        <w:rPr>
          <w:rFonts w:hint="eastAsia" w:ascii="宋体" w:hAnsi="宋体" w:cs="宋体"/>
          <w:sz w:val="24"/>
        </w:rPr>
      </w:pPr>
    </w:p>
    <w:p w14:paraId="25F547DA">
      <w:pPr>
        <w:pStyle w:val="31"/>
        <w:ind w:firstLine="210"/>
        <w:rPr>
          <w:rFonts w:hint="eastAsia" w:ascii="宋体" w:hAnsi="宋体" w:cs="宋体"/>
        </w:rPr>
      </w:pPr>
    </w:p>
    <w:p w14:paraId="4DD23E93">
      <w:pPr>
        <w:widowControl/>
        <w:wordWrap w:val="0"/>
        <w:snapToGrid w:val="0"/>
        <w:spacing w:line="460" w:lineRule="exact"/>
        <w:ind w:firstLine="482" w:firstLineChars="200"/>
        <w:jc w:val="center"/>
        <w:rPr>
          <w:rFonts w:hint="eastAsia" w:ascii="宋体" w:hAnsi="宋体" w:cs="宋体"/>
          <w:b/>
          <w:bCs/>
          <w:kern w:val="0"/>
          <w:sz w:val="24"/>
        </w:rPr>
      </w:pPr>
    </w:p>
    <w:p w14:paraId="15B77914">
      <w:pPr>
        <w:widowControl/>
        <w:wordWrap w:val="0"/>
        <w:snapToGrid w:val="0"/>
        <w:spacing w:line="460" w:lineRule="exact"/>
        <w:ind w:firstLine="482" w:firstLineChars="200"/>
        <w:jc w:val="center"/>
        <w:rPr>
          <w:rFonts w:hint="eastAsia" w:ascii="宋体" w:hAnsi="宋体" w:cs="宋体"/>
          <w:b/>
          <w:bCs/>
          <w:kern w:val="0"/>
          <w:sz w:val="24"/>
        </w:rPr>
      </w:pPr>
    </w:p>
    <w:p w14:paraId="3AACA86B">
      <w:pPr>
        <w:widowControl/>
        <w:wordWrap w:val="0"/>
        <w:snapToGrid w:val="0"/>
        <w:spacing w:line="460" w:lineRule="exact"/>
        <w:ind w:firstLine="482" w:firstLineChars="200"/>
        <w:jc w:val="center"/>
        <w:rPr>
          <w:rFonts w:hint="eastAsia" w:ascii="宋体" w:hAnsi="宋体" w:cs="宋体"/>
          <w:b/>
          <w:bCs/>
          <w:kern w:val="0"/>
          <w:sz w:val="24"/>
        </w:rPr>
      </w:pPr>
    </w:p>
    <w:p w14:paraId="0CC5D489">
      <w:pPr>
        <w:pStyle w:val="3"/>
        <w:rPr>
          <w:rFonts w:hint="eastAsia" w:ascii="宋体" w:hAnsi="宋体" w:cs="宋体"/>
          <w:b/>
          <w:bCs/>
          <w:kern w:val="0"/>
          <w:sz w:val="24"/>
        </w:rPr>
      </w:pPr>
    </w:p>
    <w:p w14:paraId="1C774012">
      <w:pPr>
        <w:pStyle w:val="4"/>
        <w:rPr>
          <w:rFonts w:hint="eastAsia" w:hAnsi="宋体"/>
          <w:b/>
          <w:bCs/>
          <w:color w:val="auto"/>
        </w:rPr>
      </w:pPr>
    </w:p>
    <w:p w14:paraId="25E1C423">
      <w:pPr>
        <w:pStyle w:val="4"/>
        <w:rPr>
          <w:rFonts w:hint="eastAsia" w:hAnsi="宋体"/>
          <w:b/>
          <w:bCs/>
          <w:color w:val="auto"/>
        </w:rPr>
      </w:pPr>
    </w:p>
    <w:p w14:paraId="612E4522">
      <w:pPr>
        <w:rPr>
          <w:rFonts w:hint="eastAsia" w:ascii="宋体" w:hAnsi="宋体" w:cs="宋体"/>
        </w:rPr>
      </w:pPr>
      <w:r>
        <w:rPr>
          <w:rFonts w:hint="eastAsia" w:ascii="宋体" w:hAnsi="宋体" w:cs="宋体"/>
        </w:rPr>
        <w:br w:type="page"/>
      </w:r>
    </w:p>
    <w:p w14:paraId="471F2210">
      <w:pPr>
        <w:pStyle w:val="26"/>
        <w:rPr>
          <w:rFonts w:hint="eastAsia" w:ascii="宋体" w:hAnsi="宋体" w:cs="宋体"/>
        </w:rPr>
      </w:pPr>
    </w:p>
    <w:p w14:paraId="106A8B32">
      <w:pPr>
        <w:pStyle w:val="6"/>
        <w:snapToGrid w:val="0"/>
        <w:spacing w:before="20" w:after="20" w:line="360" w:lineRule="auto"/>
        <w:rPr>
          <w:rFonts w:hint="eastAsia" w:ascii="宋体" w:hAnsi="宋体" w:eastAsia="宋体" w:cs="宋体"/>
          <w:sz w:val="28"/>
          <w:szCs w:val="28"/>
        </w:rPr>
      </w:pPr>
      <w:bookmarkStart w:id="69" w:name="_Toc31798"/>
      <w:bookmarkStart w:id="70" w:name="_Toc24743"/>
      <w:r>
        <w:rPr>
          <w:rFonts w:hint="eastAsia" w:ascii="宋体" w:hAnsi="宋体" w:eastAsia="宋体" w:cs="宋体"/>
          <w:sz w:val="28"/>
          <w:szCs w:val="28"/>
        </w:rPr>
        <w:t>附件1               响应文件封面（格式）</w:t>
      </w:r>
      <w:bookmarkEnd w:id="69"/>
      <w:bookmarkEnd w:id="70"/>
    </w:p>
    <w:p w14:paraId="626AA64C">
      <w:pPr>
        <w:widowControl/>
        <w:wordWrap w:val="0"/>
        <w:spacing w:line="460" w:lineRule="exact"/>
        <w:ind w:firstLine="482" w:firstLineChars="200"/>
        <w:jc w:val="center"/>
        <w:rPr>
          <w:rFonts w:hint="eastAsia" w:ascii="宋体" w:hAnsi="宋体" w:cs="宋体"/>
          <w:b/>
          <w:kern w:val="0"/>
          <w:sz w:val="24"/>
        </w:rPr>
      </w:pPr>
    </w:p>
    <w:p w14:paraId="307AA719">
      <w:pPr>
        <w:snapToGrid w:val="0"/>
        <w:spacing w:line="360" w:lineRule="auto"/>
        <w:jc w:val="center"/>
        <w:rPr>
          <w:rFonts w:hint="eastAsia" w:ascii="宋体" w:hAnsi="宋体" w:cs="宋体"/>
          <w:b/>
          <w:spacing w:val="90"/>
          <w:sz w:val="52"/>
          <w:szCs w:val="52"/>
        </w:rPr>
      </w:pPr>
      <w:r>
        <w:rPr>
          <w:rFonts w:hint="eastAsia" w:ascii="宋体" w:hAnsi="宋体" w:cs="宋体"/>
          <w:b/>
          <w:snapToGrid w:val="0"/>
          <w:kern w:val="0"/>
          <w:sz w:val="44"/>
          <w:szCs w:val="44"/>
        </w:rPr>
        <w:t>驻马店市中心医院</w:t>
      </w:r>
      <w:r>
        <w:rPr>
          <w:rFonts w:hint="eastAsia" w:ascii="宋体" w:hAnsi="宋体" w:cs="宋体"/>
          <w:b/>
          <w:snapToGrid w:val="0"/>
          <w:kern w:val="0"/>
          <w:sz w:val="44"/>
          <w:szCs w:val="44"/>
          <w:u w:val="single"/>
        </w:rPr>
        <w:t xml:space="preserve">      </w:t>
      </w:r>
      <w:r>
        <w:rPr>
          <w:rFonts w:hint="eastAsia" w:ascii="宋体" w:hAnsi="宋体" w:cs="宋体"/>
          <w:b/>
          <w:snapToGrid w:val="0"/>
          <w:kern w:val="0"/>
          <w:sz w:val="44"/>
          <w:szCs w:val="44"/>
        </w:rPr>
        <w:t>项目</w:t>
      </w:r>
    </w:p>
    <w:p w14:paraId="6C693CBA">
      <w:pPr>
        <w:snapToGrid w:val="0"/>
        <w:spacing w:line="360" w:lineRule="auto"/>
        <w:jc w:val="center"/>
        <w:rPr>
          <w:rFonts w:hint="eastAsia" w:ascii="宋体" w:hAnsi="宋体" w:cs="宋体"/>
          <w:b/>
          <w:spacing w:val="90"/>
          <w:sz w:val="52"/>
          <w:szCs w:val="52"/>
        </w:rPr>
      </w:pPr>
      <w:r>
        <w:rPr>
          <w:rFonts w:hint="eastAsia" w:ascii="宋体" w:hAnsi="宋体" w:cs="宋体"/>
          <w:b/>
          <w:spacing w:val="90"/>
          <w:sz w:val="52"/>
          <w:szCs w:val="52"/>
        </w:rPr>
        <w:t>响应文件</w:t>
      </w:r>
    </w:p>
    <w:p w14:paraId="1C4B92D3">
      <w:pPr>
        <w:spacing w:line="360" w:lineRule="auto"/>
        <w:rPr>
          <w:rFonts w:hint="eastAsia" w:ascii="宋体" w:hAnsi="宋体" w:cs="宋体"/>
          <w:sz w:val="28"/>
        </w:rPr>
      </w:pPr>
    </w:p>
    <w:p w14:paraId="1A4C67D2">
      <w:pPr>
        <w:pStyle w:val="4"/>
        <w:spacing w:line="360" w:lineRule="auto"/>
        <w:rPr>
          <w:rFonts w:hint="eastAsia" w:hAnsi="宋体"/>
          <w:color w:val="auto"/>
        </w:rPr>
      </w:pPr>
    </w:p>
    <w:p w14:paraId="00379B7D">
      <w:pPr>
        <w:pStyle w:val="4"/>
        <w:spacing w:line="360" w:lineRule="auto"/>
        <w:rPr>
          <w:rFonts w:hint="eastAsia" w:hAnsi="宋体"/>
          <w:color w:val="auto"/>
        </w:rPr>
      </w:pPr>
    </w:p>
    <w:p w14:paraId="7054C6BA">
      <w:pPr>
        <w:spacing w:line="360" w:lineRule="auto"/>
        <w:rPr>
          <w:rFonts w:hint="eastAsia" w:ascii="宋体" w:hAnsi="宋体" w:cs="宋体"/>
          <w:sz w:val="28"/>
        </w:rPr>
      </w:pPr>
    </w:p>
    <w:p w14:paraId="7F58AFE0">
      <w:pPr>
        <w:spacing w:line="360" w:lineRule="auto"/>
        <w:rPr>
          <w:rFonts w:hint="eastAsia" w:ascii="宋体" w:hAnsi="宋体" w:cs="宋体"/>
          <w:sz w:val="28"/>
        </w:rPr>
      </w:pPr>
    </w:p>
    <w:p w14:paraId="08601898">
      <w:pPr>
        <w:spacing w:line="360" w:lineRule="auto"/>
        <w:rPr>
          <w:rFonts w:hint="eastAsia" w:ascii="宋体" w:hAnsi="宋体" w:cs="宋体"/>
          <w:sz w:val="28"/>
        </w:rPr>
      </w:pPr>
    </w:p>
    <w:p w14:paraId="699C2834">
      <w:pPr>
        <w:spacing w:line="360" w:lineRule="auto"/>
        <w:rPr>
          <w:rFonts w:hint="eastAsia" w:ascii="宋体" w:hAnsi="宋体" w:cs="宋体"/>
          <w:sz w:val="28"/>
        </w:rPr>
      </w:pPr>
    </w:p>
    <w:p w14:paraId="26BF3A72">
      <w:pPr>
        <w:spacing w:line="360" w:lineRule="auto"/>
        <w:rPr>
          <w:rFonts w:hint="eastAsia" w:ascii="宋体" w:hAnsi="宋体" w:cs="宋体"/>
          <w:sz w:val="28"/>
        </w:rPr>
      </w:pPr>
    </w:p>
    <w:p w14:paraId="1131DBF1">
      <w:pPr>
        <w:pStyle w:val="22"/>
        <w:rPr>
          <w:rFonts w:hint="eastAsia" w:ascii="宋体" w:hAnsi="宋体" w:cs="宋体"/>
          <w:sz w:val="28"/>
        </w:rPr>
      </w:pPr>
    </w:p>
    <w:p w14:paraId="40CF6CB1">
      <w:pPr>
        <w:pStyle w:val="22"/>
        <w:rPr>
          <w:rFonts w:hint="eastAsia" w:ascii="宋体" w:hAnsi="宋体" w:cs="宋体"/>
          <w:sz w:val="28"/>
        </w:rPr>
      </w:pPr>
    </w:p>
    <w:p w14:paraId="7089885B">
      <w:pPr>
        <w:pStyle w:val="22"/>
        <w:rPr>
          <w:rFonts w:hint="eastAsia" w:ascii="宋体" w:hAnsi="宋体" w:cs="宋体"/>
          <w:sz w:val="28"/>
        </w:rPr>
      </w:pPr>
    </w:p>
    <w:p w14:paraId="674104E4">
      <w:pPr>
        <w:spacing w:line="360" w:lineRule="auto"/>
        <w:rPr>
          <w:rFonts w:hint="eastAsia" w:ascii="宋体" w:hAnsi="宋体" w:cs="宋体"/>
          <w:sz w:val="28"/>
        </w:rPr>
      </w:pPr>
    </w:p>
    <w:p w14:paraId="44658627">
      <w:pPr>
        <w:spacing w:line="360" w:lineRule="auto"/>
        <w:jc w:val="center"/>
        <w:rPr>
          <w:rFonts w:hint="eastAsia" w:ascii="宋体" w:hAnsi="宋体" w:cs="宋体"/>
          <w:sz w:val="28"/>
          <w:szCs w:val="28"/>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（全称并加盖公章）</w:t>
      </w:r>
    </w:p>
    <w:p w14:paraId="05D87285">
      <w:pPr>
        <w:widowControl/>
        <w:wordWrap w:val="0"/>
        <w:spacing w:line="460" w:lineRule="exact"/>
        <w:jc w:val="center"/>
        <w:rPr>
          <w:rFonts w:hint="eastAsia" w:ascii="宋体" w:hAnsi="宋体" w:cs="宋体"/>
          <w:sz w:val="28"/>
          <w:szCs w:val="28"/>
          <w:u w:val="single"/>
        </w:rPr>
      </w:pPr>
      <w:r>
        <w:rPr>
          <w:rFonts w:hint="eastAsia" w:ascii="宋体" w:hAnsi="宋体" w:cs="宋体"/>
          <w:sz w:val="28"/>
          <w:szCs w:val="28"/>
        </w:rPr>
        <w:t>法定代表人或委托代理人（签字或盖章）：</w:t>
      </w:r>
      <w:r>
        <w:rPr>
          <w:rFonts w:hint="eastAsia" w:ascii="宋体" w:hAnsi="宋体" w:cs="宋体"/>
          <w:sz w:val="28"/>
          <w:szCs w:val="28"/>
          <w:u w:val="single"/>
        </w:rPr>
        <w:t xml:space="preserve">       </w:t>
      </w:r>
    </w:p>
    <w:p w14:paraId="5BADFE74">
      <w:pPr>
        <w:widowControl/>
        <w:wordWrap w:val="0"/>
        <w:spacing w:line="460" w:lineRule="exact"/>
        <w:jc w:val="center"/>
        <w:rPr>
          <w:rFonts w:hint="eastAsia" w:ascii="宋体" w:hAnsi="宋体" w:cs="宋体"/>
          <w:b/>
          <w:kern w:val="0"/>
          <w:sz w:val="24"/>
        </w:rPr>
      </w:pPr>
      <w:r>
        <w:rPr>
          <w:rFonts w:hint="eastAsia" w:ascii="宋体" w:hAnsi="宋体" w:cs="宋体"/>
          <w:sz w:val="28"/>
          <w:szCs w:val="28"/>
        </w:rPr>
        <w:t>年   月   日</w:t>
      </w:r>
    </w:p>
    <w:p w14:paraId="3D079370">
      <w:pPr>
        <w:widowControl/>
        <w:wordWrap w:val="0"/>
        <w:spacing w:line="460" w:lineRule="exact"/>
        <w:ind w:firstLine="482" w:firstLineChars="200"/>
        <w:jc w:val="left"/>
        <w:rPr>
          <w:rFonts w:hint="eastAsia" w:ascii="宋体" w:hAnsi="宋体" w:cs="宋体"/>
          <w:b/>
          <w:kern w:val="0"/>
          <w:sz w:val="24"/>
        </w:rPr>
      </w:pPr>
    </w:p>
    <w:p w14:paraId="66B00DB8">
      <w:pPr>
        <w:pStyle w:val="3"/>
        <w:rPr>
          <w:rFonts w:hint="eastAsia" w:ascii="宋体" w:hAnsi="宋体" w:cs="宋体"/>
          <w:b/>
          <w:kern w:val="0"/>
          <w:sz w:val="24"/>
        </w:rPr>
      </w:pPr>
    </w:p>
    <w:p w14:paraId="0B0B4A7A">
      <w:pPr>
        <w:rPr>
          <w:rFonts w:hint="eastAsia" w:ascii="宋体" w:hAnsi="宋体" w:cs="宋体"/>
          <w:b/>
          <w:kern w:val="0"/>
          <w:sz w:val="24"/>
        </w:rPr>
      </w:pPr>
      <w:r>
        <w:rPr>
          <w:rFonts w:hint="eastAsia" w:ascii="宋体" w:hAnsi="宋体" w:cs="宋体"/>
          <w:b/>
          <w:kern w:val="0"/>
          <w:sz w:val="24"/>
        </w:rPr>
        <w:br w:type="page"/>
      </w:r>
    </w:p>
    <w:p w14:paraId="4B34DCBF">
      <w:pPr>
        <w:pStyle w:val="6"/>
        <w:keepNext w:val="0"/>
        <w:snapToGrid w:val="0"/>
        <w:spacing w:before="20" w:after="20" w:line="360" w:lineRule="auto"/>
        <w:jc w:val="center"/>
        <w:rPr>
          <w:rFonts w:hint="eastAsia" w:ascii="宋体" w:hAnsi="宋体" w:eastAsia="宋体" w:cs="宋体"/>
          <w:sz w:val="28"/>
          <w:szCs w:val="28"/>
        </w:rPr>
      </w:pPr>
      <w:bookmarkStart w:id="71" w:name="_Toc8818"/>
      <w:bookmarkStart w:id="72" w:name="_Toc14560"/>
      <w:r>
        <w:rPr>
          <w:rFonts w:hint="eastAsia" w:ascii="宋体" w:hAnsi="宋体" w:eastAsia="宋体" w:cs="宋体"/>
          <w:sz w:val="28"/>
          <w:szCs w:val="28"/>
        </w:rPr>
        <w:t>附件2      竞争性磋商响应书（格式）</w:t>
      </w:r>
      <w:bookmarkEnd w:id="71"/>
      <w:bookmarkEnd w:id="72"/>
    </w:p>
    <w:p w14:paraId="46056E97">
      <w:pPr>
        <w:wordWrap w:val="0"/>
        <w:snapToGrid w:val="0"/>
        <w:spacing w:line="460" w:lineRule="exact"/>
        <w:jc w:val="left"/>
        <w:rPr>
          <w:rFonts w:hint="eastAsia"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59708393">
      <w:pPr>
        <w:wordWrap w:val="0"/>
        <w:spacing w:line="460" w:lineRule="exact"/>
        <w:ind w:firstLine="525" w:firstLineChars="250"/>
        <w:jc w:val="left"/>
        <w:rPr>
          <w:rFonts w:hint="eastAsia" w:ascii="宋体" w:hAnsi="宋体" w:cs="宋体"/>
          <w:kern w:val="0"/>
          <w:szCs w:val="21"/>
        </w:rPr>
      </w:pPr>
      <w:r>
        <w:rPr>
          <w:rFonts w:hint="eastAsia" w:ascii="宋体" w:hAnsi="宋体" w:cs="宋体"/>
          <w:kern w:val="0"/>
          <w:szCs w:val="21"/>
          <w:u w:val="single"/>
        </w:rPr>
        <w:t xml:space="preserve">        （供应商名称）</w:t>
      </w:r>
      <w:r>
        <w:rPr>
          <w:rFonts w:hint="eastAsia" w:ascii="宋体" w:hAnsi="宋体" w:cs="宋体"/>
          <w:kern w:val="0"/>
          <w:szCs w:val="21"/>
        </w:rPr>
        <w:t xml:space="preserve">现委托 </w:t>
      </w:r>
      <w:r>
        <w:rPr>
          <w:rFonts w:hint="eastAsia" w:ascii="宋体" w:hAnsi="宋体" w:cs="宋体"/>
          <w:kern w:val="0"/>
          <w:szCs w:val="21"/>
          <w:u w:val="single"/>
        </w:rPr>
        <w:t xml:space="preserve">        </w:t>
      </w:r>
      <w:r>
        <w:rPr>
          <w:rFonts w:hint="eastAsia" w:ascii="宋体" w:hAnsi="宋体" w:cs="宋体"/>
          <w:kern w:val="0"/>
          <w:szCs w:val="21"/>
        </w:rPr>
        <w:t>（姓名）为我方代理人，参加贵方组织的</w:t>
      </w:r>
      <w:r>
        <w:rPr>
          <w:rFonts w:hint="eastAsia" w:ascii="宋体" w:hAnsi="宋体" w:cs="宋体"/>
          <w:kern w:val="0"/>
          <w:szCs w:val="21"/>
          <w:u w:val="single"/>
        </w:rPr>
        <w:t xml:space="preserve">        </w:t>
      </w:r>
      <w:r>
        <w:rPr>
          <w:rFonts w:hint="eastAsia" w:ascii="宋体" w:hAnsi="宋体" w:cs="宋体"/>
          <w:kern w:val="0"/>
          <w:szCs w:val="21"/>
        </w:rPr>
        <w:t>项目的磋商。现正式提交下述文件1份：</w:t>
      </w:r>
    </w:p>
    <w:p w14:paraId="4C748DBF">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1、初次报价一览表。</w:t>
      </w:r>
    </w:p>
    <w:p w14:paraId="2E6EAF15">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2、技术响应表。</w:t>
      </w:r>
    </w:p>
    <w:p w14:paraId="673F722C">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3、商务响应表。</w:t>
      </w:r>
    </w:p>
    <w:p w14:paraId="080BEF02">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4、证明文件。</w:t>
      </w:r>
    </w:p>
    <w:p w14:paraId="4CDCDE37">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为便于贵方公正、择优地确定成交供应商，我方就本次投标有关事项郑重声明并宣布同意如下：</w:t>
      </w:r>
    </w:p>
    <w:p w14:paraId="5045D08D">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我方承诺已经具备竞争性磋商文件中规定的参加政府采购活动的供应商应当具备的条件。我方愿意向贵方提供任何与本采购项目投标有关的数据、情况和技术资料，并根据需要提供一切承诺的证明材料，并保证其真实、合法、有效。</w:t>
      </w:r>
    </w:p>
    <w:p w14:paraId="215E92A2">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2、我方承诺在磋商活动中提供的各种材料真实有效。</w:t>
      </w:r>
    </w:p>
    <w:p w14:paraId="442C096C">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68725364">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4、我方已详细审查全部竞争性磋商文件，包括修改文件（如有的话）和有关附件，将自行承担因对全部竞争性磋商文件理解不正确或误解而产生的相应后果。</w:t>
      </w:r>
    </w:p>
    <w:p w14:paraId="04F61765">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6FEC3F07">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6、我方理解并遵守竞争性磋商文件的全部规定，接受竞争性磋商文件中政府采购合同的全部条款且无任何异议。</w:t>
      </w:r>
    </w:p>
    <w:p w14:paraId="553AD85E">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4D8B6C7C">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78CD9ED2">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9、如果发生供应商须知第25.4.1、25.4.3项所述情况，同意我方投标被作为无效磋商处理。</w:t>
      </w:r>
    </w:p>
    <w:p w14:paraId="0352CCF6">
      <w:pPr>
        <w:wordWrap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1A8DB7C9">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49D05943">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12、如果被确定为成交供应商，我方同意按竞争性磋商文件的规定领取成交通知书并缴纳服务费。否则，视为我方成交后自动放弃成交资格，承担由此引起的一切后果。</w:t>
      </w:r>
    </w:p>
    <w:p w14:paraId="58FD3582">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日内，按照竞争性磋商文件的规定与采购人签订采购合同。否则，视为我方成交后无正当理由不与采购人签订合同并承担相应法律责任。</w:t>
      </w:r>
    </w:p>
    <w:p w14:paraId="04FA91B9">
      <w:pPr>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b/>
          <w:bCs/>
          <w:kern w:val="0"/>
          <w:szCs w:val="21"/>
        </w:rPr>
        <w:t>（若无，则填无；若有，逐一列明）</w:t>
      </w:r>
    </w:p>
    <w:p w14:paraId="1BB5235A">
      <w:pPr>
        <w:tabs>
          <w:tab w:val="left" w:pos="939"/>
        </w:tabs>
        <w:wordWrap w:val="0"/>
        <w:snapToGrid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15、以上事项如有虚假或隐瞒，我方愿意承担一切后果和责任。</w:t>
      </w:r>
    </w:p>
    <w:p w14:paraId="0F19EF91">
      <w:pPr>
        <w:wordWrap w:val="0"/>
        <w:spacing w:line="460" w:lineRule="exact"/>
        <w:ind w:firstLine="420" w:firstLineChars="200"/>
        <w:jc w:val="left"/>
        <w:rPr>
          <w:rFonts w:hint="eastAsia"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7108462B">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地址：      邮编：</w:t>
      </w:r>
    </w:p>
    <w:p w14:paraId="6578DE2C">
      <w:pPr>
        <w:wordWrap w:val="0"/>
        <w:spacing w:line="460" w:lineRule="exact"/>
        <w:ind w:firstLine="420" w:firstLineChars="200"/>
        <w:jc w:val="left"/>
        <w:rPr>
          <w:rFonts w:hint="eastAsia" w:ascii="宋体" w:hAnsi="宋体" w:cs="宋体"/>
          <w:kern w:val="0"/>
          <w:szCs w:val="21"/>
          <w:u w:val="single"/>
        </w:rPr>
      </w:pPr>
      <w:r>
        <w:rPr>
          <w:rFonts w:hint="eastAsia" w:ascii="宋体" w:hAnsi="宋体" w:cs="宋体"/>
          <w:kern w:val="0"/>
          <w:szCs w:val="21"/>
        </w:rPr>
        <w:t xml:space="preserve">   电话：      传真：</w:t>
      </w:r>
    </w:p>
    <w:p w14:paraId="68F0363E">
      <w:pPr>
        <w:wordWrap w:val="0"/>
        <w:spacing w:line="460" w:lineRule="exact"/>
        <w:ind w:firstLine="420" w:firstLineChars="200"/>
        <w:jc w:val="left"/>
        <w:rPr>
          <w:rFonts w:hint="eastAsia" w:ascii="宋体" w:hAnsi="宋体" w:cs="宋体"/>
          <w:kern w:val="0"/>
          <w:szCs w:val="21"/>
        </w:rPr>
      </w:pPr>
    </w:p>
    <w:p w14:paraId="625DD6D1">
      <w:pPr>
        <w:wordWrap w:val="0"/>
        <w:spacing w:line="460" w:lineRule="exact"/>
        <w:ind w:firstLine="735" w:firstLineChars="350"/>
        <w:jc w:val="left"/>
        <w:rPr>
          <w:rFonts w:hint="eastAsia"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w:t>
      </w:r>
      <w:r>
        <w:rPr>
          <w:rFonts w:hint="eastAsia" w:ascii="宋体" w:hAnsi="宋体" w:cs="宋体"/>
          <w:szCs w:val="21"/>
          <w:u w:val="single"/>
        </w:rPr>
        <w:t xml:space="preserve">             </w:t>
      </w:r>
    </w:p>
    <w:p w14:paraId="4506F827">
      <w:pPr>
        <w:wordWrap w:val="0"/>
        <w:spacing w:line="460" w:lineRule="exact"/>
        <w:ind w:firstLine="735" w:firstLineChars="350"/>
        <w:jc w:val="left"/>
        <w:rPr>
          <w:rFonts w:hint="eastAsia" w:ascii="宋体" w:hAnsi="宋体" w:cs="宋体"/>
          <w:szCs w:val="21"/>
        </w:rPr>
      </w:pPr>
      <w:r>
        <w:rPr>
          <w:rFonts w:hint="eastAsia" w:ascii="宋体" w:hAnsi="宋体" w:cs="宋体"/>
          <w:kern w:val="0"/>
          <w:szCs w:val="21"/>
        </w:rPr>
        <w:t xml:space="preserve"> </w:t>
      </w: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376ABD0C">
      <w:pPr>
        <w:wordWrap w:val="0"/>
        <w:spacing w:line="460" w:lineRule="exact"/>
        <w:ind w:firstLine="420" w:firstLineChars="200"/>
        <w:jc w:val="left"/>
        <w:rPr>
          <w:rFonts w:hint="eastAsia" w:ascii="宋体" w:hAnsi="宋体" w:cs="宋体"/>
          <w:kern w:val="0"/>
          <w:szCs w:val="21"/>
        </w:rPr>
      </w:pPr>
    </w:p>
    <w:p w14:paraId="14E336C6">
      <w:pPr>
        <w:snapToGrid w:val="0"/>
        <w:spacing w:line="460" w:lineRule="exact"/>
        <w:ind w:firstLine="1260" w:firstLineChars="600"/>
        <w:rPr>
          <w:rFonts w:hint="eastAsia" w:ascii="宋体" w:hAnsi="宋体" w:cs="宋体"/>
          <w:kern w:val="0"/>
          <w:sz w:val="24"/>
        </w:rPr>
      </w:pPr>
      <w:r>
        <w:rPr>
          <w:rFonts w:hint="eastAsia" w:ascii="宋体" w:hAnsi="宋体" w:cs="宋体"/>
          <w:kern w:val="0"/>
          <w:szCs w:val="21"/>
        </w:rPr>
        <w:t xml:space="preserve">年    月   日 </w:t>
      </w:r>
    </w:p>
    <w:p w14:paraId="6BB9135B">
      <w:pPr>
        <w:widowControl/>
        <w:wordWrap w:val="0"/>
        <w:snapToGrid w:val="0"/>
        <w:spacing w:before="50" w:after="50" w:line="480" w:lineRule="auto"/>
        <w:jc w:val="left"/>
        <w:rPr>
          <w:rFonts w:hint="eastAsia" w:ascii="宋体" w:hAnsi="宋体" w:cs="宋体"/>
          <w:b/>
          <w:kern w:val="0"/>
          <w:sz w:val="24"/>
        </w:rPr>
      </w:pPr>
    </w:p>
    <w:p w14:paraId="36288A90">
      <w:pPr>
        <w:spacing w:line="500" w:lineRule="exact"/>
        <w:jc w:val="center"/>
        <w:rPr>
          <w:rFonts w:hint="eastAsia" w:ascii="宋体" w:hAnsi="宋体" w:cs="宋体"/>
          <w:b/>
          <w:bCs/>
          <w:sz w:val="24"/>
        </w:rPr>
      </w:pPr>
    </w:p>
    <w:p w14:paraId="4C587D92">
      <w:pPr>
        <w:rPr>
          <w:rFonts w:hint="eastAsia" w:ascii="宋体" w:hAnsi="宋体" w:cs="宋体"/>
          <w:sz w:val="28"/>
          <w:szCs w:val="28"/>
        </w:rPr>
      </w:pPr>
      <w:r>
        <w:rPr>
          <w:rFonts w:hint="eastAsia" w:ascii="宋体" w:hAnsi="宋体" w:cs="宋体"/>
          <w:sz w:val="28"/>
          <w:szCs w:val="28"/>
        </w:rPr>
        <w:br w:type="page"/>
      </w:r>
    </w:p>
    <w:p w14:paraId="79D619E9">
      <w:pPr>
        <w:rPr>
          <w:rFonts w:hint="eastAsia" w:ascii="宋体" w:hAnsi="宋体" w:cs="宋体"/>
        </w:rPr>
      </w:pPr>
    </w:p>
    <w:p w14:paraId="25ACF19D">
      <w:pPr>
        <w:pStyle w:val="6"/>
        <w:snapToGrid w:val="0"/>
        <w:spacing w:before="20" w:after="20" w:line="360" w:lineRule="auto"/>
        <w:jc w:val="center"/>
        <w:rPr>
          <w:rFonts w:hint="eastAsia" w:ascii="宋体" w:hAnsi="宋体" w:eastAsia="宋体" w:cs="宋体"/>
          <w:sz w:val="28"/>
          <w:szCs w:val="28"/>
        </w:rPr>
      </w:pPr>
      <w:bookmarkStart w:id="73" w:name="_Toc7838"/>
      <w:r>
        <w:rPr>
          <w:rFonts w:hint="eastAsia" w:ascii="宋体" w:hAnsi="宋体" w:eastAsia="宋体" w:cs="宋体"/>
          <w:sz w:val="28"/>
          <w:szCs w:val="28"/>
        </w:rPr>
        <w:t>附件3        初次报价一览表</w:t>
      </w:r>
      <w:bookmarkEnd w:id="73"/>
      <w:r>
        <w:rPr>
          <w:rFonts w:hint="eastAsia" w:ascii="宋体" w:hAnsi="宋体" w:eastAsia="宋体" w:cs="宋体"/>
          <w:sz w:val="28"/>
          <w:szCs w:val="28"/>
        </w:rPr>
        <w:t>（格式）</w:t>
      </w:r>
    </w:p>
    <w:p w14:paraId="76BDD226">
      <w:pPr>
        <w:spacing w:line="239" w:lineRule="auto"/>
        <w:jc w:val="right"/>
        <w:rPr>
          <w:rFonts w:hint="eastAsia" w:ascii="宋体" w:hAnsi="宋体" w:cs="宋体"/>
          <w:sz w:val="24"/>
        </w:rPr>
      </w:pPr>
      <w:r>
        <w:rPr>
          <w:rFonts w:hint="eastAsia" w:ascii="宋体" w:hAnsi="宋体" w:cs="宋体"/>
          <w:sz w:val="24"/>
        </w:rPr>
        <w:t>单位：人民币（元）</w:t>
      </w:r>
    </w:p>
    <w:p w14:paraId="6B33EBE5">
      <w:pPr>
        <w:rPr>
          <w:rFonts w:hint="eastAsia" w:ascii="宋体" w:hAnsi="宋体" w:cs="宋体"/>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3A4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1EDA634">
            <w:pPr>
              <w:widowControl/>
              <w:snapToGrid w:val="0"/>
              <w:spacing w:before="50" w:after="50"/>
              <w:jc w:val="center"/>
              <w:rPr>
                <w:rFonts w:hint="eastAsia" w:ascii="宋体" w:hAnsi="宋体" w:cs="宋体"/>
                <w:szCs w:val="21"/>
              </w:rPr>
            </w:pPr>
            <w:r>
              <w:rPr>
                <w:rFonts w:hint="eastAsia" w:ascii="宋体" w:hAnsi="宋体" w:cs="宋体"/>
                <w:kern w:val="0"/>
                <w:szCs w:val="21"/>
              </w:rPr>
              <w:t>项目名称</w:t>
            </w:r>
          </w:p>
        </w:tc>
        <w:tc>
          <w:tcPr>
            <w:tcW w:w="7708" w:type="dxa"/>
            <w:noWrap/>
            <w:vAlign w:val="center"/>
          </w:tcPr>
          <w:p w14:paraId="550DF607">
            <w:pPr>
              <w:rPr>
                <w:rFonts w:hint="eastAsia" w:ascii="宋体" w:hAnsi="宋体" w:cs="宋体"/>
                <w:bCs/>
                <w:szCs w:val="21"/>
              </w:rPr>
            </w:pPr>
          </w:p>
        </w:tc>
      </w:tr>
      <w:tr w14:paraId="0DE5B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E9B63E4">
            <w:pPr>
              <w:widowControl/>
              <w:snapToGrid w:val="0"/>
              <w:spacing w:before="50" w:after="50"/>
              <w:jc w:val="center"/>
              <w:rPr>
                <w:rFonts w:hint="eastAsia" w:ascii="宋体" w:hAnsi="宋体" w:cs="宋体"/>
                <w:szCs w:val="21"/>
              </w:rPr>
            </w:pPr>
            <w:r>
              <w:rPr>
                <w:rFonts w:hint="eastAsia" w:ascii="宋体" w:hAnsi="宋体" w:cs="宋体"/>
                <w:kern w:val="0"/>
                <w:szCs w:val="21"/>
              </w:rPr>
              <w:t>供应商名称</w:t>
            </w:r>
          </w:p>
        </w:tc>
        <w:tc>
          <w:tcPr>
            <w:tcW w:w="7708" w:type="dxa"/>
            <w:noWrap/>
            <w:vAlign w:val="center"/>
          </w:tcPr>
          <w:p w14:paraId="4A53DA2D">
            <w:pPr>
              <w:rPr>
                <w:rFonts w:hint="eastAsia" w:ascii="宋体" w:hAnsi="宋体" w:cs="宋体"/>
                <w:szCs w:val="21"/>
              </w:rPr>
            </w:pPr>
          </w:p>
        </w:tc>
      </w:tr>
      <w:tr w14:paraId="6898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41348002">
            <w:pPr>
              <w:jc w:val="center"/>
              <w:rPr>
                <w:rFonts w:hint="eastAsia" w:ascii="宋体" w:hAnsi="宋体" w:cs="宋体"/>
                <w:spacing w:val="-20"/>
                <w:szCs w:val="21"/>
              </w:rPr>
            </w:pPr>
            <w:r>
              <w:rPr>
                <w:rFonts w:hint="eastAsia" w:ascii="宋体" w:hAnsi="宋体" w:cs="宋体"/>
                <w:szCs w:val="21"/>
              </w:rPr>
              <w:t>磋商报价</w:t>
            </w:r>
          </w:p>
        </w:tc>
        <w:tc>
          <w:tcPr>
            <w:tcW w:w="7708" w:type="dxa"/>
            <w:noWrap/>
            <w:vAlign w:val="center"/>
          </w:tcPr>
          <w:p w14:paraId="161FB34E">
            <w:pPr>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大写：</w:t>
            </w:r>
            <w:r>
              <w:rPr>
                <w:rFonts w:hint="eastAsia"/>
                <w:color w:val="000000" w:themeColor="text1"/>
                <w:u w:val="single"/>
                <w14:textFill>
                  <w14:solidFill>
                    <w14:schemeClr w14:val="tx1"/>
                  </w14:solidFill>
                </w14:textFill>
              </w:rPr>
              <w:t xml:space="preserve">         </w:t>
            </w:r>
          </w:p>
          <w:p w14:paraId="592E845C">
            <w:pPr>
              <w:rPr>
                <w:rFonts w:hint="eastAsia" w:ascii="宋体" w:hAnsi="宋体" w:cs="宋体"/>
                <w:szCs w:val="21"/>
              </w:rPr>
            </w:pPr>
            <w:r>
              <w:rPr>
                <w:rFonts w:hint="eastAsia"/>
                <w:color w:val="000000" w:themeColor="text1"/>
                <w14:textFill>
                  <w14:solidFill>
                    <w14:schemeClr w14:val="tx1"/>
                  </w14:solidFill>
                </w14:textFill>
              </w:rPr>
              <w:t>小写：</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元</w:t>
            </w:r>
          </w:p>
        </w:tc>
      </w:tr>
      <w:tr w14:paraId="3272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51D06E7">
            <w:pPr>
              <w:jc w:val="center"/>
              <w:rPr>
                <w:rFonts w:hint="eastAsia" w:ascii="宋体" w:hAnsi="宋体" w:cs="宋体"/>
                <w:szCs w:val="21"/>
              </w:rPr>
            </w:pPr>
            <w:r>
              <w:rPr>
                <w:rFonts w:hint="eastAsia" w:ascii="宋体" w:hAnsi="宋体" w:cs="宋体"/>
                <w:kern w:val="0"/>
                <w:szCs w:val="21"/>
              </w:rPr>
              <w:t>响应文件有效期</w:t>
            </w:r>
          </w:p>
        </w:tc>
        <w:tc>
          <w:tcPr>
            <w:tcW w:w="7708" w:type="dxa"/>
            <w:noWrap/>
            <w:vAlign w:val="center"/>
          </w:tcPr>
          <w:p w14:paraId="059EA6CF">
            <w:pPr>
              <w:pStyle w:val="21"/>
              <w:ind w:left="0" w:leftChars="0"/>
              <w:rPr>
                <w:rFonts w:hint="eastAsia" w:cs="宋体"/>
                <w:szCs w:val="21"/>
                <w:u w:val="single"/>
              </w:rPr>
            </w:pPr>
            <w:r>
              <w:rPr>
                <w:rFonts w:hint="eastAsia" w:cs="宋体"/>
                <w:kern w:val="0"/>
                <w:sz w:val="21"/>
                <w:szCs w:val="21"/>
              </w:rPr>
              <w:t>响应文件递交截止期结束后60日。</w:t>
            </w:r>
          </w:p>
        </w:tc>
      </w:tr>
      <w:tr w14:paraId="3196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D5CB6A9">
            <w:pPr>
              <w:jc w:val="center"/>
              <w:rPr>
                <w:rFonts w:hint="eastAsia" w:ascii="宋体" w:hAnsi="宋体" w:cs="宋体"/>
                <w:szCs w:val="21"/>
              </w:rPr>
            </w:pPr>
            <w:r>
              <w:rPr>
                <w:rFonts w:hint="eastAsia" w:ascii="宋体" w:hAnsi="宋体" w:cs="宋体"/>
                <w:szCs w:val="21"/>
              </w:rPr>
              <w:t>备  注</w:t>
            </w:r>
          </w:p>
        </w:tc>
        <w:tc>
          <w:tcPr>
            <w:tcW w:w="7708" w:type="dxa"/>
            <w:noWrap/>
            <w:vAlign w:val="center"/>
          </w:tcPr>
          <w:p w14:paraId="48D86B3A">
            <w:pPr>
              <w:pStyle w:val="21"/>
              <w:ind w:left="0" w:leftChars="0"/>
              <w:rPr>
                <w:rFonts w:hint="eastAsia" w:cs="宋体"/>
                <w:sz w:val="21"/>
                <w:szCs w:val="21"/>
              </w:rPr>
            </w:pPr>
          </w:p>
        </w:tc>
      </w:tr>
    </w:tbl>
    <w:p w14:paraId="74698A4B">
      <w:pPr>
        <w:spacing w:line="360" w:lineRule="auto"/>
        <w:ind w:firstLine="420" w:firstLineChars="200"/>
        <w:rPr>
          <w:rFonts w:hint="eastAsia" w:ascii="宋体" w:hAnsi="宋体" w:cs="宋体"/>
          <w:szCs w:val="21"/>
        </w:rPr>
      </w:pPr>
      <w:r>
        <w:rPr>
          <w:rFonts w:hint="eastAsia" w:ascii="宋体" w:hAnsi="宋体" w:cs="宋体"/>
          <w:kern w:val="0"/>
          <w:szCs w:val="21"/>
        </w:rPr>
        <w:t>注:</w:t>
      </w:r>
      <w:bookmarkStart w:id="74" w:name="_Toc20877"/>
      <w:bookmarkStart w:id="75" w:name="_Toc11620"/>
      <w:r>
        <w:rPr>
          <w:rFonts w:hint="eastAsia" w:ascii="宋体" w:hAnsi="宋体" w:cs="宋体"/>
          <w:szCs w:val="21"/>
        </w:rPr>
        <w:t>1、报价一经涂改，应在涂改处加盖单位公章或投标人代表签字或盖章，否则其投标作无效标处理。</w:t>
      </w:r>
    </w:p>
    <w:p w14:paraId="0FEB5A5B">
      <w:pPr>
        <w:widowControl/>
        <w:kinsoku w:val="0"/>
        <w:autoSpaceDE w:val="0"/>
        <w:autoSpaceDN w:val="0"/>
        <w:adjustRightInd w:val="0"/>
        <w:snapToGrid w:val="0"/>
        <w:spacing w:line="360" w:lineRule="auto"/>
        <w:ind w:firstLine="420" w:firstLineChars="200"/>
        <w:textAlignment w:val="baseline"/>
        <w:rPr>
          <w:rFonts w:hint="eastAsia" w:ascii="宋体" w:hAnsi="宋体" w:cs="宋体"/>
          <w:szCs w:val="21"/>
        </w:rPr>
      </w:pPr>
      <w:bookmarkStart w:id="76" w:name="_Toc2747"/>
      <w:r>
        <w:rPr>
          <w:rFonts w:hint="eastAsia" w:ascii="宋体" w:hAnsi="宋体" w:cs="宋体"/>
          <w:szCs w:val="21"/>
        </w:rPr>
        <w:t>2、以上报价应与“投标报价明细表”中的报价相一致。</w:t>
      </w:r>
      <w:bookmarkEnd w:id="76"/>
    </w:p>
    <w:p w14:paraId="52F61951">
      <w:pPr>
        <w:widowControl/>
        <w:kinsoku w:val="0"/>
        <w:autoSpaceDE w:val="0"/>
        <w:autoSpaceDN w:val="0"/>
        <w:adjustRightInd w:val="0"/>
        <w:snapToGrid w:val="0"/>
        <w:spacing w:line="360" w:lineRule="auto"/>
        <w:ind w:firstLine="420" w:firstLineChars="200"/>
        <w:textAlignment w:val="baseline"/>
        <w:rPr>
          <w:rFonts w:hint="eastAsia" w:ascii="宋体" w:hAnsi="宋体" w:cs="宋体"/>
          <w:szCs w:val="21"/>
        </w:rPr>
      </w:pPr>
      <w:r>
        <w:rPr>
          <w:rFonts w:hint="eastAsia" w:ascii="宋体" w:hAnsi="宋体" w:cs="宋体"/>
          <w:szCs w:val="21"/>
        </w:rPr>
        <w:t>3、投标人按格式填列，不得自行更改。否则引起的不利后果由投标人承担。</w:t>
      </w:r>
    </w:p>
    <w:p w14:paraId="46362479">
      <w:pPr>
        <w:spacing w:line="360" w:lineRule="auto"/>
        <w:ind w:firstLine="420" w:firstLineChars="200"/>
        <w:jc w:val="center"/>
        <w:rPr>
          <w:rFonts w:hint="eastAsia" w:ascii="宋体" w:hAnsi="宋体" w:cs="宋体"/>
          <w:szCs w:val="21"/>
        </w:rPr>
      </w:pPr>
    </w:p>
    <w:bookmarkEnd w:id="74"/>
    <w:bookmarkEnd w:id="75"/>
    <w:p w14:paraId="26220CF3">
      <w:pPr>
        <w:widowControl/>
        <w:spacing w:line="360" w:lineRule="auto"/>
        <w:ind w:firstLine="2730" w:firstLineChars="1300"/>
        <w:textAlignment w:val="baseline"/>
        <w:rPr>
          <w:rFonts w:hint="eastAsia" w:ascii="宋体" w:hAnsi="宋体" w:cs="宋体"/>
          <w:szCs w:val="21"/>
        </w:rPr>
      </w:pPr>
      <w:bookmarkStart w:id="77" w:name="_Toc12222"/>
      <w:bookmarkStart w:id="78" w:name="_Toc625"/>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03579BB3">
      <w:pPr>
        <w:spacing w:line="360" w:lineRule="auto"/>
        <w:ind w:firstLine="420" w:firstLineChars="200"/>
        <w:jc w:val="center"/>
        <w:rPr>
          <w:rFonts w:hint="eastAsia" w:ascii="宋体" w:hAnsi="宋体" w:cs="宋体"/>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77"/>
      <w:bookmarkEnd w:id="78"/>
      <w:r>
        <w:rPr>
          <w:rFonts w:hint="eastAsia" w:ascii="宋体" w:hAnsi="宋体" w:cs="宋体"/>
          <w:szCs w:val="21"/>
          <w:u w:val="single"/>
        </w:rPr>
        <w:t xml:space="preserve">      </w:t>
      </w:r>
    </w:p>
    <w:p w14:paraId="52FCD833">
      <w:pPr>
        <w:jc w:val="center"/>
        <w:rPr>
          <w:rFonts w:hint="eastAsia" w:ascii="宋体" w:hAnsi="宋体" w:cs="宋体"/>
          <w:szCs w:val="21"/>
        </w:rPr>
      </w:pPr>
    </w:p>
    <w:p w14:paraId="48FF02E1">
      <w:pPr>
        <w:spacing w:line="360" w:lineRule="auto"/>
        <w:ind w:firstLine="420" w:firstLineChars="200"/>
        <w:jc w:val="center"/>
        <w:rPr>
          <w:rFonts w:hint="eastAsia" w:ascii="宋体" w:hAnsi="宋体" w:cs="宋体"/>
        </w:rPr>
      </w:pPr>
      <w:bookmarkStart w:id="79" w:name="_Toc1330"/>
      <w:bookmarkStart w:id="80" w:name="_Toc9950"/>
      <w:r>
        <w:rPr>
          <w:rFonts w:hint="eastAsia" w:ascii="宋体" w:hAnsi="宋体" w:cs="宋体"/>
          <w:szCs w:val="21"/>
        </w:rPr>
        <w:t>年  月  日</w:t>
      </w:r>
      <w:bookmarkEnd w:id="79"/>
      <w:bookmarkEnd w:id="80"/>
    </w:p>
    <w:p w14:paraId="7A1E5038">
      <w:pPr>
        <w:rPr>
          <w:rFonts w:hint="eastAsia" w:ascii="宋体" w:hAnsi="宋体" w:cs="宋体"/>
        </w:rPr>
      </w:pPr>
    </w:p>
    <w:bookmarkEnd w:id="54"/>
    <w:bookmarkEnd w:id="55"/>
    <w:p w14:paraId="77F8766B">
      <w:pPr>
        <w:spacing w:before="20" w:after="20"/>
        <w:rPr>
          <w:rFonts w:hint="eastAsia" w:ascii="宋体" w:hAnsi="宋体" w:cs="宋体"/>
        </w:rPr>
      </w:pPr>
      <w:bookmarkStart w:id="81" w:name="_Toc22004"/>
      <w:bookmarkStart w:id="82" w:name="_Toc24984"/>
    </w:p>
    <w:p w14:paraId="11E3CD4D">
      <w:pPr>
        <w:rPr>
          <w:rFonts w:hint="eastAsia" w:ascii="宋体" w:hAnsi="宋体" w:cs="宋体"/>
        </w:rPr>
      </w:pPr>
    </w:p>
    <w:p w14:paraId="6B47C223">
      <w:pPr>
        <w:rPr>
          <w:rFonts w:hint="eastAsia" w:ascii="宋体" w:hAnsi="宋体" w:cs="宋体"/>
        </w:rPr>
      </w:pPr>
      <w:r>
        <w:rPr>
          <w:rFonts w:hint="eastAsia" w:ascii="宋体" w:hAnsi="宋体" w:cs="宋体"/>
        </w:rPr>
        <w:br w:type="page"/>
      </w:r>
    </w:p>
    <w:bookmarkEnd w:id="81"/>
    <w:bookmarkEnd w:id="82"/>
    <w:p w14:paraId="3AEF9746">
      <w:pPr>
        <w:pStyle w:val="6"/>
        <w:snapToGrid w:val="0"/>
        <w:spacing w:before="20" w:after="20" w:line="360" w:lineRule="auto"/>
        <w:ind w:firstLine="1124" w:firstLineChars="400"/>
        <w:rPr>
          <w:rFonts w:hint="eastAsia" w:ascii="宋体" w:hAnsi="宋体" w:eastAsia="宋体" w:cs="宋体"/>
          <w:sz w:val="28"/>
          <w:szCs w:val="28"/>
        </w:rPr>
      </w:pPr>
      <w:bookmarkStart w:id="83" w:name="_Toc15804"/>
      <w:bookmarkStart w:id="84" w:name="_Toc226"/>
      <w:r>
        <w:rPr>
          <w:rFonts w:hint="eastAsia" w:ascii="宋体" w:hAnsi="宋体" w:eastAsia="宋体" w:cs="宋体"/>
          <w:sz w:val="28"/>
          <w:szCs w:val="28"/>
        </w:rPr>
        <w:t xml:space="preserve">附件4 </w:t>
      </w:r>
      <w:bookmarkEnd w:id="83"/>
      <w:bookmarkEnd w:id="84"/>
      <w:r>
        <w:rPr>
          <w:rFonts w:hint="eastAsia" w:ascii="宋体" w:hAnsi="宋体" w:eastAsia="宋体" w:cs="宋体"/>
          <w:sz w:val="28"/>
          <w:szCs w:val="28"/>
        </w:rPr>
        <w:t xml:space="preserve">           技术响应表（格式）</w:t>
      </w:r>
    </w:p>
    <w:p w14:paraId="148B3B43"/>
    <w:p w14:paraId="3C6D4338"/>
    <w:tbl>
      <w:tblPr>
        <w:tblStyle w:val="92"/>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0C885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46B898EE">
            <w:pPr>
              <w:widowControl/>
              <w:spacing w:line="360" w:lineRule="auto"/>
              <w:jc w:val="center"/>
              <w:textAlignment w:val="baseline"/>
              <w:rPr>
                <w:rFonts w:hint="eastAsia" w:ascii="宋体" w:hAnsi="宋体" w:cs="宋体"/>
                <w:szCs w:val="21"/>
              </w:rPr>
            </w:pPr>
            <w:r>
              <w:rPr>
                <w:rFonts w:hint="eastAsia" w:ascii="宋体" w:hAnsi="宋体" w:cs="宋体"/>
                <w:szCs w:val="21"/>
              </w:rPr>
              <w:t>序号</w:t>
            </w:r>
          </w:p>
        </w:tc>
        <w:tc>
          <w:tcPr>
            <w:tcW w:w="2625" w:type="dxa"/>
            <w:vAlign w:val="center"/>
          </w:tcPr>
          <w:p w14:paraId="32CFB748">
            <w:pPr>
              <w:widowControl/>
              <w:spacing w:line="360" w:lineRule="auto"/>
              <w:jc w:val="center"/>
              <w:textAlignment w:val="baseline"/>
              <w:rPr>
                <w:rFonts w:hint="eastAsia" w:ascii="宋体" w:hAnsi="宋体" w:cs="宋体"/>
                <w:szCs w:val="21"/>
              </w:rPr>
            </w:pPr>
            <w:r>
              <w:rPr>
                <w:rFonts w:hint="eastAsia" w:ascii="宋体" w:hAnsi="宋体" w:cs="宋体"/>
                <w:szCs w:val="21"/>
              </w:rPr>
              <w:t>服务名称</w:t>
            </w:r>
          </w:p>
        </w:tc>
        <w:tc>
          <w:tcPr>
            <w:tcW w:w="2379" w:type="dxa"/>
            <w:vAlign w:val="center"/>
          </w:tcPr>
          <w:p w14:paraId="65B7104F">
            <w:pPr>
              <w:widowControl/>
              <w:spacing w:line="360" w:lineRule="auto"/>
              <w:jc w:val="center"/>
              <w:textAlignment w:val="baseline"/>
              <w:rPr>
                <w:rFonts w:hint="eastAsia" w:ascii="宋体" w:hAnsi="宋体" w:cs="宋体"/>
                <w:szCs w:val="21"/>
              </w:rPr>
            </w:pPr>
            <w:r>
              <w:rPr>
                <w:rFonts w:hint="eastAsia" w:ascii="宋体" w:hAnsi="宋体" w:cs="宋体"/>
                <w:szCs w:val="21"/>
              </w:rPr>
              <w:t>磋商文件要求</w:t>
            </w:r>
          </w:p>
        </w:tc>
        <w:tc>
          <w:tcPr>
            <w:tcW w:w="1468" w:type="dxa"/>
            <w:vAlign w:val="center"/>
          </w:tcPr>
          <w:p w14:paraId="3AF987A8">
            <w:pPr>
              <w:widowControl/>
              <w:spacing w:line="360" w:lineRule="auto"/>
              <w:jc w:val="center"/>
              <w:textAlignment w:val="baseline"/>
              <w:rPr>
                <w:rFonts w:hint="eastAsia" w:ascii="宋体" w:hAnsi="宋体" w:cs="宋体"/>
                <w:szCs w:val="21"/>
              </w:rPr>
            </w:pPr>
            <w:r>
              <w:rPr>
                <w:rFonts w:hint="eastAsia" w:ascii="宋体" w:hAnsi="宋体" w:cs="宋体"/>
                <w:szCs w:val="21"/>
              </w:rPr>
              <w:t>响应文件响应</w:t>
            </w:r>
          </w:p>
        </w:tc>
        <w:tc>
          <w:tcPr>
            <w:tcW w:w="1468" w:type="dxa"/>
            <w:vAlign w:val="center"/>
          </w:tcPr>
          <w:p w14:paraId="11D61386">
            <w:pPr>
              <w:widowControl/>
              <w:spacing w:line="360" w:lineRule="auto"/>
              <w:jc w:val="center"/>
              <w:textAlignment w:val="baseline"/>
              <w:rPr>
                <w:rFonts w:hint="eastAsia" w:ascii="宋体" w:hAnsi="宋体" w:cs="宋体"/>
                <w:szCs w:val="21"/>
              </w:rPr>
            </w:pPr>
            <w:r>
              <w:rPr>
                <w:rFonts w:hint="eastAsia" w:ascii="宋体" w:hAnsi="宋体" w:cs="宋体"/>
                <w:szCs w:val="21"/>
              </w:rPr>
              <w:t>偏离情况</w:t>
            </w:r>
          </w:p>
        </w:tc>
        <w:tc>
          <w:tcPr>
            <w:tcW w:w="1202" w:type="dxa"/>
            <w:vAlign w:val="center"/>
          </w:tcPr>
          <w:p w14:paraId="5CB7A6D6">
            <w:pPr>
              <w:widowControl/>
              <w:spacing w:line="360" w:lineRule="auto"/>
              <w:jc w:val="center"/>
              <w:textAlignment w:val="baseline"/>
              <w:rPr>
                <w:rFonts w:hint="eastAsia" w:ascii="宋体" w:hAnsi="宋体" w:cs="宋体"/>
                <w:szCs w:val="21"/>
              </w:rPr>
            </w:pPr>
            <w:r>
              <w:rPr>
                <w:rFonts w:hint="eastAsia" w:ascii="宋体" w:hAnsi="宋体" w:cs="宋体"/>
                <w:szCs w:val="21"/>
              </w:rPr>
              <w:t>备注</w:t>
            </w:r>
          </w:p>
        </w:tc>
      </w:tr>
      <w:tr w14:paraId="65FA0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64ADB16A">
            <w:pPr>
              <w:widowControl/>
              <w:spacing w:line="360" w:lineRule="auto"/>
              <w:jc w:val="center"/>
              <w:textAlignment w:val="baseline"/>
              <w:rPr>
                <w:rFonts w:hint="eastAsia" w:ascii="宋体" w:hAnsi="宋体" w:cs="宋体"/>
                <w:szCs w:val="21"/>
              </w:rPr>
            </w:pPr>
            <w:r>
              <w:rPr>
                <w:rFonts w:hint="eastAsia" w:ascii="宋体" w:hAnsi="宋体" w:cs="宋体"/>
                <w:szCs w:val="21"/>
              </w:rPr>
              <w:t>1</w:t>
            </w:r>
          </w:p>
        </w:tc>
        <w:tc>
          <w:tcPr>
            <w:tcW w:w="2625" w:type="dxa"/>
            <w:vAlign w:val="center"/>
          </w:tcPr>
          <w:p w14:paraId="767C20DF">
            <w:pPr>
              <w:widowControl/>
              <w:spacing w:line="360" w:lineRule="auto"/>
              <w:jc w:val="center"/>
              <w:textAlignment w:val="baseline"/>
              <w:rPr>
                <w:rFonts w:hint="eastAsia" w:ascii="宋体" w:hAnsi="宋体" w:cs="宋体"/>
                <w:szCs w:val="21"/>
              </w:rPr>
            </w:pPr>
          </w:p>
        </w:tc>
        <w:tc>
          <w:tcPr>
            <w:tcW w:w="2379" w:type="dxa"/>
            <w:vAlign w:val="center"/>
          </w:tcPr>
          <w:p w14:paraId="13060466">
            <w:pPr>
              <w:widowControl/>
              <w:spacing w:line="360" w:lineRule="auto"/>
              <w:jc w:val="center"/>
              <w:textAlignment w:val="baseline"/>
              <w:rPr>
                <w:rFonts w:hint="eastAsia" w:ascii="宋体" w:hAnsi="宋体" w:cs="宋体"/>
                <w:szCs w:val="21"/>
              </w:rPr>
            </w:pPr>
          </w:p>
        </w:tc>
        <w:tc>
          <w:tcPr>
            <w:tcW w:w="1468" w:type="dxa"/>
            <w:vAlign w:val="center"/>
          </w:tcPr>
          <w:p w14:paraId="68E37A6B">
            <w:pPr>
              <w:widowControl/>
              <w:spacing w:line="360" w:lineRule="auto"/>
              <w:jc w:val="center"/>
              <w:textAlignment w:val="baseline"/>
              <w:rPr>
                <w:rFonts w:hint="eastAsia" w:ascii="宋体" w:hAnsi="宋体" w:cs="宋体"/>
                <w:szCs w:val="21"/>
              </w:rPr>
            </w:pPr>
          </w:p>
        </w:tc>
        <w:tc>
          <w:tcPr>
            <w:tcW w:w="1468" w:type="dxa"/>
            <w:vAlign w:val="center"/>
          </w:tcPr>
          <w:p w14:paraId="79DC5201">
            <w:pPr>
              <w:widowControl/>
              <w:spacing w:line="360" w:lineRule="auto"/>
              <w:jc w:val="center"/>
              <w:textAlignment w:val="baseline"/>
              <w:rPr>
                <w:rFonts w:hint="eastAsia" w:ascii="宋体" w:hAnsi="宋体" w:cs="宋体"/>
                <w:szCs w:val="21"/>
              </w:rPr>
            </w:pPr>
          </w:p>
        </w:tc>
        <w:tc>
          <w:tcPr>
            <w:tcW w:w="1202" w:type="dxa"/>
            <w:vAlign w:val="center"/>
          </w:tcPr>
          <w:p w14:paraId="1442E93A">
            <w:pPr>
              <w:widowControl/>
              <w:spacing w:line="360" w:lineRule="auto"/>
              <w:jc w:val="center"/>
              <w:textAlignment w:val="baseline"/>
              <w:rPr>
                <w:rFonts w:hint="eastAsia" w:ascii="宋体" w:hAnsi="宋体" w:cs="宋体"/>
                <w:szCs w:val="21"/>
              </w:rPr>
            </w:pPr>
          </w:p>
        </w:tc>
      </w:tr>
      <w:tr w14:paraId="50071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443BD24F">
            <w:pPr>
              <w:widowControl/>
              <w:spacing w:line="360" w:lineRule="auto"/>
              <w:jc w:val="center"/>
              <w:textAlignment w:val="baseline"/>
              <w:rPr>
                <w:rFonts w:hint="eastAsia" w:ascii="宋体" w:hAnsi="宋体" w:cs="宋体"/>
                <w:szCs w:val="21"/>
              </w:rPr>
            </w:pPr>
            <w:r>
              <w:rPr>
                <w:rFonts w:hint="eastAsia" w:ascii="宋体" w:hAnsi="宋体" w:cs="宋体"/>
                <w:szCs w:val="21"/>
              </w:rPr>
              <w:t>2</w:t>
            </w:r>
          </w:p>
        </w:tc>
        <w:tc>
          <w:tcPr>
            <w:tcW w:w="2625" w:type="dxa"/>
            <w:vAlign w:val="center"/>
          </w:tcPr>
          <w:p w14:paraId="45FFEC74">
            <w:pPr>
              <w:widowControl/>
              <w:spacing w:line="360" w:lineRule="auto"/>
              <w:jc w:val="center"/>
              <w:textAlignment w:val="baseline"/>
              <w:rPr>
                <w:rFonts w:hint="eastAsia" w:ascii="宋体" w:hAnsi="宋体" w:cs="宋体"/>
                <w:szCs w:val="21"/>
              </w:rPr>
            </w:pPr>
          </w:p>
        </w:tc>
        <w:tc>
          <w:tcPr>
            <w:tcW w:w="2379" w:type="dxa"/>
            <w:vAlign w:val="center"/>
          </w:tcPr>
          <w:p w14:paraId="061EEA1F">
            <w:pPr>
              <w:widowControl/>
              <w:spacing w:line="360" w:lineRule="auto"/>
              <w:jc w:val="center"/>
              <w:textAlignment w:val="baseline"/>
              <w:rPr>
                <w:rFonts w:hint="eastAsia" w:ascii="宋体" w:hAnsi="宋体" w:cs="宋体"/>
                <w:szCs w:val="21"/>
              </w:rPr>
            </w:pPr>
          </w:p>
        </w:tc>
        <w:tc>
          <w:tcPr>
            <w:tcW w:w="1468" w:type="dxa"/>
            <w:vAlign w:val="center"/>
          </w:tcPr>
          <w:p w14:paraId="6B0861C7">
            <w:pPr>
              <w:widowControl/>
              <w:spacing w:line="360" w:lineRule="auto"/>
              <w:jc w:val="center"/>
              <w:textAlignment w:val="baseline"/>
              <w:rPr>
                <w:rFonts w:hint="eastAsia" w:ascii="宋体" w:hAnsi="宋体" w:cs="宋体"/>
                <w:szCs w:val="21"/>
              </w:rPr>
            </w:pPr>
          </w:p>
        </w:tc>
        <w:tc>
          <w:tcPr>
            <w:tcW w:w="1468" w:type="dxa"/>
            <w:vAlign w:val="center"/>
          </w:tcPr>
          <w:p w14:paraId="3B9C0A2D">
            <w:pPr>
              <w:widowControl/>
              <w:spacing w:line="360" w:lineRule="auto"/>
              <w:jc w:val="center"/>
              <w:textAlignment w:val="baseline"/>
              <w:rPr>
                <w:rFonts w:hint="eastAsia" w:ascii="宋体" w:hAnsi="宋体" w:cs="宋体"/>
                <w:szCs w:val="21"/>
              </w:rPr>
            </w:pPr>
          </w:p>
        </w:tc>
        <w:tc>
          <w:tcPr>
            <w:tcW w:w="1202" w:type="dxa"/>
            <w:vAlign w:val="center"/>
          </w:tcPr>
          <w:p w14:paraId="6C3F35FD">
            <w:pPr>
              <w:widowControl/>
              <w:spacing w:line="360" w:lineRule="auto"/>
              <w:jc w:val="center"/>
              <w:textAlignment w:val="baseline"/>
              <w:rPr>
                <w:rFonts w:hint="eastAsia" w:ascii="宋体" w:hAnsi="宋体" w:cs="宋体"/>
                <w:szCs w:val="21"/>
              </w:rPr>
            </w:pPr>
          </w:p>
        </w:tc>
      </w:tr>
      <w:tr w14:paraId="0770F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3BD782D6">
            <w:pPr>
              <w:widowControl/>
              <w:spacing w:line="360" w:lineRule="auto"/>
              <w:jc w:val="center"/>
              <w:textAlignment w:val="baseline"/>
              <w:rPr>
                <w:rFonts w:hint="eastAsia" w:ascii="宋体" w:hAnsi="宋体" w:cs="宋体"/>
                <w:szCs w:val="21"/>
              </w:rPr>
            </w:pPr>
            <w:r>
              <w:rPr>
                <w:rFonts w:hint="eastAsia" w:ascii="宋体" w:hAnsi="宋体" w:cs="宋体"/>
                <w:szCs w:val="21"/>
              </w:rPr>
              <w:t>…</w:t>
            </w:r>
          </w:p>
        </w:tc>
        <w:tc>
          <w:tcPr>
            <w:tcW w:w="2625" w:type="dxa"/>
            <w:vAlign w:val="center"/>
          </w:tcPr>
          <w:p w14:paraId="55C312EC">
            <w:pPr>
              <w:widowControl/>
              <w:spacing w:line="360" w:lineRule="auto"/>
              <w:jc w:val="center"/>
              <w:textAlignment w:val="baseline"/>
              <w:rPr>
                <w:rFonts w:hint="eastAsia" w:ascii="宋体" w:hAnsi="宋体" w:cs="宋体"/>
                <w:szCs w:val="21"/>
              </w:rPr>
            </w:pPr>
          </w:p>
        </w:tc>
        <w:tc>
          <w:tcPr>
            <w:tcW w:w="2379" w:type="dxa"/>
            <w:vAlign w:val="center"/>
          </w:tcPr>
          <w:p w14:paraId="37B9D701">
            <w:pPr>
              <w:widowControl/>
              <w:spacing w:line="360" w:lineRule="auto"/>
              <w:jc w:val="center"/>
              <w:textAlignment w:val="baseline"/>
              <w:rPr>
                <w:rFonts w:hint="eastAsia" w:ascii="宋体" w:hAnsi="宋体" w:cs="宋体"/>
                <w:szCs w:val="21"/>
              </w:rPr>
            </w:pPr>
          </w:p>
        </w:tc>
        <w:tc>
          <w:tcPr>
            <w:tcW w:w="1468" w:type="dxa"/>
            <w:vAlign w:val="center"/>
          </w:tcPr>
          <w:p w14:paraId="6F7A1116">
            <w:pPr>
              <w:widowControl/>
              <w:spacing w:line="360" w:lineRule="auto"/>
              <w:jc w:val="center"/>
              <w:textAlignment w:val="baseline"/>
              <w:rPr>
                <w:rFonts w:hint="eastAsia" w:ascii="宋体" w:hAnsi="宋体" w:cs="宋体"/>
                <w:szCs w:val="21"/>
              </w:rPr>
            </w:pPr>
          </w:p>
        </w:tc>
        <w:tc>
          <w:tcPr>
            <w:tcW w:w="1468" w:type="dxa"/>
            <w:vAlign w:val="center"/>
          </w:tcPr>
          <w:p w14:paraId="38EE5D06">
            <w:pPr>
              <w:widowControl/>
              <w:spacing w:line="360" w:lineRule="auto"/>
              <w:jc w:val="center"/>
              <w:textAlignment w:val="baseline"/>
              <w:rPr>
                <w:rFonts w:hint="eastAsia" w:ascii="宋体" w:hAnsi="宋体" w:cs="宋体"/>
                <w:szCs w:val="21"/>
              </w:rPr>
            </w:pPr>
          </w:p>
        </w:tc>
        <w:tc>
          <w:tcPr>
            <w:tcW w:w="1202" w:type="dxa"/>
            <w:vAlign w:val="center"/>
          </w:tcPr>
          <w:p w14:paraId="2B73758A">
            <w:pPr>
              <w:widowControl/>
              <w:spacing w:line="360" w:lineRule="auto"/>
              <w:jc w:val="center"/>
              <w:textAlignment w:val="baseline"/>
              <w:rPr>
                <w:rFonts w:hint="eastAsia" w:ascii="宋体" w:hAnsi="宋体" w:cs="宋体"/>
                <w:szCs w:val="21"/>
              </w:rPr>
            </w:pPr>
          </w:p>
        </w:tc>
      </w:tr>
    </w:tbl>
    <w:p w14:paraId="13EB473B">
      <w:pPr>
        <w:widowControl/>
        <w:wordWrap w:val="0"/>
        <w:spacing w:line="460" w:lineRule="exact"/>
        <w:ind w:firstLine="422" w:firstLineChars="200"/>
        <w:jc w:val="left"/>
        <w:rPr>
          <w:rFonts w:hint="eastAsia" w:ascii="宋体" w:hAnsi="宋体" w:cs="宋体"/>
          <w:b/>
          <w:kern w:val="0"/>
          <w:szCs w:val="21"/>
        </w:rPr>
      </w:pPr>
    </w:p>
    <w:p w14:paraId="44185BFB">
      <w:pPr>
        <w:widowControl/>
        <w:spacing w:line="360" w:lineRule="auto"/>
        <w:textAlignment w:val="baseline"/>
        <w:rPr>
          <w:rFonts w:hint="eastAsia" w:ascii="宋体" w:hAnsi="宋体" w:cs="宋体"/>
          <w:szCs w:val="21"/>
        </w:rPr>
      </w:pPr>
      <w:r>
        <w:rPr>
          <w:rFonts w:hint="eastAsia" w:ascii="宋体" w:hAnsi="宋体" w:cs="宋体"/>
          <w:szCs w:val="21"/>
        </w:rPr>
        <w:t>注：供应商必须如实完整填写表格，“偏离情况”是指“正偏离”、“负偏离”或“无偏离”。</w:t>
      </w:r>
    </w:p>
    <w:p w14:paraId="758D72D7">
      <w:pPr>
        <w:widowControl/>
        <w:spacing w:line="360" w:lineRule="auto"/>
        <w:textAlignment w:val="baseline"/>
        <w:rPr>
          <w:rFonts w:hint="eastAsia" w:ascii="宋体" w:hAnsi="宋体" w:cs="宋体"/>
          <w:szCs w:val="21"/>
        </w:rPr>
      </w:pPr>
    </w:p>
    <w:p w14:paraId="4E7B86F5">
      <w:pPr>
        <w:widowControl/>
        <w:spacing w:line="360" w:lineRule="auto"/>
        <w:textAlignment w:val="baseline"/>
        <w:rPr>
          <w:rFonts w:hint="eastAsia" w:ascii="宋体" w:hAnsi="宋体" w:cs="宋体"/>
          <w:szCs w:val="21"/>
        </w:rPr>
      </w:pPr>
      <w:r>
        <w:rPr>
          <w:rFonts w:hint="eastAsia" w:ascii="宋体" w:hAnsi="宋体" w:cs="宋体"/>
          <w:szCs w:val="21"/>
        </w:rPr>
        <w:t xml:space="preserve">              </w:t>
      </w:r>
    </w:p>
    <w:p w14:paraId="73F551B9">
      <w:pPr>
        <w:widowControl/>
        <w:spacing w:line="360" w:lineRule="auto"/>
        <w:ind w:firstLine="2100" w:firstLineChars="10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254D158D">
      <w:pPr>
        <w:widowControl/>
        <w:wordWrap w:val="0"/>
        <w:spacing w:line="460" w:lineRule="exact"/>
        <w:ind w:firstLine="3570" w:firstLineChars="1700"/>
        <w:jc w:val="left"/>
        <w:rPr>
          <w:rFonts w:hint="eastAsia" w:ascii="宋体" w:hAnsi="宋体" w:cs="宋体"/>
          <w:b/>
          <w:kern w:val="0"/>
          <w:sz w:val="32"/>
          <w:szCs w:val="32"/>
        </w:rPr>
      </w:pPr>
      <w:r>
        <w:rPr>
          <w:rFonts w:hint="eastAsia" w:ascii="宋体" w:hAnsi="宋体" w:cs="宋体"/>
          <w:szCs w:val="21"/>
        </w:rPr>
        <w:t>年    月    日</w:t>
      </w:r>
    </w:p>
    <w:p w14:paraId="19409911">
      <w:pPr>
        <w:widowControl/>
        <w:wordWrap w:val="0"/>
        <w:spacing w:line="460" w:lineRule="exact"/>
        <w:ind w:firstLine="643" w:firstLineChars="200"/>
        <w:jc w:val="left"/>
        <w:rPr>
          <w:rFonts w:hint="eastAsia" w:ascii="宋体" w:hAnsi="宋体" w:cs="宋体"/>
          <w:b/>
          <w:kern w:val="0"/>
          <w:sz w:val="32"/>
          <w:szCs w:val="32"/>
        </w:rPr>
        <w:sectPr>
          <w:pgSz w:w="11906" w:h="16838"/>
          <w:pgMar w:top="1417" w:right="1474" w:bottom="1417" w:left="1474" w:header="851" w:footer="624" w:gutter="0"/>
          <w:cols w:space="720" w:num="1"/>
          <w:docGrid w:type="lines" w:linePitch="319" w:charSpace="0"/>
        </w:sectPr>
      </w:pPr>
    </w:p>
    <w:p w14:paraId="5E3CE8A8">
      <w:pPr>
        <w:pStyle w:val="6"/>
        <w:snapToGrid w:val="0"/>
        <w:spacing w:before="20" w:after="20" w:line="360" w:lineRule="auto"/>
        <w:ind w:firstLine="1124" w:firstLineChars="400"/>
        <w:rPr>
          <w:rFonts w:hint="eastAsia" w:ascii="宋体" w:hAnsi="宋体" w:eastAsia="宋体" w:cs="宋体"/>
          <w:sz w:val="28"/>
          <w:szCs w:val="28"/>
        </w:rPr>
      </w:pPr>
      <w:r>
        <w:rPr>
          <w:rFonts w:hint="eastAsia" w:ascii="宋体" w:hAnsi="宋体" w:eastAsia="宋体" w:cs="宋体"/>
          <w:sz w:val="28"/>
          <w:szCs w:val="28"/>
        </w:rPr>
        <w:t>附件5              技术要求证明材料</w:t>
      </w:r>
    </w:p>
    <w:p w14:paraId="61B659CF"/>
    <w:p w14:paraId="2BA03FCE"/>
    <w:p w14:paraId="3DBC8100"/>
    <w:p w14:paraId="03ADBB90">
      <w:r>
        <w:rPr>
          <w:rFonts w:hint="eastAsia"/>
        </w:rPr>
        <w:t>按照磋商文件“第二章 采购需求 三、技术要求”提供证明文件或承诺</w:t>
      </w:r>
    </w:p>
    <w:p w14:paraId="3B013FA1">
      <w:pPr>
        <w:widowControl/>
        <w:wordWrap w:val="0"/>
        <w:spacing w:line="460" w:lineRule="exact"/>
        <w:ind w:firstLine="643" w:firstLineChars="200"/>
        <w:jc w:val="left"/>
        <w:rPr>
          <w:rFonts w:hint="eastAsia" w:ascii="宋体" w:hAnsi="宋体" w:cs="宋体"/>
          <w:b/>
          <w:kern w:val="0"/>
          <w:sz w:val="32"/>
          <w:szCs w:val="32"/>
        </w:rPr>
      </w:pPr>
    </w:p>
    <w:p w14:paraId="39F2E5CB">
      <w:pPr>
        <w:widowControl/>
        <w:wordWrap w:val="0"/>
        <w:spacing w:line="460" w:lineRule="exact"/>
        <w:ind w:firstLine="643" w:firstLineChars="200"/>
        <w:jc w:val="left"/>
        <w:rPr>
          <w:rFonts w:hint="eastAsia" w:ascii="宋体" w:hAnsi="宋体" w:cs="宋体"/>
          <w:b/>
          <w:kern w:val="0"/>
          <w:sz w:val="32"/>
          <w:szCs w:val="32"/>
        </w:rPr>
      </w:pPr>
    </w:p>
    <w:p w14:paraId="36668293">
      <w:pPr>
        <w:widowControl/>
        <w:wordWrap w:val="0"/>
        <w:spacing w:line="460" w:lineRule="exact"/>
        <w:ind w:firstLine="643" w:firstLineChars="200"/>
        <w:jc w:val="left"/>
        <w:rPr>
          <w:rFonts w:hint="eastAsia" w:ascii="宋体" w:hAnsi="宋体" w:cs="宋体"/>
          <w:b/>
          <w:kern w:val="0"/>
          <w:sz w:val="32"/>
          <w:szCs w:val="32"/>
        </w:rPr>
      </w:pPr>
    </w:p>
    <w:p w14:paraId="15AC157A">
      <w:pPr>
        <w:widowControl/>
        <w:wordWrap w:val="0"/>
        <w:spacing w:line="460" w:lineRule="exact"/>
        <w:ind w:firstLine="643" w:firstLineChars="200"/>
        <w:jc w:val="left"/>
        <w:rPr>
          <w:rFonts w:hint="eastAsia" w:ascii="宋体" w:hAnsi="宋体" w:cs="宋体"/>
          <w:b/>
          <w:kern w:val="0"/>
          <w:sz w:val="32"/>
          <w:szCs w:val="32"/>
        </w:rPr>
      </w:pPr>
    </w:p>
    <w:p w14:paraId="05C09528">
      <w:pPr>
        <w:widowControl/>
        <w:wordWrap w:val="0"/>
        <w:snapToGrid w:val="0"/>
        <w:spacing w:before="50" w:after="159" w:afterLines="50"/>
        <w:jc w:val="left"/>
        <w:rPr>
          <w:rFonts w:hint="eastAsia" w:ascii="宋体" w:hAnsi="宋体" w:cs="宋体"/>
          <w:kern w:val="0"/>
          <w:sz w:val="24"/>
          <w:u w:val="single"/>
        </w:rPr>
      </w:pPr>
    </w:p>
    <w:p w14:paraId="4826DCF9">
      <w:pPr>
        <w:rPr>
          <w:rFonts w:hint="eastAsia" w:ascii="宋体" w:hAnsi="宋体" w:cs="宋体"/>
          <w:b/>
          <w:kern w:val="0"/>
          <w:sz w:val="24"/>
        </w:rPr>
      </w:pPr>
      <w:r>
        <w:rPr>
          <w:rFonts w:hint="eastAsia" w:ascii="宋体" w:hAnsi="宋体" w:cs="宋体"/>
          <w:b/>
          <w:kern w:val="0"/>
          <w:sz w:val="24"/>
        </w:rPr>
        <w:br w:type="page"/>
      </w:r>
    </w:p>
    <w:p w14:paraId="15F81433">
      <w:pPr>
        <w:pStyle w:val="6"/>
        <w:snapToGrid w:val="0"/>
        <w:spacing w:before="20" w:after="20" w:line="360" w:lineRule="auto"/>
        <w:jc w:val="center"/>
        <w:rPr>
          <w:rFonts w:hint="eastAsia" w:ascii="宋体" w:hAnsi="宋体" w:eastAsia="宋体" w:cs="宋体"/>
          <w:sz w:val="28"/>
          <w:szCs w:val="28"/>
        </w:rPr>
      </w:pPr>
      <w:bookmarkStart w:id="85" w:name="_Toc24168"/>
      <w:bookmarkStart w:id="86" w:name="_Toc20420"/>
      <w:bookmarkStart w:id="87" w:name="_Toc29960"/>
      <w:r>
        <w:rPr>
          <w:rFonts w:hint="eastAsia" w:ascii="宋体" w:hAnsi="宋体" w:eastAsia="宋体" w:cs="宋体"/>
          <w:sz w:val="28"/>
          <w:szCs w:val="28"/>
        </w:rPr>
        <w:t>附件6            商务响应</w:t>
      </w:r>
      <w:bookmarkEnd w:id="85"/>
      <w:bookmarkEnd w:id="86"/>
      <w:bookmarkEnd w:id="87"/>
      <w:r>
        <w:rPr>
          <w:rFonts w:hint="eastAsia" w:ascii="宋体" w:hAnsi="宋体" w:eastAsia="宋体" w:cs="宋体"/>
          <w:sz w:val="28"/>
          <w:szCs w:val="28"/>
        </w:rPr>
        <w:t>表（格式）</w:t>
      </w:r>
    </w:p>
    <w:p w14:paraId="692BB6E6">
      <w:pPr>
        <w:widowControl/>
        <w:wordWrap w:val="0"/>
        <w:spacing w:line="460" w:lineRule="exact"/>
        <w:jc w:val="left"/>
        <w:rPr>
          <w:rFonts w:hint="eastAsia" w:ascii="宋体" w:hAnsi="宋体" w:cs="宋体"/>
          <w:b/>
          <w:kern w:val="0"/>
          <w:sz w:val="32"/>
          <w:szCs w:val="32"/>
        </w:rPr>
      </w:pPr>
      <w:r>
        <w:rPr>
          <w:rFonts w:hint="eastAsia" w:ascii="宋体" w:hAnsi="宋体" w:cs="宋体"/>
          <w:b/>
          <w:kern w:val="0"/>
          <w:sz w:val="32"/>
          <w:szCs w:val="32"/>
        </w:rPr>
        <w:t xml:space="preserve">  </w:t>
      </w:r>
    </w:p>
    <w:p w14:paraId="4D14959B">
      <w:pPr>
        <w:widowControl/>
        <w:wordWrap w:val="0"/>
        <w:spacing w:line="460" w:lineRule="exact"/>
        <w:jc w:val="left"/>
        <w:rPr>
          <w:rFonts w:hint="eastAsia" w:ascii="宋体" w:hAnsi="宋体" w:cs="宋体"/>
          <w:b/>
          <w:kern w:val="0"/>
          <w:sz w:val="32"/>
          <w:szCs w:val="32"/>
        </w:rPr>
      </w:pPr>
    </w:p>
    <w:tbl>
      <w:tblPr>
        <w:tblStyle w:val="92"/>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51FE6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vAlign w:val="center"/>
          </w:tcPr>
          <w:p w14:paraId="29BC4569">
            <w:pPr>
              <w:widowControl/>
              <w:spacing w:line="360" w:lineRule="auto"/>
              <w:jc w:val="center"/>
              <w:textAlignment w:val="baseline"/>
              <w:rPr>
                <w:rFonts w:hint="eastAsia" w:ascii="宋体" w:hAnsi="宋体" w:cs="宋体"/>
                <w:szCs w:val="21"/>
              </w:rPr>
            </w:pPr>
            <w:r>
              <w:rPr>
                <w:rFonts w:hint="eastAsia" w:ascii="宋体" w:hAnsi="宋体" w:cs="宋体"/>
                <w:szCs w:val="21"/>
              </w:rPr>
              <w:t>序号</w:t>
            </w:r>
          </w:p>
        </w:tc>
        <w:tc>
          <w:tcPr>
            <w:tcW w:w="2301" w:type="dxa"/>
            <w:vAlign w:val="center"/>
          </w:tcPr>
          <w:p w14:paraId="36BF886A">
            <w:pPr>
              <w:widowControl/>
              <w:spacing w:line="360" w:lineRule="auto"/>
              <w:jc w:val="center"/>
              <w:textAlignment w:val="baseline"/>
              <w:rPr>
                <w:rFonts w:hint="eastAsia" w:ascii="宋体" w:hAnsi="宋体" w:cs="宋体"/>
                <w:szCs w:val="21"/>
              </w:rPr>
            </w:pPr>
            <w:r>
              <w:rPr>
                <w:rFonts w:hint="eastAsia" w:ascii="宋体" w:hAnsi="宋体" w:cs="宋体"/>
                <w:szCs w:val="21"/>
              </w:rPr>
              <w:t>项目</w:t>
            </w:r>
          </w:p>
        </w:tc>
        <w:tc>
          <w:tcPr>
            <w:tcW w:w="2198" w:type="dxa"/>
            <w:vAlign w:val="center"/>
          </w:tcPr>
          <w:p w14:paraId="6CE117FB">
            <w:pPr>
              <w:widowControl/>
              <w:spacing w:line="360" w:lineRule="auto"/>
              <w:jc w:val="center"/>
              <w:textAlignment w:val="baseline"/>
              <w:rPr>
                <w:rFonts w:hint="eastAsia" w:ascii="宋体" w:hAnsi="宋体" w:cs="宋体"/>
                <w:szCs w:val="21"/>
              </w:rPr>
            </w:pPr>
            <w:r>
              <w:rPr>
                <w:rFonts w:hint="eastAsia" w:ascii="宋体" w:hAnsi="宋体" w:cs="宋体"/>
                <w:szCs w:val="21"/>
              </w:rPr>
              <w:t>磋商文件要求</w:t>
            </w:r>
          </w:p>
        </w:tc>
        <w:tc>
          <w:tcPr>
            <w:tcW w:w="2038" w:type="dxa"/>
            <w:vAlign w:val="center"/>
          </w:tcPr>
          <w:p w14:paraId="1261F159">
            <w:pPr>
              <w:widowControl/>
              <w:snapToGrid w:val="0"/>
              <w:spacing w:before="159" w:beforeLines="50" w:line="360" w:lineRule="auto"/>
              <w:jc w:val="center"/>
              <w:rPr>
                <w:rFonts w:hint="eastAsia" w:ascii="宋体" w:hAnsi="宋体" w:cs="宋体"/>
                <w:szCs w:val="21"/>
              </w:rPr>
            </w:pPr>
            <w:r>
              <w:rPr>
                <w:rFonts w:hint="eastAsia" w:ascii="仿宋_GB2312" w:hAnsi="宋体" w:cs="宋体"/>
                <w:kern w:val="0"/>
                <w:sz w:val="24"/>
              </w:rPr>
              <w:t>响应文件响应</w:t>
            </w:r>
          </w:p>
        </w:tc>
        <w:tc>
          <w:tcPr>
            <w:tcW w:w="1349" w:type="dxa"/>
            <w:vAlign w:val="center"/>
          </w:tcPr>
          <w:p w14:paraId="52748BDE">
            <w:pPr>
              <w:widowControl/>
              <w:snapToGrid w:val="0"/>
              <w:spacing w:before="159" w:beforeLines="50" w:line="360" w:lineRule="auto"/>
              <w:jc w:val="center"/>
              <w:rPr>
                <w:rFonts w:hint="eastAsia" w:ascii="宋体" w:hAnsi="宋体" w:cs="宋体"/>
                <w:szCs w:val="21"/>
              </w:rPr>
            </w:pPr>
            <w:r>
              <w:rPr>
                <w:rFonts w:hint="eastAsia" w:ascii="仿宋_GB2312" w:hAnsi="宋体" w:cs="宋体"/>
                <w:kern w:val="0"/>
                <w:sz w:val="24"/>
              </w:rPr>
              <w:t>偏离情况</w:t>
            </w:r>
          </w:p>
        </w:tc>
        <w:tc>
          <w:tcPr>
            <w:tcW w:w="1349" w:type="dxa"/>
            <w:vAlign w:val="center"/>
          </w:tcPr>
          <w:p w14:paraId="5C26A7C0">
            <w:pPr>
              <w:widowControl/>
              <w:snapToGrid w:val="0"/>
              <w:spacing w:before="159" w:beforeLines="50" w:line="360" w:lineRule="auto"/>
              <w:jc w:val="center"/>
              <w:rPr>
                <w:rFonts w:hint="eastAsia" w:ascii="仿宋_GB2312" w:hAnsi="宋体" w:cs="宋体"/>
                <w:kern w:val="0"/>
                <w:sz w:val="24"/>
              </w:rPr>
            </w:pPr>
            <w:r>
              <w:rPr>
                <w:rFonts w:hint="eastAsia" w:ascii="仿宋_GB2312" w:hAnsi="宋体" w:cs="宋体"/>
                <w:kern w:val="0"/>
                <w:sz w:val="24"/>
              </w:rPr>
              <w:t>备注</w:t>
            </w:r>
          </w:p>
        </w:tc>
      </w:tr>
      <w:tr w14:paraId="64614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275D280B">
            <w:pPr>
              <w:widowControl/>
              <w:spacing w:line="360" w:lineRule="auto"/>
              <w:jc w:val="center"/>
              <w:textAlignment w:val="baseline"/>
              <w:rPr>
                <w:rFonts w:hint="eastAsia" w:ascii="宋体" w:hAnsi="宋体" w:cs="宋体"/>
                <w:szCs w:val="21"/>
              </w:rPr>
            </w:pPr>
            <w:r>
              <w:rPr>
                <w:rFonts w:hint="eastAsia" w:ascii="宋体" w:hAnsi="宋体" w:cs="宋体"/>
                <w:szCs w:val="21"/>
              </w:rPr>
              <w:t>1</w:t>
            </w:r>
          </w:p>
        </w:tc>
        <w:tc>
          <w:tcPr>
            <w:tcW w:w="2301" w:type="dxa"/>
            <w:vAlign w:val="center"/>
          </w:tcPr>
          <w:p w14:paraId="3BD5E2D2">
            <w:pPr>
              <w:pStyle w:val="15"/>
              <w:jc w:val="center"/>
              <w:rPr>
                <w:rFonts w:hint="eastAsia"/>
                <w:sz w:val="21"/>
                <w:szCs w:val="21"/>
              </w:rPr>
            </w:pPr>
            <w:r>
              <w:rPr>
                <w:rFonts w:hint="eastAsia"/>
                <w:sz w:val="21"/>
                <w:szCs w:val="21"/>
              </w:rPr>
              <w:t>服务质量</w:t>
            </w:r>
          </w:p>
        </w:tc>
        <w:tc>
          <w:tcPr>
            <w:tcW w:w="2198" w:type="dxa"/>
            <w:vAlign w:val="center"/>
          </w:tcPr>
          <w:p w14:paraId="176B6E4E">
            <w:pPr>
              <w:widowControl/>
              <w:spacing w:line="360" w:lineRule="auto"/>
              <w:jc w:val="center"/>
              <w:textAlignment w:val="baseline"/>
              <w:rPr>
                <w:rFonts w:hint="eastAsia" w:ascii="宋体" w:hAnsi="宋体" w:cs="宋体"/>
                <w:szCs w:val="21"/>
              </w:rPr>
            </w:pPr>
          </w:p>
        </w:tc>
        <w:tc>
          <w:tcPr>
            <w:tcW w:w="2038" w:type="dxa"/>
            <w:vAlign w:val="center"/>
          </w:tcPr>
          <w:p w14:paraId="0F735BEA">
            <w:pPr>
              <w:widowControl/>
              <w:spacing w:line="360" w:lineRule="auto"/>
              <w:jc w:val="center"/>
              <w:textAlignment w:val="baseline"/>
              <w:rPr>
                <w:rFonts w:hint="eastAsia" w:ascii="宋体" w:hAnsi="宋体" w:cs="宋体"/>
                <w:szCs w:val="21"/>
              </w:rPr>
            </w:pPr>
          </w:p>
        </w:tc>
        <w:tc>
          <w:tcPr>
            <w:tcW w:w="1349" w:type="dxa"/>
            <w:vAlign w:val="center"/>
          </w:tcPr>
          <w:p w14:paraId="5799CE9D">
            <w:pPr>
              <w:widowControl/>
              <w:spacing w:line="360" w:lineRule="auto"/>
              <w:jc w:val="center"/>
              <w:textAlignment w:val="baseline"/>
              <w:rPr>
                <w:rFonts w:hint="eastAsia" w:ascii="宋体" w:hAnsi="宋体" w:cs="宋体"/>
                <w:szCs w:val="21"/>
              </w:rPr>
            </w:pPr>
          </w:p>
        </w:tc>
        <w:tc>
          <w:tcPr>
            <w:tcW w:w="1349" w:type="dxa"/>
            <w:vAlign w:val="center"/>
          </w:tcPr>
          <w:p w14:paraId="42983620">
            <w:pPr>
              <w:widowControl/>
              <w:spacing w:line="360" w:lineRule="auto"/>
              <w:jc w:val="center"/>
              <w:textAlignment w:val="baseline"/>
              <w:rPr>
                <w:rFonts w:hint="eastAsia" w:ascii="宋体" w:hAnsi="宋体" w:cs="宋体"/>
                <w:szCs w:val="21"/>
              </w:rPr>
            </w:pPr>
          </w:p>
        </w:tc>
      </w:tr>
      <w:tr w14:paraId="72D57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023ADFD9">
            <w:pPr>
              <w:widowControl/>
              <w:spacing w:line="360" w:lineRule="auto"/>
              <w:jc w:val="center"/>
              <w:textAlignment w:val="baseline"/>
              <w:rPr>
                <w:rFonts w:hint="eastAsia" w:ascii="宋体" w:hAnsi="宋体" w:cs="宋体"/>
                <w:szCs w:val="21"/>
              </w:rPr>
            </w:pPr>
            <w:r>
              <w:rPr>
                <w:rFonts w:hint="eastAsia" w:ascii="宋体" w:hAnsi="宋体" w:cs="宋体"/>
                <w:szCs w:val="21"/>
              </w:rPr>
              <w:t>2</w:t>
            </w:r>
          </w:p>
        </w:tc>
        <w:tc>
          <w:tcPr>
            <w:tcW w:w="2301" w:type="dxa"/>
            <w:vAlign w:val="center"/>
          </w:tcPr>
          <w:p w14:paraId="27AA2BF3">
            <w:pPr>
              <w:pStyle w:val="15"/>
              <w:jc w:val="center"/>
              <w:rPr>
                <w:rFonts w:hint="eastAsia"/>
                <w:sz w:val="21"/>
                <w:szCs w:val="21"/>
              </w:rPr>
            </w:pPr>
            <w:r>
              <w:rPr>
                <w:rFonts w:hint="eastAsia"/>
                <w:sz w:val="21"/>
                <w:szCs w:val="21"/>
              </w:rPr>
              <w:t>服务期限</w:t>
            </w:r>
          </w:p>
        </w:tc>
        <w:tc>
          <w:tcPr>
            <w:tcW w:w="2198" w:type="dxa"/>
            <w:vAlign w:val="center"/>
          </w:tcPr>
          <w:p w14:paraId="4664D1E3">
            <w:pPr>
              <w:widowControl/>
              <w:spacing w:line="360" w:lineRule="auto"/>
              <w:jc w:val="center"/>
              <w:textAlignment w:val="baseline"/>
              <w:rPr>
                <w:rFonts w:hint="eastAsia" w:ascii="宋体" w:hAnsi="宋体" w:cs="宋体"/>
                <w:szCs w:val="21"/>
              </w:rPr>
            </w:pPr>
          </w:p>
        </w:tc>
        <w:tc>
          <w:tcPr>
            <w:tcW w:w="2038" w:type="dxa"/>
            <w:vAlign w:val="center"/>
          </w:tcPr>
          <w:p w14:paraId="24D4BC52">
            <w:pPr>
              <w:widowControl/>
              <w:spacing w:line="360" w:lineRule="auto"/>
              <w:jc w:val="center"/>
              <w:textAlignment w:val="baseline"/>
              <w:rPr>
                <w:rFonts w:hint="eastAsia" w:ascii="宋体" w:hAnsi="宋体" w:cs="宋体"/>
                <w:szCs w:val="21"/>
              </w:rPr>
            </w:pPr>
          </w:p>
        </w:tc>
        <w:tc>
          <w:tcPr>
            <w:tcW w:w="1349" w:type="dxa"/>
            <w:vAlign w:val="center"/>
          </w:tcPr>
          <w:p w14:paraId="10495AE0">
            <w:pPr>
              <w:widowControl/>
              <w:spacing w:line="360" w:lineRule="auto"/>
              <w:jc w:val="center"/>
              <w:textAlignment w:val="baseline"/>
              <w:rPr>
                <w:rFonts w:hint="eastAsia" w:ascii="宋体" w:hAnsi="宋体" w:cs="宋体"/>
                <w:szCs w:val="21"/>
              </w:rPr>
            </w:pPr>
          </w:p>
        </w:tc>
        <w:tc>
          <w:tcPr>
            <w:tcW w:w="1349" w:type="dxa"/>
            <w:vAlign w:val="center"/>
          </w:tcPr>
          <w:p w14:paraId="693008FB">
            <w:pPr>
              <w:widowControl/>
              <w:spacing w:line="360" w:lineRule="auto"/>
              <w:jc w:val="center"/>
              <w:textAlignment w:val="baseline"/>
              <w:rPr>
                <w:rFonts w:hint="eastAsia" w:ascii="宋体" w:hAnsi="宋体" w:cs="宋体"/>
                <w:szCs w:val="21"/>
              </w:rPr>
            </w:pPr>
          </w:p>
        </w:tc>
      </w:tr>
      <w:tr w14:paraId="0A057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02F26995">
            <w:pPr>
              <w:widowControl/>
              <w:spacing w:line="360" w:lineRule="auto"/>
              <w:jc w:val="center"/>
              <w:textAlignment w:val="baseline"/>
              <w:rPr>
                <w:rFonts w:hint="eastAsia" w:ascii="宋体" w:hAnsi="宋体" w:cs="宋体"/>
                <w:szCs w:val="21"/>
              </w:rPr>
            </w:pPr>
            <w:r>
              <w:rPr>
                <w:rFonts w:hint="eastAsia" w:ascii="宋体" w:hAnsi="宋体" w:cs="宋体"/>
                <w:szCs w:val="21"/>
              </w:rPr>
              <w:t>3</w:t>
            </w:r>
          </w:p>
        </w:tc>
        <w:tc>
          <w:tcPr>
            <w:tcW w:w="2301" w:type="dxa"/>
            <w:vAlign w:val="center"/>
          </w:tcPr>
          <w:p w14:paraId="28C92F01">
            <w:pPr>
              <w:pStyle w:val="15"/>
              <w:jc w:val="center"/>
              <w:rPr>
                <w:rFonts w:hint="eastAsia"/>
                <w:sz w:val="21"/>
                <w:szCs w:val="21"/>
              </w:rPr>
            </w:pPr>
            <w:r>
              <w:rPr>
                <w:rFonts w:hint="eastAsia"/>
                <w:sz w:val="21"/>
                <w:szCs w:val="21"/>
              </w:rPr>
              <w:t>支付方式</w:t>
            </w:r>
          </w:p>
        </w:tc>
        <w:tc>
          <w:tcPr>
            <w:tcW w:w="2198" w:type="dxa"/>
            <w:vAlign w:val="center"/>
          </w:tcPr>
          <w:p w14:paraId="491D03D8">
            <w:pPr>
              <w:widowControl/>
              <w:spacing w:line="360" w:lineRule="auto"/>
              <w:jc w:val="center"/>
              <w:textAlignment w:val="baseline"/>
              <w:rPr>
                <w:rFonts w:hint="eastAsia" w:ascii="宋体" w:hAnsi="宋体" w:cs="宋体"/>
                <w:szCs w:val="21"/>
              </w:rPr>
            </w:pPr>
          </w:p>
        </w:tc>
        <w:tc>
          <w:tcPr>
            <w:tcW w:w="2038" w:type="dxa"/>
            <w:vAlign w:val="center"/>
          </w:tcPr>
          <w:p w14:paraId="79295513">
            <w:pPr>
              <w:widowControl/>
              <w:spacing w:line="360" w:lineRule="auto"/>
              <w:jc w:val="center"/>
              <w:textAlignment w:val="baseline"/>
              <w:rPr>
                <w:rFonts w:hint="eastAsia" w:ascii="宋体" w:hAnsi="宋体" w:cs="宋体"/>
                <w:szCs w:val="21"/>
              </w:rPr>
            </w:pPr>
          </w:p>
        </w:tc>
        <w:tc>
          <w:tcPr>
            <w:tcW w:w="1349" w:type="dxa"/>
            <w:vAlign w:val="center"/>
          </w:tcPr>
          <w:p w14:paraId="41B1B16A">
            <w:pPr>
              <w:widowControl/>
              <w:spacing w:line="360" w:lineRule="auto"/>
              <w:jc w:val="center"/>
              <w:textAlignment w:val="baseline"/>
              <w:rPr>
                <w:rFonts w:hint="eastAsia" w:ascii="宋体" w:hAnsi="宋体" w:cs="宋体"/>
                <w:szCs w:val="21"/>
              </w:rPr>
            </w:pPr>
          </w:p>
        </w:tc>
        <w:tc>
          <w:tcPr>
            <w:tcW w:w="1349" w:type="dxa"/>
            <w:vAlign w:val="center"/>
          </w:tcPr>
          <w:p w14:paraId="58EFFE8E">
            <w:pPr>
              <w:widowControl/>
              <w:spacing w:line="360" w:lineRule="auto"/>
              <w:jc w:val="center"/>
              <w:textAlignment w:val="baseline"/>
              <w:rPr>
                <w:rFonts w:hint="eastAsia" w:ascii="宋体" w:hAnsi="宋体" w:cs="宋体"/>
                <w:szCs w:val="21"/>
              </w:rPr>
            </w:pPr>
          </w:p>
        </w:tc>
      </w:tr>
      <w:tr w14:paraId="37937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0FFE0880">
            <w:pPr>
              <w:widowControl/>
              <w:spacing w:line="360" w:lineRule="auto"/>
              <w:jc w:val="center"/>
              <w:textAlignment w:val="baseline"/>
              <w:rPr>
                <w:rFonts w:hint="eastAsia" w:ascii="宋体" w:hAnsi="宋体" w:cs="宋体"/>
                <w:szCs w:val="21"/>
              </w:rPr>
            </w:pPr>
            <w:r>
              <w:rPr>
                <w:rFonts w:hint="eastAsia" w:ascii="宋体" w:hAnsi="宋体" w:cs="宋体"/>
                <w:szCs w:val="21"/>
              </w:rPr>
              <w:t>4</w:t>
            </w:r>
          </w:p>
        </w:tc>
        <w:tc>
          <w:tcPr>
            <w:tcW w:w="2301" w:type="dxa"/>
            <w:vAlign w:val="center"/>
          </w:tcPr>
          <w:p w14:paraId="1F98D524">
            <w:pPr>
              <w:pStyle w:val="15"/>
              <w:jc w:val="center"/>
              <w:rPr>
                <w:rFonts w:hint="eastAsia"/>
                <w:sz w:val="21"/>
                <w:szCs w:val="21"/>
              </w:rPr>
            </w:pPr>
            <w:r>
              <w:rPr>
                <w:rFonts w:hint="eastAsia"/>
                <w:sz w:val="21"/>
                <w:szCs w:val="21"/>
              </w:rPr>
              <w:t>服务地点</w:t>
            </w:r>
          </w:p>
        </w:tc>
        <w:tc>
          <w:tcPr>
            <w:tcW w:w="2198" w:type="dxa"/>
            <w:vAlign w:val="center"/>
          </w:tcPr>
          <w:p w14:paraId="45359A39">
            <w:pPr>
              <w:widowControl/>
              <w:spacing w:line="360" w:lineRule="auto"/>
              <w:jc w:val="center"/>
              <w:textAlignment w:val="baseline"/>
              <w:rPr>
                <w:rFonts w:hint="eastAsia" w:ascii="宋体" w:hAnsi="宋体" w:cs="宋体"/>
                <w:szCs w:val="21"/>
              </w:rPr>
            </w:pPr>
          </w:p>
        </w:tc>
        <w:tc>
          <w:tcPr>
            <w:tcW w:w="2038" w:type="dxa"/>
            <w:vAlign w:val="center"/>
          </w:tcPr>
          <w:p w14:paraId="346A55DF">
            <w:pPr>
              <w:widowControl/>
              <w:spacing w:line="360" w:lineRule="auto"/>
              <w:jc w:val="center"/>
              <w:textAlignment w:val="baseline"/>
              <w:rPr>
                <w:rFonts w:hint="eastAsia" w:ascii="宋体" w:hAnsi="宋体" w:cs="宋体"/>
                <w:szCs w:val="21"/>
              </w:rPr>
            </w:pPr>
          </w:p>
        </w:tc>
        <w:tc>
          <w:tcPr>
            <w:tcW w:w="1349" w:type="dxa"/>
            <w:vAlign w:val="center"/>
          </w:tcPr>
          <w:p w14:paraId="6E6D2BB1">
            <w:pPr>
              <w:widowControl/>
              <w:spacing w:line="360" w:lineRule="auto"/>
              <w:jc w:val="center"/>
              <w:textAlignment w:val="baseline"/>
              <w:rPr>
                <w:rFonts w:hint="eastAsia" w:ascii="宋体" w:hAnsi="宋体" w:cs="宋体"/>
                <w:szCs w:val="21"/>
              </w:rPr>
            </w:pPr>
          </w:p>
        </w:tc>
        <w:tc>
          <w:tcPr>
            <w:tcW w:w="1349" w:type="dxa"/>
            <w:vAlign w:val="center"/>
          </w:tcPr>
          <w:p w14:paraId="6D3223C7">
            <w:pPr>
              <w:widowControl/>
              <w:spacing w:line="360" w:lineRule="auto"/>
              <w:jc w:val="center"/>
              <w:textAlignment w:val="baseline"/>
              <w:rPr>
                <w:rFonts w:hint="eastAsia" w:ascii="宋体" w:hAnsi="宋体" w:cs="宋体"/>
                <w:szCs w:val="21"/>
              </w:rPr>
            </w:pPr>
          </w:p>
        </w:tc>
      </w:tr>
      <w:tr w14:paraId="5DCE4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2FCFB8C0">
            <w:pPr>
              <w:widowControl/>
              <w:spacing w:line="360" w:lineRule="auto"/>
              <w:jc w:val="center"/>
              <w:textAlignment w:val="baseline"/>
              <w:rPr>
                <w:rFonts w:hint="eastAsia" w:ascii="宋体" w:hAnsi="宋体" w:cs="宋体"/>
                <w:szCs w:val="21"/>
              </w:rPr>
            </w:pPr>
            <w:r>
              <w:rPr>
                <w:rFonts w:hint="eastAsia" w:ascii="宋体" w:hAnsi="宋体" w:cs="宋体"/>
                <w:szCs w:val="21"/>
              </w:rPr>
              <w:t>5</w:t>
            </w:r>
          </w:p>
        </w:tc>
        <w:tc>
          <w:tcPr>
            <w:tcW w:w="2301" w:type="dxa"/>
            <w:vAlign w:val="center"/>
          </w:tcPr>
          <w:p w14:paraId="4EEF6A53">
            <w:pPr>
              <w:pStyle w:val="15"/>
              <w:jc w:val="center"/>
              <w:rPr>
                <w:rFonts w:hint="eastAsia"/>
                <w:sz w:val="21"/>
                <w:szCs w:val="21"/>
              </w:rPr>
            </w:pPr>
            <w:r>
              <w:rPr>
                <w:rFonts w:hint="eastAsia"/>
                <w:sz w:val="21"/>
                <w:szCs w:val="21"/>
              </w:rPr>
              <w:t>安全要求</w:t>
            </w:r>
          </w:p>
        </w:tc>
        <w:tc>
          <w:tcPr>
            <w:tcW w:w="2198" w:type="dxa"/>
            <w:vAlign w:val="center"/>
          </w:tcPr>
          <w:p w14:paraId="51CEE46B">
            <w:pPr>
              <w:widowControl/>
              <w:spacing w:line="360" w:lineRule="auto"/>
              <w:jc w:val="center"/>
              <w:textAlignment w:val="baseline"/>
              <w:rPr>
                <w:rFonts w:hint="eastAsia" w:ascii="宋体" w:hAnsi="宋体" w:cs="宋体"/>
                <w:szCs w:val="21"/>
              </w:rPr>
            </w:pPr>
          </w:p>
        </w:tc>
        <w:tc>
          <w:tcPr>
            <w:tcW w:w="2038" w:type="dxa"/>
            <w:vAlign w:val="center"/>
          </w:tcPr>
          <w:p w14:paraId="091DB6CA">
            <w:pPr>
              <w:widowControl/>
              <w:spacing w:line="360" w:lineRule="auto"/>
              <w:jc w:val="center"/>
              <w:textAlignment w:val="baseline"/>
              <w:rPr>
                <w:rFonts w:hint="eastAsia" w:ascii="宋体" w:hAnsi="宋体" w:cs="宋体"/>
                <w:szCs w:val="21"/>
              </w:rPr>
            </w:pPr>
          </w:p>
        </w:tc>
        <w:tc>
          <w:tcPr>
            <w:tcW w:w="1349" w:type="dxa"/>
            <w:vAlign w:val="center"/>
          </w:tcPr>
          <w:p w14:paraId="53FA15A9">
            <w:pPr>
              <w:widowControl/>
              <w:spacing w:line="360" w:lineRule="auto"/>
              <w:jc w:val="center"/>
              <w:textAlignment w:val="baseline"/>
              <w:rPr>
                <w:rFonts w:hint="eastAsia" w:ascii="宋体" w:hAnsi="宋体" w:cs="宋体"/>
                <w:szCs w:val="21"/>
              </w:rPr>
            </w:pPr>
          </w:p>
        </w:tc>
        <w:tc>
          <w:tcPr>
            <w:tcW w:w="1349" w:type="dxa"/>
            <w:vAlign w:val="center"/>
          </w:tcPr>
          <w:p w14:paraId="3C1DC9AA">
            <w:pPr>
              <w:widowControl/>
              <w:spacing w:line="360" w:lineRule="auto"/>
              <w:jc w:val="center"/>
              <w:textAlignment w:val="baseline"/>
              <w:rPr>
                <w:rFonts w:hint="eastAsia" w:ascii="宋体" w:hAnsi="宋体" w:cs="宋体"/>
                <w:szCs w:val="21"/>
              </w:rPr>
            </w:pPr>
          </w:p>
        </w:tc>
      </w:tr>
      <w:tr w14:paraId="0B855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vAlign w:val="center"/>
          </w:tcPr>
          <w:p w14:paraId="4E7A8AA7">
            <w:pPr>
              <w:widowControl/>
              <w:spacing w:line="360" w:lineRule="auto"/>
              <w:jc w:val="center"/>
              <w:textAlignment w:val="baseline"/>
              <w:rPr>
                <w:rFonts w:hint="eastAsia" w:ascii="宋体" w:hAnsi="宋体" w:cs="宋体"/>
                <w:szCs w:val="21"/>
              </w:rPr>
            </w:pPr>
          </w:p>
        </w:tc>
        <w:tc>
          <w:tcPr>
            <w:tcW w:w="2301" w:type="dxa"/>
          </w:tcPr>
          <w:p w14:paraId="4E260667">
            <w:pPr>
              <w:pStyle w:val="15"/>
              <w:jc w:val="center"/>
              <w:rPr>
                <w:rFonts w:hint="eastAsia"/>
                <w:sz w:val="21"/>
                <w:szCs w:val="21"/>
              </w:rPr>
            </w:pPr>
            <w:r>
              <w:rPr>
                <w:sz w:val="21"/>
                <w:szCs w:val="21"/>
              </w:rPr>
              <w:t>…</w:t>
            </w:r>
          </w:p>
        </w:tc>
        <w:tc>
          <w:tcPr>
            <w:tcW w:w="2198" w:type="dxa"/>
            <w:vAlign w:val="center"/>
          </w:tcPr>
          <w:p w14:paraId="23D0802D">
            <w:pPr>
              <w:widowControl/>
              <w:spacing w:line="360" w:lineRule="auto"/>
              <w:jc w:val="center"/>
              <w:textAlignment w:val="baseline"/>
              <w:rPr>
                <w:rFonts w:hint="eastAsia" w:ascii="宋体" w:hAnsi="宋体" w:cs="宋体"/>
                <w:szCs w:val="21"/>
              </w:rPr>
            </w:pPr>
          </w:p>
        </w:tc>
        <w:tc>
          <w:tcPr>
            <w:tcW w:w="2038" w:type="dxa"/>
            <w:vAlign w:val="center"/>
          </w:tcPr>
          <w:p w14:paraId="10D20143">
            <w:pPr>
              <w:widowControl/>
              <w:spacing w:line="360" w:lineRule="auto"/>
              <w:jc w:val="center"/>
              <w:textAlignment w:val="baseline"/>
              <w:rPr>
                <w:rFonts w:hint="eastAsia" w:ascii="宋体" w:hAnsi="宋体" w:cs="宋体"/>
                <w:szCs w:val="21"/>
              </w:rPr>
            </w:pPr>
          </w:p>
        </w:tc>
        <w:tc>
          <w:tcPr>
            <w:tcW w:w="1349" w:type="dxa"/>
            <w:vAlign w:val="center"/>
          </w:tcPr>
          <w:p w14:paraId="638722AE">
            <w:pPr>
              <w:widowControl/>
              <w:spacing w:line="360" w:lineRule="auto"/>
              <w:jc w:val="center"/>
              <w:textAlignment w:val="baseline"/>
              <w:rPr>
                <w:rFonts w:hint="eastAsia" w:ascii="宋体" w:hAnsi="宋体" w:cs="宋体"/>
                <w:szCs w:val="21"/>
              </w:rPr>
            </w:pPr>
          </w:p>
        </w:tc>
        <w:tc>
          <w:tcPr>
            <w:tcW w:w="1349" w:type="dxa"/>
            <w:vAlign w:val="center"/>
          </w:tcPr>
          <w:p w14:paraId="524A6805">
            <w:pPr>
              <w:widowControl/>
              <w:spacing w:line="360" w:lineRule="auto"/>
              <w:jc w:val="center"/>
              <w:textAlignment w:val="baseline"/>
              <w:rPr>
                <w:rFonts w:hint="eastAsia" w:ascii="宋体" w:hAnsi="宋体" w:cs="宋体"/>
                <w:szCs w:val="21"/>
              </w:rPr>
            </w:pPr>
          </w:p>
        </w:tc>
      </w:tr>
    </w:tbl>
    <w:p w14:paraId="1553EEFA">
      <w:pPr>
        <w:rPr>
          <w:rFonts w:hint="eastAsia" w:ascii="宋体" w:hAnsi="宋体" w:cs="宋体"/>
          <w:b/>
          <w:kern w:val="0"/>
          <w:szCs w:val="21"/>
        </w:rPr>
      </w:pPr>
    </w:p>
    <w:p w14:paraId="5003A012">
      <w:pPr>
        <w:pStyle w:val="31"/>
        <w:ind w:firstLine="210"/>
        <w:rPr>
          <w:rFonts w:hint="eastAsia" w:ascii="宋体" w:hAnsi="宋体" w:cs="宋体"/>
        </w:rPr>
      </w:pPr>
    </w:p>
    <w:p w14:paraId="3620B5AC">
      <w:pPr>
        <w:widowControl/>
        <w:spacing w:line="360" w:lineRule="auto"/>
        <w:ind w:firstLine="3360" w:firstLineChars="16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1FE646E0">
      <w:pPr>
        <w:widowControl/>
        <w:spacing w:line="360" w:lineRule="auto"/>
        <w:ind w:firstLine="4410" w:firstLineChars="2100"/>
        <w:textAlignment w:val="baseline"/>
        <w:rPr>
          <w:rFonts w:hint="eastAsia" w:ascii="宋体" w:hAnsi="宋体" w:cs="宋体"/>
          <w:sz w:val="24"/>
        </w:rPr>
      </w:pPr>
      <w:r>
        <w:rPr>
          <w:rFonts w:hint="eastAsia" w:ascii="宋体" w:hAnsi="宋体" w:cs="宋体"/>
          <w:szCs w:val="21"/>
        </w:rPr>
        <w:t>年    月    日</w:t>
      </w:r>
    </w:p>
    <w:p w14:paraId="6039CC79">
      <w:pPr>
        <w:rPr>
          <w:rFonts w:hint="eastAsia" w:ascii="宋体" w:hAnsi="宋体" w:cs="宋体"/>
        </w:rPr>
      </w:pPr>
    </w:p>
    <w:p w14:paraId="24663AA4">
      <w:pPr>
        <w:rPr>
          <w:rFonts w:hint="eastAsia" w:ascii="宋体" w:hAnsi="宋体" w:cs="宋体"/>
        </w:rPr>
      </w:pPr>
    </w:p>
    <w:p w14:paraId="00E462A6">
      <w:pPr>
        <w:rPr>
          <w:rFonts w:hint="eastAsia" w:ascii="宋体" w:hAnsi="宋体" w:cs="宋体"/>
        </w:rPr>
      </w:pPr>
    </w:p>
    <w:p w14:paraId="54A92F34">
      <w:pPr>
        <w:rPr>
          <w:rFonts w:hint="eastAsia" w:ascii="宋体" w:hAnsi="宋体" w:cs="宋体"/>
        </w:rPr>
      </w:pPr>
    </w:p>
    <w:p w14:paraId="7984C0DE">
      <w:pPr>
        <w:rPr>
          <w:rFonts w:hint="eastAsia" w:ascii="宋体" w:hAnsi="宋体" w:cs="宋体"/>
        </w:rPr>
      </w:pPr>
    </w:p>
    <w:p w14:paraId="74E80E4A">
      <w:pPr>
        <w:rPr>
          <w:rFonts w:hint="eastAsia" w:ascii="宋体" w:hAnsi="宋体" w:cs="宋体"/>
        </w:rPr>
      </w:pPr>
    </w:p>
    <w:p w14:paraId="057920A7">
      <w:pPr>
        <w:rPr>
          <w:rFonts w:hint="eastAsia" w:ascii="宋体" w:hAnsi="宋体" w:cs="宋体"/>
        </w:rPr>
      </w:pPr>
    </w:p>
    <w:p w14:paraId="12E64C36">
      <w:pPr>
        <w:rPr>
          <w:rFonts w:hint="eastAsia" w:ascii="宋体" w:hAnsi="宋体" w:cs="宋体"/>
        </w:rPr>
      </w:pPr>
    </w:p>
    <w:p w14:paraId="2806672B">
      <w:pPr>
        <w:rPr>
          <w:rFonts w:hint="eastAsia" w:ascii="宋体" w:hAnsi="宋体" w:cs="宋体"/>
        </w:rPr>
      </w:pPr>
    </w:p>
    <w:p w14:paraId="18B0B544">
      <w:pPr>
        <w:rPr>
          <w:rFonts w:hint="eastAsia" w:ascii="宋体" w:hAnsi="宋体" w:cs="宋体"/>
        </w:rPr>
      </w:pPr>
    </w:p>
    <w:p w14:paraId="4E26A09C">
      <w:pPr>
        <w:rPr>
          <w:rFonts w:hint="eastAsia" w:ascii="宋体" w:hAnsi="宋体" w:cs="宋体"/>
        </w:rPr>
      </w:pPr>
    </w:p>
    <w:p w14:paraId="3AEC4F46">
      <w:pPr>
        <w:rPr>
          <w:rFonts w:hint="eastAsia" w:ascii="宋体" w:hAnsi="宋体" w:cs="宋体"/>
        </w:rPr>
      </w:pPr>
    </w:p>
    <w:p w14:paraId="16A9F8AA">
      <w:pPr>
        <w:rPr>
          <w:rFonts w:hint="eastAsia" w:ascii="宋体" w:hAnsi="宋体" w:cs="宋体"/>
        </w:rPr>
      </w:pPr>
    </w:p>
    <w:p w14:paraId="11B54922">
      <w:pPr>
        <w:rPr>
          <w:rFonts w:hint="eastAsia" w:ascii="宋体" w:hAnsi="宋体" w:cs="宋体"/>
        </w:rPr>
      </w:pPr>
    </w:p>
    <w:p w14:paraId="72C359BE">
      <w:pPr>
        <w:rPr>
          <w:rFonts w:hint="eastAsia" w:ascii="宋体" w:hAnsi="宋体" w:cs="宋体"/>
        </w:rPr>
      </w:pPr>
    </w:p>
    <w:p w14:paraId="4B56B74C">
      <w:pPr>
        <w:rPr>
          <w:rFonts w:hint="eastAsia" w:ascii="宋体" w:hAnsi="宋体" w:cs="宋体"/>
          <w:b/>
          <w:sz w:val="28"/>
        </w:rPr>
      </w:pPr>
      <w:bookmarkStart w:id="88" w:name="_Toc28621"/>
      <w:bookmarkStart w:id="89" w:name="_Toc31526"/>
      <w:r>
        <w:rPr>
          <w:rFonts w:hint="eastAsia" w:ascii="宋体" w:hAnsi="宋体" w:cs="宋体"/>
          <w:b/>
          <w:sz w:val="28"/>
        </w:rPr>
        <w:br w:type="page"/>
      </w:r>
    </w:p>
    <w:p w14:paraId="58C2C064">
      <w:pPr>
        <w:pStyle w:val="6"/>
        <w:snapToGrid w:val="0"/>
        <w:spacing w:before="20" w:after="20" w:line="360" w:lineRule="auto"/>
        <w:jc w:val="center"/>
        <w:rPr>
          <w:rFonts w:hint="eastAsia" w:ascii="宋体" w:hAnsi="宋体" w:eastAsia="宋体" w:cs="宋体"/>
          <w:sz w:val="28"/>
          <w:szCs w:val="28"/>
        </w:rPr>
      </w:pPr>
      <w:bookmarkStart w:id="90" w:name="_Toc29406"/>
      <w:r>
        <w:rPr>
          <w:rFonts w:hint="eastAsia" w:ascii="宋体" w:hAnsi="宋体" w:eastAsia="宋体" w:cs="宋体"/>
          <w:sz w:val="28"/>
          <w:szCs w:val="28"/>
        </w:rPr>
        <w:t>附件7         法定代表人身份证明（格式）</w:t>
      </w:r>
      <w:bookmarkEnd w:id="88"/>
      <w:bookmarkEnd w:id="89"/>
      <w:bookmarkEnd w:id="90"/>
    </w:p>
    <w:p w14:paraId="425B97BE">
      <w:pPr>
        <w:widowControl/>
        <w:wordWrap w:val="0"/>
        <w:spacing w:line="460" w:lineRule="exact"/>
        <w:jc w:val="left"/>
        <w:rPr>
          <w:rFonts w:hint="eastAsia" w:ascii="宋体" w:hAnsi="宋体" w:cs="宋体"/>
          <w:kern w:val="0"/>
          <w:sz w:val="24"/>
        </w:rPr>
      </w:pPr>
    </w:p>
    <w:p w14:paraId="4ED91E94">
      <w:pPr>
        <w:widowControl/>
        <w:wordWrap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供应商名称：</w:t>
      </w:r>
      <w:r>
        <w:rPr>
          <w:rFonts w:hint="eastAsia" w:ascii="宋体" w:hAnsi="宋体" w:cs="宋体"/>
          <w:kern w:val="0"/>
          <w:szCs w:val="21"/>
          <w:u w:val="single"/>
        </w:rPr>
        <w:t xml:space="preserve">                                </w:t>
      </w:r>
    </w:p>
    <w:p w14:paraId="7A76E356">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地址：</w:t>
      </w:r>
      <w:r>
        <w:rPr>
          <w:rFonts w:hint="eastAsia" w:ascii="宋体" w:hAnsi="宋体" w:cs="宋体"/>
          <w:kern w:val="0"/>
          <w:szCs w:val="21"/>
          <w:u w:val="single"/>
        </w:rPr>
        <w:t xml:space="preserve">                                        </w:t>
      </w:r>
    </w:p>
    <w:p w14:paraId="3DFC56B3">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rPr>
        <w:t>成立时间：</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 xml:space="preserve">年 </w:t>
      </w:r>
      <w:r>
        <w:rPr>
          <w:rFonts w:hint="eastAsia" w:ascii="宋体" w:hAnsi="宋体" w:cs="宋体"/>
          <w:kern w:val="0"/>
          <w:szCs w:val="21"/>
          <w:u w:val="single"/>
        </w:rPr>
        <w:t xml:space="preserve">        </w:t>
      </w:r>
      <w:r>
        <w:rPr>
          <w:rFonts w:hint="eastAsia" w:ascii="宋体" w:hAnsi="宋体" w:cs="宋体"/>
          <w:kern w:val="0"/>
          <w:sz w:val="24"/>
          <w:szCs w:val="20"/>
        </w:rPr>
        <w:t xml:space="preserve">月 </w:t>
      </w:r>
      <w:r>
        <w:rPr>
          <w:rFonts w:hint="eastAsia" w:ascii="宋体" w:hAnsi="宋体" w:cs="宋体"/>
          <w:kern w:val="0"/>
          <w:szCs w:val="21"/>
          <w:u w:val="single"/>
        </w:rPr>
        <w:t xml:space="preserve">        </w:t>
      </w:r>
      <w:r>
        <w:rPr>
          <w:rFonts w:hint="eastAsia" w:ascii="宋体" w:hAnsi="宋体" w:cs="宋体"/>
          <w:kern w:val="0"/>
          <w:sz w:val="24"/>
          <w:szCs w:val="20"/>
        </w:rPr>
        <w:t>日</w:t>
      </w:r>
    </w:p>
    <w:p w14:paraId="1496DFA1">
      <w:pPr>
        <w:widowControl/>
        <w:wordWrap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szCs w:val="20"/>
        </w:rPr>
        <w:t>经营期限：</w:t>
      </w:r>
      <w:r>
        <w:rPr>
          <w:rFonts w:hint="eastAsia" w:ascii="宋体" w:hAnsi="宋体" w:cs="宋体"/>
          <w:kern w:val="0"/>
          <w:szCs w:val="21"/>
          <w:u w:val="single"/>
        </w:rPr>
        <w:t xml:space="preserve">                        </w:t>
      </w:r>
    </w:p>
    <w:p w14:paraId="7B0DEBB7">
      <w:pPr>
        <w:widowControl/>
        <w:wordWrap w:val="0"/>
        <w:spacing w:line="460" w:lineRule="exact"/>
        <w:ind w:firstLine="480" w:firstLineChars="200"/>
        <w:jc w:val="left"/>
        <w:rPr>
          <w:rFonts w:hint="eastAsia" w:ascii="宋体" w:hAnsi="宋体" w:cs="宋体"/>
          <w:kern w:val="0"/>
          <w:szCs w:val="21"/>
          <w:u w:val="single"/>
        </w:rPr>
      </w:pPr>
      <w:r>
        <w:rPr>
          <w:rFonts w:hint="eastAsia" w:ascii="宋体" w:hAnsi="宋体" w:cs="宋体"/>
          <w:kern w:val="0"/>
          <w:sz w:val="24"/>
        </w:rPr>
        <w:t>姓名：</w:t>
      </w:r>
      <w:r>
        <w:rPr>
          <w:rFonts w:hint="eastAsia" w:ascii="宋体" w:hAnsi="宋体" w:cs="宋体"/>
          <w:kern w:val="0"/>
          <w:szCs w:val="21"/>
          <w:u w:val="single"/>
        </w:rPr>
        <w:t xml:space="preserve">        </w:t>
      </w:r>
      <w:r>
        <w:rPr>
          <w:rFonts w:hint="eastAsia" w:ascii="宋体" w:hAnsi="宋体" w:cs="宋体"/>
          <w:kern w:val="0"/>
          <w:sz w:val="24"/>
        </w:rPr>
        <w:t xml:space="preserve"> </w:t>
      </w:r>
      <w:r>
        <w:rPr>
          <w:rFonts w:hint="eastAsia" w:ascii="宋体" w:hAnsi="宋体" w:cs="宋体"/>
          <w:kern w:val="0"/>
          <w:sz w:val="24"/>
          <w:szCs w:val="20"/>
        </w:rPr>
        <w:t>，性别：</w:t>
      </w:r>
      <w:r>
        <w:rPr>
          <w:rFonts w:hint="eastAsia" w:ascii="宋体" w:hAnsi="宋体" w:cs="宋体"/>
          <w:kern w:val="0"/>
          <w:szCs w:val="21"/>
          <w:u w:val="single"/>
        </w:rPr>
        <w:t xml:space="preserve">        </w:t>
      </w:r>
      <w:r>
        <w:rPr>
          <w:rFonts w:hint="eastAsia" w:ascii="宋体" w:hAnsi="宋体" w:cs="宋体"/>
          <w:kern w:val="0"/>
          <w:sz w:val="24"/>
          <w:szCs w:val="20"/>
        </w:rPr>
        <w:t>，年龄：</w:t>
      </w:r>
      <w:r>
        <w:rPr>
          <w:rFonts w:hint="eastAsia" w:ascii="宋体" w:hAnsi="宋体" w:cs="宋体"/>
          <w:kern w:val="0"/>
          <w:szCs w:val="21"/>
          <w:u w:val="single"/>
        </w:rPr>
        <w:t xml:space="preserve">        </w:t>
      </w:r>
      <w:r>
        <w:rPr>
          <w:rFonts w:hint="eastAsia" w:ascii="宋体" w:hAnsi="宋体" w:cs="宋体"/>
          <w:kern w:val="0"/>
          <w:sz w:val="24"/>
          <w:szCs w:val="20"/>
        </w:rPr>
        <w:t>，职务：</w:t>
      </w:r>
      <w:r>
        <w:rPr>
          <w:rFonts w:hint="eastAsia" w:ascii="宋体" w:hAnsi="宋体" w:cs="宋体"/>
          <w:kern w:val="0"/>
          <w:szCs w:val="21"/>
          <w:u w:val="single"/>
        </w:rPr>
        <w:t xml:space="preserve">        </w:t>
      </w:r>
    </w:p>
    <w:p w14:paraId="6018CF94">
      <w:pPr>
        <w:widowControl/>
        <w:wordWrap w:val="0"/>
        <w:spacing w:line="460" w:lineRule="exact"/>
        <w:jc w:val="left"/>
        <w:rPr>
          <w:rFonts w:hint="eastAsia" w:ascii="宋体" w:hAnsi="宋体" w:cs="宋体"/>
          <w:kern w:val="0"/>
          <w:sz w:val="24"/>
          <w:szCs w:val="20"/>
        </w:rPr>
      </w:pPr>
      <w:r>
        <w:rPr>
          <w:rFonts w:hint="eastAsia" w:ascii="宋体" w:hAnsi="宋体" w:cs="宋体"/>
          <w:kern w:val="0"/>
          <w:sz w:val="24"/>
          <w:szCs w:val="20"/>
        </w:rPr>
        <w:t>系</w:t>
      </w:r>
      <w:r>
        <w:rPr>
          <w:rFonts w:hint="eastAsia" w:ascii="宋体" w:hAnsi="宋体" w:cs="宋体"/>
          <w:kern w:val="0"/>
          <w:szCs w:val="21"/>
          <w:u w:val="single"/>
        </w:rPr>
        <w:t xml:space="preserve">                </w:t>
      </w:r>
      <w:r>
        <w:rPr>
          <w:rFonts w:hint="eastAsia" w:ascii="宋体" w:hAnsi="宋体" w:cs="宋体"/>
          <w:kern w:val="0"/>
          <w:sz w:val="24"/>
          <w:szCs w:val="20"/>
        </w:rPr>
        <w:t>（供应商名称）的法定代表人。</w:t>
      </w:r>
    </w:p>
    <w:p w14:paraId="32E04399">
      <w:pPr>
        <w:widowControl/>
        <w:wordWrap w:val="0"/>
        <w:spacing w:line="460" w:lineRule="exact"/>
        <w:jc w:val="left"/>
        <w:rPr>
          <w:rFonts w:hint="eastAsia" w:ascii="宋体" w:hAnsi="宋体" w:cs="宋体"/>
          <w:kern w:val="0"/>
          <w:sz w:val="24"/>
          <w:szCs w:val="20"/>
        </w:rPr>
      </w:pPr>
    </w:p>
    <w:p w14:paraId="608E0E76">
      <w:pPr>
        <w:widowControl/>
        <w:wordWrap w:val="0"/>
        <w:spacing w:line="460" w:lineRule="exact"/>
        <w:ind w:firstLine="480" w:firstLineChars="200"/>
        <w:jc w:val="left"/>
        <w:rPr>
          <w:rFonts w:hint="eastAsia" w:ascii="宋体" w:hAnsi="宋体" w:cs="宋体"/>
          <w:kern w:val="0"/>
          <w:sz w:val="24"/>
          <w:szCs w:val="20"/>
        </w:rPr>
      </w:pPr>
      <w:r>
        <w:rPr>
          <w:rFonts w:hint="eastAsia" w:ascii="宋体" w:hAnsi="宋体" w:cs="宋体"/>
          <w:kern w:val="0"/>
          <w:sz w:val="24"/>
          <w:szCs w:val="20"/>
        </w:rPr>
        <w:t>特此证明。</w:t>
      </w:r>
    </w:p>
    <w:p w14:paraId="44CDA274">
      <w:pPr>
        <w:widowControl/>
        <w:wordWrap w:val="0"/>
        <w:spacing w:line="460" w:lineRule="exact"/>
        <w:jc w:val="left"/>
        <w:rPr>
          <w:rFonts w:hint="eastAsia" w:ascii="宋体" w:hAnsi="宋体" w:cs="宋体"/>
          <w:kern w:val="0"/>
          <w:sz w:val="24"/>
          <w:szCs w:val="20"/>
        </w:rPr>
      </w:pPr>
    </w:p>
    <w:p w14:paraId="1FDE10F6">
      <w:pPr>
        <w:widowControl/>
        <w:wordWrap w:val="0"/>
        <w:spacing w:before="319" w:beforeLines="100" w:after="319" w:afterLines="100" w:line="480" w:lineRule="exact"/>
        <w:jc w:val="center"/>
        <w:rPr>
          <w:rFonts w:hint="eastAsia" w:ascii="宋体" w:hAnsi="宋体" w:cs="宋体"/>
          <w:b/>
          <w:kern w:val="0"/>
          <w:sz w:val="36"/>
          <w:szCs w:val="36"/>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0843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253D7886">
            <w:pPr>
              <w:widowControl/>
              <w:spacing w:line="480" w:lineRule="exact"/>
              <w:jc w:val="left"/>
              <w:rPr>
                <w:rFonts w:hint="eastAsia" w:ascii="宋体" w:hAnsi="宋体" w:cs="宋体"/>
                <w:bCs/>
                <w:kern w:val="0"/>
                <w:sz w:val="24"/>
              </w:rPr>
            </w:pPr>
            <w:r>
              <w:rPr>
                <w:rFonts w:hint="eastAsia" w:ascii="宋体" w:hAnsi="宋体" w:cs="宋体"/>
                <w:bCs/>
                <w:kern w:val="0"/>
                <w:sz w:val="24"/>
              </w:rPr>
              <w:t>此处请粘贴法定代表人身份证复印件</w:t>
            </w:r>
          </w:p>
          <w:p w14:paraId="42456746">
            <w:pPr>
              <w:widowControl/>
              <w:spacing w:line="480" w:lineRule="exact"/>
              <w:jc w:val="left"/>
              <w:rPr>
                <w:rFonts w:hint="eastAsia" w:ascii="宋体" w:hAnsi="宋体" w:cs="宋体"/>
                <w:kern w:val="0"/>
                <w:sz w:val="24"/>
              </w:rPr>
            </w:pPr>
          </w:p>
          <w:p w14:paraId="7B97C3EA">
            <w:pPr>
              <w:widowControl/>
              <w:spacing w:line="480" w:lineRule="exact"/>
              <w:jc w:val="left"/>
              <w:rPr>
                <w:rFonts w:hint="eastAsia" w:ascii="宋体" w:hAnsi="宋体" w:cs="宋体"/>
                <w:kern w:val="0"/>
                <w:sz w:val="24"/>
              </w:rPr>
            </w:pPr>
          </w:p>
        </w:tc>
      </w:tr>
    </w:tbl>
    <w:p w14:paraId="2EF11FA5">
      <w:pPr>
        <w:widowControl/>
        <w:wordWrap w:val="0"/>
        <w:spacing w:before="319" w:beforeLines="100" w:after="319" w:afterLines="100" w:line="480" w:lineRule="exact"/>
        <w:jc w:val="center"/>
        <w:rPr>
          <w:rFonts w:hint="eastAsia" w:ascii="宋体" w:hAnsi="宋体" w:cs="宋体"/>
          <w:b/>
          <w:kern w:val="0"/>
          <w:sz w:val="24"/>
        </w:rPr>
      </w:pPr>
    </w:p>
    <w:p w14:paraId="7357D368">
      <w:pPr>
        <w:widowControl/>
        <w:wordWrap w:val="0"/>
        <w:spacing w:before="319" w:beforeLines="100" w:after="319" w:afterLines="100" w:line="480" w:lineRule="exact"/>
        <w:jc w:val="center"/>
        <w:rPr>
          <w:rFonts w:hint="eastAsia" w:ascii="宋体" w:hAnsi="宋体" w:cs="宋体"/>
          <w:b/>
          <w:kern w:val="0"/>
          <w:sz w:val="36"/>
          <w:szCs w:val="36"/>
        </w:rPr>
      </w:pPr>
    </w:p>
    <w:p w14:paraId="0B562E27">
      <w:pPr>
        <w:widowControl/>
        <w:wordWrap w:val="0"/>
        <w:spacing w:before="319" w:beforeLines="100" w:after="319" w:afterLines="100" w:line="480" w:lineRule="exact"/>
        <w:jc w:val="center"/>
        <w:rPr>
          <w:rFonts w:hint="eastAsia" w:ascii="宋体" w:hAnsi="宋体" w:cs="宋体"/>
          <w:b/>
          <w:kern w:val="0"/>
          <w:sz w:val="36"/>
          <w:szCs w:val="36"/>
        </w:rPr>
      </w:pPr>
    </w:p>
    <w:p w14:paraId="04353AE7">
      <w:pPr>
        <w:widowControl/>
        <w:wordWrap w:val="0"/>
        <w:spacing w:line="480" w:lineRule="exact"/>
        <w:jc w:val="right"/>
        <w:rPr>
          <w:rFonts w:hint="eastAsia" w:ascii="宋体" w:hAnsi="宋体" w:cs="宋体"/>
          <w:kern w:val="0"/>
          <w:sz w:val="24"/>
        </w:rPr>
      </w:pPr>
    </w:p>
    <w:p w14:paraId="09217442">
      <w:pPr>
        <w:widowControl/>
        <w:wordWrap w:val="0"/>
        <w:spacing w:line="480" w:lineRule="exact"/>
        <w:jc w:val="right"/>
        <w:rPr>
          <w:rFonts w:hint="eastAsia" w:ascii="宋体" w:hAnsi="宋体" w:cs="宋体"/>
          <w:kern w:val="0"/>
          <w:sz w:val="24"/>
        </w:rPr>
      </w:pPr>
    </w:p>
    <w:p w14:paraId="6375AE43">
      <w:pPr>
        <w:widowControl/>
        <w:wordWrap w:val="0"/>
        <w:snapToGrid w:val="0"/>
        <w:spacing w:line="460" w:lineRule="exact"/>
        <w:ind w:firstLine="2760" w:firstLineChars="1150"/>
        <w:jc w:val="left"/>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34AB3993">
      <w:pPr>
        <w:widowControl/>
        <w:wordWrap w:val="0"/>
        <w:spacing w:line="460" w:lineRule="exact"/>
        <w:ind w:left="3780" w:leftChars="1800" w:firstLine="480" w:firstLineChars="200"/>
        <w:jc w:val="left"/>
        <w:rPr>
          <w:rFonts w:hint="eastAsia" w:ascii="宋体" w:hAnsi="宋体" w:cs="宋体"/>
          <w:kern w:val="0"/>
          <w:sz w:val="24"/>
        </w:rPr>
      </w:pPr>
      <w:r>
        <w:rPr>
          <w:rFonts w:hint="eastAsia" w:ascii="宋体" w:hAnsi="宋体" w:cs="宋体"/>
          <w:kern w:val="0"/>
          <w:sz w:val="24"/>
        </w:rPr>
        <w:t>年    月    日</w:t>
      </w:r>
    </w:p>
    <w:p w14:paraId="27CC9232">
      <w:pPr>
        <w:rPr>
          <w:rFonts w:hint="eastAsia" w:ascii="宋体" w:hAnsi="宋体" w:cs="宋体"/>
        </w:rPr>
      </w:pPr>
    </w:p>
    <w:p w14:paraId="6E11612D">
      <w:pPr>
        <w:rPr>
          <w:rFonts w:hint="eastAsia" w:ascii="宋体" w:hAnsi="宋体" w:cs="宋体"/>
        </w:rPr>
      </w:pPr>
      <w:r>
        <w:rPr>
          <w:rFonts w:hint="eastAsia" w:ascii="宋体" w:hAnsi="宋体" w:cs="宋体"/>
        </w:rPr>
        <w:br w:type="page"/>
      </w:r>
    </w:p>
    <w:p w14:paraId="2BC9F376">
      <w:pPr>
        <w:pStyle w:val="6"/>
        <w:snapToGrid w:val="0"/>
        <w:spacing w:before="20" w:after="20" w:line="360" w:lineRule="auto"/>
        <w:jc w:val="center"/>
        <w:rPr>
          <w:rFonts w:hint="eastAsia" w:ascii="宋体" w:hAnsi="宋体" w:eastAsia="宋体" w:cs="宋体"/>
          <w:sz w:val="28"/>
          <w:szCs w:val="28"/>
        </w:rPr>
      </w:pPr>
      <w:bookmarkStart w:id="91" w:name="_Toc12939"/>
      <w:bookmarkStart w:id="92" w:name="_Toc30519"/>
      <w:bookmarkStart w:id="93" w:name="_Toc13976"/>
      <w:r>
        <w:rPr>
          <w:rFonts w:hint="eastAsia" w:ascii="宋体" w:hAnsi="宋体" w:eastAsia="宋体" w:cs="宋体"/>
          <w:sz w:val="28"/>
          <w:szCs w:val="28"/>
        </w:rPr>
        <w:t>附件8         法定代表人授权书（格式）</w:t>
      </w:r>
      <w:bookmarkEnd w:id="91"/>
      <w:bookmarkEnd w:id="92"/>
      <w:bookmarkEnd w:id="93"/>
    </w:p>
    <w:p w14:paraId="7D8DAFEF">
      <w:pPr>
        <w:widowControl/>
        <w:tabs>
          <w:tab w:val="left" w:pos="420"/>
          <w:tab w:val="left" w:pos="2160"/>
        </w:tabs>
        <w:wordWrap w:val="0"/>
        <w:spacing w:line="460" w:lineRule="exact"/>
        <w:ind w:firstLine="480" w:firstLineChars="200"/>
        <w:jc w:val="left"/>
        <w:rPr>
          <w:rFonts w:hint="eastAsia" w:ascii="宋体" w:hAnsi="宋体" w:cs="宋体"/>
          <w:kern w:val="0"/>
          <w:sz w:val="24"/>
        </w:rPr>
      </w:pPr>
    </w:p>
    <w:p w14:paraId="3FA35B43">
      <w:pPr>
        <w:widowControl/>
        <w:wordWrap w:val="0"/>
        <w:snapToGrid w:val="0"/>
        <w:spacing w:line="460" w:lineRule="exact"/>
        <w:jc w:val="left"/>
        <w:rPr>
          <w:rFonts w:hint="eastAsia" w:ascii="宋体" w:hAnsi="宋体" w:cs="宋体"/>
          <w:b/>
          <w:bCs/>
          <w:kern w:val="0"/>
          <w:sz w:val="24"/>
        </w:rPr>
      </w:pPr>
      <w:r>
        <w:rPr>
          <w:rFonts w:hint="eastAsia" w:ascii="宋体" w:hAnsi="宋体" w:cs="宋体"/>
          <w:bCs/>
          <w:kern w:val="0"/>
          <w:sz w:val="24"/>
        </w:rPr>
        <w:t>致：</w:t>
      </w:r>
      <w:r>
        <w:rPr>
          <w:rFonts w:hint="eastAsia" w:ascii="宋体" w:hAnsi="宋体" w:cs="宋体"/>
          <w:kern w:val="0"/>
          <w:szCs w:val="21"/>
          <w:u w:val="single"/>
        </w:rPr>
        <w:t xml:space="preserve">                </w:t>
      </w:r>
      <w:r>
        <w:rPr>
          <w:rFonts w:hint="eastAsia" w:ascii="宋体" w:hAnsi="宋体" w:cs="宋体"/>
          <w:kern w:val="0"/>
          <w:sz w:val="24"/>
        </w:rPr>
        <w:t>（采购人名称）：</w:t>
      </w:r>
    </w:p>
    <w:p w14:paraId="78F0E17E">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w:t>
      </w:r>
      <w:r>
        <w:rPr>
          <w:rFonts w:hint="eastAsia" w:ascii="宋体" w:hAnsi="宋体" w:cs="宋体"/>
          <w:kern w:val="0"/>
          <w:szCs w:val="21"/>
          <w:u w:val="single"/>
        </w:rPr>
        <w:t xml:space="preserve">        </w:t>
      </w:r>
      <w:r>
        <w:rPr>
          <w:rFonts w:hint="eastAsia" w:ascii="宋体" w:hAnsi="宋体" w:cs="宋体"/>
          <w:kern w:val="0"/>
          <w:sz w:val="24"/>
        </w:rPr>
        <w:t>（姓名）系</w:t>
      </w:r>
      <w:r>
        <w:rPr>
          <w:rFonts w:hint="eastAsia" w:ascii="宋体" w:hAnsi="宋体" w:cs="宋体"/>
          <w:kern w:val="0"/>
          <w:szCs w:val="21"/>
          <w:u w:val="single"/>
        </w:rPr>
        <w:t xml:space="preserve">                </w:t>
      </w:r>
      <w:r>
        <w:rPr>
          <w:rFonts w:hint="eastAsia" w:ascii="宋体" w:hAnsi="宋体" w:cs="宋体"/>
          <w:kern w:val="0"/>
          <w:sz w:val="24"/>
        </w:rPr>
        <w:t xml:space="preserve">（供应商名称）的法定代表人，现委托 </w:t>
      </w:r>
      <w:r>
        <w:rPr>
          <w:rFonts w:hint="eastAsia" w:ascii="宋体" w:hAnsi="宋体" w:cs="宋体"/>
          <w:kern w:val="0"/>
          <w:szCs w:val="21"/>
          <w:u w:val="single"/>
        </w:rPr>
        <w:t xml:space="preserve">        </w:t>
      </w:r>
      <w:r>
        <w:rPr>
          <w:rFonts w:hint="eastAsia" w:ascii="宋体" w:hAnsi="宋体" w:cs="宋体"/>
          <w:kern w:val="0"/>
          <w:sz w:val="24"/>
        </w:rPr>
        <w:t>（姓名）为我方代理人。代理人根据本授权，以我方的名义参加</w:t>
      </w:r>
      <w:r>
        <w:rPr>
          <w:rFonts w:hint="eastAsia" w:ascii="宋体" w:hAnsi="宋体" w:cs="宋体"/>
          <w:kern w:val="0"/>
          <w:szCs w:val="21"/>
          <w:u w:val="single"/>
        </w:rPr>
        <w:t xml:space="preserve">             </w:t>
      </w:r>
      <w:r>
        <w:rPr>
          <w:rFonts w:hint="eastAsia" w:ascii="宋体" w:hAnsi="宋体" w:cs="宋体"/>
          <w:kern w:val="0"/>
          <w:sz w:val="24"/>
        </w:rPr>
        <w:t>项目的投标活动，并代表我方全权办理针对上述项目的磋商、开标、评审、签约等具体事务和签署相关文件。</w:t>
      </w:r>
    </w:p>
    <w:p w14:paraId="4C079BE7">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5AF4D3F1">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如果本次采购活动现场变更采购方式，本授权书有效。</w:t>
      </w:r>
    </w:p>
    <w:p w14:paraId="7D73BB62">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代理人无转委托权。</w:t>
      </w:r>
    </w:p>
    <w:p w14:paraId="5BE8A1F3">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委托期限：</w:t>
      </w:r>
    </w:p>
    <w:p w14:paraId="0699D128">
      <w:pPr>
        <w:widowControl/>
        <w:wordWrap w:val="0"/>
        <w:snapToGrid w:val="0"/>
        <w:spacing w:line="460" w:lineRule="exact"/>
        <w:ind w:firstLine="480" w:firstLineChars="200"/>
        <w:jc w:val="left"/>
        <w:rPr>
          <w:rFonts w:hint="eastAsia" w:ascii="宋体" w:hAnsi="宋体" w:cs="宋体"/>
          <w:kern w:val="0"/>
          <w:sz w:val="24"/>
        </w:rPr>
      </w:pPr>
    </w:p>
    <w:p w14:paraId="55F991E5">
      <w:pPr>
        <w:widowControl/>
        <w:wordWrap w:val="0"/>
        <w:snapToGrid w:val="0"/>
        <w:spacing w:line="460" w:lineRule="exact"/>
        <w:ind w:firstLine="480" w:firstLineChars="200"/>
        <w:jc w:val="left"/>
        <w:rPr>
          <w:rFonts w:hint="eastAsia" w:ascii="宋体" w:hAnsi="宋体" w:cs="宋体"/>
          <w:kern w:val="0"/>
          <w:sz w:val="24"/>
          <w:u w:val="single"/>
        </w:rPr>
      </w:pPr>
      <w:r>
        <w:rPr>
          <w:rFonts w:hint="eastAsia" w:ascii="宋体" w:hAnsi="宋体" w:cs="宋体"/>
          <w:kern w:val="0"/>
          <w:sz w:val="24"/>
        </w:rPr>
        <w:t>委托代理人签名：             法定代表人签名或盖章：</w:t>
      </w:r>
    </w:p>
    <w:p w14:paraId="625ED807">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DC2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6B927C93">
            <w:pPr>
              <w:widowControl/>
              <w:spacing w:line="480" w:lineRule="exact"/>
              <w:jc w:val="left"/>
              <w:rPr>
                <w:rFonts w:hint="eastAsia"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4965B3D5">
      <w:pPr>
        <w:widowControl/>
        <w:wordWrap w:val="0"/>
        <w:snapToGrid w:val="0"/>
        <w:spacing w:line="460" w:lineRule="exact"/>
        <w:ind w:firstLine="480" w:firstLineChars="200"/>
        <w:jc w:val="left"/>
        <w:rPr>
          <w:rFonts w:hint="eastAsia" w:ascii="宋体" w:hAnsi="宋体" w:cs="宋体"/>
          <w:kern w:val="0"/>
          <w:sz w:val="24"/>
        </w:rPr>
      </w:pPr>
      <w:r>
        <w:rPr>
          <w:rFonts w:hint="eastAsia" w:ascii="宋体" w:hAnsi="宋体" w:cs="宋体"/>
          <w:kern w:val="0"/>
          <w:sz w:val="24"/>
        </w:rPr>
        <w:t>委托代理人身份证号码：</w:t>
      </w:r>
    </w:p>
    <w:p w14:paraId="5DB0C52C">
      <w:pPr>
        <w:widowControl/>
        <w:wordWrap w:val="0"/>
        <w:spacing w:line="460" w:lineRule="exact"/>
        <w:ind w:firstLine="4800" w:firstLineChars="2000"/>
        <w:jc w:val="left"/>
        <w:rPr>
          <w:rFonts w:hint="eastAsia" w:ascii="宋体" w:hAnsi="宋体" w:cs="宋体"/>
          <w:kern w:val="0"/>
          <w:sz w:val="24"/>
        </w:rPr>
      </w:pPr>
    </w:p>
    <w:p w14:paraId="61891E2C">
      <w:pPr>
        <w:widowControl/>
        <w:wordWrap w:val="0"/>
        <w:spacing w:line="360" w:lineRule="auto"/>
        <w:jc w:val="center"/>
        <w:rPr>
          <w:rFonts w:hint="eastAsia" w:ascii="宋体" w:hAnsi="宋体" w:cs="宋体"/>
          <w:kern w:val="0"/>
          <w:sz w:val="24"/>
        </w:rPr>
      </w:pPr>
    </w:p>
    <w:p w14:paraId="64575B1E">
      <w:pPr>
        <w:widowControl/>
        <w:wordWrap w:val="0"/>
        <w:spacing w:line="360" w:lineRule="auto"/>
        <w:jc w:val="right"/>
        <w:rPr>
          <w:rFonts w:hint="eastAsia" w:ascii="宋体" w:hAnsi="宋体" w:cs="宋体"/>
          <w:kern w:val="0"/>
          <w:sz w:val="24"/>
        </w:rPr>
      </w:pPr>
    </w:p>
    <w:p w14:paraId="064F85A3">
      <w:pPr>
        <w:widowControl/>
        <w:wordWrap w:val="0"/>
        <w:spacing w:line="360" w:lineRule="auto"/>
        <w:jc w:val="right"/>
        <w:rPr>
          <w:rFonts w:hint="eastAsia" w:ascii="宋体" w:hAnsi="宋体" w:cs="宋体"/>
          <w:kern w:val="0"/>
          <w:sz w:val="24"/>
        </w:rPr>
      </w:pPr>
    </w:p>
    <w:p w14:paraId="33C67BBB">
      <w:pPr>
        <w:widowControl/>
        <w:wordWrap w:val="0"/>
        <w:spacing w:line="360" w:lineRule="auto"/>
        <w:jc w:val="right"/>
        <w:rPr>
          <w:rFonts w:hint="eastAsia" w:ascii="宋体" w:hAnsi="宋体" w:cs="宋体"/>
          <w:kern w:val="0"/>
          <w:sz w:val="24"/>
        </w:rPr>
      </w:pPr>
    </w:p>
    <w:p w14:paraId="608593A4">
      <w:pPr>
        <w:widowControl/>
        <w:wordWrap w:val="0"/>
        <w:spacing w:line="360" w:lineRule="auto"/>
        <w:jc w:val="right"/>
        <w:rPr>
          <w:rFonts w:hint="eastAsia" w:ascii="宋体" w:hAnsi="宋体" w:cs="宋体"/>
          <w:kern w:val="0"/>
          <w:sz w:val="24"/>
        </w:rPr>
      </w:pPr>
    </w:p>
    <w:p w14:paraId="7F7DEB31">
      <w:pPr>
        <w:widowControl/>
        <w:wordWrap w:val="0"/>
        <w:spacing w:line="360" w:lineRule="auto"/>
        <w:jc w:val="right"/>
        <w:rPr>
          <w:rFonts w:hint="eastAsia" w:ascii="宋体" w:hAnsi="宋体" w:cs="宋体"/>
          <w:kern w:val="0"/>
          <w:sz w:val="24"/>
        </w:rPr>
      </w:pPr>
    </w:p>
    <w:p w14:paraId="1CB4B73B">
      <w:pPr>
        <w:widowControl/>
        <w:spacing w:line="360" w:lineRule="auto"/>
        <w:jc w:val="center"/>
        <w:rPr>
          <w:rFonts w:hint="eastAsia" w:ascii="宋体" w:hAnsi="宋体" w:cs="宋体"/>
          <w:kern w:val="0"/>
          <w:sz w:val="24"/>
        </w:rPr>
      </w:pPr>
      <w:r>
        <w:rPr>
          <w:rFonts w:hint="eastAsia" w:ascii="宋体" w:hAnsi="宋体" w:cs="宋体"/>
          <w:kern w:val="0"/>
          <w:sz w:val="24"/>
        </w:rPr>
        <w:t>供应商：</w:t>
      </w:r>
      <w:r>
        <w:rPr>
          <w:rFonts w:hint="eastAsia" w:ascii="宋体" w:hAnsi="宋体" w:cs="宋体"/>
          <w:kern w:val="0"/>
          <w:szCs w:val="21"/>
          <w:u w:val="single"/>
        </w:rPr>
        <w:t xml:space="preserve">                </w:t>
      </w:r>
      <w:r>
        <w:rPr>
          <w:rFonts w:hint="eastAsia" w:ascii="宋体" w:hAnsi="宋体" w:cs="宋体"/>
          <w:kern w:val="0"/>
          <w:sz w:val="24"/>
        </w:rPr>
        <w:t>（全称并加盖公章）</w:t>
      </w:r>
    </w:p>
    <w:p w14:paraId="5BE612CC">
      <w:pPr>
        <w:widowControl/>
        <w:wordWrap w:val="0"/>
        <w:spacing w:line="460" w:lineRule="exact"/>
        <w:ind w:firstLine="3840" w:firstLineChars="1600"/>
        <w:jc w:val="left"/>
        <w:rPr>
          <w:rFonts w:hint="eastAsia" w:ascii="宋体" w:hAnsi="宋体" w:cs="宋体"/>
          <w:b/>
          <w:kern w:val="0"/>
          <w:sz w:val="32"/>
          <w:szCs w:val="32"/>
        </w:rPr>
      </w:pPr>
      <w:r>
        <w:rPr>
          <w:rFonts w:hint="eastAsia" w:ascii="宋体" w:hAnsi="宋体" w:cs="宋体"/>
          <w:kern w:val="0"/>
          <w:sz w:val="24"/>
        </w:rPr>
        <w:t>年    月    日</w:t>
      </w:r>
    </w:p>
    <w:p w14:paraId="246BF713">
      <w:pPr>
        <w:widowControl/>
        <w:spacing w:line="360" w:lineRule="auto"/>
        <w:ind w:firstLine="7228" w:firstLineChars="2250"/>
        <w:jc w:val="left"/>
        <w:rPr>
          <w:rFonts w:hint="eastAsia" w:ascii="宋体" w:hAnsi="宋体" w:cs="宋体"/>
          <w:b/>
          <w:kern w:val="0"/>
          <w:sz w:val="32"/>
          <w:szCs w:val="32"/>
        </w:rPr>
      </w:pPr>
    </w:p>
    <w:p w14:paraId="5CF25B02">
      <w:pPr>
        <w:rPr>
          <w:rFonts w:hint="eastAsia" w:ascii="宋体" w:hAnsi="宋体" w:cs="宋体"/>
          <w:b/>
          <w:kern w:val="0"/>
          <w:sz w:val="32"/>
          <w:szCs w:val="32"/>
        </w:rPr>
      </w:pPr>
      <w:r>
        <w:rPr>
          <w:rFonts w:hint="eastAsia" w:ascii="宋体" w:hAnsi="宋体" w:cs="宋体"/>
          <w:b/>
          <w:kern w:val="0"/>
          <w:sz w:val="32"/>
          <w:szCs w:val="32"/>
        </w:rPr>
        <w:br w:type="page"/>
      </w:r>
    </w:p>
    <w:p w14:paraId="589A4407">
      <w:pPr>
        <w:pStyle w:val="6"/>
        <w:snapToGrid w:val="0"/>
        <w:spacing w:before="20" w:after="20" w:line="360" w:lineRule="auto"/>
        <w:jc w:val="center"/>
        <w:rPr>
          <w:rFonts w:hint="eastAsia" w:ascii="宋体" w:hAnsi="宋体" w:eastAsia="宋体" w:cs="宋体"/>
          <w:sz w:val="28"/>
          <w:szCs w:val="28"/>
        </w:rPr>
      </w:pPr>
      <w:bookmarkStart w:id="94" w:name="_Toc18105"/>
      <w:bookmarkStart w:id="95" w:name="_Toc24693"/>
      <w:bookmarkStart w:id="96" w:name="_Toc3342"/>
      <w:r>
        <w:rPr>
          <w:rFonts w:hint="eastAsia" w:ascii="宋体" w:hAnsi="宋体" w:eastAsia="宋体" w:cs="宋体"/>
          <w:sz w:val="28"/>
          <w:szCs w:val="28"/>
        </w:rPr>
        <w:t>附件9          证明文件</w:t>
      </w:r>
      <w:bookmarkEnd w:id="94"/>
      <w:bookmarkEnd w:id="95"/>
      <w:bookmarkEnd w:id="96"/>
    </w:p>
    <w:p w14:paraId="31309464">
      <w:pPr>
        <w:pStyle w:val="11"/>
        <w:spacing w:beforeAutospacing="0" w:afterAutospacing="0" w:line="480" w:lineRule="auto"/>
        <w:ind w:firstLine="470" w:firstLineChars="224"/>
        <w:jc w:val="both"/>
        <w:rPr>
          <w:rFonts w:hint="eastAsia"/>
          <w:bCs/>
          <w:sz w:val="21"/>
          <w:szCs w:val="21"/>
        </w:rPr>
      </w:pPr>
    </w:p>
    <w:p w14:paraId="2FB97D9F">
      <w:pPr>
        <w:pStyle w:val="11"/>
        <w:spacing w:beforeAutospacing="0" w:afterAutospacing="0" w:line="480" w:lineRule="auto"/>
        <w:ind w:firstLine="472" w:firstLineChars="224"/>
        <w:jc w:val="both"/>
        <w:rPr>
          <w:rFonts w:hint="eastAsia"/>
          <w:b/>
          <w:sz w:val="21"/>
          <w:szCs w:val="21"/>
        </w:rPr>
      </w:pPr>
      <w:r>
        <w:rPr>
          <w:rFonts w:hint="eastAsia"/>
          <w:b/>
          <w:sz w:val="21"/>
          <w:szCs w:val="21"/>
        </w:rPr>
        <w:t>9.1 资格审查资料</w:t>
      </w:r>
    </w:p>
    <w:p w14:paraId="7A150690">
      <w:pPr>
        <w:pStyle w:val="11"/>
        <w:spacing w:beforeAutospacing="0" w:afterAutospacing="0" w:line="480" w:lineRule="auto"/>
        <w:ind w:firstLine="470" w:firstLineChars="224"/>
        <w:jc w:val="both"/>
        <w:rPr>
          <w:rFonts w:hint="eastAsia"/>
          <w:bCs/>
          <w:sz w:val="21"/>
          <w:szCs w:val="21"/>
        </w:rPr>
      </w:pPr>
    </w:p>
    <w:p w14:paraId="13A9BF4C">
      <w:pPr>
        <w:pStyle w:val="11"/>
        <w:spacing w:beforeAutospacing="0" w:afterAutospacing="0" w:line="480" w:lineRule="auto"/>
        <w:ind w:firstLine="470" w:firstLineChars="224"/>
        <w:jc w:val="both"/>
        <w:rPr>
          <w:rFonts w:hint="eastAsia"/>
          <w:bCs/>
          <w:sz w:val="21"/>
          <w:szCs w:val="21"/>
        </w:rPr>
      </w:pPr>
    </w:p>
    <w:p w14:paraId="721C792F">
      <w:pPr>
        <w:pStyle w:val="11"/>
        <w:spacing w:beforeAutospacing="0" w:afterAutospacing="0" w:line="480" w:lineRule="auto"/>
        <w:ind w:firstLine="472" w:firstLineChars="224"/>
        <w:jc w:val="both"/>
        <w:rPr>
          <w:rFonts w:hint="eastAsia"/>
          <w:b/>
          <w:sz w:val="21"/>
          <w:szCs w:val="21"/>
        </w:rPr>
      </w:pPr>
      <w:r>
        <w:rPr>
          <w:rFonts w:hint="eastAsia"/>
          <w:b/>
          <w:sz w:val="21"/>
          <w:szCs w:val="21"/>
        </w:rPr>
        <w:t>9.2</w:t>
      </w:r>
      <w:bookmarkStart w:id="97" w:name="_Toc17966"/>
      <w:r>
        <w:rPr>
          <w:rFonts w:hint="eastAsia"/>
          <w:b/>
          <w:sz w:val="21"/>
          <w:szCs w:val="21"/>
        </w:rPr>
        <w:t>评分标准中需提供的相关材料、业绩等（除技术要求证明材料外）</w:t>
      </w:r>
    </w:p>
    <w:p w14:paraId="4961F137">
      <w:pPr>
        <w:pStyle w:val="11"/>
        <w:spacing w:beforeAutospacing="0" w:afterAutospacing="0" w:line="480" w:lineRule="auto"/>
        <w:ind w:firstLine="470" w:firstLineChars="224"/>
        <w:jc w:val="both"/>
        <w:rPr>
          <w:rFonts w:hint="eastAsia"/>
          <w:bCs/>
          <w:sz w:val="21"/>
          <w:szCs w:val="21"/>
        </w:rPr>
      </w:pPr>
    </w:p>
    <w:p w14:paraId="4D6FAF9C">
      <w:pPr>
        <w:pStyle w:val="11"/>
        <w:spacing w:beforeAutospacing="0" w:afterAutospacing="0" w:line="480" w:lineRule="auto"/>
        <w:ind w:firstLine="470" w:firstLineChars="224"/>
        <w:jc w:val="both"/>
        <w:rPr>
          <w:rFonts w:hint="eastAsia"/>
          <w:bCs/>
          <w:sz w:val="21"/>
          <w:szCs w:val="21"/>
        </w:rPr>
      </w:pPr>
    </w:p>
    <w:p w14:paraId="50B0CB56">
      <w:pPr>
        <w:pStyle w:val="11"/>
        <w:spacing w:beforeAutospacing="0" w:afterAutospacing="0" w:line="480" w:lineRule="auto"/>
        <w:ind w:firstLine="472" w:firstLineChars="224"/>
        <w:jc w:val="both"/>
        <w:rPr>
          <w:rFonts w:hint="eastAsia"/>
          <w:b/>
          <w:sz w:val="21"/>
          <w:szCs w:val="21"/>
        </w:rPr>
      </w:pPr>
      <w:r>
        <w:rPr>
          <w:rFonts w:hint="eastAsia"/>
          <w:b/>
          <w:sz w:val="21"/>
          <w:szCs w:val="21"/>
        </w:rPr>
        <w:t>9.3供应商认为其他需要提供的证明材料。</w:t>
      </w:r>
    </w:p>
    <w:p w14:paraId="29759004">
      <w:pPr>
        <w:pStyle w:val="11"/>
        <w:spacing w:beforeAutospacing="0" w:afterAutospacing="0" w:line="480" w:lineRule="auto"/>
        <w:ind w:firstLine="540" w:firstLineChars="224"/>
        <w:jc w:val="both"/>
        <w:rPr>
          <w:rFonts w:hint="eastAsia"/>
          <w:b/>
          <w:bCs/>
        </w:rPr>
      </w:pPr>
    </w:p>
    <w:p w14:paraId="1E22A0E7">
      <w:pPr>
        <w:pStyle w:val="11"/>
        <w:spacing w:beforeAutospacing="0" w:afterAutospacing="0" w:line="480" w:lineRule="auto"/>
        <w:ind w:firstLine="540" w:firstLineChars="224"/>
        <w:jc w:val="both"/>
        <w:rPr>
          <w:rFonts w:hint="eastAsia"/>
          <w:b/>
          <w:bCs/>
        </w:rPr>
      </w:pPr>
    </w:p>
    <w:p w14:paraId="31838148">
      <w:pPr>
        <w:pStyle w:val="11"/>
        <w:spacing w:beforeAutospacing="0" w:afterAutospacing="0" w:line="480" w:lineRule="auto"/>
        <w:ind w:firstLine="540" w:firstLineChars="224"/>
        <w:jc w:val="both"/>
        <w:rPr>
          <w:rFonts w:hint="eastAsia"/>
          <w:b/>
          <w:bCs/>
        </w:rPr>
      </w:pPr>
    </w:p>
    <w:p w14:paraId="1D0365F3">
      <w:pPr>
        <w:pStyle w:val="11"/>
        <w:spacing w:beforeAutospacing="0" w:afterAutospacing="0" w:line="480" w:lineRule="auto"/>
        <w:ind w:firstLine="540" w:firstLineChars="224"/>
        <w:jc w:val="both"/>
        <w:rPr>
          <w:rFonts w:hint="eastAsia"/>
          <w:b/>
          <w:bCs/>
        </w:rPr>
      </w:pPr>
    </w:p>
    <w:p w14:paraId="266AD6FF">
      <w:pPr>
        <w:pStyle w:val="11"/>
        <w:spacing w:beforeAutospacing="0" w:afterAutospacing="0" w:line="480" w:lineRule="auto"/>
        <w:ind w:firstLine="540" w:firstLineChars="224"/>
        <w:jc w:val="both"/>
        <w:rPr>
          <w:rFonts w:hint="eastAsia"/>
          <w:b/>
          <w:bCs/>
        </w:rPr>
      </w:pPr>
    </w:p>
    <w:p w14:paraId="6BC6C58F">
      <w:pPr>
        <w:pStyle w:val="11"/>
        <w:spacing w:beforeAutospacing="0" w:afterAutospacing="0" w:line="480" w:lineRule="auto"/>
        <w:ind w:firstLine="540" w:firstLineChars="224"/>
        <w:jc w:val="both"/>
        <w:rPr>
          <w:rFonts w:hint="eastAsia"/>
          <w:b/>
          <w:bCs/>
        </w:rPr>
      </w:pPr>
    </w:p>
    <w:p w14:paraId="4395DF62">
      <w:pPr>
        <w:pStyle w:val="11"/>
        <w:spacing w:beforeAutospacing="0" w:afterAutospacing="0" w:line="480" w:lineRule="auto"/>
        <w:ind w:firstLine="540" w:firstLineChars="224"/>
        <w:jc w:val="both"/>
        <w:rPr>
          <w:rFonts w:hint="eastAsia"/>
          <w:b/>
          <w:bCs/>
        </w:rPr>
      </w:pPr>
    </w:p>
    <w:p w14:paraId="67A783BF">
      <w:pPr>
        <w:pStyle w:val="11"/>
        <w:spacing w:beforeAutospacing="0" w:afterAutospacing="0" w:line="480" w:lineRule="auto"/>
        <w:ind w:firstLine="540" w:firstLineChars="224"/>
        <w:jc w:val="both"/>
        <w:rPr>
          <w:rFonts w:hint="eastAsia"/>
          <w:b/>
          <w:bCs/>
        </w:rPr>
      </w:pPr>
    </w:p>
    <w:p w14:paraId="20762BBA">
      <w:pPr>
        <w:pStyle w:val="11"/>
        <w:spacing w:beforeAutospacing="0" w:afterAutospacing="0" w:line="480" w:lineRule="auto"/>
        <w:ind w:firstLine="540" w:firstLineChars="224"/>
        <w:jc w:val="both"/>
        <w:rPr>
          <w:rFonts w:hint="eastAsia"/>
          <w:b/>
          <w:bCs/>
        </w:rPr>
      </w:pPr>
    </w:p>
    <w:p w14:paraId="70784347">
      <w:pPr>
        <w:pStyle w:val="11"/>
        <w:spacing w:beforeAutospacing="0" w:afterAutospacing="0" w:line="480" w:lineRule="auto"/>
        <w:ind w:firstLine="540" w:firstLineChars="224"/>
        <w:jc w:val="both"/>
        <w:rPr>
          <w:rFonts w:hint="eastAsia"/>
          <w:b/>
          <w:bCs/>
        </w:rPr>
      </w:pPr>
    </w:p>
    <w:p w14:paraId="50B9EA49">
      <w:pPr>
        <w:rPr>
          <w:rFonts w:hint="eastAsia" w:ascii="宋体" w:hAnsi="宋体" w:cs="宋体"/>
          <w:sz w:val="28"/>
          <w:szCs w:val="28"/>
        </w:rPr>
      </w:pPr>
      <w:bookmarkStart w:id="98" w:name="_Toc12888"/>
      <w:bookmarkStart w:id="99" w:name="_Toc16083"/>
      <w:bookmarkStart w:id="100" w:name="_Toc13726"/>
      <w:r>
        <w:rPr>
          <w:rFonts w:hint="eastAsia" w:ascii="宋体" w:hAnsi="宋体" w:cs="宋体"/>
          <w:sz w:val="28"/>
          <w:szCs w:val="28"/>
        </w:rPr>
        <w:br w:type="page"/>
      </w:r>
    </w:p>
    <w:p w14:paraId="075DD727">
      <w:pPr>
        <w:pStyle w:val="6"/>
        <w:snapToGrid w:val="0"/>
        <w:spacing w:before="20" w:after="20" w:line="360" w:lineRule="auto"/>
        <w:jc w:val="center"/>
        <w:rPr>
          <w:rFonts w:hint="eastAsia" w:ascii="宋体" w:hAnsi="宋体" w:eastAsia="宋体" w:cs="宋体"/>
          <w:sz w:val="28"/>
          <w:szCs w:val="28"/>
        </w:rPr>
      </w:pPr>
      <w:r>
        <w:rPr>
          <w:rFonts w:hint="eastAsia" w:ascii="宋体" w:hAnsi="宋体" w:eastAsia="宋体" w:cs="宋体"/>
          <w:sz w:val="28"/>
          <w:szCs w:val="28"/>
        </w:rPr>
        <w:t xml:space="preserve">附件10      </w:t>
      </w:r>
      <w:bookmarkEnd w:id="97"/>
      <w:r>
        <w:rPr>
          <w:rFonts w:hint="eastAsia" w:ascii="宋体" w:hAnsi="宋体" w:eastAsia="宋体" w:cs="宋体"/>
          <w:sz w:val="28"/>
          <w:szCs w:val="28"/>
        </w:rPr>
        <w:t>供 应 商 承 诺 书 （格式）</w:t>
      </w:r>
      <w:bookmarkEnd w:id="98"/>
      <w:bookmarkEnd w:id="99"/>
      <w:bookmarkEnd w:id="100"/>
    </w:p>
    <w:p w14:paraId="3613A479">
      <w:pPr>
        <w:rPr>
          <w:rFonts w:hint="eastAsia" w:ascii="宋体" w:hAnsi="宋体" w:cs="宋体"/>
        </w:rPr>
      </w:pPr>
    </w:p>
    <w:p w14:paraId="2A997D5E">
      <w:pPr>
        <w:snapToGrid w:val="0"/>
        <w:spacing w:line="460" w:lineRule="exact"/>
        <w:ind w:firstLine="641"/>
        <w:rPr>
          <w:rFonts w:hint="eastAsia" w:ascii="宋体" w:hAnsi="宋体" w:cs="宋体"/>
          <w:szCs w:val="21"/>
        </w:rPr>
      </w:pPr>
      <w:r>
        <w:rPr>
          <w:rFonts w:hint="eastAsia" w:ascii="宋体" w:hAnsi="宋体" w:cs="宋体"/>
          <w:szCs w:val="21"/>
        </w:rPr>
        <w:t>我院（以下简称甲方）组织的本次采购，在遵守《政府采购法》、《</w:t>
      </w:r>
      <w:r>
        <w:rPr>
          <w:rFonts w:hint="eastAsia" w:ascii="宋体" w:hAnsi="宋体"/>
          <w:kern w:val="0"/>
          <w:szCs w:val="21"/>
        </w:rPr>
        <w:t>中华人民共和国民法典</w:t>
      </w:r>
      <w:r>
        <w:rPr>
          <w:rFonts w:hint="eastAsia" w:ascii="宋体" w:hAnsi="宋体" w:cs="宋体"/>
          <w:szCs w:val="21"/>
        </w:rPr>
        <w:t>》、《反不正当竞争法》和《关于推进招投标监督领域诚信建设的意见》等法律法规的基础上，要求贵方（以下简称乙方）做出如下承诺：</w:t>
      </w:r>
    </w:p>
    <w:p w14:paraId="5D6B3698">
      <w:pPr>
        <w:snapToGrid w:val="0"/>
        <w:spacing w:line="460" w:lineRule="exact"/>
        <w:ind w:firstLine="641"/>
        <w:rPr>
          <w:rFonts w:hint="eastAsia" w:ascii="宋体" w:hAnsi="宋体" w:cs="宋体"/>
          <w:szCs w:val="21"/>
        </w:rPr>
      </w:pPr>
      <w:r>
        <w:rPr>
          <w:rFonts w:hint="eastAsia" w:ascii="宋体" w:hAnsi="宋体" w:cs="宋体"/>
          <w:szCs w:val="21"/>
        </w:rPr>
        <w:t>1、遵循公开、公平、公正和诚实信用的原则自愿参加，所提供的一切材料真实、有效、合法。</w:t>
      </w:r>
    </w:p>
    <w:p w14:paraId="751A4EF1">
      <w:pPr>
        <w:snapToGrid w:val="0"/>
        <w:spacing w:line="460" w:lineRule="exact"/>
        <w:ind w:firstLine="641"/>
        <w:rPr>
          <w:rFonts w:hint="eastAsia" w:ascii="宋体" w:hAnsi="宋体" w:cs="宋体"/>
          <w:szCs w:val="21"/>
        </w:rPr>
      </w:pPr>
      <w:r>
        <w:rPr>
          <w:rFonts w:hint="eastAsia" w:ascii="宋体" w:hAnsi="宋体" w:cs="宋体"/>
          <w:szCs w:val="21"/>
        </w:rPr>
        <w:t>2、遵守甲方采购纪律，诚实守信地为甲方提供安全可靠的服务及相关技术，保证服务质量并主动做好售后服务工作。</w:t>
      </w:r>
    </w:p>
    <w:p w14:paraId="0D5358B5">
      <w:pPr>
        <w:snapToGrid w:val="0"/>
        <w:spacing w:line="460" w:lineRule="exact"/>
        <w:ind w:firstLine="641"/>
        <w:rPr>
          <w:rFonts w:hint="eastAsia" w:ascii="宋体" w:hAnsi="宋体" w:cs="宋体"/>
          <w:szCs w:val="21"/>
        </w:rPr>
      </w:pPr>
      <w:r>
        <w:rPr>
          <w:rFonts w:hint="eastAsia" w:ascii="宋体" w:hAnsi="宋体" w:cs="宋体"/>
          <w:szCs w:val="21"/>
        </w:rPr>
        <w:t>3、杜绝利用提供财物或给予其他不正当利益谋取中标的不良行为。</w:t>
      </w:r>
    </w:p>
    <w:p w14:paraId="517ED39F">
      <w:pPr>
        <w:snapToGrid w:val="0"/>
        <w:spacing w:line="460" w:lineRule="exact"/>
        <w:ind w:firstLine="641"/>
        <w:rPr>
          <w:rFonts w:hint="eastAsia" w:ascii="宋体" w:hAnsi="宋体" w:cs="宋体"/>
          <w:szCs w:val="21"/>
        </w:rPr>
      </w:pPr>
      <w:r>
        <w:rPr>
          <w:rFonts w:hint="eastAsia" w:ascii="宋体" w:hAnsi="宋体" w:cs="宋体"/>
          <w:szCs w:val="21"/>
        </w:rPr>
        <w:t>4、不发生其他任何可能影响甲方工作人员公正执行公务或者职务廉洁的行为。</w:t>
      </w:r>
    </w:p>
    <w:p w14:paraId="098959A0">
      <w:pPr>
        <w:snapToGrid w:val="0"/>
        <w:spacing w:line="460" w:lineRule="exact"/>
        <w:ind w:firstLine="641"/>
        <w:rPr>
          <w:rFonts w:hint="eastAsia" w:ascii="宋体" w:hAnsi="宋体" w:cs="宋体"/>
          <w:szCs w:val="21"/>
        </w:rPr>
      </w:pPr>
      <w:r>
        <w:rPr>
          <w:rFonts w:hint="eastAsia" w:ascii="宋体" w:hAnsi="宋体" w:cs="宋体"/>
          <w:szCs w:val="21"/>
        </w:rPr>
        <w:t>5、不参与串标、围标或其他不正当竞争行为；杜绝以虚报资质、业绩或其他弄虚作假等方式骗取中标。</w:t>
      </w:r>
    </w:p>
    <w:p w14:paraId="754000F3">
      <w:pPr>
        <w:snapToGrid w:val="0"/>
        <w:spacing w:line="460" w:lineRule="exact"/>
        <w:ind w:firstLine="641"/>
        <w:rPr>
          <w:rFonts w:hint="eastAsia" w:ascii="宋体" w:hAnsi="宋体" w:cs="宋体"/>
          <w:szCs w:val="21"/>
        </w:rPr>
      </w:pPr>
      <w:r>
        <w:rPr>
          <w:rFonts w:hint="eastAsia" w:ascii="宋体" w:hAnsi="宋体" w:cs="宋体"/>
          <w:szCs w:val="21"/>
        </w:rPr>
        <w:t>6、响应时，杜绝擅自修改竞争性磋商文件或技术标准（包括差异表）技术配置的行为。</w:t>
      </w:r>
    </w:p>
    <w:p w14:paraId="33716277">
      <w:pPr>
        <w:snapToGrid w:val="0"/>
        <w:spacing w:line="460" w:lineRule="exact"/>
        <w:ind w:firstLine="641"/>
        <w:rPr>
          <w:rFonts w:hint="eastAsia" w:ascii="宋体" w:hAnsi="宋体" w:cs="宋体"/>
          <w:szCs w:val="21"/>
        </w:rPr>
      </w:pPr>
      <w:r>
        <w:rPr>
          <w:rFonts w:hint="eastAsia" w:ascii="宋体" w:hAnsi="宋体" w:cs="宋体"/>
          <w:szCs w:val="21"/>
        </w:rPr>
        <w:t>7、严格按照采购、响应文件要求签订合同，不违反法律无故拒签合同，不签订背离合同（或技术协议书）实质性内容的协议。</w:t>
      </w:r>
    </w:p>
    <w:p w14:paraId="1FDB3032">
      <w:pPr>
        <w:snapToGrid w:val="0"/>
        <w:spacing w:line="480" w:lineRule="auto"/>
        <w:rPr>
          <w:rFonts w:hint="eastAsia" w:ascii="宋体" w:hAnsi="宋体" w:cs="宋体"/>
          <w:szCs w:val="21"/>
        </w:rPr>
      </w:pPr>
    </w:p>
    <w:p w14:paraId="36D4B426">
      <w:pPr>
        <w:widowControl/>
        <w:spacing w:line="480" w:lineRule="auto"/>
        <w:ind w:firstLine="3360" w:firstLineChars="1600"/>
        <w:textAlignment w:val="baseline"/>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（全称并加盖公章）</w:t>
      </w:r>
    </w:p>
    <w:p w14:paraId="190FE24F">
      <w:pPr>
        <w:snapToGrid w:val="0"/>
        <w:spacing w:line="480" w:lineRule="auto"/>
        <w:ind w:firstLine="2730" w:firstLineChars="1300"/>
        <w:rPr>
          <w:rFonts w:hint="eastAsia" w:ascii="宋体" w:hAnsi="宋体" w:cs="宋体"/>
          <w:szCs w:val="21"/>
        </w:rPr>
      </w:pPr>
      <w:r>
        <w:rPr>
          <w:rFonts w:hint="eastAsia" w:ascii="宋体" w:hAnsi="宋体" w:cs="宋体"/>
          <w:szCs w:val="21"/>
        </w:rPr>
        <w:t>法定代表人或委托人（签字或盖章）：</w:t>
      </w:r>
      <w:r>
        <w:rPr>
          <w:rFonts w:hint="eastAsia" w:ascii="宋体" w:hAnsi="宋体" w:cs="宋体"/>
          <w:szCs w:val="21"/>
          <w:u w:val="single"/>
        </w:rPr>
        <w:t xml:space="preserve">            </w:t>
      </w:r>
      <w:r>
        <w:rPr>
          <w:rFonts w:hint="eastAsia" w:ascii="宋体" w:hAnsi="宋体" w:cs="宋体"/>
          <w:szCs w:val="21"/>
        </w:rPr>
        <w:t xml:space="preserve">           </w:t>
      </w:r>
    </w:p>
    <w:p w14:paraId="1169B5A3">
      <w:pPr>
        <w:snapToGrid w:val="0"/>
        <w:spacing w:line="480" w:lineRule="auto"/>
        <w:ind w:firstLine="210" w:firstLineChars="100"/>
        <w:rPr>
          <w:rFonts w:hint="eastAsia" w:ascii="宋体" w:hAnsi="宋体" w:cs="宋体"/>
          <w:szCs w:val="21"/>
        </w:rPr>
      </w:pPr>
      <w:r>
        <w:rPr>
          <w:rFonts w:hint="eastAsia" w:ascii="宋体" w:hAnsi="宋体" w:cs="宋体"/>
          <w:szCs w:val="21"/>
        </w:rPr>
        <w:t xml:space="preserve">                                    年   月   日</w:t>
      </w:r>
    </w:p>
    <w:p w14:paraId="1F69E5E4">
      <w:pPr>
        <w:widowControl/>
        <w:spacing w:line="360" w:lineRule="auto"/>
        <w:ind w:firstLine="4305" w:firstLineChars="2050"/>
        <w:jc w:val="left"/>
        <w:rPr>
          <w:rFonts w:hint="eastAsia" w:ascii="宋体" w:hAnsi="宋体" w:cs="宋体"/>
          <w:kern w:val="0"/>
          <w:szCs w:val="21"/>
        </w:rPr>
      </w:pPr>
    </w:p>
    <w:p w14:paraId="3CA50DBB">
      <w:pPr>
        <w:pStyle w:val="31"/>
        <w:ind w:firstLine="210"/>
        <w:rPr>
          <w:rFonts w:hint="eastAsia" w:ascii="宋体" w:hAnsi="宋体" w:cs="宋体"/>
          <w:kern w:val="0"/>
        </w:rPr>
        <w:sectPr>
          <w:pgSz w:w="11906" w:h="16838"/>
          <w:pgMar w:top="1417" w:right="1474" w:bottom="1417" w:left="1474" w:header="851" w:footer="624" w:gutter="0"/>
          <w:cols w:space="720" w:num="1"/>
          <w:docGrid w:type="lines" w:linePitch="319" w:charSpace="0"/>
        </w:sectPr>
      </w:pPr>
    </w:p>
    <w:p w14:paraId="230C97BA">
      <w:pPr>
        <w:pStyle w:val="6"/>
        <w:snapToGrid w:val="0"/>
        <w:spacing w:before="20" w:after="20" w:line="360" w:lineRule="auto"/>
        <w:jc w:val="center"/>
        <w:rPr>
          <w:rFonts w:hint="eastAsia" w:ascii="宋体" w:hAnsi="宋体" w:eastAsia="宋体" w:cs="宋体"/>
          <w:sz w:val="28"/>
          <w:szCs w:val="28"/>
        </w:rPr>
      </w:pPr>
      <w:r>
        <w:rPr>
          <w:rFonts w:hint="eastAsia" w:ascii="宋体" w:hAnsi="宋体" w:eastAsia="宋体" w:cs="宋体"/>
          <w:sz w:val="28"/>
          <w:szCs w:val="28"/>
        </w:rPr>
        <w:t>附件11     供应商信用承诺函（格式）</w:t>
      </w:r>
    </w:p>
    <w:p w14:paraId="3525776A">
      <w:pPr>
        <w:snapToGrid w:val="0"/>
        <w:spacing w:line="360" w:lineRule="auto"/>
        <w:ind w:firstLine="641"/>
        <w:rPr>
          <w:rFonts w:hint="eastAsia" w:ascii="宋体" w:hAnsi="宋体" w:cs="宋体"/>
          <w:szCs w:val="21"/>
        </w:rPr>
      </w:pPr>
      <w:r>
        <w:rPr>
          <w:rFonts w:hint="eastAsia" w:ascii="宋体" w:hAnsi="宋体" w:cs="宋体"/>
          <w:szCs w:val="21"/>
        </w:rPr>
        <w:t>致（采购人或政府采购代理机构）：</w:t>
      </w:r>
    </w:p>
    <w:p w14:paraId="7962E3DD">
      <w:pPr>
        <w:snapToGrid w:val="0"/>
        <w:spacing w:line="360" w:lineRule="auto"/>
        <w:ind w:firstLine="641"/>
        <w:rPr>
          <w:rFonts w:hint="eastAsia" w:ascii="宋体" w:hAnsi="宋体" w:cs="宋体"/>
          <w:szCs w:val="21"/>
        </w:rPr>
      </w:pPr>
      <w:r>
        <w:rPr>
          <w:rFonts w:hint="eastAsia" w:ascii="宋体" w:hAnsi="宋体" w:cs="宋体"/>
          <w:szCs w:val="21"/>
        </w:rPr>
        <w:t>单位名称（自然人姓名）：</w:t>
      </w:r>
    </w:p>
    <w:p w14:paraId="61CC84A0">
      <w:pPr>
        <w:snapToGrid w:val="0"/>
        <w:spacing w:line="360" w:lineRule="auto"/>
        <w:ind w:firstLine="641"/>
        <w:rPr>
          <w:rFonts w:hint="eastAsia" w:ascii="宋体" w:hAnsi="宋体" w:cs="宋体"/>
          <w:szCs w:val="21"/>
        </w:rPr>
      </w:pPr>
      <w:r>
        <w:rPr>
          <w:rFonts w:hint="eastAsia" w:ascii="宋体" w:hAnsi="宋体" w:cs="宋体"/>
          <w:szCs w:val="21"/>
        </w:rPr>
        <w:t>统一社会信用代码（身份证号码）：</w:t>
      </w:r>
    </w:p>
    <w:p w14:paraId="7E08EB54">
      <w:pPr>
        <w:snapToGrid w:val="0"/>
        <w:spacing w:line="360" w:lineRule="auto"/>
        <w:ind w:firstLine="641"/>
        <w:rPr>
          <w:rFonts w:hint="eastAsia" w:ascii="宋体" w:hAnsi="宋体" w:cs="宋体"/>
          <w:szCs w:val="21"/>
        </w:rPr>
      </w:pPr>
      <w:r>
        <w:rPr>
          <w:rFonts w:hint="eastAsia" w:ascii="宋体" w:hAnsi="宋体" w:cs="宋体"/>
          <w:szCs w:val="21"/>
        </w:rPr>
        <w:t>法定代表人（负责人）：</w:t>
      </w:r>
    </w:p>
    <w:p w14:paraId="3738E35D">
      <w:pPr>
        <w:snapToGrid w:val="0"/>
        <w:spacing w:line="360" w:lineRule="auto"/>
        <w:ind w:firstLine="641"/>
        <w:rPr>
          <w:rFonts w:hint="eastAsia" w:ascii="宋体" w:hAnsi="宋体" w:cs="宋体"/>
          <w:szCs w:val="21"/>
        </w:rPr>
      </w:pPr>
      <w:r>
        <w:rPr>
          <w:rFonts w:hint="eastAsia" w:ascii="宋体" w:hAnsi="宋体" w:cs="宋体"/>
          <w:szCs w:val="21"/>
        </w:rPr>
        <w:t>联系地址和电话：</w:t>
      </w:r>
    </w:p>
    <w:p w14:paraId="1C77255A">
      <w:pPr>
        <w:snapToGrid w:val="0"/>
        <w:spacing w:line="360" w:lineRule="auto"/>
        <w:ind w:firstLine="641"/>
        <w:rPr>
          <w:rFonts w:hint="eastAsia"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1E0BAE0">
      <w:pPr>
        <w:snapToGrid w:val="0"/>
        <w:spacing w:line="360" w:lineRule="auto"/>
        <w:ind w:firstLine="641"/>
        <w:rPr>
          <w:rFonts w:hint="eastAsia" w:ascii="宋体" w:hAnsi="宋体" w:cs="宋体"/>
          <w:szCs w:val="21"/>
        </w:rPr>
      </w:pPr>
      <w:r>
        <w:rPr>
          <w:rFonts w:hint="eastAsia" w:ascii="宋体" w:hAnsi="宋体" w:cs="宋体"/>
          <w:szCs w:val="21"/>
        </w:rPr>
        <w:t>（一）具有独立承担民事责任的能力；</w:t>
      </w:r>
    </w:p>
    <w:p w14:paraId="456DDA4C">
      <w:pPr>
        <w:snapToGrid w:val="0"/>
        <w:spacing w:line="360" w:lineRule="auto"/>
        <w:ind w:firstLine="641"/>
        <w:rPr>
          <w:rFonts w:hint="eastAsia" w:ascii="宋体" w:hAnsi="宋体" w:cs="宋体"/>
          <w:szCs w:val="21"/>
        </w:rPr>
      </w:pPr>
      <w:r>
        <w:rPr>
          <w:rFonts w:hint="eastAsia" w:ascii="宋体" w:hAnsi="宋体" w:cs="宋体"/>
          <w:szCs w:val="21"/>
        </w:rPr>
        <w:t>（二）具有良好的商业信誉和健全的财务会计制度；</w:t>
      </w:r>
    </w:p>
    <w:p w14:paraId="225C74EC">
      <w:pPr>
        <w:snapToGrid w:val="0"/>
        <w:spacing w:line="360" w:lineRule="auto"/>
        <w:ind w:firstLine="641"/>
        <w:rPr>
          <w:rFonts w:hint="eastAsia" w:ascii="宋体" w:hAnsi="宋体" w:cs="宋体"/>
          <w:szCs w:val="21"/>
        </w:rPr>
      </w:pPr>
      <w:r>
        <w:rPr>
          <w:rFonts w:hint="eastAsia" w:ascii="宋体" w:hAnsi="宋体" w:cs="宋体"/>
          <w:szCs w:val="21"/>
        </w:rPr>
        <w:t>（三）具有履行合同所必需的设备和专业技术能力；</w:t>
      </w:r>
    </w:p>
    <w:p w14:paraId="4FFE3702">
      <w:pPr>
        <w:snapToGrid w:val="0"/>
        <w:spacing w:line="360" w:lineRule="auto"/>
        <w:ind w:firstLine="641"/>
        <w:rPr>
          <w:rFonts w:hint="eastAsia" w:ascii="宋体" w:hAnsi="宋体" w:cs="宋体"/>
          <w:szCs w:val="21"/>
        </w:rPr>
      </w:pPr>
      <w:r>
        <w:rPr>
          <w:rFonts w:hint="eastAsia" w:ascii="宋体" w:hAnsi="宋体" w:cs="宋体"/>
          <w:szCs w:val="21"/>
        </w:rPr>
        <w:t>（四）有依法缴纳税收和社会保障资金的良好记录；</w:t>
      </w:r>
    </w:p>
    <w:p w14:paraId="6691272F">
      <w:pPr>
        <w:snapToGrid w:val="0"/>
        <w:spacing w:line="360" w:lineRule="auto"/>
        <w:ind w:firstLine="641"/>
        <w:rPr>
          <w:rFonts w:hint="eastAsia" w:ascii="宋体" w:hAnsi="宋体" w:cs="宋体"/>
          <w:szCs w:val="21"/>
        </w:rPr>
      </w:pPr>
      <w:r>
        <w:rPr>
          <w:rFonts w:hint="eastAsia" w:ascii="宋体" w:hAnsi="宋体" w:cs="宋体"/>
          <w:szCs w:val="21"/>
        </w:rPr>
        <w:t>（五）参加政府采购活动前三年内，在经营活动中没有重大违法记录；</w:t>
      </w:r>
    </w:p>
    <w:p w14:paraId="69991FA5">
      <w:pPr>
        <w:snapToGrid w:val="0"/>
        <w:spacing w:line="360" w:lineRule="auto"/>
        <w:ind w:firstLine="641"/>
        <w:rPr>
          <w:rFonts w:hint="eastAsia"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325FFA86">
      <w:pPr>
        <w:snapToGrid w:val="0"/>
        <w:spacing w:line="360" w:lineRule="auto"/>
        <w:ind w:firstLine="641"/>
        <w:rPr>
          <w:rFonts w:hint="eastAsia" w:ascii="宋体" w:hAnsi="宋体" w:cs="宋体"/>
          <w:szCs w:val="21"/>
        </w:rPr>
      </w:pPr>
      <w:r>
        <w:rPr>
          <w:rFonts w:hint="eastAsia" w:ascii="宋体" w:hAnsi="宋体" w:cs="宋体"/>
          <w:szCs w:val="21"/>
        </w:rPr>
        <w:t>（七）符合法律、行政法规规定的其他条件。</w:t>
      </w:r>
    </w:p>
    <w:p w14:paraId="271AAAA4">
      <w:pPr>
        <w:snapToGrid w:val="0"/>
        <w:spacing w:line="360" w:lineRule="auto"/>
        <w:ind w:firstLine="641"/>
        <w:rPr>
          <w:rFonts w:hint="eastAsia"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451125C0">
      <w:pPr>
        <w:snapToGrid w:val="0"/>
        <w:spacing w:line="360" w:lineRule="auto"/>
        <w:ind w:firstLine="641"/>
        <w:rPr>
          <w:rFonts w:hint="eastAsia" w:ascii="宋体" w:hAnsi="宋体" w:cs="宋体"/>
          <w:szCs w:val="21"/>
        </w:rPr>
      </w:pPr>
    </w:p>
    <w:p w14:paraId="3DE21E3A">
      <w:pPr>
        <w:snapToGrid w:val="0"/>
        <w:spacing w:line="360" w:lineRule="auto"/>
        <w:ind w:firstLine="641"/>
        <w:rPr>
          <w:rFonts w:hint="eastAsia" w:ascii="宋体" w:hAnsi="宋体" w:cs="宋体"/>
          <w:szCs w:val="21"/>
        </w:rPr>
      </w:pPr>
      <w:r>
        <w:rPr>
          <w:rFonts w:hint="eastAsia" w:ascii="宋体" w:hAnsi="宋体" w:cs="宋体"/>
          <w:szCs w:val="21"/>
        </w:rPr>
        <w:t>供应商名称（盖章）：</w:t>
      </w:r>
    </w:p>
    <w:p w14:paraId="26AE6AFE">
      <w:pPr>
        <w:snapToGrid w:val="0"/>
        <w:spacing w:line="360" w:lineRule="auto"/>
        <w:ind w:firstLine="641"/>
        <w:rPr>
          <w:rFonts w:hint="eastAsia" w:ascii="宋体" w:hAnsi="宋体" w:cs="宋体"/>
          <w:szCs w:val="21"/>
        </w:rPr>
      </w:pPr>
      <w:r>
        <w:rPr>
          <w:rFonts w:hint="eastAsia" w:ascii="宋体" w:hAnsi="宋体" w:cs="宋体"/>
          <w:szCs w:val="21"/>
        </w:rPr>
        <w:t>法定代表人、负责人、自然人或授权代表(签字或盖章)：</w:t>
      </w:r>
    </w:p>
    <w:p w14:paraId="0C4B5689">
      <w:pPr>
        <w:snapToGrid w:val="0"/>
        <w:spacing w:line="360" w:lineRule="auto"/>
        <w:ind w:firstLine="641"/>
        <w:rPr>
          <w:rFonts w:hint="eastAsia" w:ascii="宋体" w:hAnsi="宋体" w:cs="宋体"/>
          <w:szCs w:val="21"/>
        </w:rPr>
      </w:pPr>
      <w:r>
        <w:rPr>
          <w:rFonts w:hint="eastAsia" w:ascii="宋体" w:hAnsi="宋体" w:cs="宋体"/>
          <w:szCs w:val="21"/>
        </w:rPr>
        <w:t>日期：       年      月       日</w:t>
      </w:r>
    </w:p>
    <w:p w14:paraId="41438B74">
      <w:pPr>
        <w:snapToGrid w:val="0"/>
        <w:spacing w:line="360" w:lineRule="auto"/>
        <w:ind w:firstLine="641"/>
        <w:rPr>
          <w:rFonts w:hint="eastAsia" w:ascii="宋体" w:hAnsi="宋体" w:cs="宋体"/>
          <w:szCs w:val="21"/>
        </w:rPr>
      </w:pPr>
    </w:p>
    <w:p w14:paraId="5749B822">
      <w:pPr>
        <w:snapToGrid w:val="0"/>
        <w:spacing w:line="360" w:lineRule="auto"/>
        <w:ind w:firstLine="641"/>
        <w:rPr>
          <w:rFonts w:hint="eastAsia" w:ascii="宋体" w:hAnsi="宋体" w:cs="宋体"/>
          <w:szCs w:val="21"/>
        </w:rPr>
      </w:pPr>
    </w:p>
    <w:p w14:paraId="4229C5C5">
      <w:pPr>
        <w:snapToGrid w:val="0"/>
        <w:spacing w:line="360" w:lineRule="auto"/>
        <w:ind w:firstLine="641"/>
        <w:rPr>
          <w:rFonts w:hint="eastAsia"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5794F31A">
      <w:pPr>
        <w:snapToGrid w:val="0"/>
        <w:spacing w:line="360" w:lineRule="auto"/>
        <w:ind w:firstLine="641"/>
        <w:rPr>
          <w:rFonts w:hint="eastAsia"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083F12CD">
      <w:pPr>
        <w:pStyle w:val="11"/>
        <w:spacing w:beforeAutospacing="0" w:afterAutospacing="0" w:line="460" w:lineRule="atLeast"/>
        <w:jc w:val="both"/>
        <w:rPr>
          <w:rFonts w:hint="eastAsia"/>
          <w:b/>
          <w:bCs/>
          <w:sz w:val="28"/>
          <w:szCs w:val="28"/>
        </w:rPr>
        <w:sectPr>
          <w:pgSz w:w="11906" w:h="16838"/>
          <w:pgMar w:top="1417" w:right="1474" w:bottom="1417" w:left="1474" w:header="851" w:footer="624" w:gutter="0"/>
          <w:cols w:space="720" w:num="1"/>
          <w:docGrid w:type="lines" w:linePitch="319" w:charSpace="0"/>
        </w:sectPr>
      </w:pPr>
    </w:p>
    <w:p w14:paraId="76C0FA97">
      <w:pPr>
        <w:rPr>
          <w:rFonts w:hint="eastAsia" w:ascii="宋体" w:hAnsi="宋体" w:cs="宋体"/>
        </w:rPr>
      </w:pPr>
      <w:bookmarkStart w:id="101" w:name="_Toc25094"/>
      <w:bookmarkStart w:id="102" w:name="_Toc31685"/>
      <w:bookmarkStart w:id="103" w:name="_Toc23394"/>
    </w:p>
    <w:p w14:paraId="645A74EE">
      <w:pPr>
        <w:pStyle w:val="6"/>
        <w:snapToGrid w:val="0"/>
        <w:spacing w:before="20" w:after="20" w:line="360" w:lineRule="auto"/>
        <w:jc w:val="center"/>
        <w:rPr>
          <w:rFonts w:hint="eastAsia" w:ascii="宋体" w:hAnsi="宋体" w:eastAsia="宋体" w:cs="宋体"/>
        </w:rPr>
      </w:pPr>
      <w:r>
        <w:rPr>
          <w:rFonts w:hint="eastAsia" w:ascii="宋体" w:hAnsi="宋体" w:eastAsia="宋体" w:cs="宋体"/>
        </w:rPr>
        <w:t>供应商认为有必要的其他资料</w:t>
      </w:r>
      <w:bookmarkEnd w:id="101"/>
      <w:bookmarkEnd w:id="102"/>
      <w:bookmarkEnd w:id="103"/>
    </w:p>
    <w:p w14:paraId="7D44B4E2">
      <w:pPr>
        <w:widowControl/>
        <w:spacing w:line="360" w:lineRule="auto"/>
        <w:ind w:firstLine="420" w:firstLineChars="200"/>
        <w:jc w:val="left"/>
        <w:rPr>
          <w:rFonts w:hint="eastAsia" w:ascii="宋体" w:hAnsi="宋体" w:cs="宋体"/>
          <w:kern w:val="0"/>
          <w:sz w:val="24"/>
        </w:rPr>
      </w:pPr>
      <w:r>
        <w:rPr>
          <w:rFonts w:hint="eastAsia" w:ascii="宋体" w:hAnsi="宋体" w:cs="宋体"/>
          <w:kern w:val="0"/>
          <w:szCs w:val="21"/>
        </w:rPr>
        <w:t>备注：供应商应当仔细核对竞争性磋商文件中有关废标条款和评审标准，提供供应商认为应当附加的其它内容，以充分证明其投标符合竞争性磋商文件规定，并为评审提供充分依据。如果供应商未能提供相关证明文件，将有可能导致废标或者无法得分。</w:t>
      </w:r>
    </w:p>
    <w:p w14:paraId="4FDC4DEB">
      <w:pPr>
        <w:pStyle w:val="11"/>
        <w:spacing w:beforeAutospacing="0" w:afterAutospacing="0" w:line="460" w:lineRule="atLeast"/>
        <w:jc w:val="both"/>
        <w:rPr>
          <w:rFonts w:hint="eastAsia"/>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4D7C5">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7DF4FB3">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07DF4FB3">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0096B">
    <w:pPr>
      <w:pStyle w:val="23"/>
      <w:pBdr>
        <w:top w:val="single" w:color="auto" w:sz="4" w:space="1"/>
      </w:pBdr>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2A61FEE">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2336;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52A61FEE">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46362FBA">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0B8A4">
    <w:pPr>
      <w:pStyle w:val="5"/>
      <w:jc w:val="right"/>
    </w:pPr>
    <w:r>
      <w:rPr>
        <w:rFonts w:hint="eastAsia" w:ascii="宋体" w:hAnsi="宋体" w:cs="宋体"/>
        <w:szCs w:val="21"/>
        <w:shd w:val="clear" w:color="auto" w:fill="FFFFFF"/>
      </w:rPr>
      <w:t>驻马店市中心医院病房改造提升项目初步设计竞争性磋商文件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062"/>
    <w:rsid w:val="000D71C5"/>
    <w:rsid w:val="000D72E6"/>
    <w:rsid w:val="000E252C"/>
    <w:rsid w:val="000E6B87"/>
    <w:rsid w:val="000E6D3C"/>
    <w:rsid w:val="000F035B"/>
    <w:rsid w:val="000F2100"/>
    <w:rsid w:val="000F4A3C"/>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67843"/>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568F"/>
    <w:rsid w:val="001A6057"/>
    <w:rsid w:val="001A63D5"/>
    <w:rsid w:val="001B4D8E"/>
    <w:rsid w:val="001B6482"/>
    <w:rsid w:val="001C08A9"/>
    <w:rsid w:val="001D0A27"/>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298F"/>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7B1"/>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4EF3"/>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48ED"/>
    <w:rsid w:val="004C6D19"/>
    <w:rsid w:val="004D5FCF"/>
    <w:rsid w:val="004D6759"/>
    <w:rsid w:val="004D751C"/>
    <w:rsid w:val="004D7B42"/>
    <w:rsid w:val="004E4688"/>
    <w:rsid w:val="004F0462"/>
    <w:rsid w:val="004F1D7C"/>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0203"/>
    <w:rsid w:val="006113E7"/>
    <w:rsid w:val="006134B6"/>
    <w:rsid w:val="00622261"/>
    <w:rsid w:val="00627850"/>
    <w:rsid w:val="00627DC7"/>
    <w:rsid w:val="00632751"/>
    <w:rsid w:val="00633657"/>
    <w:rsid w:val="00635EE7"/>
    <w:rsid w:val="006402B4"/>
    <w:rsid w:val="00640403"/>
    <w:rsid w:val="00643CF6"/>
    <w:rsid w:val="0064622C"/>
    <w:rsid w:val="0064748F"/>
    <w:rsid w:val="0064772A"/>
    <w:rsid w:val="006506F3"/>
    <w:rsid w:val="006527BA"/>
    <w:rsid w:val="00652F2B"/>
    <w:rsid w:val="00654565"/>
    <w:rsid w:val="00654D3A"/>
    <w:rsid w:val="00657186"/>
    <w:rsid w:val="00657B85"/>
    <w:rsid w:val="00662038"/>
    <w:rsid w:val="00662F1B"/>
    <w:rsid w:val="00663912"/>
    <w:rsid w:val="00665B74"/>
    <w:rsid w:val="00666E46"/>
    <w:rsid w:val="006733F1"/>
    <w:rsid w:val="00674B7B"/>
    <w:rsid w:val="00675481"/>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1D8D"/>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02FF6"/>
    <w:rsid w:val="00715942"/>
    <w:rsid w:val="00717D28"/>
    <w:rsid w:val="00720430"/>
    <w:rsid w:val="007213BD"/>
    <w:rsid w:val="0072294E"/>
    <w:rsid w:val="00730A53"/>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932E3"/>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0862"/>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9A9"/>
    <w:rsid w:val="00880AFB"/>
    <w:rsid w:val="0088168B"/>
    <w:rsid w:val="00881F4C"/>
    <w:rsid w:val="00882EFA"/>
    <w:rsid w:val="008849DE"/>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3754F"/>
    <w:rsid w:val="009404CE"/>
    <w:rsid w:val="0094252B"/>
    <w:rsid w:val="0094548A"/>
    <w:rsid w:val="00947054"/>
    <w:rsid w:val="00947CF0"/>
    <w:rsid w:val="0095275E"/>
    <w:rsid w:val="00952958"/>
    <w:rsid w:val="0096169A"/>
    <w:rsid w:val="009616B6"/>
    <w:rsid w:val="00961C05"/>
    <w:rsid w:val="009659CB"/>
    <w:rsid w:val="00966ECA"/>
    <w:rsid w:val="00967B87"/>
    <w:rsid w:val="00970A29"/>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049C"/>
    <w:rsid w:val="009C113C"/>
    <w:rsid w:val="009C2AC3"/>
    <w:rsid w:val="009C491F"/>
    <w:rsid w:val="009C4A96"/>
    <w:rsid w:val="009C512B"/>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56715"/>
    <w:rsid w:val="00A62166"/>
    <w:rsid w:val="00A657B8"/>
    <w:rsid w:val="00A65A67"/>
    <w:rsid w:val="00A6650A"/>
    <w:rsid w:val="00A7048A"/>
    <w:rsid w:val="00A7082D"/>
    <w:rsid w:val="00A70F9F"/>
    <w:rsid w:val="00A73715"/>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B6CE8"/>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0B19"/>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3DE"/>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370B"/>
    <w:rsid w:val="00C86101"/>
    <w:rsid w:val="00C87916"/>
    <w:rsid w:val="00C90C23"/>
    <w:rsid w:val="00C91556"/>
    <w:rsid w:val="00C915EB"/>
    <w:rsid w:val="00C943E0"/>
    <w:rsid w:val="00CA2EDD"/>
    <w:rsid w:val="00CA4EFF"/>
    <w:rsid w:val="00CA61E0"/>
    <w:rsid w:val="00CC46FD"/>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89"/>
    <w:rsid w:val="00D021C1"/>
    <w:rsid w:val="00D05AE8"/>
    <w:rsid w:val="00D074CA"/>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D7040"/>
    <w:rsid w:val="00EE2859"/>
    <w:rsid w:val="00EE587A"/>
    <w:rsid w:val="00EE76CE"/>
    <w:rsid w:val="00EE7F59"/>
    <w:rsid w:val="00EF1189"/>
    <w:rsid w:val="00EF217F"/>
    <w:rsid w:val="00F10A0C"/>
    <w:rsid w:val="00F12C86"/>
    <w:rsid w:val="00F13026"/>
    <w:rsid w:val="00F15FB3"/>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5DD7"/>
    <w:rsid w:val="00FB7C15"/>
    <w:rsid w:val="00FC3F1B"/>
    <w:rsid w:val="00FC530A"/>
    <w:rsid w:val="00FC6C54"/>
    <w:rsid w:val="00FD05C6"/>
    <w:rsid w:val="00FD0800"/>
    <w:rsid w:val="00FD364A"/>
    <w:rsid w:val="00FD5205"/>
    <w:rsid w:val="00FD5661"/>
    <w:rsid w:val="00FD58CB"/>
    <w:rsid w:val="00FE2A9D"/>
    <w:rsid w:val="00FE4D23"/>
    <w:rsid w:val="00FE673C"/>
    <w:rsid w:val="00FF1AC1"/>
    <w:rsid w:val="00FF2866"/>
    <w:rsid w:val="00FF328E"/>
    <w:rsid w:val="00FF3BCD"/>
    <w:rsid w:val="00FF5B28"/>
    <w:rsid w:val="00FF5FBF"/>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AB7DA3"/>
    <w:rsid w:val="02B97DFD"/>
    <w:rsid w:val="02C866AB"/>
    <w:rsid w:val="02CB7F49"/>
    <w:rsid w:val="02D92EF7"/>
    <w:rsid w:val="02DA4630"/>
    <w:rsid w:val="02DA4665"/>
    <w:rsid w:val="02E84657"/>
    <w:rsid w:val="02F40325"/>
    <w:rsid w:val="02F70D3E"/>
    <w:rsid w:val="02FA082F"/>
    <w:rsid w:val="031126C4"/>
    <w:rsid w:val="033124A2"/>
    <w:rsid w:val="034733B8"/>
    <w:rsid w:val="03475E56"/>
    <w:rsid w:val="034877EC"/>
    <w:rsid w:val="034C5AA2"/>
    <w:rsid w:val="0353518A"/>
    <w:rsid w:val="035E4919"/>
    <w:rsid w:val="03675F31"/>
    <w:rsid w:val="036A009A"/>
    <w:rsid w:val="037A734D"/>
    <w:rsid w:val="03844805"/>
    <w:rsid w:val="03845791"/>
    <w:rsid w:val="03A011E9"/>
    <w:rsid w:val="03AE7F27"/>
    <w:rsid w:val="03BD2BCD"/>
    <w:rsid w:val="03C30C20"/>
    <w:rsid w:val="03CC058D"/>
    <w:rsid w:val="03E017D2"/>
    <w:rsid w:val="03F447E2"/>
    <w:rsid w:val="03F77068"/>
    <w:rsid w:val="03FB660C"/>
    <w:rsid w:val="042E37DB"/>
    <w:rsid w:val="04416C20"/>
    <w:rsid w:val="044F28FA"/>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222D0"/>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3430F"/>
    <w:rsid w:val="0737768A"/>
    <w:rsid w:val="074A5B92"/>
    <w:rsid w:val="0757624F"/>
    <w:rsid w:val="075D0147"/>
    <w:rsid w:val="075E3193"/>
    <w:rsid w:val="078E18EB"/>
    <w:rsid w:val="07AA2823"/>
    <w:rsid w:val="07B02D9F"/>
    <w:rsid w:val="07B10EA5"/>
    <w:rsid w:val="07C510CB"/>
    <w:rsid w:val="07CD6512"/>
    <w:rsid w:val="07CE3FA1"/>
    <w:rsid w:val="07EC2ECB"/>
    <w:rsid w:val="07F037C8"/>
    <w:rsid w:val="07F7533D"/>
    <w:rsid w:val="07FE66CB"/>
    <w:rsid w:val="080B4D47"/>
    <w:rsid w:val="081B727D"/>
    <w:rsid w:val="081D2FF5"/>
    <w:rsid w:val="08321601"/>
    <w:rsid w:val="08326375"/>
    <w:rsid w:val="083D5C91"/>
    <w:rsid w:val="0847191F"/>
    <w:rsid w:val="08577E63"/>
    <w:rsid w:val="08591DC3"/>
    <w:rsid w:val="085B58CB"/>
    <w:rsid w:val="08672793"/>
    <w:rsid w:val="08695E80"/>
    <w:rsid w:val="087B41C0"/>
    <w:rsid w:val="087C4541"/>
    <w:rsid w:val="087E5595"/>
    <w:rsid w:val="088F472F"/>
    <w:rsid w:val="08BC0A60"/>
    <w:rsid w:val="08C52D6F"/>
    <w:rsid w:val="08E42BE4"/>
    <w:rsid w:val="08EF0201"/>
    <w:rsid w:val="08F41DE8"/>
    <w:rsid w:val="08FA3336"/>
    <w:rsid w:val="09120680"/>
    <w:rsid w:val="09150170"/>
    <w:rsid w:val="09212671"/>
    <w:rsid w:val="093A3733"/>
    <w:rsid w:val="093D1475"/>
    <w:rsid w:val="094840A2"/>
    <w:rsid w:val="09523172"/>
    <w:rsid w:val="095F3199"/>
    <w:rsid w:val="09644C54"/>
    <w:rsid w:val="09737462"/>
    <w:rsid w:val="099156C3"/>
    <w:rsid w:val="099E1F14"/>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BFF061B"/>
    <w:rsid w:val="0C046D3C"/>
    <w:rsid w:val="0C0A7D34"/>
    <w:rsid w:val="0C230DF6"/>
    <w:rsid w:val="0C3152C1"/>
    <w:rsid w:val="0C3957A5"/>
    <w:rsid w:val="0C507E2F"/>
    <w:rsid w:val="0C540FAF"/>
    <w:rsid w:val="0C600D66"/>
    <w:rsid w:val="0C626DA7"/>
    <w:rsid w:val="0C6876AE"/>
    <w:rsid w:val="0C71390F"/>
    <w:rsid w:val="0C720EC8"/>
    <w:rsid w:val="0C942042"/>
    <w:rsid w:val="0C9D50DC"/>
    <w:rsid w:val="0CA5271D"/>
    <w:rsid w:val="0CAC4D10"/>
    <w:rsid w:val="0CC53C5B"/>
    <w:rsid w:val="0CC72121"/>
    <w:rsid w:val="0CEE5A21"/>
    <w:rsid w:val="0CF602B9"/>
    <w:rsid w:val="0D05268E"/>
    <w:rsid w:val="0D0646E7"/>
    <w:rsid w:val="0D0C38CA"/>
    <w:rsid w:val="0D206810"/>
    <w:rsid w:val="0D444B80"/>
    <w:rsid w:val="0D4861FD"/>
    <w:rsid w:val="0D735465"/>
    <w:rsid w:val="0DAD6BC9"/>
    <w:rsid w:val="0DB066B9"/>
    <w:rsid w:val="0DC577E0"/>
    <w:rsid w:val="0DDC6319"/>
    <w:rsid w:val="0DE1181F"/>
    <w:rsid w:val="0DE95727"/>
    <w:rsid w:val="0DED5D54"/>
    <w:rsid w:val="0DFA5B87"/>
    <w:rsid w:val="0DFE4F67"/>
    <w:rsid w:val="0E0407B3"/>
    <w:rsid w:val="0E0C0D4C"/>
    <w:rsid w:val="0E113A11"/>
    <w:rsid w:val="0E115DA1"/>
    <w:rsid w:val="0E1409F6"/>
    <w:rsid w:val="0E162D6D"/>
    <w:rsid w:val="0E19425F"/>
    <w:rsid w:val="0E3C1CFB"/>
    <w:rsid w:val="0E460DCC"/>
    <w:rsid w:val="0E541CA2"/>
    <w:rsid w:val="0E576B35"/>
    <w:rsid w:val="0E594756"/>
    <w:rsid w:val="0E95596D"/>
    <w:rsid w:val="0EAE6205"/>
    <w:rsid w:val="0EAE6579"/>
    <w:rsid w:val="0EAF71BF"/>
    <w:rsid w:val="0EC71F0D"/>
    <w:rsid w:val="0ECE6257"/>
    <w:rsid w:val="0EE303C9"/>
    <w:rsid w:val="0EE4129D"/>
    <w:rsid w:val="0F171032"/>
    <w:rsid w:val="0F197357"/>
    <w:rsid w:val="0F335E69"/>
    <w:rsid w:val="0F372614"/>
    <w:rsid w:val="0F3D59C9"/>
    <w:rsid w:val="0F44530B"/>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6372C"/>
    <w:rsid w:val="11700D10"/>
    <w:rsid w:val="1178125A"/>
    <w:rsid w:val="117F6E8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2E82452"/>
    <w:rsid w:val="13036052"/>
    <w:rsid w:val="131E7C21"/>
    <w:rsid w:val="13272A5D"/>
    <w:rsid w:val="132A2A6A"/>
    <w:rsid w:val="133C40E3"/>
    <w:rsid w:val="133F4BFF"/>
    <w:rsid w:val="13410069"/>
    <w:rsid w:val="13493108"/>
    <w:rsid w:val="134A4EBA"/>
    <w:rsid w:val="13713CFE"/>
    <w:rsid w:val="13733928"/>
    <w:rsid w:val="13741F37"/>
    <w:rsid w:val="13857CA0"/>
    <w:rsid w:val="13920D68"/>
    <w:rsid w:val="139454AD"/>
    <w:rsid w:val="139C16C9"/>
    <w:rsid w:val="13A5238E"/>
    <w:rsid w:val="13B63CE1"/>
    <w:rsid w:val="13BC6684"/>
    <w:rsid w:val="13C72B3A"/>
    <w:rsid w:val="13D12EE6"/>
    <w:rsid w:val="13DF575E"/>
    <w:rsid w:val="13E470BD"/>
    <w:rsid w:val="13EE3A98"/>
    <w:rsid w:val="13F3280A"/>
    <w:rsid w:val="141B23B3"/>
    <w:rsid w:val="142123F7"/>
    <w:rsid w:val="142A11D8"/>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926F4"/>
    <w:rsid w:val="14FC36BD"/>
    <w:rsid w:val="14FF5EA7"/>
    <w:rsid w:val="15127C5A"/>
    <w:rsid w:val="15194B44"/>
    <w:rsid w:val="151E3A0F"/>
    <w:rsid w:val="152534E9"/>
    <w:rsid w:val="152F4368"/>
    <w:rsid w:val="153A36AA"/>
    <w:rsid w:val="15477903"/>
    <w:rsid w:val="1557566D"/>
    <w:rsid w:val="1565422D"/>
    <w:rsid w:val="156E0971"/>
    <w:rsid w:val="15785B3E"/>
    <w:rsid w:val="15811F1B"/>
    <w:rsid w:val="159B37AB"/>
    <w:rsid w:val="15A30135"/>
    <w:rsid w:val="15A34015"/>
    <w:rsid w:val="15BB487B"/>
    <w:rsid w:val="15C9656A"/>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11641B"/>
    <w:rsid w:val="17233E03"/>
    <w:rsid w:val="17332185"/>
    <w:rsid w:val="17475951"/>
    <w:rsid w:val="175C542D"/>
    <w:rsid w:val="175D0ED4"/>
    <w:rsid w:val="17793FC0"/>
    <w:rsid w:val="177D585E"/>
    <w:rsid w:val="179D33A9"/>
    <w:rsid w:val="179F2E61"/>
    <w:rsid w:val="17A06264"/>
    <w:rsid w:val="17BE19D3"/>
    <w:rsid w:val="17C227C0"/>
    <w:rsid w:val="17D66D7C"/>
    <w:rsid w:val="17DE0EDF"/>
    <w:rsid w:val="17EE5BFF"/>
    <w:rsid w:val="18097740"/>
    <w:rsid w:val="18136133"/>
    <w:rsid w:val="184055B9"/>
    <w:rsid w:val="184A2082"/>
    <w:rsid w:val="18581E27"/>
    <w:rsid w:val="185D3C42"/>
    <w:rsid w:val="185F38AF"/>
    <w:rsid w:val="188F0211"/>
    <w:rsid w:val="18AD1BEB"/>
    <w:rsid w:val="18B3004A"/>
    <w:rsid w:val="18B31B6D"/>
    <w:rsid w:val="18B96080"/>
    <w:rsid w:val="18CE20EA"/>
    <w:rsid w:val="18D70F9E"/>
    <w:rsid w:val="18DB2CD8"/>
    <w:rsid w:val="18F67868"/>
    <w:rsid w:val="18FA7F3C"/>
    <w:rsid w:val="1901426D"/>
    <w:rsid w:val="190B0C48"/>
    <w:rsid w:val="190B2D88"/>
    <w:rsid w:val="190E6B63"/>
    <w:rsid w:val="19123928"/>
    <w:rsid w:val="19194264"/>
    <w:rsid w:val="19283048"/>
    <w:rsid w:val="19410B0E"/>
    <w:rsid w:val="19420786"/>
    <w:rsid w:val="19427EC0"/>
    <w:rsid w:val="195711D7"/>
    <w:rsid w:val="195D2A3F"/>
    <w:rsid w:val="198310E9"/>
    <w:rsid w:val="198D747A"/>
    <w:rsid w:val="19A15638"/>
    <w:rsid w:val="19A74DFE"/>
    <w:rsid w:val="19A753EF"/>
    <w:rsid w:val="19DF45AE"/>
    <w:rsid w:val="1A125525"/>
    <w:rsid w:val="1A18361C"/>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A23AE5"/>
    <w:rsid w:val="1BB73AE1"/>
    <w:rsid w:val="1BDA6D68"/>
    <w:rsid w:val="1BF14125"/>
    <w:rsid w:val="1BF22F1A"/>
    <w:rsid w:val="1C002CEE"/>
    <w:rsid w:val="1C057BD0"/>
    <w:rsid w:val="1C157783"/>
    <w:rsid w:val="1C4032FE"/>
    <w:rsid w:val="1C53113A"/>
    <w:rsid w:val="1C555978"/>
    <w:rsid w:val="1C6554A1"/>
    <w:rsid w:val="1C6B037B"/>
    <w:rsid w:val="1C7971B7"/>
    <w:rsid w:val="1C8036FB"/>
    <w:rsid w:val="1C8651B5"/>
    <w:rsid w:val="1C917D91"/>
    <w:rsid w:val="1CA94A00"/>
    <w:rsid w:val="1CAB2820"/>
    <w:rsid w:val="1CBD097C"/>
    <w:rsid w:val="1CD402EC"/>
    <w:rsid w:val="1CDB6B83"/>
    <w:rsid w:val="1CED16EF"/>
    <w:rsid w:val="1CF02333"/>
    <w:rsid w:val="1D047E88"/>
    <w:rsid w:val="1D0C33A2"/>
    <w:rsid w:val="1D0C4F8F"/>
    <w:rsid w:val="1D113E6E"/>
    <w:rsid w:val="1D114E5E"/>
    <w:rsid w:val="1D13631D"/>
    <w:rsid w:val="1D1F0050"/>
    <w:rsid w:val="1D214EDE"/>
    <w:rsid w:val="1D2222DC"/>
    <w:rsid w:val="1D4209B0"/>
    <w:rsid w:val="1D5144F7"/>
    <w:rsid w:val="1D5B3CDE"/>
    <w:rsid w:val="1D5D0701"/>
    <w:rsid w:val="1D6E2950"/>
    <w:rsid w:val="1D79298C"/>
    <w:rsid w:val="1D98209B"/>
    <w:rsid w:val="1DA23746"/>
    <w:rsid w:val="1DAA14B9"/>
    <w:rsid w:val="1DD04513"/>
    <w:rsid w:val="1DD8524D"/>
    <w:rsid w:val="1DDD2BCB"/>
    <w:rsid w:val="1E0345E3"/>
    <w:rsid w:val="1E1B7B7F"/>
    <w:rsid w:val="1E2D340E"/>
    <w:rsid w:val="1E3807E7"/>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1A6D78"/>
    <w:rsid w:val="1F2D4691"/>
    <w:rsid w:val="1F2D491A"/>
    <w:rsid w:val="1F2F6D09"/>
    <w:rsid w:val="1F3F789D"/>
    <w:rsid w:val="1F443106"/>
    <w:rsid w:val="1F4E5D32"/>
    <w:rsid w:val="1F66355F"/>
    <w:rsid w:val="1F7369C7"/>
    <w:rsid w:val="1F9113A9"/>
    <w:rsid w:val="1F94547B"/>
    <w:rsid w:val="1FA47700"/>
    <w:rsid w:val="1FAF308C"/>
    <w:rsid w:val="1FB64FF9"/>
    <w:rsid w:val="1FC11109"/>
    <w:rsid w:val="1FD2426D"/>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0F3093F"/>
    <w:rsid w:val="2100305C"/>
    <w:rsid w:val="210F579E"/>
    <w:rsid w:val="21163FF0"/>
    <w:rsid w:val="211B39F2"/>
    <w:rsid w:val="212550B5"/>
    <w:rsid w:val="212B632B"/>
    <w:rsid w:val="21556F04"/>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2C638A"/>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31B9D"/>
    <w:rsid w:val="24044EF2"/>
    <w:rsid w:val="2407139D"/>
    <w:rsid w:val="240B04F4"/>
    <w:rsid w:val="240E369A"/>
    <w:rsid w:val="241E2177"/>
    <w:rsid w:val="242A0646"/>
    <w:rsid w:val="2435301D"/>
    <w:rsid w:val="243A0633"/>
    <w:rsid w:val="243D6E1A"/>
    <w:rsid w:val="24453D05"/>
    <w:rsid w:val="244A2F6C"/>
    <w:rsid w:val="24607F91"/>
    <w:rsid w:val="246C581B"/>
    <w:rsid w:val="2473294E"/>
    <w:rsid w:val="247C52A2"/>
    <w:rsid w:val="249266C1"/>
    <w:rsid w:val="24942917"/>
    <w:rsid w:val="24AE34FB"/>
    <w:rsid w:val="24CC106B"/>
    <w:rsid w:val="24D00598"/>
    <w:rsid w:val="24D725E9"/>
    <w:rsid w:val="24EC31CF"/>
    <w:rsid w:val="25045F70"/>
    <w:rsid w:val="250474F1"/>
    <w:rsid w:val="25056E93"/>
    <w:rsid w:val="25092EBA"/>
    <w:rsid w:val="250E5D48"/>
    <w:rsid w:val="25241020"/>
    <w:rsid w:val="25302410"/>
    <w:rsid w:val="25746AD7"/>
    <w:rsid w:val="257572C3"/>
    <w:rsid w:val="25790E85"/>
    <w:rsid w:val="25834A38"/>
    <w:rsid w:val="25965D3D"/>
    <w:rsid w:val="25972C60"/>
    <w:rsid w:val="25974C6F"/>
    <w:rsid w:val="259D1676"/>
    <w:rsid w:val="25A353EB"/>
    <w:rsid w:val="25B87B65"/>
    <w:rsid w:val="25CB78C3"/>
    <w:rsid w:val="25D54390"/>
    <w:rsid w:val="25D6438C"/>
    <w:rsid w:val="25DF1492"/>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45EB0"/>
    <w:rsid w:val="27565784"/>
    <w:rsid w:val="275E53AF"/>
    <w:rsid w:val="27606603"/>
    <w:rsid w:val="276658E8"/>
    <w:rsid w:val="276F6846"/>
    <w:rsid w:val="277E30D2"/>
    <w:rsid w:val="27803F2A"/>
    <w:rsid w:val="278A18D2"/>
    <w:rsid w:val="27983FEE"/>
    <w:rsid w:val="27A34941"/>
    <w:rsid w:val="27A97FAA"/>
    <w:rsid w:val="27EE3A7B"/>
    <w:rsid w:val="27FA25B3"/>
    <w:rsid w:val="28033B5E"/>
    <w:rsid w:val="28043EC1"/>
    <w:rsid w:val="28100029"/>
    <w:rsid w:val="28125B4F"/>
    <w:rsid w:val="282B09BF"/>
    <w:rsid w:val="282E4F00"/>
    <w:rsid w:val="283C23DF"/>
    <w:rsid w:val="283D69F1"/>
    <w:rsid w:val="283F090E"/>
    <w:rsid w:val="284C16F5"/>
    <w:rsid w:val="28570AB5"/>
    <w:rsid w:val="2858552C"/>
    <w:rsid w:val="285F2CDC"/>
    <w:rsid w:val="28622C36"/>
    <w:rsid w:val="2869172C"/>
    <w:rsid w:val="288C2D07"/>
    <w:rsid w:val="289E7E22"/>
    <w:rsid w:val="28C2534B"/>
    <w:rsid w:val="28C5525A"/>
    <w:rsid w:val="28D14B96"/>
    <w:rsid w:val="29020C46"/>
    <w:rsid w:val="290240C7"/>
    <w:rsid w:val="291713AF"/>
    <w:rsid w:val="291A2B97"/>
    <w:rsid w:val="29274EE0"/>
    <w:rsid w:val="294633F0"/>
    <w:rsid w:val="294F692F"/>
    <w:rsid w:val="295029E3"/>
    <w:rsid w:val="29543A59"/>
    <w:rsid w:val="29670ED3"/>
    <w:rsid w:val="296879F1"/>
    <w:rsid w:val="2969197F"/>
    <w:rsid w:val="29746E87"/>
    <w:rsid w:val="297939AC"/>
    <w:rsid w:val="297C03C2"/>
    <w:rsid w:val="299573AB"/>
    <w:rsid w:val="29B05804"/>
    <w:rsid w:val="29B82726"/>
    <w:rsid w:val="29BE5BD0"/>
    <w:rsid w:val="29C01572"/>
    <w:rsid w:val="29C25353"/>
    <w:rsid w:val="29CA4207"/>
    <w:rsid w:val="29D82DC8"/>
    <w:rsid w:val="29DA08EE"/>
    <w:rsid w:val="29DB6414"/>
    <w:rsid w:val="29DD60B5"/>
    <w:rsid w:val="29E74CE2"/>
    <w:rsid w:val="2A0E0AB2"/>
    <w:rsid w:val="2A133E00"/>
    <w:rsid w:val="2A241B69"/>
    <w:rsid w:val="2A306A36"/>
    <w:rsid w:val="2A355B25"/>
    <w:rsid w:val="2A41271B"/>
    <w:rsid w:val="2A457300"/>
    <w:rsid w:val="2A5372C6"/>
    <w:rsid w:val="2A5A558B"/>
    <w:rsid w:val="2A5B03D8"/>
    <w:rsid w:val="2A68414C"/>
    <w:rsid w:val="2A6F6D07"/>
    <w:rsid w:val="2A852253"/>
    <w:rsid w:val="2A882500"/>
    <w:rsid w:val="2A9F7442"/>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3B360F"/>
    <w:rsid w:val="2B4A5600"/>
    <w:rsid w:val="2B574FD9"/>
    <w:rsid w:val="2B642979"/>
    <w:rsid w:val="2B654BED"/>
    <w:rsid w:val="2B681F2A"/>
    <w:rsid w:val="2B8D373E"/>
    <w:rsid w:val="2B9E4F56"/>
    <w:rsid w:val="2BD96984"/>
    <w:rsid w:val="2BDB5A88"/>
    <w:rsid w:val="2BDB6BA0"/>
    <w:rsid w:val="2BE91C37"/>
    <w:rsid w:val="2BEC3F72"/>
    <w:rsid w:val="2BF35C97"/>
    <w:rsid w:val="2C083572"/>
    <w:rsid w:val="2C185F94"/>
    <w:rsid w:val="2C1F1AC4"/>
    <w:rsid w:val="2C2422F5"/>
    <w:rsid w:val="2C271DE5"/>
    <w:rsid w:val="2C2945BA"/>
    <w:rsid w:val="2C2E71FC"/>
    <w:rsid w:val="2C3F3A41"/>
    <w:rsid w:val="2C4431C4"/>
    <w:rsid w:val="2C55747C"/>
    <w:rsid w:val="2C62059F"/>
    <w:rsid w:val="2C6634FA"/>
    <w:rsid w:val="2C7566AC"/>
    <w:rsid w:val="2C7843EE"/>
    <w:rsid w:val="2CA25191"/>
    <w:rsid w:val="2CA85003"/>
    <w:rsid w:val="2CAC022C"/>
    <w:rsid w:val="2CB25B52"/>
    <w:rsid w:val="2CC11807"/>
    <w:rsid w:val="2CC66CD6"/>
    <w:rsid w:val="2CE327BC"/>
    <w:rsid w:val="2CEB696E"/>
    <w:rsid w:val="2CF16074"/>
    <w:rsid w:val="2CF241A1"/>
    <w:rsid w:val="2CF81D1B"/>
    <w:rsid w:val="2CFE48F4"/>
    <w:rsid w:val="2D3F2453"/>
    <w:rsid w:val="2D6F134E"/>
    <w:rsid w:val="2D835174"/>
    <w:rsid w:val="2D9331F9"/>
    <w:rsid w:val="2DD90B7B"/>
    <w:rsid w:val="2DD92C6B"/>
    <w:rsid w:val="2DDD3FC1"/>
    <w:rsid w:val="2DE531B8"/>
    <w:rsid w:val="2DEA131C"/>
    <w:rsid w:val="2DF701D8"/>
    <w:rsid w:val="2DF9330D"/>
    <w:rsid w:val="2DF970A1"/>
    <w:rsid w:val="2E0665A9"/>
    <w:rsid w:val="2E085834"/>
    <w:rsid w:val="2E1034F8"/>
    <w:rsid w:val="2E112405"/>
    <w:rsid w:val="2E120D8E"/>
    <w:rsid w:val="2E1B46D1"/>
    <w:rsid w:val="2E310CF9"/>
    <w:rsid w:val="2E443652"/>
    <w:rsid w:val="2E505773"/>
    <w:rsid w:val="2E52461F"/>
    <w:rsid w:val="2E5C0A3D"/>
    <w:rsid w:val="2E6F6D21"/>
    <w:rsid w:val="2E742F70"/>
    <w:rsid w:val="2E8E7EF9"/>
    <w:rsid w:val="2E9077CD"/>
    <w:rsid w:val="2E9574DA"/>
    <w:rsid w:val="2E9A689E"/>
    <w:rsid w:val="2ECF360C"/>
    <w:rsid w:val="2ED61D9E"/>
    <w:rsid w:val="2EDC2A13"/>
    <w:rsid w:val="2EFD7DB9"/>
    <w:rsid w:val="2F1A081D"/>
    <w:rsid w:val="2F1C72B3"/>
    <w:rsid w:val="2F1E1306"/>
    <w:rsid w:val="2F1E3DC0"/>
    <w:rsid w:val="2F2D326E"/>
    <w:rsid w:val="2F3112DE"/>
    <w:rsid w:val="2F3B6922"/>
    <w:rsid w:val="2F3D7B25"/>
    <w:rsid w:val="2F480119"/>
    <w:rsid w:val="2F4D1B62"/>
    <w:rsid w:val="2F506C6D"/>
    <w:rsid w:val="2F512253"/>
    <w:rsid w:val="2F51291F"/>
    <w:rsid w:val="2F55758A"/>
    <w:rsid w:val="2F68074A"/>
    <w:rsid w:val="2F7610B9"/>
    <w:rsid w:val="2F7F15AE"/>
    <w:rsid w:val="2F7F6886"/>
    <w:rsid w:val="2F912594"/>
    <w:rsid w:val="2FA07EE4"/>
    <w:rsid w:val="2FA54796"/>
    <w:rsid w:val="2FA674E2"/>
    <w:rsid w:val="2FE853E7"/>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16A06"/>
    <w:rsid w:val="30E7260A"/>
    <w:rsid w:val="30EA0C38"/>
    <w:rsid w:val="31002970"/>
    <w:rsid w:val="311016AD"/>
    <w:rsid w:val="31140B8A"/>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ED3189"/>
    <w:rsid w:val="31F27AF7"/>
    <w:rsid w:val="31FA74CA"/>
    <w:rsid w:val="32176602"/>
    <w:rsid w:val="32186458"/>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1E7629"/>
    <w:rsid w:val="34526D71"/>
    <w:rsid w:val="34584EE2"/>
    <w:rsid w:val="347A1C51"/>
    <w:rsid w:val="347D373F"/>
    <w:rsid w:val="34922A93"/>
    <w:rsid w:val="34956481"/>
    <w:rsid w:val="34A35871"/>
    <w:rsid w:val="34C06C9D"/>
    <w:rsid w:val="34DF24AE"/>
    <w:rsid w:val="34F5482E"/>
    <w:rsid w:val="35020CF9"/>
    <w:rsid w:val="351A24E7"/>
    <w:rsid w:val="351C4931"/>
    <w:rsid w:val="351C4EAC"/>
    <w:rsid w:val="351C625F"/>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5EA010B"/>
    <w:rsid w:val="35EE538F"/>
    <w:rsid w:val="36080591"/>
    <w:rsid w:val="3609472F"/>
    <w:rsid w:val="36162CAE"/>
    <w:rsid w:val="36183AA2"/>
    <w:rsid w:val="36203B2D"/>
    <w:rsid w:val="36257395"/>
    <w:rsid w:val="363275A8"/>
    <w:rsid w:val="363E0457"/>
    <w:rsid w:val="365B4B65"/>
    <w:rsid w:val="36806379"/>
    <w:rsid w:val="369B4CF0"/>
    <w:rsid w:val="36D62629"/>
    <w:rsid w:val="36D76172"/>
    <w:rsid w:val="36D84407"/>
    <w:rsid w:val="36E833BB"/>
    <w:rsid w:val="36EB1E1B"/>
    <w:rsid w:val="36F17F0D"/>
    <w:rsid w:val="36FB00F6"/>
    <w:rsid w:val="36FF5095"/>
    <w:rsid w:val="37103BA1"/>
    <w:rsid w:val="37224581"/>
    <w:rsid w:val="3735197D"/>
    <w:rsid w:val="373756A2"/>
    <w:rsid w:val="3747333B"/>
    <w:rsid w:val="374A416C"/>
    <w:rsid w:val="375E0DA6"/>
    <w:rsid w:val="377639AE"/>
    <w:rsid w:val="378142CB"/>
    <w:rsid w:val="378B61A6"/>
    <w:rsid w:val="379522F8"/>
    <w:rsid w:val="379A790F"/>
    <w:rsid w:val="37A10C9D"/>
    <w:rsid w:val="37B90F0B"/>
    <w:rsid w:val="37C60C33"/>
    <w:rsid w:val="37CD3F98"/>
    <w:rsid w:val="37DE77FC"/>
    <w:rsid w:val="37DF75BA"/>
    <w:rsid w:val="37E148E2"/>
    <w:rsid w:val="37F848EE"/>
    <w:rsid w:val="37F912FC"/>
    <w:rsid w:val="380D59EE"/>
    <w:rsid w:val="38304889"/>
    <w:rsid w:val="3836588A"/>
    <w:rsid w:val="38382675"/>
    <w:rsid w:val="383B7B0D"/>
    <w:rsid w:val="3848553B"/>
    <w:rsid w:val="384855BD"/>
    <w:rsid w:val="3851700B"/>
    <w:rsid w:val="385246B6"/>
    <w:rsid w:val="385E6B8E"/>
    <w:rsid w:val="38740160"/>
    <w:rsid w:val="3876113B"/>
    <w:rsid w:val="38883C0B"/>
    <w:rsid w:val="38A53DB7"/>
    <w:rsid w:val="38B7004D"/>
    <w:rsid w:val="38BF3388"/>
    <w:rsid w:val="38CC268D"/>
    <w:rsid w:val="38DF1FDA"/>
    <w:rsid w:val="38EC2960"/>
    <w:rsid w:val="390069DD"/>
    <w:rsid w:val="39030CF9"/>
    <w:rsid w:val="39091F35"/>
    <w:rsid w:val="390A63CE"/>
    <w:rsid w:val="392536E2"/>
    <w:rsid w:val="39465F15"/>
    <w:rsid w:val="39505209"/>
    <w:rsid w:val="3962620A"/>
    <w:rsid w:val="396453C5"/>
    <w:rsid w:val="39922CCF"/>
    <w:rsid w:val="39A24859"/>
    <w:rsid w:val="39A65327"/>
    <w:rsid w:val="39A65C9B"/>
    <w:rsid w:val="39BC591B"/>
    <w:rsid w:val="39BC5ED6"/>
    <w:rsid w:val="39D27231"/>
    <w:rsid w:val="39E6508D"/>
    <w:rsid w:val="39E82BB3"/>
    <w:rsid w:val="39EB39E0"/>
    <w:rsid w:val="39ED7DCD"/>
    <w:rsid w:val="39EF02D4"/>
    <w:rsid w:val="3A11342A"/>
    <w:rsid w:val="3A1439A9"/>
    <w:rsid w:val="3A153110"/>
    <w:rsid w:val="3A2149EA"/>
    <w:rsid w:val="3A2507C0"/>
    <w:rsid w:val="3A285AD8"/>
    <w:rsid w:val="3A393FA7"/>
    <w:rsid w:val="3A3A5A22"/>
    <w:rsid w:val="3A524858"/>
    <w:rsid w:val="3A64203E"/>
    <w:rsid w:val="3A663D00"/>
    <w:rsid w:val="3A7428D0"/>
    <w:rsid w:val="3A747EDD"/>
    <w:rsid w:val="3A7E0AE2"/>
    <w:rsid w:val="3A923AE4"/>
    <w:rsid w:val="3AA50E25"/>
    <w:rsid w:val="3AC566E3"/>
    <w:rsid w:val="3AD6747A"/>
    <w:rsid w:val="3AD95C48"/>
    <w:rsid w:val="3ADF5D0A"/>
    <w:rsid w:val="3AE83F75"/>
    <w:rsid w:val="3B312338"/>
    <w:rsid w:val="3B3C5B77"/>
    <w:rsid w:val="3B3D0FF2"/>
    <w:rsid w:val="3B445340"/>
    <w:rsid w:val="3B501351"/>
    <w:rsid w:val="3B521A18"/>
    <w:rsid w:val="3B8D2B96"/>
    <w:rsid w:val="3B923660"/>
    <w:rsid w:val="3BA448B8"/>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22C7D"/>
    <w:rsid w:val="3D6B12FD"/>
    <w:rsid w:val="3D7604D6"/>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46C23"/>
    <w:rsid w:val="3E8C5311"/>
    <w:rsid w:val="3E8E7E55"/>
    <w:rsid w:val="3EB61473"/>
    <w:rsid w:val="3EC66011"/>
    <w:rsid w:val="3ED25BE0"/>
    <w:rsid w:val="3ED75B7F"/>
    <w:rsid w:val="3EF9316D"/>
    <w:rsid w:val="3F1E4982"/>
    <w:rsid w:val="3F315E6B"/>
    <w:rsid w:val="3F5175E2"/>
    <w:rsid w:val="3F56276A"/>
    <w:rsid w:val="3F6A7BC7"/>
    <w:rsid w:val="3F6C10E0"/>
    <w:rsid w:val="3F854A01"/>
    <w:rsid w:val="3F963015"/>
    <w:rsid w:val="3F964D35"/>
    <w:rsid w:val="3F964E60"/>
    <w:rsid w:val="3FA327ED"/>
    <w:rsid w:val="3FB11738"/>
    <w:rsid w:val="3FB5581B"/>
    <w:rsid w:val="3FC33D05"/>
    <w:rsid w:val="3FE23C01"/>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BC6B48"/>
    <w:rsid w:val="40EB6898"/>
    <w:rsid w:val="40F701DF"/>
    <w:rsid w:val="40FD480A"/>
    <w:rsid w:val="411B59C4"/>
    <w:rsid w:val="412A32F8"/>
    <w:rsid w:val="4135001C"/>
    <w:rsid w:val="41401527"/>
    <w:rsid w:val="417F433E"/>
    <w:rsid w:val="418A1D66"/>
    <w:rsid w:val="41913B31"/>
    <w:rsid w:val="419C4043"/>
    <w:rsid w:val="41B7239D"/>
    <w:rsid w:val="41C95079"/>
    <w:rsid w:val="41D852BC"/>
    <w:rsid w:val="41E719A3"/>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72D26"/>
    <w:rsid w:val="427C799E"/>
    <w:rsid w:val="427F607F"/>
    <w:rsid w:val="42800B9B"/>
    <w:rsid w:val="4281223D"/>
    <w:rsid w:val="428E62C2"/>
    <w:rsid w:val="42A06B6C"/>
    <w:rsid w:val="42A27996"/>
    <w:rsid w:val="42A45E72"/>
    <w:rsid w:val="42AA04E2"/>
    <w:rsid w:val="42EA5650"/>
    <w:rsid w:val="42ED4D97"/>
    <w:rsid w:val="431408DA"/>
    <w:rsid w:val="431B7C78"/>
    <w:rsid w:val="4331401E"/>
    <w:rsid w:val="43486FC5"/>
    <w:rsid w:val="43591DDA"/>
    <w:rsid w:val="435A0DF2"/>
    <w:rsid w:val="435B43F6"/>
    <w:rsid w:val="436C42E1"/>
    <w:rsid w:val="437102E7"/>
    <w:rsid w:val="437C210F"/>
    <w:rsid w:val="43847F02"/>
    <w:rsid w:val="438C45B0"/>
    <w:rsid w:val="438F113C"/>
    <w:rsid w:val="439E2535"/>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2A3DC9"/>
    <w:rsid w:val="44337121"/>
    <w:rsid w:val="44366C11"/>
    <w:rsid w:val="444946CA"/>
    <w:rsid w:val="444B3F54"/>
    <w:rsid w:val="445D7CFA"/>
    <w:rsid w:val="447137A5"/>
    <w:rsid w:val="4476661F"/>
    <w:rsid w:val="44775260"/>
    <w:rsid w:val="447E3AC5"/>
    <w:rsid w:val="44805ED4"/>
    <w:rsid w:val="448E5DEE"/>
    <w:rsid w:val="449E4142"/>
    <w:rsid w:val="44A90BAA"/>
    <w:rsid w:val="44B24A20"/>
    <w:rsid w:val="44BC0BEE"/>
    <w:rsid w:val="44BF6C07"/>
    <w:rsid w:val="44C24001"/>
    <w:rsid w:val="44C55A88"/>
    <w:rsid w:val="44FB1C9C"/>
    <w:rsid w:val="450327A3"/>
    <w:rsid w:val="45392A13"/>
    <w:rsid w:val="453E3FCF"/>
    <w:rsid w:val="454F1836"/>
    <w:rsid w:val="45566A25"/>
    <w:rsid w:val="45790B64"/>
    <w:rsid w:val="45887B45"/>
    <w:rsid w:val="458B66DF"/>
    <w:rsid w:val="45940F0E"/>
    <w:rsid w:val="45AC5DBA"/>
    <w:rsid w:val="45C647AF"/>
    <w:rsid w:val="45DD529D"/>
    <w:rsid w:val="45E5444B"/>
    <w:rsid w:val="45E57886"/>
    <w:rsid w:val="45E945CC"/>
    <w:rsid w:val="46003076"/>
    <w:rsid w:val="46026F63"/>
    <w:rsid w:val="46113492"/>
    <w:rsid w:val="46177E29"/>
    <w:rsid w:val="461940F5"/>
    <w:rsid w:val="46205B7F"/>
    <w:rsid w:val="462907DC"/>
    <w:rsid w:val="462A6010"/>
    <w:rsid w:val="465D501C"/>
    <w:rsid w:val="46603AD2"/>
    <w:rsid w:val="466367DB"/>
    <w:rsid w:val="46686D18"/>
    <w:rsid w:val="466D15DA"/>
    <w:rsid w:val="46774127"/>
    <w:rsid w:val="46853538"/>
    <w:rsid w:val="469320F9"/>
    <w:rsid w:val="46BF7E28"/>
    <w:rsid w:val="46C3037C"/>
    <w:rsid w:val="46DA3884"/>
    <w:rsid w:val="46EF26BD"/>
    <w:rsid w:val="46FF15E0"/>
    <w:rsid w:val="4700581C"/>
    <w:rsid w:val="4702516A"/>
    <w:rsid w:val="471E5E67"/>
    <w:rsid w:val="4724600B"/>
    <w:rsid w:val="472E597E"/>
    <w:rsid w:val="47461B9F"/>
    <w:rsid w:val="474A4B33"/>
    <w:rsid w:val="4760647F"/>
    <w:rsid w:val="47665A15"/>
    <w:rsid w:val="47677941"/>
    <w:rsid w:val="477F1660"/>
    <w:rsid w:val="4788232A"/>
    <w:rsid w:val="478B0398"/>
    <w:rsid w:val="478F5D0B"/>
    <w:rsid w:val="479D5A47"/>
    <w:rsid w:val="47A11E6C"/>
    <w:rsid w:val="47A31F5F"/>
    <w:rsid w:val="47A84BA6"/>
    <w:rsid w:val="47B52444"/>
    <w:rsid w:val="47B8724E"/>
    <w:rsid w:val="47E811D9"/>
    <w:rsid w:val="47ED7BCA"/>
    <w:rsid w:val="48016F34"/>
    <w:rsid w:val="480556DB"/>
    <w:rsid w:val="48185C56"/>
    <w:rsid w:val="48254C34"/>
    <w:rsid w:val="48450F81"/>
    <w:rsid w:val="48455675"/>
    <w:rsid w:val="484E4529"/>
    <w:rsid w:val="484E729D"/>
    <w:rsid w:val="48566773"/>
    <w:rsid w:val="485A23C2"/>
    <w:rsid w:val="48623B31"/>
    <w:rsid w:val="48691107"/>
    <w:rsid w:val="48711FC6"/>
    <w:rsid w:val="48895289"/>
    <w:rsid w:val="489363E0"/>
    <w:rsid w:val="48A16B62"/>
    <w:rsid w:val="48AE0D54"/>
    <w:rsid w:val="48AE2858"/>
    <w:rsid w:val="48BC6222"/>
    <w:rsid w:val="48C12F4D"/>
    <w:rsid w:val="48C245E9"/>
    <w:rsid w:val="48DB312A"/>
    <w:rsid w:val="48DF49D9"/>
    <w:rsid w:val="48E45842"/>
    <w:rsid w:val="492108CC"/>
    <w:rsid w:val="493B351A"/>
    <w:rsid w:val="49413F52"/>
    <w:rsid w:val="494F6304"/>
    <w:rsid w:val="495042D1"/>
    <w:rsid w:val="49555444"/>
    <w:rsid w:val="49792B95"/>
    <w:rsid w:val="49F11610"/>
    <w:rsid w:val="49F70BF1"/>
    <w:rsid w:val="4A05334F"/>
    <w:rsid w:val="4A060864"/>
    <w:rsid w:val="4A0F0210"/>
    <w:rsid w:val="4A190B67"/>
    <w:rsid w:val="4A244932"/>
    <w:rsid w:val="4A2922C8"/>
    <w:rsid w:val="4A3E05CE"/>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03387D"/>
    <w:rsid w:val="4C080E93"/>
    <w:rsid w:val="4C1C2A09"/>
    <w:rsid w:val="4C284AD9"/>
    <w:rsid w:val="4C423098"/>
    <w:rsid w:val="4C612351"/>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B4E39"/>
    <w:rsid w:val="4D2D0EAF"/>
    <w:rsid w:val="4D64659D"/>
    <w:rsid w:val="4D795A49"/>
    <w:rsid w:val="4D7F0082"/>
    <w:rsid w:val="4D952FD9"/>
    <w:rsid w:val="4D9549A9"/>
    <w:rsid w:val="4D970662"/>
    <w:rsid w:val="4D9A1FBF"/>
    <w:rsid w:val="4D9F40B3"/>
    <w:rsid w:val="4DB33393"/>
    <w:rsid w:val="4DBA7F6B"/>
    <w:rsid w:val="4DBC3CE3"/>
    <w:rsid w:val="4DCB51C5"/>
    <w:rsid w:val="4DCF1E0D"/>
    <w:rsid w:val="4DD21759"/>
    <w:rsid w:val="4DD632D9"/>
    <w:rsid w:val="4DE05D9E"/>
    <w:rsid w:val="4DE05DF9"/>
    <w:rsid w:val="4DE44800"/>
    <w:rsid w:val="4DE80F7C"/>
    <w:rsid w:val="4DEE0709"/>
    <w:rsid w:val="4DF26A56"/>
    <w:rsid w:val="4DF47921"/>
    <w:rsid w:val="4DF72F6D"/>
    <w:rsid w:val="4DFC14EA"/>
    <w:rsid w:val="4DFF1E22"/>
    <w:rsid w:val="4DFF6815"/>
    <w:rsid w:val="4E0A3427"/>
    <w:rsid w:val="4E124B64"/>
    <w:rsid w:val="4E2423AC"/>
    <w:rsid w:val="4E261AA5"/>
    <w:rsid w:val="4E287F63"/>
    <w:rsid w:val="4E304B5D"/>
    <w:rsid w:val="4E3F66C2"/>
    <w:rsid w:val="4E451F2B"/>
    <w:rsid w:val="4E597784"/>
    <w:rsid w:val="4E611B8B"/>
    <w:rsid w:val="4E6279D7"/>
    <w:rsid w:val="4E682F8C"/>
    <w:rsid w:val="4E6A7BB7"/>
    <w:rsid w:val="4E6C5D89"/>
    <w:rsid w:val="4E9133C2"/>
    <w:rsid w:val="4EB23220"/>
    <w:rsid w:val="4EDD2163"/>
    <w:rsid w:val="4EE661F8"/>
    <w:rsid w:val="4EF27A04"/>
    <w:rsid w:val="4F0773B4"/>
    <w:rsid w:val="4F196F13"/>
    <w:rsid w:val="4F241019"/>
    <w:rsid w:val="4F307BB1"/>
    <w:rsid w:val="4F336227"/>
    <w:rsid w:val="4F3C3EF2"/>
    <w:rsid w:val="4F3D562D"/>
    <w:rsid w:val="4F5C4EE0"/>
    <w:rsid w:val="4F5D14F6"/>
    <w:rsid w:val="4F681AF1"/>
    <w:rsid w:val="4F6E1972"/>
    <w:rsid w:val="4F943166"/>
    <w:rsid w:val="4F9C19A5"/>
    <w:rsid w:val="4FA15887"/>
    <w:rsid w:val="4FBA02A1"/>
    <w:rsid w:val="4FCB3ED2"/>
    <w:rsid w:val="4FE7106E"/>
    <w:rsid w:val="4FF82FCD"/>
    <w:rsid w:val="50053943"/>
    <w:rsid w:val="50260569"/>
    <w:rsid w:val="50374A3C"/>
    <w:rsid w:val="50487AB0"/>
    <w:rsid w:val="50550E55"/>
    <w:rsid w:val="506B379F"/>
    <w:rsid w:val="507E7F6A"/>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171E30"/>
    <w:rsid w:val="52287B99"/>
    <w:rsid w:val="522E717A"/>
    <w:rsid w:val="52382F2A"/>
    <w:rsid w:val="52386E3D"/>
    <w:rsid w:val="523A7DD1"/>
    <w:rsid w:val="523B7711"/>
    <w:rsid w:val="523E560F"/>
    <w:rsid w:val="52495D62"/>
    <w:rsid w:val="5271774C"/>
    <w:rsid w:val="527A416D"/>
    <w:rsid w:val="528D7B65"/>
    <w:rsid w:val="52AA11D3"/>
    <w:rsid w:val="52DE008D"/>
    <w:rsid w:val="52ED2B91"/>
    <w:rsid w:val="52EE341E"/>
    <w:rsid w:val="52F37FE6"/>
    <w:rsid w:val="52FC1CAF"/>
    <w:rsid w:val="52FE08FA"/>
    <w:rsid w:val="52FF22FE"/>
    <w:rsid w:val="53004672"/>
    <w:rsid w:val="530B071F"/>
    <w:rsid w:val="531A330F"/>
    <w:rsid w:val="532B6CAF"/>
    <w:rsid w:val="53350D91"/>
    <w:rsid w:val="53412644"/>
    <w:rsid w:val="53433903"/>
    <w:rsid w:val="53517A72"/>
    <w:rsid w:val="535A51E8"/>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24092"/>
    <w:rsid w:val="54BF230B"/>
    <w:rsid w:val="54CC6227"/>
    <w:rsid w:val="54D10F9B"/>
    <w:rsid w:val="54D97871"/>
    <w:rsid w:val="54E12281"/>
    <w:rsid w:val="54F60E00"/>
    <w:rsid w:val="54FA5454"/>
    <w:rsid w:val="550B5550"/>
    <w:rsid w:val="551D586C"/>
    <w:rsid w:val="55200298"/>
    <w:rsid w:val="55335E1B"/>
    <w:rsid w:val="5536079B"/>
    <w:rsid w:val="554B7EF0"/>
    <w:rsid w:val="556E7FB9"/>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302455"/>
    <w:rsid w:val="563344EC"/>
    <w:rsid w:val="56717635"/>
    <w:rsid w:val="56990B7C"/>
    <w:rsid w:val="569E1126"/>
    <w:rsid w:val="56A8690E"/>
    <w:rsid w:val="56AB7A29"/>
    <w:rsid w:val="56B679AB"/>
    <w:rsid w:val="56B80DEB"/>
    <w:rsid w:val="56E0560F"/>
    <w:rsid w:val="56E06E61"/>
    <w:rsid w:val="56EF3C74"/>
    <w:rsid w:val="56F653FE"/>
    <w:rsid w:val="56FA762A"/>
    <w:rsid w:val="57007337"/>
    <w:rsid w:val="574448FC"/>
    <w:rsid w:val="57561D39"/>
    <w:rsid w:val="575B7AFD"/>
    <w:rsid w:val="57660D3F"/>
    <w:rsid w:val="5785783C"/>
    <w:rsid w:val="578F06BB"/>
    <w:rsid w:val="57CC0FC7"/>
    <w:rsid w:val="57CC4BC2"/>
    <w:rsid w:val="57D10760"/>
    <w:rsid w:val="57D1153D"/>
    <w:rsid w:val="57D77297"/>
    <w:rsid w:val="57FA3774"/>
    <w:rsid w:val="58084A3C"/>
    <w:rsid w:val="581F559B"/>
    <w:rsid w:val="582772A7"/>
    <w:rsid w:val="582A3F3F"/>
    <w:rsid w:val="5847689F"/>
    <w:rsid w:val="58531B77"/>
    <w:rsid w:val="585D2975"/>
    <w:rsid w:val="585E3492"/>
    <w:rsid w:val="585F64F9"/>
    <w:rsid w:val="586E3E23"/>
    <w:rsid w:val="587E3341"/>
    <w:rsid w:val="587F428B"/>
    <w:rsid w:val="58843A9C"/>
    <w:rsid w:val="58953AAF"/>
    <w:rsid w:val="58B31855"/>
    <w:rsid w:val="58CF56D8"/>
    <w:rsid w:val="58D31010"/>
    <w:rsid w:val="58D6741E"/>
    <w:rsid w:val="58DB0535"/>
    <w:rsid w:val="58E467E4"/>
    <w:rsid w:val="58E62E0E"/>
    <w:rsid w:val="58EA3D0E"/>
    <w:rsid w:val="58F24A5D"/>
    <w:rsid w:val="58F71269"/>
    <w:rsid w:val="58FE045E"/>
    <w:rsid w:val="58FE78A6"/>
    <w:rsid w:val="59014CEF"/>
    <w:rsid w:val="59017396"/>
    <w:rsid w:val="59050C34"/>
    <w:rsid w:val="59561946"/>
    <w:rsid w:val="595C45CC"/>
    <w:rsid w:val="59670F51"/>
    <w:rsid w:val="596A44F9"/>
    <w:rsid w:val="596C19BB"/>
    <w:rsid w:val="596F4300"/>
    <w:rsid w:val="59790BDB"/>
    <w:rsid w:val="597E3F42"/>
    <w:rsid w:val="598653AC"/>
    <w:rsid w:val="5999137D"/>
    <w:rsid w:val="59AC3C86"/>
    <w:rsid w:val="59B368E2"/>
    <w:rsid w:val="59B817D3"/>
    <w:rsid w:val="59C11856"/>
    <w:rsid w:val="59C153AB"/>
    <w:rsid w:val="59D423B5"/>
    <w:rsid w:val="59D42FDA"/>
    <w:rsid w:val="59DA4E01"/>
    <w:rsid w:val="59F334C8"/>
    <w:rsid w:val="59F64E82"/>
    <w:rsid w:val="5A0A5DD6"/>
    <w:rsid w:val="5A10435C"/>
    <w:rsid w:val="5A2654CC"/>
    <w:rsid w:val="5A323A44"/>
    <w:rsid w:val="5A395E66"/>
    <w:rsid w:val="5A476FBE"/>
    <w:rsid w:val="5A484352"/>
    <w:rsid w:val="5A5321A5"/>
    <w:rsid w:val="5A701460"/>
    <w:rsid w:val="5A783688"/>
    <w:rsid w:val="5A8734AF"/>
    <w:rsid w:val="5A9D3E45"/>
    <w:rsid w:val="5AA4101D"/>
    <w:rsid w:val="5AB17576"/>
    <w:rsid w:val="5ABA59C8"/>
    <w:rsid w:val="5ABD68E6"/>
    <w:rsid w:val="5ABF73D2"/>
    <w:rsid w:val="5ACB3D8A"/>
    <w:rsid w:val="5ACE32A8"/>
    <w:rsid w:val="5AE12FDB"/>
    <w:rsid w:val="5AE1508F"/>
    <w:rsid w:val="5AF80256"/>
    <w:rsid w:val="5AFC7E15"/>
    <w:rsid w:val="5B110CC9"/>
    <w:rsid w:val="5B136165"/>
    <w:rsid w:val="5B1851F5"/>
    <w:rsid w:val="5B1F7B5D"/>
    <w:rsid w:val="5B585171"/>
    <w:rsid w:val="5B585B78"/>
    <w:rsid w:val="5B6D62B9"/>
    <w:rsid w:val="5B746CFA"/>
    <w:rsid w:val="5B9A2B59"/>
    <w:rsid w:val="5BA652E6"/>
    <w:rsid w:val="5BC0085A"/>
    <w:rsid w:val="5BDE751B"/>
    <w:rsid w:val="5BE03293"/>
    <w:rsid w:val="5BF03D58"/>
    <w:rsid w:val="5BF20AFB"/>
    <w:rsid w:val="5BF31218"/>
    <w:rsid w:val="5BFE196B"/>
    <w:rsid w:val="5C1A6BB2"/>
    <w:rsid w:val="5C292E8C"/>
    <w:rsid w:val="5C2A2760"/>
    <w:rsid w:val="5C306D31"/>
    <w:rsid w:val="5C37233A"/>
    <w:rsid w:val="5C5355FE"/>
    <w:rsid w:val="5C5A49A5"/>
    <w:rsid w:val="5C6519EA"/>
    <w:rsid w:val="5C6715FE"/>
    <w:rsid w:val="5C6F4105"/>
    <w:rsid w:val="5C936557"/>
    <w:rsid w:val="5CB309A7"/>
    <w:rsid w:val="5CBB7F6F"/>
    <w:rsid w:val="5CC248CE"/>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27A"/>
    <w:rsid w:val="5E3146A3"/>
    <w:rsid w:val="5E442F62"/>
    <w:rsid w:val="5E6C2C5B"/>
    <w:rsid w:val="5E6E2DD8"/>
    <w:rsid w:val="5E7251A2"/>
    <w:rsid w:val="5E7C3591"/>
    <w:rsid w:val="5E9842F9"/>
    <w:rsid w:val="5E9B5B97"/>
    <w:rsid w:val="5E9D0E18"/>
    <w:rsid w:val="5EA26F25"/>
    <w:rsid w:val="5EA341D7"/>
    <w:rsid w:val="5EA755DE"/>
    <w:rsid w:val="5EAE7678"/>
    <w:rsid w:val="5EB36A3D"/>
    <w:rsid w:val="5ED35F0E"/>
    <w:rsid w:val="5EDF7832"/>
    <w:rsid w:val="5EFC1390"/>
    <w:rsid w:val="5EFC3EB6"/>
    <w:rsid w:val="5EFD5F0A"/>
    <w:rsid w:val="5F03335D"/>
    <w:rsid w:val="5F0368C7"/>
    <w:rsid w:val="5F1544E7"/>
    <w:rsid w:val="5F197EE8"/>
    <w:rsid w:val="5F304531"/>
    <w:rsid w:val="5F312D8D"/>
    <w:rsid w:val="5F3C4923"/>
    <w:rsid w:val="5F4050DC"/>
    <w:rsid w:val="5F4160B0"/>
    <w:rsid w:val="5F5A7800"/>
    <w:rsid w:val="5F6368E9"/>
    <w:rsid w:val="5F7811D3"/>
    <w:rsid w:val="5F8108E9"/>
    <w:rsid w:val="5F9A65E6"/>
    <w:rsid w:val="5F9B2627"/>
    <w:rsid w:val="5FA66B60"/>
    <w:rsid w:val="5FAC7B1F"/>
    <w:rsid w:val="5FB5266F"/>
    <w:rsid w:val="5FB80E3D"/>
    <w:rsid w:val="5FB831B4"/>
    <w:rsid w:val="5FBE38EB"/>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0818"/>
    <w:rsid w:val="613021B3"/>
    <w:rsid w:val="61306A6A"/>
    <w:rsid w:val="6131633F"/>
    <w:rsid w:val="613253FD"/>
    <w:rsid w:val="61421F29"/>
    <w:rsid w:val="61637D56"/>
    <w:rsid w:val="61712185"/>
    <w:rsid w:val="618B1EF3"/>
    <w:rsid w:val="618B7207"/>
    <w:rsid w:val="61907E69"/>
    <w:rsid w:val="61994610"/>
    <w:rsid w:val="61A90D68"/>
    <w:rsid w:val="61B43A15"/>
    <w:rsid w:val="61B825BC"/>
    <w:rsid w:val="61DA0425"/>
    <w:rsid w:val="62065A1D"/>
    <w:rsid w:val="6213792C"/>
    <w:rsid w:val="621775E2"/>
    <w:rsid w:val="621C0D9D"/>
    <w:rsid w:val="622F7552"/>
    <w:rsid w:val="6250406E"/>
    <w:rsid w:val="6267666C"/>
    <w:rsid w:val="62724E61"/>
    <w:rsid w:val="627D6831"/>
    <w:rsid w:val="62811B1C"/>
    <w:rsid w:val="628C7CD0"/>
    <w:rsid w:val="6299063F"/>
    <w:rsid w:val="629B7F14"/>
    <w:rsid w:val="62A20409"/>
    <w:rsid w:val="62A56FE4"/>
    <w:rsid w:val="62B54B44"/>
    <w:rsid w:val="62B92A90"/>
    <w:rsid w:val="62E045DA"/>
    <w:rsid w:val="62E454A1"/>
    <w:rsid w:val="62E775FD"/>
    <w:rsid w:val="62E95123"/>
    <w:rsid w:val="62EF025F"/>
    <w:rsid w:val="62F36E4C"/>
    <w:rsid w:val="62F47F8F"/>
    <w:rsid w:val="62F7233F"/>
    <w:rsid w:val="631D4DCC"/>
    <w:rsid w:val="631F3FB4"/>
    <w:rsid w:val="63273E9D"/>
    <w:rsid w:val="63364F75"/>
    <w:rsid w:val="6340438B"/>
    <w:rsid w:val="63471E49"/>
    <w:rsid w:val="6353238E"/>
    <w:rsid w:val="63612AB8"/>
    <w:rsid w:val="63640C4D"/>
    <w:rsid w:val="636E73D6"/>
    <w:rsid w:val="6379289B"/>
    <w:rsid w:val="637D0978"/>
    <w:rsid w:val="638906B4"/>
    <w:rsid w:val="638968B0"/>
    <w:rsid w:val="638A282C"/>
    <w:rsid w:val="6393508F"/>
    <w:rsid w:val="639A3568"/>
    <w:rsid w:val="63A159FD"/>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66374"/>
    <w:rsid w:val="655829AF"/>
    <w:rsid w:val="656B70C3"/>
    <w:rsid w:val="658E1FB1"/>
    <w:rsid w:val="658F4798"/>
    <w:rsid w:val="65907AD8"/>
    <w:rsid w:val="659B1EBA"/>
    <w:rsid w:val="65A11CE5"/>
    <w:rsid w:val="65A83379"/>
    <w:rsid w:val="65B31A18"/>
    <w:rsid w:val="65B461E9"/>
    <w:rsid w:val="65BE39A8"/>
    <w:rsid w:val="65C23A09"/>
    <w:rsid w:val="65FB3FBE"/>
    <w:rsid w:val="66101A71"/>
    <w:rsid w:val="66171FA7"/>
    <w:rsid w:val="66247D11"/>
    <w:rsid w:val="663B3EC9"/>
    <w:rsid w:val="665A1E94"/>
    <w:rsid w:val="66736112"/>
    <w:rsid w:val="667F5B5B"/>
    <w:rsid w:val="668F1B3D"/>
    <w:rsid w:val="66911D59"/>
    <w:rsid w:val="6694262A"/>
    <w:rsid w:val="66990381"/>
    <w:rsid w:val="66996E60"/>
    <w:rsid w:val="66A573FC"/>
    <w:rsid w:val="66B31B01"/>
    <w:rsid w:val="66CE1E80"/>
    <w:rsid w:val="66DB2FD4"/>
    <w:rsid w:val="66E362F9"/>
    <w:rsid w:val="66E47FD9"/>
    <w:rsid w:val="66E520A5"/>
    <w:rsid w:val="66F04175"/>
    <w:rsid w:val="66F127F8"/>
    <w:rsid w:val="66F95B50"/>
    <w:rsid w:val="67071922"/>
    <w:rsid w:val="673B73C0"/>
    <w:rsid w:val="674743C8"/>
    <w:rsid w:val="675608B6"/>
    <w:rsid w:val="67754402"/>
    <w:rsid w:val="677D54ED"/>
    <w:rsid w:val="678B726C"/>
    <w:rsid w:val="679D472E"/>
    <w:rsid w:val="679E40A4"/>
    <w:rsid w:val="67B25E27"/>
    <w:rsid w:val="67B4646D"/>
    <w:rsid w:val="67B464CA"/>
    <w:rsid w:val="67C4383B"/>
    <w:rsid w:val="67D35E1A"/>
    <w:rsid w:val="67D5211A"/>
    <w:rsid w:val="67D839B8"/>
    <w:rsid w:val="67F35317"/>
    <w:rsid w:val="67F73E3E"/>
    <w:rsid w:val="68016A6B"/>
    <w:rsid w:val="680201B7"/>
    <w:rsid w:val="68040309"/>
    <w:rsid w:val="68060525"/>
    <w:rsid w:val="68103152"/>
    <w:rsid w:val="68362BFB"/>
    <w:rsid w:val="683D085A"/>
    <w:rsid w:val="683F1130"/>
    <w:rsid w:val="684456A1"/>
    <w:rsid w:val="684D3A5E"/>
    <w:rsid w:val="68573C08"/>
    <w:rsid w:val="685C1EF3"/>
    <w:rsid w:val="685E1363"/>
    <w:rsid w:val="687731D1"/>
    <w:rsid w:val="6878475E"/>
    <w:rsid w:val="688E1089"/>
    <w:rsid w:val="68993219"/>
    <w:rsid w:val="689E42BA"/>
    <w:rsid w:val="68A026F3"/>
    <w:rsid w:val="68AD6BF3"/>
    <w:rsid w:val="68AF6C13"/>
    <w:rsid w:val="68C77CB4"/>
    <w:rsid w:val="68D73C6F"/>
    <w:rsid w:val="68F25680"/>
    <w:rsid w:val="69074555"/>
    <w:rsid w:val="690E07C7"/>
    <w:rsid w:val="69140A20"/>
    <w:rsid w:val="69236A65"/>
    <w:rsid w:val="692E469B"/>
    <w:rsid w:val="69315C48"/>
    <w:rsid w:val="694019EC"/>
    <w:rsid w:val="694841AF"/>
    <w:rsid w:val="69584DB4"/>
    <w:rsid w:val="695B5B89"/>
    <w:rsid w:val="695D5F23"/>
    <w:rsid w:val="6968512E"/>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67AF8"/>
    <w:rsid w:val="6ACB20F7"/>
    <w:rsid w:val="6AD37EE9"/>
    <w:rsid w:val="6ADA6AC4"/>
    <w:rsid w:val="6ADB11D6"/>
    <w:rsid w:val="6ADF0BB9"/>
    <w:rsid w:val="6AE83F12"/>
    <w:rsid w:val="6B1A2C3C"/>
    <w:rsid w:val="6B1B42E7"/>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76CBC"/>
    <w:rsid w:val="6C29198B"/>
    <w:rsid w:val="6C3A67D1"/>
    <w:rsid w:val="6C3D2157"/>
    <w:rsid w:val="6C3D2D5C"/>
    <w:rsid w:val="6C411B2C"/>
    <w:rsid w:val="6C4800AA"/>
    <w:rsid w:val="6C4D28F8"/>
    <w:rsid w:val="6C573E9C"/>
    <w:rsid w:val="6C5C23DC"/>
    <w:rsid w:val="6C6D1126"/>
    <w:rsid w:val="6C7A6DEC"/>
    <w:rsid w:val="6C986334"/>
    <w:rsid w:val="6C9E6F7E"/>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A5754"/>
    <w:rsid w:val="6DB13E57"/>
    <w:rsid w:val="6DC245A2"/>
    <w:rsid w:val="6DC71662"/>
    <w:rsid w:val="6DCD5126"/>
    <w:rsid w:val="6DDB6CB0"/>
    <w:rsid w:val="6DDE269F"/>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6211A"/>
    <w:rsid w:val="6EAD447C"/>
    <w:rsid w:val="6EAE5472"/>
    <w:rsid w:val="6EBC069A"/>
    <w:rsid w:val="6EBE7228"/>
    <w:rsid w:val="6ECD7F59"/>
    <w:rsid w:val="6ECF449B"/>
    <w:rsid w:val="6ED36C87"/>
    <w:rsid w:val="6ED975CA"/>
    <w:rsid w:val="6EED7C80"/>
    <w:rsid w:val="6EF773A4"/>
    <w:rsid w:val="6F1E2E65"/>
    <w:rsid w:val="6F2F2D9E"/>
    <w:rsid w:val="6F343BCA"/>
    <w:rsid w:val="6F4147D9"/>
    <w:rsid w:val="6F581F47"/>
    <w:rsid w:val="6F5B0D5A"/>
    <w:rsid w:val="6F5C35EA"/>
    <w:rsid w:val="6F6B6A15"/>
    <w:rsid w:val="6F743FC6"/>
    <w:rsid w:val="6F7C10CD"/>
    <w:rsid w:val="6F7C731F"/>
    <w:rsid w:val="6F947E4B"/>
    <w:rsid w:val="6FA30BDA"/>
    <w:rsid w:val="6FB21D4C"/>
    <w:rsid w:val="6FB80698"/>
    <w:rsid w:val="6FBB7E47"/>
    <w:rsid w:val="6FD40F09"/>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6480D"/>
    <w:rsid w:val="70D70CB1"/>
    <w:rsid w:val="70D80585"/>
    <w:rsid w:val="70DA254F"/>
    <w:rsid w:val="70E2315F"/>
    <w:rsid w:val="70FA674D"/>
    <w:rsid w:val="710952C1"/>
    <w:rsid w:val="713954C7"/>
    <w:rsid w:val="713F70AB"/>
    <w:rsid w:val="71452CD8"/>
    <w:rsid w:val="71583F2D"/>
    <w:rsid w:val="7158683A"/>
    <w:rsid w:val="71593474"/>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0E0702"/>
    <w:rsid w:val="721469FD"/>
    <w:rsid w:val="721919B3"/>
    <w:rsid w:val="721970A7"/>
    <w:rsid w:val="721A6098"/>
    <w:rsid w:val="721D18D3"/>
    <w:rsid w:val="72310D1A"/>
    <w:rsid w:val="725D6B54"/>
    <w:rsid w:val="727644F9"/>
    <w:rsid w:val="727918F3"/>
    <w:rsid w:val="72986FA0"/>
    <w:rsid w:val="729D1A86"/>
    <w:rsid w:val="72A17C99"/>
    <w:rsid w:val="72A2709C"/>
    <w:rsid w:val="72A5093A"/>
    <w:rsid w:val="72AD7197"/>
    <w:rsid w:val="72AF6F7E"/>
    <w:rsid w:val="72BD2C86"/>
    <w:rsid w:val="72CD226C"/>
    <w:rsid w:val="72D27981"/>
    <w:rsid w:val="73047407"/>
    <w:rsid w:val="73047904"/>
    <w:rsid w:val="731A4E85"/>
    <w:rsid w:val="73253EFA"/>
    <w:rsid w:val="732D105C"/>
    <w:rsid w:val="732E6B82"/>
    <w:rsid w:val="73353A6C"/>
    <w:rsid w:val="73385516"/>
    <w:rsid w:val="734C1A6A"/>
    <w:rsid w:val="735663B7"/>
    <w:rsid w:val="735C5949"/>
    <w:rsid w:val="73671287"/>
    <w:rsid w:val="73676D32"/>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6A1E3C"/>
    <w:rsid w:val="747E40B6"/>
    <w:rsid w:val="7481790F"/>
    <w:rsid w:val="748A603A"/>
    <w:rsid w:val="74A43991"/>
    <w:rsid w:val="74AA2238"/>
    <w:rsid w:val="74AC3224"/>
    <w:rsid w:val="74B21065"/>
    <w:rsid w:val="74B77AD0"/>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3A5986"/>
    <w:rsid w:val="754459E0"/>
    <w:rsid w:val="7550443E"/>
    <w:rsid w:val="755F0BCC"/>
    <w:rsid w:val="7561323F"/>
    <w:rsid w:val="756F17F9"/>
    <w:rsid w:val="757E5B9F"/>
    <w:rsid w:val="75825461"/>
    <w:rsid w:val="75907680"/>
    <w:rsid w:val="75916599"/>
    <w:rsid w:val="759926FC"/>
    <w:rsid w:val="75A24276"/>
    <w:rsid w:val="75AA231D"/>
    <w:rsid w:val="75AD6340"/>
    <w:rsid w:val="75D67789"/>
    <w:rsid w:val="75DC4D0C"/>
    <w:rsid w:val="75DF5F11"/>
    <w:rsid w:val="75E8633A"/>
    <w:rsid w:val="76360227"/>
    <w:rsid w:val="76393874"/>
    <w:rsid w:val="763F09AA"/>
    <w:rsid w:val="764F3FCC"/>
    <w:rsid w:val="7650339F"/>
    <w:rsid w:val="76603C9A"/>
    <w:rsid w:val="766B00E5"/>
    <w:rsid w:val="76733229"/>
    <w:rsid w:val="76760624"/>
    <w:rsid w:val="76832D41"/>
    <w:rsid w:val="768B2C28"/>
    <w:rsid w:val="76960CC6"/>
    <w:rsid w:val="76AA29C3"/>
    <w:rsid w:val="76B850E0"/>
    <w:rsid w:val="76BB1CAB"/>
    <w:rsid w:val="76C04050"/>
    <w:rsid w:val="76C23869"/>
    <w:rsid w:val="76D67314"/>
    <w:rsid w:val="76E00193"/>
    <w:rsid w:val="76E65049"/>
    <w:rsid w:val="76FA74A7"/>
    <w:rsid w:val="77076007"/>
    <w:rsid w:val="770976EA"/>
    <w:rsid w:val="771A36A5"/>
    <w:rsid w:val="77413F7E"/>
    <w:rsid w:val="77464076"/>
    <w:rsid w:val="7758241F"/>
    <w:rsid w:val="777A7D22"/>
    <w:rsid w:val="777E28EC"/>
    <w:rsid w:val="77835654"/>
    <w:rsid w:val="7797109C"/>
    <w:rsid w:val="779A2A38"/>
    <w:rsid w:val="77B4450A"/>
    <w:rsid w:val="77B46E73"/>
    <w:rsid w:val="77E37A12"/>
    <w:rsid w:val="77F42148"/>
    <w:rsid w:val="77FE3468"/>
    <w:rsid w:val="78126A72"/>
    <w:rsid w:val="781E71C5"/>
    <w:rsid w:val="78250553"/>
    <w:rsid w:val="782642CC"/>
    <w:rsid w:val="782D11B6"/>
    <w:rsid w:val="78373BF3"/>
    <w:rsid w:val="783B17B1"/>
    <w:rsid w:val="784E2046"/>
    <w:rsid w:val="78546F0C"/>
    <w:rsid w:val="786778FE"/>
    <w:rsid w:val="78830961"/>
    <w:rsid w:val="789D588A"/>
    <w:rsid w:val="78A43B6E"/>
    <w:rsid w:val="78B65E3A"/>
    <w:rsid w:val="78E0091E"/>
    <w:rsid w:val="78EE1C79"/>
    <w:rsid w:val="78F85605"/>
    <w:rsid w:val="78FA66FA"/>
    <w:rsid w:val="79053EE1"/>
    <w:rsid w:val="79336ABC"/>
    <w:rsid w:val="79345B6A"/>
    <w:rsid w:val="79424F6E"/>
    <w:rsid w:val="795F3706"/>
    <w:rsid w:val="797239CC"/>
    <w:rsid w:val="797F0137"/>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992B33"/>
    <w:rsid w:val="7AA2343E"/>
    <w:rsid w:val="7AD41DBD"/>
    <w:rsid w:val="7AD60EB8"/>
    <w:rsid w:val="7ADA73A4"/>
    <w:rsid w:val="7AE66B99"/>
    <w:rsid w:val="7AF34646"/>
    <w:rsid w:val="7AFE508C"/>
    <w:rsid w:val="7B0A3BCA"/>
    <w:rsid w:val="7B1C0EF4"/>
    <w:rsid w:val="7B2014A6"/>
    <w:rsid w:val="7B345AA9"/>
    <w:rsid w:val="7B4048C1"/>
    <w:rsid w:val="7B4C5DF7"/>
    <w:rsid w:val="7B73082F"/>
    <w:rsid w:val="7B7B492E"/>
    <w:rsid w:val="7B9A3D1D"/>
    <w:rsid w:val="7BA14395"/>
    <w:rsid w:val="7BAB6FC2"/>
    <w:rsid w:val="7BB46FBD"/>
    <w:rsid w:val="7BC462D5"/>
    <w:rsid w:val="7BC62E00"/>
    <w:rsid w:val="7BC73B55"/>
    <w:rsid w:val="7BCB5B3D"/>
    <w:rsid w:val="7BDC361F"/>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145C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F0AD0"/>
    <w:rsid w:val="7DB22BDF"/>
    <w:rsid w:val="7DD12BB7"/>
    <w:rsid w:val="7DF223A2"/>
    <w:rsid w:val="7DFF0955"/>
    <w:rsid w:val="7E0B750E"/>
    <w:rsid w:val="7E145DA7"/>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C9483E"/>
    <w:rsid w:val="7FE64A6C"/>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after="290" w:line="372" w:lineRule="auto"/>
      <w:outlineLvl w:val="4"/>
    </w:pPr>
    <w:rPr>
      <w:b/>
      <w:sz w:val="28"/>
    </w:rPr>
  </w:style>
  <w:style w:type="character" w:default="1" w:styleId="35">
    <w:name w:val="Default Paragraph Font"/>
    <w:semiHidden/>
    <w:unhideWhenUsed/>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9"/>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21"/>
    <w:next w:val="1"/>
    <w:qFormat/>
    <w:uiPriority w:val="0"/>
    <w:pPr>
      <w:wordWrap w:val="0"/>
      <w:jc w:val="both"/>
    </w:pPr>
    <w:rPr>
      <w:rFonts w:ascii="Calibri" w:hAnsi="Calibri" w:eastAsia="宋体" w:cs="Times New Roman"/>
      <w:sz w:val="21"/>
      <w:lang w:val="en-US" w:eastAsia="zh-CN" w:bidi="ar-SA"/>
    </w:rPr>
  </w:style>
  <w:style w:type="paragraph" w:customStyle="1" w:styleId="50">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1">
    <w:name w:val="大标题"/>
    <w:basedOn w:val="1"/>
    <w:next w:val="32"/>
    <w:autoRedefine/>
    <w:qFormat/>
    <w:uiPriority w:val="0"/>
    <w:pPr>
      <w:jc w:val="center"/>
    </w:pPr>
    <w:rPr>
      <w:rFonts w:ascii="Arial" w:hAnsi="Arial"/>
      <w:b/>
      <w:sz w:val="28"/>
    </w:rPr>
  </w:style>
  <w:style w:type="paragraph" w:customStyle="1" w:styleId="52">
    <w:name w:val="正文文本缩进 21"/>
    <w:basedOn w:val="1"/>
    <w:autoRedefine/>
    <w:qFormat/>
    <w:uiPriority w:val="0"/>
    <w:pPr>
      <w:ind w:firstLine="570"/>
    </w:pPr>
    <w:rPr>
      <w:sz w:val="32"/>
    </w:rPr>
  </w:style>
  <w:style w:type="paragraph" w:customStyle="1" w:styleId="53">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5">
    <w:name w:val="No Spacing1"/>
    <w:basedOn w:val="1"/>
    <w:autoRedefine/>
    <w:qFormat/>
    <w:uiPriority w:val="0"/>
    <w:pPr>
      <w:spacing w:line="400" w:lineRule="exact"/>
    </w:pPr>
    <w:rPr>
      <w:sz w:val="24"/>
    </w:rPr>
  </w:style>
  <w:style w:type="paragraph" w:customStyle="1" w:styleId="56">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7">
    <w:name w:val="Char"/>
    <w:basedOn w:val="1"/>
    <w:autoRedefine/>
    <w:qFormat/>
    <w:uiPriority w:val="0"/>
  </w:style>
  <w:style w:type="paragraph" w:customStyle="1" w:styleId="58">
    <w:name w:val="正文缩进1"/>
    <w:basedOn w:val="1"/>
    <w:autoRedefine/>
    <w:qFormat/>
    <w:uiPriority w:val="0"/>
    <w:pPr>
      <w:widowControl/>
      <w:ind w:firstLine="420"/>
      <w:jc w:val="left"/>
    </w:pPr>
    <w:rPr>
      <w:kern w:val="0"/>
      <w:szCs w:val="20"/>
    </w:rPr>
  </w:style>
  <w:style w:type="paragraph" w:customStyle="1" w:styleId="59">
    <w:name w:val="列出段落2"/>
    <w:basedOn w:val="1"/>
    <w:autoRedefine/>
    <w:qFormat/>
    <w:uiPriority w:val="34"/>
    <w:pPr>
      <w:ind w:firstLine="420" w:firstLineChars="200"/>
    </w:pPr>
  </w:style>
  <w:style w:type="paragraph" w:customStyle="1" w:styleId="60">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1"/>
    <w:basedOn w:val="1"/>
    <w:autoRedefine/>
    <w:qFormat/>
    <w:uiPriority w:val="0"/>
    <w:pPr>
      <w:widowControl/>
      <w:spacing w:beforeAutospacing="1" w:afterAutospacing="1"/>
      <w:jc w:val="left"/>
    </w:pPr>
    <w:rPr>
      <w:rFonts w:ascii="宋体" w:hAnsi="宋体" w:cs="宋体"/>
      <w:kern w:val="0"/>
      <w:sz w:val="24"/>
    </w:rPr>
  </w:style>
  <w:style w:type="paragraph" w:styleId="62">
    <w:name w:val="No Spacing"/>
    <w:autoRedefine/>
    <w:qFormat/>
    <w:uiPriority w:val="1"/>
    <w:rPr>
      <w:rFonts w:ascii="Calibri" w:hAnsi="Calibri" w:eastAsia="宋体" w:cs="Times New Roman"/>
      <w:sz w:val="22"/>
      <w:szCs w:val="22"/>
      <w:lang w:val="en-US" w:eastAsia="zh-CN" w:bidi="ar-SA"/>
    </w:rPr>
  </w:style>
  <w:style w:type="paragraph" w:customStyle="1" w:styleId="63">
    <w:name w:val="_Style 2"/>
    <w:basedOn w:val="1"/>
    <w:autoRedefine/>
    <w:qFormat/>
    <w:uiPriority w:val="34"/>
    <w:pPr>
      <w:ind w:firstLine="420" w:firstLineChars="200"/>
    </w:pPr>
    <w:rPr>
      <w:rFonts w:ascii="Calibri" w:hAnsi="Calibri"/>
    </w:rPr>
  </w:style>
  <w:style w:type="paragraph" w:customStyle="1" w:styleId="64">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5">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6">
    <w:name w:val="Char1"/>
    <w:basedOn w:val="1"/>
    <w:autoRedefine/>
    <w:qFormat/>
    <w:uiPriority w:val="0"/>
  </w:style>
  <w:style w:type="paragraph" w:customStyle="1" w:styleId="67">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Table Paragraph"/>
    <w:basedOn w:val="1"/>
    <w:autoRedefine/>
    <w:qFormat/>
    <w:uiPriority w:val="1"/>
    <w:pPr>
      <w:jc w:val="left"/>
    </w:pPr>
    <w:rPr>
      <w:rFonts w:ascii="宋体" w:hAnsi="宋体" w:cs="宋体"/>
      <w:kern w:val="0"/>
      <w:sz w:val="22"/>
      <w:szCs w:val="22"/>
      <w:lang w:eastAsia="en-US"/>
    </w:rPr>
  </w:style>
  <w:style w:type="paragraph" w:customStyle="1" w:styleId="69">
    <w:name w:val="无间隔1"/>
    <w:basedOn w:val="1"/>
    <w:autoRedefine/>
    <w:qFormat/>
    <w:uiPriority w:val="1"/>
    <w:pPr>
      <w:spacing w:line="400" w:lineRule="exact"/>
    </w:pPr>
    <w:rPr>
      <w:sz w:val="24"/>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字符"/>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字符"/>
    <w:link w:val="12"/>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8">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5"/>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cs="宋体"/>
      <w:sz w:val="45"/>
      <w:szCs w:val="45"/>
      <w:lang w:eastAsia="en-US"/>
    </w:rPr>
  </w:style>
  <w:style w:type="character" w:customStyle="1" w:styleId="94">
    <w:name w:val="font11"/>
    <w:basedOn w:val="35"/>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5"/>
    <w:qFormat/>
    <w:uiPriority w:val="0"/>
    <w:rPr>
      <w:rFonts w:ascii="宋体" w:hAnsi="宋体" w:eastAsia="宋体" w:cs="宋体"/>
      <w:color w:val="000000"/>
      <w:sz w:val="24"/>
      <w:szCs w:val="24"/>
      <w:u w:val="none"/>
    </w:rPr>
  </w:style>
  <w:style w:type="character" w:customStyle="1" w:styleId="97">
    <w:name w:val="font81"/>
    <w:basedOn w:val="35"/>
    <w:qFormat/>
    <w:uiPriority w:val="0"/>
    <w:rPr>
      <w:rFonts w:hint="default" w:ascii="Times New Roman" w:hAnsi="Times New Roman" w:cs="Times New Roman"/>
      <w:color w:val="000000"/>
      <w:sz w:val="18"/>
      <w:szCs w:val="18"/>
      <w:u w:val="none"/>
    </w:rPr>
  </w:style>
  <w:style w:type="paragraph" w:customStyle="1" w:styleId="98">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99">
    <w:name w:val="首行缩进"/>
    <w:basedOn w:val="1"/>
    <w:qFormat/>
    <w:uiPriority w:val="99"/>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16719</Words>
  <Characters>17449</Characters>
  <Lines>139</Lines>
  <Paragraphs>39</Paragraphs>
  <TotalTime>46</TotalTime>
  <ScaleCrop>false</ScaleCrop>
  <LinksUpToDate>false</LinksUpToDate>
  <CharactersWithSpaces>18433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2025-09-29T03:49:00Z</cp:lastPrinted>
  <dcterms:modified xsi:type="dcterms:W3CDTF">2026-01-19T04:33:58Z</dcterms:modified>
  <dc:title>驻马店市政府采购货物项目</dc:title>
  <cp:revision>1105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99C3C6E1525F442583247FD3A7936A4B_13</vt:lpwstr>
  </property>
  <property fmtid="{D5CDD505-2E9C-101B-9397-08002B2CF9AE}" pid="4" name="KSOTemplateDocerSaveRecord">
    <vt:lpwstr>eyJoZGlkIjoiMzU0MTZjMjFkMjFjOGMwYTIzNWEzZDljNjYxZWI0MmYiLCJ1c2VySWQiOiIxNjg0NTc5MjM2In0=</vt:lpwstr>
  </property>
</Properties>
</file>