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bookmarkStart w:id="100" w:name="_GoBack"/>
      <w:r>
        <w:rPr>
          <w:rFonts w:hint="eastAsia" w:cs="宋体"/>
          <w:b/>
          <w:bCs/>
          <w:color w:val="auto"/>
          <w:sz w:val="44"/>
          <w:szCs w:val="44"/>
          <w:highlight w:val="none"/>
          <w:lang w:val="en-US" w:eastAsia="zh-CN"/>
        </w:rPr>
        <w:t>驻马店市中心医院机房及网络设备维保项目</w:t>
      </w:r>
    </w:p>
    <w:bookmarkEnd w:id="100"/>
    <w:p w14:paraId="20826E73">
      <w:pPr>
        <w:pStyle w:val="20"/>
        <w:bidi w:val="0"/>
        <w:jc w:val="center"/>
        <w:rPr>
          <w:rStyle w:val="44"/>
          <w:rFonts w:hint="eastAsia" w:ascii="宋体" w:hAnsi="宋体" w:eastAsia="宋体" w:cs="宋体"/>
          <w:b/>
          <w:bCs/>
          <w:color w:val="auto"/>
          <w:sz w:val="48"/>
          <w:szCs w:val="48"/>
          <w:highlight w:val="none"/>
        </w:rPr>
      </w:pPr>
    </w:p>
    <w:p w14:paraId="7BED1318">
      <w:pPr>
        <w:pStyle w:val="20"/>
        <w:bidi w:val="0"/>
        <w:jc w:val="center"/>
        <w:rPr>
          <w:rStyle w:val="44"/>
          <w:rFonts w:hint="eastAsia" w:ascii="宋体" w:hAnsi="宋体" w:eastAsia="宋体" w:cs="宋体"/>
          <w:b/>
          <w:bCs/>
          <w:color w:val="auto"/>
          <w:sz w:val="48"/>
          <w:szCs w:val="48"/>
          <w:highlight w:val="none"/>
        </w:rPr>
      </w:pPr>
    </w:p>
    <w:p w14:paraId="0E3B3126">
      <w:pPr>
        <w:pStyle w:val="20"/>
        <w:bidi w:val="0"/>
        <w:jc w:val="center"/>
        <w:rPr>
          <w:rStyle w:val="44"/>
          <w:rFonts w:hint="eastAsia" w:ascii="宋体" w:hAnsi="宋体" w:eastAsia="宋体" w:cs="宋体"/>
          <w:b/>
          <w:bCs/>
          <w:color w:val="auto"/>
          <w:sz w:val="48"/>
          <w:szCs w:val="48"/>
          <w:highlight w:val="none"/>
        </w:rPr>
      </w:pPr>
    </w:p>
    <w:p w14:paraId="08348EA2">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恒信咨询管理有限公司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 xml:space="preserve"> 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驻马店市中心医院机房及网络设备维保项目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机房及网络设备维保</w:t>
      </w:r>
      <w:r>
        <w:rPr>
          <w:rFonts w:hint="eastAsia" w:ascii="宋体" w:hAnsi="宋体" w:cs="宋体"/>
          <w:color w:val="auto"/>
          <w:highlight w:val="none"/>
          <w:u w:val="single"/>
          <w:lang w:val="en-US" w:eastAsia="zh-CN"/>
        </w:rPr>
        <w:t>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驻马店市中心医院机房及网络设备维保项目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、预算金额：35万元</w:t>
      </w:r>
      <w:r>
        <w:rPr>
          <w:rFonts w:hint="eastAsia" w:ascii="宋体" w:hAnsi="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4、服务期限</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自合同生效之日起1年</w:t>
      </w:r>
      <w:r>
        <w:rPr>
          <w:rFonts w:hint="eastAsia" w:ascii="宋体" w:hAnsi="宋体" w:cs="宋体"/>
          <w:color w:val="auto"/>
          <w:szCs w:val="21"/>
          <w:highlight w:val="none"/>
          <w:shd w:val="clear" w:color="auto" w:fill="FFFFFF"/>
          <w:lang w:val="en-US" w:eastAsia="zh-CN"/>
        </w:rPr>
        <w:t>；</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18607"/>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30643"/>
      <w:bookmarkStart w:id="11" w:name="_Toc9562"/>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15135"/>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1928"/>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5382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采购代理机构：恒信咨询管理有限公司</w:t>
      </w:r>
    </w:p>
    <w:p w14:paraId="4708D7F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32C245C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3BD3B60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4B25EC9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18E7F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27</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一、项目名称：驻马店市中心医院机房及网络设备维保项目</w:t>
      </w:r>
    </w:p>
    <w:p w14:paraId="10E847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18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90"/>
        <w:gridCol w:w="2139"/>
        <w:gridCol w:w="850"/>
        <w:gridCol w:w="967"/>
        <w:gridCol w:w="1384"/>
        <w:gridCol w:w="1110"/>
        <w:gridCol w:w="1088"/>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55" w:type="dxa"/>
            <w:vAlign w:val="center"/>
          </w:tcPr>
          <w:p w14:paraId="3F52256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7BB0310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139" w:type="dxa"/>
            <w:vAlign w:val="center"/>
          </w:tcPr>
          <w:p w14:paraId="1C81871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384" w:type="dxa"/>
            <w:vAlign w:val="center"/>
          </w:tcPr>
          <w:p w14:paraId="665A7C5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0C32BA6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088" w:type="dxa"/>
            <w:vAlign w:val="center"/>
          </w:tcPr>
          <w:p w14:paraId="0D5173F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vAlign w:val="center"/>
          </w:tcPr>
          <w:p w14:paraId="3FA5EC0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机房及网络设备维保</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年</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35万元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自筹</w:t>
            </w:r>
          </w:p>
        </w:tc>
        <w:tc>
          <w:tcPr>
            <w:tcW w:w="1088" w:type="dxa"/>
            <w:shd w:val="clear" w:color="auto" w:fill="auto"/>
            <w:vAlign w:val="center"/>
          </w:tcPr>
          <w:p w14:paraId="1F5FAC6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highlight w:val="no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4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c>
          <w:tcPr>
            <w:tcW w:w="7538"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1"/>
                <w:szCs w:val="21"/>
                <w:highlight w:val="none"/>
                <w:vertAlign w:val="baseline"/>
                <w:lang w:val="en-US" w:eastAsia="zh-CN"/>
              </w:rPr>
            </w:pPr>
          </w:p>
        </w:tc>
      </w:tr>
    </w:tbl>
    <w:p w14:paraId="028B9CE9">
      <w:pPr>
        <w:spacing w:line="360" w:lineRule="auto"/>
        <w:rPr>
          <w:rFonts w:hint="default"/>
          <w:b/>
          <w:bCs/>
          <w:color w:val="auto"/>
          <w:highlight w:val="none"/>
          <w:lang w:val="en-US" w:eastAsia="zh-CN"/>
        </w:rPr>
      </w:pPr>
      <w:r>
        <w:rPr>
          <w:rFonts w:hint="eastAsia"/>
          <w:b/>
          <w:bCs/>
          <w:color w:val="auto"/>
          <w:highlight w:val="none"/>
          <w:lang w:val="en-US" w:eastAsia="zh-CN"/>
        </w:rPr>
        <w:t>三、技术要求</w:t>
      </w:r>
    </w:p>
    <w:p w14:paraId="45EA3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（一）</w:t>
      </w:r>
      <w:r>
        <w:rPr>
          <w:rFonts w:hint="eastAsia" w:ascii="宋体" w:hAnsi="宋体" w:eastAsia="宋体" w:cs="宋体"/>
          <w:b/>
          <w:sz w:val="21"/>
          <w:szCs w:val="21"/>
          <w:highlight w:val="none"/>
          <w:lang w:val="en-US" w:eastAsia="zh-CN"/>
        </w:rPr>
        <w:t>服务目录</w:t>
      </w:r>
    </w:p>
    <w:p w14:paraId="0B7A6DCA">
      <w:pPr>
        <w:pStyle w:val="16"/>
        <w:keepNext w:val="0"/>
        <w:keepLines w:val="0"/>
        <w:pageBreakBefore w:val="0"/>
        <w:widowControl w:val="0"/>
        <w:kinsoku/>
        <w:wordWrap/>
        <w:overflowPunct/>
        <w:topLinePunct w:val="0"/>
        <w:autoSpaceDE/>
        <w:autoSpaceDN/>
        <w:bidi w:val="0"/>
        <w:adjustRightInd/>
        <w:snapToGrid w:val="0"/>
        <w:spacing w:before="161" w:beforeLines="50" w:beforeAutospacing="0" w:after="161" w:afterLines="50" w:afterAutospacing="0" w:line="240" w:lineRule="auto"/>
        <w:ind w:left="0" w:leftChars="0" w:firstLine="420" w:firstLineChars="200"/>
        <w:textAlignment w:val="auto"/>
        <w:rPr>
          <w:rFonts w:hint="eastAsia"/>
          <w:highlight w:val="none"/>
          <w:lang w:val="en-US" w:eastAsia="zh-CN"/>
        </w:rPr>
      </w:pPr>
      <w:r>
        <w:rPr>
          <w:rFonts w:hint="eastAsia" w:cs="宋体"/>
          <w:b w:val="0"/>
          <w:bCs/>
          <w:sz w:val="21"/>
          <w:szCs w:val="21"/>
          <w:highlight w:val="none"/>
          <w:lang w:val="en-US" w:eastAsia="zh-CN"/>
        </w:rPr>
        <w:t>以下</w:t>
      </w:r>
      <w:r>
        <w:rPr>
          <w:rFonts w:hint="eastAsia" w:ascii="宋体" w:hAnsi="宋体" w:eastAsia="宋体" w:cs="宋体"/>
          <w:sz w:val="21"/>
          <w:szCs w:val="21"/>
          <w:highlight w:val="none"/>
          <w:lang w:val="en-US" w:eastAsia="zh-CN"/>
        </w:rPr>
        <w:t>目录所有项为本次维保服务基础要求</w:t>
      </w:r>
      <w:r>
        <w:rPr>
          <w:rFonts w:hint="eastAsia" w:cs="宋体"/>
          <w:sz w:val="21"/>
          <w:szCs w:val="21"/>
          <w:highlight w:val="none"/>
          <w:lang w:val="en-US" w:eastAsia="zh-CN"/>
        </w:rPr>
        <w:t>：</w:t>
      </w:r>
    </w:p>
    <w:tbl>
      <w:tblPr>
        <w:tblStyle w:val="33"/>
        <w:tblW w:w="4954"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57"/>
        <w:gridCol w:w="857"/>
        <w:gridCol w:w="6901"/>
      </w:tblGrid>
      <w:tr w14:paraId="56B5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16" w:type="pct"/>
            <w:noWrap w:val="0"/>
            <w:vAlign w:val="center"/>
          </w:tcPr>
          <w:p w14:paraId="213D22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416" w:type="pct"/>
            <w:noWrap w:val="0"/>
            <w:vAlign w:val="center"/>
          </w:tcPr>
          <w:p w14:paraId="568D80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服务分类</w:t>
            </w:r>
          </w:p>
        </w:tc>
        <w:tc>
          <w:tcPr>
            <w:tcW w:w="471" w:type="pct"/>
            <w:noWrap w:val="0"/>
            <w:vAlign w:val="center"/>
          </w:tcPr>
          <w:p w14:paraId="7C8DE3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服务项目</w:t>
            </w:r>
          </w:p>
        </w:tc>
        <w:tc>
          <w:tcPr>
            <w:tcW w:w="3796" w:type="pct"/>
            <w:noWrap w:val="0"/>
            <w:vAlign w:val="center"/>
          </w:tcPr>
          <w:p w14:paraId="17346C8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服务内容及要求</w:t>
            </w:r>
          </w:p>
        </w:tc>
      </w:tr>
      <w:tr w14:paraId="0602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3B49F1B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416" w:type="pct"/>
            <w:vMerge w:val="restart"/>
            <w:noWrap/>
            <w:vAlign w:val="center"/>
          </w:tcPr>
          <w:p w14:paraId="426A105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例行操作</w:t>
            </w:r>
          </w:p>
        </w:tc>
        <w:tc>
          <w:tcPr>
            <w:tcW w:w="471" w:type="pct"/>
            <w:noWrap/>
            <w:vAlign w:val="center"/>
          </w:tcPr>
          <w:p w14:paraId="42014AC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监控</w:t>
            </w:r>
          </w:p>
        </w:tc>
        <w:tc>
          <w:tcPr>
            <w:tcW w:w="3796" w:type="pct"/>
            <w:noWrap w:val="0"/>
            <w:vAlign w:val="center"/>
          </w:tcPr>
          <w:p w14:paraId="552157C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服务内容：</w:t>
            </w:r>
            <w:r>
              <w:rPr>
                <w:rFonts w:hint="eastAsia" w:ascii="宋体" w:hAnsi="宋体" w:eastAsia="宋体" w:cs="宋体"/>
                <w:color w:val="000000"/>
                <w:kern w:val="0"/>
                <w:sz w:val="21"/>
                <w:szCs w:val="21"/>
                <w:highlight w:val="none"/>
              </w:rPr>
              <w:t>对</w:t>
            </w:r>
            <w:r>
              <w:rPr>
                <w:rFonts w:hint="eastAsia" w:ascii="宋体" w:hAnsi="宋体" w:eastAsia="宋体" w:cs="宋体"/>
                <w:color w:val="auto"/>
                <w:kern w:val="0"/>
                <w:sz w:val="21"/>
                <w:szCs w:val="21"/>
                <w:highlight w:val="none"/>
              </w:rPr>
              <w:t>服务范围内对象</w:t>
            </w:r>
            <w:r>
              <w:rPr>
                <w:rFonts w:hint="eastAsia" w:ascii="宋体" w:hAnsi="宋体" w:eastAsia="宋体" w:cs="宋体"/>
                <w:color w:val="000000"/>
                <w:kern w:val="0"/>
                <w:sz w:val="21"/>
                <w:szCs w:val="21"/>
                <w:highlight w:val="none"/>
              </w:rPr>
              <w:t>的运行指标、状态和趋势等进行监控。</w:t>
            </w:r>
          </w:p>
          <w:p w14:paraId="4FCCE6B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远程。</w:t>
            </w:r>
          </w:p>
          <w:p w14:paraId="365E9EB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7CAB421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服务频次：</w:t>
            </w:r>
            <w:r>
              <w:rPr>
                <w:rFonts w:hint="eastAsia" w:ascii="宋体" w:hAnsi="宋体" w:eastAsia="宋体" w:cs="宋体"/>
                <w:color w:val="000000"/>
                <w:kern w:val="0"/>
                <w:sz w:val="21"/>
                <w:szCs w:val="21"/>
                <w:highlight w:val="none"/>
              </w:rPr>
              <w:t>实时。</w:t>
            </w:r>
          </w:p>
          <w:p w14:paraId="60B0015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rPr>
              <w:t>服务级别：</w:t>
            </w:r>
            <w:r>
              <w:rPr>
                <w:rFonts w:hint="eastAsia" w:ascii="宋体" w:hAnsi="宋体" w:eastAsia="宋体" w:cs="宋体"/>
                <w:b w:val="0"/>
                <w:bCs w:val="0"/>
                <w:color w:val="000000"/>
                <w:kern w:val="0"/>
                <w:sz w:val="21"/>
                <w:szCs w:val="21"/>
                <w:highlight w:val="none"/>
                <w:lang w:val="en-US" w:eastAsia="zh-CN"/>
              </w:rPr>
              <w:t>无。</w:t>
            </w:r>
          </w:p>
          <w:p w14:paraId="5DDA693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交付成果：</w:t>
            </w:r>
            <w:r>
              <w:rPr>
                <w:rFonts w:hint="eastAsia" w:ascii="宋体" w:hAnsi="宋体" w:eastAsia="宋体" w:cs="宋体"/>
                <w:color w:val="000000"/>
                <w:kern w:val="0"/>
                <w:sz w:val="21"/>
                <w:szCs w:val="21"/>
                <w:highlight w:val="none"/>
              </w:rPr>
              <w:t>《监控记录》。</w:t>
            </w:r>
          </w:p>
        </w:tc>
      </w:tr>
      <w:tr w14:paraId="7F8B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A224B4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416" w:type="pct"/>
            <w:vMerge w:val="continue"/>
            <w:noWrap w:val="0"/>
            <w:vAlign w:val="center"/>
          </w:tcPr>
          <w:p w14:paraId="2EF98A5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ign w:val="center"/>
          </w:tcPr>
          <w:p w14:paraId="626BD88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预防性检查</w:t>
            </w:r>
          </w:p>
        </w:tc>
        <w:tc>
          <w:tcPr>
            <w:tcW w:w="3796" w:type="pct"/>
            <w:noWrap w:val="0"/>
            <w:vAlign w:val="center"/>
          </w:tcPr>
          <w:p w14:paraId="68461D0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服务内容：</w:t>
            </w:r>
            <w:r>
              <w:rPr>
                <w:rFonts w:hint="eastAsia" w:ascii="宋体" w:hAnsi="宋体" w:eastAsia="宋体" w:cs="宋体"/>
                <w:color w:val="000000"/>
                <w:kern w:val="0"/>
                <w:sz w:val="21"/>
                <w:szCs w:val="21"/>
                <w:highlight w:val="none"/>
              </w:rPr>
              <w:t>对服务范围内对象的监控记录、运行条件和运行状态进行巡检，发现其脆弱性，并及时消除或改进。</w:t>
            </w:r>
          </w:p>
          <w:p w14:paraId="2409405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p>
          <w:p w14:paraId="647A265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rPr>
              <w:t>服务时间：</w:t>
            </w:r>
            <w:r>
              <w:rPr>
                <w:rFonts w:hint="eastAsia" w:ascii="宋体" w:hAnsi="宋体" w:eastAsia="宋体" w:cs="宋体"/>
                <w:color w:val="000000"/>
                <w:kern w:val="0"/>
                <w:sz w:val="21"/>
                <w:szCs w:val="21"/>
                <w:highlight w:val="none"/>
              </w:rPr>
              <w:t>7*24。</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机房</w:t>
            </w:r>
            <w:r>
              <w:rPr>
                <w:rFonts w:hint="eastAsia" w:ascii="宋体" w:hAnsi="宋体" w:eastAsia="宋体" w:cs="宋体"/>
                <w:color w:val="000000"/>
                <w:kern w:val="0"/>
                <w:sz w:val="21"/>
                <w:szCs w:val="21"/>
                <w:highlight w:val="none"/>
                <w:lang w:val="en-US" w:eastAsia="zh-CN"/>
              </w:rPr>
              <w:t>常规</w:t>
            </w:r>
            <w:r>
              <w:rPr>
                <w:rFonts w:hint="eastAsia" w:ascii="宋体" w:hAnsi="宋体" w:eastAsia="宋体" w:cs="宋体"/>
                <w:color w:val="000000"/>
                <w:kern w:val="0"/>
                <w:sz w:val="21"/>
                <w:szCs w:val="21"/>
                <w:highlight w:val="none"/>
              </w:rPr>
              <w:t>巡检每天1次。弱电间</w:t>
            </w:r>
            <w:r>
              <w:rPr>
                <w:rFonts w:hint="eastAsia" w:ascii="宋体" w:hAnsi="宋体" w:eastAsia="宋体" w:cs="宋体"/>
                <w:color w:val="000000"/>
                <w:kern w:val="0"/>
                <w:sz w:val="21"/>
                <w:szCs w:val="21"/>
                <w:highlight w:val="none"/>
                <w:lang w:val="en-US" w:eastAsia="zh-CN"/>
              </w:rPr>
              <w:t>常规</w:t>
            </w:r>
            <w:r>
              <w:rPr>
                <w:rFonts w:hint="eastAsia" w:ascii="宋体" w:hAnsi="宋体" w:eastAsia="宋体" w:cs="宋体"/>
                <w:color w:val="000000"/>
                <w:kern w:val="0"/>
                <w:sz w:val="21"/>
                <w:szCs w:val="21"/>
                <w:highlight w:val="none"/>
              </w:rPr>
              <w:t>巡检每月</w:t>
            </w:r>
            <w:r>
              <w:rPr>
                <w:rFonts w:hint="eastAsia" w:ascii="宋体" w:hAnsi="宋体" w:eastAsia="宋体" w:cs="宋体"/>
                <w:color w:val="000000"/>
                <w:kern w:val="0"/>
                <w:sz w:val="21"/>
                <w:szCs w:val="21"/>
                <w:highlight w:val="none"/>
                <w:lang w:val="en-US" w:eastAsia="zh-CN"/>
              </w:rPr>
              <w:t>1次。</w:t>
            </w:r>
            <w:r>
              <w:rPr>
                <w:rFonts w:hint="eastAsia" w:ascii="宋体" w:hAnsi="宋体" w:eastAsia="宋体" w:cs="宋体"/>
                <w:color w:val="000000"/>
                <w:kern w:val="0"/>
                <w:sz w:val="21"/>
                <w:szCs w:val="21"/>
                <w:highlight w:val="none"/>
              </w:rPr>
              <w:t>网络、服务器、存储、安全</w:t>
            </w:r>
            <w:r>
              <w:rPr>
                <w:rFonts w:hint="eastAsia" w:ascii="宋体" w:hAnsi="宋体" w:eastAsia="宋体" w:cs="宋体"/>
                <w:color w:val="000000"/>
                <w:kern w:val="0"/>
                <w:sz w:val="21"/>
                <w:szCs w:val="21"/>
                <w:highlight w:val="none"/>
                <w:lang w:val="en-US" w:eastAsia="zh-CN"/>
              </w:rPr>
              <w:t>等</w:t>
            </w:r>
            <w:r>
              <w:rPr>
                <w:rFonts w:hint="eastAsia" w:ascii="宋体" w:hAnsi="宋体" w:eastAsia="宋体" w:cs="宋体"/>
                <w:color w:val="000000"/>
                <w:kern w:val="0"/>
                <w:sz w:val="21"/>
                <w:szCs w:val="21"/>
                <w:highlight w:val="none"/>
              </w:rPr>
              <w:t>资源</w:t>
            </w:r>
            <w:r>
              <w:rPr>
                <w:rFonts w:hint="eastAsia" w:ascii="宋体" w:hAnsi="宋体" w:eastAsia="宋体" w:cs="宋体"/>
                <w:color w:val="000000"/>
                <w:kern w:val="0"/>
                <w:sz w:val="21"/>
                <w:szCs w:val="21"/>
                <w:highlight w:val="none"/>
                <w:lang w:val="en-US" w:eastAsia="zh-CN"/>
              </w:rPr>
              <w:t>大型</w:t>
            </w:r>
            <w:r>
              <w:rPr>
                <w:rFonts w:hint="eastAsia" w:ascii="宋体" w:hAnsi="宋体" w:eastAsia="宋体" w:cs="宋体"/>
                <w:color w:val="000000"/>
                <w:kern w:val="0"/>
                <w:sz w:val="21"/>
                <w:szCs w:val="21"/>
                <w:highlight w:val="none"/>
              </w:rPr>
              <w:t>巡检每季度1次。</w:t>
            </w:r>
          </w:p>
          <w:p w14:paraId="036CE26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机房</w:t>
            </w:r>
            <w:r>
              <w:rPr>
                <w:rFonts w:hint="eastAsia" w:ascii="宋体" w:hAnsi="宋体" w:eastAsia="宋体" w:cs="宋体"/>
                <w:color w:val="000000"/>
                <w:kern w:val="0"/>
                <w:sz w:val="21"/>
                <w:szCs w:val="21"/>
                <w:highlight w:val="none"/>
                <w:lang w:val="en-US" w:eastAsia="zh-CN"/>
              </w:rPr>
              <w:t>常规</w:t>
            </w:r>
            <w:r>
              <w:rPr>
                <w:rFonts w:hint="eastAsia" w:ascii="宋体" w:hAnsi="宋体" w:eastAsia="宋体" w:cs="宋体"/>
                <w:color w:val="000000"/>
                <w:kern w:val="0"/>
                <w:sz w:val="21"/>
                <w:szCs w:val="21"/>
                <w:highlight w:val="none"/>
              </w:rPr>
              <w:t>巡检每天上午完成。弱电间</w:t>
            </w:r>
            <w:r>
              <w:rPr>
                <w:rFonts w:hint="eastAsia" w:ascii="宋体" w:hAnsi="宋体" w:eastAsia="宋体" w:cs="宋体"/>
                <w:color w:val="000000"/>
                <w:kern w:val="0"/>
                <w:sz w:val="21"/>
                <w:szCs w:val="21"/>
                <w:highlight w:val="none"/>
                <w:lang w:val="en-US" w:eastAsia="zh-CN"/>
              </w:rPr>
              <w:t>常规</w:t>
            </w:r>
            <w:r>
              <w:rPr>
                <w:rFonts w:hint="eastAsia" w:ascii="宋体" w:hAnsi="宋体" w:eastAsia="宋体" w:cs="宋体"/>
                <w:color w:val="000000"/>
                <w:kern w:val="0"/>
                <w:sz w:val="21"/>
                <w:szCs w:val="21"/>
                <w:highlight w:val="none"/>
              </w:rPr>
              <w:t>巡检每月上旬完成。网络、服务器、存储、安全</w:t>
            </w:r>
            <w:r>
              <w:rPr>
                <w:rFonts w:hint="eastAsia" w:ascii="宋体" w:hAnsi="宋体" w:eastAsia="宋体" w:cs="宋体"/>
                <w:color w:val="000000"/>
                <w:kern w:val="0"/>
                <w:sz w:val="21"/>
                <w:szCs w:val="21"/>
                <w:highlight w:val="none"/>
                <w:lang w:val="en-US" w:eastAsia="zh-CN"/>
              </w:rPr>
              <w:t>等</w:t>
            </w:r>
            <w:r>
              <w:rPr>
                <w:rFonts w:hint="eastAsia" w:ascii="宋体" w:hAnsi="宋体" w:eastAsia="宋体" w:cs="宋体"/>
                <w:color w:val="000000"/>
                <w:kern w:val="0"/>
                <w:sz w:val="21"/>
                <w:szCs w:val="21"/>
                <w:highlight w:val="none"/>
              </w:rPr>
              <w:t>资源</w:t>
            </w:r>
            <w:r>
              <w:rPr>
                <w:rFonts w:hint="eastAsia" w:ascii="宋体" w:hAnsi="宋体" w:eastAsia="宋体" w:cs="宋体"/>
                <w:color w:val="000000"/>
                <w:kern w:val="0"/>
                <w:sz w:val="21"/>
                <w:szCs w:val="21"/>
                <w:highlight w:val="none"/>
                <w:lang w:val="en-US" w:eastAsia="zh-CN"/>
              </w:rPr>
              <w:t>大型</w:t>
            </w:r>
            <w:r>
              <w:rPr>
                <w:rFonts w:hint="eastAsia" w:ascii="宋体" w:hAnsi="宋体" w:eastAsia="宋体" w:cs="宋体"/>
                <w:color w:val="000000"/>
                <w:kern w:val="0"/>
                <w:sz w:val="21"/>
                <w:szCs w:val="21"/>
                <w:highlight w:val="none"/>
              </w:rPr>
              <w:t>巡检每季度第1周完成</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color w:val="000000"/>
                <w:kern w:val="0"/>
                <w:sz w:val="21"/>
                <w:szCs w:val="21"/>
                <w:highlight w:val="none"/>
              </w:rPr>
              <w:t>《巡检记录》。</w:t>
            </w:r>
          </w:p>
        </w:tc>
      </w:tr>
      <w:tr w14:paraId="2DE7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70A341C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416" w:type="pct"/>
            <w:vMerge w:val="continue"/>
            <w:noWrap w:val="0"/>
            <w:vAlign w:val="center"/>
          </w:tcPr>
          <w:p w14:paraId="2F232C1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ign w:val="center"/>
          </w:tcPr>
          <w:p w14:paraId="39CB6A6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常规作业</w:t>
            </w:r>
          </w:p>
        </w:tc>
        <w:tc>
          <w:tcPr>
            <w:tcW w:w="3796" w:type="pct"/>
            <w:noWrap w:val="0"/>
            <w:vAlign w:val="center"/>
          </w:tcPr>
          <w:p w14:paraId="1B94C89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对服务范围内对象进行日常维护，包括资产梳理、定期清洁、线路整理、标签整理、配置变更、定期备份与恢复验证、模板制作与维护、系统重启等。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数据备份</w:t>
            </w:r>
            <w:r>
              <w:rPr>
                <w:rFonts w:hint="eastAsia" w:ascii="宋体" w:hAnsi="宋体" w:eastAsia="宋体" w:cs="宋体"/>
                <w:color w:val="000000"/>
                <w:kern w:val="0"/>
                <w:sz w:val="21"/>
                <w:szCs w:val="21"/>
                <w:highlight w:val="none"/>
                <w:lang w:eastAsia="zh-CN"/>
              </w:rPr>
              <w:t>每日</w:t>
            </w:r>
            <w:r>
              <w:rPr>
                <w:rFonts w:hint="eastAsia" w:ascii="宋体" w:hAnsi="宋体" w:eastAsia="宋体" w:cs="宋体"/>
                <w:color w:val="000000"/>
                <w:kern w:val="0"/>
                <w:sz w:val="21"/>
                <w:szCs w:val="21"/>
                <w:highlight w:val="none"/>
              </w:rPr>
              <w:t>1次。资产梳理、定期清洁、线路整理、标签整理、恢复验证每季度1次。</w:t>
            </w:r>
          </w:p>
          <w:p w14:paraId="13776C9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数据备份</w:t>
            </w:r>
            <w:r>
              <w:rPr>
                <w:rFonts w:hint="eastAsia" w:ascii="宋体" w:hAnsi="宋体" w:eastAsia="宋体" w:cs="宋体"/>
                <w:color w:val="000000"/>
                <w:kern w:val="0"/>
                <w:sz w:val="21"/>
                <w:szCs w:val="21"/>
                <w:highlight w:val="none"/>
                <w:lang w:eastAsia="zh-CN"/>
              </w:rPr>
              <w:t>每日</w:t>
            </w:r>
            <w:r>
              <w:rPr>
                <w:rFonts w:hint="eastAsia" w:ascii="宋体" w:hAnsi="宋体" w:eastAsia="宋体" w:cs="宋体"/>
                <w:color w:val="000000"/>
                <w:kern w:val="0"/>
                <w:sz w:val="21"/>
                <w:szCs w:val="21"/>
                <w:highlight w:val="none"/>
              </w:rPr>
              <w:t>上午完成。资产梳理、定期清洁、线路整理、标签整理、恢复验证每季度第1周完成。</w:t>
            </w:r>
          </w:p>
          <w:p w14:paraId="151B594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资产清单》、《网络拓扑图》、《备份与恢复验证记录》。</w:t>
            </w:r>
          </w:p>
        </w:tc>
      </w:tr>
      <w:tr w14:paraId="5786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4E7ABD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416" w:type="pct"/>
            <w:vMerge w:val="restart"/>
            <w:noWrap/>
            <w:vAlign w:val="center"/>
          </w:tcPr>
          <w:p w14:paraId="260FEC4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响应支持</w:t>
            </w:r>
          </w:p>
        </w:tc>
        <w:tc>
          <w:tcPr>
            <w:tcW w:w="471" w:type="pct"/>
            <w:noWrap/>
            <w:vAlign w:val="center"/>
          </w:tcPr>
          <w:p w14:paraId="3AC202E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事件驱动响应</w:t>
            </w:r>
          </w:p>
        </w:tc>
        <w:tc>
          <w:tcPr>
            <w:tcW w:w="3796" w:type="pct"/>
            <w:noWrap w:val="0"/>
            <w:vAlign w:val="center"/>
          </w:tcPr>
          <w:p w14:paraId="568FA5B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对服务范围内对象</w:t>
            </w:r>
            <w:r>
              <w:rPr>
                <w:rFonts w:hint="eastAsia" w:ascii="宋体" w:hAnsi="宋体" w:eastAsia="宋体" w:cs="宋体"/>
                <w:color w:val="000000"/>
                <w:kern w:val="0"/>
                <w:sz w:val="21"/>
                <w:szCs w:val="21"/>
                <w:highlight w:val="none"/>
                <w:lang w:val="en-US" w:eastAsia="zh-CN"/>
              </w:rPr>
              <w:t>的</w:t>
            </w:r>
            <w:r>
              <w:rPr>
                <w:rFonts w:hint="eastAsia" w:ascii="宋体" w:hAnsi="宋体" w:eastAsia="宋体" w:cs="宋体"/>
                <w:color w:val="000000"/>
                <w:kern w:val="0"/>
                <w:sz w:val="21"/>
                <w:szCs w:val="21"/>
                <w:highlight w:val="none"/>
              </w:rPr>
              <w:t>故障进行快速响应、排查和修复，包括</w:t>
            </w:r>
            <w:r>
              <w:rPr>
                <w:rFonts w:hint="eastAsia" w:ascii="宋体" w:hAnsi="宋体" w:eastAsia="宋体" w:cs="宋体"/>
                <w:color w:val="000000"/>
                <w:kern w:val="0"/>
                <w:sz w:val="21"/>
                <w:szCs w:val="21"/>
                <w:highlight w:val="none"/>
                <w:lang w:val="en-US" w:eastAsia="zh-CN"/>
              </w:rPr>
              <w:t>整机或</w:t>
            </w:r>
            <w:r>
              <w:rPr>
                <w:rFonts w:hint="eastAsia" w:ascii="宋体" w:hAnsi="宋体" w:eastAsia="宋体" w:cs="宋体"/>
                <w:color w:val="000000"/>
                <w:kern w:val="0"/>
                <w:sz w:val="21"/>
                <w:szCs w:val="21"/>
                <w:highlight w:val="none"/>
              </w:rPr>
              <w:t>部件更换、配置恢复、数据恢复、应急响应等。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p>
          <w:p w14:paraId="093F146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响应时间10分钟，到场时间3小时，解决时间6小时。</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60A5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C9CBBA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416" w:type="pct"/>
            <w:vMerge w:val="continue"/>
            <w:noWrap w:val="0"/>
            <w:vAlign w:val="center"/>
          </w:tcPr>
          <w:p w14:paraId="520D0C4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ign w:val="center"/>
          </w:tcPr>
          <w:p w14:paraId="69FF08E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服务请求响应</w:t>
            </w:r>
          </w:p>
        </w:tc>
        <w:tc>
          <w:tcPr>
            <w:tcW w:w="3796" w:type="pct"/>
            <w:noWrap w:val="0"/>
            <w:vAlign w:val="center"/>
          </w:tcPr>
          <w:p w14:paraId="7E34BE1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bCs/>
                <w:color w:val="000000"/>
                <w:kern w:val="0"/>
                <w:sz w:val="21"/>
                <w:szCs w:val="21"/>
                <w:highlight w:val="none"/>
              </w:rPr>
              <w:t>根据业务运行需要，对</w:t>
            </w:r>
            <w:r>
              <w:rPr>
                <w:rFonts w:hint="eastAsia" w:ascii="宋体" w:hAnsi="宋体" w:eastAsia="宋体" w:cs="宋体"/>
                <w:color w:val="000000"/>
                <w:kern w:val="0"/>
                <w:sz w:val="21"/>
                <w:szCs w:val="21"/>
                <w:highlight w:val="none"/>
              </w:rPr>
              <w:t>甲方的服务请求进行响应，包括设备安装、设备移机、链路跳线、数据提取、数据处理、配置变更、系统安装、系统迁移、数据迁移、操作培训、应急演练、相关项目实施时给予协助与支持、重要活动期间现场应急值守与保障、网络安全工作配合与支持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p>
          <w:p w14:paraId="7A7AD27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响应时间10分钟，到场时间3小时，解决时间6小时。</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2E15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5E9E74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416" w:type="pct"/>
            <w:vMerge w:val="restart"/>
            <w:noWrap w:val="0"/>
            <w:vAlign w:val="center"/>
          </w:tcPr>
          <w:p w14:paraId="43F5E05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优化改善</w:t>
            </w:r>
          </w:p>
        </w:tc>
        <w:tc>
          <w:tcPr>
            <w:tcW w:w="471" w:type="pct"/>
            <w:noWrap w:val="0"/>
            <w:vAlign w:val="center"/>
          </w:tcPr>
          <w:p w14:paraId="2FA983D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适应性改进</w:t>
            </w:r>
          </w:p>
        </w:tc>
        <w:tc>
          <w:tcPr>
            <w:tcW w:w="3796" w:type="pct"/>
            <w:noWrap w:val="0"/>
            <w:vAlign w:val="center"/>
          </w:tcPr>
          <w:p w14:paraId="6193248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为保持服务范围内对象在新环境中可持续运行而实施的优化改进，包括空调温湿度调整、布线调整、配置变更、新用户新模块上线前初始化数据录入、新设备集成接入、新系统接口对接、新操作系统适配等。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083CA0D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响应时间10分钟，到场时间、解决时间根据业务需要由甲方指定。</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5CC6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586D4C3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416" w:type="pct"/>
            <w:vMerge w:val="continue"/>
            <w:noWrap w:val="0"/>
            <w:vAlign w:val="center"/>
          </w:tcPr>
          <w:p w14:paraId="570F0BD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0"/>
            <w:vAlign w:val="center"/>
          </w:tcPr>
          <w:p w14:paraId="248BF70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增强性改进</w:t>
            </w:r>
          </w:p>
        </w:tc>
        <w:tc>
          <w:tcPr>
            <w:tcW w:w="3796" w:type="pct"/>
            <w:noWrap w:val="0"/>
            <w:vAlign w:val="center"/>
          </w:tcPr>
          <w:p w14:paraId="5594161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根据服务范围内对象的运行状况采取改进措施，增强服务范围内对象的安全性、可用性和可靠性，包括线缆升级、配置优化、性能优化、架构优化、功能优化、系统升级、规则库升级等。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0D52C0A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响应时间10分钟，到场时间、解决时间根据业务需要由甲方指定。</w:t>
            </w:r>
          </w:p>
          <w:p w14:paraId="1CC9ECD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4568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1613303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416" w:type="pct"/>
            <w:vMerge w:val="continue"/>
            <w:noWrap w:val="0"/>
            <w:vAlign w:val="center"/>
          </w:tcPr>
          <w:p w14:paraId="56D8E8A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p>
        </w:tc>
        <w:tc>
          <w:tcPr>
            <w:tcW w:w="471" w:type="pct"/>
            <w:noWrap w:val="0"/>
            <w:vAlign w:val="center"/>
          </w:tcPr>
          <w:p w14:paraId="2924ADF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预防性改进</w:t>
            </w:r>
          </w:p>
        </w:tc>
        <w:tc>
          <w:tcPr>
            <w:tcW w:w="3796" w:type="pct"/>
            <w:noWrap w:val="0"/>
            <w:vAlign w:val="center"/>
          </w:tcPr>
          <w:p w14:paraId="72BB314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检测和纠正服务范围内对象运行过程中潜在的问题或缺陷，包括配置变更、安全优化、漏洞修复、补丁更新等。</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驻场，中心院区1人，妇儿院区1人。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1346339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响应时间10分钟，到场时间、解决时间根据业务需要由甲方指定。</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维护记录》。</w:t>
            </w:r>
          </w:p>
        </w:tc>
      </w:tr>
      <w:tr w14:paraId="484D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noWrap w:val="0"/>
            <w:vAlign w:val="center"/>
          </w:tcPr>
          <w:p w14:paraId="2E5D8E3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416" w:type="pct"/>
            <w:noWrap w:val="0"/>
            <w:vAlign w:val="center"/>
          </w:tcPr>
          <w:p w14:paraId="39BF676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调研评估</w:t>
            </w:r>
          </w:p>
        </w:tc>
        <w:tc>
          <w:tcPr>
            <w:tcW w:w="471" w:type="pct"/>
            <w:noWrap w:val="0"/>
            <w:vAlign w:val="center"/>
          </w:tcPr>
          <w:p w14:paraId="3A6E7BA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调研评估</w:t>
            </w:r>
          </w:p>
        </w:tc>
        <w:tc>
          <w:tcPr>
            <w:tcW w:w="3796" w:type="pct"/>
            <w:noWrap w:val="0"/>
            <w:vAlign w:val="center"/>
          </w:tcPr>
          <w:p w14:paraId="08C988B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服务内容：</w:t>
            </w:r>
            <w:r>
              <w:rPr>
                <w:rFonts w:hint="eastAsia" w:ascii="宋体" w:hAnsi="宋体" w:eastAsia="宋体" w:cs="宋体"/>
                <w:color w:val="000000"/>
                <w:kern w:val="0"/>
                <w:sz w:val="21"/>
                <w:szCs w:val="21"/>
                <w:highlight w:val="none"/>
              </w:rPr>
              <w:t>对服务范围内对象的运行状况进行分析和评估，提出方案建议。</w:t>
            </w:r>
            <w:r>
              <w:rPr>
                <w:rFonts w:hint="eastAsia" w:ascii="宋体" w:hAnsi="宋体" w:eastAsia="宋体" w:cs="宋体"/>
                <w:color w:val="000000"/>
                <w:kern w:val="0"/>
                <w:sz w:val="21"/>
                <w:szCs w:val="21"/>
                <w:highlight w:val="none"/>
              </w:rPr>
              <w:br w:type="textWrapping"/>
            </w:r>
            <w:r>
              <w:rPr>
                <w:rFonts w:hint="eastAsia" w:ascii="宋体" w:hAnsi="宋体" w:eastAsia="宋体" w:cs="宋体"/>
                <w:b/>
                <w:bCs/>
                <w:color w:val="000000"/>
                <w:kern w:val="0"/>
                <w:sz w:val="21"/>
                <w:szCs w:val="21"/>
                <w:highlight w:val="none"/>
              </w:rPr>
              <w:t>服务方式：</w:t>
            </w:r>
            <w:r>
              <w:rPr>
                <w:rFonts w:hint="eastAsia" w:ascii="宋体" w:hAnsi="宋体" w:eastAsia="宋体" w:cs="宋体"/>
                <w:color w:val="000000"/>
                <w:kern w:val="0"/>
                <w:sz w:val="21"/>
                <w:szCs w:val="21"/>
                <w:highlight w:val="none"/>
              </w:rPr>
              <w:t>现场。</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服务时间：</w:t>
            </w:r>
            <w:r>
              <w:rPr>
                <w:rFonts w:hint="eastAsia" w:ascii="宋体" w:hAnsi="宋体" w:eastAsia="宋体" w:cs="宋体"/>
                <w:color w:val="000000"/>
                <w:kern w:val="0"/>
                <w:sz w:val="21"/>
                <w:szCs w:val="21"/>
                <w:highlight w:val="none"/>
              </w:rPr>
              <w:t>7*24。</w:t>
            </w:r>
          </w:p>
          <w:p w14:paraId="241037E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服务频次：</w:t>
            </w:r>
            <w:r>
              <w:rPr>
                <w:rFonts w:hint="eastAsia" w:ascii="宋体" w:hAnsi="宋体" w:eastAsia="宋体" w:cs="宋体"/>
                <w:color w:val="000000"/>
                <w:kern w:val="0"/>
                <w:sz w:val="21"/>
                <w:szCs w:val="21"/>
                <w:highlight w:val="none"/>
              </w:rPr>
              <w:t>按需提供，不限次数。</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服务级别：</w:t>
            </w:r>
            <w:r>
              <w:rPr>
                <w:rFonts w:hint="eastAsia" w:ascii="宋体" w:hAnsi="宋体" w:eastAsia="宋体" w:cs="宋体"/>
                <w:color w:val="000000"/>
                <w:kern w:val="0"/>
                <w:sz w:val="21"/>
                <w:szCs w:val="21"/>
                <w:highlight w:val="none"/>
              </w:rPr>
              <w:t>响应时间10分钟，到场时间、解决时间根据业务需要由甲方指定。</w:t>
            </w:r>
            <w:r>
              <w:rPr>
                <w:rFonts w:hint="eastAsia" w:ascii="宋体" w:hAnsi="宋体" w:eastAsia="宋体" w:cs="宋体"/>
                <w:color w:val="000000"/>
                <w:kern w:val="0"/>
                <w:sz w:val="21"/>
                <w:szCs w:val="21"/>
                <w:highlight w:val="none"/>
              </w:rPr>
              <w:br w:type="textWrapping"/>
            </w:r>
            <w:r>
              <w:rPr>
                <w:rFonts w:hint="eastAsia" w:ascii="宋体" w:hAnsi="宋体" w:eastAsia="宋体" w:cs="宋体"/>
                <w:b/>
                <w:color w:val="000000"/>
                <w:kern w:val="0"/>
                <w:sz w:val="21"/>
                <w:szCs w:val="21"/>
                <w:highlight w:val="none"/>
              </w:rPr>
              <w:t>交付成果：</w:t>
            </w:r>
            <w:r>
              <w:rPr>
                <w:rFonts w:hint="eastAsia" w:ascii="宋体" w:hAnsi="宋体" w:eastAsia="宋体" w:cs="宋体"/>
                <w:bCs/>
                <w:color w:val="000000"/>
                <w:kern w:val="0"/>
                <w:sz w:val="21"/>
                <w:szCs w:val="21"/>
                <w:highlight w:val="none"/>
              </w:rPr>
              <w:t>《</w:t>
            </w:r>
            <w:r>
              <w:rPr>
                <w:rFonts w:hint="eastAsia" w:ascii="宋体" w:hAnsi="宋体" w:eastAsia="宋体" w:cs="宋体"/>
                <w:color w:val="000000"/>
                <w:kern w:val="0"/>
                <w:sz w:val="21"/>
                <w:szCs w:val="21"/>
                <w:highlight w:val="none"/>
              </w:rPr>
              <w:t>评估报告》。</w:t>
            </w:r>
          </w:p>
        </w:tc>
      </w:tr>
    </w:tbl>
    <w:p w14:paraId="61C37F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2" w:firstLineChars="200"/>
        <w:textAlignment w:val="auto"/>
        <w:outlineLvl w:val="1"/>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（二）</w:t>
      </w:r>
      <w:r>
        <w:rPr>
          <w:rFonts w:hint="eastAsia" w:ascii="宋体" w:hAnsi="宋体" w:eastAsia="宋体" w:cs="宋体"/>
          <w:b/>
          <w:sz w:val="21"/>
          <w:szCs w:val="21"/>
          <w:highlight w:val="none"/>
        </w:rPr>
        <w:t>服务范围</w:t>
      </w:r>
    </w:p>
    <w:p w14:paraId="2B6DEF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sz w:val="21"/>
          <w:szCs w:val="21"/>
          <w:highlight w:val="none"/>
          <w:lang w:val="en-US" w:eastAsia="zh-CN"/>
        </w:rPr>
        <w:t>此次维保基础要求</w:t>
      </w:r>
      <w:r>
        <w:rPr>
          <w:rFonts w:hint="eastAsia" w:ascii="宋体" w:hAnsi="宋体" w:cs="宋体"/>
          <w:b w:val="0"/>
          <w:bCs/>
          <w:sz w:val="21"/>
          <w:szCs w:val="21"/>
          <w:highlight w:val="none"/>
          <w:lang w:val="en-US" w:eastAsia="zh-CN"/>
        </w:rPr>
        <w:t>：</w:t>
      </w:r>
    </w:p>
    <w:p w14:paraId="59A51A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甲方全部数据中心机房基础设施，包括电气系统、通风空调系统、消防系统、智能化系统等。机房数量≥4。</w:t>
      </w:r>
    </w:p>
    <w:p w14:paraId="5F1134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甲方全部弱电间基础设施，包括电气系统、通风空调系统、消防系统、智能化系统等。弱电间数量≥159。</w:t>
      </w:r>
    </w:p>
    <w:p w14:paraId="6C78EB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rPr>
        <w:t>甲方全部网络资源，包括物理的和虚拟的网络交换机、路由器、基站、天线、AP、无线控制器、通信线路等。网络资源数量≥558。</w:t>
      </w:r>
    </w:p>
    <w:p w14:paraId="398A28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rPr>
        <w:t>甲方全部服务器资源及其操作系统，包括物理的和虚拟的ARM服务器、X86服务器、小型机等。服务器资源数量≥347。</w:t>
      </w:r>
    </w:p>
    <w:p w14:paraId="74F008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2.5 </w:t>
      </w:r>
      <w:r>
        <w:rPr>
          <w:rFonts w:hint="eastAsia" w:ascii="宋体" w:hAnsi="宋体" w:eastAsia="宋体" w:cs="宋体"/>
          <w:color w:val="auto"/>
          <w:sz w:val="21"/>
          <w:szCs w:val="21"/>
          <w:highlight w:val="none"/>
        </w:rPr>
        <w:t>甲方全部存储资源，包括物理的和虚拟的存储交换机、存储控制器、磁盘阵列、磁带库等。存储资源数量≥6。</w:t>
      </w:r>
    </w:p>
    <w:p w14:paraId="259E89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2.6 </w:t>
      </w:r>
      <w:r>
        <w:rPr>
          <w:rFonts w:hint="eastAsia" w:ascii="宋体" w:hAnsi="宋体" w:eastAsia="宋体" w:cs="宋体"/>
          <w:color w:val="auto"/>
          <w:sz w:val="21"/>
          <w:szCs w:val="21"/>
          <w:highlight w:val="none"/>
        </w:rPr>
        <w:t>甲方全部网络与数据安全资源，包括物理的和虚拟的防火墙、WAF、入侵检测与防御、上网行为管理、VPN、网闸、网络准入控制系统、防病毒系统、终端安全管理系统、漏扫系统、负载均衡、API监测系统、数据备份与恢复系统、数据库审计系统、堡垒机、日志审计系统、态势感知系统等。网络与数据安全资源数量≥39。</w:t>
      </w:r>
    </w:p>
    <w:p w14:paraId="458B9E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（三）</w:t>
      </w:r>
      <w:r>
        <w:rPr>
          <w:rFonts w:hint="eastAsia" w:ascii="宋体" w:hAnsi="宋体" w:eastAsia="宋体" w:cs="宋体"/>
          <w:b/>
          <w:sz w:val="21"/>
          <w:szCs w:val="21"/>
          <w:highlight w:val="none"/>
          <w:lang w:val="en-US" w:eastAsia="zh-CN"/>
        </w:rPr>
        <w:t>服务能力</w:t>
      </w:r>
    </w:p>
    <w:p w14:paraId="10203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 供应商须持有ISO20000或ITSS等信息技术服务认证，提供证书复印件并加盖公章。</w:t>
      </w:r>
    </w:p>
    <w:p w14:paraId="4910E4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 一线驻场工程师须持有H3C或华为网络设备的官方培训认证，提供证书复印件以及该人员上一季度或近3个月内任意1个月的社保缴费证明并加盖公章。</w:t>
      </w:r>
    </w:p>
    <w:p w14:paraId="507228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 二线远程工程师须持有浪潮小型机和HPE服务器的官方培训认证，提供证书复印件以及该人员上一季度或近3个月内任意1个月的社保缴费证明并加盖公章。</w:t>
      </w:r>
    </w:p>
    <w:p w14:paraId="364FD3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 二线远程工程师须持有VMware VCP或以上级别的官方培训认证，提供证书复印件以及该人员上一季度或近3个月内任意1个月的社保缴费证明并加盖公章。</w:t>
      </w:r>
    </w:p>
    <w:p w14:paraId="69543B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3.5 二线远程工程师须持有HDS存储的官方培训认证，提供证书复印件以及该人员上一季度或近3个月内任意1个月的社保缴费证明并加盖公章。</w:t>
      </w:r>
    </w:p>
    <w:p w14:paraId="43D055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outlineLvl w:val="1"/>
        <w:rPr>
          <w:rFonts w:hint="eastAsia" w:ascii="宋体" w:hAnsi="宋体" w:cs="宋体"/>
          <w:b/>
          <w:sz w:val="21"/>
          <w:szCs w:val="21"/>
          <w:highlight w:val="none"/>
          <w:lang w:val="en-US" w:eastAsia="zh-CN"/>
        </w:rPr>
      </w:pPr>
      <w:r>
        <w:rPr>
          <w:rFonts w:hint="eastAsia" w:ascii="宋体" w:hAnsi="宋体" w:cs="宋体"/>
          <w:b/>
          <w:sz w:val="21"/>
          <w:szCs w:val="21"/>
          <w:highlight w:val="none"/>
          <w:lang w:val="en-US" w:eastAsia="zh-CN"/>
        </w:rPr>
        <w:t>（四）测试验证</w:t>
      </w:r>
    </w:p>
    <w:p w14:paraId="41737D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成交后，逐一验证供应商所提供各项证明材料原件的真实性，经确认无误后签订合同。对供应商弄虚作假骗取中标的，采购人有权依法取消其成交资格并追究其法律责任。</w:t>
      </w:r>
    </w:p>
    <w:p w14:paraId="160A0B67">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6111F88A">
      <w:pPr>
        <w:pStyle w:val="51"/>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8"/>
        <w:gridCol w:w="7518"/>
      </w:tblGrid>
      <w:tr w14:paraId="2C11E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4BC5901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518" w:type="dxa"/>
            <w:tcBorders>
              <w:top w:val="single" w:color="auto" w:sz="4" w:space="0"/>
              <w:left w:val="single" w:color="auto" w:sz="4" w:space="0"/>
              <w:bottom w:val="single" w:color="auto" w:sz="4" w:space="0"/>
              <w:right w:val="single" w:color="auto" w:sz="4" w:space="0"/>
            </w:tcBorders>
            <w:noWrap/>
            <w:vAlign w:val="center"/>
          </w:tcPr>
          <w:p w14:paraId="6A0D04B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7518"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B457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1E61BD3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518" w:type="dxa"/>
            <w:tcBorders>
              <w:top w:val="single" w:color="auto" w:sz="4" w:space="0"/>
              <w:left w:val="single" w:color="auto" w:sz="4" w:space="0"/>
              <w:bottom w:val="single" w:color="auto" w:sz="4" w:space="0"/>
              <w:right w:val="single" w:color="auto" w:sz="4" w:space="0"/>
            </w:tcBorders>
            <w:noWrap/>
            <w:vAlign w:val="center"/>
          </w:tcPr>
          <w:p w14:paraId="2F973354">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000000" w:themeColor="text1"/>
                <w:kern w:val="2"/>
                <w:sz w:val="21"/>
                <w:szCs w:val="24"/>
                <w:highlight w:val="none"/>
                <w:lang w:val="en-US" w:eastAsia="zh-CN" w:bidi="ar-SA"/>
                <w14:textFill>
                  <w14:solidFill>
                    <w14:schemeClr w14:val="tx1"/>
                  </w14:solidFill>
                </w14:textFill>
              </w:rPr>
              <w:t>自合同生效之日起1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p>
        </w:tc>
      </w:tr>
      <w:tr w14:paraId="42925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6D2B7532">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518" w:type="dxa"/>
            <w:tcBorders>
              <w:top w:val="single" w:color="auto" w:sz="4" w:space="0"/>
              <w:left w:val="single" w:color="auto" w:sz="4" w:space="0"/>
              <w:bottom w:val="single" w:color="auto" w:sz="4" w:space="0"/>
              <w:right w:val="single" w:color="auto" w:sz="4" w:space="0"/>
            </w:tcBorders>
            <w:noWrap/>
            <w:vAlign w:val="center"/>
          </w:tcPr>
          <w:p w14:paraId="11736EF0">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符合现行国家、省、市地方相关规范和标准，满足磋商文件规定标准</w:t>
            </w:r>
          </w:p>
        </w:tc>
      </w:tr>
      <w:tr w14:paraId="32767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2A6DF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付款方式</w:t>
            </w:r>
          </w:p>
        </w:tc>
        <w:tc>
          <w:tcPr>
            <w:tcW w:w="7518" w:type="dxa"/>
            <w:tcBorders>
              <w:top w:val="single" w:color="auto" w:sz="4" w:space="0"/>
              <w:left w:val="single" w:color="auto" w:sz="4" w:space="0"/>
              <w:bottom w:val="single" w:color="auto" w:sz="4" w:space="0"/>
              <w:right w:val="single" w:color="auto" w:sz="4" w:space="0"/>
            </w:tcBorders>
            <w:noWrap/>
            <w:vAlign w:val="center"/>
          </w:tcPr>
          <w:p w14:paraId="795F94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合同履行 3 个月后，支付总价款的 50% ；合同履行完毕后，支付总价款的 50% 。采购人对供应商服务进行考核，并将考核结果将作为支付服务费用的依据。</w:t>
            </w:r>
          </w:p>
        </w:tc>
      </w:tr>
    </w:tbl>
    <w:p w14:paraId="058339F2">
      <w:pPr>
        <w:jc w:val="center"/>
        <w:rPr>
          <w:rFonts w:hint="eastAsia" w:ascii="宋体" w:hAnsi="宋体" w:eastAsia="宋体" w:cs="宋体"/>
          <w:b/>
          <w:bCs/>
          <w:color w:val="auto"/>
          <w:sz w:val="30"/>
          <w:szCs w:val="30"/>
          <w:highlight w:val="none"/>
        </w:rPr>
      </w:pPr>
    </w:p>
    <w:p w14:paraId="4B0CA787">
      <w:pPr>
        <w:pStyle w:val="3"/>
        <w:rPr>
          <w:rFonts w:hint="eastAsia" w:ascii="宋体" w:hAnsi="宋体" w:eastAsia="宋体" w:cs="宋体"/>
          <w:b/>
          <w:bCs/>
          <w:color w:val="auto"/>
          <w:sz w:val="30"/>
          <w:szCs w:val="30"/>
          <w:highlight w:val="none"/>
        </w:rPr>
      </w:pPr>
    </w:p>
    <w:p w14:paraId="4CC941D5">
      <w:pPr>
        <w:pStyle w:val="4"/>
        <w:rPr>
          <w:rFonts w:hint="eastAsia"/>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625"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rPr>
              <w:t>驻马店市中心医院机房及网络设备维保项目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17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35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.4.3 符合性检查。依据</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的规定，</w:t>
      </w:r>
      <w:r>
        <w:rPr>
          <w:rFonts w:hint="eastAsia" w:ascii="宋体" w:hAnsi="宋体" w:eastAsia="宋体" w:cs="宋体"/>
          <w:b/>
          <w:bCs/>
          <w:color w:val="auto"/>
          <w:kern w:val="0"/>
          <w:szCs w:val="21"/>
          <w:highlight w:val="none"/>
          <w:lang w:eastAsia="zh-CN"/>
        </w:rPr>
        <w:t>磋商小组</w:t>
      </w:r>
      <w:r>
        <w:rPr>
          <w:rFonts w:hint="eastAsia" w:ascii="宋体" w:hAnsi="宋体" w:eastAsia="宋体" w:cs="宋体"/>
          <w:b/>
          <w:bCs/>
          <w:color w:val="auto"/>
          <w:kern w:val="0"/>
          <w:szCs w:val="21"/>
          <w:highlight w:val="none"/>
        </w:rPr>
        <w:t>将从</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kern w:val="0"/>
          <w:szCs w:val="21"/>
          <w:highlight w:val="none"/>
        </w:rPr>
        <w:t>的有效性、完整性和对</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的响应程度进行审查，以确定是否符合对</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的实质性要求作出响应。对没有实质性响应的</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文件将不进行评估，其投标被作为无效</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。凡有下列情况之一者，</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文件也将被视为未实质性响应</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（5）未按</w:t>
      </w:r>
      <w:r>
        <w:rPr>
          <w:rFonts w:hint="eastAsia" w:ascii="宋体" w:hAnsi="宋体" w:cs="宋体"/>
          <w:b/>
          <w:bCs/>
          <w:color w:val="auto"/>
          <w:szCs w:val="21"/>
          <w:highlight w:val="none"/>
          <w:lang w:val="en-US" w:eastAsia="zh-CN"/>
        </w:rPr>
        <w:t>竞争性磋商文件</w:t>
      </w:r>
      <w:r>
        <w:rPr>
          <w:rFonts w:hint="eastAsia" w:ascii="宋体" w:hAnsi="宋体" w:eastAsia="宋体" w:cs="宋体"/>
          <w:b/>
          <w:bCs/>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szCs w:val="21"/>
          <w:highlight w:val="none"/>
        </w:rPr>
        <w:t>的实质性内容未使用中文表述，或意思表述不明确，或前后矛盾，或使用计量单位不符合</w:t>
      </w:r>
      <w:r>
        <w:rPr>
          <w:rFonts w:hint="eastAsia" w:ascii="宋体" w:hAnsi="宋体" w:cs="宋体"/>
          <w:b/>
          <w:bCs/>
          <w:color w:val="auto"/>
          <w:szCs w:val="21"/>
          <w:highlight w:val="none"/>
          <w:lang w:val="en-US" w:eastAsia="zh-CN"/>
        </w:rPr>
        <w:t>竞争性磋商文件</w:t>
      </w:r>
      <w:r>
        <w:rPr>
          <w:rFonts w:hint="eastAsia" w:ascii="宋体" w:hAnsi="宋体" w:eastAsia="宋体" w:cs="宋体"/>
          <w:b/>
          <w:bCs/>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szCs w:val="21"/>
          <w:highlight w:val="none"/>
        </w:rPr>
        <w:t>的关键内容字迹模糊、无法辨认,或</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 w:val="21"/>
          <w:szCs w:val="21"/>
          <w:highlight w:val="none"/>
          <w:shd w:val="clear" w:color="auto" w:fill="FFFFFF"/>
          <w:lang w:val="en-US" w:eastAsia="zh-CN"/>
        </w:rPr>
        <w:t>响应文件</w:t>
      </w:r>
      <w:r>
        <w:rPr>
          <w:rFonts w:hint="eastAsia" w:ascii="宋体" w:hAnsi="宋体" w:eastAsia="宋体" w:cs="宋体"/>
          <w:b/>
          <w:bCs/>
          <w:color w:val="auto"/>
          <w:szCs w:val="21"/>
          <w:highlight w:val="none"/>
        </w:rPr>
        <w:t>内容未按</w:t>
      </w:r>
      <w:r>
        <w:rPr>
          <w:rFonts w:hint="eastAsia" w:ascii="宋体" w:hAnsi="宋体" w:cs="宋体"/>
          <w:b/>
          <w:bCs/>
          <w:color w:val="auto"/>
          <w:szCs w:val="21"/>
          <w:highlight w:val="none"/>
          <w:lang w:val="en-US" w:eastAsia="zh-CN"/>
        </w:rPr>
        <w:t>竞争性磋商文件</w:t>
      </w:r>
      <w:r>
        <w:rPr>
          <w:rFonts w:hint="eastAsia" w:ascii="宋体" w:hAnsi="宋体" w:cs="宋体"/>
          <w:b/>
          <w:bCs/>
          <w:color w:val="auto"/>
          <w:sz w:val="21"/>
          <w:szCs w:val="21"/>
          <w:highlight w:val="none"/>
          <w:shd w:val="clear" w:color="auto" w:fill="FFFFFF"/>
          <w:lang w:val="en-US" w:eastAsia="zh-CN"/>
        </w:rPr>
        <w:t>“第二章 采购需求 三、技术要求”进行逐条响应的，或任何一项有负偏离的</w:t>
      </w:r>
      <w:r>
        <w:rPr>
          <w:rFonts w:hint="eastAsia" w:ascii="宋体" w:hAnsi="宋体" w:eastAsia="宋体" w:cs="宋体"/>
          <w:b/>
          <w:bCs/>
          <w:color w:val="auto"/>
          <w:szCs w:val="21"/>
          <w:highlight w:val="none"/>
        </w:rPr>
        <w:t>。</w:t>
      </w:r>
    </w:p>
    <w:p w14:paraId="01BAF513">
      <w:pPr>
        <w:keepNext w:val="0"/>
        <w:keepLines w:val="0"/>
        <w:pageBreakBefore w:val="0"/>
        <w:widowControl w:val="0"/>
        <w:tabs>
          <w:tab w:val="left" w:pos="0"/>
        </w:tabs>
        <w:kinsoku/>
        <w:wordWrap/>
        <w:overflowPunct/>
        <w:topLinePunct w:val="0"/>
        <w:bidi w:val="0"/>
        <w:snapToGrid w:val="0"/>
        <w:spacing w:line="360" w:lineRule="auto"/>
        <w:ind w:firstLine="422"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（9）不符合</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价格部分(</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193B5FCC">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08A7084">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磋商报价得分=（评标基准价/有效磋商报价）×30分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362" w:type="dxa"/>
            <w:noWrap w:val="0"/>
            <w:vAlign w:val="center"/>
          </w:tcPr>
          <w:p w14:paraId="5960FBB0">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1.重点难点分析及应对措施(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noWrap w:val="0"/>
            <w:vAlign w:val="center"/>
          </w:tcPr>
          <w:p w14:paraId="269B2CC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供应商针对医院特色及本项目服务提供的重难点分析、应对措施及相关的合理化建议进行评分。 </w:t>
            </w:r>
          </w:p>
          <w:p w14:paraId="1377886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针对医院实际，对本项目服务有全面透彻的理解和认识、应对措施及建议，完全满足采购需求的得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75C1198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对本项目服务有基本了解和认识、应对措施及建议，基本满足采购需求的得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26D115E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对本项目服务不了解、应对措施及建议，难以满足采购需求的得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1CA8FD7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未提供者不得分。</w:t>
            </w:r>
          </w:p>
        </w:tc>
      </w:tr>
      <w:tr w14:paraId="39EB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98" w:type="dxa"/>
            <w:vMerge w:val="continue"/>
            <w:noWrap w:val="0"/>
            <w:vAlign w:val="center"/>
          </w:tcPr>
          <w:p w14:paraId="4A68E1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441F3181">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2.服务方案(</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7A12BB0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根据供应商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制定的年度服务计划服务方案进行评分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Times New Roman" w:hAnsi="Times New Roman" w:eastAsia="宋体"/>
                <w:color w:val="auto"/>
                <w:sz w:val="21"/>
                <w:szCs w:val="21"/>
                <w:highlight w:val="none"/>
              </w:rPr>
              <w:t>数据中心机房基础设施</w:t>
            </w:r>
            <w:r>
              <w:rPr>
                <w:rFonts w:hint="eastAsia" w:ascii="Times New Roman" w:hAnsi="Times New Roman" w:eastAsia="宋体"/>
                <w:color w:val="auto"/>
                <w:sz w:val="21"/>
                <w:szCs w:val="21"/>
                <w:highlight w:val="none"/>
                <w:lang w:val="en-US" w:eastAsia="zh-CN"/>
              </w:rPr>
              <w:t>维保方案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r>
              <w:rPr>
                <w:rFonts w:hint="eastAsia" w:ascii="Times New Roman" w:hAnsi="Times New Roman" w:eastAsia="宋体"/>
                <w:color w:val="auto"/>
                <w:sz w:val="21"/>
                <w:szCs w:val="21"/>
                <w:highlight w:val="none"/>
              </w:rPr>
              <w:t>弱电间基础设施</w:t>
            </w:r>
            <w:r>
              <w:rPr>
                <w:rFonts w:hint="eastAsia" w:ascii="Times New Roman" w:hAnsi="Times New Roman" w:eastAsia="宋体"/>
                <w:color w:val="auto"/>
                <w:sz w:val="21"/>
                <w:szCs w:val="21"/>
                <w:highlight w:val="none"/>
                <w:lang w:val="en-US" w:eastAsia="zh-CN"/>
              </w:rPr>
              <w:t>维保方案；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③现场维修响应时间</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维修</w:t>
            </w:r>
            <w:r>
              <w:rPr>
                <w:rFonts w:hint="eastAsia" w:ascii="宋体" w:hAnsi="宋体" w:cs="宋体"/>
                <w:color w:val="000000" w:themeColor="text1"/>
                <w:sz w:val="21"/>
                <w:szCs w:val="21"/>
                <w:highlight w:val="none"/>
                <w:lang w:val="en-US" w:eastAsia="zh-CN"/>
                <w14:textFill>
                  <w14:solidFill>
                    <w14:schemeClr w14:val="tx1"/>
                  </w14:solidFill>
                </w14:textFill>
              </w:rPr>
              <w:t>记录/</w:t>
            </w:r>
            <w:r>
              <w:rPr>
                <w:rFonts w:hint="eastAsia" w:ascii="宋体" w:hAnsi="宋体" w:eastAsia="宋体" w:cs="宋体"/>
                <w:color w:val="000000" w:themeColor="text1"/>
                <w:sz w:val="21"/>
                <w:szCs w:val="21"/>
                <w:highlight w:val="none"/>
                <w:lang w:val="en-US" w:eastAsia="zh-CN"/>
                <w14:textFill>
                  <w14:solidFill>
                    <w14:schemeClr w14:val="tx1"/>
                  </w14:solidFill>
                </w14:textFill>
              </w:rPr>
              <w:t>报告</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④服务质量保障措施。</w:t>
            </w:r>
          </w:p>
          <w:p w14:paraId="0B1E08F2">
            <w:pPr>
              <w:pStyle w:val="22"/>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b w:val="0"/>
                <w:bCs w:val="0"/>
                <w:color w:val="auto"/>
                <w:sz w:val="21"/>
                <w:szCs w:val="21"/>
                <w:highlight w:val="none"/>
                <w:u w:val="none"/>
                <w:lang w:val="en-US" w:eastAsia="zh-CN"/>
              </w:rPr>
            </w:pPr>
            <w:r>
              <w:rPr>
                <w:rFonts w:hint="eastAsia"/>
                <w:highlight w:val="none"/>
                <w:lang w:val="en-US" w:eastAsia="zh-CN"/>
              </w:rPr>
              <w:t>以上方案每提供一项得3分，最多得12分。（每项服务方案内容完整、针对性强，完全满足采购需求的3分；每项服务方案较完整、针对性较强，基本满足采购需求的2分；每项服务方案待完善，不满足采购需求的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未提供者不得分。</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22C1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98" w:type="dxa"/>
            <w:vMerge w:val="continue"/>
            <w:noWrap w:val="0"/>
            <w:vAlign w:val="center"/>
          </w:tcPr>
          <w:p w14:paraId="0F82EE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433F9BF">
            <w:pPr>
              <w:snapToGrid w:val="0"/>
              <w:spacing w:line="320" w:lineRule="exact"/>
              <w:jc w:val="center"/>
              <w:rPr>
                <w:rFonts w:asci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服务团队</w:t>
            </w:r>
          </w:p>
          <w:p w14:paraId="4954A89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922" w:type="dxa"/>
            <w:noWrap w:val="0"/>
            <w:vAlign w:val="center"/>
          </w:tcPr>
          <w:p w14:paraId="7CF36D42">
            <w:pPr>
              <w:widowControl/>
              <w:snapToGrid w:val="0"/>
              <w:spacing w:line="320" w:lineRule="exact"/>
              <w:jc w:val="left"/>
              <w:rPr>
                <w:rFonts w:ascii="宋体" w:cs="宋体"/>
                <w:color w:val="auto"/>
                <w:szCs w:val="21"/>
                <w:highlight w:val="none"/>
              </w:rPr>
            </w:pPr>
            <w:r>
              <w:rPr>
                <w:rFonts w:hint="eastAsia" w:ascii="宋体" w:hAnsi="宋体" w:cs="宋体"/>
                <w:color w:val="auto"/>
                <w:szCs w:val="21"/>
                <w:highlight w:val="none"/>
              </w:rPr>
              <w:t>根据供应商制定的服务团队计划进行打分，包括但不仅限于：服务团队组织结构、人员</w:t>
            </w: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及职责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人员专业技术及工作经验</w:t>
            </w:r>
            <w:r>
              <w:rPr>
                <w:rFonts w:hint="eastAsia" w:ascii="宋体" w:hAnsi="宋体" w:cs="宋体"/>
                <w:color w:val="auto"/>
                <w:szCs w:val="21"/>
                <w:highlight w:val="none"/>
              </w:rPr>
              <w:t>等。</w:t>
            </w:r>
          </w:p>
          <w:p w14:paraId="7E732766">
            <w:pPr>
              <w:pStyle w:val="4"/>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过硬，完全满足采购需求的得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23BD617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一般，基本满足采购需求的得</w:t>
            </w:r>
            <w:r>
              <w:rPr>
                <w:rFonts w:hint="eastAsia" w:hAnsi="宋体" w:cs="宋体"/>
                <w:b w:val="0"/>
                <w:bCs w:val="0"/>
                <w:color w:val="auto"/>
                <w:sz w:val="21"/>
                <w:szCs w:val="21"/>
                <w:highlight w:val="none"/>
                <w:u w:val="none"/>
                <w:lang w:val="en-US" w:eastAsia="zh-CN"/>
              </w:rPr>
              <w:t>9</w:t>
            </w:r>
            <w:r>
              <w:rPr>
                <w:rFonts w:hint="eastAsia" w:ascii="宋体" w:hAnsi="宋体" w:eastAsia="宋体" w:cs="宋体"/>
                <w:b w:val="0"/>
                <w:bCs w:val="0"/>
                <w:color w:val="auto"/>
                <w:sz w:val="21"/>
                <w:szCs w:val="21"/>
                <w:highlight w:val="none"/>
                <w:u w:val="none"/>
                <w:lang w:val="en-US" w:eastAsia="zh-CN"/>
              </w:rPr>
              <w:t>分；</w:t>
            </w:r>
          </w:p>
          <w:p w14:paraId="104D91F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332C2A59">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缺项得0分。</w:t>
            </w:r>
          </w:p>
          <w:p w14:paraId="494B4799">
            <w:pPr>
              <w:keepNext w:val="0"/>
              <w:keepLines w:val="0"/>
              <w:pageBreakBefore w:val="0"/>
              <w:kinsoku/>
              <w:wordWrap/>
              <w:overflowPunct/>
              <w:topLinePunct w:val="0"/>
              <w:bidi w:val="0"/>
              <w:snapToGrid w:val="0"/>
              <w:spacing w:line="340" w:lineRule="exact"/>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注：提供服务团队人员信息清单。</w:t>
            </w:r>
          </w:p>
        </w:tc>
      </w:tr>
      <w:tr w14:paraId="790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98" w:type="dxa"/>
            <w:vMerge w:val="continue"/>
            <w:noWrap w:val="0"/>
            <w:vAlign w:val="center"/>
          </w:tcPr>
          <w:p w14:paraId="7EB6C2E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B47BAA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档案管理及交付措施（</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22" w:type="dxa"/>
            <w:noWrap w:val="0"/>
            <w:vAlign w:val="center"/>
          </w:tcPr>
          <w:p w14:paraId="37F37168">
            <w:pP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档案管理及交付措施包含不限于以下内容：</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日常维保记录；</w:t>
            </w:r>
            <w:r>
              <w:rPr>
                <w:rFonts w:hint="eastAsia" w:ascii="宋体" w:hAnsi="宋体" w:cs="宋体"/>
                <w:highlight w:val="none"/>
              </w:rPr>
              <w:t>②</w:t>
            </w:r>
            <w:r>
              <w:rPr>
                <w:rFonts w:hint="eastAsia" w:ascii="宋体" w:hAnsi="宋体" w:cs="宋体"/>
                <w:color w:val="auto"/>
                <w:sz w:val="21"/>
                <w:szCs w:val="21"/>
                <w:highlight w:val="none"/>
                <w:lang w:val="en-US" w:eastAsia="zh-CN"/>
              </w:rPr>
              <w:t>故障维修记录；</w:t>
            </w:r>
          </w:p>
          <w:p w14:paraId="20AFE673">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1A47B12">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每项档案管理内容不全面、不具体的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4B54E30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w:t>
            </w:r>
            <w:r>
              <w:rPr>
                <w:rFonts w:hint="eastAsia" w:ascii="宋体" w:hAnsi="宋体" w:eastAsia="宋体" w:cs="宋体"/>
                <w:color w:val="auto"/>
                <w:sz w:val="21"/>
                <w:szCs w:val="21"/>
                <w:highlight w:val="none"/>
                <w:lang w:val="en-US" w:eastAsia="zh-CN"/>
              </w:rPr>
              <w:t>未提供不得分。</w:t>
            </w:r>
          </w:p>
        </w:tc>
      </w:tr>
      <w:tr w14:paraId="3679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98" w:type="dxa"/>
            <w:vMerge w:val="continue"/>
            <w:noWrap w:val="0"/>
            <w:vAlign w:val="center"/>
          </w:tcPr>
          <w:p w14:paraId="751C5BD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260B9E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.设备维保应急响应方案（8分）</w:t>
            </w:r>
          </w:p>
        </w:tc>
        <w:tc>
          <w:tcPr>
            <w:tcW w:w="6922" w:type="dxa"/>
            <w:noWrap w:val="0"/>
            <w:vAlign w:val="center"/>
          </w:tcPr>
          <w:p w14:paraId="694BCEBA">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根据供应商提供的应急响应方案进行评分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包括但不限于故障、停机等</w:t>
            </w:r>
            <w:r>
              <w:rPr>
                <w:rFonts w:hint="eastAsia" w:ascii="宋体" w:hAnsi="宋体" w:cs="宋体"/>
                <w:color w:val="000000" w:themeColor="text1"/>
                <w:sz w:val="21"/>
                <w:szCs w:val="21"/>
                <w:highlight w:val="none"/>
                <w:lang w:val="en-US" w:eastAsia="zh-CN"/>
                <w14:textFill>
                  <w14:solidFill>
                    <w14:schemeClr w14:val="tx1"/>
                  </w14:solidFill>
                </w14:textFill>
              </w:rPr>
              <w:t>应急事件的应急预案、</w:t>
            </w:r>
            <w:r>
              <w:rPr>
                <w:rFonts w:hint="eastAsia" w:ascii="宋体" w:hAnsi="宋体" w:cs="宋体"/>
                <w:color w:val="auto"/>
                <w:szCs w:val="21"/>
                <w:highlight w:val="none"/>
              </w:rPr>
              <w:t>响应时间</w:t>
            </w:r>
            <w:r>
              <w:rPr>
                <w:rFonts w:hint="eastAsia" w:ascii="宋体" w:hAnsi="宋体" w:eastAsia="宋体" w:cs="宋体"/>
                <w:color w:val="auto"/>
                <w:highlight w:val="none"/>
                <w:lang w:val="en-US" w:eastAsia="zh-CN"/>
              </w:rPr>
              <w:t>、</w:t>
            </w:r>
            <w:r>
              <w:rPr>
                <w:rFonts w:hint="eastAsia" w:ascii="宋体" w:hAnsi="宋体" w:cs="宋体"/>
                <w:color w:val="auto"/>
                <w:szCs w:val="21"/>
                <w:highlight w:val="none"/>
              </w:rPr>
              <w:t>应急保障措施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9A2DA8E">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应急响应方案全面详尽，应急处理流程、处置方法科学合理、可行性强，完全满足采购人需求的得8分；</w:t>
            </w:r>
          </w:p>
          <w:p w14:paraId="7E26D787">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应急响应方案较为详尽，应急处理流程、处置方法基本合理，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基本满足采购人需求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的得5分；</w:t>
            </w:r>
          </w:p>
          <w:p w14:paraId="6B3BBAF3">
            <w:pPr>
              <w:keepNext w:val="0"/>
              <w:keepLines w:val="0"/>
              <w:widowControl/>
              <w:suppressLineNumbers w:val="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应急处理流程、处置方法一般，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不满足采购人需求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的得2分。</w:t>
            </w:r>
          </w:p>
          <w:p w14:paraId="7733FA3D">
            <w:pPr>
              <w:keepNext w:val="0"/>
              <w:keepLines w:val="0"/>
              <w:widowControl/>
              <w:suppressLineNumbers w:val="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未提供不得分。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98" w:type="dxa"/>
            <w:vMerge w:val="restart"/>
            <w:noWrap w:val="0"/>
            <w:vAlign w:val="center"/>
          </w:tcPr>
          <w:p w14:paraId="366BEE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lang w:val="en-US" w:eastAsia="zh-CN"/>
              </w:rPr>
              <w:t>分</w:t>
            </w:r>
          </w:p>
          <w:p w14:paraId="3A1541D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362" w:type="dxa"/>
            <w:tcBorders>
              <w:top w:val="single" w:color="auto" w:sz="4" w:space="0"/>
            </w:tcBorders>
            <w:noWrap w:val="0"/>
            <w:vAlign w:val="center"/>
          </w:tcPr>
          <w:p w14:paraId="3C018AA2">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922" w:type="dxa"/>
            <w:noWrap w:val="0"/>
            <w:vAlign w:val="center"/>
          </w:tcPr>
          <w:p w14:paraId="12D9C43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供应商2022年01月01日具有的类似服务业绩(以合同文件为准），每提供一份得2分，最多得6分。</w:t>
            </w:r>
          </w:p>
          <w:p w14:paraId="22603D52">
            <w:pPr>
              <w:keepNext w:val="0"/>
              <w:keepLines w:val="0"/>
              <w:pageBreakBefore w:val="0"/>
              <w:widowControl/>
              <w:kinsoku/>
              <w:wordWrap/>
              <w:overflowPunct/>
              <w:topLinePunct w:val="0"/>
              <w:autoSpaceDE/>
              <w:autoSpaceDN/>
              <w:bidi w:val="0"/>
              <w:adjustRightInd/>
              <w:snapToGrid w:val="0"/>
              <w:spacing w:line="320" w:lineRule="exact"/>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注：提供合同证明材料。</w:t>
            </w:r>
          </w:p>
        </w:tc>
      </w:tr>
      <w:tr w14:paraId="107D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98" w:type="dxa"/>
            <w:vMerge w:val="continue"/>
            <w:noWrap w:val="0"/>
            <w:vAlign w:val="center"/>
          </w:tcPr>
          <w:p w14:paraId="2048CAF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7DDBBA1">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售后服务方案</w:t>
            </w:r>
          </w:p>
          <w:p w14:paraId="3711E0E8">
            <w:pPr>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922" w:type="dxa"/>
            <w:noWrap w:val="0"/>
            <w:vAlign w:val="center"/>
          </w:tcPr>
          <w:p w14:paraId="5419D89A">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42C0AEE9">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p w14:paraId="0032306E">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43A3511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w:t>
            </w:r>
            <w:r>
              <w:rPr>
                <w:rFonts w:hint="eastAsia" w:ascii="宋体" w:hAnsi="宋体" w:cs="宋体"/>
                <w:highlight w:val="none"/>
                <w:lang w:val="en-US" w:eastAsia="zh-CN"/>
              </w:rPr>
              <w:t>专业性不强，难以</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p>
          <w:p w14:paraId="57B99F3D">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未提供不得分。</w:t>
            </w:r>
          </w:p>
        </w:tc>
      </w:tr>
      <w:tr w14:paraId="29FD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98" w:type="dxa"/>
            <w:vMerge w:val="continue"/>
            <w:noWrap w:val="0"/>
            <w:vAlign w:val="center"/>
          </w:tcPr>
          <w:p w14:paraId="0CA6723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9739B5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其他优惠承诺</w:t>
            </w:r>
          </w:p>
          <w:p w14:paraId="16413F7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（4分）</w:t>
            </w:r>
          </w:p>
        </w:tc>
        <w:tc>
          <w:tcPr>
            <w:tcW w:w="6922" w:type="dxa"/>
            <w:noWrap w:val="0"/>
            <w:vAlign w:val="center"/>
          </w:tcPr>
          <w:p w14:paraId="71FB5B12">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根据供应商在满足采购文件要求的基础上另外提出的优惠承诺及增值服务进行评比：每提供一项对采购人有利的、切实可行的实质性优惠承诺及增值服务得2分，最多得4分。未提供不得分。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EAA00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720" w:firstLineChars="3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42E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29025B2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708" w:type="dxa"/>
            <w:noWrap/>
            <w:vAlign w:val="bottom"/>
          </w:tcPr>
          <w:p w14:paraId="6D65A38D">
            <w:pPr>
              <w:spacing w:line="360" w:lineRule="auto"/>
              <w:ind w:firstLine="1155" w:firstLineChars="550"/>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4984"/>
      <w:bookmarkStart w:id="78"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26"/>
      <w:bookmarkStart w:id="80" w:name="_Toc15804"/>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27829A44">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551BCA2">
      <w:pPr>
        <w:spacing w:line="360" w:lineRule="auto"/>
        <w:ind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6A347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400" w:firstLineChars="10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6" w:type="default"/>
          <w:pgSz w:w="11906" w:h="16838"/>
          <w:pgMar w:top="1417" w:right="1474" w:bottom="1417" w:left="1474" w:header="851" w:footer="624" w:gutter="0"/>
          <w:pgNumType w:fmt="decimal"/>
          <w:cols w:space="720" w:num="1"/>
          <w:docGrid w:type="lines" w:linePitch="319" w:charSpace="0"/>
        </w:sectPr>
      </w:pPr>
    </w:p>
    <w:p w14:paraId="0687C2CA">
      <w:pPr>
        <w:pStyle w:val="24"/>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49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07"/>
        <w:gridCol w:w="2357"/>
        <w:gridCol w:w="1814"/>
        <w:gridCol w:w="1472"/>
        <w:gridCol w:w="1071"/>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07"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57"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14"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72"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071"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07"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57"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14"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2"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71"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07"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57"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14"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2"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71"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07"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57"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14"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72"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71"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31905E">
      <w:pPr>
        <w:widowControl/>
        <w:wordWrap w:val="0"/>
        <w:spacing w:line="460" w:lineRule="exact"/>
        <w:ind w:firstLine="5461" w:firstLineChars="1700"/>
        <w:jc w:val="left"/>
        <w:rPr>
          <w:rFonts w:hint="eastAsia" w:ascii="宋体" w:hAnsi="宋体" w:eastAsia="宋体" w:cs="宋体"/>
          <w:b/>
          <w:color w:val="auto"/>
          <w:kern w:val="0"/>
          <w:sz w:val="32"/>
          <w:szCs w:val="32"/>
          <w:highlight w:val="none"/>
          <w:lang w:val="en-US" w:eastAsia="zh-CN"/>
        </w:rPr>
      </w:pP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0420"/>
      <w:bookmarkStart w:id="82" w:name="_Toc29960"/>
      <w:bookmarkStart w:id="83" w:name="_Toc24168"/>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2939"/>
      <w:bookmarkStart w:id="88" w:name="_Toc30519"/>
      <w:bookmarkStart w:id="89" w:name="_Toc13976"/>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8105"/>
      <w:bookmarkStart w:id="91" w:name="_Toc24693"/>
      <w:bookmarkStart w:id="92" w:name="_Toc3342"/>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default"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证明材料</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6083"/>
      <w:bookmarkStart w:id="95" w:name="_Toc12888"/>
      <w:bookmarkStart w:id="96" w:name="_Toc13726"/>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31685"/>
      <w:bookmarkStart w:id="98" w:name="_Toc25094"/>
      <w:bookmarkStart w:id="99" w:name="_Toc233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D8D79B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驻马店市中心医院机房及网络设备维保项目竞争性磋商文件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EE3C38"/>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1D4166"/>
    <w:rsid w:val="042E37DB"/>
    <w:rsid w:val="04416C20"/>
    <w:rsid w:val="04732647"/>
    <w:rsid w:val="047968B1"/>
    <w:rsid w:val="04870542"/>
    <w:rsid w:val="04A46CA4"/>
    <w:rsid w:val="04B30F7A"/>
    <w:rsid w:val="04EB3BB5"/>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01D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4A67BB"/>
    <w:rsid w:val="09523172"/>
    <w:rsid w:val="095D0797"/>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B3C0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182768"/>
    <w:rsid w:val="0F335E69"/>
    <w:rsid w:val="0F372614"/>
    <w:rsid w:val="0F3D59C9"/>
    <w:rsid w:val="0F44530B"/>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277B"/>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3F63499"/>
    <w:rsid w:val="142123F7"/>
    <w:rsid w:val="142A11D8"/>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D90EB8"/>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AD3796"/>
    <w:rsid w:val="16B56AEF"/>
    <w:rsid w:val="16C872D5"/>
    <w:rsid w:val="16D54FA3"/>
    <w:rsid w:val="16D84D9F"/>
    <w:rsid w:val="16E94D3E"/>
    <w:rsid w:val="170D06E0"/>
    <w:rsid w:val="17233E03"/>
    <w:rsid w:val="17332185"/>
    <w:rsid w:val="1735378C"/>
    <w:rsid w:val="17475951"/>
    <w:rsid w:val="17485BB5"/>
    <w:rsid w:val="175C542D"/>
    <w:rsid w:val="175D0ED4"/>
    <w:rsid w:val="17793FC0"/>
    <w:rsid w:val="179D33A9"/>
    <w:rsid w:val="179F2E61"/>
    <w:rsid w:val="17A06264"/>
    <w:rsid w:val="17BE19D3"/>
    <w:rsid w:val="17C227C0"/>
    <w:rsid w:val="17D66D7C"/>
    <w:rsid w:val="17DE0EDF"/>
    <w:rsid w:val="17EE5BFF"/>
    <w:rsid w:val="17F04282"/>
    <w:rsid w:val="18097740"/>
    <w:rsid w:val="18136133"/>
    <w:rsid w:val="18153CE9"/>
    <w:rsid w:val="184055B9"/>
    <w:rsid w:val="184A2082"/>
    <w:rsid w:val="18585AF4"/>
    <w:rsid w:val="185D3C42"/>
    <w:rsid w:val="185F38AF"/>
    <w:rsid w:val="188F0211"/>
    <w:rsid w:val="18AD1BEB"/>
    <w:rsid w:val="18B3004A"/>
    <w:rsid w:val="18B31B6D"/>
    <w:rsid w:val="18B96080"/>
    <w:rsid w:val="18CE20EA"/>
    <w:rsid w:val="18DB2CD8"/>
    <w:rsid w:val="18F02060"/>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104B7"/>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F12B02"/>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04762"/>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01150"/>
    <w:rsid w:val="274E2228"/>
    <w:rsid w:val="27517A93"/>
    <w:rsid w:val="27565784"/>
    <w:rsid w:val="275E53AF"/>
    <w:rsid w:val="27606603"/>
    <w:rsid w:val="276658E8"/>
    <w:rsid w:val="276F6846"/>
    <w:rsid w:val="277E30D2"/>
    <w:rsid w:val="27803F2A"/>
    <w:rsid w:val="278A18D2"/>
    <w:rsid w:val="27983FEE"/>
    <w:rsid w:val="27A34941"/>
    <w:rsid w:val="27A97FAA"/>
    <w:rsid w:val="27E40851"/>
    <w:rsid w:val="27EE3A7B"/>
    <w:rsid w:val="27FA25B3"/>
    <w:rsid w:val="28033B5E"/>
    <w:rsid w:val="28100029"/>
    <w:rsid w:val="28125B4F"/>
    <w:rsid w:val="282B09BF"/>
    <w:rsid w:val="282E4F00"/>
    <w:rsid w:val="283C23DF"/>
    <w:rsid w:val="283D69F1"/>
    <w:rsid w:val="283E19C0"/>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1BFE"/>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CE2518"/>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B72C24"/>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7E6003"/>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618B"/>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2F0BFF"/>
    <w:rsid w:val="3A393FA7"/>
    <w:rsid w:val="3A3A5A22"/>
    <w:rsid w:val="3A524858"/>
    <w:rsid w:val="3A64203E"/>
    <w:rsid w:val="3A663D00"/>
    <w:rsid w:val="3A7428D0"/>
    <w:rsid w:val="3A747EDD"/>
    <w:rsid w:val="3A923AE4"/>
    <w:rsid w:val="3A960861"/>
    <w:rsid w:val="3AA50E25"/>
    <w:rsid w:val="3AC566E3"/>
    <w:rsid w:val="3AD6747A"/>
    <w:rsid w:val="3AD95C48"/>
    <w:rsid w:val="3ADF5D0A"/>
    <w:rsid w:val="3AE83F75"/>
    <w:rsid w:val="3B194FEF"/>
    <w:rsid w:val="3B312338"/>
    <w:rsid w:val="3B3C5B77"/>
    <w:rsid w:val="3B3D0FF2"/>
    <w:rsid w:val="3B501351"/>
    <w:rsid w:val="3B521A18"/>
    <w:rsid w:val="3B8D2B96"/>
    <w:rsid w:val="3B923660"/>
    <w:rsid w:val="3BCA44BE"/>
    <w:rsid w:val="3BD038FF"/>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0D0E3B"/>
    <w:rsid w:val="3E135D25"/>
    <w:rsid w:val="3E196FEC"/>
    <w:rsid w:val="3E1A106E"/>
    <w:rsid w:val="3E36303B"/>
    <w:rsid w:val="3E526044"/>
    <w:rsid w:val="3E5C591E"/>
    <w:rsid w:val="3E6C2B3A"/>
    <w:rsid w:val="3E8C5311"/>
    <w:rsid w:val="3E8E7E55"/>
    <w:rsid w:val="3EB61473"/>
    <w:rsid w:val="3EC66011"/>
    <w:rsid w:val="3ED25BE0"/>
    <w:rsid w:val="3ED75B7F"/>
    <w:rsid w:val="3EF9316D"/>
    <w:rsid w:val="3EF9645F"/>
    <w:rsid w:val="3F315E6B"/>
    <w:rsid w:val="3F3E3433"/>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CD6DEA"/>
    <w:rsid w:val="42EA5650"/>
    <w:rsid w:val="431408DA"/>
    <w:rsid w:val="43177625"/>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3D7DE3"/>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667651"/>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AA019C"/>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47438"/>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420CF"/>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27F3B"/>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8A272E"/>
    <w:rsid w:val="539A4AC7"/>
    <w:rsid w:val="53A44D07"/>
    <w:rsid w:val="53A46AC8"/>
    <w:rsid w:val="53AB7F1F"/>
    <w:rsid w:val="53AC6F7B"/>
    <w:rsid w:val="53C01F4F"/>
    <w:rsid w:val="53EB297B"/>
    <w:rsid w:val="53EC4BF7"/>
    <w:rsid w:val="53F671DE"/>
    <w:rsid w:val="53F758A1"/>
    <w:rsid w:val="540D5A7F"/>
    <w:rsid w:val="542E2BC2"/>
    <w:rsid w:val="54352A96"/>
    <w:rsid w:val="543F10B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B97B78"/>
    <w:rsid w:val="55D47A00"/>
    <w:rsid w:val="55D5456D"/>
    <w:rsid w:val="55DC290C"/>
    <w:rsid w:val="55E71B19"/>
    <w:rsid w:val="55EA5D64"/>
    <w:rsid w:val="55F01FA1"/>
    <w:rsid w:val="55FC19B9"/>
    <w:rsid w:val="56130B60"/>
    <w:rsid w:val="56234F28"/>
    <w:rsid w:val="562C1C22"/>
    <w:rsid w:val="56332FB1"/>
    <w:rsid w:val="56702942"/>
    <w:rsid w:val="56717635"/>
    <w:rsid w:val="56990B7C"/>
    <w:rsid w:val="569E1126"/>
    <w:rsid w:val="56A8690E"/>
    <w:rsid w:val="56AA78C1"/>
    <w:rsid w:val="56B679AB"/>
    <w:rsid w:val="56B80DEB"/>
    <w:rsid w:val="56E0560F"/>
    <w:rsid w:val="56E06E61"/>
    <w:rsid w:val="56EF3C74"/>
    <w:rsid w:val="56F5517D"/>
    <w:rsid w:val="56F653FE"/>
    <w:rsid w:val="57007337"/>
    <w:rsid w:val="574448FC"/>
    <w:rsid w:val="57561D39"/>
    <w:rsid w:val="575B7AFD"/>
    <w:rsid w:val="57660D3F"/>
    <w:rsid w:val="5785783C"/>
    <w:rsid w:val="578F06BB"/>
    <w:rsid w:val="57AC301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0F0C"/>
    <w:rsid w:val="58CF56D8"/>
    <w:rsid w:val="58D31010"/>
    <w:rsid w:val="58D6741E"/>
    <w:rsid w:val="58DB0535"/>
    <w:rsid w:val="58E467E4"/>
    <w:rsid w:val="58E62E0E"/>
    <w:rsid w:val="58EA3D0E"/>
    <w:rsid w:val="58F24A5D"/>
    <w:rsid w:val="58F71269"/>
    <w:rsid w:val="58FE045E"/>
    <w:rsid w:val="58FE78A6"/>
    <w:rsid w:val="59014CEF"/>
    <w:rsid w:val="59017396"/>
    <w:rsid w:val="59505C28"/>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5322F1"/>
    <w:rsid w:val="5A783688"/>
    <w:rsid w:val="5A8734AF"/>
    <w:rsid w:val="5A9D3E45"/>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30A1C"/>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A7F18"/>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369CC"/>
    <w:rsid w:val="6267666C"/>
    <w:rsid w:val="627D6831"/>
    <w:rsid w:val="6280757E"/>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05CB5"/>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83CCB"/>
    <w:rsid w:val="663B3EC9"/>
    <w:rsid w:val="665A1E94"/>
    <w:rsid w:val="66736112"/>
    <w:rsid w:val="667F5B5B"/>
    <w:rsid w:val="668F1B3D"/>
    <w:rsid w:val="6694262A"/>
    <w:rsid w:val="66990381"/>
    <w:rsid w:val="66B31B01"/>
    <w:rsid w:val="66CE1E80"/>
    <w:rsid w:val="66CF4630"/>
    <w:rsid w:val="66D81B97"/>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6D1B7C"/>
    <w:rsid w:val="6A7903E5"/>
    <w:rsid w:val="6A8219B9"/>
    <w:rsid w:val="6A8641F2"/>
    <w:rsid w:val="6A9701A5"/>
    <w:rsid w:val="6AA03032"/>
    <w:rsid w:val="6AA86FEC"/>
    <w:rsid w:val="6ACB20F7"/>
    <w:rsid w:val="6ADA6AC4"/>
    <w:rsid w:val="6ADB11D6"/>
    <w:rsid w:val="6ADF0BB9"/>
    <w:rsid w:val="6B1A2C3C"/>
    <w:rsid w:val="6B221F4E"/>
    <w:rsid w:val="6B2B30F7"/>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274D51"/>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DC5B3C"/>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3E2669"/>
    <w:rsid w:val="725D6B54"/>
    <w:rsid w:val="727644F9"/>
    <w:rsid w:val="72986FA0"/>
    <w:rsid w:val="729D1A86"/>
    <w:rsid w:val="72A17C99"/>
    <w:rsid w:val="72A2709C"/>
    <w:rsid w:val="72A5093A"/>
    <w:rsid w:val="72AD7197"/>
    <w:rsid w:val="72AF6F7E"/>
    <w:rsid w:val="72BD2C86"/>
    <w:rsid w:val="72CD226C"/>
    <w:rsid w:val="72D27981"/>
    <w:rsid w:val="72FE2BF5"/>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0182E"/>
    <w:rsid w:val="73AF2114"/>
    <w:rsid w:val="73AF381F"/>
    <w:rsid w:val="73E159A2"/>
    <w:rsid w:val="73E96BCA"/>
    <w:rsid w:val="73EE4A6E"/>
    <w:rsid w:val="73EF0051"/>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7CC2"/>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C1498"/>
    <w:rsid w:val="7A476B1B"/>
    <w:rsid w:val="7A517022"/>
    <w:rsid w:val="7A542B32"/>
    <w:rsid w:val="7A545120"/>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B87930"/>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B40C0B"/>
    <w:rsid w:val="7ED61132"/>
    <w:rsid w:val="7EE70CC0"/>
    <w:rsid w:val="7EEB48DB"/>
    <w:rsid w:val="7EF27444"/>
    <w:rsid w:val="7F185A04"/>
    <w:rsid w:val="7F2257ED"/>
    <w:rsid w:val="7F265C58"/>
    <w:rsid w:val="7F3B240A"/>
    <w:rsid w:val="7F4C4618"/>
    <w:rsid w:val="7F4D13A6"/>
    <w:rsid w:val="7F582CF2"/>
    <w:rsid w:val="7F89586C"/>
    <w:rsid w:val="7F9075B3"/>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18188</Words>
  <Characters>18994</Characters>
  <Lines>50</Lines>
  <Paragraphs>68</Paragraphs>
  <TotalTime>0</TotalTime>
  <ScaleCrop>false</ScaleCrop>
  <LinksUpToDate>false</LinksUpToDate>
  <CharactersWithSpaces>20064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2025-07-21T08:44:00Z</cp:lastPrinted>
  <dcterms:modified xsi:type="dcterms:W3CDTF">2026-01-19T04:58:29Z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F461986683B6431BA4865D23CBC1E0BA_13</vt:lpwstr>
  </property>
  <property fmtid="{D5CDD505-2E9C-101B-9397-08002B2CF9AE}" pid="4" name="KSOTemplateDocerSaveRecord">
    <vt:lpwstr>eyJoZGlkIjoiMzU0MTZjMjFkMjFjOGMwYTIzNWEzZDljNjYxZWI0MmYiLCJ1c2VySWQiOiIxNjg0NTc5MjM2In0=</vt:lpwstr>
  </property>
</Properties>
</file>