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4A342E">
      <w:pPr>
        <w:pStyle w:val="18"/>
        <w:bidi w:val="0"/>
        <w:jc w:val="center"/>
        <w:rPr>
          <w:rStyle w:val="43"/>
          <w:rFonts w:hint="eastAsia" w:cs="宋体"/>
          <w:b/>
          <w:bCs/>
          <w:color w:val="auto"/>
          <w:sz w:val="44"/>
          <w:szCs w:val="44"/>
          <w:highlight w:val="none"/>
          <w:lang w:val="en-US" w:eastAsia="zh-CN"/>
        </w:rPr>
      </w:pPr>
      <w:bookmarkStart w:id="0" w:name="_Toc22953395"/>
      <w:bookmarkEnd w:id="0"/>
      <w:bookmarkStart w:id="1" w:name="_Toc22804073"/>
      <w:bookmarkEnd w:id="1"/>
      <w:bookmarkStart w:id="147" w:name="_GoBack"/>
      <w:r>
        <w:rPr>
          <w:rFonts w:hint="eastAsia" w:cs="宋体"/>
          <w:b/>
          <w:bCs/>
          <w:color w:val="auto"/>
          <w:sz w:val="44"/>
          <w:szCs w:val="44"/>
          <w:highlight w:val="none"/>
          <w:lang w:val="en-US" w:eastAsia="zh-CN"/>
        </w:rPr>
        <w:t>驻马店市中心医院活度计、等离子体射频手术系统等医疗设备采购项目（二次）</w:t>
      </w: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bookmarkEnd w:id="147"/>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DC8F995">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_Toc16017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4724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_Toc9416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9DBC2E">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_Toc18413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E122E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_Toc23975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_Toc23975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445073">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_Toc15046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166FCF">
      <w:pPr>
        <w:pStyle w:val="24"/>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_Toc27095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_Toc27095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26B91A">
      <w:pPr>
        <w:pStyle w:val="24"/>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0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驻马店市中心医院活度计、等离子体射频手术系统等医疗设备采购项目（二次）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29.6</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；最高限价：29.6万元。其中：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464" w:type="dxa"/>
            <w:vAlign w:val="center"/>
          </w:tcPr>
          <w:p w14:paraId="3535B74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光学内窥镜摄像系统</w:t>
            </w:r>
          </w:p>
        </w:tc>
        <w:tc>
          <w:tcPr>
            <w:tcW w:w="1331"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c>
          <w:tcPr>
            <w:tcW w:w="1948" w:type="dxa"/>
            <w:vAlign w:val="center"/>
          </w:tcPr>
          <w:p w14:paraId="587E6DE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30643"/>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27480"/>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27370"/>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94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4E3DD37">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驻马店市中心医院活度计、等离子体射频手术系统等医疗设备采购项目（二次）</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707D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85" w:type="dxa"/>
            <w:vAlign w:val="center"/>
          </w:tcPr>
          <w:p w14:paraId="320784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780" w:type="dxa"/>
            <w:vAlign w:val="center"/>
          </w:tcPr>
          <w:p w14:paraId="37027B6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193717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光学内窥镜摄像系统</w:t>
            </w:r>
          </w:p>
        </w:tc>
        <w:tc>
          <w:tcPr>
            <w:tcW w:w="885" w:type="dxa"/>
            <w:vAlign w:val="center"/>
          </w:tcPr>
          <w:p w14:paraId="297EDF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D58A4C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3FC6EF3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9.6万元</w:t>
            </w:r>
          </w:p>
        </w:tc>
        <w:tc>
          <w:tcPr>
            <w:tcW w:w="1140" w:type="dxa"/>
            <w:vAlign w:val="center"/>
          </w:tcPr>
          <w:p w14:paraId="418946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7C49D04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29.6万元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2BA13CCA">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包3：</w:t>
      </w:r>
      <w:r>
        <w:rPr>
          <w:rFonts w:hint="eastAsia" w:ascii="宋体" w:hAnsi="宋体" w:eastAsia="宋体" w:cs="宋体"/>
          <w:b/>
          <w:bCs/>
          <w:sz w:val="21"/>
          <w:szCs w:val="21"/>
          <w:highlight w:val="none"/>
          <w:lang w:val="en-US" w:eastAsia="zh-CN"/>
        </w:rPr>
        <w:t>光学内窥镜摄像系统（肛肠检查系统）技术参数</w:t>
      </w:r>
    </w:p>
    <w:p w14:paraId="61E1F2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一、主要技术性能：</w:t>
      </w:r>
    </w:p>
    <w:p w14:paraId="6039132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1、主要对肛肠科常见疾病的临床检查、治疗观察和数据存储、报告打印、病案管理。将内窥镜采集的光学信号转化为电子信号，传输至监视器进行成像并可对显示图像进行处理、传输、存储。</w:t>
      </w:r>
    </w:p>
    <w:p w14:paraId="341E2D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2、通过EMC电磁兼容检测、运行模式：连续运行。</w:t>
      </w:r>
    </w:p>
    <w:p w14:paraId="2C8619A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3、电源电压和频率：AC 220V±22V,50Hz±1HZ，输入功率：≤150VA</w:t>
      </w:r>
    </w:p>
    <w:p w14:paraId="412590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4、医用级脚踏图像采集开关防水等级·：IPX8级，整机噪音≤55dB。</w:t>
      </w:r>
    </w:p>
    <w:p w14:paraId="132A54C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耐腐蚀铝合金台车，具有≥15cm上下升降功能。</w:t>
      </w:r>
    </w:p>
    <w:p w14:paraId="572C69B6">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6、超静音4套带自锁脚轮。</w:t>
      </w:r>
    </w:p>
    <w:p w14:paraId="495F20BD">
      <w:pPr>
        <w:keepNext w:val="0"/>
        <w:keepLines w:val="0"/>
        <w:pageBreakBefore w:val="0"/>
        <w:widowControl/>
        <w:numPr>
          <w:ilvl w:val="0"/>
          <w:numId w:val="1"/>
        </w:numPr>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肛肠影像采集系统参数：</w:t>
      </w:r>
    </w:p>
    <w:p w14:paraId="03782BF9">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1、数字高清手柄摄像机（电子肛门镜）：自带开关光源，自动白平衡，自带LED光源。</w:t>
      </w:r>
    </w:p>
    <w:p w14:paraId="2AD3536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分辨率＞800线，允差为-20%，上限不计。（提供检测报告）</w:t>
      </w:r>
    </w:p>
    <w:p w14:paraId="6B411BA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  1.2图像分辨率≥1920x1080P</w:t>
      </w:r>
    </w:p>
    <w:p w14:paraId="379E69F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 USB3.0数字高清数据输出</w:t>
      </w:r>
    </w:p>
    <w:p w14:paraId="5BC73E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三、肛肠内窥镜摄像系统软件：</w:t>
      </w:r>
    </w:p>
    <w:p w14:paraId="1D5844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1、软件基本功能</w:t>
      </w:r>
    </w:p>
    <w:p w14:paraId="79D53D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具有检查图像的实时动态显示、图像采集和存储功能。</w:t>
      </w:r>
    </w:p>
    <w:p w14:paraId="3D3348E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 画面冻结：系统具有画面冻结功能。</w:t>
      </w:r>
    </w:p>
    <w:p w14:paraId="1A29CD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1.3 用户病例档案：可通过用户菜单进行用户病例档案的新建、保存、搜索选择和删除。 </w:t>
      </w:r>
    </w:p>
    <w:p w14:paraId="38ADA5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 打印功能：具备病例报告彩色打印功能。</w:t>
      </w:r>
    </w:p>
    <w:p w14:paraId="1D225F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 具有肛肠软件操作系统，内置肛肠疾病的图谱、描述和诊断模版。</w:t>
      </w:r>
    </w:p>
    <w:p w14:paraId="1D2E5E6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2、软件图像处理功能  </w:t>
      </w:r>
    </w:p>
    <w:p w14:paraId="540429B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2.1具有亮度调节、对比度调节、镜像效果调节、图像效果增强、图像清晰度调节、 图像测量的功能。</w:t>
      </w:r>
    </w:p>
    <w:p w14:paraId="0BE324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3、脚踏开关通过COM口与电脑主机连接，进行信号数据传输。</w:t>
      </w:r>
    </w:p>
    <w:p w14:paraId="3752A24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4、肛肠摄像系统内的存储资料可通过USB接口与移动硬盘进行数据传输。</w:t>
      </w:r>
    </w:p>
    <w:p w14:paraId="50D33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四、配置清单（包括但不限于）：</w:t>
      </w:r>
    </w:p>
    <w:p w14:paraId="2720B88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1、台车主机 1台</w:t>
      </w:r>
    </w:p>
    <w:p w14:paraId="40550E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2、电脑主机（内寸≥1T） 1台</w:t>
      </w:r>
    </w:p>
    <w:p w14:paraId="2DBA55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3、高清显示器(显示器屏幕≥22寸） 1台</w:t>
      </w:r>
    </w:p>
    <w:p w14:paraId="05D0AC7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4、数字高清手柄摄像机（电子肛门镜） 1个</w:t>
      </w:r>
    </w:p>
    <w:p w14:paraId="373CFB1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5、图像采集脚踏开关 1个</w:t>
      </w:r>
    </w:p>
    <w:p w14:paraId="255554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6、电源线 1根</w:t>
      </w:r>
    </w:p>
    <w:p w14:paraId="05F9C7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7、电子肛门镜检查系统软件 1套</w:t>
      </w:r>
    </w:p>
    <w:p w14:paraId="19AB5C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8、彩色激光打印机   1台</w:t>
      </w: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、3、4</w:t>
      </w:r>
      <w:r>
        <w:rPr>
          <w:rFonts w:hint="eastAsia" w:ascii="宋体" w:hAnsi="宋体" w:eastAsia="宋体" w:cs="宋体"/>
          <w:b/>
          <w:bCs/>
          <w:sz w:val="21"/>
          <w:szCs w:val="21"/>
          <w:highlight w:val="none"/>
          <w:lang w:val="en-US" w:eastAsia="zh-CN"/>
        </w:rPr>
        <w:t>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、3、4</w:t>
      </w:r>
      <w:r>
        <w:rPr>
          <w:rFonts w:hint="eastAsia" w:ascii="宋体" w:hAnsi="宋体" w:eastAsia="宋体" w:cs="宋体"/>
          <w:b/>
          <w:bCs/>
          <w:sz w:val="21"/>
          <w:szCs w:val="21"/>
          <w:highlight w:val="none"/>
          <w:lang w:val="en-US" w:eastAsia="zh-CN"/>
        </w:rPr>
        <w:t>通用）</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3"/>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41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0A5111">
            <w:pPr>
              <w:widowControl/>
              <w:snapToGrid w:val="0"/>
              <w:spacing w:line="440" w:lineRule="exact"/>
              <w:jc w:val="left"/>
              <w:outlineLvl w:val="0"/>
              <w:rPr>
                <w:rFonts w:hint="eastAsia" w:ascii="宋体" w:hAnsi="宋体" w:eastAsia="宋体" w:cs="宋体"/>
                <w:color w:val="auto"/>
                <w:highlight w:val="none"/>
              </w:rPr>
            </w:pPr>
            <w:bookmarkStart w:id="36" w:name="_Toc27740"/>
            <w:bookmarkStart w:id="37" w:name="_Toc9566"/>
            <w:bookmarkStart w:id="38" w:name="_Toc21083"/>
            <w:bookmarkStart w:id="39" w:name="_Toc21994"/>
            <w:bookmarkStart w:id="40" w:name="_Toc27817"/>
            <w:bookmarkStart w:id="41" w:name="_Toc11080"/>
            <w:bookmarkStart w:id="42" w:name="_Toc22577"/>
            <w:bookmarkStart w:id="43" w:name="_Toc31727"/>
            <w:bookmarkStart w:id="44" w:name="_Toc31122"/>
            <w:bookmarkStart w:id="45" w:name="_Toc30169"/>
            <w:bookmarkStart w:id="46" w:name="_Toc24968"/>
            <w:bookmarkStart w:id="47" w:name="_Toc935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9400"/>
            <w:bookmarkStart w:id="49" w:name="_Toc28320"/>
            <w:bookmarkStart w:id="50" w:name="_Toc23424"/>
            <w:bookmarkStart w:id="51" w:name="_Toc13960"/>
            <w:bookmarkStart w:id="52" w:name="_Toc21372"/>
            <w:bookmarkStart w:id="53" w:name="_Toc16110"/>
            <w:bookmarkStart w:id="54" w:name="_Toc29895"/>
            <w:bookmarkStart w:id="55" w:name="_Toc17150"/>
            <w:bookmarkStart w:id="56" w:name="_Toc31384"/>
            <w:bookmarkStart w:id="57" w:name="_Toc9342"/>
            <w:bookmarkStart w:id="58" w:name="_Toc32551"/>
            <w:r>
              <w:rPr>
                <w:rFonts w:hint="eastAsia" w:ascii="宋体" w:hAnsi="宋体" w:cs="宋体"/>
                <w:color w:val="auto"/>
                <w:highlight w:val="none"/>
                <w:lang w:val="en-US" w:eastAsia="zh-CN"/>
              </w:rPr>
              <w:t>驻马店市中心医院活度计、等离子体射频手术系统等医疗设备采购项目（二次）</w:t>
            </w: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47"/>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3148"/>
            <w:bookmarkStart w:id="60" w:name="_Toc22834"/>
            <w:bookmarkStart w:id="61" w:name="_Toc4944"/>
            <w:bookmarkStart w:id="62" w:name="_Toc29780"/>
            <w:bookmarkStart w:id="63" w:name="_Toc5153"/>
            <w:bookmarkStart w:id="64" w:name="_Toc26199"/>
            <w:bookmarkStart w:id="65" w:name="_Toc1096"/>
            <w:bookmarkStart w:id="66" w:name="_Toc24541"/>
            <w:bookmarkStart w:id="67" w:name="_Toc12440"/>
            <w:bookmarkStart w:id="68" w:name="_Toc27606"/>
            <w:bookmarkStart w:id="69" w:name="_Toc11639"/>
            <w:bookmarkStart w:id="70" w:name="_Toc977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29.6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29.6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14FA52C">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600710</wp:posOffset>
                            </wp:positionH>
                            <wp:positionV relativeFrom="paragraph">
                              <wp:posOffset>116840</wp:posOffset>
                            </wp:positionV>
                            <wp:extent cx="855980" cy="287020"/>
                            <wp:effectExtent l="0" t="0" r="1270" b="17780"/>
                            <wp:wrapNone/>
                            <wp:docPr id="3" name="文本框 3"/>
                            <wp:cNvGraphicFramePr/>
                            <a:graphic xmlns:a="http://schemas.openxmlformats.org/drawingml/2006/main">
                              <a:graphicData uri="http://schemas.microsoft.com/office/word/2010/wordprocessingShape">
                                <wps:wsp>
                                  <wps:cNvSpPr txBox="1"/>
                                  <wps:spPr>
                                    <a:xfrm>
                                      <a:off x="1673225" y="4735830"/>
                                      <a:ext cx="855980"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9.2pt;height:22.6pt;width:67.4pt;z-index:251659264;mso-width-relative:page;mso-height-relative:page;" fillcolor="#FFFFFF [3201]" filled="t" stroked="f" coordsize="21600,21600" o:gfxdata="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giqhtQA&#10;AAAIAQAADwAAAAAAAAABACAAAAAiAAAAZHJzL2Rvd25yZXYueG1sUEsBAhQAFAAAAAgAh07iQEEo&#10;V7BcAgAAmgQAAA4AAAAAAAAAAQAgAAAAIw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71" w:name="_Toc4700"/>
      <w:bookmarkStart w:id="72"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29.6</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29.6</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3975"/>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256519703"/>
      <w:bookmarkStart w:id="79" w:name="_Toc326786897"/>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80" w:name="_Toc14666"/>
      <w:bookmarkStart w:id="81" w:name="_Toc15255"/>
      <w:r>
        <w:rPr>
          <w:rFonts w:hint="eastAsia" w:ascii="宋体" w:hAnsi="宋体" w:cs="宋体"/>
          <w:color w:val="auto"/>
          <w:sz w:val="21"/>
          <w:szCs w:val="21"/>
          <w:highlight w:val="none"/>
          <w:lang w:val="en-US" w:eastAsia="zh-CN"/>
        </w:rPr>
        <w:t>包3、4：</w:t>
      </w:r>
      <w:bookmarkEnd w:id="80"/>
      <w:bookmarkEnd w:id="81"/>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2" w:name="_Toc15046"/>
      <w:r>
        <w:rPr>
          <w:rFonts w:hint="eastAsia" w:ascii="宋体" w:hAnsi="宋体" w:eastAsia="宋体" w:cs="宋体"/>
          <w:color w:val="auto"/>
          <w:sz w:val="28"/>
          <w:szCs w:val="28"/>
          <w:highlight w:val="none"/>
        </w:rPr>
        <w:t>第五章  采购合同</w:t>
      </w:r>
      <w:bookmarkEnd w:id="8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3" w:name="_Toc2709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3"/>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4" w:name="_Toc13604"/>
      <w:r>
        <w:rPr>
          <w:rFonts w:hint="eastAsia" w:ascii="宋体" w:hAnsi="宋体" w:eastAsia="宋体" w:cs="宋体"/>
          <w:b/>
          <w:bCs/>
          <w:color w:val="auto"/>
          <w:sz w:val="32"/>
          <w:szCs w:val="32"/>
          <w:highlight w:val="none"/>
        </w:rPr>
        <w:t>目    录</w:t>
      </w:r>
      <w:bookmarkEnd w:id="8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9579"/>
      <w:r>
        <w:rPr>
          <w:rFonts w:hint="eastAsia" w:ascii="宋体" w:hAnsi="宋体" w:eastAsia="宋体" w:cs="宋体"/>
          <w:color w:val="auto"/>
          <w:sz w:val="24"/>
          <w:highlight w:val="none"/>
        </w:rPr>
        <w:t xml:space="preserve">附件4 </w:t>
      </w:r>
      <w:bookmarkEnd w:id="8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90" w:name="_Toc6234"/>
      <w:r>
        <w:rPr>
          <w:rFonts w:hint="eastAsia" w:ascii="宋体" w:hAnsi="宋体" w:eastAsia="宋体" w:cs="宋体"/>
          <w:color w:val="auto"/>
          <w:sz w:val="24"/>
          <w:highlight w:val="none"/>
        </w:rPr>
        <w:t>附件6 商务</w:t>
      </w:r>
      <w:bookmarkEnd w:id="9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31857"/>
      <w:r>
        <w:rPr>
          <w:rFonts w:hint="eastAsia" w:ascii="宋体" w:hAnsi="宋体" w:eastAsia="宋体" w:cs="宋体"/>
          <w:color w:val="auto"/>
          <w:sz w:val="24"/>
          <w:highlight w:val="none"/>
        </w:rPr>
        <w:t>附件9 证明文件</w:t>
      </w:r>
      <w:bookmarkEnd w:id="9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4" w:name="_Toc23116"/>
      <w:r>
        <w:rPr>
          <w:rFonts w:hint="eastAsia" w:ascii="宋体" w:hAnsi="宋体" w:eastAsia="宋体" w:cs="宋体"/>
          <w:color w:val="auto"/>
          <w:sz w:val="24"/>
          <w:highlight w:val="none"/>
        </w:rPr>
        <w:t>附件10 供应商承诺书（格式）</w:t>
      </w:r>
      <w:bookmarkEnd w:id="9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5" w:name="_Toc24743"/>
      <w:bookmarkStart w:id="9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5"/>
      <w:bookmarkEnd w:id="9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8818"/>
      <w:bookmarkStart w:id="98" w:name="_Toc14560"/>
      <w:r>
        <w:rPr>
          <w:rFonts w:hint="eastAsia" w:ascii="宋体" w:hAnsi="宋体" w:eastAsia="宋体" w:cs="宋体"/>
          <w:color w:val="auto"/>
          <w:sz w:val="28"/>
          <w:szCs w:val="28"/>
          <w:highlight w:val="none"/>
          <w:lang w:val="en-US" w:eastAsia="zh-CN"/>
        </w:rPr>
        <w:t>附件2      竞争性磋商响应书（格式）</w:t>
      </w:r>
      <w:bookmarkEnd w:id="97"/>
      <w:bookmarkEnd w:id="9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7838"/>
      <w:r>
        <w:rPr>
          <w:rFonts w:hint="eastAsia" w:ascii="宋体" w:hAnsi="宋体" w:eastAsia="宋体" w:cs="宋体"/>
          <w:color w:val="auto"/>
          <w:sz w:val="28"/>
          <w:szCs w:val="28"/>
          <w:highlight w:val="none"/>
          <w:lang w:val="en-US" w:eastAsia="zh-CN"/>
        </w:rPr>
        <w:t>附件3            初次报价一览表</w:t>
      </w:r>
      <w:bookmarkEnd w:id="9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100" w:name="_Toc20877"/>
      <w:bookmarkStart w:id="101" w:name="_Toc11620"/>
    </w:p>
    <w:bookmarkEnd w:id="100"/>
    <w:bookmarkEnd w:id="101"/>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2" w:name="_Toc12222"/>
      <w:bookmarkStart w:id="10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2"/>
      <w:bookmarkEnd w:id="10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4" w:name="_Toc9950"/>
      <w:bookmarkStart w:id="105" w:name="_Toc1330"/>
      <w:r>
        <w:rPr>
          <w:rFonts w:hint="eastAsia" w:ascii="宋体" w:hAnsi="宋体" w:eastAsia="宋体" w:cs="宋体"/>
          <w:color w:val="auto"/>
          <w:szCs w:val="21"/>
          <w:highlight w:val="none"/>
        </w:rPr>
        <w:t>年  月  日</w:t>
      </w:r>
      <w:bookmarkEnd w:id="104"/>
      <w:bookmarkEnd w:id="105"/>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6" w:name="_Toc22004"/>
      <w:bookmarkStart w:id="10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6"/>
      <w:bookmarkEnd w:id="10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8" w:name="_Toc15804"/>
      <w:bookmarkStart w:id="10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10" w:name="_Toc4127"/>
            <w:bookmarkStart w:id="111" w:name="_Toc21708"/>
            <w:bookmarkStart w:id="112" w:name="_Toc12299"/>
            <w:bookmarkStart w:id="113" w:name="_Toc23643"/>
            <w:bookmarkStart w:id="114" w:name="_Toc22278"/>
            <w:bookmarkStart w:id="115" w:name="_Toc26318"/>
            <w:r>
              <w:rPr>
                <w:rFonts w:hint="eastAsia" w:ascii="宋体" w:hAnsi="宋体" w:eastAsia="宋体" w:cs="宋体"/>
                <w:b/>
                <w:color w:val="auto"/>
                <w:sz w:val="21"/>
                <w:szCs w:val="21"/>
                <w:highlight w:val="none"/>
              </w:rPr>
              <w:t>省、市、县</w:t>
            </w:r>
            <w:bookmarkEnd w:id="110"/>
            <w:bookmarkEnd w:id="111"/>
            <w:bookmarkEnd w:id="112"/>
            <w:bookmarkEnd w:id="113"/>
            <w:bookmarkEnd w:id="114"/>
            <w:bookmarkEnd w:id="11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6" w:name="_Toc32136"/>
            <w:bookmarkStart w:id="117" w:name="_Toc22255"/>
            <w:bookmarkStart w:id="118" w:name="_Toc31779"/>
            <w:bookmarkStart w:id="119" w:name="_Toc18507"/>
            <w:bookmarkStart w:id="120" w:name="_Toc22887"/>
            <w:bookmarkStart w:id="121" w:name="_Toc16741"/>
            <w:r>
              <w:rPr>
                <w:rFonts w:hint="eastAsia" w:ascii="宋体" w:hAnsi="宋体" w:eastAsia="宋体" w:cs="宋体"/>
                <w:b/>
                <w:color w:val="auto"/>
                <w:sz w:val="21"/>
                <w:szCs w:val="21"/>
                <w:highlight w:val="none"/>
              </w:rPr>
              <w:t>收费编码</w:t>
            </w:r>
            <w:bookmarkEnd w:id="116"/>
            <w:bookmarkEnd w:id="117"/>
            <w:bookmarkEnd w:id="118"/>
            <w:bookmarkEnd w:id="119"/>
            <w:bookmarkEnd w:id="120"/>
            <w:bookmarkEnd w:id="121"/>
          </w:p>
          <w:p w14:paraId="0E7218A7">
            <w:pPr>
              <w:widowControl w:val="0"/>
              <w:spacing w:line="320" w:lineRule="exact"/>
              <w:jc w:val="center"/>
              <w:outlineLvl w:val="0"/>
              <w:rPr>
                <w:color w:val="auto"/>
                <w:sz w:val="21"/>
                <w:szCs w:val="21"/>
                <w:highlight w:val="none"/>
                <w:vertAlign w:val="baseline"/>
              </w:rPr>
            </w:pPr>
            <w:bookmarkStart w:id="122" w:name="_Toc31947"/>
            <w:bookmarkStart w:id="123" w:name="_Toc8544"/>
            <w:bookmarkStart w:id="124" w:name="_Toc11147"/>
            <w:bookmarkStart w:id="125" w:name="_Toc570"/>
            <w:bookmarkStart w:id="126" w:name="_Toc18136"/>
            <w:bookmarkStart w:id="127" w:name="_Toc703"/>
            <w:r>
              <w:rPr>
                <w:rFonts w:hint="eastAsia" w:ascii="宋体" w:hAnsi="宋体" w:eastAsia="宋体" w:cs="宋体"/>
                <w:b/>
                <w:color w:val="auto"/>
                <w:sz w:val="21"/>
                <w:szCs w:val="21"/>
                <w:highlight w:val="none"/>
              </w:rPr>
              <w:t>收费标准</w:t>
            </w:r>
            <w:bookmarkEnd w:id="122"/>
            <w:bookmarkEnd w:id="123"/>
            <w:bookmarkEnd w:id="124"/>
            <w:bookmarkEnd w:id="125"/>
            <w:bookmarkEnd w:id="126"/>
            <w:bookmarkEnd w:id="12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8"/>
      <w:bookmarkEnd w:id="10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8" w:name="_Toc24168"/>
      <w:bookmarkStart w:id="129" w:name="_Toc29960"/>
      <w:bookmarkStart w:id="130"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8"/>
      <w:bookmarkEnd w:id="129"/>
      <w:bookmarkEnd w:id="13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31" w:name="_Toc28621"/>
      <w:bookmarkStart w:id="13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29406"/>
      <w:r>
        <w:rPr>
          <w:rFonts w:hint="eastAsia" w:ascii="宋体" w:hAnsi="宋体" w:eastAsia="宋体" w:cs="宋体"/>
          <w:color w:val="auto"/>
          <w:sz w:val="28"/>
          <w:szCs w:val="28"/>
          <w:highlight w:val="none"/>
          <w:lang w:val="en-US" w:eastAsia="zh-CN"/>
        </w:rPr>
        <w:t>附件7         法定代表人身份证明（格式）</w:t>
      </w:r>
      <w:bookmarkEnd w:id="131"/>
      <w:bookmarkEnd w:id="132"/>
      <w:bookmarkEnd w:id="13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4" w:name="_Toc12939"/>
      <w:bookmarkStart w:id="135" w:name="_Toc30519"/>
      <w:bookmarkStart w:id="136" w:name="_Toc13976"/>
      <w:r>
        <w:rPr>
          <w:rFonts w:hint="eastAsia" w:ascii="宋体" w:hAnsi="宋体" w:eastAsia="宋体" w:cs="宋体"/>
          <w:color w:val="auto"/>
          <w:sz w:val="28"/>
          <w:szCs w:val="28"/>
          <w:highlight w:val="none"/>
          <w:lang w:val="en-US" w:eastAsia="zh-CN"/>
        </w:rPr>
        <w:t>附件8         法定代表人授权书（格式）</w:t>
      </w:r>
      <w:bookmarkEnd w:id="134"/>
      <w:bookmarkEnd w:id="135"/>
      <w:bookmarkEnd w:id="13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7" w:name="_Toc24693"/>
      <w:bookmarkStart w:id="138" w:name="_Toc3342"/>
      <w:bookmarkStart w:id="139" w:name="_Toc18105"/>
      <w:r>
        <w:rPr>
          <w:rFonts w:hint="eastAsia" w:ascii="宋体" w:hAnsi="宋体" w:eastAsia="宋体" w:cs="宋体"/>
          <w:color w:val="auto"/>
          <w:sz w:val="28"/>
          <w:szCs w:val="28"/>
          <w:highlight w:val="none"/>
          <w:lang w:val="en-US" w:eastAsia="zh-CN"/>
        </w:rPr>
        <w:t>附件9          证明文件</w:t>
      </w:r>
      <w:bookmarkEnd w:id="137"/>
      <w:bookmarkEnd w:id="138"/>
      <w:bookmarkEnd w:id="139"/>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4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41" w:name="_Toc16083"/>
      <w:bookmarkStart w:id="142" w:name="_Toc13726"/>
      <w:bookmarkStart w:id="143"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40"/>
      <w:r>
        <w:rPr>
          <w:rFonts w:hint="eastAsia" w:ascii="宋体" w:hAnsi="宋体" w:eastAsia="宋体" w:cs="宋体"/>
          <w:color w:val="auto"/>
          <w:sz w:val="28"/>
          <w:szCs w:val="28"/>
          <w:highlight w:val="none"/>
          <w:lang w:val="en-US" w:eastAsia="zh-CN"/>
        </w:rPr>
        <w:t>供 应 商 承 诺 书 （格式）</w:t>
      </w:r>
      <w:bookmarkEnd w:id="141"/>
      <w:bookmarkEnd w:id="142"/>
      <w:bookmarkEnd w:id="14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4" w:name="_Toc23394"/>
      <w:bookmarkStart w:id="145" w:name="_Toc31685"/>
      <w:bookmarkStart w:id="14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4"/>
      <w:bookmarkEnd w:id="145"/>
      <w:bookmarkEnd w:id="14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3CFB9E7D"/>
    <w:multiLevelType w:val="singleLevel"/>
    <w:tmpl w:val="3CFB9E7D"/>
    <w:lvl w:ilvl="0" w:tentative="0">
      <w:start w:val="2"/>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397CED"/>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17D1F"/>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24D4B"/>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7342C"/>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D1F99"/>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43968"/>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57036"/>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610FB"/>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7C428F"/>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27A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20995</Words>
  <Characters>21986</Characters>
  <Lines>50</Lines>
  <Paragraphs>68</Paragraphs>
  <TotalTime>19</TotalTime>
  <ScaleCrop>false</ScaleCrop>
  <LinksUpToDate>false</LinksUpToDate>
  <CharactersWithSpaces>23413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2026-01-19T05:02:50Z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5B5212B36446458EABFD2ED39690A87C_13</vt:lpwstr>
  </property>
  <property fmtid="{D5CDD505-2E9C-101B-9397-08002B2CF9AE}" pid="4" name="KSOTemplateDocerSaveRecord">
    <vt:lpwstr>eyJoZGlkIjoiMzU0MTZjMjFkMjFjOGMwYTIzNWEzZDljNjYxZWI0MmYiLCJ1c2VySWQiOiIxNjg0NTc5MjM2In0=</vt:lpwstr>
  </property>
</Properties>
</file>