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bookmarkStart w:id="100" w:name="_GoBack"/>
      <w:r>
        <w:rPr>
          <w:rFonts w:hint="eastAsia" w:cs="宋体"/>
          <w:b/>
          <w:bCs/>
          <w:color w:val="auto"/>
          <w:sz w:val="44"/>
          <w:szCs w:val="44"/>
          <w:highlight w:val="none"/>
          <w:lang w:val="en-US" w:eastAsia="zh-CN"/>
        </w:rPr>
        <w:t>驻马店市中心医院康复分院病房楼改造项目配套设施设计项目</w:t>
      </w:r>
    </w:p>
    <w:bookmarkEnd w:id="100"/>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A6A12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驻马店市中心医院康复分院病房楼改造项目配套设施设计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6DFEFA8">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eastAsia="zh-CN"/>
        </w:rPr>
        <w:t>驻马店市中心医院康复分院病房楼改造项目配套设施设计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驻马店市中心医院康复分院病房楼改造项目配套设施设计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、预算金额：19.8万元</w:t>
      </w:r>
      <w:r>
        <w:rPr>
          <w:rFonts w:hint="eastAsia" w:ascii="宋体" w:hAnsi="宋体" w:eastAsia="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期限：7天</w:t>
      </w:r>
      <w:r>
        <w:rPr>
          <w:rFonts w:hint="eastAsia" w:ascii="宋体" w:hAnsi="宋体" w:cs="宋体"/>
          <w:color w:val="auto"/>
          <w:szCs w:val="21"/>
          <w:highlight w:val="none"/>
          <w:shd w:val="clear" w:color="auto" w:fill="FFFFFF"/>
          <w:lang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 w:val="21"/>
          <w:szCs w:val="21"/>
          <w:highlight w:val="none"/>
          <w:lang w:val="en-US" w:eastAsia="zh-CN"/>
        </w:rPr>
        <w:t>符合现行</w:t>
      </w:r>
      <w:r>
        <w:rPr>
          <w:rFonts w:hint="eastAsia" w:ascii="宋体" w:hAnsi="宋体" w:cs="宋体"/>
          <w:b w:val="0"/>
          <w:bCs w:val="0"/>
          <w:color w:val="auto"/>
          <w:kern w:val="2"/>
          <w:sz w:val="21"/>
          <w:szCs w:val="21"/>
          <w:highlight w:val="none"/>
          <w:lang w:val="en-US" w:eastAsia="zh-CN" w:bidi="ar-SA"/>
        </w:rPr>
        <w:t>国家、行业和地方现行法律、法规、规章制度、规范及标准要求</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kern w:val="2"/>
          <w:sz w:val="21"/>
          <w:szCs w:val="21"/>
          <w:highlight w:val="none"/>
          <w:lang w:val="en-US" w:eastAsia="zh-CN" w:bidi="ar-SA"/>
        </w:rPr>
        <w:t>满足采购人要求。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94CB0A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5E375B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D9AA6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8CB5F0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0BCA6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C3B1F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DD1E6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4254DD2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9F1B8E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8.1供应商须具有建设行政主管部门颁发的工程设计综合资质甲级或建筑行业(建筑工程)设计甲级资质，并在人员、设备、资金等方面应具有相应的设计能力；</w:t>
      </w:r>
    </w:p>
    <w:p w14:paraId="5BAE96F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8.2拟派项目经理须具有一级注册建筑师执业资格；</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r>
        <w:rPr>
          <w:rFonts w:hint="eastAsia" w:ascii="宋体" w:hAnsi="宋体" w:cs="宋体"/>
          <w:color w:val="auto"/>
          <w:szCs w:val="21"/>
          <w:highlight w:val="none"/>
          <w:shd w:val="clear" w:color="auto" w:fill="FFFFFF"/>
          <w:lang w:val="en-US" w:eastAsia="zh-CN"/>
        </w:rPr>
        <w:t>。</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u w:val="none"/>
          <w:shd w:val="clear" w:color="auto" w:fill="FFFFFF"/>
          <w:lang w:val="en-US" w:eastAsia="zh-CN"/>
        </w:rPr>
        <w:t>驻马店市中心医院康复分院病房楼改造项目配套设施设计</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包号</w:t>
            </w:r>
          </w:p>
        </w:tc>
        <w:tc>
          <w:tcPr>
            <w:tcW w:w="746" w:type="dxa"/>
            <w:vAlign w:val="center"/>
          </w:tcPr>
          <w:p w14:paraId="5C7ECEE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sz w:val="21"/>
                <w:szCs w:val="21"/>
                <w:highlight w:val="none"/>
                <w:vertAlign w:val="baseline"/>
                <w:lang w:val="en-US" w:eastAsia="zh-CN"/>
              </w:rPr>
              <w:t>驻马店市中心医院康复分院病房楼改造项目配套设施设计</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w:t>
            </w: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vertAlign w:val="baseline"/>
                <w:lang w:val="en-US" w:eastAsia="zh-CN"/>
              </w:rPr>
              <w:t>19.8万元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vertAlign w:val="baseli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vertAlign w:val="baseline"/>
                <w:lang w:val="en-US" w:eastAsia="zh-CN"/>
              </w:rPr>
              <w:t>19.8万元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bl>
    <w:p w14:paraId="213FFBE6">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6E001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1.设计范围包括但不限于康复分院的：</w:t>
      </w:r>
    </w:p>
    <w:p w14:paraId="0E392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（1）室外地质勘探，室外增加消防水池、消防泵房、门岗房（结合原设计门岗房尺寸功能和外观），室外污水处理池及化粪池，室外强电、弱电（如果需要）及管网。</w:t>
      </w:r>
    </w:p>
    <w:p w14:paraId="74D1C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（2）院内泛光照明。</w:t>
      </w:r>
    </w:p>
    <w:p w14:paraId="0C6A6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（3）增加生活泵房及相关配套给排水管线。</w:t>
      </w:r>
    </w:p>
    <w:p w14:paraId="2D57F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（4）北楼病房增加卫生间的楼板加固方案以及配套的给排水做法，北楼一层装饰装修、强弱电及给排水设计。</w:t>
      </w:r>
    </w:p>
    <w:p w14:paraId="6B7F0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（5）东楼病房增加卫生间的平面布局、装饰装修、楼板加固方案以及配套的给排水做法，东楼一层装饰装修、强弱电及给排水设计。</w:t>
      </w:r>
    </w:p>
    <w:p w14:paraId="1272B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（6）南楼1层、7层用电调整，根据科室手绘图纸出正式图纸。</w:t>
      </w:r>
    </w:p>
    <w:p w14:paraId="37AAA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（7）南楼多处梁、柱、剪力墙钢筋锈蚀严重，补充处理做法。</w:t>
      </w:r>
    </w:p>
    <w:p w14:paraId="2E40E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（8）病房门洞扩大，增加过梁做法。</w:t>
      </w:r>
    </w:p>
    <w:p w14:paraId="03A24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（9）南楼西山墙弧形窗拆除，改为平窗做法，以及外面圆弧排水防水做法。</w:t>
      </w:r>
    </w:p>
    <w:p w14:paraId="763A1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（10）南楼和东楼屋面防水做法、东楼两侧交界处变形缝处理做法和南楼裙房变形缝做法。</w:t>
      </w:r>
    </w:p>
    <w:p w14:paraId="64DA2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（11）南楼1层给排水布置做法，及南楼生活用水分区供水做法。</w:t>
      </w:r>
    </w:p>
    <w:p w14:paraId="3D645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（12）各个楼梯间照明布置及相关强电处理做法。</w:t>
      </w:r>
    </w:p>
    <w:p w14:paraId="2FFCB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（13）东楼4层拆除后，电梯和楼梯门厅做法。</w:t>
      </w:r>
    </w:p>
    <w:p w14:paraId="3420F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（14）南楼北立面玻璃幕墙做法，南楼裙房3层原玻璃隔墙改轻钢龙骨轻质隔墙的平面布局、墙体做法及相关的强弱电、给排水。</w:t>
      </w:r>
    </w:p>
    <w:p w14:paraId="1C334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（15）北楼北侧附属用房改造做法。</w:t>
      </w:r>
    </w:p>
    <w:p w14:paraId="3EF73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（16）南楼屋面增加制氧机房和负压机房，结构加固及屋顶机房做法。</w:t>
      </w:r>
    </w:p>
    <w:p w14:paraId="5F427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（17）南楼公共卫生间的排气做法。</w:t>
      </w:r>
    </w:p>
    <w:p w14:paraId="697A71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（18）院区内的外围护设施（如果需要）。</w:t>
      </w:r>
    </w:p>
    <w:p w14:paraId="5B029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（19）其他施工过程中暂时不可预见的零星工程需要设计的部分。</w:t>
      </w:r>
    </w:p>
    <w:p w14:paraId="4AC7D1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2.服务过程中应当满足采购人提出的各项合理要求。</w:t>
      </w:r>
    </w:p>
    <w:p w14:paraId="7D18E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3.成果要求：最终提交施工图纸质文件6套(加盖供应商出图章)及CAD电子版图纸。</w:t>
      </w:r>
    </w:p>
    <w:p w14:paraId="14529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cs="宋体"/>
          <w:b w:val="0"/>
          <w:bCs w:val="0"/>
          <w:color w:val="auto"/>
          <w:kern w:val="2"/>
          <w:sz w:val="21"/>
          <w:szCs w:val="21"/>
          <w:highlight w:val="none"/>
          <w:lang w:val="en-US" w:eastAsia="zh-CN" w:bidi="ar-SA"/>
        </w:rPr>
        <w:t>保密要求：本项目设计过程中所涉及的所有信息资料及所产生的成果的所有权归采购人所有，未经采购人书面允许不得将信息资料透露给第三方，否则采购人有权追究其法律责任。</w:t>
      </w:r>
    </w:p>
    <w:p w14:paraId="14343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服务过程中保证安全生产，如有安全事故，其造成的伤害事故及一切经济损失，由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方承担全责。</w:t>
      </w:r>
    </w:p>
    <w:p w14:paraId="1676CBF0">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w:t>
            </w:r>
            <w:r>
              <w:rPr>
                <w:rFonts w:hint="eastAsia" w:ascii="宋体" w:hAnsi="宋体" w:cs="宋体"/>
                <w:b w:val="0"/>
                <w:bCs w:val="0"/>
                <w:color w:val="auto"/>
                <w:kern w:val="2"/>
                <w:sz w:val="21"/>
                <w:szCs w:val="21"/>
                <w:highlight w:val="none"/>
                <w:lang w:val="en-US" w:eastAsia="zh-CN" w:bidi="ar-SA"/>
              </w:rPr>
              <w:t>国家、行业和地方现行法律、法规、规章制度、规范及标准要求</w:t>
            </w:r>
            <w:r>
              <w:rPr>
                <w:rFonts w:hint="eastAsia" w:ascii="宋体" w:hAnsi="宋体" w:eastAsia="宋体" w:cs="宋体"/>
                <w:color w:val="auto"/>
                <w:sz w:val="21"/>
                <w:szCs w:val="21"/>
                <w:highlight w:val="none"/>
                <w:lang w:val="en-US" w:eastAsia="zh-CN"/>
              </w:rPr>
              <w:t>，满足</w:t>
            </w:r>
            <w:r>
              <w:rPr>
                <w:rFonts w:hint="eastAsia" w:ascii="宋体" w:hAnsi="宋体" w:cs="宋体"/>
                <w:b w:val="0"/>
                <w:bCs w:val="0"/>
                <w:color w:val="auto"/>
                <w:kern w:val="2"/>
                <w:sz w:val="21"/>
                <w:szCs w:val="21"/>
                <w:highlight w:val="none"/>
                <w:lang w:val="en-US" w:eastAsia="zh-CN" w:bidi="ar-SA"/>
              </w:rPr>
              <w:t>满足采购人要求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服务期限要求7天，响应院方服务期限要求，若承诺的期限内不能按时完成，按合同约定进行处罚。</w:t>
            </w:r>
          </w:p>
        </w:tc>
      </w:tr>
      <w:tr w14:paraId="075B5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452B93">
            <w:pPr>
              <w:pStyle w:val="15"/>
              <w:jc w:val="center"/>
              <w:rPr>
                <w:rFonts w:hint="eastAsia" w:ascii="宋体" w:hAnsi="宋体" w:cs="宋体"/>
                <w:color w:val="auto"/>
                <w:sz w:val="21"/>
                <w:szCs w:val="21"/>
                <w:highlight w:val="none"/>
                <w:lang w:val="en-US" w:eastAsia="zh-CN"/>
              </w:rPr>
            </w:pPr>
            <w:r>
              <w:rPr>
                <w:rFonts w:hint="eastAsia"/>
                <w:sz w:val="21"/>
                <w:szCs w:val="21"/>
                <w:highlight w:val="none"/>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4448C51">
            <w:pPr>
              <w:pStyle w:val="15"/>
              <w:rPr>
                <w:rFonts w:hint="eastAsia" w:cs="宋体"/>
                <w:color w:val="auto"/>
                <w:kern w:val="2"/>
                <w:sz w:val="21"/>
                <w:szCs w:val="24"/>
                <w:highlight w:val="none"/>
                <w:lang w:val="en-US" w:eastAsia="zh-CN" w:bidi="ar-SA"/>
              </w:rPr>
            </w:pPr>
            <w:r>
              <w:rPr>
                <w:rFonts w:hint="eastAsia"/>
                <w:sz w:val="21"/>
                <w:szCs w:val="21"/>
                <w:highlight w:val="none"/>
              </w:rPr>
              <w:t>以合同约定为准。</w:t>
            </w:r>
          </w:p>
        </w:tc>
      </w:tr>
      <w:tr w14:paraId="7C81E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209F51">
            <w:pPr>
              <w:pStyle w:val="15"/>
              <w:jc w:val="center"/>
              <w:rPr>
                <w:rFonts w:hint="eastAsia" w:ascii="宋体" w:hAnsi="宋体" w:cs="宋体"/>
                <w:color w:val="auto"/>
                <w:sz w:val="21"/>
                <w:szCs w:val="21"/>
                <w:highlight w:val="none"/>
                <w:lang w:val="en-US" w:eastAsia="zh-CN"/>
              </w:rPr>
            </w:pPr>
            <w:r>
              <w:rPr>
                <w:rFonts w:hint="eastAsia"/>
                <w:sz w:val="21"/>
                <w:szCs w:val="21"/>
                <w:highlight w:val="none"/>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1F1BC9">
            <w:pPr>
              <w:pStyle w:val="15"/>
              <w:rPr>
                <w:rFonts w:hint="eastAsia" w:cs="宋体"/>
                <w:color w:val="auto"/>
                <w:kern w:val="2"/>
                <w:sz w:val="21"/>
                <w:szCs w:val="24"/>
                <w:highlight w:val="none"/>
                <w:lang w:val="en-US" w:eastAsia="zh-CN" w:bidi="ar-SA"/>
              </w:rPr>
            </w:pPr>
            <w:r>
              <w:rPr>
                <w:rFonts w:hint="eastAsia"/>
                <w:sz w:val="21"/>
                <w:szCs w:val="21"/>
                <w:highlight w:val="none"/>
              </w:rPr>
              <w:t>采购人指点地点。</w:t>
            </w:r>
          </w:p>
        </w:tc>
      </w:tr>
    </w:tbl>
    <w:p w14:paraId="7E01262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2"/>
          <w:szCs w:val="32"/>
          <w:highlight w:val="none"/>
        </w:rPr>
      </w:pPr>
    </w:p>
    <w:p w14:paraId="607F97A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2"/>
          <w:szCs w:val="32"/>
          <w:highlight w:val="none"/>
        </w:rPr>
      </w:pPr>
    </w:p>
    <w:p w14:paraId="1B295A0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2"/>
          <w:szCs w:val="32"/>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6EC06042">
            <w:pPr>
              <w:widowControl/>
              <w:snapToGrid w:val="0"/>
              <w:spacing w:line="360" w:lineRule="auto"/>
              <w:rPr>
                <w:rFonts w:hint="default" w:ascii="宋体" w:hAnsi="宋体" w:cs="宋体"/>
                <w:b w:val="0"/>
                <w:bCs w:val="0"/>
                <w:color w:val="auto"/>
                <w:kern w:val="2"/>
                <w:sz w:val="21"/>
                <w:szCs w:val="24"/>
                <w:highlight w:val="none"/>
                <w:lang w:val="en-US" w:eastAsia="zh-CN" w:bidi="ar-SA"/>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驻马店市中心医院康复分院病房楼改造项目配套设施设计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sz w:val="21"/>
                <w:szCs w:val="21"/>
                <w:highlight w:val="none"/>
                <w:vertAlign w:val="baseline"/>
                <w:lang w:val="en-US" w:eastAsia="zh-CN"/>
              </w:rPr>
              <w:t>19.8万元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eastAsia="宋体" w:cs="宋体"/>
                <w:sz w:val="21"/>
                <w:szCs w:val="21"/>
                <w:highlight w:val="none"/>
                <w:vertAlign w:val="baseline"/>
                <w:lang w:val="en-US" w:eastAsia="zh-CN"/>
              </w:rPr>
              <w:t>19.8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3.采购预算：19.8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:19.8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40B4A86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4.8、供应商须具有建设行政主管部门颁发的工程设计综合资质甲级或建筑行业(建筑工程)设计甲级资质，并在人员、设备、资金等方面应具有相应的设计能力；（提供资质证明材料）</w:t>
      </w:r>
    </w:p>
    <w:p w14:paraId="605CF9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4.9、拟派项目经理须具有一级注册建筑师执业资格。（提供资格证明材料）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937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3A772E46">
            <w:pPr>
              <w:tabs>
                <w:tab w:val="left" w:pos="3000"/>
              </w:tabs>
              <w:snapToGrid w:val="0"/>
              <w:spacing w:line="340" w:lineRule="exact"/>
              <w:jc w:val="center"/>
              <w:rPr>
                <w:rFonts w:hint="eastAsia" w:ascii="宋体" w:hAnsi="宋体" w:cs="宋体"/>
                <w:szCs w:val="21"/>
                <w:highlight w:val="none"/>
              </w:rPr>
            </w:pPr>
            <w:r>
              <w:rPr>
                <w:rFonts w:hint="eastAsia" w:ascii="宋体" w:hAnsi="宋体" w:cs="宋体"/>
                <w:szCs w:val="21"/>
                <w:highlight w:val="none"/>
              </w:rPr>
              <w:t>评审内容</w:t>
            </w:r>
          </w:p>
        </w:tc>
      </w:tr>
      <w:tr w14:paraId="570C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7A1EAF1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价格标部分(20分)</w:t>
            </w:r>
          </w:p>
        </w:tc>
        <w:tc>
          <w:tcPr>
            <w:tcW w:w="8284" w:type="dxa"/>
            <w:gridSpan w:val="2"/>
            <w:vAlign w:val="center"/>
          </w:tcPr>
          <w:p w14:paraId="008FE4A8">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6198C8D3">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020763BC">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1EB5C2FE">
            <w:pPr>
              <w:rPr>
                <w:rFonts w:hint="eastAsia" w:ascii="宋体" w:hAnsi="宋体" w:cs="宋体"/>
                <w:szCs w:val="21"/>
                <w:highlight w:val="none"/>
              </w:rPr>
            </w:pPr>
            <w:r>
              <w:rPr>
                <w:rFonts w:hint="eastAsia" w:ascii="宋体" w:hAnsi="宋体" w:cs="宋体"/>
                <w:color w:val="000000" w:themeColor="text1"/>
                <w:highlight w:val="none"/>
                <w14:textFill>
                  <w14:solidFill>
                    <w14:schemeClr w14:val="tx1"/>
                  </w14:solidFill>
                </w14:textFill>
              </w:rPr>
              <w:t>投标报价得分=（评标基准价/有效投标报价）×20分</w:t>
            </w:r>
          </w:p>
        </w:tc>
      </w:tr>
      <w:tr w14:paraId="0F28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98" w:type="dxa"/>
            <w:vMerge w:val="restart"/>
            <w:vAlign w:val="center"/>
          </w:tcPr>
          <w:p w14:paraId="7DC378E9">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p>
          <w:p w14:paraId="4F02772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362" w:type="dxa"/>
            <w:vAlign w:val="center"/>
          </w:tcPr>
          <w:p w14:paraId="7BBCDB46">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1.项目概况</w:t>
            </w:r>
          </w:p>
          <w:p w14:paraId="76C112B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（5分）</w:t>
            </w:r>
          </w:p>
        </w:tc>
        <w:tc>
          <w:tcPr>
            <w:tcW w:w="6922" w:type="dxa"/>
            <w:vAlign w:val="center"/>
          </w:tcPr>
          <w:p w14:paraId="2FAEEB9E">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深刻理解设计意图，对项目情况的了解和充分分析准确性、全面性。</w:t>
            </w:r>
          </w:p>
          <w:p w14:paraId="69198C98">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了解全面、分析准确全面的得5分；了解较为全面、分析较为准确基本合理的得3分；了解分析不够全面、不够合理的得1分；缺项不得分。</w:t>
            </w:r>
          </w:p>
        </w:tc>
      </w:tr>
      <w:tr w14:paraId="374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98" w:type="dxa"/>
            <w:vMerge w:val="continue"/>
            <w:vAlign w:val="center"/>
          </w:tcPr>
          <w:p w14:paraId="1BE04A40">
            <w:pPr>
              <w:snapToGrid w:val="0"/>
              <w:spacing w:line="320" w:lineRule="exact"/>
              <w:jc w:val="center"/>
              <w:rPr>
                <w:rFonts w:hint="eastAsia" w:ascii="宋体" w:hAnsi="宋体" w:cs="宋体"/>
                <w:szCs w:val="21"/>
                <w:highlight w:val="none"/>
              </w:rPr>
            </w:pPr>
          </w:p>
        </w:tc>
        <w:tc>
          <w:tcPr>
            <w:tcW w:w="1362" w:type="dxa"/>
            <w:vAlign w:val="center"/>
          </w:tcPr>
          <w:p w14:paraId="068D405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总体设计思路（6分）</w:t>
            </w:r>
          </w:p>
        </w:tc>
        <w:tc>
          <w:tcPr>
            <w:tcW w:w="6922" w:type="dxa"/>
            <w:vAlign w:val="center"/>
          </w:tcPr>
          <w:p w14:paraId="73EACB5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总体设计思路清晰、完整，有必要的图纸及说明文字，符合该项目建设需求的。</w:t>
            </w:r>
          </w:p>
          <w:p w14:paraId="11885C45">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内容完整、思路清晰具备可行性的得6分；内容较为完整全面、基本合理的得</w:t>
            </w:r>
            <w:r>
              <w:rPr>
                <w:rFonts w:hint="eastAsia" w:ascii="宋体" w:hAnsi="宋体" w:cs="宋体"/>
                <w:szCs w:val="21"/>
                <w:highlight w:val="none"/>
                <w:lang w:val="en-US" w:eastAsia="zh-CN"/>
              </w:rPr>
              <w:t>3</w:t>
            </w:r>
            <w:r>
              <w:rPr>
                <w:rFonts w:hint="eastAsia" w:ascii="宋体" w:hAnsi="宋体" w:cs="宋体"/>
                <w:szCs w:val="21"/>
                <w:highlight w:val="none"/>
              </w:rPr>
              <w:t>分；内容不够完整不够全面的得</w:t>
            </w:r>
            <w:r>
              <w:rPr>
                <w:rFonts w:hint="eastAsia" w:ascii="宋体" w:hAnsi="宋体" w:cs="宋体"/>
                <w:szCs w:val="21"/>
                <w:highlight w:val="none"/>
                <w:lang w:val="en-US" w:eastAsia="zh-CN"/>
              </w:rPr>
              <w:t>1</w:t>
            </w:r>
            <w:r>
              <w:rPr>
                <w:rFonts w:hint="eastAsia" w:ascii="宋体" w:hAnsi="宋体" w:cs="宋体"/>
                <w:szCs w:val="21"/>
                <w:highlight w:val="none"/>
              </w:rPr>
              <w:t>分；缺项不得分</w:t>
            </w:r>
          </w:p>
        </w:tc>
      </w:tr>
      <w:tr w14:paraId="62F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98" w:type="dxa"/>
            <w:vMerge w:val="continue"/>
            <w:vAlign w:val="center"/>
          </w:tcPr>
          <w:p w14:paraId="7373F318">
            <w:pPr>
              <w:snapToGrid w:val="0"/>
              <w:spacing w:line="320" w:lineRule="exact"/>
              <w:jc w:val="center"/>
              <w:rPr>
                <w:rFonts w:hint="eastAsia" w:ascii="宋体" w:hAnsi="宋体" w:cs="宋体"/>
                <w:szCs w:val="21"/>
                <w:highlight w:val="none"/>
              </w:rPr>
            </w:pPr>
          </w:p>
        </w:tc>
        <w:tc>
          <w:tcPr>
            <w:tcW w:w="1362" w:type="dxa"/>
            <w:vAlign w:val="center"/>
          </w:tcPr>
          <w:p w14:paraId="4241D89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设计方案（12分）</w:t>
            </w:r>
          </w:p>
        </w:tc>
        <w:tc>
          <w:tcPr>
            <w:tcW w:w="6922" w:type="dxa"/>
            <w:vAlign w:val="center"/>
          </w:tcPr>
          <w:p w14:paraId="731E7F27">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编制内容、深度及其重点在遵循国家政策导向和医院实际为前提，充分考虑医院设计特点、准确把握项目定位，对设计内容和实施有全面周到的考虑和安排，符合相关规范标准；设计内容设置合理，专业设计依据充分，引用规范合法、有效。</w:t>
            </w:r>
          </w:p>
          <w:p w14:paraId="7400EFC1">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设计方案全面可行、设计内容设置合理的得12分；设计方案较为全面，能满足项目基本需求的得</w:t>
            </w:r>
            <w:r>
              <w:rPr>
                <w:rFonts w:hint="eastAsia" w:ascii="宋体" w:hAnsi="宋体" w:cs="宋体"/>
                <w:szCs w:val="21"/>
                <w:highlight w:val="none"/>
                <w:lang w:val="en-US" w:eastAsia="zh-CN"/>
              </w:rPr>
              <w:t>7</w:t>
            </w:r>
            <w:r>
              <w:rPr>
                <w:rFonts w:hint="eastAsia" w:ascii="宋体" w:hAnsi="宋体" w:cs="宋体"/>
                <w:szCs w:val="21"/>
                <w:highlight w:val="none"/>
              </w:rPr>
              <w:t>分；设计方案不够全面，有明显缺陷或缺乏可行性的得</w:t>
            </w:r>
            <w:r>
              <w:rPr>
                <w:rFonts w:hint="eastAsia" w:ascii="宋体" w:hAnsi="宋体" w:cs="宋体"/>
                <w:szCs w:val="21"/>
                <w:highlight w:val="none"/>
                <w:lang w:val="en-US" w:eastAsia="zh-CN"/>
              </w:rPr>
              <w:t>2</w:t>
            </w:r>
            <w:r>
              <w:rPr>
                <w:rFonts w:hint="eastAsia" w:ascii="宋体" w:hAnsi="宋体" w:cs="宋体"/>
                <w:szCs w:val="21"/>
                <w:highlight w:val="none"/>
              </w:rPr>
              <w:t>分；缺项不得分。</w:t>
            </w:r>
          </w:p>
        </w:tc>
      </w:tr>
      <w:tr w14:paraId="199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466DF07C">
            <w:pPr>
              <w:snapToGrid w:val="0"/>
              <w:spacing w:line="320" w:lineRule="exact"/>
              <w:jc w:val="center"/>
              <w:rPr>
                <w:rFonts w:hint="eastAsia" w:ascii="宋体" w:hAnsi="宋体" w:cs="宋体"/>
                <w:szCs w:val="21"/>
                <w:highlight w:val="none"/>
              </w:rPr>
            </w:pPr>
          </w:p>
        </w:tc>
        <w:tc>
          <w:tcPr>
            <w:tcW w:w="1362" w:type="dxa"/>
            <w:vAlign w:val="center"/>
          </w:tcPr>
          <w:p w14:paraId="02AFACE7">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设计的经济性（</w:t>
            </w:r>
            <w:r>
              <w:rPr>
                <w:rFonts w:hint="eastAsia" w:ascii="宋体" w:hAnsi="宋体" w:cs="宋体"/>
                <w:szCs w:val="21"/>
                <w:highlight w:val="none"/>
              </w:rPr>
              <w:t>5</w:t>
            </w:r>
            <w:r>
              <w:rPr>
                <w:rFonts w:ascii="宋体" w:hAnsi="宋体" w:cs="宋体"/>
                <w:szCs w:val="21"/>
                <w:highlight w:val="none"/>
              </w:rPr>
              <w:t>分）</w:t>
            </w:r>
          </w:p>
        </w:tc>
        <w:tc>
          <w:tcPr>
            <w:tcW w:w="6922" w:type="dxa"/>
            <w:vAlign w:val="center"/>
          </w:tcPr>
          <w:p w14:paraId="2888C3F4">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设计内容经济，具有全面、完善、合理的工程造价的投资分析及降低造价的措施。</w:t>
            </w:r>
          </w:p>
          <w:p w14:paraId="21D23DAA">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措施全面合理、内容完整具备可行性的得5分；内容较为全面基本合理的得3分；内容不够全面的的得1分；缺项不得分。</w:t>
            </w:r>
          </w:p>
        </w:tc>
      </w:tr>
      <w:tr w14:paraId="24F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6B722552">
            <w:pPr>
              <w:snapToGrid w:val="0"/>
              <w:spacing w:line="320" w:lineRule="exact"/>
              <w:jc w:val="center"/>
              <w:rPr>
                <w:rFonts w:hint="eastAsia" w:ascii="宋体" w:hAnsi="宋体" w:cs="宋体"/>
                <w:szCs w:val="21"/>
                <w:highlight w:val="none"/>
              </w:rPr>
            </w:pPr>
          </w:p>
        </w:tc>
        <w:tc>
          <w:tcPr>
            <w:tcW w:w="1362" w:type="dxa"/>
            <w:vAlign w:val="center"/>
          </w:tcPr>
          <w:p w14:paraId="150E9D19">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设计的环保性（</w:t>
            </w:r>
            <w:r>
              <w:rPr>
                <w:rFonts w:hint="eastAsia" w:ascii="宋体" w:hAnsi="宋体" w:cs="宋体"/>
                <w:szCs w:val="21"/>
                <w:highlight w:val="none"/>
              </w:rPr>
              <w:t>6</w:t>
            </w:r>
            <w:r>
              <w:rPr>
                <w:rFonts w:ascii="宋体" w:hAnsi="宋体" w:cs="宋体"/>
                <w:szCs w:val="21"/>
                <w:highlight w:val="none"/>
              </w:rPr>
              <w:t>分）</w:t>
            </w:r>
          </w:p>
        </w:tc>
        <w:tc>
          <w:tcPr>
            <w:tcW w:w="6922" w:type="dxa"/>
            <w:vAlign w:val="center"/>
          </w:tcPr>
          <w:p w14:paraId="6CAD878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设计实施方案将环保融入设计，涵盖节能、绿色建材、人性化设计等内容。</w:t>
            </w:r>
          </w:p>
          <w:p w14:paraId="5835D9EE">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规划合理、内容齐全，符合规定的得6分；内容较为齐全的得</w:t>
            </w:r>
            <w:r>
              <w:rPr>
                <w:rFonts w:hint="eastAsia" w:ascii="宋体" w:hAnsi="宋体" w:cs="宋体"/>
                <w:szCs w:val="21"/>
                <w:highlight w:val="none"/>
                <w:lang w:val="en-US" w:eastAsia="zh-CN"/>
              </w:rPr>
              <w:t>3</w:t>
            </w:r>
            <w:r>
              <w:rPr>
                <w:rFonts w:hint="eastAsia" w:ascii="宋体" w:hAnsi="宋体" w:cs="宋体"/>
                <w:szCs w:val="21"/>
                <w:highlight w:val="none"/>
              </w:rPr>
              <w:t>分；内容不够齐全的得</w:t>
            </w:r>
            <w:r>
              <w:rPr>
                <w:rFonts w:hint="eastAsia" w:ascii="宋体" w:hAnsi="宋体" w:cs="宋体"/>
                <w:szCs w:val="21"/>
                <w:highlight w:val="none"/>
                <w:lang w:val="en-US" w:eastAsia="zh-CN"/>
              </w:rPr>
              <w:t>1</w:t>
            </w:r>
            <w:r>
              <w:rPr>
                <w:rFonts w:hint="eastAsia" w:ascii="宋体" w:hAnsi="宋体" w:cs="宋体"/>
                <w:szCs w:val="21"/>
                <w:highlight w:val="none"/>
              </w:rPr>
              <w:t>分，缺项或不合理者不得分。</w:t>
            </w:r>
          </w:p>
        </w:tc>
      </w:tr>
      <w:tr w14:paraId="76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8AD3D94">
            <w:pPr>
              <w:snapToGrid w:val="0"/>
              <w:spacing w:line="320" w:lineRule="exact"/>
              <w:jc w:val="center"/>
              <w:rPr>
                <w:rFonts w:hint="eastAsia" w:ascii="宋体" w:hAnsi="宋体" w:cs="宋体"/>
                <w:szCs w:val="21"/>
                <w:highlight w:val="none"/>
              </w:rPr>
            </w:pPr>
          </w:p>
        </w:tc>
        <w:tc>
          <w:tcPr>
            <w:tcW w:w="1362" w:type="dxa"/>
            <w:vAlign w:val="center"/>
          </w:tcPr>
          <w:p w14:paraId="4920264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质量的技术组织措施</w:t>
            </w:r>
          </w:p>
          <w:p w14:paraId="7168CDD3">
            <w:pPr>
              <w:snapToGrid w:val="0"/>
              <w:spacing w:line="320" w:lineRule="exact"/>
              <w:jc w:val="center"/>
              <w:rPr>
                <w:rFonts w:hint="eastAsia"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6</w:t>
            </w:r>
            <w:r>
              <w:rPr>
                <w:rFonts w:ascii="宋体" w:hAnsi="宋体" w:cs="宋体"/>
                <w:szCs w:val="21"/>
                <w:highlight w:val="none"/>
              </w:rPr>
              <w:t>分）</w:t>
            </w:r>
          </w:p>
        </w:tc>
        <w:tc>
          <w:tcPr>
            <w:tcW w:w="6922" w:type="dxa"/>
            <w:vAlign w:val="center"/>
          </w:tcPr>
          <w:p w14:paraId="5CAD10A9">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确保设计质量的技术组织措施内容全面、减少设计变更等措施方法可行。措施全面合理、内容完整具备可行性的得6分；内容较为全面基本合理的得</w:t>
            </w:r>
            <w:r>
              <w:rPr>
                <w:rFonts w:hint="eastAsia" w:ascii="宋体" w:hAnsi="宋体" w:cs="宋体"/>
                <w:szCs w:val="21"/>
                <w:highlight w:val="none"/>
                <w:lang w:val="en-US" w:eastAsia="zh-CN"/>
              </w:rPr>
              <w:t>3</w:t>
            </w:r>
            <w:r>
              <w:rPr>
                <w:rFonts w:hint="eastAsia" w:ascii="宋体" w:hAnsi="宋体" w:cs="宋体"/>
                <w:szCs w:val="21"/>
                <w:highlight w:val="none"/>
              </w:rPr>
              <w:t>分；内容不够全面的得</w:t>
            </w:r>
            <w:r>
              <w:rPr>
                <w:rFonts w:hint="eastAsia" w:ascii="宋体" w:hAnsi="宋体" w:cs="宋体"/>
                <w:szCs w:val="21"/>
                <w:highlight w:val="none"/>
                <w:lang w:val="en-US" w:eastAsia="zh-CN"/>
              </w:rPr>
              <w:t>1</w:t>
            </w:r>
            <w:r>
              <w:rPr>
                <w:rFonts w:hint="eastAsia" w:ascii="宋体" w:hAnsi="宋体" w:cs="宋体"/>
                <w:szCs w:val="21"/>
                <w:highlight w:val="none"/>
              </w:rPr>
              <w:t>分；缺项不得分。</w:t>
            </w:r>
          </w:p>
        </w:tc>
      </w:tr>
      <w:tr w14:paraId="1E0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1D592131">
            <w:pPr>
              <w:snapToGrid w:val="0"/>
              <w:spacing w:line="320" w:lineRule="exact"/>
              <w:jc w:val="center"/>
              <w:rPr>
                <w:rFonts w:hint="eastAsia" w:ascii="宋体" w:hAnsi="宋体" w:cs="宋体"/>
                <w:szCs w:val="21"/>
                <w:highlight w:val="none"/>
              </w:rPr>
            </w:pPr>
          </w:p>
        </w:tc>
        <w:tc>
          <w:tcPr>
            <w:tcW w:w="1362" w:type="dxa"/>
            <w:vAlign w:val="center"/>
          </w:tcPr>
          <w:p w14:paraId="7F5B2173">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7.进度措施</w:t>
            </w:r>
          </w:p>
          <w:p w14:paraId="661F3202">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（5分）</w:t>
            </w:r>
          </w:p>
        </w:tc>
        <w:tc>
          <w:tcPr>
            <w:tcW w:w="6922" w:type="dxa"/>
            <w:vAlign w:val="center"/>
          </w:tcPr>
          <w:p w14:paraId="55CE730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针对本项目特点及设计周期安排设计进度计划，项目设计进度计划表编制科学合理，有确保进度的技术组织措施切实可行。</w:t>
            </w:r>
          </w:p>
          <w:p w14:paraId="6C1FE0D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措施全面合理、内容完整具备可行性得5分；内容较为全面基本合理得3分；内容不够全面的得1分；缺项不得分。</w:t>
            </w:r>
          </w:p>
        </w:tc>
      </w:tr>
      <w:tr w14:paraId="198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8" w:type="dxa"/>
            <w:vMerge w:val="continue"/>
            <w:vAlign w:val="center"/>
          </w:tcPr>
          <w:p w14:paraId="52C933C7">
            <w:pPr>
              <w:snapToGrid w:val="0"/>
              <w:spacing w:line="320" w:lineRule="exact"/>
              <w:jc w:val="center"/>
              <w:rPr>
                <w:rFonts w:hint="eastAsia" w:ascii="宋体" w:hAnsi="宋体" w:cs="宋体"/>
                <w:szCs w:val="21"/>
                <w:highlight w:val="none"/>
              </w:rPr>
            </w:pPr>
          </w:p>
        </w:tc>
        <w:tc>
          <w:tcPr>
            <w:tcW w:w="1362" w:type="dxa"/>
            <w:vAlign w:val="center"/>
          </w:tcPr>
          <w:p w14:paraId="0BD449B0">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8.工作重点、难点分析</w:t>
            </w:r>
          </w:p>
          <w:p w14:paraId="6A1BAA1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922" w:type="dxa"/>
            <w:vAlign w:val="center"/>
          </w:tcPr>
          <w:p w14:paraId="42594DA9">
            <w:pPr>
              <w:widowControl/>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根据医院特色，分析</w:t>
            </w:r>
            <w:r>
              <w:rPr>
                <w:rFonts w:hint="eastAsia" w:ascii="宋体" w:hAnsi="宋体" w:cs="宋体"/>
                <w:szCs w:val="21"/>
                <w:highlight w:val="none"/>
              </w:rPr>
              <w:t>设计工作重点、难点分析和解决方案。</w:t>
            </w:r>
          </w:p>
          <w:p w14:paraId="7705184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重难点分析全面，解决措施可行的得</w:t>
            </w:r>
            <w:r>
              <w:rPr>
                <w:rFonts w:hint="eastAsia" w:ascii="宋体" w:hAnsi="宋体" w:cs="宋体"/>
                <w:szCs w:val="21"/>
                <w:highlight w:val="none"/>
                <w:lang w:val="en-US" w:eastAsia="zh-CN"/>
              </w:rPr>
              <w:t>6</w:t>
            </w:r>
            <w:r>
              <w:rPr>
                <w:rFonts w:hint="eastAsia" w:ascii="宋体" w:hAnsi="宋体" w:cs="宋体"/>
                <w:szCs w:val="21"/>
                <w:highlight w:val="none"/>
              </w:rPr>
              <w:t>分；重难点分析较为全面，解决措施较为可行的得3分；重难点分析不够全面，解决措施基本可行的得1分；缺项或不合理者不得分。</w:t>
            </w:r>
          </w:p>
        </w:tc>
      </w:tr>
      <w:tr w14:paraId="3A7C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98" w:type="dxa"/>
            <w:vMerge w:val="continue"/>
            <w:vAlign w:val="center"/>
          </w:tcPr>
          <w:p w14:paraId="29B4EE52">
            <w:pPr>
              <w:snapToGrid w:val="0"/>
              <w:spacing w:line="320" w:lineRule="exact"/>
              <w:jc w:val="center"/>
              <w:rPr>
                <w:rFonts w:hint="eastAsia" w:ascii="宋体" w:hAnsi="宋体" w:cs="宋体"/>
                <w:szCs w:val="21"/>
                <w:highlight w:val="none"/>
              </w:rPr>
            </w:pPr>
          </w:p>
        </w:tc>
        <w:tc>
          <w:tcPr>
            <w:tcW w:w="1362" w:type="dxa"/>
            <w:vAlign w:val="center"/>
          </w:tcPr>
          <w:p w14:paraId="1D27950F">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9.服务承诺</w:t>
            </w:r>
          </w:p>
          <w:p w14:paraId="128E2F0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（2分）</w:t>
            </w:r>
          </w:p>
        </w:tc>
        <w:tc>
          <w:tcPr>
            <w:tcW w:w="6922" w:type="dxa"/>
            <w:vAlign w:val="center"/>
          </w:tcPr>
          <w:p w14:paraId="73AFCDF3">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供应商针对该项目</w:t>
            </w:r>
            <w:r>
              <w:rPr>
                <w:rFonts w:hint="eastAsia" w:ascii="宋体" w:hAnsi="宋体" w:cs="宋体"/>
                <w:szCs w:val="21"/>
                <w:highlight w:val="none"/>
                <w:lang w:val="en-US" w:eastAsia="zh-CN"/>
              </w:rPr>
              <w:t>实施</w:t>
            </w:r>
            <w:r>
              <w:rPr>
                <w:rFonts w:hint="eastAsia" w:ascii="宋体" w:hAnsi="宋体" w:cs="宋体"/>
                <w:szCs w:val="21"/>
                <w:highlight w:val="none"/>
              </w:rPr>
              <w:t>阶段，安排不少于1名参与并熟悉该项目的主要设计人员，须明确驻场人员，并承诺驻场人员能够随时响应招标人要求，需要提供现场服务的，2小时内到达现场，有违约愿接受处罚措施。提供相关承诺得2分，没有的不得分。</w:t>
            </w:r>
          </w:p>
        </w:tc>
      </w:tr>
      <w:tr w14:paraId="55D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64C530B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7BEA59A1">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1362" w:type="dxa"/>
            <w:vMerge w:val="restart"/>
            <w:tcBorders>
              <w:top w:val="single" w:color="auto" w:sz="4" w:space="0"/>
            </w:tcBorders>
            <w:vAlign w:val="center"/>
          </w:tcPr>
          <w:p w14:paraId="687D796F">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1.服务团队</w:t>
            </w:r>
          </w:p>
          <w:p w14:paraId="30A8929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分）</w:t>
            </w:r>
          </w:p>
        </w:tc>
        <w:tc>
          <w:tcPr>
            <w:tcW w:w="6922" w:type="dxa"/>
            <w:vAlign w:val="center"/>
          </w:tcPr>
          <w:p w14:paraId="4E0C3040">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为确保设计质量、进度、安全拟配备人员齐全满足项目需要，岗位配备合理。机构设置完善、岗位配备齐全的得</w:t>
            </w:r>
            <w:r>
              <w:rPr>
                <w:rFonts w:hint="eastAsia" w:ascii="宋体" w:hAnsi="宋体" w:cs="宋体"/>
                <w:szCs w:val="21"/>
                <w:highlight w:val="none"/>
                <w:lang w:val="en-US" w:eastAsia="zh-CN"/>
              </w:rPr>
              <w:t>5</w:t>
            </w:r>
            <w:r>
              <w:rPr>
                <w:rFonts w:hint="eastAsia" w:ascii="宋体" w:hAnsi="宋体" w:cs="宋体"/>
                <w:szCs w:val="21"/>
                <w:highlight w:val="none"/>
              </w:rPr>
              <w:t>分，机构设置较为完善、岗位</w:t>
            </w:r>
          </w:p>
          <w:p w14:paraId="44A3E416">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配备较为齐全的得</w:t>
            </w:r>
            <w:r>
              <w:rPr>
                <w:rFonts w:hint="eastAsia" w:ascii="宋体" w:hAnsi="宋体" w:cs="宋体"/>
                <w:szCs w:val="21"/>
                <w:highlight w:val="none"/>
                <w:lang w:val="en-US" w:eastAsia="zh-CN"/>
              </w:rPr>
              <w:t>3</w:t>
            </w:r>
            <w:r>
              <w:rPr>
                <w:rFonts w:hint="eastAsia" w:ascii="宋体" w:hAnsi="宋体" w:cs="宋体"/>
                <w:szCs w:val="21"/>
                <w:highlight w:val="none"/>
              </w:rPr>
              <w:t>分，岗位配备不够齐全的得1分，缺项或不合理者不得分。</w:t>
            </w:r>
          </w:p>
          <w:p w14:paraId="5E71FBDA">
            <w:pPr>
              <w:widowControl/>
              <w:snapToGrid w:val="0"/>
              <w:spacing w:line="320" w:lineRule="exact"/>
              <w:rPr>
                <w:highlight w:val="none"/>
              </w:rPr>
            </w:pPr>
            <w:r>
              <w:rPr>
                <w:rFonts w:hint="eastAsia" w:ascii="宋体" w:hAnsi="宋体" w:cs="宋体"/>
                <w:szCs w:val="21"/>
                <w:highlight w:val="none"/>
              </w:rPr>
              <w:t>注：提供组织结构图或配备机构说明；配备人员的清单及职责、分工。</w:t>
            </w:r>
          </w:p>
        </w:tc>
      </w:tr>
      <w:tr w14:paraId="3CF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31C2129">
            <w:pPr>
              <w:snapToGrid w:val="0"/>
              <w:spacing w:line="320" w:lineRule="exact"/>
              <w:jc w:val="center"/>
              <w:rPr>
                <w:rFonts w:hint="eastAsia" w:ascii="宋体" w:hAnsi="宋体" w:cs="宋体"/>
                <w:szCs w:val="21"/>
                <w:highlight w:val="none"/>
              </w:rPr>
            </w:pPr>
          </w:p>
        </w:tc>
        <w:tc>
          <w:tcPr>
            <w:tcW w:w="1362" w:type="dxa"/>
            <w:vMerge w:val="continue"/>
            <w:tcBorders>
              <w:top w:val="single" w:color="auto" w:sz="4" w:space="0"/>
            </w:tcBorders>
            <w:vAlign w:val="center"/>
          </w:tcPr>
          <w:p w14:paraId="7930FA3B">
            <w:pPr>
              <w:snapToGrid w:val="0"/>
              <w:spacing w:line="320" w:lineRule="exact"/>
              <w:jc w:val="center"/>
              <w:rPr>
                <w:rFonts w:hint="eastAsia" w:ascii="宋体" w:hAnsi="宋体" w:cs="宋体"/>
                <w:szCs w:val="21"/>
                <w:highlight w:val="none"/>
              </w:rPr>
            </w:pPr>
          </w:p>
        </w:tc>
        <w:tc>
          <w:tcPr>
            <w:tcW w:w="6922" w:type="dxa"/>
            <w:vAlign w:val="center"/>
          </w:tcPr>
          <w:p w14:paraId="66FCAF8E">
            <w:pPr>
              <w:widowControl/>
              <w:snapToGrid w:val="0"/>
              <w:spacing w:line="320" w:lineRule="exact"/>
              <w:rPr>
                <w:highlight w:val="none"/>
              </w:rPr>
            </w:pPr>
            <w:r>
              <w:rPr>
                <w:highlight w:val="none"/>
              </w:rPr>
              <w:t>根据</w:t>
            </w:r>
            <w:r>
              <w:rPr>
                <w:rFonts w:hint="eastAsia"/>
                <w:highlight w:val="none"/>
              </w:rPr>
              <w:t>供应商</w:t>
            </w:r>
            <w:r>
              <w:rPr>
                <w:highlight w:val="none"/>
              </w:rPr>
              <w:t>拟派入本项目的人员情况</w:t>
            </w:r>
            <w:r>
              <w:rPr>
                <w:rFonts w:hint="eastAsia"/>
                <w:highlight w:val="none"/>
              </w:rPr>
              <w:t>：</w:t>
            </w:r>
          </w:p>
          <w:p w14:paraId="06E7B9D3">
            <w:pPr>
              <w:widowControl/>
              <w:snapToGrid w:val="0"/>
              <w:spacing w:line="320" w:lineRule="exact"/>
              <w:rPr>
                <w:highlight w:val="none"/>
              </w:rPr>
            </w:pPr>
            <w:r>
              <w:rPr>
                <w:rFonts w:hint="eastAsia"/>
                <w:highlight w:val="none"/>
              </w:rPr>
              <w:t>1.</w:t>
            </w:r>
            <w:r>
              <w:rPr>
                <w:highlight w:val="none"/>
              </w:rPr>
              <w:t>具有</w:t>
            </w:r>
            <w:r>
              <w:rPr>
                <w:rFonts w:hint="eastAsia"/>
                <w:highlight w:val="none"/>
              </w:rPr>
              <w:t>一名</w:t>
            </w:r>
            <w:r>
              <w:rPr>
                <w:highlight w:val="none"/>
              </w:rPr>
              <w:t>设计类高级职称的加</w:t>
            </w:r>
            <w:r>
              <w:rPr>
                <w:rFonts w:hint="eastAsia"/>
                <w:highlight w:val="none"/>
                <w:lang w:val="en-US" w:eastAsia="zh-CN"/>
              </w:rPr>
              <w:t>4</w:t>
            </w:r>
            <w:r>
              <w:rPr>
                <w:highlight w:val="none"/>
              </w:rPr>
              <w:t>分；本项最多得</w:t>
            </w:r>
            <w:r>
              <w:rPr>
                <w:rFonts w:hint="eastAsia"/>
                <w:highlight w:val="none"/>
                <w:lang w:val="en-US" w:eastAsia="zh-CN"/>
              </w:rPr>
              <w:t>4</w:t>
            </w:r>
            <w:r>
              <w:rPr>
                <w:highlight w:val="none"/>
              </w:rPr>
              <w:t>分</w:t>
            </w:r>
            <w:r>
              <w:rPr>
                <w:rFonts w:hint="eastAsia"/>
                <w:highlight w:val="none"/>
              </w:rPr>
              <w:t>；</w:t>
            </w:r>
          </w:p>
          <w:p w14:paraId="02D081F6">
            <w:pPr>
              <w:widowControl/>
              <w:snapToGrid w:val="0"/>
              <w:spacing w:line="320" w:lineRule="exact"/>
              <w:rPr>
                <w:highlight w:val="none"/>
              </w:rPr>
            </w:pPr>
            <w:r>
              <w:rPr>
                <w:highlight w:val="none"/>
              </w:rPr>
              <w:t>2.拟投入项目成员具备建筑、结构、给排水、电气、造价等专业，具有国家注册证书或高级及职称</w:t>
            </w:r>
            <w:r>
              <w:rPr>
                <w:rFonts w:hint="eastAsia"/>
                <w:highlight w:val="none"/>
              </w:rPr>
              <w:t>的</w:t>
            </w:r>
            <w:r>
              <w:rPr>
                <w:highlight w:val="none"/>
              </w:rPr>
              <w:t>，各专业齐全得</w:t>
            </w:r>
            <w:r>
              <w:rPr>
                <w:rFonts w:hint="eastAsia"/>
                <w:highlight w:val="none"/>
              </w:rPr>
              <w:t>1</w:t>
            </w:r>
            <w:r>
              <w:rPr>
                <w:rFonts w:hint="eastAsia"/>
                <w:highlight w:val="none"/>
                <w:lang w:val="en-US" w:eastAsia="zh-CN"/>
              </w:rPr>
              <w:t>0</w:t>
            </w:r>
            <w:r>
              <w:rPr>
                <w:highlight w:val="none"/>
              </w:rPr>
              <w:t>分，缺少1个专业扣</w:t>
            </w:r>
            <w:r>
              <w:rPr>
                <w:rFonts w:hint="eastAsia"/>
                <w:highlight w:val="none"/>
              </w:rPr>
              <w:t>2</w:t>
            </w:r>
            <w:r>
              <w:rPr>
                <w:highlight w:val="none"/>
              </w:rPr>
              <w:t>分，扣完为止。</w:t>
            </w:r>
          </w:p>
          <w:p w14:paraId="14167796">
            <w:pPr>
              <w:widowControl/>
              <w:snapToGrid w:val="0"/>
              <w:spacing w:line="320" w:lineRule="exact"/>
              <w:jc w:val="left"/>
              <w:rPr>
                <w:rFonts w:hint="eastAsia" w:ascii="宋体" w:hAnsi="宋体" w:cs="宋体"/>
                <w:szCs w:val="21"/>
                <w:highlight w:val="none"/>
              </w:rPr>
            </w:pPr>
            <w:r>
              <w:rPr>
                <w:highlight w:val="none"/>
              </w:rPr>
              <w:t>注：</w:t>
            </w:r>
            <w:r>
              <w:rPr>
                <w:rFonts w:hint="eastAsia"/>
                <w:highlight w:val="none"/>
              </w:rPr>
              <w:t>以上人员满足资格条件外，</w:t>
            </w:r>
            <w:r>
              <w:rPr>
                <w:highlight w:val="none"/>
              </w:rPr>
              <w:t>人员不重复得分；需提供相应证明材料并加盖供应商公章。</w:t>
            </w:r>
          </w:p>
        </w:tc>
      </w:tr>
      <w:tr w14:paraId="60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6732041">
            <w:pPr>
              <w:snapToGrid w:val="0"/>
              <w:spacing w:line="320" w:lineRule="exact"/>
              <w:jc w:val="center"/>
              <w:rPr>
                <w:rFonts w:hint="eastAsia" w:ascii="宋体" w:hAnsi="宋体" w:cs="宋体"/>
                <w:szCs w:val="21"/>
                <w:highlight w:val="none"/>
              </w:rPr>
            </w:pPr>
          </w:p>
        </w:tc>
        <w:tc>
          <w:tcPr>
            <w:tcW w:w="1362" w:type="dxa"/>
            <w:tcBorders>
              <w:top w:val="single" w:color="auto" w:sz="4" w:space="0"/>
            </w:tcBorders>
            <w:vAlign w:val="center"/>
          </w:tcPr>
          <w:p w14:paraId="19A9537A">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2.类似业绩</w:t>
            </w:r>
          </w:p>
          <w:p w14:paraId="0FF43E73">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(8分)</w:t>
            </w:r>
          </w:p>
        </w:tc>
        <w:tc>
          <w:tcPr>
            <w:tcW w:w="6922" w:type="dxa"/>
            <w:vAlign w:val="center"/>
          </w:tcPr>
          <w:p w14:paraId="280C6E10">
            <w:pPr>
              <w:widowControl/>
              <w:snapToGrid w:val="0"/>
              <w:spacing w:line="320" w:lineRule="exact"/>
              <w:jc w:val="left"/>
              <w:rPr>
                <w:rFonts w:hint="eastAsia" w:ascii="宋体" w:hAnsi="宋体" w:cs="宋体"/>
                <w:highlight w:val="none"/>
              </w:rPr>
            </w:pPr>
            <w:r>
              <w:rPr>
                <w:rFonts w:hint="eastAsia" w:ascii="宋体" w:hAnsi="宋体" w:cs="宋体"/>
                <w:highlight w:val="none"/>
              </w:rPr>
              <w:t>供应商自2022年1月1日以来供应商承担过的类似设计类项目；</w:t>
            </w:r>
            <w:r>
              <w:rPr>
                <w:rFonts w:hint="eastAsia" w:ascii="宋体" w:hAnsi="宋体" w:cs="宋体"/>
                <w:szCs w:val="21"/>
                <w:highlight w:val="none"/>
              </w:rPr>
              <w:t>每提供一份得2分</w:t>
            </w:r>
            <w:r>
              <w:rPr>
                <w:rFonts w:hint="eastAsia" w:ascii="宋体" w:hAnsi="宋体" w:cs="宋体"/>
                <w:highlight w:val="none"/>
              </w:rPr>
              <w:t>，本项最多得8分。</w:t>
            </w:r>
          </w:p>
          <w:p w14:paraId="7FE71CB2">
            <w:pPr>
              <w:widowControl/>
              <w:snapToGrid w:val="0"/>
              <w:spacing w:line="320" w:lineRule="exact"/>
              <w:jc w:val="left"/>
              <w:rPr>
                <w:rFonts w:hint="eastAsia" w:ascii="宋体" w:hAnsi="宋体" w:cs="宋体"/>
                <w:highlight w:val="none"/>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469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DFB3A7A">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84" w:type="dxa"/>
            <w:gridSpan w:val="2"/>
            <w:vAlign w:val="center"/>
          </w:tcPr>
          <w:p w14:paraId="39FF4C36">
            <w:pPr>
              <w:snapToGrid w:val="0"/>
              <w:spacing w:line="340" w:lineRule="exact"/>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121B910E">
            <w:pPr>
              <w:snapToGrid w:val="0"/>
              <w:spacing w:line="34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404C63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  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12222"/>
      <w:bookmarkStart w:id="76" w:name="_Toc625"/>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1"/>
        <w:ind w:firstLine="3990" w:firstLineChars="1900"/>
        <w:rPr>
          <w:rFonts w:hint="eastAsia" w:ascii="宋体" w:hAnsi="宋体" w:eastAsia="宋体" w:cs="宋体"/>
          <w:color w:val="auto"/>
          <w:sz w:val="21"/>
          <w:szCs w:val="21"/>
          <w:highlight w:val="none"/>
          <w:lang w:eastAsia="zh-CN"/>
        </w:rPr>
      </w:pP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6"/>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16"/>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9960"/>
      <w:bookmarkStart w:id="82" w:name="_Toc24168"/>
      <w:bookmarkStart w:id="83" w:name="_Toc2042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31526"/>
      <w:bookmarkStart w:id="85"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3976"/>
      <w:bookmarkStart w:id="88" w:name="_Toc30519"/>
      <w:bookmarkStart w:id="89" w:name="_Toc1293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3342"/>
      <w:bookmarkStart w:id="91" w:name="_Toc18105"/>
      <w:bookmarkStart w:id="92" w:name="_Toc24693"/>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相关证明</w:t>
      </w:r>
      <w:r>
        <w:rPr>
          <w:rFonts w:hint="eastAsia" w:ascii="宋体" w:hAnsi="宋体" w:eastAsia="宋体" w:cs="宋体"/>
          <w:b/>
          <w:bCs w:val="0"/>
          <w:color w:val="auto"/>
          <w:sz w:val="21"/>
          <w:szCs w:val="21"/>
          <w:highlight w:val="none"/>
          <w:lang w:val="en-US" w:eastAsia="zh-CN"/>
        </w:rPr>
        <w:t>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2888"/>
      <w:bookmarkStart w:id="95" w:name="_Toc13726"/>
      <w:bookmarkStart w:id="96"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5094"/>
      <w:bookmarkStart w:id="98" w:name="_Toc31685"/>
      <w:bookmarkStart w:id="99"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驻马店市中心医院康复分院病房楼改造项目配套设施设计项目竞争性磋商文件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B0973"/>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74109"/>
    <w:rsid w:val="078E18EB"/>
    <w:rsid w:val="07A76617"/>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D7C92"/>
    <w:rsid w:val="08BC0A60"/>
    <w:rsid w:val="08C52D6F"/>
    <w:rsid w:val="08E42BE4"/>
    <w:rsid w:val="08EF0201"/>
    <w:rsid w:val="08F41DE8"/>
    <w:rsid w:val="08FA3336"/>
    <w:rsid w:val="093D1475"/>
    <w:rsid w:val="094840A2"/>
    <w:rsid w:val="094A67BB"/>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047F9"/>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180B"/>
    <w:rsid w:val="0CA5271D"/>
    <w:rsid w:val="0CAC4D10"/>
    <w:rsid w:val="0CC53C5B"/>
    <w:rsid w:val="0CC72121"/>
    <w:rsid w:val="0CDA72D1"/>
    <w:rsid w:val="0CEE5A21"/>
    <w:rsid w:val="0D05268E"/>
    <w:rsid w:val="0D0646E7"/>
    <w:rsid w:val="0D0C38CA"/>
    <w:rsid w:val="0D206810"/>
    <w:rsid w:val="0D444B80"/>
    <w:rsid w:val="0D4861FD"/>
    <w:rsid w:val="0D735465"/>
    <w:rsid w:val="0DC577E0"/>
    <w:rsid w:val="0DDC6319"/>
    <w:rsid w:val="0DE1181F"/>
    <w:rsid w:val="0DE76957"/>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0A6E04"/>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4E2D69"/>
    <w:rsid w:val="106612B1"/>
    <w:rsid w:val="109010E6"/>
    <w:rsid w:val="10B271F4"/>
    <w:rsid w:val="10B537CC"/>
    <w:rsid w:val="10BD35C7"/>
    <w:rsid w:val="10C61D50"/>
    <w:rsid w:val="10C8275C"/>
    <w:rsid w:val="10C86D3B"/>
    <w:rsid w:val="10E03539"/>
    <w:rsid w:val="10E82D1F"/>
    <w:rsid w:val="10E943BC"/>
    <w:rsid w:val="10EE5C94"/>
    <w:rsid w:val="10F5757C"/>
    <w:rsid w:val="10F93ED3"/>
    <w:rsid w:val="110A60E1"/>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460C1"/>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05E14"/>
    <w:rsid w:val="15A30135"/>
    <w:rsid w:val="15A34015"/>
    <w:rsid w:val="15BB487B"/>
    <w:rsid w:val="15CE086D"/>
    <w:rsid w:val="15D90EB8"/>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4055B9"/>
    <w:rsid w:val="184A2082"/>
    <w:rsid w:val="185D3C42"/>
    <w:rsid w:val="185F38AF"/>
    <w:rsid w:val="188F0211"/>
    <w:rsid w:val="18980476"/>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30C8"/>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35CBA"/>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520382"/>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07954"/>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21E7D"/>
    <w:rsid w:val="209502A3"/>
    <w:rsid w:val="20D91CF9"/>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6F443A"/>
    <w:rsid w:val="247C52A2"/>
    <w:rsid w:val="24942917"/>
    <w:rsid w:val="249B4F34"/>
    <w:rsid w:val="24A04762"/>
    <w:rsid w:val="24AE34FB"/>
    <w:rsid w:val="24B77ED6"/>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1424B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642BC"/>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2287D"/>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10C42"/>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81BF2"/>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1E1B7F"/>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3E6557"/>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1E49FB"/>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432ED"/>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564A1D"/>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DC0F52"/>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05189"/>
    <w:rsid w:val="58F24A5D"/>
    <w:rsid w:val="58F71269"/>
    <w:rsid w:val="58FE045E"/>
    <w:rsid w:val="58FE78A6"/>
    <w:rsid w:val="59014CEF"/>
    <w:rsid w:val="59017396"/>
    <w:rsid w:val="590429E2"/>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33198"/>
    <w:rsid w:val="668F1B3D"/>
    <w:rsid w:val="6694262A"/>
    <w:rsid w:val="66990381"/>
    <w:rsid w:val="66B31B01"/>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921C0"/>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3E74"/>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009F"/>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8F37C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B39C0"/>
    <w:rsid w:val="7ED61132"/>
    <w:rsid w:val="7EE70CC0"/>
    <w:rsid w:val="7EEB0049"/>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17352</Words>
  <Characters>18101</Characters>
  <Lines>50</Lines>
  <Paragraphs>68</Paragraphs>
  <TotalTime>34</TotalTime>
  <ScaleCrop>false</ScaleCrop>
  <LinksUpToDate>false</LinksUpToDate>
  <CharactersWithSpaces>19163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2025-07-21T08:44:00Z</cp:lastPrinted>
  <dcterms:modified xsi:type="dcterms:W3CDTF">2026-01-19T05:06:57Z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9CF392A07A6848D38DDFFDF6E97649D9_13</vt:lpwstr>
  </property>
  <property fmtid="{D5CDD505-2E9C-101B-9397-08002B2CF9AE}" pid="4" name="KSOTemplateDocerSaveRecord">
    <vt:lpwstr>eyJoZGlkIjoiYzIwMjRmYTY4OTJhZjc1NTA1MGQwNDc0NzZhNTkwMmUiLCJ1c2VySWQiOiIxNjg0NTc5MjM2In0=</vt:lpwstr>
  </property>
</Properties>
</file>