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0C735D19">
      <w:pPr>
        <w:pStyle w:val="19"/>
        <w:keepNext w:val="0"/>
        <w:keepLines w:val="0"/>
        <w:pageBreakBefore w:val="0"/>
        <w:widowControl w:val="0"/>
        <w:kinsoku/>
        <w:wordWrap/>
        <w:overflowPunct/>
        <w:topLinePunct w:val="0"/>
        <w:autoSpaceDE/>
        <w:autoSpaceDN/>
        <w:bidi w:val="0"/>
        <w:adjustRightInd/>
        <w:snapToGrid/>
        <w:spacing w:before="157" w:beforeLines="50" w:line="240" w:lineRule="auto"/>
        <w:ind w:left="0" w:leftChars="-95" w:right="-149" w:rightChars="-71" w:hanging="199" w:hangingChars="45"/>
        <w:jc w:val="center"/>
        <w:textAlignment w:val="auto"/>
        <w:rPr>
          <w:rFonts w:hint="eastAsia" w:ascii="宋体" w:hAnsi="宋体" w:eastAsia="宋体" w:cs="宋体"/>
          <w:b/>
          <w:bCs/>
          <w:color w:val="auto"/>
          <w:sz w:val="44"/>
          <w:szCs w:val="44"/>
          <w:highlight w:val="none"/>
          <w:lang w:val="en-US" w:eastAsia="zh-CN"/>
        </w:rPr>
      </w:pPr>
      <w:bookmarkStart w:id="101" w:name="_GoBack"/>
      <w:r>
        <w:rPr>
          <w:rFonts w:hint="eastAsia" w:cs="宋体"/>
          <w:b/>
          <w:bCs/>
          <w:color w:val="auto"/>
          <w:sz w:val="44"/>
          <w:szCs w:val="44"/>
          <w:highlight w:val="none"/>
          <w:lang w:val="en-US" w:eastAsia="zh-CN"/>
        </w:rPr>
        <w:t>驻马店市中心医院医保智能审核系统采购项目</w:t>
      </w:r>
    </w:p>
    <w:bookmarkEnd w:id="101"/>
    <w:p w14:paraId="72164425">
      <w:pPr>
        <w:pStyle w:val="19"/>
        <w:bidi w:val="0"/>
        <w:jc w:val="center"/>
        <w:rPr>
          <w:rStyle w:val="44"/>
          <w:rFonts w:hint="eastAsia" w:ascii="宋体" w:hAnsi="宋体" w:eastAsia="宋体" w:cs="宋体"/>
          <w:b/>
          <w:bCs/>
          <w:color w:val="auto"/>
          <w:sz w:val="44"/>
          <w:szCs w:val="44"/>
          <w:highlight w:val="none"/>
        </w:rPr>
      </w:pPr>
    </w:p>
    <w:p w14:paraId="2962C736">
      <w:pPr>
        <w:pStyle w:val="19"/>
        <w:bidi w:val="0"/>
        <w:jc w:val="center"/>
        <w:rPr>
          <w:rStyle w:val="44"/>
          <w:rFonts w:hint="eastAsia" w:ascii="宋体" w:hAnsi="宋体" w:eastAsia="宋体" w:cs="宋体"/>
          <w:b/>
          <w:bCs/>
          <w:color w:val="auto"/>
          <w:sz w:val="44"/>
          <w:szCs w:val="44"/>
          <w:highlight w:val="none"/>
        </w:rPr>
      </w:pPr>
    </w:p>
    <w:p w14:paraId="44E388B3">
      <w:pPr>
        <w:pStyle w:val="19"/>
        <w:bidi w:val="0"/>
        <w:jc w:val="center"/>
        <w:rPr>
          <w:rStyle w:val="44"/>
          <w:rFonts w:hint="eastAsia" w:ascii="宋体" w:hAnsi="宋体" w:eastAsia="宋体" w:cs="宋体"/>
          <w:b/>
          <w:bCs/>
          <w:color w:val="auto"/>
          <w:sz w:val="48"/>
          <w:szCs w:val="48"/>
          <w:highlight w:val="none"/>
        </w:rPr>
      </w:pPr>
    </w:p>
    <w:p w14:paraId="158E927F">
      <w:pPr>
        <w:pStyle w:val="19"/>
        <w:bidi w:val="0"/>
        <w:jc w:val="center"/>
        <w:rPr>
          <w:rStyle w:val="44"/>
          <w:rFonts w:hint="eastAsia" w:ascii="宋体" w:hAnsi="宋体" w:eastAsia="宋体" w:cs="宋体"/>
          <w:b/>
          <w:bCs/>
          <w:color w:val="auto"/>
          <w:sz w:val="48"/>
          <w:szCs w:val="48"/>
          <w:highlight w:val="none"/>
        </w:rPr>
      </w:pPr>
    </w:p>
    <w:p w14:paraId="5ABC8E99">
      <w:pPr>
        <w:pStyle w:val="19"/>
        <w:bidi w:val="0"/>
        <w:jc w:val="center"/>
        <w:rPr>
          <w:rStyle w:val="44"/>
          <w:rFonts w:hint="eastAsia" w:ascii="宋体" w:hAnsi="宋体" w:eastAsia="宋体" w:cs="宋体"/>
          <w:b/>
          <w:bCs/>
          <w:color w:val="auto"/>
          <w:sz w:val="48"/>
          <w:szCs w:val="48"/>
          <w:highlight w:val="none"/>
        </w:rPr>
      </w:pPr>
      <w:r>
        <w:rPr>
          <w:rStyle w:val="44"/>
          <w:rFonts w:hint="eastAsia" w:cs="宋体"/>
          <w:b/>
          <w:bCs/>
          <w:color w:val="auto"/>
          <w:sz w:val="52"/>
          <w:szCs w:val="52"/>
          <w:highlight w:val="none"/>
          <w:lang w:val="en-US" w:eastAsia="zh-CN"/>
        </w:rPr>
        <w:t>竞争性磋商</w:t>
      </w:r>
      <w:r>
        <w:rPr>
          <w:rStyle w:val="44"/>
          <w:rFonts w:hint="eastAsia" w:ascii="宋体" w:hAnsi="宋体" w:eastAsia="宋体" w:cs="宋体"/>
          <w:b/>
          <w:bCs/>
          <w:color w:val="auto"/>
          <w:sz w:val="52"/>
          <w:szCs w:val="52"/>
          <w:highlight w:val="none"/>
        </w:rPr>
        <w:t>文件</w:t>
      </w:r>
    </w:p>
    <w:p w14:paraId="20826E73">
      <w:pPr>
        <w:pStyle w:val="19"/>
        <w:bidi w:val="0"/>
        <w:jc w:val="center"/>
        <w:rPr>
          <w:rStyle w:val="44"/>
          <w:rFonts w:hint="eastAsia" w:ascii="宋体" w:hAnsi="宋体" w:eastAsia="宋体" w:cs="宋体"/>
          <w:b/>
          <w:bCs/>
          <w:color w:val="auto"/>
          <w:sz w:val="48"/>
          <w:szCs w:val="48"/>
          <w:highlight w:val="none"/>
        </w:rPr>
      </w:pPr>
    </w:p>
    <w:p w14:paraId="18181E0E">
      <w:pPr>
        <w:pStyle w:val="19"/>
        <w:bidi w:val="0"/>
        <w:jc w:val="center"/>
        <w:rPr>
          <w:rStyle w:val="44"/>
          <w:rFonts w:hint="eastAsia" w:ascii="宋体" w:hAnsi="宋体" w:eastAsia="宋体" w:cs="宋体"/>
          <w:b/>
          <w:bCs/>
          <w:color w:val="auto"/>
          <w:sz w:val="48"/>
          <w:szCs w:val="48"/>
          <w:highlight w:val="none"/>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3"/>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left="0" w:leftChars="0" w:firstLine="1062" w:firstLineChars="311"/>
        <w:jc w:val="left"/>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left="0" w:leftChars="0" w:firstLine="1062" w:firstLineChars="311"/>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0"/>
          <w:sz w:val="34"/>
          <w:szCs w:val="34"/>
          <w:highlight w:val="none"/>
          <w:lang w:val="en-US" w:eastAsia="zh-CN"/>
        </w:rPr>
        <w:t>采购代理机构：河南省伟信招标管理咨询有限公司</w:t>
      </w:r>
    </w:p>
    <w:p w14:paraId="4FCBE59C">
      <w:pPr>
        <w:tabs>
          <w:tab w:val="left" w:pos="2700"/>
          <w:tab w:val="left" w:pos="2880"/>
          <w:tab w:val="left" w:pos="3060"/>
          <w:tab w:val="left" w:pos="7560"/>
        </w:tabs>
        <w:snapToGrid w:val="0"/>
        <w:spacing w:line="480" w:lineRule="auto"/>
        <w:ind w:left="0" w:leftChars="0" w:firstLine="1062" w:firstLineChars="311"/>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0"/>
          <w:sz w:val="34"/>
          <w:szCs w:val="34"/>
          <w:highlight w:val="none"/>
          <w:lang w:val="en-US" w:eastAsia="zh-CN"/>
        </w:rPr>
        <w:t>日        期：2025年</w:t>
      </w:r>
      <w:r>
        <w:rPr>
          <w:rFonts w:hint="eastAsia" w:ascii="宋体" w:hAnsi="宋体" w:cs="宋体"/>
          <w:b/>
          <w:bCs/>
          <w:color w:val="auto"/>
          <w:spacing w:val="0"/>
          <w:sz w:val="34"/>
          <w:szCs w:val="34"/>
          <w:highlight w:val="none"/>
          <w:lang w:val="en-US" w:eastAsia="zh-CN"/>
        </w:rPr>
        <w:t>12</w:t>
      </w:r>
      <w:r>
        <w:rPr>
          <w:rFonts w:hint="eastAsia" w:ascii="宋体" w:hAnsi="宋体" w:eastAsia="宋体" w:cs="宋体"/>
          <w:b/>
          <w:bCs/>
          <w:color w:val="auto"/>
          <w:spacing w:val="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headerReference r:id="rId3" w:type="default"/>
          <w:footerReference r:id="rId4" w:type="default"/>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7"/>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6"/>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5" w:type="default"/>
          <w:footerReference r:id="rId6"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before="161" w:beforeLines="50"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cs="宋体"/>
          <w:b/>
          <w:bCs w:val="0"/>
          <w:color w:val="auto"/>
          <w:kern w:val="0"/>
          <w:sz w:val="28"/>
          <w:szCs w:val="28"/>
          <w:highlight w:val="none"/>
          <w:u w:val="none"/>
          <w:lang w:val="en-US" w:eastAsia="zh-CN"/>
        </w:rPr>
        <w:t>驻马店市中心医院医保智能审核系统采购项目</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 xml:space="preserve"> 医保智能审核系统采购项目 </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w:t>
      </w:r>
    </w:p>
    <w:p w14:paraId="1CE5C73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驻马店市中心医院医保智能审核系统采购项目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485000元；</w:t>
      </w:r>
    </w:p>
    <w:p w14:paraId="686E7A8C">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en-US" w:eastAsia="zh-CN"/>
        </w:rPr>
        <w:t>符合国家现行标准要求</w:t>
      </w:r>
      <w:r>
        <w:rPr>
          <w:rFonts w:hint="eastAsia" w:ascii="宋体" w:hAnsi="宋体" w:eastAsia="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3626"/>
      <w:bookmarkStart w:id="5" w:name="_Toc16639"/>
      <w:bookmarkStart w:id="6" w:name="_Toc18607"/>
      <w:bookmarkStart w:id="7" w:name="_Toc27704"/>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9562"/>
      <w:bookmarkStart w:id="9" w:name="_Toc30643"/>
      <w:bookmarkStart w:id="10" w:name="_Toc30971"/>
      <w:bookmarkStart w:id="11" w:name="_Toc7823"/>
      <w:bookmarkStart w:id="12" w:name="_Toc23395"/>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523822FE">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w:t>
      </w:r>
      <w:bookmarkEnd w:id="8"/>
      <w:bookmarkEnd w:id="9"/>
      <w:bookmarkEnd w:id="10"/>
      <w:bookmarkEnd w:id="11"/>
      <w:bookmarkEnd w:id="12"/>
      <w:r>
        <w:rPr>
          <w:rFonts w:hint="eastAsia" w:ascii="宋体" w:hAnsi="宋体" w:cs="宋体"/>
          <w:b/>
          <w:bCs/>
          <w:color w:val="auto"/>
          <w:kern w:val="2"/>
          <w:sz w:val="21"/>
          <w:szCs w:val="24"/>
          <w:highlight w:val="none"/>
          <w:lang w:val="en-US" w:eastAsia="zh-CN" w:bidi="ar-SA"/>
        </w:rPr>
        <w:t>竞争性磋商文件</w:t>
      </w:r>
    </w:p>
    <w:p w14:paraId="638A410B">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22</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24</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3. </w:t>
      </w:r>
      <w:r>
        <w:rPr>
          <w:rFonts w:hint="eastAsia" w:ascii="宋体" w:hAnsi="宋体" w:cs="宋体"/>
          <w:color w:val="auto"/>
          <w:kern w:val="0"/>
          <w:sz w:val="21"/>
          <w:szCs w:val="21"/>
          <w:highlight w:val="none"/>
          <w:shd w:val="clear" w:color="auto" w:fill="FFFFFF"/>
          <w:lang w:val="en-US" w:eastAsia="zh-CN" w:bidi="ar-SA"/>
        </w:rPr>
        <w:t>竞争性磋商文件</w:t>
      </w:r>
      <w:r>
        <w:rPr>
          <w:rFonts w:hint="eastAsia" w:ascii="宋体" w:hAnsi="宋体" w:eastAsia="宋体" w:cs="宋体"/>
          <w:color w:val="auto"/>
          <w:kern w:val="0"/>
          <w:sz w:val="21"/>
          <w:szCs w:val="21"/>
          <w:highlight w:val="none"/>
          <w:shd w:val="clear" w:color="auto" w:fill="FFFFFF"/>
          <w:lang w:val="en-US" w:eastAsia="zh-CN" w:bidi="ar-SA"/>
        </w:rPr>
        <w:t>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934027204@qq.com</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0738"/>
      <w:bookmarkStart w:id="14" w:name="_Toc25869"/>
      <w:bookmarkStart w:id="15" w:name="_Toc15111"/>
      <w:bookmarkStart w:id="16" w:name="_Toc27480"/>
      <w:bookmarkStart w:id="17" w:name="_Toc15135"/>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9784"/>
      <w:bookmarkStart w:id="19" w:name="_Toc6523"/>
      <w:bookmarkStart w:id="20" w:name="_Toc30918"/>
      <w:bookmarkStart w:id="21" w:name="_Toc20287"/>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4274"/>
      <w:bookmarkStart w:id="25" w:name="_Toc16291"/>
      <w:bookmarkStart w:id="26" w:name="_Toc31928"/>
      <w:bookmarkStart w:id="27" w:name="_Toc3604"/>
      <w:bookmarkStart w:id="28" w:name="_Toc27370"/>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2DBD8F4C">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 xml:space="preserve">2.采购代理机构：河南省伟信招标管理咨询有限公司 </w:t>
      </w:r>
    </w:p>
    <w:p w14:paraId="3A2E643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地址：郑州市郑东新区东风南路与创业路交叉口绿地中心北塔16楼</w:t>
      </w:r>
    </w:p>
    <w:p w14:paraId="10B4126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联系人：陈先生</w:t>
      </w:r>
    </w:p>
    <w:p w14:paraId="1625C2CC">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联系方式：18838148020</w:t>
      </w:r>
    </w:p>
    <w:p w14:paraId="2BB1501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12</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19</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31536"/>
      <w:bookmarkStart w:id="34" w:name="_Toc23610"/>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一、项目名称：</w:t>
      </w:r>
      <w:r>
        <w:rPr>
          <w:rFonts w:hint="eastAsia" w:ascii="宋体" w:hAnsi="宋体" w:cs="宋体"/>
          <w:b w:val="0"/>
          <w:bCs w:val="0"/>
          <w:i w:val="0"/>
          <w:iCs/>
          <w:color w:val="auto"/>
          <w:sz w:val="24"/>
          <w:szCs w:val="24"/>
          <w:highlight w:val="none"/>
          <w:u w:val="none"/>
          <w:lang w:val="en-US" w:eastAsia="zh-CN"/>
        </w:rPr>
        <w:t>驻马店市中心医院医保智能审核系统采购项目</w:t>
      </w:r>
    </w:p>
    <w:p w14:paraId="774013EF">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二、采购标的清单：</w:t>
      </w:r>
    </w:p>
    <w:tbl>
      <w:tblPr>
        <w:tblStyle w:val="34"/>
        <w:tblW w:w="9399"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770"/>
        <w:gridCol w:w="2589"/>
        <w:gridCol w:w="758"/>
        <w:gridCol w:w="1058"/>
        <w:gridCol w:w="1155"/>
        <w:gridCol w:w="1110"/>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3F52256E">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770" w:type="dxa"/>
            <w:vAlign w:val="center"/>
          </w:tcPr>
          <w:p w14:paraId="7BB0310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589" w:type="dxa"/>
            <w:vAlign w:val="center"/>
          </w:tcPr>
          <w:p w14:paraId="1C818719">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758" w:type="dxa"/>
            <w:vAlign w:val="center"/>
          </w:tcPr>
          <w:p w14:paraId="2AF52A7A">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1058" w:type="dxa"/>
            <w:vAlign w:val="center"/>
          </w:tcPr>
          <w:p w14:paraId="78A9F1D6">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155" w:type="dxa"/>
            <w:vAlign w:val="center"/>
          </w:tcPr>
          <w:p w14:paraId="6B30069A">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资金</w:t>
            </w:r>
          </w:p>
          <w:p w14:paraId="2B0E3D5E">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预算</w:t>
            </w:r>
          </w:p>
        </w:tc>
        <w:tc>
          <w:tcPr>
            <w:tcW w:w="1110" w:type="dxa"/>
            <w:vAlign w:val="center"/>
          </w:tcPr>
          <w:p w14:paraId="21D56ED3">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资金</w:t>
            </w:r>
          </w:p>
          <w:p w14:paraId="0614D66D">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性质</w:t>
            </w:r>
          </w:p>
        </w:tc>
        <w:tc>
          <w:tcPr>
            <w:tcW w:w="1245" w:type="dxa"/>
            <w:vAlign w:val="center"/>
          </w:tcPr>
          <w:p w14:paraId="3857CC7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国产/</w:t>
            </w:r>
          </w:p>
          <w:p w14:paraId="5C5B6DF6">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14"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770"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589"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医保智能审核系统</w:t>
            </w:r>
          </w:p>
        </w:tc>
        <w:tc>
          <w:tcPr>
            <w:tcW w:w="758"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套</w:t>
            </w:r>
          </w:p>
        </w:tc>
        <w:tc>
          <w:tcPr>
            <w:tcW w:w="1058"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w:t>
            </w:r>
          </w:p>
        </w:tc>
        <w:tc>
          <w:tcPr>
            <w:tcW w:w="1155"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485000元</w:t>
            </w:r>
          </w:p>
        </w:tc>
        <w:tc>
          <w:tcPr>
            <w:tcW w:w="1110"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0"/>
                <w:szCs w:val="21"/>
                <w:highlight w:val="none"/>
              </w:rPr>
              <w:t>自筹</w:t>
            </w:r>
          </w:p>
        </w:tc>
        <w:tc>
          <w:tcPr>
            <w:tcW w:w="1245"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w:t>
            </w:r>
          </w:p>
        </w:tc>
      </w:tr>
      <w:tr w14:paraId="01F2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4" w:type="dxa"/>
            <w:gridSpan w:val="2"/>
            <w:vAlign w:val="center"/>
          </w:tcPr>
          <w:p w14:paraId="08DCAADF">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vertAlign w:val="baseline"/>
                <w:lang w:val="en-US" w:eastAsia="zh-CN"/>
              </w:rPr>
              <w:t>合计</w:t>
            </w:r>
          </w:p>
        </w:tc>
        <w:tc>
          <w:tcPr>
            <w:tcW w:w="7915" w:type="dxa"/>
            <w:gridSpan w:val="6"/>
            <w:vAlign w:val="center"/>
          </w:tcPr>
          <w:p w14:paraId="7609A0BA">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vertAlign w:val="baseline"/>
                <w:lang w:val="en-US" w:eastAsia="zh-CN"/>
              </w:rPr>
              <w:t>485000元</w:t>
            </w:r>
          </w:p>
        </w:tc>
      </w:tr>
    </w:tbl>
    <w:p w14:paraId="6A2D07C1">
      <w:pPr>
        <w:keepNext w:val="0"/>
        <w:keepLines w:val="0"/>
        <w:pageBreakBefore w:val="0"/>
        <w:widowControl w:val="0"/>
        <w:numPr>
          <w:ilvl w:val="0"/>
          <w:numId w:val="0"/>
        </w:numPr>
        <w:kinsoku/>
        <w:wordWrap/>
        <w:overflowPunct/>
        <w:topLinePunct w:val="0"/>
        <w:autoSpaceDE/>
        <w:autoSpaceDN/>
        <w:bidi w:val="0"/>
        <w:adjustRightInd/>
        <w:snapToGrid w:val="0"/>
        <w:spacing w:line="192" w:lineRule="auto"/>
        <w:textAlignment w:val="auto"/>
        <w:rPr>
          <w:rFonts w:hint="eastAsia" w:ascii="宋体" w:hAnsi="宋体" w:eastAsia="宋体" w:cs="宋体"/>
          <w:b/>
          <w:bCs/>
          <w:color w:val="auto"/>
          <w:kern w:val="2"/>
          <w:sz w:val="21"/>
          <w:szCs w:val="24"/>
          <w:highlight w:val="none"/>
          <w:lang w:val="en-US" w:eastAsia="zh-CN" w:bidi="ar-SA"/>
        </w:rPr>
      </w:pPr>
    </w:p>
    <w:p w14:paraId="10E84755">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技术要求：</w:t>
      </w:r>
    </w:p>
    <w:tbl>
      <w:tblPr>
        <w:tblStyle w:val="34"/>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704"/>
        <w:gridCol w:w="1038"/>
        <w:gridCol w:w="1312"/>
        <w:gridCol w:w="5604"/>
      </w:tblGrid>
      <w:tr w14:paraId="085F1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tcBorders>
              <w:top w:val="single" w:color="000000" w:sz="6" w:space="0"/>
              <w:left w:val="single" w:color="000000" w:sz="6" w:space="0"/>
              <w:bottom w:val="single" w:color="000000" w:sz="6" w:space="0"/>
              <w:right w:val="single" w:color="000000" w:sz="6" w:space="0"/>
            </w:tcBorders>
            <w:shd w:val="clear" w:color="auto" w:fill="auto"/>
            <w:tcMar>
              <w:bottom w:w="0" w:type="dxa"/>
            </w:tcMar>
            <w:vAlign w:val="center"/>
          </w:tcPr>
          <w:p w14:paraId="5DD9977B">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704" w:type="dxa"/>
            <w:tcBorders>
              <w:top w:val="single" w:color="000000" w:sz="6" w:space="0"/>
              <w:left w:val="single" w:color="000000" w:sz="6" w:space="0"/>
              <w:bottom w:val="single" w:color="000000" w:sz="6" w:space="0"/>
              <w:right w:val="single" w:color="000000" w:sz="6" w:space="0"/>
            </w:tcBorders>
            <w:shd w:val="clear" w:color="auto" w:fill="auto"/>
            <w:tcMar>
              <w:bottom w:w="0" w:type="dxa"/>
            </w:tcMar>
            <w:vAlign w:val="center"/>
          </w:tcPr>
          <w:p w14:paraId="4B5564AC">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系统</w:t>
            </w:r>
          </w:p>
        </w:tc>
        <w:tc>
          <w:tcPr>
            <w:tcW w:w="1038" w:type="dxa"/>
            <w:tcBorders>
              <w:top w:val="single" w:color="000000" w:sz="6" w:space="0"/>
              <w:left w:val="single" w:color="000000" w:sz="6" w:space="0"/>
              <w:bottom w:val="single" w:color="000000" w:sz="6" w:space="0"/>
              <w:right w:val="single" w:color="000000" w:sz="6" w:space="0"/>
            </w:tcBorders>
            <w:shd w:val="clear" w:color="auto" w:fill="auto"/>
            <w:tcMar>
              <w:bottom w:w="0" w:type="dxa"/>
            </w:tcMar>
            <w:vAlign w:val="center"/>
          </w:tcPr>
          <w:p w14:paraId="65D8D888">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模块</w:t>
            </w:r>
          </w:p>
        </w:tc>
        <w:tc>
          <w:tcPr>
            <w:tcW w:w="1312" w:type="dxa"/>
            <w:tcBorders>
              <w:top w:val="single" w:color="000000" w:sz="6" w:space="0"/>
              <w:left w:val="single" w:color="000000" w:sz="6" w:space="0"/>
              <w:bottom w:val="single" w:color="000000" w:sz="6" w:space="0"/>
              <w:right w:val="single" w:color="000000" w:sz="6" w:space="0"/>
            </w:tcBorders>
            <w:shd w:val="clear" w:color="auto" w:fill="auto"/>
            <w:tcMar>
              <w:bottom w:w="0" w:type="dxa"/>
            </w:tcMar>
            <w:vAlign w:val="center"/>
          </w:tcPr>
          <w:p w14:paraId="43378284">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功能</w:t>
            </w:r>
          </w:p>
        </w:tc>
        <w:tc>
          <w:tcPr>
            <w:tcW w:w="5604" w:type="dxa"/>
            <w:tcBorders>
              <w:top w:val="single" w:color="000000" w:sz="6" w:space="0"/>
              <w:left w:val="single" w:color="000000" w:sz="6" w:space="0"/>
              <w:bottom w:val="single" w:color="000000" w:sz="6" w:space="0"/>
              <w:right w:val="single" w:color="000000" w:sz="6" w:space="0"/>
            </w:tcBorders>
            <w:shd w:val="clear" w:color="auto" w:fill="auto"/>
            <w:tcMar>
              <w:bottom w:w="0" w:type="dxa"/>
            </w:tcMar>
            <w:vAlign w:val="center"/>
          </w:tcPr>
          <w:p w14:paraId="5D41F314">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功能描述</w:t>
            </w:r>
          </w:p>
        </w:tc>
      </w:tr>
      <w:tr w14:paraId="31118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0" w:hRule="atLeast"/>
        </w:trPr>
        <w:tc>
          <w:tcPr>
            <w:tcW w:w="744" w:type="dxa"/>
            <w:tcBorders>
              <w:top w:val="single" w:color="000000" w:sz="6" w:space="0"/>
              <w:left w:val="single" w:color="000000" w:sz="6" w:space="0"/>
              <w:bottom w:val="single" w:color="000000" w:sz="6" w:space="0"/>
              <w:right w:val="single" w:color="000000" w:sz="6" w:space="0"/>
            </w:tcBorders>
            <w:tcMar>
              <w:bottom w:w="0" w:type="dxa"/>
            </w:tcMar>
            <w:vAlign w:val="center"/>
          </w:tcPr>
          <w:p w14:paraId="1F5E7CBE">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04" w:type="dxa"/>
            <w:tcBorders>
              <w:top w:val="single" w:color="000000" w:sz="6" w:space="0"/>
              <w:left w:val="single" w:color="000000" w:sz="6" w:space="0"/>
              <w:bottom w:val="single" w:color="000000" w:sz="6" w:space="0"/>
              <w:right w:val="single" w:color="000000" w:sz="6" w:space="0"/>
            </w:tcBorders>
            <w:tcMar>
              <w:bottom w:w="0" w:type="dxa"/>
            </w:tcMar>
            <w:vAlign w:val="center"/>
          </w:tcPr>
          <w:p w14:paraId="65704B8B">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临床端</w:t>
            </w:r>
          </w:p>
        </w:tc>
        <w:tc>
          <w:tcPr>
            <w:tcW w:w="1038" w:type="dxa"/>
            <w:tcBorders>
              <w:top w:val="single" w:color="000000" w:sz="6" w:space="0"/>
              <w:left w:val="single" w:color="000000" w:sz="6" w:space="0"/>
              <w:bottom w:val="single" w:color="000000" w:sz="6" w:space="0"/>
              <w:right w:val="single" w:color="000000" w:sz="6" w:space="0"/>
            </w:tcBorders>
            <w:tcMar>
              <w:bottom w:w="0" w:type="dxa"/>
            </w:tcMar>
            <w:vAlign w:val="center"/>
          </w:tcPr>
          <w:p w14:paraId="18525F4F">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诊间审核弹窗</w:t>
            </w:r>
          </w:p>
        </w:tc>
        <w:tc>
          <w:tcPr>
            <w:tcW w:w="1312" w:type="dxa"/>
            <w:tcBorders>
              <w:top w:val="single" w:color="000000" w:sz="6" w:space="0"/>
              <w:left w:val="single" w:color="000000" w:sz="6" w:space="0"/>
              <w:bottom w:val="single" w:color="000000" w:sz="6" w:space="0"/>
              <w:right w:val="single" w:color="000000" w:sz="6" w:space="0"/>
            </w:tcBorders>
            <w:tcMar>
              <w:bottom w:w="0" w:type="dxa"/>
            </w:tcMar>
            <w:vAlign w:val="center"/>
          </w:tcPr>
          <w:p w14:paraId="2BCFB80B">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诊间校验弹框</w:t>
            </w:r>
          </w:p>
        </w:tc>
        <w:tc>
          <w:tcPr>
            <w:tcW w:w="5604" w:type="dxa"/>
            <w:tcBorders>
              <w:top w:val="single" w:color="000000" w:sz="6" w:space="0"/>
              <w:left w:val="single" w:color="000000" w:sz="6" w:space="0"/>
              <w:bottom w:val="single" w:color="000000" w:sz="6" w:space="0"/>
              <w:right w:val="single" w:color="000000" w:sz="6" w:space="0"/>
            </w:tcBorders>
            <w:tcMar>
              <w:bottom w:w="0" w:type="dxa"/>
            </w:tcMar>
          </w:tcPr>
          <w:p w14:paraId="2C18681B">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1.提供临床端诊间实时审核质控模块，包括违规信息、违规提醒、违规说明、相关记录展示等功能。</w:t>
            </w:r>
          </w:p>
          <w:p w14:paraId="7D098F3E">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针对患者参保类型（医保、自费均可）、诊疗信息、执行明细、收费信息等，进行实时合规审核。审核规则遵循医保政策、国家临床诊疗规范等多元要求，审核内容对门诊和住院均适用，医生对病历信息可进行实时处理：</w:t>
            </w:r>
          </w:p>
          <w:p w14:paraId="0E297C1A">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（1）门诊医生：在医生为病人开据处方过程中，及时根据病人就诊信息和诊疗信息进行诊疗合规性和规范性分析，为医生开据处方提供决策支持。</w:t>
            </w:r>
          </w:p>
          <w:p w14:paraId="58585A8C">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（2）住院医生：除满足（1）之外，还支持根据病人基本信息（性别、年龄、过敏史等）以及诊断、检查/检验、手术以及医院配置的审核规则等信息，对医生所开具的病人医嘱进行综合合规性和规范性检查。</w:t>
            </w:r>
          </w:p>
          <w:p w14:paraId="6A06950C">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3.支持医院根据需求配置对接当地医保平台审核接口（如3101、3102、3103），并支持展示医保审核结果。</w:t>
            </w:r>
          </w:p>
        </w:tc>
      </w:tr>
      <w:tr w14:paraId="5A575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744" w:type="dxa"/>
            <w:tcBorders>
              <w:top w:val="single" w:color="000000" w:sz="6" w:space="0"/>
              <w:left w:val="single" w:color="000000" w:sz="6" w:space="0"/>
              <w:bottom w:val="single" w:color="000000" w:sz="6" w:space="0"/>
              <w:right w:val="single" w:color="000000" w:sz="6" w:space="0"/>
            </w:tcBorders>
            <w:tcMar>
              <w:bottom w:w="0" w:type="dxa"/>
            </w:tcMar>
            <w:vAlign w:val="center"/>
          </w:tcPr>
          <w:p w14:paraId="5F7A833C">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04" w:type="dxa"/>
            <w:vMerge w:val="restart"/>
            <w:tcBorders>
              <w:top w:val="single" w:color="000000" w:sz="6" w:space="0"/>
              <w:left w:val="single" w:color="000000" w:sz="6" w:space="0"/>
              <w:right w:val="single" w:color="000000" w:sz="6" w:space="0"/>
            </w:tcBorders>
            <w:tcMar>
              <w:bottom w:w="0" w:type="dxa"/>
            </w:tcMar>
            <w:vAlign w:val="center"/>
          </w:tcPr>
          <w:p w14:paraId="2CB5FB0D">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管理端</w:t>
            </w:r>
          </w:p>
        </w:tc>
        <w:tc>
          <w:tcPr>
            <w:tcW w:w="1038" w:type="dxa"/>
            <w:tcBorders>
              <w:top w:val="single" w:color="000000" w:sz="6" w:space="0"/>
              <w:left w:val="single" w:color="000000" w:sz="6" w:space="0"/>
              <w:bottom w:val="single" w:color="000000" w:sz="6" w:space="0"/>
              <w:right w:val="single" w:color="000000" w:sz="6" w:space="0"/>
            </w:tcBorders>
            <w:tcMar>
              <w:bottom w:w="0" w:type="dxa"/>
            </w:tcMar>
            <w:vAlign w:val="center"/>
          </w:tcPr>
          <w:p w14:paraId="3BE4485D">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运营监控</w:t>
            </w:r>
          </w:p>
        </w:tc>
        <w:tc>
          <w:tcPr>
            <w:tcW w:w="1312" w:type="dxa"/>
            <w:tcBorders>
              <w:top w:val="single" w:color="000000" w:sz="6" w:space="0"/>
              <w:left w:val="single" w:color="000000" w:sz="6" w:space="0"/>
              <w:bottom w:val="single" w:color="000000" w:sz="6" w:space="0"/>
              <w:right w:val="single" w:color="000000" w:sz="6" w:space="0"/>
            </w:tcBorders>
            <w:tcMar>
              <w:bottom w:w="0" w:type="dxa"/>
            </w:tcMar>
            <w:vAlign w:val="center"/>
          </w:tcPr>
          <w:p w14:paraId="2C2C2FFC">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审核监控</w:t>
            </w:r>
          </w:p>
        </w:tc>
        <w:tc>
          <w:tcPr>
            <w:tcW w:w="5604" w:type="dxa"/>
            <w:tcBorders>
              <w:top w:val="single" w:color="000000" w:sz="6" w:space="0"/>
              <w:left w:val="single" w:color="000000" w:sz="6" w:space="0"/>
              <w:bottom w:val="single" w:color="000000" w:sz="6" w:space="0"/>
              <w:right w:val="single" w:color="000000" w:sz="6" w:space="0"/>
            </w:tcBorders>
            <w:tcMar>
              <w:bottom w:w="0" w:type="dxa"/>
            </w:tcMar>
          </w:tcPr>
          <w:p w14:paraId="135D265E">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1.支持对医院审核结果、违规情况进行实时监控，监控维度包含年度、月度、日等。</w:t>
            </w:r>
          </w:p>
          <w:p w14:paraId="0ACA82BA">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2.支持汇总查看医院整体审核情况，可分别查看门诊审核、住院审核的不同结果。</w:t>
            </w:r>
          </w:p>
          <w:p w14:paraId="301D3E04">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3.提供实时的审核人数、强制保存人次数、审核明细数、强制保存明细数、审核费用、强制保存项目费用、返回修改人次数、返回修改费用等指标的汇总统计。</w:t>
            </w:r>
          </w:p>
          <w:p w14:paraId="63B531DB">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支持可视化查看违规明细费用占比、不同场景的明细单量与违规明细单量月度趋势图、人工审核明细数量及违规情况、根据违规人次进行的违规规则排名top10、违规科室top10、违规项目top10、根据违规金额进行的违规规则排名top10、违规科室top10、违规项目top10。</w:t>
            </w:r>
          </w:p>
        </w:tc>
      </w:tr>
      <w:tr w14:paraId="5FA83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744" w:type="dxa"/>
            <w:tcBorders>
              <w:top w:val="single" w:color="000000" w:sz="6" w:space="0"/>
              <w:left w:val="single" w:color="000000" w:sz="6" w:space="0"/>
              <w:bottom w:val="single" w:color="000000" w:sz="6" w:space="0"/>
              <w:right w:val="single" w:color="000000" w:sz="6" w:space="0"/>
            </w:tcBorders>
            <w:tcMar>
              <w:bottom w:w="0" w:type="dxa"/>
            </w:tcMar>
            <w:vAlign w:val="center"/>
          </w:tcPr>
          <w:p w14:paraId="07579921">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04" w:type="dxa"/>
            <w:vMerge w:val="continue"/>
            <w:tcBorders>
              <w:left w:val="single" w:color="000000" w:sz="6" w:space="0"/>
              <w:right w:val="single" w:color="000000" w:sz="6" w:space="0"/>
            </w:tcBorders>
            <w:tcMar>
              <w:bottom w:w="0" w:type="dxa"/>
            </w:tcMar>
            <w:vAlign w:val="center"/>
          </w:tcPr>
          <w:p w14:paraId="26898545">
            <w:pPr>
              <w:spacing w:line="240" w:lineRule="auto"/>
              <w:rPr>
                <w:rFonts w:hint="eastAsia" w:ascii="宋体" w:hAnsi="宋体" w:eastAsia="宋体" w:cs="宋体"/>
                <w:color w:val="auto"/>
                <w:sz w:val="24"/>
                <w:szCs w:val="24"/>
                <w:highlight w:val="none"/>
              </w:rPr>
            </w:pPr>
          </w:p>
        </w:tc>
        <w:tc>
          <w:tcPr>
            <w:tcW w:w="1038" w:type="dxa"/>
            <w:tcBorders>
              <w:top w:val="single" w:color="000000" w:sz="6" w:space="0"/>
              <w:left w:val="single" w:color="000000" w:sz="6" w:space="0"/>
              <w:bottom w:val="single" w:color="000000" w:sz="6" w:space="0"/>
              <w:right w:val="single" w:color="000000" w:sz="6" w:space="0"/>
            </w:tcBorders>
            <w:tcMar>
              <w:bottom w:w="0" w:type="dxa"/>
            </w:tcMar>
            <w:vAlign w:val="center"/>
          </w:tcPr>
          <w:p w14:paraId="47B1B810">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场景审核</w:t>
            </w:r>
          </w:p>
        </w:tc>
        <w:tc>
          <w:tcPr>
            <w:tcW w:w="1312" w:type="dxa"/>
            <w:tcBorders>
              <w:top w:val="single" w:color="000000" w:sz="6" w:space="0"/>
              <w:left w:val="single" w:color="000000" w:sz="6" w:space="0"/>
              <w:bottom w:val="single" w:color="000000" w:sz="6" w:space="0"/>
              <w:right w:val="single" w:color="000000" w:sz="6" w:space="0"/>
            </w:tcBorders>
            <w:tcMar>
              <w:bottom w:w="0" w:type="dxa"/>
            </w:tcMar>
            <w:vAlign w:val="center"/>
          </w:tcPr>
          <w:p w14:paraId="4086042C">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场景审核</w:t>
            </w:r>
          </w:p>
        </w:tc>
        <w:tc>
          <w:tcPr>
            <w:tcW w:w="5604" w:type="dxa"/>
            <w:tcBorders>
              <w:top w:val="single" w:color="000000" w:sz="6" w:space="0"/>
              <w:left w:val="single" w:color="000000" w:sz="6" w:space="0"/>
              <w:bottom w:val="single" w:color="000000" w:sz="6" w:space="0"/>
              <w:right w:val="single" w:color="000000" w:sz="6" w:space="0"/>
            </w:tcBorders>
            <w:tcMar>
              <w:bottom w:w="0" w:type="dxa"/>
            </w:tcMar>
          </w:tcPr>
          <w:p w14:paraId="3A884958">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1.支持医院根据院内管理需求设置审核场景(门诊：挂号/处方/缴费，住院：住院登记/医嘱/每日记账/转科室/预出院/出院结算),并查看病历审核情况。</w:t>
            </w:r>
          </w:p>
          <w:p w14:paraId="4AFDB071">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单据查询主要为医院管理者提供决策支持辅助，系统支持对已审核的所有单据进行信息查询，支持查看病历情况，实现从参保类型、就医方式、住院状态、人员类别、科室、医生、参保人、单据号等角度进行单项定义或综合查询。</w:t>
            </w:r>
          </w:p>
          <w:p w14:paraId="33D949B3">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3.管理者通过查询某患者在院期间所有历史数据以及违规数据，可以跟踪分析医生的医疗行为，及时发现不合理用药、不合理检查、不合理收费行为，实现对异常违规信息的全方面监控。</w:t>
            </w:r>
          </w:p>
          <w:p w14:paraId="79E4EAE1">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4.可根据配置对接医保平台审核接口（3101、3102、3103），展示医保审核结果。</w:t>
            </w:r>
          </w:p>
        </w:tc>
      </w:tr>
      <w:tr w14:paraId="5A97F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744" w:type="dxa"/>
            <w:vMerge w:val="restart"/>
            <w:tcBorders>
              <w:top w:val="single" w:color="000000" w:sz="6" w:space="0"/>
              <w:left w:val="single" w:color="000000" w:sz="6" w:space="0"/>
              <w:bottom w:val="single" w:color="000000" w:sz="6" w:space="0"/>
              <w:right w:val="single" w:color="000000" w:sz="6" w:space="0"/>
            </w:tcBorders>
            <w:tcMar>
              <w:bottom w:w="0" w:type="dxa"/>
            </w:tcMar>
            <w:vAlign w:val="center"/>
          </w:tcPr>
          <w:p w14:paraId="33E7EBF1">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704" w:type="dxa"/>
            <w:vMerge w:val="continue"/>
            <w:tcBorders>
              <w:left w:val="single" w:color="000000" w:sz="6" w:space="0"/>
              <w:right w:val="single" w:color="000000" w:sz="6" w:space="0"/>
            </w:tcBorders>
            <w:tcMar>
              <w:bottom w:w="0" w:type="dxa"/>
            </w:tcMar>
            <w:vAlign w:val="center"/>
          </w:tcPr>
          <w:p w14:paraId="3D5CAB15">
            <w:pPr>
              <w:spacing w:line="240" w:lineRule="auto"/>
              <w:rPr>
                <w:rFonts w:hint="eastAsia" w:ascii="宋体" w:hAnsi="宋体" w:eastAsia="宋体" w:cs="宋体"/>
                <w:color w:val="auto"/>
                <w:sz w:val="24"/>
                <w:szCs w:val="24"/>
                <w:highlight w:val="none"/>
              </w:rPr>
            </w:pPr>
          </w:p>
        </w:tc>
        <w:tc>
          <w:tcPr>
            <w:tcW w:w="1038" w:type="dxa"/>
            <w:vMerge w:val="restart"/>
            <w:tcBorders>
              <w:top w:val="single" w:color="000000" w:sz="6" w:space="0"/>
              <w:left w:val="single" w:color="000000" w:sz="6" w:space="0"/>
              <w:bottom w:val="single" w:color="000000" w:sz="6" w:space="0"/>
              <w:right w:val="single" w:color="000000" w:sz="6" w:space="0"/>
            </w:tcBorders>
            <w:tcMar>
              <w:bottom w:w="0" w:type="dxa"/>
            </w:tcMar>
            <w:vAlign w:val="center"/>
          </w:tcPr>
          <w:p w14:paraId="28FEEE81">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人工审核</w:t>
            </w:r>
          </w:p>
        </w:tc>
        <w:tc>
          <w:tcPr>
            <w:tcW w:w="1312" w:type="dxa"/>
            <w:tcBorders>
              <w:top w:val="single" w:color="000000" w:sz="6" w:space="0"/>
              <w:left w:val="single" w:color="000000" w:sz="6" w:space="0"/>
              <w:bottom w:val="single" w:color="000000" w:sz="6" w:space="0"/>
              <w:right w:val="single" w:color="000000" w:sz="6" w:space="0"/>
            </w:tcBorders>
            <w:tcMar>
              <w:bottom w:w="0" w:type="dxa"/>
            </w:tcMar>
            <w:vAlign w:val="center"/>
          </w:tcPr>
          <w:p w14:paraId="0F392782">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人工审核</w:t>
            </w:r>
          </w:p>
        </w:tc>
        <w:tc>
          <w:tcPr>
            <w:tcW w:w="5604" w:type="dxa"/>
            <w:tcBorders>
              <w:top w:val="single" w:color="000000" w:sz="6" w:space="0"/>
              <w:left w:val="single" w:color="000000" w:sz="6" w:space="0"/>
              <w:bottom w:val="single" w:color="000000" w:sz="6" w:space="0"/>
              <w:right w:val="single" w:color="000000" w:sz="6" w:space="0"/>
            </w:tcBorders>
            <w:tcMar>
              <w:bottom w:w="0" w:type="dxa"/>
            </w:tcMar>
          </w:tcPr>
          <w:p w14:paraId="26FC9540">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1.支持医院设置人工审核管理流程；</w:t>
            </w:r>
          </w:p>
          <w:p w14:paraId="6D32DEAB">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2.支持医院对触发人工审核条件的数据在系统上进行人工查验，针对临床处理结果进行复核，并支持人工处理转违规操作。</w:t>
            </w:r>
          </w:p>
        </w:tc>
      </w:tr>
      <w:tr w14:paraId="31139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Merge w:val="continue"/>
            <w:tcBorders>
              <w:top w:val="single" w:color="000000" w:sz="6" w:space="0"/>
              <w:left w:val="single" w:color="000000" w:sz="6" w:space="0"/>
              <w:bottom w:val="single" w:color="000000" w:sz="6" w:space="0"/>
              <w:right w:val="single" w:color="000000" w:sz="6" w:space="0"/>
            </w:tcBorders>
            <w:tcMar>
              <w:bottom w:w="0" w:type="dxa"/>
            </w:tcMar>
            <w:vAlign w:val="center"/>
          </w:tcPr>
          <w:p w14:paraId="6D1B97C0">
            <w:pPr>
              <w:spacing w:line="240" w:lineRule="auto"/>
              <w:rPr>
                <w:rFonts w:hint="eastAsia" w:ascii="宋体" w:hAnsi="宋体" w:eastAsia="宋体" w:cs="宋体"/>
                <w:color w:val="auto"/>
                <w:sz w:val="24"/>
                <w:szCs w:val="24"/>
                <w:highlight w:val="none"/>
              </w:rPr>
            </w:pPr>
          </w:p>
        </w:tc>
        <w:tc>
          <w:tcPr>
            <w:tcW w:w="704" w:type="dxa"/>
            <w:vMerge w:val="continue"/>
            <w:tcBorders>
              <w:left w:val="single" w:color="000000" w:sz="6" w:space="0"/>
              <w:right w:val="single" w:color="000000" w:sz="6" w:space="0"/>
            </w:tcBorders>
            <w:tcMar>
              <w:bottom w:w="0" w:type="dxa"/>
            </w:tcMar>
            <w:vAlign w:val="center"/>
          </w:tcPr>
          <w:p w14:paraId="627E41C7">
            <w:pPr>
              <w:spacing w:line="240" w:lineRule="auto"/>
              <w:rPr>
                <w:rFonts w:hint="eastAsia" w:ascii="宋体" w:hAnsi="宋体" w:eastAsia="宋体" w:cs="宋体"/>
                <w:color w:val="auto"/>
                <w:sz w:val="24"/>
                <w:szCs w:val="24"/>
                <w:highlight w:val="none"/>
              </w:rPr>
            </w:pPr>
          </w:p>
        </w:tc>
        <w:tc>
          <w:tcPr>
            <w:tcW w:w="1038" w:type="dxa"/>
            <w:vMerge w:val="continue"/>
            <w:tcBorders>
              <w:top w:val="single" w:color="000000" w:sz="6" w:space="0"/>
              <w:left w:val="single" w:color="000000" w:sz="6" w:space="0"/>
              <w:bottom w:val="single" w:color="000000" w:sz="6" w:space="0"/>
              <w:right w:val="single" w:color="000000" w:sz="6" w:space="0"/>
            </w:tcBorders>
            <w:tcMar>
              <w:bottom w:w="0" w:type="dxa"/>
            </w:tcMar>
            <w:vAlign w:val="center"/>
          </w:tcPr>
          <w:p w14:paraId="1C7C0A13">
            <w:pPr>
              <w:spacing w:line="240" w:lineRule="auto"/>
              <w:rPr>
                <w:rFonts w:hint="eastAsia" w:ascii="宋体" w:hAnsi="宋体" w:eastAsia="宋体" w:cs="宋体"/>
                <w:color w:val="auto"/>
                <w:sz w:val="24"/>
                <w:szCs w:val="24"/>
                <w:highlight w:val="none"/>
              </w:rPr>
            </w:pPr>
          </w:p>
        </w:tc>
        <w:tc>
          <w:tcPr>
            <w:tcW w:w="1312" w:type="dxa"/>
            <w:tcBorders>
              <w:top w:val="single" w:color="000000" w:sz="6" w:space="0"/>
              <w:left w:val="single" w:color="000000" w:sz="6" w:space="0"/>
              <w:bottom w:val="single" w:color="000000" w:sz="6" w:space="0"/>
              <w:right w:val="single" w:color="000000" w:sz="6" w:space="0"/>
            </w:tcBorders>
            <w:tcMar>
              <w:bottom w:w="0" w:type="dxa"/>
            </w:tcMar>
            <w:vAlign w:val="center"/>
          </w:tcPr>
          <w:p w14:paraId="3E3349F0">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审核流程配置</w:t>
            </w:r>
          </w:p>
        </w:tc>
        <w:tc>
          <w:tcPr>
            <w:tcW w:w="5604" w:type="dxa"/>
            <w:tcBorders>
              <w:top w:val="single" w:color="000000" w:sz="6" w:space="0"/>
              <w:left w:val="single" w:color="000000" w:sz="6" w:space="0"/>
              <w:bottom w:val="single" w:color="000000" w:sz="6" w:space="0"/>
              <w:right w:val="single" w:color="000000" w:sz="6" w:space="0"/>
            </w:tcBorders>
            <w:tcMar>
              <w:bottom w:w="0" w:type="dxa"/>
            </w:tcMar>
          </w:tcPr>
          <w:p w14:paraId="2C663DBC">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支持人工审核流程配置，包括审核场景、结果类型、审核人员等配置</w:t>
            </w:r>
          </w:p>
        </w:tc>
      </w:tr>
      <w:tr w14:paraId="35D59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Merge w:val="continue"/>
            <w:tcBorders>
              <w:top w:val="single" w:color="000000" w:sz="6" w:space="0"/>
              <w:left w:val="single" w:color="000000" w:sz="6" w:space="0"/>
              <w:bottom w:val="single" w:color="000000" w:sz="6" w:space="0"/>
              <w:right w:val="single" w:color="000000" w:sz="6" w:space="0"/>
            </w:tcBorders>
            <w:tcMar>
              <w:bottom w:w="0" w:type="dxa"/>
            </w:tcMar>
            <w:vAlign w:val="center"/>
          </w:tcPr>
          <w:p w14:paraId="2F33894C">
            <w:pPr>
              <w:spacing w:line="240" w:lineRule="auto"/>
              <w:rPr>
                <w:rFonts w:hint="eastAsia" w:ascii="宋体" w:hAnsi="宋体" w:eastAsia="宋体" w:cs="宋体"/>
                <w:color w:val="auto"/>
                <w:sz w:val="24"/>
                <w:szCs w:val="24"/>
                <w:highlight w:val="none"/>
              </w:rPr>
            </w:pPr>
          </w:p>
        </w:tc>
        <w:tc>
          <w:tcPr>
            <w:tcW w:w="704" w:type="dxa"/>
            <w:vMerge w:val="continue"/>
            <w:tcBorders>
              <w:left w:val="single" w:color="000000" w:sz="6" w:space="0"/>
              <w:right w:val="single" w:color="000000" w:sz="6" w:space="0"/>
            </w:tcBorders>
            <w:tcMar>
              <w:bottom w:w="0" w:type="dxa"/>
            </w:tcMar>
            <w:vAlign w:val="center"/>
          </w:tcPr>
          <w:p w14:paraId="085F4AF5">
            <w:pPr>
              <w:spacing w:line="240" w:lineRule="auto"/>
              <w:rPr>
                <w:rFonts w:hint="eastAsia" w:ascii="宋体" w:hAnsi="宋体" w:eastAsia="宋体" w:cs="宋体"/>
                <w:color w:val="auto"/>
                <w:sz w:val="24"/>
                <w:szCs w:val="24"/>
                <w:highlight w:val="none"/>
              </w:rPr>
            </w:pPr>
          </w:p>
        </w:tc>
        <w:tc>
          <w:tcPr>
            <w:tcW w:w="1038" w:type="dxa"/>
            <w:vMerge w:val="continue"/>
            <w:tcBorders>
              <w:top w:val="single" w:color="000000" w:sz="6" w:space="0"/>
              <w:left w:val="single" w:color="000000" w:sz="6" w:space="0"/>
              <w:bottom w:val="single" w:color="000000" w:sz="6" w:space="0"/>
              <w:right w:val="single" w:color="000000" w:sz="6" w:space="0"/>
            </w:tcBorders>
            <w:tcMar>
              <w:bottom w:w="0" w:type="dxa"/>
            </w:tcMar>
            <w:vAlign w:val="center"/>
          </w:tcPr>
          <w:p w14:paraId="5FDE77FA">
            <w:pPr>
              <w:spacing w:line="240" w:lineRule="auto"/>
              <w:rPr>
                <w:rFonts w:hint="eastAsia" w:ascii="宋体" w:hAnsi="宋体" w:eastAsia="宋体" w:cs="宋体"/>
                <w:color w:val="auto"/>
                <w:sz w:val="24"/>
                <w:szCs w:val="24"/>
                <w:highlight w:val="none"/>
              </w:rPr>
            </w:pPr>
          </w:p>
        </w:tc>
        <w:tc>
          <w:tcPr>
            <w:tcW w:w="1312" w:type="dxa"/>
            <w:tcBorders>
              <w:top w:val="single" w:color="000000" w:sz="6" w:space="0"/>
              <w:left w:val="single" w:color="000000" w:sz="6" w:space="0"/>
              <w:bottom w:val="single" w:color="000000" w:sz="6" w:space="0"/>
              <w:right w:val="single" w:color="000000" w:sz="6" w:space="0"/>
            </w:tcBorders>
            <w:tcMar>
              <w:bottom w:w="0" w:type="dxa"/>
            </w:tcMar>
            <w:vAlign w:val="center"/>
          </w:tcPr>
          <w:p w14:paraId="7598CFDB">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审核日志</w:t>
            </w:r>
          </w:p>
        </w:tc>
        <w:tc>
          <w:tcPr>
            <w:tcW w:w="5604" w:type="dxa"/>
            <w:tcBorders>
              <w:top w:val="single" w:color="000000" w:sz="6" w:space="0"/>
              <w:left w:val="single" w:color="000000" w:sz="6" w:space="0"/>
              <w:bottom w:val="single" w:color="000000" w:sz="6" w:space="0"/>
              <w:right w:val="single" w:color="000000" w:sz="6" w:space="0"/>
            </w:tcBorders>
            <w:tcMar>
              <w:bottom w:w="0" w:type="dxa"/>
            </w:tcMar>
          </w:tcPr>
          <w:p w14:paraId="738263D8">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系统自动记录人工审核的操作日志，便于问题追溯。</w:t>
            </w:r>
          </w:p>
        </w:tc>
      </w:tr>
      <w:tr w14:paraId="3E416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4" w:type="dxa"/>
            <w:vMerge w:val="restart"/>
            <w:tcBorders>
              <w:top w:val="single" w:color="000000" w:sz="0" w:space="0"/>
              <w:left w:val="single" w:color="000000" w:sz="6" w:space="0"/>
              <w:bottom w:val="single" w:color="000000" w:sz="0" w:space="0"/>
              <w:right w:val="single" w:color="000000" w:sz="6" w:space="0"/>
            </w:tcBorders>
            <w:tcMar>
              <w:bottom w:w="0" w:type="dxa"/>
            </w:tcMar>
            <w:vAlign w:val="center"/>
          </w:tcPr>
          <w:p w14:paraId="208BB29D">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704" w:type="dxa"/>
            <w:vMerge w:val="continue"/>
            <w:tcBorders>
              <w:left w:val="single" w:color="000000" w:sz="6" w:space="0"/>
              <w:right w:val="single" w:color="000000" w:sz="6" w:space="0"/>
            </w:tcBorders>
            <w:tcMar>
              <w:bottom w:w="0" w:type="dxa"/>
            </w:tcMar>
            <w:vAlign w:val="center"/>
          </w:tcPr>
          <w:p w14:paraId="24C55E7D">
            <w:pPr>
              <w:spacing w:line="240" w:lineRule="auto"/>
              <w:rPr>
                <w:rFonts w:hint="eastAsia" w:ascii="宋体" w:hAnsi="宋体" w:eastAsia="宋体" w:cs="宋体"/>
                <w:color w:val="auto"/>
                <w:sz w:val="24"/>
                <w:szCs w:val="24"/>
                <w:highlight w:val="none"/>
              </w:rPr>
            </w:pPr>
          </w:p>
        </w:tc>
        <w:tc>
          <w:tcPr>
            <w:tcW w:w="1038" w:type="dxa"/>
            <w:vMerge w:val="restart"/>
            <w:tcBorders>
              <w:top w:val="single" w:color="000000" w:sz="0" w:space="0"/>
              <w:left w:val="single" w:color="000000" w:sz="6" w:space="0"/>
              <w:bottom w:val="single" w:color="000000" w:sz="0" w:space="0"/>
              <w:right w:val="single" w:color="000000" w:sz="6" w:space="0"/>
            </w:tcBorders>
            <w:tcMar>
              <w:bottom w:w="0" w:type="dxa"/>
            </w:tcMar>
            <w:vAlign w:val="center"/>
          </w:tcPr>
          <w:p w14:paraId="774B5FE0">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医保管理</w:t>
            </w:r>
          </w:p>
        </w:tc>
        <w:tc>
          <w:tcPr>
            <w:tcW w:w="1312" w:type="dxa"/>
            <w:tcBorders>
              <w:top w:val="single" w:color="000000" w:sz="6" w:space="0"/>
              <w:left w:val="single" w:color="000000" w:sz="6" w:space="0"/>
              <w:right w:val="single" w:color="000000" w:sz="6" w:space="0"/>
            </w:tcBorders>
            <w:tcMar>
              <w:bottom w:w="0" w:type="dxa"/>
            </w:tcMar>
            <w:vAlign w:val="center"/>
          </w:tcPr>
          <w:p w14:paraId="68A8981C">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审核申诉</w:t>
            </w:r>
          </w:p>
        </w:tc>
        <w:tc>
          <w:tcPr>
            <w:tcW w:w="5604" w:type="dxa"/>
            <w:tcBorders>
              <w:top w:val="single" w:color="000000" w:sz="6" w:space="0"/>
              <w:left w:val="single" w:color="000000" w:sz="6" w:space="0"/>
              <w:right w:val="single" w:color="000000" w:sz="6" w:space="0"/>
            </w:tcBorders>
            <w:tcMar>
              <w:bottom w:w="0" w:type="dxa"/>
            </w:tcMar>
          </w:tcPr>
          <w:p w14:paraId="1664A580">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1.医保办在科室反馈结束后，可以进行医保申诉；</w:t>
            </w:r>
          </w:p>
          <w:p w14:paraId="3A5AC735">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2.支持下载申诉反馈的单据；</w:t>
            </w:r>
          </w:p>
        </w:tc>
      </w:tr>
      <w:tr w14:paraId="535D3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Merge w:val="continue"/>
            <w:tcBorders>
              <w:top w:val="single" w:color="000000" w:sz="0" w:space="0"/>
              <w:left w:val="single" w:color="000000" w:sz="6" w:space="0"/>
              <w:bottom w:val="single" w:color="000000" w:sz="0" w:space="0"/>
              <w:right w:val="single" w:color="000000" w:sz="6" w:space="0"/>
            </w:tcBorders>
            <w:tcMar>
              <w:bottom w:w="0" w:type="dxa"/>
            </w:tcMar>
            <w:vAlign w:val="center"/>
          </w:tcPr>
          <w:p w14:paraId="4F073157">
            <w:pPr>
              <w:spacing w:line="240" w:lineRule="auto"/>
              <w:rPr>
                <w:rFonts w:hint="eastAsia" w:ascii="宋体" w:hAnsi="宋体" w:eastAsia="宋体" w:cs="宋体"/>
                <w:color w:val="auto"/>
                <w:sz w:val="24"/>
                <w:szCs w:val="24"/>
                <w:highlight w:val="none"/>
              </w:rPr>
            </w:pPr>
          </w:p>
        </w:tc>
        <w:tc>
          <w:tcPr>
            <w:tcW w:w="704" w:type="dxa"/>
            <w:vMerge w:val="continue"/>
            <w:tcBorders>
              <w:left w:val="single" w:color="000000" w:sz="6" w:space="0"/>
              <w:right w:val="single" w:color="000000" w:sz="6" w:space="0"/>
            </w:tcBorders>
            <w:tcMar>
              <w:bottom w:w="0" w:type="dxa"/>
            </w:tcMar>
            <w:vAlign w:val="center"/>
          </w:tcPr>
          <w:p w14:paraId="2145804C">
            <w:pPr>
              <w:spacing w:line="240" w:lineRule="auto"/>
              <w:rPr>
                <w:rFonts w:hint="eastAsia" w:ascii="宋体" w:hAnsi="宋体" w:eastAsia="宋体" w:cs="宋体"/>
                <w:color w:val="auto"/>
                <w:sz w:val="24"/>
                <w:szCs w:val="24"/>
                <w:highlight w:val="none"/>
              </w:rPr>
            </w:pPr>
          </w:p>
        </w:tc>
        <w:tc>
          <w:tcPr>
            <w:tcW w:w="1038" w:type="dxa"/>
            <w:vMerge w:val="continue"/>
            <w:tcBorders>
              <w:top w:val="single" w:color="000000" w:sz="0" w:space="0"/>
              <w:left w:val="single" w:color="000000" w:sz="6" w:space="0"/>
              <w:bottom w:val="single" w:color="000000" w:sz="0" w:space="0"/>
              <w:right w:val="single" w:color="000000" w:sz="6" w:space="0"/>
            </w:tcBorders>
            <w:tcMar>
              <w:bottom w:w="0" w:type="dxa"/>
            </w:tcMar>
            <w:vAlign w:val="center"/>
          </w:tcPr>
          <w:p w14:paraId="4EE7F7E2">
            <w:pPr>
              <w:spacing w:line="240" w:lineRule="auto"/>
              <w:rPr>
                <w:rFonts w:hint="eastAsia" w:ascii="宋体" w:hAnsi="宋体" w:eastAsia="宋体" w:cs="宋体"/>
                <w:color w:val="auto"/>
                <w:sz w:val="24"/>
                <w:szCs w:val="24"/>
                <w:highlight w:val="none"/>
              </w:rPr>
            </w:pPr>
          </w:p>
        </w:tc>
        <w:tc>
          <w:tcPr>
            <w:tcW w:w="1312" w:type="dxa"/>
            <w:tcBorders>
              <w:top w:val="single" w:color="000000" w:sz="6" w:space="0"/>
              <w:left w:val="single" w:color="000000" w:sz="6" w:space="0"/>
              <w:bottom w:val="single" w:color="000000" w:sz="6" w:space="0"/>
              <w:right w:val="single" w:color="000000" w:sz="6" w:space="0"/>
            </w:tcBorders>
            <w:tcMar>
              <w:bottom w:w="0" w:type="dxa"/>
            </w:tcMar>
            <w:vAlign w:val="center"/>
          </w:tcPr>
          <w:p w14:paraId="7FC0C427">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医保扣费</w:t>
            </w:r>
          </w:p>
        </w:tc>
        <w:tc>
          <w:tcPr>
            <w:tcW w:w="5604" w:type="dxa"/>
            <w:tcBorders>
              <w:top w:val="single" w:color="000000" w:sz="6" w:space="0"/>
              <w:left w:val="single" w:color="000000" w:sz="6" w:space="0"/>
              <w:bottom w:val="single" w:color="000000" w:sz="6" w:space="0"/>
              <w:right w:val="single" w:color="000000" w:sz="6" w:space="0"/>
            </w:tcBorders>
            <w:tcMar>
              <w:bottom w:w="0" w:type="dxa"/>
            </w:tcMar>
          </w:tcPr>
          <w:p w14:paraId="4F0D9E7D">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支持查看、检索医保办导入的医保终审扣款数据。</w:t>
            </w:r>
          </w:p>
        </w:tc>
      </w:tr>
      <w:tr w14:paraId="66D68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744" w:type="dxa"/>
            <w:vMerge w:val="continue"/>
            <w:tcBorders>
              <w:top w:val="single" w:color="000000" w:sz="0" w:space="0"/>
              <w:left w:val="single" w:color="000000" w:sz="6" w:space="0"/>
              <w:bottom w:val="single" w:color="000000" w:sz="0" w:space="0"/>
              <w:right w:val="single" w:color="000000" w:sz="6" w:space="0"/>
            </w:tcBorders>
            <w:tcMar>
              <w:bottom w:w="0" w:type="dxa"/>
            </w:tcMar>
            <w:vAlign w:val="center"/>
          </w:tcPr>
          <w:p w14:paraId="2AAB9D71">
            <w:pPr>
              <w:spacing w:line="240" w:lineRule="auto"/>
              <w:rPr>
                <w:rFonts w:hint="eastAsia" w:ascii="宋体" w:hAnsi="宋体" w:eastAsia="宋体" w:cs="宋体"/>
                <w:color w:val="auto"/>
                <w:sz w:val="24"/>
                <w:szCs w:val="24"/>
                <w:highlight w:val="none"/>
              </w:rPr>
            </w:pPr>
          </w:p>
        </w:tc>
        <w:tc>
          <w:tcPr>
            <w:tcW w:w="704" w:type="dxa"/>
            <w:vMerge w:val="continue"/>
            <w:tcBorders>
              <w:left w:val="single" w:color="000000" w:sz="6" w:space="0"/>
              <w:right w:val="single" w:color="000000" w:sz="6" w:space="0"/>
            </w:tcBorders>
            <w:tcMar>
              <w:bottom w:w="0" w:type="dxa"/>
            </w:tcMar>
            <w:vAlign w:val="center"/>
          </w:tcPr>
          <w:p w14:paraId="30D23763">
            <w:pPr>
              <w:spacing w:line="240" w:lineRule="auto"/>
              <w:rPr>
                <w:rFonts w:hint="eastAsia" w:ascii="宋体" w:hAnsi="宋体" w:eastAsia="宋体" w:cs="宋体"/>
                <w:color w:val="auto"/>
                <w:sz w:val="24"/>
                <w:szCs w:val="24"/>
                <w:highlight w:val="none"/>
              </w:rPr>
            </w:pPr>
          </w:p>
        </w:tc>
        <w:tc>
          <w:tcPr>
            <w:tcW w:w="1038" w:type="dxa"/>
            <w:vMerge w:val="continue"/>
            <w:tcBorders>
              <w:top w:val="single" w:color="000000" w:sz="0" w:space="0"/>
              <w:left w:val="single" w:color="000000" w:sz="6" w:space="0"/>
              <w:bottom w:val="single" w:color="000000" w:sz="0" w:space="0"/>
              <w:right w:val="single" w:color="000000" w:sz="6" w:space="0"/>
            </w:tcBorders>
            <w:tcMar>
              <w:bottom w:w="0" w:type="dxa"/>
            </w:tcMar>
            <w:vAlign w:val="center"/>
          </w:tcPr>
          <w:p w14:paraId="12FAA1F6">
            <w:pPr>
              <w:spacing w:line="240" w:lineRule="auto"/>
              <w:rPr>
                <w:rFonts w:hint="eastAsia" w:ascii="宋体" w:hAnsi="宋体" w:eastAsia="宋体" w:cs="宋体"/>
                <w:color w:val="auto"/>
                <w:sz w:val="24"/>
                <w:szCs w:val="24"/>
                <w:highlight w:val="none"/>
              </w:rPr>
            </w:pPr>
          </w:p>
        </w:tc>
        <w:tc>
          <w:tcPr>
            <w:tcW w:w="1312" w:type="dxa"/>
            <w:tcBorders>
              <w:top w:val="single" w:color="000000" w:sz="6" w:space="0"/>
              <w:left w:val="single" w:color="000000" w:sz="6" w:space="0"/>
              <w:bottom w:val="single" w:color="000000" w:sz="6" w:space="0"/>
              <w:right w:val="single" w:color="000000" w:sz="6" w:space="0"/>
            </w:tcBorders>
            <w:tcMar>
              <w:bottom w:w="0" w:type="dxa"/>
            </w:tcMar>
            <w:vAlign w:val="center"/>
          </w:tcPr>
          <w:p w14:paraId="4B323CAA">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扣费分析</w:t>
            </w:r>
          </w:p>
        </w:tc>
        <w:tc>
          <w:tcPr>
            <w:tcW w:w="5604" w:type="dxa"/>
            <w:tcBorders>
              <w:top w:val="single" w:color="000000" w:sz="6" w:space="0"/>
              <w:left w:val="single" w:color="000000" w:sz="6" w:space="0"/>
              <w:bottom w:val="single" w:color="000000" w:sz="6" w:space="0"/>
              <w:right w:val="single" w:color="000000" w:sz="6" w:space="0"/>
            </w:tcBorders>
            <w:tcMar>
              <w:bottom w:w="0" w:type="dxa"/>
            </w:tcMar>
          </w:tcPr>
          <w:p w14:paraId="3612370B">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1.针对医保终审扣款数据，系统自动生成统计分析内容。</w:t>
            </w:r>
          </w:p>
          <w:p w14:paraId="39DDD3CD">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2.支持查看违规项目、违规规则、违规科室、违规医生的排名数据，辅助医院更好定位现有问题。</w:t>
            </w:r>
          </w:p>
        </w:tc>
      </w:tr>
      <w:tr w14:paraId="55A1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744" w:type="dxa"/>
            <w:vMerge w:val="restart"/>
            <w:tcBorders>
              <w:top w:val="single" w:color="000000" w:sz="0" w:space="0"/>
              <w:left w:val="single" w:color="000000" w:sz="6" w:space="0"/>
              <w:bottom w:val="single" w:color="000000" w:sz="6" w:space="0"/>
              <w:right w:val="single" w:color="000000" w:sz="6" w:space="0"/>
            </w:tcBorders>
            <w:tcMar>
              <w:bottom w:w="0" w:type="dxa"/>
            </w:tcMar>
            <w:vAlign w:val="center"/>
          </w:tcPr>
          <w:p w14:paraId="39BEB9EA">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704" w:type="dxa"/>
            <w:vMerge w:val="continue"/>
            <w:tcBorders>
              <w:left w:val="single" w:color="000000" w:sz="6" w:space="0"/>
              <w:right w:val="single" w:color="000000" w:sz="6" w:space="0"/>
            </w:tcBorders>
            <w:tcMar>
              <w:bottom w:w="0" w:type="dxa"/>
            </w:tcMar>
            <w:vAlign w:val="center"/>
          </w:tcPr>
          <w:p w14:paraId="7A16F6C7">
            <w:pPr>
              <w:spacing w:line="240" w:lineRule="auto"/>
              <w:rPr>
                <w:rFonts w:hint="eastAsia" w:ascii="宋体" w:hAnsi="宋体" w:eastAsia="宋体" w:cs="宋体"/>
                <w:color w:val="auto"/>
                <w:sz w:val="24"/>
                <w:szCs w:val="24"/>
                <w:highlight w:val="none"/>
              </w:rPr>
            </w:pPr>
          </w:p>
        </w:tc>
        <w:tc>
          <w:tcPr>
            <w:tcW w:w="1038" w:type="dxa"/>
            <w:vMerge w:val="restart"/>
            <w:tcBorders>
              <w:top w:val="single" w:color="000000" w:sz="0" w:space="0"/>
              <w:left w:val="single" w:color="000000" w:sz="6" w:space="0"/>
              <w:bottom w:val="single" w:color="000000" w:sz="6" w:space="0"/>
              <w:right w:val="single" w:color="000000" w:sz="6" w:space="0"/>
            </w:tcBorders>
            <w:tcMar>
              <w:bottom w:w="0" w:type="dxa"/>
            </w:tcMar>
            <w:vAlign w:val="center"/>
          </w:tcPr>
          <w:p w14:paraId="45762081">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决策支持</w:t>
            </w:r>
          </w:p>
        </w:tc>
        <w:tc>
          <w:tcPr>
            <w:tcW w:w="1312" w:type="dxa"/>
            <w:tcBorders>
              <w:top w:val="single" w:color="000000" w:sz="6" w:space="0"/>
              <w:left w:val="single" w:color="000000" w:sz="6" w:space="0"/>
              <w:bottom w:val="single" w:color="000000" w:sz="6" w:space="0"/>
              <w:right w:val="single" w:color="000000" w:sz="6" w:space="0"/>
            </w:tcBorders>
            <w:tcMar>
              <w:bottom w:w="0" w:type="dxa"/>
            </w:tcMar>
            <w:vAlign w:val="center"/>
          </w:tcPr>
          <w:p w14:paraId="7F35C3DD">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业务分析</w:t>
            </w:r>
          </w:p>
        </w:tc>
        <w:tc>
          <w:tcPr>
            <w:tcW w:w="5604" w:type="dxa"/>
            <w:tcBorders>
              <w:top w:val="single" w:color="000000" w:sz="6" w:space="0"/>
              <w:left w:val="single" w:color="000000" w:sz="6" w:space="0"/>
              <w:bottom w:val="single" w:color="000000" w:sz="6" w:space="0"/>
              <w:right w:val="single" w:color="000000" w:sz="6" w:space="0"/>
            </w:tcBorders>
            <w:tcMar>
              <w:bottom w:w="0" w:type="dxa"/>
            </w:tcMar>
          </w:tcPr>
          <w:p w14:paraId="2B042700">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1.支持从总体业务、科室业务、医生业务等维度进行总体情况和违规情况汇总分析。</w:t>
            </w:r>
          </w:p>
          <w:p w14:paraId="3C310522">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2.总体业务维度提供医院整体的审核明细量、违规明细量、审核明细费用、违规明细费用的汇总，正常单量与违规单量的占比，正常费用与违规费用的占比，违规明细数量趋势图和违规明细费用趋势图等。</w:t>
            </w:r>
          </w:p>
          <w:p w14:paraId="7FDFA3CC">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3.科室业务维度提供各科室及各科室明细的使用人次、明细单量、费用占比、违反规则等数据的统计，展示各科室的违规明细数量趋势图及违反规则排行。</w:t>
            </w:r>
          </w:p>
          <w:p w14:paraId="3E21B47D">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4.医生业务维度提供医生违规单量占比排名柱状图及各医生的违反规则数、违规单量占比、违规费用占比等情况。</w:t>
            </w:r>
          </w:p>
        </w:tc>
      </w:tr>
      <w:tr w14:paraId="47A1E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trPr>
        <w:tc>
          <w:tcPr>
            <w:tcW w:w="744" w:type="dxa"/>
            <w:vMerge w:val="continue"/>
            <w:tcBorders>
              <w:top w:val="single" w:color="000000" w:sz="0" w:space="0"/>
              <w:left w:val="single" w:color="000000" w:sz="6" w:space="0"/>
              <w:bottom w:val="single" w:color="000000" w:sz="6" w:space="0"/>
              <w:right w:val="single" w:color="000000" w:sz="6" w:space="0"/>
            </w:tcBorders>
            <w:tcMar>
              <w:bottom w:w="0" w:type="dxa"/>
            </w:tcMar>
            <w:vAlign w:val="center"/>
          </w:tcPr>
          <w:p w14:paraId="5A5CD595">
            <w:pPr>
              <w:spacing w:line="240" w:lineRule="auto"/>
              <w:rPr>
                <w:rFonts w:hint="eastAsia" w:ascii="宋体" w:hAnsi="宋体" w:eastAsia="宋体" w:cs="宋体"/>
                <w:color w:val="auto"/>
                <w:sz w:val="24"/>
                <w:szCs w:val="24"/>
                <w:highlight w:val="none"/>
              </w:rPr>
            </w:pPr>
          </w:p>
        </w:tc>
        <w:tc>
          <w:tcPr>
            <w:tcW w:w="704" w:type="dxa"/>
            <w:vMerge w:val="continue"/>
            <w:tcBorders>
              <w:left w:val="single" w:color="000000" w:sz="6" w:space="0"/>
              <w:right w:val="single" w:color="000000" w:sz="6" w:space="0"/>
            </w:tcBorders>
            <w:tcMar>
              <w:bottom w:w="0" w:type="dxa"/>
            </w:tcMar>
            <w:vAlign w:val="center"/>
          </w:tcPr>
          <w:p w14:paraId="32A47864">
            <w:pPr>
              <w:spacing w:line="240" w:lineRule="auto"/>
              <w:rPr>
                <w:rFonts w:hint="eastAsia" w:ascii="宋体" w:hAnsi="宋体" w:eastAsia="宋体" w:cs="宋体"/>
                <w:color w:val="auto"/>
                <w:sz w:val="24"/>
                <w:szCs w:val="24"/>
                <w:highlight w:val="none"/>
              </w:rPr>
            </w:pPr>
          </w:p>
        </w:tc>
        <w:tc>
          <w:tcPr>
            <w:tcW w:w="1038" w:type="dxa"/>
            <w:vMerge w:val="continue"/>
            <w:tcBorders>
              <w:top w:val="single" w:color="000000" w:sz="0" w:space="0"/>
              <w:left w:val="single" w:color="000000" w:sz="6" w:space="0"/>
              <w:bottom w:val="single" w:color="000000" w:sz="6" w:space="0"/>
              <w:right w:val="single" w:color="000000" w:sz="6" w:space="0"/>
            </w:tcBorders>
            <w:tcMar>
              <w:bottom w:w="0" w:type="dxa"/>
            </w:tcMar>
            <w:vAlign w:val="center"/>
          </w:tcPr>
          <w:p w14:paraId="389713E3">
            <w:pPr>
              <w:spacing w:line="240" w:lineRule="auto"/>
              <w:rPr>
                <w:rFonts w:hint="eastAsia" w:ascii="宋体" w:hAnsi="宋体" w:eastAsia="宋体" w:cs="宋体"/>
                <w:color w:val="auto"/>
                <w:sz w:val="24"/>
                <w:szCs w:val="24"/>
                <w:highlight w:val="none"/>
              </w:rPr>
            </w:pPr>
          </w:p>
        </w:tc>
        <w:tc>
          <w:tcPr>
            <w:tcW w:w="1312" w:type="dxa"/>
            <w:tcBorders>
              <w:top w:val="single" w:color="000000" w:sz="6" w:space="0"/>
              <w:left w:val="single" w:color="000000" w:sz="6" w:space="0"/>
              <w:bottom w:val="single" w:color="000000" w:sz="6" w:space="0"/>
              <w:right w:val="single" w:color="000000" w:sz="6" w:space="0"/>
            </w:tcBorders>
            <w:tcMar>
              <w:bottom w:w="0" w:type="dxa"/>
            </w:tcMar>
            <w:vAlign w:val="center"/>
          </w:tcPr>
          <w:p w14:paraId="33E46059">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违规分析</w:t>
            </w:r>
          </w:p>
        </w:tc>
        <w:tc>
          <w:tcPr>
            <w:tcW w:w="5604" w:type="dxa"/>
            <w:tcBorders>
              <w:top w:val="single" w:color="000000" w:sz="6" w:space="0"/>
              <w:left w:val="single" w:color="000000" w:sz="6" w:space="0"/>
              <w:bottom w:val="single" w:color="000000" w:sz="6" w:space="0"/>
              <w:right w:val="single" w:color="000000" w:sz="6" w:space="0"/>
            </w:tcBorders>
            <w:tcMar>
              <w:bottom w:w="0" w:type="dxa"/>
            </w:tcMar>
          </w:tcPr>
          <w:p w14:paraId="1E564820">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1.系统提供灵活的违规费用分析、违反规则分析及功能，为医院对审核中存在的问题进行针对性地改善和提高提供数据依据。</w:t>
            </w:r>
          </w:p>
          <w:p w14:paraId="60856A65">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违规费用分析支持查看月度项目违规趋势柱状图、违规项目类型排名、违规项目排名和各违规项目的使用人次、使用数量、涉及科室、涉及医生等。违反规则分析从违规规则角度统计违规数量、违规数量占比、违规金额、违规金额占比等关键指标。</w:t>
            </w:r>
          </w:p>
        </w:tc>
      </w:tr>
      <w:tr w14:paraId="4BDE2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744" w:type="dxa"/>
            <w:vMerge w:val="continue"/>
            <w:tcBorders>
              <w:top w:val="single" w:color="000000" w:sz="0" w:space="0"/>
              <w:left w:val="single" w:color="000000" w:sz="6" w:space="0"/>
              <w:bottom w:val="single" w:color="000000" w:sz="6" w:space="0"/>
              <w:right w:val="single" w:color="000000" w:sz="6" w:space="0"/>
            </w:tcBorders>
            <w:tcMar>
              <w:bottom w:w="0" w:type="dxa"/>
            </w:tcMar>
            <w:vAlign w:val="center"/>
          </w:tcPr>
          <w:p w14:paraId="4CD26AF8">
            <w:pPr>
              <w:spacing w:line="240" w:lineRule="auto"/>
              <w:rPr>
                <w:rFonts w:hint="eastAsia" w:ascii="宋体" w:hAnsi="宋体" w:eastAsia="宋体" w:cs="宋体"/>
                <w:color w:val="auto"/>
                <w:sz w:val="24"/>
                <w:szCs w:val="24"/>
                <w:highlight w:val="none"/>
              </w:rPr>
            </w:pPr>
          </w:p>
        </w:tc>
        <w:tc>
          <w:tcPr>
            <w:tcW w:w="704" w:type="dxa"/>
            <w:vMerge w:val="continue"/>
            <w:tcBorders>
              <w:left w:val="single" w:color="000000" w:sz="6" w:space="0"/>
              <w:right w:val="single" w:color="000000" w:sz="6" w:space="0"/>
            </w:tcBorders>
            <w:tcMar>
              <w:bottom w:w="0" w:type="dxa"/>
            </w:tcMar>
            <w:vAlign w:val="center"/>
          </w:tcPr>
          <w:p w14:paraId="3596661F">
            <w:pPr>
              <w:spacing w:line="240" w:lineRule="auto"/>
              <w:rPr>
                <w:rFonts w:hint="eastAsia" w:ascii="宋体" w:hAnsi="宋体" w:eastAsia="宋体" w:cs="宋体"/>
                <w:color w:val="auto"/>
                <w:sz w:val="24"/>
                <w:szCs w:val="24"/>
                <w:highlight w:val="none"/>
              </w:rPr>
            </w:pPr>
          </w:p>
        </w:tc>
        <w:tc>
          <w:tcPr>
            <w:tcW w:w="1038" w:type="dxa"/>
            <w:vMerge w:val="continue"/>
            <w:tcBorders>
              <w:top w:val="single" w:color="000000" w:sz="0" w:space="0"/>
              <w:left w:val="single" w:color="000000" w:sz="6" w:space="0"/>
              <w:bottom w:val="single" w:color="000000" w:sz="6" w:space="0"/>
              <w:right w:val="single" w:color="000000" w:sz="6" w:space="0"/>
            </w:tcBorders>
            <w:tcMar>
              <w:bottom w:w="0" w:type="dxa"/>
            </w:tcMar>
            <w:vAlign w:val="center"/>
          </w:tcPr>
          <w:p w14:paraId="4DB77A9F">
            <w:pPr>
              <w:spacing w:line="240" w:lineRule="auto"/>
              <w:rPr>
                <w:rFonts w:hint="eastAsia" w:ascii="宋体" w:hAnsi="宋体" w:eastAsia="宋体" w:cs="宋体"/>
                <w:color w:val="auto"/>
                <w:sz w:val="24"/>
                <w:szCs w:val="24"/>
                <w:highlight w:val="none"/>
              </w:rPr>
            </w:pPr>
          </w:p>
        </w:tc>
        <w:tc>
          <w:tcPr>
            <w:tcW w:w="1312" w:type="dxa"/>
            <w:tcBorders>
              <w:top w:val="single" w:color="000000" w:sz="6" w:space="0"/>
              <w:left w:val="single" w:color="000000" w:sz="6" w:space="0"/>
              <w:bottom w:val="single" w:color="000000" w:sz="6" w:space="0"/>
              <w:right w:val="single" w:color="000000" w:sz="6" w:space="0"/>
            </w:tcBorders>
            <w:tcMar>
              <w:bottom w:w="0" w:type="dxa"/>
            </w:tcMar>
            <w:vAlign w:val="center"/>
          </w:tcPr>
          <w:p w14:paraId="5DF0C6DB">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明细查询</w:t>
            </w:r>
          </w:p>
        </w:tc>
        <w:tc>
          <w:tcPr>
            <w:tcW w:w="5604" w:type="dxa"/>
            <w:tcBorders>
              <w:top w:val="single" w:color="000000" w:sz="6" w:space="0"/>
              <w:left w:val="single" w:color="000000" w:sz="6" w:space="0"/>
              <w:bottom w:val="single" w:color="000000" w:sz="6" w:space="0"/>
              <w:right w:val="single" w:color="000000" w:sz="6" w:space="0"/>
            </w:tcBorders>
            <w:tcMar>
              <w:bottom w:w="0" w:type="dxa"/>
            </w:tcMar>
          </w:tcPr>
          <w:p w14:paraId="377F0ECA">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1.支持不同审核场景的单据明细项目查询。</w:t>
            </w:r>
          </w:p>
          <w:p w14:paraId="6C581B16">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2.支持场景、是否违规、违规规则、项目类型等多种查询条件自定义；</w:t>
            </w:r>
          </w:p>
          <w:p w14:paraId="424DE049">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3.支持数据导出。</w:t>
            </w:r>
          </w:p>
        </w:tc>
      </w:tr>
      <w:tr w14:paraId="2B961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744" w:type="dxa"/>
            <w:vMerge w:val="restart"/>
            <w:tcBorders>
              <w:top w:val="single" w:color="000000" w:sz="6" w:space="0"/>
              <w:left w:val="single" w:color="000000" w:sz="6" w:space="0"/>
              <w:bottom w:val="single" w:color="000000" w:sz="6" w:space="0"/>
              <w:right w:val="single" w:color="000000" w:sz="6" w:space="0"/>
            </w:tcBorders>
            <w:tcMar>
              <w:bottom w:w="0" w:type="dxa"/>
            </w:tcMar>
            <w:vAlign w:val="center"/>
          </w:tcPr>
          <w:p w14:paraId="3A25A82B">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704" w:type="dxa"/>
            <w:vMerge w:val="continue"/>
            <w:tcBorders>
              <w:left w:val="single" w:color="000000" w:sz="6" w:space="0"/>
              <w:right w:val="single" w:color="000000" w:sz="6" w:space="0"/>
            </w:tcBorders>
            <w:tcMar>
              <w:bottom w:w="0" w:type="dxa"/>
            </w:tcMar>
            <w:vAlign w:val="center"/>
          </w:tcPr>
          <w:p w14:paraId="4DE31109">
            <w:pPr>
              <w:spacing w:line="240" w:lineRule="auto"/>
              <w:rPr>
                <w:rFonts w:hint="eastAsia" w:ascii="宋体" w:hAnsi="宋体" w:eastAsia="宋体" w:cs="宋体"/>
                <w:color w:val="auto"/>
                <w:sz w:val="24"/>
                <w:szCs w:val="24"/>
                <w:highlight w:val="none"/>
              </w:rPr>
            </w:pPr>
          </w:p>
        </w:tc>
        <w:tc>
          <w:tcPr>
            <w:tcW w:w="1038" w:type="dxa"/>
            <w:vMerge w:val="restart"/>
            <w:tcBorders>
              <w:top w:val="single" w:color="000000" w:sz="6" w:space="0"/>
              <w:left w:val="single" w:color="000000" w:sz="6" w:space="0"/>
              <w:bottom w:val="single" w:color="000000" w:sz="6" w:space="0"/>
              <w:right w:val="single" w:color="000000" w:sz="6" w:space="0"/>
            </w:tcBorders>
            <w:tcMar>
              <w:bottom w:w="0" w:type="dxa"/>
            </w:tcMar>
            <w:vAlign w:val="center"/>
          </w:tcPr>
          <w:p w14:paraId="6A047954">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审核管理</w:t>
            </w:r>
          </w:p>
        </w:tc>
        <w:tc>
          <w:tcPr>
            <w:tcW w:w="1312" w:type="dxa"/>
            <w:tcBorders>
              <w:top w:val="single" w:color="000000" w:sz="6" w:space="0"/>
              <w:left w:val="single" w:color="000000" w:sz="6" w:space="0"/>
              <w:bottom w:val="single" w:color="000000" w:sz="6" w:space="0"/>
              <w:right w:val="single" w:color="000000" w:sz="6" w:space="0"/>
            </w:tcBorders>
            <w:tcMar>
              <w:bottom w:w="0" w:type="dxa"/>
            </w:tcMar>
            <w:vAlign w:val="center"/>
          </w:tcPr>
          <w:p w14:paraId="2C594F1D">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规则设置</w:t>
            </w:r>
          </w:p>
        </w:tc>
        <w:tc>
          <w:tcPr>
            <w:tcW w:w="5604" w:type="dxa"/>
            <w:tcBorders>
              <w:top w:val="single" w:color="000000" w:sz="6" w:space="0"/>
              <w:left w:val="single" w:color="000000" w:sz="6" w:space="0"/>
              <w:bottom w:val="single" w:color="000000" w:sz="6" w:space="0"/>
              <w:right w:val="single" w:color="000000" w:sz="6" w:space="0"/>
            </w:tcBorders>
            <w:tcMar>
              <w:bottom w:w="0" w:type="dxa"/>
            </w:tcMar>
          </w:tcPr>
          <w:p w14:paraId="3015C82C">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1.提供审核规则管理，主要规则编码、规则名称、规则级别、规则数据等；</w:t>
            </w:r>
          </w:p>
          <w:p w14:paraId="3FCB3CCB">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2.提供针对医保药品、诊疗项目、医用材料等多种审核规则等。规则细类设计可以包含但不仅限于以下分类：</w:t>
            </w:r>
          </w:p>
          <w:p w14:paraId="52E47EA5">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重复收费;(2)中药饮片审核;(3)超临床常规治疗频次;(4)非基本医疗保险目录;(5)限定性别审核;(6)限儿童;(7)超限定数量;(8)超限定价格;(9)限定医院类型级别;(10)限定就医方式;(11)分解住院;(12)超限定频次;(13)违反项目匹配;(14)违反限定适应症(条件)用药等</w:t>
            </w:r>
          </w:p>
          <w:p w14:paraId="4A8E2455">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3.可根据需求自定义规则逻辑、添加规则数据。</w:t>
            </w:r>
          </w:p>
        </w:tc>
      </w:tr>
      <w:tr w14:paraId="2C15F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Merge w:val="continue"/>
            <w:tcBorders>
              <w:top w:val="single" w:color="000000" w:sz="6" w:space="0"/>
              <w:left w:val="single" w:color="000000" w:sz="6" w:space="0"/>
              <w:bottom w:val="single" w:color="000000" w:sz="6" w:space="0"/>
              <w:right w:val="single" w:color="000000" w:sz="6" w:space="0"/>
            </w:tcBorders>
            <w:tcMar>
              <w:bottom w:w="0" w:type="dxa"/>
            </w:tcMar>
            <w:vAlign w:val="center"/>
          </w:tcPr>
          <w:p w14:paraId="2B3067B7">
            <w:pPr>
              <w:spacing w:line="240" w:lineRule="auto"/>
              <w:rPr>
                <w:rFonts w:hint="eastAsia" w:ascii="宋体" w:hAnsi="宋体" w:eastAsia="宋体" w:cs="宋体"/>
                <w:color w:val="auto"/>
                <w:sz w:val="24"/>
                <w:szCs w:val="24"/>
                <w:highlight w:val="none"/>
              </w:rPr>
            </w:pPr>
          </w:p>
        </w:tc>
        <w:tc>
          <w:tcPr>
            <w:tcW w:w="704" w:type="dxa"/>
            <w:vMerge w:val="continue"/>
            <w:tcBorders>
              <w:left w:val="single" w:color="000000" w:sz="6" w:space="0"/>
              <w:right w:val="single" w:color="000000" w:sz="6" w:space="0"/>
            </w:tcBorders>
            <w:tcMar>
              <w:bottom w:w="0" w:type="dxa"/>
            </w:tcMar>
            <w:vAlign w:val="center"/>
          </w:tcPr>
          <w:p w14:paraId="26E1A472">
            <w:pPr>
              <w:spacing w:line="240" w:lineRule="auto"/>
              <w:rPr>
                <w:rFonts w:hint="eastAsia" w:ascii="宋体" w:hAnsi="宋体" w:eastAsia="宋体" w:cs="宋体"/>
                <w:color w:val="auto"/>
                <w:sz w:val="24"/>
                <w:szCs w:val="24"/>
                <w:highlight w:val="none"/>
              </w:rPr>
            </w:pPr>
          </w:p>
        </w:tc>
        <w:tc>
          <w:tcPr>
            <w:tcW w:w="1038" w:type="dxa"/>
            <w:vMerge w:val="continue"/>
            <w:tcBorders>
              <w:top w:val="single" w:color="000000" w:sz="6" w:space="0"/>
              <w:left w:val="single" w:color="000000" w:sz="6" w:space="0"/>
              <w:bottom w:val="single" w:color="000000" w:sz="6" w:space="0"/>
              <w:right w:val="single" w:color="000000" w:sz="6" w:space="0"/>
            </w:tcBorders>
            <w:tcMar>
              <w:bottom w:w="0" w:type="dxa"/>
            </w:tcMar>
            <w:vAlign w:val="center"/>
          </w:tcPr>
          <w:p w14:paraId="3168ADB8">
            <w:pPr>
              <w:spacing w:line="240" w:lineRule="auto"/>
              <w:rPr>
                <w:rFonts w:hint="eastAsia" w:ascii="宋体" w:hAnsi="宋体" w:eastAsia="宋体" w:cs="宋体"/>
                <w:color w:val="auto"/>
                <w:sz w:val="24"/>
                <w:szCs w:val="24"/>
                <w:highlight w:val="none"/>
              </w:rPr>
            </w:pPr>
          </w:p>
        </w:tc>
        <w:tc>
          <w:tcPr>
            <w:tcW w:w="1312" w:type="dxa"/>
            <w:tcBorders>
              <w:top w:val="single" w:color="000000" w:sz="6" w:space="0"/>
              <w:left w:val="single" w:color="000000" w:sz="6" w:space="0"/>
              <w:bottom w:val="single" w:color="000000" w:sz="6" w:space="0"/>
              <w:right w:val="single" w:color="000000" w:sz="6" w:space="0"/>
            </w:tcBorders>
            <w:tcMar>
              <w:bottom w:w="0" w:type="dxa"/>
            </w:tcMar>
            <w:vAlign w:val="center"/>
          </w:tcPr>
          <w:p w14:paraId="52DC7998">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场景审核配置</w:t>
            </w:r>
          </w:p>
        </w:tc>
        <w:tc>
          <w:tcPr>
            <w:tcW w:w="5604" w:type="dxa"/>
            <w:tcBorders>
              <w:top w:val="single" w:color="000000" w:sz="6" w:space="0"/>
              <w:left w:val="single" w:color="000000" w:sz="6" w:space="0"/>
              <w:bottom w:val="single" w:color="000000" w:sz="6" w:space="0"/>
              <w:right w:val="single" w:color="000000" w:sz="6" w:space="0"/>
            </w:tcBorders>
            <w:tcMar>
              <w:bottom w:w="0" w:type="dxa"/>
            </w:tcMar>
          </w:tcPr>
          <w:p w14:paraId="7D4C9B86">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支持医院根据院内审核需要，基于门诊、住院不同场景分别配置审核规则，以便灵活应对各场景的审核要点</w:t>
            </w:r>
          </w:p>
        </w:tc>
      </w:tr>
      <w:tr w14:paraId="4493B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744" w:type="dxa"/>
            <w:vMerge w:val="continue"/>
            <w:tcBorders>
              <w:top w:val="single" w:color="000000" w:sz="6" w:space="0"/>
              <w:left w:val="single" w:color="000000" w:sz="6" w:space="0"/>
              <w:bottom w:val="single" w:color="000000" w:sz="6" w:space="0"/>
              <w:right w:val="single" w:color="000000" w:sz="6" w:space="0"/>
            </w:tcBorders>
            <w:tcMar>
              <w:bottom w:w="0" w:type="dxa"/>
            </w:tcMar>
            <w:vAlign w:val="center"/>
          </w:tcPr>
          <w:p w14:paraId="213E3057">
            <w:pPr>
              <w:spacing w:line="240" w:lineRule="auto"/>
              <w:rPr>
                <w:rFonts w:hint="eastAsia" w:ascii="宋体" w:hAnsi="宋体" w:eastAsia="宋体" w:cs="宋体"/>
                <w:color w:val="auto"/>
                <w:sz w:val="24"/>
                <w:szCs w:val="24"/>
                <w:highlight w:val="none"/>
              </w:rPr>
            </w:pPr>
          </w:p>
        </w:tc>
        <w:tc>
          <w:tcPr>
            <w:tcW w:w="704" w:type="dxa"/>
            <w:vMerge w:val="continue"/>
            <w:tcBorders>
              <w:left w:val="single" w:color="000000" w:sz="6" w:space="0"/>
              <w:right w:val="single" w:color="000000" w:sz="6" w:space="0"/>
            </w:tcBorders>
            <w:tcMar>
              <w:bottom w:w="0" w:type="dxa"/>
            </w:tcMar>
            <w:vAlign w:val="center"/>
          </w:tcPr>
          <w:p w14:paraId="35604645">
            <w:pPr>
              <w:spacing w:line="240" w:lineRule="auto"/>
              <w:rPr>
                <w:rFonts w:hint="eastAsia" w:ascii="宋体" w:hAnsi="宋体" w:eastAsia="宋体" w:cs="宋体"/>
                <w:color w:val="auto"/>
                <w:sz w:val="24"/>
                <w:szCs w:val="24"/>
                <w:highlight w:val="none"/>
              </w:rPr>
            </w:pPr>
          </w:p>
        </w:tc>
        <w:tc>
          <w:tcPr>
            <w:tcW w:w="1038" w:type="dxa"/>
            <w:vMerge w:val="continue"/>
            <w:tcBorders>
              <w:top w:val="single" w:color="000000" w:sz="6" w:space="0"/>
              <w:left w:val="single" w:color="000000" w:sz="6" w:space="0"/>
              <w:bottom w:val="single" w:color="000000" w:sz="6" w:space="0"/>
              <w:right w:val="single" w:color="000000" w:sz="6" w:space="0"/>
            </w:tcBorders>
            <w:tcMar>
              <w:bottom w:w="0" w:type="dxa"/>
            </w:tcMar>
            <w:vAlign w:val="center"/>
          </w:tcPr>
          <w:p w14:paraId="48F692A3">
            <w:pPr>
              <w:spacing w:line="240" w:lineRule="auto"/>
              <w:rPr>
                <w:rFonts w:hint="eastAsia" w:ascii="宋体" w:hAnsi="宋体" w:eastAsia="宋体" w:cs="宋体"/>
                <w:color w:val="auto"/>
                <w:sz w:val="24"/>
                <w:szCs w:val="24"/>
                <w:highlight w:val="none"/>
              </w:rPr>
            </w:pPr>
          </w:p>
        </w:tc>
        <w:tc>
          <w:tcPr>
            <w:tcW w:w="1312" w:type="dxa"/>
            <w:tcBorders>
              <w:top w:val="single" w:color="000000" w:sz="6" w:space="0"/>
              <w:left w:val="single" w:color="000000" w:sz="6" w:space="0"/>
              <w:bottom w:val="single" w:color="000000" w:sz="6" w:space="0"/>
              <w:right w:val="single" w:color="000000" w:sz="6" w:space="0"/>
            </w:tcBorders>
            <w:tcMar>
              <w:bottom w:w="0" w:type="dxa"/>
            </w:tcMar>
            <w:vAlign w:val="center"/>
          </w:tcPr>
          <w:p w14:paraId="2C360D08">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参数配置</w:t>
            </w:r>
          </w:p>
        </w:tc>
        <w:tc>
          <w:tcPr>
            <w:tcW w:w="5604" w:type="dxa"/>
            <w:tcBorders>
              <w:top w:val="single" w:color="000000" w:sz="6" w:space="0"/>
              <w:left w:val="single" w:color="000000" w:sz="6" w:space="0"/>
              <w:bottom w:val="single" w:color="000000" w:sz="6" w:space="0"/>
              <w:right w:val="single" w:color="000000" w:sz="6" w:space="0"/>
            </w:tcBorders>
            <w:tcMar>
              <w:bottom w:w="0" w:type="dxa"/>
            </w:tcMar>
          </w:tcPr>
          <w:p w14:paraId="1889FA18">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1.支持不同规则配置不同的规则级别。</w:t>
            </w:r>
          </w:p>
          <w:p w14:paraId="3A417916">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2.根据规则级别的严重程度配置级别管理属性，如强制阻断、需说明等</w:t>
            </w:r>
          </w:p>
          <w:p w14:paraId="31DFD348">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3.可根据医院情况配置规则参数。</w:t>
            </w:r>
          </w:p>
        </w:tc>
      </w:tr>
      <w:tr w14:paraId="55FE3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744" w:type="dxa"/>
            <w:vMerge w:val="restart"/>
            <w:tcBorders>
              <w:top w:val="single" w:color="000000" w:sz="6" w:space="0"/>
              <w:left w:val="single" w:color="000000" w:sz="6" w:space="0"/>
              <w:bottom w:val="single" w:color="000000" w:sz="6" w:space="0"/>
              <w:right w:val="single" w:color="000000" w:sz="6" w:space="0"/>
            </w:tcBorders>
            <w:tcMar>
              <w:bottom w:w="0" w:type="dxa"/>
            </w:tcMar>
            <w:vAlign w:val="center"/>
          </w:tcPr>
          <w:p w14:paraId="5E28D1C1">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704" w:type="dxa"/>
            <w:vMerge w:val="continue"/>
            <w:tcBorders>
              <w:left w:val="single" w:color="000000" w:sz="6" w:space="0"/>
              <w:right w:val="single" w:color="000000" w:sz="6" w:space="0"/>
            </w:tcBorders>
            <w:tcMar>
              <w:bottom w:w="0" w:type="dxa"/>
            </w:tcMar>
            <w:vAlign w:val="center"/>
          </w:tcPr>
          <w:p w14:paraId="3588DD9D">
            <w:pPr>
              <w:spacing w:line="240" w:lineRule="auto"/>
              <w:rPr>
                <w:rFonts w:hint="eastAsia" w:ascii="宋体" w:hAnsi="宋体" w:eastAsia="宋体" w:cs="宋体"/>
                <w:color w:val="auto"/>
                <w:sz w:val="24"/>
                <w:szCs w:val="24"/>
                <w:highlight w:val="none"/>
              </w:rPr>
            </w:pPr>
          </w:p>
        </w:tc>
        <w:tc>
          <w:tcPr>
            <w:tcW w:w="1038" w:type="dxa"/>
            <w:vMerge w:val="restart"/>
            <w:tcBorders>
              <w:top w:val="single" w:color="000000" w:sz="6" w:space="0"/>
              <w:left w:val="single" w:color="000000" w:sz="6" w:space="0"/>
              <w:bottom w:val="single" w:color="000000" w:sz="6" w:space="0"/>
              <w:right w:val="single" w:color="000000" w:sz="6" w:space="0"/>
            </w:tcBorders>
            <w:tcMar>
              <w:bottom w:w="0" w:type="dxa"/>
            </w:tcMar>
            <w:vAlign w:val="center"/>
          </w:tcPr>
          <w:p w14:paraId="397C55B6">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知识库管理</w:t>
            </w:r>
          </w:p>
        </w:tc>
        <w:tc>
          <w:tcPr>
            <w:tcW w:w="1312" w:type="dxa"/>
            <w:tcBorders>
              <w:top w:val="single" w:color="000000" w:sz="6" w:space="0"/>
              <w:left w:val="single" w:color="000000" w:sz="6" w:space="0"/>
              <w:bottom w:val="single" w:color="000000" w:sz="6" w:space="0"/>
              <w:right w:val="single" w:color="000000" w:sz="6" w:space="0"/>
            </w:tcBorders>
            <w:tcMar>
              <w:bottom w:w="0" w:type="dxa"/>
            </w:tcMar>
            <w:vAlign w:val="center"/>
          </w:tcPr>
          <w:p w14:paraId="5AD14684">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医保项目目录</w:t>
            </w:r>
          </w:p>
        </w:tc>
        <w:tc>
          <w:tcPr>
            <w:tcW w:w="5604" w:type="dxa"/>
            <w:tcBorders>
              <w:top w:val="single" w:color="000000" w:sz="6" w:space="0"/>
              <w:left w:val="single" w:color="000000" w:sz="6" w:space="0"/>
              <w:bottom w:val="single" w:color="000000" w:sz="6" w:space="0"/>
              <w:right w:val="single" w:color="000000" w:sz="6" w:space="0"/>
            </w:tcBorders>
            <w:tcMar>
              <w:bottom w:w="0" w:type="dxa"/>
            </w:tcMar>
            <w:vAlign w:val="center"/>
          </w:tcPr>
          <w:p w14:paraId="4DC80929">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支持查看和检索国家医保药品分类与代码 (2021版)、国家医保药品分类与代码（中药饮片）、国家医保服务项目信息、国家医保医用耗材分类与代码。</w:t>
            </w:r>
          </w:p>
        </w:tc>
      </w:tr>
      <w:tr w14:paraId="7F62C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Merge w:val="continue"/>
            <w:tcBorders>
              <w:top w:val="single" w:color="000000" w:sz="6" w:space="0"/>
              <w:left w:val="single" w:color="000000" w:sz="6" w:space="0"/>
              <w:bottom w:val="single" w:color="000000" w:sz="6" w:space="0"/>
              <w:right w:val="single" w:color="000000" w:sz="6" w:space="0"/>
            </w:tcBorders>
            <w:tcMar>
              <w:bottom w:w="0" w:type="dxa"/>
            </w:tcMar>
            <w:vAlign w:val="center"/>
          </w:tcPr>
          <w:p w14:paraId="0E6C27A7">
            <w:pPr>
              <w:spacing w:line="240" w:lineRule="auto"/>
              <w:rPr>
                <w:rFonts w:hint="eastAsia" w:ascii="宋体" w:hAnsi="宋体" w:eastAsia="宋体" w:cs="宋体"/>
                <w:color w:val="auto"/>
                <w:sz w:val="24"/>
                <w:szCs w:val="24"/>
                <w:highlight w:val="none"/>
              </w:rPr>
            </w:pPr>
          </w:p>
        </w:tc>
        <w:tc>
          <w:tcPr>
            <w:tcW w:w="704" w:type="dxa"/>
            <w:vMerge w:val="continue"/>
            <w:tcBorders>
              <w:left w:val="single" w:color="000000" w:sz="6" w:space="0"/>
              <w:right w:val="single" w:color="000000" w:sz="6" w:space="0"/>
            </w:tcBorders>
            <w:tcMar>
              <w:bottom w:w="0" w:type="dxa"/>
            </w:tcMar>
            <w:vAlign w:val="center"/>
          </w:tcPr>
          <w:p w14:paraId="5D93F3DE">
            <w:pPr>
              <w:spacing w:line="240" w:lineRule="auto"/>
              <w:rPr>
                <w:rFonts w:hint="eastAsia" w:ascii="宋体" w:hAnsi="宋体" w:eastAsia="宋体" w:cs="宋体"/>
                <w:color w:val="auto"/>
                <w:sz w:val="24"/>
                <w:szCs w:val="24"/>
                <w:highlight w:val="none"/>
              </w:rPr>
            </w:pPr>
          </w:p>
        </w:tc>
        <w:tc>
          <w:tcPr>
            <w:tcW w:w="1038" w:type="dxa"/>
            <w:vMerge w:val="continue"/>
            <w:tcBorders>
              <w:top w:val="single" w:color="000000" w:sz="6" w:space="0"/>
              <w:left w:val="single" w:color="000000" w:sz="6" w:space="0"/>
              <w:bottom w:val="single" w:color="000000" w:sz="6" w:space="0"/>
              <w:right w:val="single" w:color="000000" w:sz="6" w:space="0"/>
            </w:tcBorders>
            <w:tcMar>
              <w:bottom w:w="0" w:type="dxa"/>
            </w:tcMar>
            <w:vAlign w:val="center"/>
          </w:tcPr>
          <w:p w14:paraId="03A66CB3">
            <w:pPr>
              <w:spacing w:line="240" w:lineRule="auto"/>
              <w:rPr>
                <w:rFonts w:hint="eastAsia" w:ascii="宋体" w:hAnsi="宋体" w:eastAsia="宋体" w:cs="宋体"/>
                <w:color w:val="auto"/>
                <w:sz w:val="24"/>
                <w:szCs w:val="24"/>
                <w:highlight w:val="none"/>
              </w:rPr>
            </w:pPr>
          </w:p>
        </w:tc>
        <w:tc>
          <w:tcPr>
            <w:tcW w:w="1312" w:type="dxa"/>
            <w:tcBorders>
              <w:top w:val="single" w:color="000000" w:sz="6" w:space="0"/>
              <w:left w:val="single" w:color="000000" w:sz="6" w:space="0"/>
              <w:bottom w:val="single" w:color="000000" w:sz="6" w:space="0"/>
              <w:right w:val="single" w:color="000000" w:sz="6" w:space="0"/>
            </w:tcBorders>
            <w:tcMar>
              <w:bottom w:w="0" w:type="dxa"/>
            </w:tcMar>
            <w:vAlign w:val="center"/>
          </w:tcPr>
          <w:p w14:paraId="6A4EAED8">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中医诊断</w:t>
            </w:r>
          </w:p>
        </w:tc>
        <w:tc>
          <w:tcPr>
            <w:tcW w:w="5604" w:type="dxa"/>
            <w:tcBorders>
              <w:top w:val="single" w:color="000000" w:sz="6" w:space="0"/>
              <w:left w:val="single" w:color="000000" w:sz="6" w:space="0"/>
              <w:bottom w:val="single" w:color="000000" w:sz="6" w:space="0"/>
              <w:right w:val="single" w:color="000000" w:sz="6" w:space="0"/>
            </w:tcBorders>
            <w:tcMar>
              <w:bottom w:w="0" w:type="dxa"/>
            </w:tcMar>
            <w:vAlign w:val="center"/>
          </w:tcPr>
          <w:p w14:paraId="29EB79D2">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支持查看和检索中医疾病分类与代码、中医证候分类与代码。</w:t>
            </w:r>
          </w:p>
        </w:tc>
      </w:tr>
      <w:tr w14:paraId="326F7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744" w:type="dxa"/>
            <w:vMerge w:val="continue"/>
            <w:tcBorders>
              <w:top w:val="single" w:color="000000" w:sz="6" w:space="0"/>
              <w:left w:val="single" w:color="000000" w:sz="6" w:space="0"/>
              <w:bottom w:val="single" w:color="000000" w:sz="6" w:space="0"/>
              <w:right w:val="single" w:color="000000" w:sz="6" w:space="0"/>
            </w:tcBorders>
            <w:tcMar>
              <w:bottom w:w="0" w:type="dxa"/>
            </w:tcMar>
            <w:vAlign w:val="center"/>
          </w:tcPr>
          <w:p w14:paraId="7F2A5BB3">
            <w:pPr>
              <w:spacing w:line="240" w:lineRule="auto"/>
              <w:rPr>
                <w:rFonts w:hint="eastAsia" w:ascii="宋体" w:hAnsi="宋体" w:eastAsia="宋体" w:cs="宋体"/>
                <w:color w:val="auto"/>
                <w:sz w:val="24"/>
                <w:szCs w:val="24"/>
                <w:highlight w:val="none"/>
              </w:rPr>
            </w:pPr>
          </w:p>
        </w:tc>
        <w:tc>
          <w:tcPr>
            <w:tcW w:w="704" w:type="dxa"/>
            <w:vMerge w:val="continue"/>
            <w:tcBorders>
              <w:left w:val="single" w:color="000000" w:sz="6" w:space="0"/>
              <w:right w:val="single" w:color="000000" w:sz="6" w:space="0"/>
            </w:tcBorders>
            <w:tcMar>
              <w:bottom w:w="0" w:type="dxa"/>
            </w:tcMar>
            <w:vAlign w:val="center"/>
          </w:tcPr>
          <w:p w14:paraId="0E58A169">
            <w:pPr>
              <w:spacing w:line="240" w:lineRule="auto"/>
              <w:rPr>
                <w:rFonts w:hint="eastAsia" w:ascii="宋体" w:hAnsi="宋体" w:eastAsia="宋体" w:cs="宋体"/>
                <w:color w:val="auto"/>
                <w:sz w:val="24"/>
                <w:szCs w:val="24"/>
                <w:highlight w:val="none"/>
              </w:rPr>
            </w:pPr>
          </w:p>
        </w:tc>
        <w:tc>
          <w:tcPr>
            <w:tcW w:w="1038" w:type="dxa"/>
            <w:vMerge w:val="continue"/>
            <w:tcBorders>
              <w:top w:val="single" w:color="000000" w:sz="6" w:space="0"/>
              <w:left w:val="single" w:color="000000" w:sz="6" w:space="0"/>
              <w:bottom w:val="single" w:color="000000" w:sz="6" w:space="0"/>
              <w:right w:val="single" w:color="000000" w:sz="6" w:space="0"/>
            </w:tcBorders>
            <w:tcMar>
              <w:bottom w:w="0" w:type="dxa"/>
            </w:tcMar>
            <w:vAlign w:val="center"/>
          </w:tcPr>
          <w:p w14:paraId="0FB14A5E">
            <w:pPr>
              <w:spacing w:line="240" w:lineRule="auto"/>
              <w:rPr>
                <w:rFonts w:hint="eastAsia" w:ascii="宋体" w:hAnsi="宋体" w:eastAsia="宋体" w:cs="宋体"/>
                <w:color w:val="auto"/>
                <w:sz w:val="24"/>
                <w:szCs w:val="24"/>
                <w:highlight w:val="none"/>
              </w:rPr>
            </w:pPr>
          </w:p>
        </w:tc>
        <w:tc>
          <w:tcPr>
            <w:tcW w:w="1312" w:type="dxa"/>
            <w:tcBorders>
              <w:top w:val="single" w:color="000000" w:sz="6" w:space="0"/>
              <w:left w:val="single" w:color="000000" w:sz="6" w:space="0"/>
              <w:bottom w:val="single" w:color="000000" w:sz="6" w:space="0"/>
              <w:right w:val="single" w:color="000000" w:sz="6" w:space="0"/>
            </w:tcBorders>
            <w:tcMar>
              <w:bottom w:w="0" w:type="dxa"/>
            </w:tcMar>
            <w:vAlign w:val="center"/>
          </w:tcPr>
          <w:p w14:paraId="5D33B872">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西医诊断手术</w:t>
            </w:r>
          </w:p>
        </w:tc>
        <w:tc>
          <w:tcPr>
            <w:tcW w:w="5604" w:type="dxa"/>
            <w:tcBorders>
              <w:top w:val="single" w:color="000000" w:sz="6" w:space="0"/>
              <w:left w:val="single" w:color="000000" w:sz="6" w:space="0"/>
              <w:bottom w:val="single" w:color="000000" w:sz="6" w:space="0"/>
              <w:right w:val="single" w:color="000000" w:sz="6" w:space="0"/>
            </w:tcBorders>
            <w:tcMar>
              <w:bottom w:w="0" w:type="dxa"/>
            </w:tcMar>
            <w:vAlign w:val="center"/>
          </w:tcPr>
          <w:p w14:paraId="23EB499C">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支持查看和检索ICD-10国家临床版2.0、ICD-9-CM3国家临床版2.0、ICD-10医保版CHS1.0、ICD-10医保版CHS2.0、ICD-9CM3医保版CHS1.0、ICD-9CM3医保版CHS2.0。</w:t>
            </w:r>
          </w:p>
        </w:tc>
      </w:tr>
      <w:tr w14:paraId="1229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744" w:type="dxa"/>
            <w:tcBorders>
              <w:top w:val="single" w:color="000000" w:sz="6" w:space="0"/>
              <w:left w:val="single" w:color="000000" w:sz="6" w:space="0"/>
              <w:bottom w:val="single" w:color="000000" w:sz="6" w:space="0"/>
              <w:right w:val="single" w:color="000000" w:sz="6" w:space="0"/>
            </w:tcBorders>
            <w:tcMar>
              <w:bottom w:w="0" w:type="dxa"/>
            </w:tcMar>
            <w:vAlign w:val="center"/>
          </w:tcPr>
          <w:p w14:paraId="75B14440">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704" w:type="dxa"/>
            <w:vMerge w:val="continue"/>
            <w:tcBorders>
              <w:left w:val="single" w:color="000000" w:sz="6" w:space="0"/>
              <w:right w:val="single" w:color="000000" w:sz="6" w:space="0"/>
            </w:tcBorders>
            <w:tcMar>
              <w:bottom w:w="0" w:type="dxa"/>
            </w:tcMar>
            <w:vAlign w:val="center"/>
          </w:tcPr>
          <w:p w14:paraId="06D39321">
            <w:pPr>
              <w:spacing w:line="240" w:lineRule="auto"/>
              <w:rPr>
                <w:rFonts w:hint="eastAsia" w:ascii="宋体" w:hAnsi="宋体" w:eastAsia="宋体" w:cs="宋体"/>
                <w:color w:val="auto"/>
                <w:sz w:val="24"/>
                <w:szCs w:val="24"/>
                <w:highlight w:val="none"/>
              </w:rPr>
            </w:pPr>
          </w:p>
        </w:tc>
        <w:tc>
          <w:tcPr>
            <w:tcW w:w="1038" w:type="dxa"/>
            <w:tcBorders>
              <w:top w:val="single" w:color="000000" w:sz="6" w:space="0"/>
              <w:left w:val="single" w:color="000000" w:sz="6" w:space="0"/>
              <w:bottom w:val="single" w:color="000000" w:sz="6" w:space="0"/>
              <w:right w:val="single" w:color="000000" w:sz="6" w:space="0"/>
            </w:tcBorders>
            <w:tcMar>
              <w:bottom w:w="0" w:type="dxa"/>
            </w:tcMar>
            <w:vAlign w:val="center"/>
          </w:tcPr>
          <w:p w14:paraId="5AB06CDE">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系统管理</w:t>
            </w:r>
          </w:p>
        </w:tc>
        <w:tc>
          <w:tcPr>
            <w:tcW w:w="1312" w:type="dxa"/>
            <w:tcBorders>
              <w:top w:val="single" w:color="000000" w:sz="6" w:space="0"/>
              <w:left w:val="single" w:color="000000" w:sz="6" w:space="0"/>
              <w:bottom w:val="single" w:color="000000" w:sz="6" w:space="0"/>
              <w:right w:val="single" w:color="000000" w:sz="6" w:space="0"/>
            </w:tcBorders>
            <w:tcMar>
              <w:bottom w:w="0" w:type="dxa"/>
            </w:tcMar>
            <w:vAlign w:val="center"/>
          </w:tcPr>
          <w:p w14:paraId="0F9646E7">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场景配置</w:t>
            </w:r>
          </w:p>
        </w:tc>
        <w:tc>
          <w:tcPr>
            <w:tcW w:w="5604" w:type="dxa"/>
            <w:tcBorders>
              <w:top w:val="single" w:color="000000" w:sz="6" w:space="0"/>
              <w:left w:val="single" w:color="000000" w:sz="6" w:space="0"/>
              <w:bottom w:val="single" w:color="000000" w:sz="6" w:space="0"/>
              <w:right w:val="single" w:color="000000" w:sz="6" w:space="0"/>
            </w:tcBorders>
            <w:tcMar>
              <w:bottom w:w="0" w:type="dxa"/>
            </w:tcMar>
            <w:vAlign w:val="center"/>
          </w:tcPr>
          <w:p w14:paraId="5C3D2A83">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支持医院根据管理需求自定义配置审核场景及对应弹框类型、对接医保接口、展示维度及形式，辅助医院日常工作流程开展全方位审核。</w:t>
            </w:r>
          </w:p>
        </w:tc>
      </w:tr>
    </w:tbl>
    <w:p w14:paraId="091E5C7F">
      <w:pPr>
        <w:keepNext w:val="0"/>
        <w:keepLines w:val="0"/>
        <w:pageBreakBefore w:val="0"/>
        <w:widowControl w:val="0"/>
        <w:numPr>
          <w:ilvl w:val="0"/>
          <w:numId w:val="0"/>
        </w:numPr>
        <w:kinsoku/>
        <w:wordWrap/>
        <w:overflowPunct/>
        <w:topLinePunct w:val="0"/>
        <w:autoSpaceDE/>
        <w:autoSpaceDN/>
        <w:bidi w:val="0"/>
        <w:adjustRightInd/>
        <w:snapToGrid/>
        <w:spacing w:before="0" w:after="0" w:line="336" w:lineRule="auto"/>
        <w:ind w:left="567" w:leftChars="0" w:right="0" w:rightChars="0"/>
        <w:jc w:val="both"/>
        <w:textAlignment w:val="auto"/>
        <w:rPr>
          <w:rFonts w:hint="eastAsia" w:ascii="宋体" w:hAnsi="宋体" w:eastAsia="宋体" w:cs="宋体"/>
          <w:color w:val="auto"/>
          <w:spacing w:val="0"/>
          <w:position w:val="0"/>
          <w:sz w:val="21"/>
          <w:szCs w:val="21"/>
          <w:highlight w:val="none"/>
          <w:shd w:val="clear" w:color="auto" w:fill="auto"/>
        </w:rPr>
      </w:pPr>
    </w:p>
    <w:p w14:paraId="2B5D1BA1">
      <w:pPr>
        <w:pStyle w:val="23"/>
        <w:rPr>
          <w:rFonts w:hint="eastAsia" w:ascii="宋体" w:hAnsi="宋体"/>
          <w:bCs/>
          <w:color w:val="auto"/>
          <w:sz w:val="24"/>
          <w:highlight w:val="none"/>
          <w:lang w:val="en-US" w:eastAsia="zh-CN"/>
        </w:rPr>
      </w:pPr>
    </w:p>
    <w:p w14:paraId="0C08EF9A">
      <w:pPr>
        <w:pStyle w:val="53"/>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0"/>
        <w:jc w:val="left"/>
        <w:textAlignment w:val="auto"/>
        <w:rPr>
          <w:rFonts w:hint="eastAsia" w:ascii="宋体" w:hAnsi="宋体" w:eastAsia="宋体" w:cs="宋体"/>
          <w:b w:val="0"/>
          <w:bCs w:val="0"/>
          <w:color w:val="auto"/>
          <w:kern w:val="2"/>
          <w:sz w:val="21"/>
          <w:szCs w:val="24"/>
          <w:highlight w:val="none"/>
          <w:lang w:val="en-US" w:eastAsia="zh-CN" w:bidi="ar-SA"/>
        </w:rPr>
      </w:pPr>
    </w:p>
    <w:p w14:paraId="15262D99">
      <w:pPr>
        <w:pStyle w:val="23"/>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b/>
          <w:bCs/>
          <w:color w:val="auto"/>
          <w:sz w:val="21"/>
          <w:szCs w:val="21"/>
          <w:highlight w:val="none"/>
          <w:lang w:val="en-US" w:eastAsia="zh-CN"/>
        </w:rPr>
      </w:pPr>
    </w:p>
    <w:p w14:paraId="3E0908D4">
      <w:pPr>
        <w:pStyle w:val="23"/>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b/>
          <w:bCs/>
          <w:color w:val="auto"/>
          <w:sz w:val="21"/>
          <w:szCs w:val="21"/>
          <w:highlight w:val="none"/>
          <w:lang w:val="en-US" w:eastAsia="zh-CN"/>
        </w:rPr>
      </w:pPr>
    </w:p>
    <w:p w14:paraId="58670D60">
      <w:pPr>
        <w:rPr>
          <w:rFonts w:hint="eastAsia"/>
          <w:color w:val="auto"/>
          <w:highlight w:val="none"/>
          <w:lang w:val="en-US" w:eastAsia="zh-CN"/>
        </w:rPr>
      </w:pPr>
      <w:r>
        <w:rPr>
          <w:rFonts w:hint="eastAsia"/>
          <w:color w:val="auto"/>
          <w:highlight w:val="none"/>
          <w:lang w:val="en-US" w:eastAsia="zh-CN"/>
        </w:rPr>
        <w:br w:type="page"/>
      </w:r>
    </w:p>
    <w:p w14:paraId="3B9DDAA0">
      <w:pPr>
        <w:pStyle w:val="53"/>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default" w:ascii="宋体" w:hAnsi="宋体" w:eastAsia="宋体" w:cs="宋体"/>
          <w:b w:val="0"/>
          <w:bCs w:val="0"/>
          <w:color w:val="auto"/>
          <w:kern w:val="2"/>
          <w:sz w:val="21"/>
          <w:szCs w:val="24"/>
          <w:highlight w:val="none"/>
          <w:lang w:val="en-US" w:eastAsia="zh-CN" w:bidi="ar-SA"/>
        </w:rPr>
      </w:pPr>
    </w:p>
    <w:p w14:paraId="37811001">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63F137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96D22B6">
            <w:pPr>
              <w:pStyle w:val="14"/>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37F6659">
            <w:pPr>
              <w:pStyle w:val="14"/>
              <w:ind w:left="0" w:lef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自成交通知书发出之日起</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w:t>
            </w:r>
          </w:p>
        </w:tc>
      </w:tr>
      <w:tr w14:paraId="48BD10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8B0E0C6">
            <w:pPr>
              <w:pStyle w:val="14"/>
              <w:ind w:left="0" w:leftChars="0"/>
              <w:jc w:val="center"/>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06DE8508">
            <w:pPr>
              <w:pStyle w:val="14"/>
              <w:ind w:left="0" w:left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val="en-US" w:eastAsia="zh-CN"/>
              </w:rPr>
              <w:t>采购人指定地点。</w:t>
            </w:r>
          </w:p>
        </w:tc>
      </w:tr>
      <w:tr w14:paraId="09C641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1143A2D">
            <w:pPr>
              <w:pStyle w:val="14"/>
              <w:ind w:left="0" w:left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743A001">
            <w:pPr>
              <w:pStyle w:val="14"/>
              <w:ind w:left="0" w:leftChars="0"/>
              <w:jc w:val="left"/>
              <w:rPr>
                <w:rFonts w:hint="eastAsia" w:cs="宋体"/>
                <w:color w:val="auto"/>
                <w:sz w:val="21"/>
                <w:szCs w:val="21"/>
                <w:highlight w:val="none"/>
                <w:shd w:val="clear" w:color="auto" w:fill="FFFFFF"/>
                <w:lang w:eastAsia="zh-CN"/>
              </w:rPr>
            </w:pPr>
            <w:r>
              <w:rPr>
                <w:rFonts w:hint="eastAsia" w:cs="宋体"/>
                <w:color w:val="auto"/>
                <w:sz w:val="21"/>
                <w:szCs w:val="21"/>
                <w:highlight w:val="none"/>
                <w:lang w:val="en-US" w:eastAsia="zh-CN"/>
              </w:rPr>
              <w:t>符合国家现行标准要求</w:t>
            </w:r>
            <w:r>
              <w:rPr>
                <w:rFonts w:hint="eastAsia" w:ascii="宋体" w:hAnsi="宋体" w:eastAsia="宋体" w:cs="宋体"/>
                <w:color w:val="auto"/>
                <w:sz w:val="21"/>
                <w:szCs w:val="21"/>
                <w:highlight w:val="none"/>
                <w:lang w:val="en-US" w:eastAsia="zh-CN"/>
              </w:rPr>
              <w:t>。</w:t>
            </w:r>
          </w:p>
        </w:tc>
      </w:tr>
      <w:tr w14:paraId="79AB75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B96EA12">
            <w:pPr>
              <w:pStyle w:val="14"/>
              <w:ind w:left="0" w:left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126545FA">
            <w:pPr>
              <w:pStyle w:val="14"/>
              <w:ind w:left="0" w:left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val="en-US" w:eastAsia="zh-CN"/>
              </w:rPr>
              <w:t>以合同签订为准。</w:t>
            </w:r>
          </w:p>
        </w:tc>
      </w:tr>
      <w:tr w14:paraId="73E669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02C3997">
            <w:pPr>
              <w:pStyle w:val="14"/>
              <w:spacing w:line="360" w:lineRule="auto"/>
              <w:jc w:val="center"/>
              <w:rPr>
                <w:rFonts w:hint="default" w:cs="宋体"/>
                <w:color w:val="auto"/>
                <w:kern w:val="2"/>
                <w:sz w:val="21"/>
                <w:szCs w:val="21"/>
                <w:highlight w:val="none"/>
                <w:lang w:val="en-US" w:eastAsia="zh-CN"/>
              </w:rPr>
            </w:pPr>
            <w:r>
              <w:rPr>
                <w:rFonts w:hint="eastAsia" w:cs="宋体"/>
                <w:color w:val="auto"/>
                <w:kern w:val="2"/>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2D94D720">
            <w:pPr>
              <w:pStyle w:val="14"/>
              <w:spacing w:beforeAutospacing="0" w:afterAutospacing="0" w:line="360" w:lineRule="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提供从系统验收合格之日起，软件系统2年的免费维护服务，免费服务期内免费升级系统及医保审核规则库。</w:t>
            </w:r>
          </w:p>
        </w:tc>
      </w:tr>
      <w:tr w14:paraId="480AE1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1AE1E4A">
            <w:pPr>
              <w:pStyle w:val="14"/>
              <w:spacing w:line="360" w:lineRule="auto"/>
              <w:jc w:val="center"/>
              <w:rPr>
                <w:rFonts w:hint="eastAsia" w:ascii="宋体" w:hAnsi="宋体" w:eastAsia="宋体" w:cs="宋体"/>
                <w:color w:val="auto"/>
                <w:sz w:val="21"/>
                <w:szCs w:val="21"/>
                <w:highlight w:val="none"/>
                <w:lang w:eastAsia="zh-CN"/>
              </w:rPr>
            </w:pPr>
            <w:r>
              <w:rPr>
                <w:rFonts w:hint="eastAsia" w:cs="宋体"/>
                <w:color w:val="auto"/>
                <w:kern w:val="2"/>
                <w:sz w:val="21"/>
                <w:szCs w:val="21"/>
                <w:highlight w:val="none"/>
                <w:lang w:eastAsia="zh-CN"/>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31A1679">
            <w:pPr>
              <w:pStyle w:val="14"/>
              <w:spacing w:beforeAutospacing="0" w:afterAutospacing="0" w:line="360" w:lineRule="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（1）提供7*24小时电话、QQ、热线电话、远程网络、现场等技术支持服务，对于系统故障，在接到用户报修电话后，1小时内给予响应，积极配合诊断并进行处理。</w:t>
            </w:r>
          </w:p>
          <w:p w14:paraId="4FD55CB9">
            <w:pPr>
              <w:pStyle w:val="14"/>
              <w:spacing w:beforeAutospacing="0" w:afterAutospacing="0" w:line="360" w:lineRule="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（2）如判断故障无法远程排除，立即安排高级技术人员在接到报修电话后，4小时内到达现场进行维护或维修</w:t>
            </w:r>
          </w:p>
          <w:p w14:paraId="08C04A80">
            <w:pPr>
              <w:pStyle w:val="14"/>
              <w:spacing w:beforeAutospacing="0" w:afterAutospacing="0" w:line="360" w:lineRule="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w:t>
            </w:r>
            <w:r>
              <w:rPr>
                <w:rFonts w:hint="eastAsia"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en-US" w:eastAsia="zh-CN"/>
              </w:rPr>
              <w:t>）对数据对接、抓取、运算过程中出现的技术问题能够及时进行处理。</w:t>
            </w:r>
          </w:p>
          <w:p w14:paraId="53DEA6B7">
            <w:pPr>
              <w:pStyle w:val="14"/>
              <w:spacing w:beforeAutospacing="0" w:afterAutospacing="0"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w:t>
            </w:r>
            <w:r>
              <w:rPr>
                <w:rFonts w:hint="eastAsia"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en-US" w:eastAsia="zh-CN"/>
              </w:rPr>
              <w:t>）提供该系统与医院在用各业务系统如：HIS、LIS、PACS等系统的免费对接，若第三方需要收取接口服务费用，该费用由投标方承担。</w:t>
            </w:r>
          </w:p>
        </w:tc>
      </w:tr>
    </w:tbl>
    <w:p w14:paraId="6737AE82">
      <w:pPr>
        <w:pStyle w:val="21"/>
        <w:ind w:left="0" w:leftChars="0" w:firstLine="0" w:firstLineChars="0"/>
        <w:rPr>
          <w:rFonts w:hint="eastAsia"/>
          <w:color w:val="auto"/>
          <w:highlight w:val="none"/>
        </w:rPr>
      </w:pPr>
    </w:p>
    <w:p w14:paraId="27FA5E7E">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66A6E4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3EB72B6E">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6E5AB001">
            <w:pPr>
              <w:keepNext w:val="0"/>
              <w:keepLines w:val="0"/>
              <w:pageBreakBefore w:val="0"/>
              <w:widowControl/>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1、</w:t>
            </w:r>
            <w:r>
              <w:rPr>
                <w:rFonts w:hint="eastAsia" w:ascii="宋体" w:hAnsi="宋体" w:eastAsia="宋体" w:cs="宋体"/>
                <w:color w:val="auto"/>
                <w:highlight w:val="none"/>
              </w:rPr>
              <w:t>不接受联合体投标，不允许转包和分包。</w:t>
            </w:r>
          </w:p>
          <w:p w14:paraId="57EC2AE3">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1BC547FD">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w:t>
            </w:r>
            <w:r>
              <w:rPr>
                <w:rFonts w:hint="eastAsia" w:cs="Times New Roman"/>
                <w:color w:val="auto"/>
                <w:highlight w:val="none"/>
                <w:lang w:val="en-US" w:eastAsia="zh-CN"/>
              </w:rPr>
              <w:t>采购人使用成交人中标的货物、技术、资料、服务或其他任何一部分时，享有无偿使用权。免受第三方提出的侵犯其专利权、著作权、商标权或其它知识产权的起诉。如果第三方提出侵权指控，成交人应承担由此而引起的一切法律责任和费用。</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823"/>
        <w:gridCol w:w="9017"/>
      </w:tblGrid>
      <w:tr w14:paraId="7152AC17">
        <w:tblPrEx>
          <w:tblCellMar>
            <w:top w:w="0" w:type="dxa"/>
            <w:left w:w="0" w:type="dxa"/>
            <w:bottom w:w="0" w:type="dxa"/>
            <w:right w:w="0" w:type="dxa"/>
          </w:tblCellMar>
        </w:tblPrEx>
        <w:trPr>
          <w:trHeight w:val="450" w:hRule="atLeast"/>
          <w:jc w:val="center"/>
        </w:trPr>
        <w:tc>
          <w:tcPr>
            <w:tcW w:w="823"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9017"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9566"/>
            <w:bookmarkStart w:id="37" w:name="_Toc27817"/>
            <w:bookmarkStart w:id="38" w:name="_Toc30169"/>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highlight w:val="none"/>
                <w:lang w:val="en-US" w:eastAsia="zh-CN"/>
              </w:rPr>
              <w:t>驻马店市中心医院医保智能审核系统采购项目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9400"/>
            <w:bookmarkStart w:id="40" w:name="_Toc23424"/>
            <w:bookmarkStart w:id="41" w:name="_Toc2832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4541"/>
            <w:bookmarkStart w:id="43" w:name="_Toc26199"/>
            <w:bookmarkStart w:id="44" w:name="_Toc3148"/>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35"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282"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1C7E52A">
            <w:pPr>
              <w:widowControl/>
              <w:snapToGrid w:val="0"/>
              <w:spacing w:line="440" w:lineRule="exact"/>
              <w:jc w:val="left"/>
              <w:outlineLvl w:val="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采购预算：</w:t>
            </w:r>
            <w:r>
              <w:rPr>
                <w:rFonts w:hint="eastAsia" w:ascii="宋体" w:hAnsi="宋体" w:cs="宋体"/>
                <w:color w:val="auto"/>
                <w:highlight w:val="none"/>
                <w:lang w:val="en-US" w:eastAsia="zh-CN"/>
              </w:rPr>
              <w:t>485000元</w:t>
            </w:r>
            <w:r>
              <w:rPr>
                <w:rFonts w:hint="default" w:ascii="宋体" w:hAnsi="宋体" w:eastAsia="宋体" w:cs="宋体"/>
                <w:color w:val="auto"/>
                <w:highlight w:val="none"/>
                <w:lang w:val="en-US" w:eastAsia="zh-CN"/>
              </w:rPr>
              <w:t>；最高投标限价</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485000元</w:t>
            </w:r>
            <w:r>
              <w:rPr>
                <w:rFonts w:hint="eastAsia" w:ascii="宋体" w:hAnsi="宋体" w:eastAsia="宋体" w:cs="宋体"/>
                <w:color w:val="auto"/>
                <w:highlight w:val="none"/>
                <w:lang w:val="en-US" w:eastAsia="zh-CN"/>
              </w:rPr>
              <w:t>。</w:t>
            </w:r>
          </w:p>
          <w:p w14:paraId="64F8F9BD">
            <w:pPr>
              <w:widowControl/>
              <w:snapToGrid w:val="0"/>
              <w:spacing w:line="440" w:lineRule="exact"/>
              <w:jc w:val="left"/>
              <w:outlineLvl w:val="0"/>
              <w:rPr>
                <w:rFonts w:hint="eastAsia" w:ascii="宋体" w:hAnsi="宋体" w:eastAsia="宋体" w:cs="宋体"/>
                <w:color w:val="auto"/>
                <w:highlight w:val="none"/>
              </w:rPr>
            </w:pPr>
            <w:r>
              <w:rPr>
                <w:rFonts w:hint="eastAsia" w:ascii="宋体" w:hAnsi="宋体" w:eastAsia="宋体" w:cs="宋体"/>
                <w:color w:val="auto"/>
                <w:highlight w:val="none"/>
              </w:rPr>
              <w:t>3.1 本项目磋商以人民币报价。</w:t>
            </w:r>
          </w:p>
          <w:p w14:paraId="7E764007">
            <w:pPr>
              <w:widowControl/>
              <w:snapToGrid w:val="0"/>
              <w:spacing w:line="440" w:lineRule="exact"/>
              <w:jc w:val="left"/>
              <w:outlineLvl w:val="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3.2 供应商的报价超过采购预算，采购人不能支付的，按废标处理。</w:t>
            </w:r>
          </w:p>
          <w:p w14:paraId="2834DD74">
            <w:pPr>
              <w:widowControl/>
              <w:snapToGrid w:val="0"/>
              <w:spacing w:line="440" w:lineRule="exact"/>
              <w:jc w:val="left"/>
              <w:outlineLvl w:val="0"/>
              <w:rPr>
                <w:rFonts w:hint="eastAsia"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3.3 本项目由成交供应商缴纳招标代理服务费。</w:t>
            </w:r>
            <w:r>
              <w:rPr>
                <w:rFonts w:hint="eastAsia" w:ascii="宋体" w:hAnsi="宋体" w:eastAsia="宋体" w:cs="宋体"/>
                <w:color w:val="auto"/>
                <w:highlight w:val="none"/>
                <w:lang w:val="en-US" w:eastAsia="zh-CN"/>
              </w:rPr>
              <w:t>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440" w:lineRule="exact"/>
                    <w:jc w:val="left"/>
                    <w:outlineLvl w:val="0"/>
                    <mc:AlternateContent>
                      <mc:Choice Requires="wpsCustomData">
                        <wpsCustomData:diagonalParaType/>
                      </mc:Choice>
                    </mc:AlternateContent>
                    <w:rPr>
                      <w:rFonts w:hint="default" w:ascii="宋体" w:hAnsi="宋体" w:eastAsia="宋体" w:cs="宋体"/>
                      <w:color w:val="auto"/>
                      <w:highlight w:val="none"/>
                      <w:lang w:val="en-US" w:eastAsia="zh-CN"/>
                    </w:rPr>
                  </w:pP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5" name="文本框 5"/>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Wp7V3SAAAA&#10;BwEAAA8AAAAAAAAAAQAgAAAAIgAAAGRycy9kb3ducmV2LnhtbFBLAQIUABQAAAAIAIdO4kDcTRLk&#10;XAIAAJoEAAAOAAAAAAAAAAEAIAAAACEBAABkcnMvZTJvRG9jLnhtbFBLBQYAAAAABgAGAFkBAADv&#10;BQ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货物招标</w:t>
                  </w:r>
                </w:p>
              </w:tc>
              <w:tc>
                <w:tcPr>
                  <w:tcW w:w="1560" w:type="dxa"/>
                  <w:vAlign w:val="center"/>
                </w:tcPr>
                <w:p w14:paraId="5BE93A16">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服务招标</w:t>
                  </w:r>
                </w:p>
              </w:tc>
              <w:tc>
                <w:tcPr>
                  <w:tcW w:w="1380" w:type="dxa"/>
                  <w:vAlign w:val="center"/>
                </w:tcPr>
                <w:p w14:paraId="3ECB263F">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59" w:type="dxa"/>
                  <w:vAlign w:val="center"/>
                </w:tcPr>
                <w:p w14:paraId="0EF43D2E">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100万元以下</w:t>
                  </w:r>
                </w:p>
              </w:tc>
              <w:tc>
                <w:tcPr>
                  <w:tcW w:w="1605" w:type="dxa"/>
                  <w:vAlign w:val="center"/>
                </w:tcPr>
                <w:p w14:paraId="0F8F8092">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w:t>
                  </w:r>
                </w:p>
              </w:tc>
              <w:tc>
                <w:tcPr>
                  <w:tcW w:w="1560" w:type="dxa"/>
                  <w:vAlign w:val="center"/>
                </w:tcPr>
                <w:p w14:paraId="64DFB595">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w:t>
                  </w:r>
                </w:p>
              </w:tc>
              <w:tc>
                <w:tcPr>
                  <w:tcW w:w="1380" w:type="dxa"/>
                  <w:vAlign w:val="center"/>
                </w:tcPr>
                <w:p w14:paraId="6E9F31B9">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p>
              </w:tc>
            </w:tr>
          </w:tbl>
          <w:p w14:paraId="30591CBC">
            <w:pPr>
              <w:widowControl/>
              <w:snapToGrid w:val="0"/>
              <w:spacing w:line="440" w:lineRule="exact"/>
              <w:jc w:val="left"/>
              <w:outlineLvl w:val="0"/>
              <w:rPr>
                <w:rFonts w:hint="default" w:ascii="宋体" w:hAnsi="宋体" w:eastAsia="宋体" w:cs="宋体"/>
                <w:color w:val="auto"/>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由采购人代表和</w:t>
            </w:r>
            <w:r>
              <w:rPr>
                <w:rFonts w:hint="eastAsia" w:ascii="宋体" w:hAnsi="宋体" w:eastAsia="宋体" w:cs="宋体"/>
                <w:color w:val="auto"/>
                <w:kern w:val="0"/>
                <w:szCs w:val="21"/>
                <w:highlight w:val="none"/>
                <w:lang w:val="en-US" w:eastAsia="zh-CN"/>
              </w:rPr>
              <w:t>抽取的相关</w:t>
            </w:r>
            <w:r>
              <w:rPr>
                <w:rFonts w:hint="eastAsia" w:ascii="宋体" w:hAnsi="宋体" w:eastAsia="宋体" w:cs="宋体"/>
                <w:color w:val="auto"/>
                <w:kern w:val="0"/>
                <w:szCs w:val="21"/>
                <w:highlight w:val="none"/>
              </w:rPr>
              <w:t>评审专家</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544"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lang w:val="en-US" w:eastAsia="zh-CN"/>
              </w:rPr>
              <w:t>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w:t>
            </w:r>
          </w:p>
        </w:tc>
      </w:tr>
      <w:tr w14:paraId="7BAD5911">
        <w:tblPrEx>
          <w:tblCellMar>
            <w:top w:w="0" w:type="dxa"/>
            <w:left w:w="0" w:type="dxa"/>
            <w:bottom w:w="0" w:type="dxa"/>
            <w:right w:w="0" w:type="dxa"/>
          </w:tblCellMar>
        </w:tblPrEx>
        <w:trPr>
          <w:trHeight w:val="678"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BCEFD36">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的各个组成文件应互为解释，互为说明；如有不明确或不一致，构成合同文件组成内容的，以合同文件约定内容为准；除</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与</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的澄清、修改或补充通知就同一内容的表述不一致时，以最后发出的书面文件为准。合同文件约定或后者明显错误的除外。</w:t>
            </w:r>
          </w:p>
          <w:p w14:paraId="1CCF3A52">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解释权归采购人。</w:t>
            </w:r>
          </w:p>
        </w:tc>
      </w:tr>
    </w:tbl>
    <w:p w14:paraId="251DC0F7">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cs="宋体"/>
          <w:color w:val="auto"/>
          <w:kern w:val="0"/>
          <w:szCs w:val="21"/>
          <w:highlight w:val="none"/>
          <w:lang w:eastAsia="zh-CN"/>
        </w:rPr>
        <w:t>服务</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0044BCD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“服务”系指供应商按竞争性磋商文件规定向采购人提供的一切工作内容。</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采购预算：</w:t>
      </w:r>
      <w:r>
        <w:rPr>
          <w:rFonts w:hint="eastAsia" w:ascii="宋体" w:hAnsi="宋体" w:cs="宋体"/>
          <w:b/>
          <w:bCs/>
          <w:color w:val="auto"/>
          <w:kern w:val="0"/>
          <w:szCs w:val="21"/>
          <w:highlight w:val="none"/>
          <w:lang w:val="en-US" w:eastAsia="zh-CN"/>
        </w:rPr>
        <w:t>485000元</w:t>
      </w:r>
      <w:r>
        <w:rPr>
          <w:rFonts w:hint="eastAsia" w:ascii="宋体" w:hAnsi="宋体" w:eastAsia="宋体" w:cs="宋体"/>
          <w:b/>
          <w:bCs/>
          <w:color w:val="auto"/>
          <w:kern w:val="0"/>
          <w:szCs w:val="21"/>
          <w:highlight w:val="none"/>
          <w:lang w:val="en-US" w:eastAsia="zh-CN"/>
        </w:rPr>
        <w:t>；最高投标限价：</w:t>
      </w:r>
      <w:r>
        <w:rPr>
          <w:rFonts w:hint="eastAsia" w:ascii="宋体" w:hAnsi="宋体" w:cs="宋体"/>
          <w:b/>
          <w:bCs/>
          <w:color w:val="auto"/>
          <w:kern w:val="0"/>
          <w:szCs w:val="21"/>
          <w:highlight w:val="none"/>
          <w:lang w:val="en-US" w:eastAsia="zh-CN"/>
        </w:rPr>
        <w:t>485000元</w:t>
      </w:r>
      <w:r>
        <w:rPr>
          <w:rFonts w:hint="eastAsia" w:ascii="宋体" w:hAnsi="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0CD23C0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9.3《政府采购法》第二十二条第五款“参加政府采购活动前三年内，在经营活动中没有重大违法记录”，《政府采购法》实施条例第十九条 </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重大违法记录是指供应商因违法经营受到刑事处罚或者责令停产停业、吊销许可证或者执照、较大数额罚款等行政处罚。</w:t>
      </w:r>
      <w:r>
        <w:rPr>
          <w:rFonts w:hint="eastAsia" w:ascii="宋体" w:hAnsi="宋体" w:eastAsia="宋体" w:cs="宋体"/>
          <w:color w:val="auto"/>
          <w:kern w:val="0"/>
          <w:szCs w:val="21"/>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eastAsia="宋体" w:cs="宋体"/>
          <w:color w:val="auto"/>
          <w:kern w:val="0"/>
          <w:szCs w:val="21"/>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cs="宋体"/>
          <w:b/>
          <w:bCs/>
          <w:color w:val="auto"/>
          <w:kern w:val="0"/>
          <w:sz w:val="28"/>
          <w:szCs w:val="28"/>
          <w:highlight w:val="none"/>
          <w:lang w:val="en-US" w:eastAsia="zh-CN"/>
        </w:rPr>
        <w:t>竞争性磋商文件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的构成。本</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评标办法及评分标准</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12.5 采购合同</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进行必要澄清、修改或补充的，应当在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公示期间对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澄清、修改或补充的内容为</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的澄清、修改或补充都应以法定形式发布。采购人未对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的所有内容，按照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要求填写的表格或提交的资料。</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已有明确规定的，使用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规定的计量单位；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没有规定的，应采用中华人民共和国法定计量单位。否则视为对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5"/>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cs="宋体"/>
          <w:color w:val="auto"/>
          <w:kern w:val="0"/>
          <w:szCs w:val="21"/>
          <w:highlight w:val="none"/>
          <w:lang w:val="en-US" w:eastAsia="zh-CN"/>
        </w:rPr>
        <w:t>初次</w:t>
      </w:r>
      <w:r>
        <w:rPr>
          <w:rFonts w:hint="eastAsia" w:ascii="宋体" w:hAnsi="宋体" w:eastAsia="宋体" w:cs="宋体"/>
          <w:color w:val="auto"/>
          <w:kern w:val="0"/>
          <w:szCs w:val="21"/>
          <w:highlight w:val="none"/>
        </w:rPr>
        <w:t>报价一览表在满足</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实质性要求的基础上，可以提出比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有关</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eastAsia="zh-CN"/>
        </w:rPr>
        <w:t>质量</w:t>
      </w:r>
      <w:r>
        <w:rPr>
          <w:rFonts w:hint="eastAsia" w:ascii="宋体" w:hAnsi="宋体" w:eastAsia="宋体" w:cs="宋体"/>
          <w:color w:val="auto"/>
          <w:kern w:val="0"/>
          <w:szCs w:val="21"/>
          <w:highlight w:val="none"/>
          <w:lang w:val="en-US" w:eastAsia="zh-CN"/>
        </w:rPr>
        <w:t>要求</w:t>
      </w:r>
      <w:r>
        <w:rPr>
          <w:rFonts w:hint="eastAsia" w:ascii="宋体" w:hAnsi="宋体" w:eastAsia="宋体" w:cs="宋体"/>
          <w:color w:val="auto"/>
          <w:kern w:val="0"/>
          <w:szCs w:val="21"/>
          <w:highlight w:val="none"/>
        </w:rPr>
        <w:t>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的响应程度进行审查，以确定是否符合对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eastAsia="宋体" w:cs="宋体"/>
          <w:color w:val="auto"/>
          <w:szCs w:val="21"/>
          <w:highlight w:val="none"/>
          <w:lang w:eastAsia="zh-CN"/>
        </w:rPr>
        <w:t>质量</w:t>
      </w:r>
      <w:r>
        <w:rPr>
          <w:rFonts w:hint="eastAsia" w:ascii="宋体" w:hAnsi="宋体" w:cs="宋体"/>
          <w:color w:val="auto"/>
          <w:szCs w:val="21"/>
          <w:highlight w:val="none"/>
          <w:lang w:val="en-US" w:eastAsia="zh-CN"/>
        </w:rPr>
        <w:t>要求</w:t>
      </w:r>
      <w:r>
        <w:rPr>
          <w:rFonts w:hint="eastAsia" w:ascii="宋体" w:hAnsi="宋体" w:eastAsia="宋体" w:cs="宋体"/>
          <w:color w:val="auto"/>
          <w:szCs w:val="21"/>
          <w:highlight w:val="none"/>
        </w:rPr>
        <w:t>等不满足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w:t>
      </w: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05DDF4E3">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w:t>
      </w:r>
      <w:r>
        <w:rPr>
          <w:rFonts w:hint="eastAsia" w:ascii="宋体" w:hAnsi="宋体" w:cs="宋体"/>
          <w:color w:val="auto"/>
          <w:szCs w:val="21"/>
          <w:highlight w:val="none"/>
          <w:lang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存在不合理条款或者招标程序不符合规定的，采购人</w:t>
      </w:r>
      <w:r>
        <w:rPr>
          <w:rFonts w:hint="eastAsia" w:ascii="宋体" w:hAnsi="宋体" w:cs="宋体"/>
          <w:color w:val="auto"/>
          <w:szCs w:val="21"/>
          <w:highlight w:val="none"/>
          <w:lang w:val="en-US" w:eastAsia="zh-CN"/>
        </w:rPr>
        <w:t>改</w:t>
      </w:r>
      <w:r>
        <w:rPr>
          <w:rFonts w:hint="eastAsia" w:ascii="宋体" w:hAnsi="宋体" w:eastAsia="宋体" w:cs="宋体"/>
          <w:color w:val="auto"/>
          <w:szCs w:val="21"/>
          <w:highlight w:val="none"/>
        </w:rPr>
        <w:t>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widowControl w:val="0"/>
        <w:numPr>
          <w:ilvl w:val="0"/>
          <w:numId w:val="0"/>
        </w:numPr>
        <w:kinsoku/>
        <w:wordWrap/>
        <w:overflowPunct/>
        <w:topLinePunct w:val="0"/>
        <w:autoSpaceDE/>
        <w:autoSpaceDN/>
        <w:bidi w:val="0"/>
        <w:adjustRightInd/>
        <w:snapToGrid w:val="0"/>
        <w:spacing w:after="161" w:afterLines="50"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064B1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0EEBFFF7">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30F21E9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24456848">
            <w:pPr>
              <w:pStyle w:val="49"/>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12AC5C9D">
            <w:pPr>
              <w:pStyle w:val="49"/>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63C4797D">
            <w:pPr>
              <w:pStyle w:val="49"/>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5B48B43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w:t>
            </w:r>
          </w:p>
        </w:tc>
      </w:tr>
      <w:tr w14:paraId="6209F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14:paraId="241B3BE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50B2AA6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1.服务能力的响应程度(</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62E12C9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对“第二章 采购需求</w:t>
            </w:r>
            <w:r>
              <w:rPr>
                <w:rFonts w:hint="eastAsia" w:ascii="宋体" w:hAnsi="宋体" w:eastAsia="宋体" w:cs="宋体"/>
                <w:b w:val="0"/>
                <w:bCs w:val="0"/>
                <w:color w:val="auto"/>
                <w:sz w:val="21"/>
                <w:szCs w:val="21"/>
                <w:highlight w:val="none"/>
                <w:lang w:val="en-US" w:eastAsia="zh-CN"/>
              </w:rPr>
              <w:t xml:space="preserve"> 三、技术</w:t>
            </w:r>
            <w:r>
              <w:rPr>
                <w:rFonts w:hint="eastAsia" w:ascii="宋体" w:hAnsi="宋体" w:cs="宋体"/>
                <w:b w:val="0"/>
                <w:bCs w:val="0"/>
                <w:color w:val="auto"/>
                <w:sz w:val="21"/>
                <w:szCs w:val="21"/>
                <w:highlight w:val="none"/>
                <w:lang w:val="en-US" w:eastAsia="zh-CN"/>
              </w:rPr>
              <w:t>要求</w:t>
            </w:r>
            <w:r>
              <w:rPr>
                <w:rFonts w:hint="eastAsia" w:ascii="宋体" w:hAnsi="宋体" w:eastAsia="宋体" w:cs="宋体"/>
                <w:b w:val="0"/>
                <w:bCs w:val="0"/>
                <w:color w:val="auto"/>
                <w:sz w:val="21"/>
                <w:szCs w:val="21"/>
                <w:highlight w:val="none"/>
              </w:rPr>
              <w:t>”的响应，全部满足磋商文件要求</w:t>
            </w:r>
            <w:r>
              <w:rPr>
                <w:rFonts w:hint="eastAsia" w:ascii="宋体" w:hAnsi="宋体" w:eastAsia="宋体" w:cs="宋体"/>
                <w:b w:val="0"/>
                <w:bCs w:val="0"/>
                <w:color w:val="auto"/>
                <w:sz w:val="21"/>
                <w:szCs w:val="21"/>
                <w:highlight w:val="none"/>
                <w:lang w:eastAsia="zh-CN"/>
              </w:rPr>
              <w:t>的</w:t>
            </w:r>
            <w:r>
              <w:rPr>
                <w:rFonts w:hint="eastAsia" w:ascii="宋体" w:hAnsi="宋体" w:eastAsia="宋体" w:cs="宋体"/>
                <w:b w:val="0"/>
                <w:bCs w:val="0"/>
                <w:color w:val="auto"/>
                <w:sz w:val="21"/>
                <w:szCs w:val="21"/>
                <w:highlight w:val="none"/>
              </w:rPr>
              <w:t>得</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分；一项不满足扣</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。如</w:t>
            </w:r>
            <w:r>
              <w:rPr>
                <w:rFonts w:hint="eastAsia" w:ascii="宋体" w:hAnsi="宋体" w:eastAsia="宋体" w:cs="宋体"/>
                <w:b w:val="0"/>
                <w:bCs w:val="0"/>
                <w:color w:val="auto"/>
                <w:sz w:val="21"/>
                <w:szCs w:val="21"/>
                <w:highlight w:val="none"/>
              </w:rPr>
              <w:t>得分为0，则</w:t>
            </w:r>
            <w:r>
              <w:rPr>
                <w:rFonts w:hint="eastAsia" w:ascii="宋体" w:hAnsi="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无效。</w:t>
            </w:r>
          </w:p>
          <w:p w14:paraId="0D68DB6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注：供应商需如实填写技术偏离表，并标注偏离情况。</w:t>
            </w:r>
          </w:p>
        </w:tc>
      </w:tr>
      <w:tr w14:paraId="58C76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730FC01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35D3036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技术方案</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41F01C14">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根据供应商制定的项目总体技术方案进行打分，包含但不限于以下内容：</w:t>
            </w:r>
          </w:p>
          <w:p w14:paraId="32BF4C7A">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背景需求理解</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2、系统架构设计</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3、功能模块设计</w:t>
            </w:r>
            <w:r>
              <w:rPr>
                <w:rFonts w:hint="eastAsia" w:ascii="宋体" w:hAnsi="宋体" w:cs="宋体"/>
                <w:b w:val="0"/>
                <w:bCs w:val="0"/>
                <w:color w:val="auto"/>
                <w:sz w:val="21"/>
                <w:szCs w:val="21"/>
                <w:highlight w:val="none"/>
                <w:lang w:val="en-US" w:eastAsia="zh-CN"/>
              </w:rPr>
              <w:t>等；4.软件系统升级维护方案。</w:t>
            </w:r>
          </w:p>
          <w:p w14:paraId="5E65F7A4">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以上方案</w:t>
            </w:r>
            <w:r>
              <w:rPr>
                <w:rFonts w:hint="eastAsia" w:ascii="宋体" w:hAnsi="宋体" w:eastAsia="宋体" w:cs="宋体"/>
                <w:color w:val="auto"/>
                <w:sz w:val="21"/>
                <w:szCs w:val="21"/>
                <w:highlight w:val="none"/>
                <w:lang w:val="zh-CN" w:eastAsia="zh-CN"/>
              </w:rPr>
              <w:t>每提供一项得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分，最多得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val="zh-CN" w:eastAsia="zh-CN"/>
              </w:rPr>
              <w:t>分。（</w:t>
            </w:r>
            <w:r>
              <w:rPr>
                <w:rFonts w:hint="eastAsia" w:ascii="宋体" w:hAnsi="宋体" w:eastAsia="宋体" w:cs="宋体"/>
                <w:color w:val="auto"/>
                <w:sz w:val="21"/>
                <w:szCs w:val="21"/>
                <w:highlight w:val="none"/>
                <w:lang w:val="en-US" w:eastAsia="zh-CN"/>
              </w:rPr>
              <w:t>每项技术方案内容完整、可实施性强、契合项目需求，完全满足采购需求得2分；每项技术方案较完整、可实施性较强，基本满足采购需求得1分；不满足需求或缺项不得分。</w:t>
            </w:r>
            <w:r>
              <w:rPr>
                <w:rFonts w:hint="eastAsia" w:ascii="宋体" w:hAnsi="宋体" w:eastAsia="宋体" w:cs="宋体"/>
                <w:color w:val="auto"/>
                <w:sz w:val="21"/>
                <w:szCs w:val="21"/>
                <w:highlight w:val="none"/>
                <w:lang w:val="zh-CN" w:eastAsia="zh-CN"/>
              </w:rPr>
              <w:t>）</w:t>
            </w:r>
          </w:p>
        </w:tc>
      </w:tr>
      <w:tr w14:paraId="464A2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239" w:type="dxa"/>
            <w:vMerge w:val="continue"/>
            <w:noWrap w:val="0"/>
            <w:vAlign w:val="center"/>
          </w:tcPr>
          <w:p w14:paraId="7E20A2D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3E6ACE5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实施方案</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28FF0248">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根据供应商制定的实施方案进行打分，包含但不限于以下内容：</w:t>
            </w:r>
          </w:p>
          <w:p w14:paraId="021F51A2">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实施计划及</w:t>
            </w:r>
            <w:r>
              <w:rPr>
                <w:rFonts w:hint="eastAsia" w:ascii="宋体" w:hAnsi="宋体" w:eastAsia="宋体" w:cs="宋体"/>
                <w:b w:val="0"/>
                <w:bCs w:val="0"/>
                <w:color w:val="auto"/>
                <w:sz w:val="21"/>
                <w:szCs w:val="21"/>
                <w:highlight w:val="none"/>
                <w:lang w:val="en-US" w:eastAsia="zh-CN"/>
              </w:rPr>
              <w:t>时间进度表</w:t>
            </w:r>
            <w:r>
              <w:rPr>
                <w:rFonts w:hint="eastAsia" w:ascii="宋体" w:hAnsi="宋体" w:cs="宋体"/>
                <w:b w:val="0"/>
                <w:bCs w:val="0"/>
                <w:color w:val="auto"/>
                <w:sz w:val="21"/>
                <w:szCs w:val="21"/>
                <w:highlight w:val="none"/>
                <w:lang w:val="en-US" w:eastAsia="zh-CN"/>
              </w:rPr>
              <w:t>；2、保密措施等。</w:t>
            </w:r>
          </w:p>
          <w:p w14:paraId="484014B3">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以上方案</w:t>
            </w:r>
            <w:r>
              <w:rPr>
                <w:rFonts w:hint="eastAsia" w:ascii="宋体" w:hAnsi="宋体" w:eastAsia="宋体" w:cs="宋体"/>
                <w:color w:val="auto"/>
                <w:sz w:val="21"/>
                <w:szCs w:val="21"/>
                <w:highlight w:val="none"/>
                <w:lang w:val="zh-CN" w:eastAsia="zh-CN"/>
              </w:rPr>
              <w:t>每提供一项得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分，最多得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eastAsia="zh-CN"/>
              </w:rPr>
              <w:t>分。（</w:t>
            </w:r>
            <w:r>
              <w:rPr>
                <w:rFonts w:hint="eastAsia" w:ascii="宋体" w:hAnsi="宋体" w:eastAsia="宋体" w:cs="宋体"/>
                <w:color w:val="auto"/>
                <w:sz w:val="21"/>
                <w:szCs w:val="21"/>
                <w:highlight w:val="none"/>
                <w:lang w:val="en-US" w:eastAsia="zh-CN"/>
              </w:rPr>
              <w:t>每项方案内容完整、可实施性强、契合项目需求，完全满足采购需求得2分；每项技术方案较完整、可实施性较强，基本满足采购需求得1分，不满足需求或缺项不得分。</w:t>
            </w:r>
            <w:r>
              <w:rPr>
                <w:rFonts w:hint="eastAsia" w:ascii="宋体" w:hAnsi="宋体" w:eastAsia="宋体" w:cs="宋体"/>
                <w:color w:val="auto"/>
                <w:sz w:val="21"/>
                <w:szCs w:val="21"/>
                <w:highlight w:val="none"/>
                <w:lang w:val="zh-CN" w:eastAsia="zh-CN"/>
              </w:rPr>
              <w:t>）</w:t>
            </w:r>
          </w:p>
        </w:tc>
      </w:tr>
      <w:tr w14:paraId="07E3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16EC265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677A4C7B">
            <w:pPr>
              <w:keepNext w:val="0"/>
              <w:keepLines w:val="0"/>
              <w:pageBreakBefore w:val="0"/>
              <w:kinsoku/>
              <w:wordWrap/>
              <w:overflowPunct/>
              <w:topLinePunct w:val="0"/>
              <w:bidi w:val="0"/>
              <w:snapToGrid w:val="0"/>
              <w:spacing w:line="320" w:lineRule="exact"/>
              <w:jc w:val="center"/>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4.质量保障体系</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6770" w:type="dxa"/>
            <w:noWrap w:val="0"/>
            <w:vAlign w:val="center"/>
          </w:tcPr>
          <w:p w14:paraId="725ED61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w:t>
            </w:r>
            <w:r>
              <w:rPr>
                <w:rFonts w:hint="eastAsia" w:ascii="宋体" w:hAnsi="宋体" w:cs="宋体"/>
                <w:b w:val="0"/>
                <w:bCs w:val="0"/>
                <w:color w:val="auto"/>
                <w:sz w:val="21"/>
                <w:szCs w:val="21"/>
                <w:highlight w:val="none"/>
                <w:lang w:val="en-US" w:eastAsia="zh-CN"/>
              </w:rPr>
              <w:t>制定的质量保障体系</w:t>
            </w:r>
            <w:r>
              <w:rPr>
                <w:rFonts w:hint="eastAsia" w:ascii="宋体" w:hAnsi="宋体" w:eastAsia="宋体" w:cs="宋体"/>
                <w:b w:val="0"/>
                <w:bCs w:val="0"/>
                <w:color w:val="auto"/>
                <w:sz w:val="21"/>
                <w:szCs w:val="21"/>
                <w:highlight w:val="none"/>
                <w:lang w:val="en-US" w:eastAsia="zh-CN"/>
              </w:rPr>
              <w:t>进行打分，包含但不限于以下内容：</w:t>
            </w:r>
          </w:p>
          <w:p w14:paraId="4AA78D06">
            <w:pPr>
              <w:keepNext w:val="0"/>
              <w:keepLines w:val="0"/>
              <w:pageBreakBefore w:val="0"/>
              <w:widowControl/>
              <w:numPr>
                <w:ilvl w:val="0"/>
                <w:numId w:val="3"/>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代码评审，2、多轮测试，3、bug管理等。</w:t>
            </w:r>
          </w:p>
          <w:p w14:paraId="1F849849">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以上方案</w:t>
            </w:r>
            <w:r>
              <w:rPr>
                <w:rFonts w:hint="eastAsia" w:ascii="宋体" w:hAnsi="宋体" w:eastAsia="宋体" w:cs="宋体"/>
                <w:color w:val="auto"/>
                <w:sz w:val="21"/>
                <w:szCs w:val="21"/>
                <w:highlight w:val="none"/>
                <w:lang w:val="zh-CN" w:eastAsia="zh-CN"/>
              </w:rPr>
              <w:t>每提供一项得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分，最多得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eastAsia="zh-CN"/>
              </w:rPr>
              <w:t>分。（</w:t>
            </w:r>
            <w:r>
              <w:rPr>
                <w:rFonts w:hint="eastAsia" w:ascii="宋体" w:hAnsi="宋体" w:eastAsia="宋体" w:cs="宋体"/>
                <w:color w:val="auto"/>
                <w:sz w:val="21"/>
                <w:szCs w:val="21"/>
                <w:highlight w:val="none"/>
                <w:lang w:val="en-US" w:eastAsia="zh-CN"/>
              </w:rPr>
              <w:t>每项</w:t>
            </w:r>
            <w:r>
              <w:rPr>
                <w:rFonts w:hint="eastAsia" w:ascii="宋体" w:hAnsi="宋体" w:eastAsia="宋体" w:cs="宋体"/>
                <w:b w:val="0"/>
                <w:bCs w:val="0"/>
                <w:color w:val="auto"/>
                <w:sz w:val="21"/>
                <w:szCs w:val="21"/>
                <w:highlight w:val="none"/>
                <w:lang w:val="en-US" w:eastAsia="zh-CN"/>
              </w:rPr>
              <w:t>有完善的质量保障体系，风险识别全面，应对措施具体可行的得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分；有基本的质量保障措施，风险识别较全面，应对措施较合理的得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color w:val="auto"/>
                <w:sz w:val="21"/>
                <w:szCs w:val="21"/>
                <w:highlight w:val="none"/>
                <w:lang w:val="en-US" w:eastAsia="zh-CN"/>
              </w:rPr>
              <w:t>不满足需求或缺项不得分。</w:t>
            </w:r>
            <w:r>
              <w:rPr>
                <w:rFonts w:hint="eastAsia" w:ascii="宋体" w:hAnsi="宋体" w:eastAsia="宋体" w:cs="宋体"/>
                <w:color w:val="auto"/>
                <w:sz w:val="21"/>
                <w:szCs w:val="21"/>
                <w:highlight w:val="none"/>
                <w:lang w:val="zh-CN" w:eastAsia="zh-CN"/>
              </w:rPr>
              <w:t>）</w:t>
            </w:r>
          </w:p>
        </w:tc>
      </w:tr>
      <w:tr w14:paraId="448D5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9" w:type="dxa"/>
            <w:vMerge w:val="restart"/>
            <w:noWrap w:val="0"/>
            <w:vAlign w:val="center"/>
          </w:tcPr>
          <w:p w14:paraId="0E55345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0BF0209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32</w:t>
            </w:r>
            <w:r>
              <w:rPr>
                <w:rFonts w:hint="eastAsia" w:ascii="宋体" w:hAnsi="宋体" w:eastAsia="宋体" w:cs="宋体"/>
                <w:b w:val="0"/>
                <w:bCs w:val="0"/>
                <w:color w:val="auto"/>
                <w:sz w:val="21"/>
                <w:szCs w:val="21"/>
                <w:highlight w:val="none"/>
                <w:lang w:eastAsia="zh-CN"/>
              </w:rPr>
              <w:t>分)</w:t>
            </w:r>
          </w:p>
        </w:tc>
        <w:tc>
          <w:tcPr>
            <w:tcW w:w="1473" w:type="dxa"/>
            <w:vMerge w:val="restart"/>
            <w:tcBorders>
              <w:top w:val="single" w:color="auto" w:sz="4" w:space="0"/>
            </w:tcBorders>
            <w:noWrap w:val="0"/>
            <w:vAlign w:val="center"/>
          </w:tcPr>
          <w:p w14:paraId="6332CAB2">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人员实力</w:t>
            </w:r>
          </w:p>
          <w:p w14:paraId="4F1A853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13</w:t>
            </w:r>
            <w:r>
              <w:rPr>
                <w:rFonts w:hint="eastAsia" w:ascii="宋体" w:hAnsi="宋体" w:eastAsia="宋体" w:cs="宋体"/>
                <w:b w:val="0"/>
                <w:bCs w:val="0"/>
                <w:color w:val="auto"/>
                <w:sz w:val="21"/>
                <w:szCs w:val="21"/>
                <w:highlight w:val="none"/>
              </w:rPr>
              <w:t>分）</w:t>
            </w:r>
          </w:p>
        </w:tc>
        <w:tc>
          <w:tcPr>
            <w:tcW w:w="6770" w:type="dxa"/>
            <w:noWrap w:val="0"/>
            <w:vAlign w:val="center"/>
          </w:tcPr>
          <w:p w14:paraId="1554FB0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供应商拟派于本项目团队人员具有信息系统项目管理师、系统架构设计师或PMP证书的,每提供1名具有以上任意一项证书的人员得2分，最多得8分。</w:t>
            </w:r>
          </w:p>
          <w:p w14:paraId="5CDA963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color w:val="auto"/>
                <w:highlight w:val="none"/>
                <w:lang w:val="en-US" w:eastAsia="zh-CN"/>
              </w:rPr>
              <w:t>注：响应文件中附相应人员的资格证书复印件及在本单位缴纳的2025年7月以来任意一个月的社保证明复印件，未按要求提供的不得分。同一名人员具有多项证书的不累计加分。</w:t>
            </w:r>
          </w:p>
        </w:tc>
      </w:tr>
      <w:tr w14:paraId="3DE1A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0639819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676A5AE8">
            <w:pPr>
              <w:keepNext w:val="0"/>
              <w:keepLines w:val="0"/>
              <w:pageBreakBefore w:val="0"/>
              <w:numPr>
                <w:ilvl w:val="0"/>
                <w:numId w:val="0"/>
              </w:numPr>
              <w:kinsoku/>
              <w:wordWrap/>
              <w:overflowPunct/>
              <w:topLinePunct w:val="0"/>
              <w:bidi w:val="0"/>
              <w:snapToGrid w:val="0"/>
              <w:spacing w:line="320" w:lineRule="exact"/>
              <w:ind w:firstLine="210" w:firstLineChars="100"/>
              <w:jc w:val="both"/>
              <w:textAlignment w:val="auto"/>
              <w:rPr>
                <w:rFonts w:hint="eastAsia" w:ascii="宋体" w:hAnsi="宋体" w:cs="宋体"/>
                <w:b w:val="0"/>
                <w:bCs w:val="0"/>
                <w:color w:val="auto"/>
                <w:sz w:val="21"/>
                <w:szCs w:val="21"/>
                <w:highlight w:val="none"/>
                <w:lang w:val="en-US" w:eastAsia="zh-CN"/>
              </w:rPr>
            </w:pPr>
          </w:p>
        </w:tc>
        <w:tc>
          <w:tcPr>
            <w:tcW w:w="6770" w:type="dxa"/>
            <w:noWrap w:val="0"/>
            <w:vAlign w:val="center"/>
          </w:tcPr>
          <w:p w14:paraId="74264D17">
            <w:pPr>
              <w:snapToGrid w:val="0"/>
              <w:spacing w:line="340" w:lineRule="exact"/>
              <w:jc w:val="left"/>
              <w:rPr>
                <w:rFonts w:hint="eastAsia" w:ascii="宋体" w:hAnsi="宋体" w:cs="宋体"/>
                <w:color w:val="auto"/>
                <w:szCs w:val="21"/>
                <w:highlight w:val="none"/>
              </w:rPr>
            </w:pPr>
            <w:r>
              <w:rPr>
                <w:rFonts w:hint="eastAsia" w:ascii="宋体" w:hAnsi="宋体" w:cs="宋体"/>
                <w:color w:val="auto"/>
                <w:szCs w:val="21"/>
                <w:highlight w:val="none"/>
              </w:rPr>
              <w:t>根据供应商制定的人员配备方案进行打分，包括但不仅限于：服务团队组织结构、人员配备及职责、人员专业技术、工作经验</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持证上岗</w:t>
            </w:r>
            <w:r>
              <w:rPr>
                <w:rFonts w:hint="eastAsia" w:ascii="宋体" w:hAnsi="宋体" w:cs="宋体"/>
                <w:color w:val="auto"/>
                <w:szCs w:val="21"/>
                <w:highlight w:val="none"/>
              </w:rPr>
              <w:t>等。</w:t>
            </w:r>
          </w:p>
          <w:p w14:paraId="3256E12C">
            <w:pPr>
              <w:snapToGrid w:val="0"/>
              <w:spacing w:line="340" w:lineRule="exact"/>
              <w:jc w:val="left"/>
              <w:rPr>
                <w:rFonts w:hint="eastAsia" w:ascii="宋体" w:hAnsi="宋体" w:cs="宋体"/>
                <w:color w:val="auto"/>
                <w:szCs w:val="21"/>
                <w:highlight w:val="none"/>
              </w:rPr>
            </w:pPr>
            <w:r>
              <w:rPr>
                <w:rFonts w:hint="eastAsia" w:ascii="宋体" w:hAnsi="宋体" w:cs="宋体"/>
                <w:color w:val="auto"/>
                <w:szCs w:val="21"/>
                <w:highlight w:val="none"/>
              </w:rPr>
              <w:t>1.人员配备合理、人员岗位安排分配计划明确，专业技术能力强、经验丰富</w:t>
            </w:r>
            <w:r>
              <w:rPr>
                <w:rFonts w:hint="eastAsia" w:ascii="宋体" w:hAnsi="宋体" w:cs="宋体"/>
                <w:color w:val="auto"/>
                <w:szCs w:val="21"/>
                <w:highlight w:val="none"/>
                <w:lang w:val="en-US" w:eastAsia="zh-CN"/>
              </w:rPr>
              <w:t>且持证上岗</w:t>
            </w:r>
            <w:r>
              <w:rPr>
                <w:rFonts w:hint="eastAsia" w:ascii="宋体" w:hAnsi="宋体" w:cs="宋体"/>
                <w:color w:val="auto"/>
                <w:szCs w:val="21"/>
                <w:highlight w:val="none"/>
              </w:rPr>
              <w:t>，完全满足采购需求的得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p w14:paraId="59C29E5B">
            <w:pPr>
              <w:snapToGrid w:val="0"/>
              <w:spacing w:line="340" w:lineRule="exact"/>
              <w:jc w:val="left"/>
              <w:rPr>
                <w:rFonts w:hint="eastAsia" w:ascii="宋体" w:hAnsi="宋体" w:cs="宋体"/>
                <w:color w:val="auto"/>
                <w:szCs w:val="21"/>
                <w:highlight w:val="none"/>
              </w:rPr>
            </w:pPr>
            <w:r>
              <w:rPr>
                <w:rFonts w:hint="eastAsia" w:ascii="宋体" w:hAnsi="宋体" w:cs="宋体"/>
                <w:color w:val="auto"/>
                <w:szCs w:val="21"/>
                <w:highlight w:val="none"/>
              </w:rPr>
              <w:t>2.人员配备基本合理，人员岗位安排分配计划基本明确，专业技术能力及工作经验基本满足采购需求的得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766502CC">
            <w:pPr>
              <w:snapToGrid w:val="0"/>
              <w:spacing w:line="340" w:lineRule="exact"/>
              <w:jc w:val="left"/>
              <w:rPr>
                <w:rFonts w:hint="eastAsia" w:ascii="宋体" w:hAnsi="宋体" w:eastAsia="宋体" w:cs="宋体"/>
                <w:color w:val="auto"/>
                <w:szCs w:val="21"/>
                <w:highlight w:val="none"/>
              </w:rPr>
            </w:pPr>
            <w:r>
              <w:rPr>
                <w:rFonts w:hint="eastAsia" w:ascii="宋体" w:hAnsi="宋体" w:cs="宋体"/>
                <w:color w:val="auto"/>
                <w:szCs w:val="21"/>
                <w:highlight w:val="none"/>
              </w:rPr>
              <w:t>3.人员配备</w:t>
            </w:r>
            <w:r>
              <w:rPr>
                <w:rFonts w:hint="eastAsia" w:ascii="宋体" w:hAnsi="宋体" w:cs="宋体"/>
                <w:color w:val="auto"/>
                <w:szCs w:val="21"/>
                <w:highlight w:val="none"/>
                <w:lang w:eastAsia="zh-CN"/>
              </w:rPr>
              <w:t>、</w:t>
            </w:r>
            <w:r>
              <w:rPr>
                <w:rFonts w:hint="eastAsia" w:ascii="宋体" w:hAnsi="宋体" w:cs="宋体"/>
                <w:color w:val="auto"/>
                <w:szCs w:val="21"/>
                <w:highlight w:val="none"/>
              </w:rPr>
              <w:t>人</w:t>
            </w:r>
            <w:r>
              <w:rPr>
                <w:rFonts w:hint="eastAsia" w:ascii="宋体" w:hAnsi="宋体" w:eastAsia="宋体" w:cs="宋体"/>
                <w:color w:val="auto"/>
                <w:szCs w:val="21"/>
                <w:highlight w:val="none"/>
              </w:rPr>
              <w:t>员岗位安排分配及专业能力有待提升的得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w:t>
            </w:r>
          </w:p>
          <w:p w14:paraId="771E2FF4">
            <w:pPr>
              <w:snapToGrid w:val="0"/>
              <w:spacing w:line="3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缺项的得0分。</w:t>
            </w:r>
          </w:p>
          <w:p w14:paraId="4860624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rPr>
              <w:t>注：提供人员清单</w:t>
            </w:r>
            <w:r>
              <w:rPr>
                <w:rFonts w:hint="eastAsia" w:ascii="宋体" w:hAnsi="宋体" w:eastAsia="宋体" w:cs="宋体"/>
                <w:color w:val="auto"/>
                <w:szCs w:val="21"/>
                <w:highlight w:val="none"/>
                <w:lang w:val="en-US" w:eastAsia="zh-CN"/>
              </w:rPr>
              <w:t>及证书证明文件</w:t>
            </w:r>
            <w:r>
              <w:rPr>
                <w:rFonts w:hint="eastAsia" w:ascii="宋体" w:hAnsi="宋体" w:cs="宋体"/>
                <w:color w:val="auto"/>
                <w:szCs w:val="21"/>
                <w:highlight w:val="none"/>
              </w:rPr>
              <w:t>。</w:t>
            </w:r>
          </w:p>
        </w:tc>
      </w:tr>
      <w:tr w14:paraId="6414B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11AD771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7C44F79C">
            <w:pPr>
              <w:keepNext w:val="0"/>
              <w:keepLines w:val="0"/>
              <w:pageBreakBefore w:val="0"/>
              <w:numPr>
                <w:ilvl w:val="0"/>
                <w:numId w:val="0"/>
              </w:numPr>
              <w:kinsoku/>
              <w:wordWrap/>
              <w:overflowPunct/>
              <w:topLinePunct w:val="0"/>
              <w:bidi w:val="0"/>
              <w:snapToGrid w:val="0"/>
              <w:spacing w:line="320" w:lineRule="exact"/>
              <w:ind w:firstLine="210" w:firstLineChars="100"/>
              <w:jc w:val="both"/>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2.质保期</w:t>
            </w:r>
          </w:p>
          <w:p w14:paraId="5D0EC59C">
            <w:pPr>
              <w:keepNext w:val="0"/>
              <w:keepLines w:val="0"/>
              <w:pageBreakBefore w:val="0"/>
              <w:numPr>
                <w:ilvl w:val="0"/>
                <w:numId w:val="0"/>
              </w:numPr>
              <w:kinsoku/>
              <w:wordWrap/>
              <w:overflowPunct/>
              <w:topLinePunct w:val="0"/>
              <w:bidi w:val="0"/>
              <w:snapToGrid w:val="0"/>
              <w:spacing w:line="320" w:lineRule="exact"/>
              <w:ind w:firstLine="210" w:firstLineChars="100"/>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（8分）</w:t>
            </w:r>
          </w:p>
        </w:tc>
        <w:tc>
          <w:tcPr>
            <w:tcW w:w="6770" w:type="dxa"/>
            <w:noWrap w:val="0"/>
            <w:vAlign w:val="center"/>
          </w:tcPr>
          <w:p w14:paraId="6A9E1DB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color w:val="auto"/>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w:t>
            </w:r>
            <w:r>
              <w:rPr>
                <w:rFonts w:hint="eastAsia" w:ascii="宋体" w:hAnsi="宋体" w:cs="宋体"/>
                <w:color w:val="auto"/>
                <w:sz w:val="21"/>
                <w:szCs w:val="21"/>
                <w:highlight w:val="none"/>
                <w:lang w:val="en-US" w:eastAsia="zh-CN"/>
              </w:rPr>
              <w:t>半</w:t>
            </w:r>
            <w:r>
              <w:rPr>
                <w:rFonts w:hint="eastAsia" w:ascii="宋体" w:hAnsi="宋体" w:eastAsia="宋体" w:cs="宋体"/>
                <w:color w:val="auto"/>
                <w:sz w:val="21"/>
                <w:szCs w:val="21"/>
                <w:highlight w:val="none"/>
                <w:lang w:val="en-US" w:eastAsia="zh-CN"/>
              </w:rPr>
              <w:t>年加2分,最多加</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分（出具相关服务承诺书）。</w:t>
            </w:r>
          </w:p>
        </w:tc>
      </w:tr>
      <w:tr w14:paraId="5424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72F5723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ABEE02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分）</w:t>
            </w:r>
          </w:p>
        </w:tc>
        <w:tc>
          <w:tcPr>
            <w:tcW w:w="6770" w:type="dxa"/>
            <w:noWrap w:val="0"/>
            <w:vAlign w:val="center"/>
          </w:tcPr>
          <w:p w14:paraId="4709AB8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highlight w:val="none"/>
                <w:lang w:val="en-US" w:eastAsia="zh-CN"/>
              </w:rPr>
              <w:t>供应商</w:t>
            </w:r>
            <w:r>
              <w:rPr>
                <w:rFonts w:hint="eastAsia" w:ascii="宋体" w:hAnsi="宋体" w:eastAsia="宋体" w:cs="宋体"/>
                <w:color w:val="auto"/>
                <w:highlight w:val="none"/>
                <w:lang w:val="en-US" w:eastAsia="zh-CN"/>
              </w:rPr>
              <w:t>202</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年1月1日具有的类似</w:t>
            </w:r>
            <w:r>
              <w:rPr>
                <w:rFonts w:hint="eastAsia" w:ascii="宋体" w:hAnsi="宋体" w:cs="宋体"/>
                <w:color w:val="auto"/>
                <w:highlight w:val="none"/>
                <w:lang w:val="en-US" w:eastAsia="zh-CN"/>
              </w:rPr>
              <w:t>项目</w:t>
            </w:r>
            <w:r>
              <w:rPr>
                <w:rFonts w:hint="eastAsia" w:ascii="宋体" w:hAnsi="宋体" w:eastAsia="宋体" w:cs="宋体"/>
                <w:color w:val="auto"/>
                <w:highlight w:val="none"/>
                <w:lang w:val="en-US" w:eastAsia="zh-CN"/>
              </w:rPr>
              <w:t>业绩(以合同文件为准），每提供一份得2分，最多得</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分。</w:t>
            </w:r>
          </w:p>
        </w:tc>
      </w:tr>
      <w:tr w14:paraId="4F58B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5DBF0B9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93FBDF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.服务承诺</w:t>
            </w:r>
          </w:p>
          <w:p w14:paraId="67231D7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0CCAC1D9">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根据供应商提供的售后服务及培训方案进行评分，包括但不限于：①服务站点设立，售后服务团队及其联系方式、技术水平能力及职责分工；②故障响应时间；③系统故障应急维修方案；④培训方案。 </w:t>
            </w:r>
          </w:p>
          <w:p w14:paraId="0CAC90FD">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服务承诺符合本项目特点，措施详尽、人员专业性强、故障响应时间极快、应急维修方案合理且可行，有具体的培训方案，得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 xml:space="preserve">分。 </w:t>
            </w:r>
          </w:p>
          <w:p w14:paraId="397949C9">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服务承诺符合本项目特点，人员专业性较强、故障响应时间快、应急维修方案较合理，有较具体的培训方案的得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 xml:space="preserve">分； </w:t>
            </w:r>
          </w:p>
          <w:p w14:paraId="6D31447B">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服务承诺符合本项目特点，故障响应时间较长、应急维修方案不完备，培训方案不完备的得1分； </w:t>
            </w:r>
          </w:p>
          <w:p w14:paraId="290E3BCA">
            <w:pPr>
              <w:rPr>
                <w:rFonts w:hint="eastAsia"/>
                <w:color w:val="auto"/>
                <w:highlight w:val="none"/>
              </w:rPr>
            </w:pPr>
            <w:r>
              <w:rPr>
                <w:rFonts w:hint="eastAsia" w:ascii="宋体" w:hAnsi="宋体" w:eastAsia="宋体" w:cs="宋体"/>
                <w:b w:val="0"/>
                <w:bCs w:val="0"/>
                <w:color w:val="auto"/>
                <w:sz w:val="21"/>
                <w:szCs w:val="21"/>
                <w:highlight w:val="none"/>
                <w:lang w:val="en-US" w:eastAsia="zh-CN"/>
              </w:rPr>
              <w:t>缺项得0分。</w:t>
            </w:r>
          </w:p>
        </w:tc>
      </w:tr>
      <w:tr w14:paraId="0A5C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3454A81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3883785">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23A124FD">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D2A9B4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947"/>
      <w:bookmarkStart w:id="51" w:name="_Toc1482"/>
      <w:bookmarkStart w:id="52" w:name="_Toc326786897"/>
      <w:bookmarkStart w:id="53" w:name="_Toc256519703"/>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2"/>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9"/>
        <w:rPr>
          <w:rFonts w:hint="eastAsia" w:ascii="宋体" w:hAnsi="宋体" w:eastAsia="宋体" w:cs="宋体"/>
          <w:b/>
          <w:bCs/>
          <w:color w:val="auto"/>
          <w:highlight w:val="none"/>
        </w:rPr>
      </w:pPr>
    </w:p>
    <w:p w14:paraId="7C048156">
      <w:pPr>
        <w:pStyle w:val="49"/>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4"/>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24743"/>
      <w:bookmarkStart w:id="68"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9"/>
        <w:spacing w:line="360" w:lineRule="auto"/>
        <w:rPr>
          <w:rFonts w:hint="eastAsia" w:ascii="宋体" w:hAnsi="宋体" w:eastAsia="宋体" w:cs="宋体"/>
          <w:color w:val="auto"/>
          <w:highlight w:val="none"/>
        </w:rPr>
      </w:pPr>
    </w:p>
    <w:p w14:paraId="51E48B65">
      <w:pPr>
        <w:pStyle w:val="49"/>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eastAsia="zh-CN"/>
        </w:rPr>
        <w:t>日期：</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4"/>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14560"/>
      <w:bookmarkStart w:id="70" w:name="_Toc8818"/>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w:t>
      </w:r>
      <w:r>
        <w:rPr>
          <w:rFonts w:hint="eastAsia" w:ascii="宋体" w:hAnsi="宋体" w:eastAsia="宋体" w:cs="宋体"/>
          <w:color w:val="auto"/>
          <w:kern w:val="0"/>
          <w:szCs w:val="21"/>
          <w:highlight w:val="none"/>
          <w:lang w:val="en-US" w:eastAsia="zh-CN"/>
        </w:rPr>
        <w:t>及其提供产品和服务</w:t>
      </w:r>
      <w:r>
        <w:rPr>
          <w:rFonts w:hint="eastAsia" w:ascii="宋体" w:hAnsi="宋体" w:eastAsia="宋体" w:cs="宋体"/>
          <w:color w:val="auto"/>
          <w:kern w:val="0"/>
          <w:szCs w:val="21"/>
          <w:highlight w:val="none"/>
        </w:rPr>
        <w:t>，我方就本次投标有关事项郑重声明并宣布同意如下：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，包括修改文件（如有的话）和有关附件，将自行承担因对全部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的全部规定，接受</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840" w:firstLineChars="400"/>
        <w:jc w:val="left"/>
        <w:rPr>
          <w:rFonts w:hint="eastAsia" w:ascii="宋体" w:hAnsi="宋体" w:eastAsia="宋体" w:cs="宋体"/>
          <w:color w:val="auto"/>
          <w:kern w:val="0"/>
          <w:sz w:val="24"/>
          <w:highlight w:val="none"/>
        </w:rPr>
      </w:pPr>
      <w:r>
        <w:rPr>
          <w:rFonts w:hint="eastAsia" w:ascii="宋体" w:hAnsi="宋体" w:cs="宋体"/>
          <w:color w:val="auto"/>
          <w:kern w:val="0"/>
          <w:szCs w:val="21"/>
          <w:highlight w:val="none"/>
          <w:lang w:eastAsia="zh-CN"/>
        </w:rPr>
        <w:t>日期：</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tbl>
      <w:tblPr>
        <w:tblStyle w:val="33"/>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390"/>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390"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390" w:type="dxa"/>
            <w:noWrap/>
            <w:vAlign w:val="center"/>
          </w:tcPr>
          <w:p w14:paraId="07B627DC">
            <w:pPr>
              <w:rPr>
                <w:rFonts w:hint="eastAsia" w:ascii="宋体" w:hAnsi="宋体" w:eastAsia="宋体" w:cs="宋体"/>
                <w:color w:val="auto"/>
                <w:szCs w:val="21"/>
                <w:highlight w:val="none"/>
              </w:rPr>
            </w:pPr>
          </w:p>
        </w:tc>
      </w:tr>
      <w:tr w14:paraId="0DFE0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390"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2163C4A6">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390" w:type="dxa"/>
            <w:noWrap/>
            <w:vAlign w:val="center"/>
          </w:tcPr>
          <w:p w14:paraId="1BE2A112">
            <w:pPr>
              <w:pStyle w:val="20"/>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390" w:type="dxa"/>
            <w:noWrap/>
            <w:vAlign w:val="center"/>
          </w:tcPr>
          <w:p w14:paraId="0FDD4FAD">
            <w:pPr>
              <w:pStyle w:val="20"/>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100D7E1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2、以上报价应与“报价明细表”中的报价相一致。</w:t>
      </w:r>
    </w:p>
    <w:p w14:paraId="1749687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按格式填列，不得自行更改。否则引起的不利后果由</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承担。</w:t>
      </w:r>
    </w:p>
    <w:p w14:paraId="7B6C3FAE">
      <w:pPr>
        <w:spacing w:line="360" w:lineRule="auto"/>
        <w:ind w:firstLine="420" w:firstLineChars="200"/>
        <w:rPr>
          <w:rFonts w:hint="eastAsia" w:ascii="宋体" w:hAnsi="宋体" w:eastAsia="宋体" w:cs="宋体"/>
          <w:color w:val="auto"/>
          <w:highlight w:val="none"/>
        </w:rPr>
      </w:pP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2" w:name="_Toc11620"/>
      <w:bookmarkStart w:id="73" w:name="_Toc20877"/>
    </w:p>
    <w:bookmarkEnd w:id="72"/>
    <w:bookmarkEnd w:id="73"/>
    <w:p w14:paraId="18ED382E">
      <w:pPr>
        <w:keepNext w:val="0"/>
        <w:pageBreakBefore w:val="0"/>
        <w:widowControl w:val="0"/>
        <w:wordWrap w:val="0"/>
        <w:overflowPunct/>
        <w:topLinePunct w:val="0"/>
        <w:bidi w:val="0"/>
        <w:spacing w:line="460" w:lineRule="exact"/>
        <w:ind w:firstLine="2730" w:firstLineChars="1300"/>
        <w:jc w:val="left"/>
        <w:rPr>
          <w:rFonts w:hint="eastAsia" w:ascii="宋体" w:hAnsi="宋体" w:eastAsia="宋体" w:cs="宋体"/>
          <w:color w:val="auto"/>
          <w:kern w:val="0"/>
          <w:szCs w:val="21"/>
          <w:highlight w:val="none"/>
          <w:lang w:eastAsia="zh-CN"/>
        </w:rPr>
      </w:pPr>
      <w:bookmarkStart w:id="74" w:name="_Toc625"/>
      <w:bookmarkStart w:id="75" w:name="_Toc12222"/>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420" w:firstLineChars="200"/>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6" w:name="_Toc1330"/>
      <w:bookmarkStart w:id="77" w:name="_Toc9950"/>
      <w:r>
        <w:rPr>
          <w:rFonts w:hint="eastAsia" w:ascii="宋体" w:hAnsi="宋体" w:cs="宋体"/>
          <w:color w:val="auto"/>
          <w:kern w:val="0"/>
          <w:szCs w:val="21"/>
          <w:highlight w:val="none"/>
          <w:lang w:eastAsia="zh-CN"/>
        </w:rPr>
        <w:t>日期：</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szCs w:val="21"/>
          <w:highlight w:val="none"/>
        </w:rPr>
        <w:t>年  月  日</w:t>
      </w:r>
      <w:bookmarkEnd w:id="76"/>
      <w:bookmarkEnd w:id="77"/>
    </w:p>
    <w:bookmarkEnd w:id="52"/>
    <w:bookmarkEnd w:id="53"/>
    <w:p w14:paraId="35B35CE5">
      <w:pPr>
        <w:outlineLvl w:val="9"/>
        <w:rPr>
          <w:rFonts w:hint="eastAsia" w:ascii="宋体" w:hAnsi="宋体" w:eastAsia="宋体" w:cs="宋体"/>
          <w:color w:val="auto"/>
          <w:highlight w:val="none"/>
          <w:lang w:eastAsia="zh-CN"/>
        </w:rPr>
      </w:pPr>
      <w:bookmarkStart w:id="78" w:name="_Toc24984"/>
      <w:bookmarkStart w:id="79" w:name="_Toc22004"/>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8"/>
      <w:bookmarkEnd w:id="79"/>
      <w:r>
        <w:rPr>
          <w:rFonts w:hint="eastAsia" w:ascii="宋体" w:hAnsi="宋体" w:eastAsia="宋体" w:cs="宋体"/>
          <w:color w:val="auto"/>
          <w:sz w:val="28"/>
          <w:szCs w:val="28"/>
          <w:highlight w:val="none"/>
          <w:lang w:val="en-US" w:eastAsia="zh-CN"/>
        </w:rPr>
        <w:t>报价明细表（格式）</w:t>
      </w:r>
    </w:p>
    <w:p w14:paraId="67812447">
      <w:pPr>
        <w:widowControl/>
        <w:wordWrap w:val="0"/>
        <w:snapToGrid w:val="0"/>
        <w:spacing w:before="50" w:after="50"/>
        <w:ind w:right="-817" w:rightChars="-389"/>
        <w:jc w:val="right"/>
        <w:rPr>
          <w:rFonts w:ascii="宋体" w:hAnsi="宋体" w:cs="宋体"/>
          <w:color w:val="auto"/>
          <w:kern w:val="0"/>
          <w:sz w:val="24"/>
          <w:highlight w:val="none"/>
        </w:rPr>
      </w:pPr>
      <w:r>
        <w:rPr>
          <w:rFonts w:hint="eastAsia" w:ascii="宋体" w:hAnsi="宋体" w:cs="宋体"/>
          <w:color w:val="auto"/>
          <w:kern w:val="0"/>
          <w:sz w:val="24"/>
          <w:highlight w:val="none"/>
        </w:rPr>
        <w:t>金额单位：人民币（元）</w:t>
      </w:r>
    </w:p>
    <w:tbl>
      <w:tblPr>
        <w:tblStyle w:val="33"/>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14:paraId="4B7A99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14:paraId="5876167B">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7" w:type="dxa"/>
            <w:tcBorders>
              <w:top w:val="single" w:color="auto" w:sz="4" w:space="0"/>
              <w:left w:val="single" w:color="auto" w:sz="4" w:space="0"/>
              <w:bottom w:val="nil"/>
              <w:right w:val="single" w:color="auto" w:sz="4" w:space="0"/>
            </w:tcBorders>
            <w:vAlign w:val="center"/>
          </w:tcPr>
          <w:p w14:paraId="4F90E74E">
            <w:pPr>
              <w:widowControl/>
              <w:tabs>
                <w:tab w:val="left" w:pos="1418"/>
              </w:tabs>
              <w:snapToGrid w:val="0"/>
              <w:spacing w:before="50" w:after="50" w:line="360" w:lineRule="exact"/>
              <w:jc w:val="center"/>
              <w:rPr>
                <w:rFonts w:hint="default"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名称</w:t>
            </w:r>
          </w:p>
        </w:tc>
        <w:tc>
          <w:tcPr>
            <w:tcW w:w="1516" w:type="dxa"/>
            <w:tcBorders>
              <w:top w:val="single" w:color="auto" w:sz="4" w:space="0"/>
              <w:left w:val="single" w:color="auto" w:sz="4" w:space="0"/>
              <w:bottom w:val="nil"/>
              <w:right w:val="single" w:color="auto" w:sz="4" w:space="0"/>
            </w:tcBorders>
            <w:vAlign w:val="center"/>
          </w:tcPr>
          <w:p w14:paraId="7BAA8846">
            <w:pPr>
              <w:widowControl/>
              <w:tabs>
                <w:tab w:val="left" w:pos="1418"/>
              </w:tabs>
              <w:snapToGrid w:val="0"/>
              <w:spacing w:before="50" w:after="50" w:line="360" w:lineRule="exact"/>
              <w:jc w:val="center"/>
              <w:rPr>
                <w:rFonts w:hint="default"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单位</w:t>
            </w:r>
          </w:p>
        </w:tc>
        <w:tc>
          <w:tcPr>
            <w:tcW w:w="1541" w:type="dxa"/>
            <w:tcBorders>
              <w:top w:val="single" w:color="auto" w:sz="4" w:space="0"/>
              <w:left w:val="single" w:color="auto" w:sz="4" w:space="0"/>
              <w:bottom w:val="nil"/>
              <w:right w:val="single" w:color="auto" w:sz="4" w:space="0"/>
            </w:tcBorders>
            <w:vAlign w:val="center"/>
          </w:tcPr>
          <w:p w14:paraId="21ED2BFD">
            <w:pPr>
              <w:widowControl/>
              <w:tabs>
                <w:tab w:val="left" w:pos="1418"/>
              </w:tabs>
              <w:snapToGrid w:val="0"/>
              <w:spacing w:before="50" w:after="50" w:line="360" w:lineRule="exact"/>
              <w:jc w:val="center"/>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1198" w:type="dxa"/>
            <w:tcBorders>
              <w:top w:val="single" w:color="auto" w:sz="4" w:space="0"/>
              <w:left w:val="single" w:color="auto" w:sz="4" w:space="0"/>
              <w:bottom w:val="nil"/>
              <w:right w:val="single" w:color="auto" w:sz="4" w:space="0"/>
            </w:tcBorders>
            <w:vAlign w:val="center"/>
          </w:tcPr>
          <w:p w14:paraId="096CB291">
            <w:pPr>
              <w:widowControl/>
              <w:tabs>
                <w:tab w:val="left" w:pos="1418"/>
              </w:tabs>
              <w:snapToGrid w:val="0"/>
              <w:spacing w:before="50" w:after="50" w:line="360" w:lineRule="exact"/>
              <w:jc w:val="center"/>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17" w:type="dxa"/>
            <w:tcBorders>
              <w:top w:val="single" w:color="auto" w:sz="4" w:space="0"/>
              <w:left w:val="single" w:color="auto" w:sz="4" w:space="0"/>
              <w:bottom w:val="nil"/>
              <w:right w:val="single" w:color="auto" w:sz="4" w:space="0"/>
            </w:tcBorders>
            <w:vAlign w:val="center"/>
          </w:tcPr>
          <w:p w14:paraId="603EFBF2">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金额</w:t>
            </w:r>
          </w:p>
        </w:tc>
        <w:tc>
          <w:tcPr>
            <w:tcW w:w="916" w:type="dxa"/>
            <w:tcBorders>
              <w:top w:val="single" w:color="auto" w:sz="4" w:space="0"/>
              <w:left w:val="single" w:color="auto" w:sz="4" w:space="0"/>
              <w:bottom w:val="nil"/>
              <w:right w:val="single" w:color="auto" w:sz="4" w:space="0"/>
            </w:tcBorders>
            <w:vAlign w:val="center"/>
          </w:tcPr>
          <w:p w14:paraId="5ABD467D">
            <w:pPr>
              <w:widowControl/>
              <w:tabs>
                <w:tab w:val="left" w:pos="1418"/>
              </w:tabs>
              <w:snapToGrid w:val="0"/>
              <w:spacing w:before="50" w:after="50" w:line="360" w:lineRule="exact"/>
              <w:jc w:val="center"/>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备注</w:t>
            </w:r>
          </w:p>
        </w:tc>
      </w:tr>
      <w:tr w14:paraId="121578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668AE432">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70A2ACEA">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2D7C3978">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7D2BDD76">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580ECB57">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4303A688">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020EEB41">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14:paraId="51E256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414A7703">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4F700465">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51005BBD">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41C09F12">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6B4DA9A4">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7A2C08A0">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461C8D22">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14:paraId="75EDF6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0BD6EE32">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17F3D29D">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2D31B2FC">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0C58940B">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75B25A28">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52F603E6">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674EFAF1">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14:paraId="24A578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54514F6A">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1BF61C3F">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20B82D9E">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729DD59D">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4049031B">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0BE18341">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0C5C8094">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14:paraId="58E250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735C9A23">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4E6BF9E5">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7964742C">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5F05A265">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4518CB32">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12111656">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5B501652">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14:paraId="7DDA71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3291BD24">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047BBE7B">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516" w:type="dxa"/>
            <w:tcBorders>
              <w:top w:val="single" w:color="auto" w:sz="4" w:space="0"/>
              <w:left w:val="single" w:color="auto" w:sz="4" w:space="0"/>
              <w:bottom w:val="single" w:color="auto" w:sz="4" w:space="0"/>
              <w:right w:val="single" w:color="auto" w:sz="4" w:space="0"/>
            </w:tcBorders>
          </w:tcPr>
          <w:p w14:paraId="783A683A">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14432996">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1717AD8A">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3B6D80E9">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79C5604D">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14:paraId="1FBDC7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14:paraId="2D1571BF">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c>
          <w:tcPr>
            <w:tcW w:w="1117" w:type="dxa"/>
            <w:tcBorders>
              <w:top w:val="single" w:color="auto" w:sz="4" w:space="0"/>
              <w:left w:val="single" w:color="auto" w:sz="4" w:space="0"/>
              <w:bottom w:val="single" w:color="auto" w:sz="4" w:space="0"/>
              <w:right w:val="single" w:color="auto" w:sz="4" w:space="0"/>
            </w:tcBorders>
            <w:vAlign w:val="top"/>
          </w:tcPr>
          <w:p w14:paraId="48E64285">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c>
          <w:tcPr>
            <w:tcW w:w="916" w:type="dxa"/>
            <w:tcBorders>
              <w:top w:val="single" w:color="auto" w:sz="4" w:space="0"/>
              <w:left w:val="single" w:color="auto" w:sz="4" w:space="0"/>
              <w:bottom w:val="single" w:color="auto" w:sz="4" w:space="0"/>
              <w:right w:val="single" w:color="auto" w:sz="4" w:space="0"/>
            </w:tcBorders>
            <w:vAlign w:val="top"/>
          </w:tcPr>
          <w:p w14:paraId="1B9B4280">
            <w:pPr>
              <w:widowControl/>
              <w:tabs>
                <w:tab w:val="left" w:pos="1418"/>
              </w:tabs>
              <w:snapToGrid w:val="0"/>
              <w:spacing w:before="50" w:after="50" w:line="360" w:lineRule="exact"/>
              <w:jc w:val="left"/>
              <w:rPr>
                <w:rFonts w:hint="eastAsia" w:ascii="宋体" w:hAnsi="宋体" w:cs="宋体"/>
                <w:color w:val="auto"/>
                <w:kern w:val="0"/>
                <w:sz w:val="24"/>
                <w:szCs w:val="21"/>
                <w:highlight w:val="none"/>
              </w:rPr>
            </w:pPr>
          </w:p>
        </w:tc>
      </w:tr>
    </w:tbl>
    <w:p w14:paraId="7F5F0A2A">
      <w:pPr>
        <w:widowControl/>
        <w:wordWrap w:val="0"/>
        <w:spacing w:line="460" w:lineRule="exact"/>
        <w:ind w:firstLine="2760" w:firstLineChars="1150"/>
        <w:jc w:val="left"/>
        <w:rPr>
          <w:rFonts w:ascii="宋体" w:hAnsi="宋体" w:cs="宋体"/>
          <w:color w:val="auto"/>
          <w:kern w:val="0"/>
          <w:sz w:val="24"/>
          <w:highlight w:val="none"/>
        </w:rPr>
      </w:pPr>
    </w:p>
    <w:p w14:paraId="275CC86A">
      <w:pPr>
        <w:widowControl/>
        <w:snapToGrid w:val="0"/>
        <w:spacing w:line="440" w:lineRule="exact"/>
        <w:jc w:val="left"/>
        <w:rPr>
          <w:rFonts w:hint="eastAsia" w:ascii="宋体" w:hAnsi="宋体" w:eastAsia="宋体" w:cs="宋体"/>
          <w:b w:val="0"/>
          <w:bCs w:val="0"/>
          <w:color w:val="auto"/>
          <w:sz w:val="21"/>
          <w:szCs w:val="21"/>
          <w:highlight w:val="none"/>
          <w:lang w:val="en-US" w:eastAsia="zh-CN"/>
        </w:rPr>
      </w:pPr>
    </w:p>
    <w:p w14:paraId="11E6CBAB">
      <w:pPr>
        <w:pageBreakBefore w:val="0"/>
        <w:widowControl/>
        <w:wordWrap/>
        <w:overflowPunct/>
        <w:topLinePunct w:val="0"/>
        <w:bidi w:val="0"/>
        <w:spacing w:line="360" w:lineRule="auto"/>
        <w:ind w:firstLine="420" w:firstLineChars="200"/>
        <w:textAlignment w:val="baseline"/>
        <w:rPr>
          <w:rFonts w:hint="eastAsia" w:ascii="宋体" w:hAnsi="宋体" w:eastAsia="宋体" w:cs="宋体"/>
          <w:color w:val="auto"/>
          <w:kern w:val="0"/>
          <w:sz w:val="21"/>
          <w:szCs w:val="21"/>
          <w:highlight w:val="none"/>
        </w:rPr>
      </w:pPr>
    </w:p>
    <w:p w14:paraId="48F290DC">
      <w:pPr>
        <w:pStyle w:val="32"/>
        <w:ind w:firstLine="3990" w:firstLineChars="1900"/>
        <w:rPr>
          <w:rFonts w:hint="eastAsia" w:ascii="宋体" w:hAnsi="宋体" w:eastAsia="宋体" w:cs="宋体"/>
          <w:color w:val="auto"/>
          <w:sz w:val="21"/>
          <w:szCs w:val="21"/>
          <w:highlight w:val="none"/>
          <w:lang w:eastAsia="zh-CN"/>
        </w:rPr>
      </w:pPr>
    </w:p>
    <w:p w14:paraId="196D2C38">
      <w:pPr>
        <w:keepNext w:val="0"/>
        <w:pageBreakBefore w:val="0"/>
        <w:widowControl w:val="0"/>
        <w:wordWrap w:val="0"/>
        <w:overflowPunct/>
        <w:topLinePunct w:val="0"/>
        <w:bidi w:val="0"/>
        <w:spacing w:line="460" w:lineRule="exact"/>
        <w:ind w:firstLine="3150" w:firstLineChars="15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7F6A148">
      <w:pPr>
        <w:widowControl/>
        <w:wordWrap w:val="0"/>
        <w:spacing w:line="460" w:lineRule="exact"/>
        <w:ind w:firstLine="4410" w:firstLineChars="2100"/>
        <w:jc w:val="left"/>
        <w:rPr>
          <w:rFonts w:hint="eastAsia" w:ascii="宋体" w:hAnsi="宋体" w:eastAsia="宋体" w:cs="宋体"/>
          <w:color w:val="auto"/>
          <w:kern w:val="0"/>
          <w:sz w:val="21"/>
          <w:szCs w:val="21"/>
          <w:highlight w:val="none"/>
        </w:rPr>
      </w:pPr>
      <w:r>
        <w:rPr>
          <w:rFonts w:hint="eastAsia" w:ascii="宋体" w:hAnsi="宋体" w:cs="宋体"/>
          <w:color w:val="auto"/>
          <w:kern w:val="0"/>
          <w:szCs w:val="21"/>
          <w:highlight w:val="none"/>
          <w:lang w:eastAsia="zh-CN"/>
        </w:rPr>
        <w:t>日期：</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 w:val="21"/>
          <w:szCs w:val="21"/>
          <w:highlight w:val="none"/>
        </w:rPr>
        <w:t>年    月    日</w:t>
      </w:r>
    </w:p>
    <w:p w14:paraId="3603295E">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br w:type="page"/>
      </w:r>
    </w:p>
    <w:p w14:paraId="7DCBE5B5">
      <w:pPr>
        <w:pStyle w:val="4"/>
        <w:rPr>
          <w:rFonts w:hint="eastAsia"/>
          <w:color w:val="auto"/>
          <w:highlight w:val="none"/>
        </w:rPr>
        <w:sectPr>
          <w:footerReference r:id="rId7" w:type="default"/>
          <w:pgSz w:w="11906" w:h="16838"/>
          <w:pgMar w:top="1417" w:right="1474" w:bottom="1417" w:left="1474" w:header="851" w:footer="624" w:gutter="0"/>
          <w:pgNumType w:fmt="decimal"/>
          <w:cols w:space="720" w:num="1"/>
          <w:docGrid w:type="lines" w:linePitch="319" w:charSpace="0"/>
        </w:sectPr>
      </w:pPr>
    </w:p>
    <w:p w14:paraId="568848E2">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0" w:name="_Toc226"/>
      <w:bookmarkStart w:id="81" w:name="_Toc15804"/>
      <w:r>
        <w:rPr>
          <w:rFonts w:hint="eastAsia" w:ascii="宋体" w:hAnsi="宋体" w:eastAsia="宋体" w:cs="宋体"/>
          <w:color w:val="auto"/>
          <w:sz w:val="28"/>
          <w:szCs w:val="28"/>
          <w:highlight w:val="none"/>
          <w:lang w:val="en-US" w:eastAsia="zh-CN"/>
        </w:rPr>
        <w:t xml:space="preserve">附件5         </w:t>
      </w:r>
      <w:bookmarkEnd w:id="80"/>
      <w:bookmarkEnd w:id="81"/>
      <w:r>
        <w:rPr>
          <w:rFonts w:hint="eastAsia" w:ascii="宋体" w:hAnsi="宋体" w:eastAsia="宋体" w:cs="宋体"/>
          <w:color w:val="auto"/>
          <w:sz w:val="28"/>
          <w:szCs w:val="28"/>
          <w:highlight w:val="none"/>
          <w:lang w:val="en-US" w:eastAsia="zh-CN"/>
        </w:rPr>
        <w:t xml:space="preserve">  技术响应表（格式）</w:t>
      </w:r>
    </w:p>
    <w:tbl>
      <w:tblPr>
        <w:tblStyle w:val="93"/>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cs="宋体"/>
          <w:color w:val="auto"/>
          <w:kern w:val="0"/>
          <w:szCs w:val="21"/>
          <w:highlight w:val="none"/>
          <w:lang w:eastAsia="zh-CN"/>
        </w:rPr>
        <w:t>日期：</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01727F8C">
      <w:pPr>
        <w:rPr>
          <w:rFonts w:hint="eastAsia" w:ascii="宋体" w:hAnsi="宋体" w:eastAsia="宋体" w:cs="宋体"/>
          <w:b/>
          <w:color w:val="auto"/>
          <w:kern w:val="0"/>
          <w:sz w:val="24"/>
          <w:highlight w:val="none"/>
        </w:rPr>
      </w:pPr>
    </w:p>
    <w:p w14:paraId="3C754F10">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2" w:name="_Toc29960"/>
      <w:bookmarkStart w:id="83" w:name="_Toc24168"/>
      <w:bookmarkStart w:id="84" w:name="_Toc20420"/>
      <w:r>
        <w:rPr>
          <w:rFonts w:hint="eastAsia" w:ascii="宋体" w:hAnsi="宋体" w:eastAsia="宋体" w:cs="宋体"/>
          <w:color w:val="auto"/>
          <w:sz w:val="28"/>
          <w:szCs w:val="28"/>
          <w:highlight w:val="none"/>
          <w:lang w:val="en-US" w:eastAsia="zh-CN"/>
        </w:rPr>
        <w:t>附件6            商务响应</w:t>
      </w:r>
      <w:bookmarkEnd w:id="82"/>
      <w:bookmarkEnd w:id="83"/>
      <w:bookmarkEnd w:id="84"/>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3"/>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响应文件响应</w:t>
            </w:r>
          </w:p>
        </w:tc>
        <w:tc>
          <w:tcPr>
            <w:tcW w:w="1349" w:type="dxa"/>
            <w:noWrap w:val="0"/>
            <w:vAlign w:val="center"/>
          </w:tcPr>
          <w:p w14:paraId="1CBA3AA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偏离情况</w:t>
            </w:r>
          </w:p>
        </w:tc>
        <w:tc>
          <w:tcPr>
            <w:tcW w:w="1349" w:type="dxa"/>
            <w:noWrap w:val="0"/>
            <w:vAlign w:val="center"/>
          </w:tcPr>
          <w:p w14:paraId="1363C87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773DDB08">
            <w:pPr>
              <w:widowControl/>
              <w:spacing w:line="360" w:lineRule="auto"/>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1</w:t>
            </w:r>
          </w:p>
        </w:tc>
        <w:tc>
          <w:tcPr>
            <w:tcW w:w="2301" w:type="dxa"/>
            <w:shd w:val="clear" w:color="auto" w:fill="auto"/>
            <w:noWrap w:val="0"/>
            <w:vAlign w:val="center"/>
          </w:tcPr>
          <w:p w14:paraId="6DC2849E">
            <w:pPr>
              <w:pStyle w:val="14"/>
              <w:ind w:left="0" w:lef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合同签订时间</w:t>
            </w: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40B5BCD3">
            <w:pPr>
              <w:widowControl/>
              <w:spacing w:line="360" w:lineRule="auto"/>
              <w:jc w:val="center"/>
              <w:textAlignment w:val="baseline"/>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2</w:t>
            </w:r>
          </w:p>
        </w:tc>
        <w:tc>
          <w:tcPr>
            <w:tcW w:w="2301" w:type="dxa"/>
            <w:shd w:val="clear" w:color="auto" w:fill="auto"/>
            <w:noWrap w:val="0"/>
            <w:vAlign w:val="center"/>
          </w:tcPr>
          <w:p w14:paraId="0472149B">
            <w:pPr>
              <w:pStyle w:val="14"/>
              <w:ind w:left="0" w:leftChars="0"/>
              <w:jc w:val="center"/>
              <w:rPr>
                <w:rFonts w:hint="eastAsia" w:ascii="宋体" w:hAnsi="宋体" w:eastAsia="宋体" w:cs="宋体"/>
                <w:color w:val="auto"/>
                <w:kern w:val="0"/>
                <w:sz w:val="21"/>
                <w:szCs w:val="21"/>
                <w:highlight w:val="none"/>
                <w:lang w:val="en-US" w:eastAsia="zh-CN" w:bidi="ar-SA"/>
              </w:rPr>
            </w:pPr>
            <w:r>
              <w:rPr>
                <w:rFonts w:hint="eastAsia" w:cs="宋体"/>
                <w:color w:val="auto"/>
                <w:sz w:val="21"/>
                <w:szCs w:val="21"/>
                <w:highlight w:val="none"/>
                <w:lang w:val="en-US" w:eastAsia="zh-CN"/>
              </w:rPr>
              <w:t>服务地点</w:t>
            </w: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731D51CF">
            <w:pPr>
              <w:widowControl/>
              <w:spacing w:line="360" w:lineRule="auto"/>
              <w:jc w:val="center"/>
              <w:textAlignment w:val="baseline"/>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3</w:t>
            </w:r>
          </w:p>
        </w:tc>
        <w:tc>
          <w:tcPr>
            <w:tcW w:w="2301" w:type="dxa"/>
            <w:shd w:val="clear" w:color="auto" w:fill="auto"/>
            <w:noWrap w:val="0"/>
            <w:vAlign w:val="center"/>
          </w:tcPr>
          <w:p w14:paraId="6182A3E4">
            <w:pPr>
              <w:pStyle w:val="14"/>
              <w:ind w:left="0" w:lef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质量要求</w:t>
            </w: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15D97B2F">
            <w:pPr>
              <w:widowControl/>
              <w:spacing w:line="360" w:lineRule="auto"/>
              <w:jc w:val="center"/>
              <w:textAlignment w:val="baseline"/>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4</w:t>
            </w:r>
          </w:p>
        </w:tc>
        <w:tc>
          <w:tcPr>
            <w:tcW w:w="2301" w:type="dxa"/>
            <w:shd w:val="clear" w:color="auto" w:fill="auto"/>
            <w:noWrap w:val="0"/>
            <w:vAlign w:val="center"/>
          </w:tcPr>
          <w:p w14:paraId="5C43BD33">
            <w:pPr>
              <w:pStyle w:val="14"/>
              <w:ind w:left="0" w:lef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付款方式</w:t>
            </w: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shd w:val="clear" w:color="auto" w:fill="auto"/>
            <w:noWrap w:val="0"/>
            <w:vAlign w:val="center"/>
          </w:tcPr>
          <w:p w14:paraId="348FA7DF">
            <w:pPr>
              <w:widowControl/>
              <w:spacing w:line="360" w:lineRule="auto"/>
              <w:jc w:val="center"/>
              <w:textAlignment w:val="baseline"/>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5</w:t>
            </w:r>
          </w:p>
        </w:tc>
        <w:tc>
          <w:tcPr>
            <w:tcW w:w="2301" w:type="dxa"/>
            <w:shd w:val="clear" w:color="auto" w:fill="auto"/>
            <w:noWrap w:val="0"/>
            <w:vAlign w:val="center"/>
          </w:tcPr>
          <w:p w14:paraId="56FFBDC6">
            <w:pPr>
              <w:pStyle w:val="14"/>
              <w:spacing w:line="360" w:lineRule="auto"/>
              <w:jc w:val="center"/>
              <w:rPr>
                <w:rFonts w:hint="eastAsia" w:ascii="宋体" w:hAnsi="宋体" w:eastAsia="宋体" w:cs="宋体"/>
                <w:color w:val="auto"/>
                <w:kern w:val="0"/>
                <w:sz w:val="21"/>
                <w:szCs w:val="21"/>
                <w:highlight w:val="none"/>
                <w:lang w:val="en-US" w:eastAsia="zh-CN" w:bidi="ar-SA"/>
              </w:rPr>
            </w:pPr>
            <w:r>
              <w:rPr>
                <w:rFonts w:hint="eastAsia" w:cs="宋体"/>
                <w:color w:val="auto"/>
                <w:kern w:val="2"/>
                <w:sz w:val="21"/>
                <w:szCs w:val="21"/>
                <w:highlight w:val="none"/>
                <w:lang w:val="en-US" w:eastAsia="zh-CN"/>
              </w:rPr>
              <w:t>质保期</w:t>
            </w: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0517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0" w:type="auto"/>
          </w:tcPr>
          <w:p w14:paraId="3921CE4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2301" w:type="dxa"/>
            <w:shd w:val="clear" w:color="auto" w:fill="auto"/>
            <w:vAlign w:val="center"/>
          </w:tcPr>
          <w:p w14:paraId="4DB93AC7">
            <w:pPr>
              <w:pStyle w:val="14"/>
              <w:spacing w:line="360" w:lineRule="auto"/>
              <w:jc w:val="center"/>
              <w:rPr>
                <w:rFonts w:hint="eastAsia" w:cs="宋体"/>
                <w:color w:val="auto"/>
                <w:kern w:val="0"/>
                <w:sz w:val="21"/>
                <w:szCs w:val="21"/>
                <w:highlight w:val="none"/>
                <w:lang w:val="en-US" w:eastAsia="zh-CN" w:bidi="ar-SA"/>
              </w:rPr>
            </w:pPr>
            <w:r>
              <w:rPr>
                <w:rFonts w:hint="eastAsia" w:cs="宋体"/>
                <w:color w:val="auto"/>
                <w:kern w:val="2"/>
                <w:sz w:val="21"/>
                <w:szCs w:val="21"/>
                <w:highlight w:val="none"/>
                <w:lang w:eastAsia="zh-CN"/>
              </w:rPr>
              <w:t>其他要求</w:t>
            </w:r>
          </w:p>
        </w:tc>
        <w:tc>
          <w:tcPr>
            <w:tcW w:w="0" w:type="auto"/>
          </w:tcPr>
          <w:p w14:paraId="5EB6CA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6689CC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78A24E3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10D5DD7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CF68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0" w:type="auto"/>
          </w:tcPr>
          <w:p w14:paraId="7E44BDFA">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p>
        </w:tc>
        <w:tc>
          <w:tcPr>
            <w:tcW w:w="0" w:type="auto"/>
            <w:shd w:val="clear" w:color="auto" w:fill="auto"/>
            <w:vAlign w:val="center"/>
          </w:tcPr>
          <w:p w14:paraId="55C91CE4">
            <w:pPr>
              <w:pStyle w:val="14"/>
              <w:ind w:left="0" w:leftChars="0"/>
              <w:jc w:val="center"/>
              <w:rPr>
                <w:rFonts w:hint="default" w:ascii="宋体" w:hAnsi="宋体" w:eastAsia="宋体"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w:t>
            </w:r>
          </w:p>
        </w:tc>
        <w:tc>
          <w:tcPr>
            <w:tcW w:w="0" w:type="auto"/>
          </w:tcPr>
          <w:p w14:paraId="40A4C3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173AF2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4F211FF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07894F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625364C6">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4"/>
          <w:szCs w:val="24"/>
          <w:highlight w:val="none"/>
        </w:rPr>
      </w:pPr>
      <w:r>
        <w:rPr>
          <w:rFonts w:hint="eastAsia" w:ascii="宋体" w:hAnsi="宋体" w:cs="宋体"/>
          <w:color w:val="auto"/>
          <w:kern w:val="0"/>
          <w:szCs w:val="21"/>
          <w:highlight w:val="none"/>
          <w:lang w:eastAsia="zh-CN"/>
        </w:rPr>
        <w:t>日期：</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5" w:name="_Toc28621"/>
      <w:bookmarkStart w:id="86" w:name="_Toc31526"/>
      <w:r>
        <w:rPr>
          <w:rFonts w:hint="eastAsia" w:ascii="宋体" w:hAnsi="宋体" w:eastAsia="宋体" w:cs="宋体"/>
          <w:b/>
          <w:color w:val="auto"/>
          <w:sz w:val="28"/>
          <w:highlight w:val="none"/>
        </w:rPr>
        <w:br w:type="page"/>
      </w:r>
    </w:p>
    <w:p w14:paraId="40257B96">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29406"/>
      <w:r>
        <w:rPr>
          <w:rFonts w:hint="eastAsia" w:ascii="宋体" w:hAnsi="宋体" w:eastAsia="宋体" w:cs="宋体"/>
          <w:color w:val="auto"/>
          <w:sz w:val="28"/>
          <w:szCs w:val="28"/>
          <w:highlight w:val="none"/>
          <w:lang w:val="en-US" w:eastAsia="zh-CN"/>
        </w:rPr>
        <w:t>附件7         法定代表人身份证明（格式）</w:t>
      </w:r>
      <w:bookmarkEnd w:id="85"/>
      <w:bookmarkEnd w:id="86"/>
      <w:bookmarkEnd w:id="8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firstLine="2880" w:firstLineChars="1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日期：</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13976"/>
      <w:bookmarkStart w:id="89" w:name="_Toc30519"/>
      <w:bookmarkStart w:id="90" w:name="_Toc12939"/>
      <w:r>
        <w:rPr>
          <w:rFonts w:hint="eastAsia" w:ascii="宋体" w:hAnsi="宋体" w:eastAsia="宋体" w:cs="宋体"/>
          <w:color w:val="auto"/>
          <w:sz w:val="28"/>
          <w:szCs w:val="28"/>
          <w:highlight w:val="none"/>
          <w:lang w:val="en-US" w:eastAsia="zh-CN"/>
        </w:rPr>
        <w:t>附件8         法定代表人授权书（格式）</w:t>
      </w:r>
      <w:bookmarkEnd w:id="88"/>
      <w:bookmarkEnd w:id="89"/>
      <w:bookmarkEnd w:id="90"/>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2160" w:firstLineChars="9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lang w:eastAsia="zh-CN"/>
        </w:rPr>
        <w:t>日期：</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3342"/>
      <w:bookmarkStart w:id="92" w:name="_Toc18105"/>
      <w:bookmarkStart w:id="93" w:name="_Toc24693"/>
      <w:r>
        <w:rPr>
          <w:rFonts w:hint="eastAsia" w:ascii="宋体" w:hAnsi="宋体" w:eastAsia="宋体" w:cs="宋体"/>
          <w:color w:val="auto"/>
          <w:sz w:val="28"/>
          <w:szCs w:val="28"/>
          <w:highlight w:val="none"/>
          <w:lang w:val="en-US" w:eastAsia="zh-CN"/>
        </w:rPr>
        <w:t>附件9          证明文件</w:t>
      </w:r>
      <w:bookmarkEnd w:id="91"/>
      <w:bookmarkEnd w:id="92"/>
      <w:bookmarkEnd w:id="93"/>
    </w:p>
    <w:p w14:paraId="5EF76FA6">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44D293B">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83D7A74">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技术方案</w:t>
      </w:r>
    </w:p>
    <w:p w14:paraId="2CB25B46">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C718807">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w:t>
      </w:r>
      <w:bookmarkStart w:id="94" w:name="_Toc17966"/>
      <w:r>
        <w:rPr>
          <w:rFonts w:hint="eastAsia" w:ascii="宋体" w:hAnsi="宋体" w:eastAsia="宋体" w:cs="宋体"/>
          <w:b/>
          <w:bCs w:val="0"/>
          <w:color w:val="auto"/>
          <w:sz w:val="21"/>
          <w:szCs w:val="21"/>
          <w:highlight w:val="none"/>
          <w:lang w:val="en-US" w:eastAsia="zh-CN"/>
        </w:rPr>
        <w:t>评分标准中需提供的证明材料</w:t>
      </w:r>
    </w:p>
    <w:p w14:paraId="5D58AFFF">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4</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17186213">
      <w:pPr>
        <w:rPr>
          <w:rFonts w:hint="eastAsia" w:ascii="宋体" w:hAnsi="宋体" w:eastAsia="宋体" w:cs="宋体"/>
          <w:color w:val="auto"/>
          <w:sz w:val="28"/>
          <w:szCs w:val="28"/>
          <w:highlight w:val="none"/>
          <w:lang w:val="en-US" w:eastAsia="zh-CN"/>
        </w:rPr>
      </w:pPr>
      <w:bookmarkStart w:id="95" w:name="_Toc16083"/>
      <w:bookmarkStart w:id="96" w:name="_Toc12888"/>
      <w:bookmarkStart w:id="97" w:name="_Toc13726"/>
      <w:r>
        <w:rPr>
          <w:rFonts w:hint="eastAsia" w:ascii="宋体" w:hAnsi="宋体" w:eastAsia="宋体" w:cs="宋体"/>
          <w:color w:val="auto"/>
          <w:sz w:val="28"/>
          <w:szCs w:val="28"/>
          <w:highlight w:val="none"/>
          <w:lang w:val="en-US" w:eastAsia="zh-CN"/>
        </w:rPr>
        <w:br w:type="page"/>
      </w:r>
    </w:p>
    <w:p w14:paraId="3BB81C13">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94"/>
      <w:r>
        <w:rPr>
          <w:rFonts w:hint="eastAsia" w:ascii="宋体" w:hAnsi="宋体" w:eastAsia="宋体" w:cs="宋体"/>
          <w:color w:val="auto"/>
          <w:sz w:val="28"/>
          <w:szCs w:val="28"/>
          <w:highlight w:val="none"/>
          <w:lang w:val="en-US" w:eastAsia="zh-CN"/>
        </w:rPr>
        <w:t>供 应 商 承 诺 书 （格式）</w:t>
      </w:r>
      <w:bookmarkEnd w:id="95"/>
      <w:bookmarkEnd w:id="96"/>
      <w:bookmarkEnd w:id="97"/>
    </w:p>
    <w:p w14:paraId="02DAF775">
      <w:pPr>
        <w:bidi w:val="0"/>
        <w:rPr>
          <w:rFonts w:hint="eastAsia" w:ascii="宋体" w:hAnsi="宋体" w:eastAsia="宋体" w:cs="宋体"/>
          <w:color w:val="auto"/>
          <w:highlight w:val="none"/>
        </w:rPr>
      </w:pPr>
    </w:p>
    <w:p w14:paraId="6972BAA3">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我院（以下简称甲方）组织的本次采购，在遵守《政府采购法》、《</w:t>
      </w:r>
      <w:r>
        <w:rPr>
          <w:rFonts w:hint="eastAsia" w:ascii="宋体" w:hAnsi="宋体"/>
          <w:color w:val="auto"/>
          <w:kern w:val="0"/>
          <w:sz w:val="21"/>
          <w:szCs w:val="21"/>
          <w:highlight w:val="none"/>
        </w:rPr>
        <w:t>中华人民共和国民法典</w:t>
      </w:r>
      <w:r>
        <w:rPr>
          <w:rFonts w:hint="eastAsia" w:ascii="宋体" w:hAnsi="宋体" w:eastAsia="宋体" w:cs="宋体"/>
          <w:color w:val="auto"/>
          <w:sz w:val="21"/>
          <w:szCs w:val="21"/>
          <w:highlight w:val="none"/>
        </w:rPr>
        <w:t>》、《反不正当竞争法》和《关于推进招投标监督领域诚信建设的意见》等法律法规的基础上，要求贵方（以下简称乙方）做出如下承诺：</w:t>
      </w:r>
    </w:p>
    <w:p w14:paraId="27470865">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642E6553">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2、遵守甲方采购纪律，诚实守信地为甲方提供安全可靠的服务及相关技术，保证</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质量并主动做好售后服务工作。</w:t>
      </w:r>
    </w:p>
    <w:p w14:paraId="2D3468EE">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29E18BE1">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36A4EC91">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6FA3854A">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w:t>
      </w:r>
      <w:r>
        <w:rPr>
          <w:rFonts w:hint="eastAsia" w:ascii="宋体" w:hAnsi="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或技术标准（包括差异表）技术配置的行为。</w:t>
      </w:r>
    </w:p>
    <w:p w14:paraId="3408D52B">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5793D31E">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7EEFB010">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lang w:eastAsia="zh-CN"/>
        </w:rPr>
        <w:t>日期：</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pPr>
    </w:p>
    <w:p w14:paraId="7C0BDA51">
      <w:pPr>
        <w:pStyle w:val="15"/>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9"/>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8" w:name="_Toc31685"/>
      <w:bookmarkStart w:id="99" w:name="_Toc25094"/>
      <w:bookmarkStart w:id="100" w:name="_Toc23394"/>
    </w:p>
    <w:p w14:paraId="24DE6E54">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8"/>
      <w:bookmarkEnd w:id="99"/>
      <w:bookmarkEnd w:id="10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中有关废标条款和</w:t>
      </w:r>
      <w:r>
        <w:rPr>
          <w:rFonts w:hint="eastAsia" w:ascii="宋体" w:hAnsi="宋体" w:cs="宋体"/>
          <w:color w:val="auto"/>
          <w:kern w:val="0"/>
          <w:szCs w:val="21"/>
          <w:highlight w:val="none"/>
          <w:lang w:eastAsia="zh-CN"/>
        </w:rPr>
        <w:t>评审</w:t>
      </w:r>
      <w:r>
        <w:rPr>
          <w:rFonts w:hint="eastAsia" w:ascii="宋体" w:hAnsi="宋体" w:eastAsia="宋体" w:cs="宋体"/>
          <w:color w:val="auto"/>
          <w:kern w:val="0"/>
          <w:szCs w:val="21"/>
          <w:highlight w:val="none"/>
        </w:rPr>
        <w:t>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规定，并为</w:t>
      </w:r>
      <w:r>
        <w:rPr>
          <w:rFonts w:hint="eastAsia" w:ascii="宋体" w:hAnsi="宋体" w:cs="宋体"/>
          <w:color w:val="auto"/>
          <w:kern w:val="0"/>
          <w:szCs w:val="21"/>
          <w:highlight w:val="none"/>
          <w:lang w:eastAsia="zh-CN"/>
        </w:rPr>
        <w:t>评审</w:t>
      </w:r>
      <w:r>
        <w:rPr>
          <w:rFonts w:hint="eastAsia" w:ascii="宋体" w:hAnsi="宋体" w:eastAsia="宋体" w:cs="宋体"/>
          <w:color w:val="auto"/>
          <w:kern w:val="0"/>
          <w:szCs w:val="21"/>
          <w:highlight w:val="none"/>
        </w:rPr>
        <w:t>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9F2AC46">
      <w:pPr>
        <w:pStyle w:val="9"/>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E15FF">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78ED1">
    <w:pPr>
      <w:pStyle w:val="2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4"/>
      <w:jc w:val="right"/>
      <w:rPr>
        <w:rFonts w:hint="eastAsia"/>
      </w:rPr>
    </w:pPr>
    <w:r>
      <w:rPr>
        <w:rFonts w:hint="eastAsia" w:ascii="宋体" w:hAnsi="宋体" w:cs="宋体"/>
        <w:color w:val="auto"/>
        <w:szCs w:val="21"/>
        <w:highlight w:val="none"/>
        <w:u w:val="none"/>
        <w:shd w:val="clear" w:color="auto" w:fill="FFFFFF"/>
        <w:lang w:val="en-US" w:eastAsia="zh-CN"/>
      </w:rPr>
      <w:t>驻马店市中心医院医保智能审核系统采购项目竞争性磋商文件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01F1F2D1"/>
    <w:multiLevelType w:val="singleLevel"/>
    <w:tmpl w:val="01F1F2D1"/>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4124E"/>
    <w:rsid w:val="02FA082F"/>
    <w:rsid w:val="031126C4"/>
    <w:rsid w:val="034733B8"/>
    <w:rsid w:val="03475E56"/>
    <w:rsid w:val="034D70AF"/>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A2513C"/>
    <w:rsid w:val="04B30F7A"/>
    <w:rsid w:val="04FC34D8"/>
    <w:rsid w:val="050E236F"/>
    <w:rsid w:val="05212F61"/>
    <w:rsid w:val="053242B0"/>
    <w:rsid w:val="05421D44"/>
    <w:rsid w:val="054C0111"/>
    <w:rsid w:val="05545DD3"/>
    <w:rsid w:val="056326BB"/>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7E71F5"/>
    <w:rsid w:val="068E7B23"/>
    <w:rsid w:val="06983B20"/>
    <w:rsid w:val="069A3B66"/>
    <w:rsid w:val="06A869D6"/>
    <w:rsid w:val="06A9264E"/>
    <w:rsid w:val="06AD6562"/>
    <w:rsid w:val="06B31420"/>
    <w:rsid w:val="06B91765"/>
    <w:rsid w:val="06CA2AD2"/>
    <w:rsid w:val="06CB0D68"/>
    <w:rsid w:val="06CE3071"/>
    <w:rsid w:val="06D33DBA"/>
    <w:rsid w:val="06D73361"/>
    <w:rsid w:val="06E13F9F"/>
    <w:rsid w:val="06FB0AC5"/>
    <w:rsid w:val="06FE7278"/>
    <w:rsid w:val="070D2D5D"/>
    <w:rsid w:val="07104A12"/>
    <w:rsid w:val="07111B8D"/>
    <w:rsid w:val="071A3AFD"/>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4F5152"/>
    <w:rsid w:val="08591DC3"/>
    <w:rsid w:val="085B58CB"/>
    <w:rsid w:val="086105BC"/>
    <w:rsid w:val="08672793"/>
    <w:rsid w:val="08695E80"/>
    <w:rsid w:val="087370B9"/>
    <w:rsid w:val="087C4541"/>
    <w:rsid w:val="087E5595"/>
    <w:rsid w:val="08BC0A60"/>
    <w:rsid w:val="08C52D6F"/>
    <w:rsid w:val="08E42BE4"/>
    <w:rsid w:val="08EF0201"/>
    <w:rsid w:val="08F41DE8"/>
    <w:rsid w:val="093D1475"/>
    <w:rsid w:val="094840A2"/>
    <w:rsid w:val="09630EDC"/>
    <w:rsid w:val="09644C54"/>
    <w:rsid w:val="09737462"/>
    <w:rsid w:val="099156C3"/>
    <w:rsid w:val="09A33F5B"/>
    <w:rsid w:val="09A53F39"/>
    <w:rsid w:val="09A60E13"/>
    <w:rsid w:val="09A82D92"/>
    <w:rsid w:val="09AB2883"/>
    <w:rsid w:val="09C35E1E"/>
    <w:rsid w:val="09CD0A4B"/>
    <w:rsid w:val="09D206F0"/>
    <w:rsid w:val="0A0A6645"/>
    <w:rsid w:val="0A321AC2"/>
    <w:rsid w:val="0A343D4E"/>
    <w:rsid w:val="0A344626"/>
    <w:rsid w:val="0A3E6D2E"/>
    <w:rsid w:val="0A4232E4"/>
    <w:rsid w:val="0A4F145F"/>
    <w:rsid w:val="0A8455AD"/>
    <w:rsid w:val="0A8729A8"/>
    <w:rsid w:val="0ABA2D7D"/>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D807DD"/>
    <w:rsid w:val="0BF16C73"/>
    <w:rsid w:val="0BF72F1E"/>
    <w:rsid w:val="0C01346C"/>
    <w:rsid w:val="0C0A7D34"/>
    <w:rsid w:val="0C230DF6"/>
    <w:rsid w:val="0C3152C1"/>
    <w:rsid w:val="0C3957A5"/>
    <w:rsid w:val="0C507E2F"/>
    <w:rsid w:val="0C600D66"/>
    <w:rsid w:val="0C626DA7"/>
    <w:rsid w:val="0C6876AE"/>
    <w:rsid w:val="0C71390F"/>
    <w:rsid w:val="0C720EC8"/>
    <w:rsid w:val="0C782EF0"/>
    <w:rsid w:val="0C873133"/>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FA5B87"/>
    <w:rsid w:val="0DFE4F67"/>
    <w:rsid w:val="0E0C0D4C"/>
    <w:rsid w:val="0E115DA1"/>
    <w:rsid w:val="0E1409F6"/>
    <w:rsid w:val="0E162D6D"/>
    <w:rsid w:val="0E3E791A"/>
    <w:rsid w:val="0E460DCC"/>
    <w:rsid w:val="0E541CA2"/>
    <w:rsid w:val="0E562C42"/>
    <w:rsid w:val="0E576B35"/>
    <w:rsid w:val="0E594756"/>
    <w:rsid w:val="0E95596D"/>
    <w:rsid w:val="0EAE6205"/>
    <w:rsid w:val="0EAE6579"/>
    <w:rsid w:val="0EAF71BF"/>
    <w:rsid w:val="0ECE6257"/>
    <w:rsid w:val="0ED87C76"/>
    <w:rsid w:val="0EE4129D"/>
    <w:rsid w:val="0F171032"/>
    <w:rsid w:val="0F335E69"/>
    <w:rsid w:val="0F372614"/>
    <w:rsid w:val="0F3D59C9"/>
    <w:rsid w:val="0F516D5A"/>
    <w:rsid w:val="0F565B36"/>
    <w:rsid w:val="0F684933"/>
    <w:rsid w:val="0F6E2388"/>
    <w:rsid w:val="0F821E7D"/>
    <w:rsid w:val="0FB82671"/>
    <w:rsid w:val="0FC91CB4"/>
    <w:rsid w:val="0FCA42ED"/>
    <w:rsid w:val="0FDB5F4F"/>
    <w:rsid w:val="0FE7592C"/>
    <w:rsid w:val="0FFC17A5"/>
    <w:rsid w:val="0FFD20F0"/>
    <w:rsid w:val="1006283E"/>
    <w:rsid w:val="10142F30"/>
    <w:rsid w:val="10352857"/>
    <w:rsid w:val="103E6E57"/>
    <w:rsid w:val="1041497B"/>
    <w:rsid w:val="10425FF6"/>
    <w:rsid w:val="106612B1"/>
    <w:rsid w:val="109010E6"/>
    <w:rsid w:val="10986FB0"/>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37C85"/>
    <w:rsid w:val="11575085"/>
    <w:rsid w:val="1166372C"/>
    <w:rsid w:val="11700D10"/>
    <w:rsid w:val="11767C1F"/>
    <w:rsid w:val="1178125A"/>
    <w:rsid w:val="118441E0"/>
    <w:rsid w:val="1196056D"/>
    <w:rsid w:val="11A402E3"/>
    <w:rsid w:val="11B85B3D"/>
    <w:rsid w:val="11CD20A0"/>
    <w:rsid w:val="11D34654"/>
    <w:rsid w:val="12010480"/>
    <w:rsid w:val="120E707F"/>
    <w:rsid w:val="121D0051"/>
    <w:rsid w:val="12413D84"/>
    <w:rsid w:val="124D2289"/>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BF7F2D"/>
    <w:rsid w:val="13C72B3A"/>
    <w:rsid w:val="13CF716E"/>
    <w:rsid w:val="13D12EE6"/>
    <w:rsid w:val="13D460C5"/>
    <w:rsid w:val="13DF575E"/>
    <w:rsid w:val="13E470BD"/>
    <w:rsid w:val="13EE3A98"/>
    <w:rsid w:val="13F3280A"/>
    <w:rsid w:val="14005579"/>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2A4FA3"/>
    <w:rsid w:val="153A36AA"/>
    <w:rsid w:val="15477903"/>
    <w:rsid w:val="1557566D"/>
    <w:rsid w:val="1565422D"/>
    <w:rsid w:val="156E0971"/>
    <w:rsid w:val="15785B3E"/>
    <w:rsid w:val="15811F1B"/>
    <w:rsid w:val="15A30135"/>
    <w:rsid w:val="15A34015"/>
    <w:rsid w:val="15BB487B"/>
    <w:rsid w:val="15CE086D"/>
    <w:rsid w:val="15E2236F"/>
    <w:rsid w:val="16005D04"/>
    <w:rsid w:val="161D09ED"/>
    <w:rsid w:val="162323A3"/>
    <w:rsid w:val="162F30B1"/>
    <w:rsid w:val="1650762F"/>
    <w:rsid w:val="16510F12"/>
    <w:rsid w:val="16551BAC"/>
    <w:rsid w:val="166448F9"/>
    <w:rsid w:val="16761EDF"/>
    <w:rsid w:val="1677211D"/>
    <w:rsid w:val="16774218"/>
    <w:rsid w:val="167954F9"/>
    <w:rsid w:val="169311EC"/>
    <w:rsid w:val="169C5A2D"/>
    <w:rsid w:val="169F7296"/>
    <w:rsid w:val="16A060BA"/>
    <w:rsid w:val="16A57EAF"/>
    <w:rsid w:val="16A918E4"/>
    <w:rsid w:val="16AC4287"/>
    <w:rsid w:val="16AC6E3F"/>
    <w:rsid w:val="16AE652A"/>
    <w:rsid w:val="16B56AEF"/>
    <w:rsid w:val="16BF171B"/>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344900"/>
    <w:rsid w:val="18380FB2"/>
    <w:rsid w:val="184055B9"/>
    <w:rsid w:val="184A2082"/>
    <w:rsid w:val="185A16FC"/>
    <w:rsid w:val="185D3C42"/>
    <w:rsid w:val="185F38AF"/>
    <w:rsid w:val="188F0211"/>
    <w:rsid w:val="18AD1BEB"/>
    <w:rsid w:val="18B3004A"/>
    <w:rsid w:val="18B31B6D"/>
    <w:rsid w:val="18B83CF9"/>
    <w:rsid w:val="18B96080"/>
    <w:rsid w:val="18CB43A7"/>
    <w:rsid w:val="18CE20EA"/>
    <w:rsid w:val="18DB2CD8"/>
    <w:rsid w:val="18F67868"/>
    <w:rsid w:val="190B2D88"/>
    <w:rsid w:val="190E6B63"/>
    <w:rsid w:val="19123928"/>
    <w:rsid w:val="19194264"/>
    <w:rsid w:val="19283048"/>
    <w:rsid w:val="1932277F"/>
    <w:rsid w:val="19420786"/>
    <w:rsid w:val="19427EC0"/>
    <w:rsid w:val="195711D7"/>
    <w:rsid w:val="195D2A3F"/>
    <w:rsid w:val="198310E9"/>
    <w:rsid w:val="198D747A"/>
    <w:rsid w:val="19A15638"/>
    <w:rsid w:val="19A74DFE"/>
    <w:rsid w:val="19A753EF"/>
    <w:rsid w:val="19B117EF"/>
    <w:rsid w:val="19EF2318"/>
    <w:rsid w:val="1A125525"/>
    <w:rsid w:val="1A524411"/>
    <w:rsid w:val="1A5F4342"/>
    <w:rsid w:val="1A616E2C"/>
    <w:rsid w:val="1A715D02"/>
    <w:rsid w:val="1A7F369B"/>
    <w:rsid w:val="1A8C5D82"/>
    <w:rsid w:val="1A994988"/>
    <w:rsid w:val="1A9B546C"/>
    <w:rsid w:val="1A9E141F"/>
    <w:rsid w:val="1AA3511F"/>
    <w:rsid w:val="1AAE3B54"/>
    <w:rsid w:val="1AC10987"/>
    <w:rsid w:val="1AC50DC4"/>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C82E20"/>
    <w:rsid w:val="1BDA6D68"/>
    <w:rsid w:val="1BF14125"/>
    <w:rsid w:val="1C002CEE"/>
    <w:rsid w:val="1C4032FE"/>
    <w:rsid w:val="1C4E77C9"/>
    <w:rsid w:val="1C555978"/>
    <w:rsid w:val="1C5D17BA"/>
    <w:rsid w:val="1C6554A1"/>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413DDA"/>
    <w:rsid w:val="1D5144F7"/>
    <w:rsid w:val="1D5B3CDE"/>
    <w:rsid w:val="1D5D0701"/>
    <w:rsid w:val="1D6E2950"/>
    <w:rsid w:val="1D79298C"/>
    <w:rsid w:val="1D98209B"/>
    <w:rsid w:val="1DA23746"/>
    <w:rsid w:val="1DAA14B9"/>
    <w:rsid w:val="1DD04513"/>
    <w:rsid w:val="1DD106B2"/>
    <w:rsid w:val="1DD8524D"/>
    <w:rsid w:val="1DDD2BCB"/>
    <w:rsid w:val="1DDF1B3A"/>
    <w:rsid w:val="1E0345E3"/>
    <w:rsid w:val="1E1B7B7F"/>
    <w:rsid w:val="1E443370"/>
    <w:rsid w:val="1E5D1F46"/>
    <w:rsid w:val="1E656063"/>
    <w:rsid w:val="1E6B06A5"/>
    <w:rsid w:val="1E7554E1"/>
    <w:rsid w:val="1E7F7D9E"/>
    <w:rsid w:val="1E840DA4"/>
    <w:rsid w:val="1E8C6387"/>
    <w:rsid w:val="1EA5444C"/>
    <w:rsid w:val="1EA5569B"/>
    <w:rsid w:val="1EB350EF"/>
    <w:rsid w:val="1EC21749"/>
    <w:rsid w:val="1EEB7C4E"/>
    <w:rsid w:val="1F072441"/>
    <w:rsid w:val="1F171B83"/>
    <w:rsid w:val="1F2D4691"/>
    <w:rsid w:val="1F2D491A"/>
    <w:rsid w:val="1F3F789D"/>
    <w:rsid w:val="1F4E5D32"/>
    <w:rsid w:val="1F66355F"/>
    <w:rsid w:val="1F7369C7"/>
    <w:rsid w:val="1F796A28"/>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60559C"/>
    <w:rsid w:val="2172049B"/>
    <w:rsid w:val="21747CD2"/>
    <w:rsid w:val="219263AA"/>
    <w:rsid w:val="219E5782"/>
    <w:rsid w:val="21D10545"/>
    <w:rsid w:val="21E72B0B"/>
    <w:rsid w:val="21E76A4A"/>
    <w:rsid w:val="21EE607E"/>
    <w:rsid w:val="21F229A5"/>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2C638A"/>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635E7"/>
    <w:rsid w:val="23FD7010"/>
    <w:rsid w:val="240243FC"/>
    <w:rsid w:val="24044EF2"/>
    <w:rsid w:val="2407139D"/>
    <w:rsid w:val="240B04F4"/>
    <w:rsid w:val="240E369A"/>
    <w:rsid w:val="241511D6"/>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5B6AB3"/>
    <w:rsid w:val="25740D5E"/>
    <w:rsid w:val="257572C3"/>
    <w:rsid w:val="25790E85"/>
    <w:rsid w:val="25965D3D"/>
    <w:rsid w:val="25972C60"/>
    <w:rsid w:val="25974C6F"/>
    <w:rsid w:val="259D1676"/>
    <w:rsid w:val="25A353EB"/>
    <w:rsid w:val="25B87B65"/>
    <w:rsid w:val="25CB78C3"/>
    <w:rsid w:val="25D54390"/>
    <w:rsid w:val="25D6438C"/>
    <w:rsid w:val="25E371D4"/>
    <w:rsid w:val="261879A7"/>
    <w:rsid w:val="261A071C"/>
    <w:rsid w:val="262275D1"/>
    <w:rsid w:val="26395046"/>
    <w:rsid w:val="264B0BA4"/>
    <w:rsid w:val="264F4111"/>
    <w:rsid w:val="265E0AEC"/>
    <w:rsid w:val="2661459D"/>
    <w:rsid w:val="268C5256"/>
    <w:rsid w:val="268E455B"/>
    <w:rsid w:val="26912B30"/>
    <w:rsid w:val="269728B5"/>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985582"/>
    <w:rsid w:val="27A34941"/>
    <w:rsid w:val="27A97FAA"/>
    <w:rsid w:val="27B7780D"/>
    <w:rsid w:val="27EE3A7B"/>
    <w:rsid w:val="27FA25B3"/>
    <w:rsid w:val="28033B5E"/>
    <w:rsid w:val="28072D06"/>
    <w:rsid w:val="28100029"/>
    <w:rsid w:val="281178FD"/>
    <w:rsid w:val="282B09BF"/>
    <w:rsid w:val="282E4F00"/>
    <w:rsid w:val="283C23DF"/>
    <w:rsid w:val="283D69F1"/>
    <w:rsid w:val="283F090E"/>
    <w:rsid w:val="284C16F5"/>
    <w:rsid w:val="28570AB5"/>
    <w:rsid w:val="285F2CDC"/>
    <w:rsid w:val="28622C36"/>
    <w:rsid w:val="2869172C"/>
    <w:rsid w:val="288C2D07"/>
    <w:rsid w:val="289E7E22"/>
    <w:rsid w:val="28A457F1"/>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A4207"/>
    <w:rsid w:val="29D56BC2"/>
    <w:rsid w:val="29D82DC8"/>
    <w:rsid w:val="29DA08EE"/>
    <w:rsid w:val="29DB6414"/>
    <w:rsid w:val="29E74CE2"/>
    <w:rsid w:val="2A133E00"/>
    <w:rsid w:val="2A241B69"/>
    <w:rsid w:val="2A306A36"/>
    <w:rsid w:val="2A457300"/>
    <w:rsid w:val="2A5372C6"/>
    <w:rsid w:val="2A5A558B"/>
    <w:rsid w:val="2A5B03D8"/>
    <w:rsid w:val="2A6F6D07"/>
    <w:rsid w:val="2A852253"/>
    <w:rsid w:val="2A882500"/>
    <w:rsid w:val="2A92025A"/>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3043E2"/>
    <w:rsid w:val="2B4A5600"/>
    <w:rsid w:val="2B574FD9"/>
    <w:rsid w:val="2B642979"/>
    <w:rsid w:val="2B681F2A"/>
    <w:rsid w:val="2B8D373E"/>
    <w:rsid w:val="2B9E4F56"/>
    <w:rsid w:val="2BC20BE2"/>
    <w:rsid w:val="2BD96984"/>
    <w:rsid w:val="2BDB5A88"/>
    <w:rsid w:val="2BDB6BA0"/>
    <w:rsid w:val="2BE91C37"/>
    <w:rsid w:val="2BEC3F72"/>
    <w:rsid w:val="2C083572"/>
    <w:rsid w:val="2C185F94"/>
    <w:rsid w:val="2C1F1AC4"/>
    <w:rsid w:val="2C2945BA"/>
    <w:rsid w:val="2C2E71FC"/>
    <w:rsid w:val="2C3D6F12"/>
    <w:rsid w:val="2C3F3A41"/>
    <w:rsid w:val="2C4431C4"/>
    <w:rsid w:val="2C55747C"/>
    <w:rsid w:val="2C62059F"/>
    <w:rsid w:val="2C6634FA"/>
    <w:rsid w:val="2C696A9D"/>
    <w:rsid w:val="2C7566AC"/>
    <w:rsid w:val="2C7843EE"/>
    <w:rsid w:val="2CA25191"/>
    <w:rsid w:val="2CAC022C"/>
    <w:rsid w:val="2CC11807"/>
    <w:rsid w:val="2CC66CD6"/>
    <w:rsid w:val="2CE327BC"/>
    <w:rsid w:val="2CF16074"/>
    <w:rsid w:val="2CF81D1B"/>
    <w:rsid w:val="2D3F2453"/>
    <w:rsid w:val="2D5F6A87"/>
    <w:rsid w:val="2D6F134E"/>
    <w:rsid w:val="2D835174"/>
    <w:rsid w:val="2D9331F9"/>
    <w:rsid w:val="2D99461C"/>
    <w:rsid w:val="2DD90B7B"/>
    <w:rsid w:val="2DD92C6B"/>
    <w:rsid w:val="2DDD3FC1"/>
    <w:rsid w:val="2DE2072E"/>
    <w:rsid w:val="2DE531B8"/>
    <w:rsid w:val="2DEA131C"/>
    <w:rsid w:val="2DF701D8"/>
    <w:rsid w:val="2DF970A1"/>
    <w:rsid w:val="2E0665A9"/>
    <w:rsid w:val="2E085834"/>
    <w:rsid w:val="2E1034F8"/>
    <w:rsid w:val="2E112405"/>
    <w:rsid w:val="2E120D8E"/>
    <w:rsid w:val="2E310CF9"/>
    <w:rsid w:val="2E443652"/>
    <w:rsid w:val="2E505773"/>
    <w:rsid w:val="2E5C0A3D"/>
    <w:rsid w:val="2E6703FE"/>
    <w:rsid w:val="2E742F70"/>
    <w:rsid w:val="2E764C99"/>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31386"/>
    <w:rsid w:val="2F68074A"/>
    <w:rsid w:val="2F7964B4"/>
    <w:rsid w:val="2F7F15AE"/>
    <w:rsid w:val="2F9024D5"/>
    <w:rsid w:val="2F912594"/>
    <w:rsid w:val="2FA54796"/>
    <w:rsid w:val="2FA674E2"/>
    <w:rsid w:val="2FD04318"/>
    <w:rsid w:val="2FEE6EA1"/>
    <w:rsid w:val="2FFE7D49"/>
    <w:rsid w:val="3002294D"/>
    <w:rsid w:val="3011153D"/>
    <w:rsid w:val="30142680"/>
    <w:rsid w:val="302567CF"/>
    <w:rsid w:val="302A11B1"/>
    <w:rsid w:val="302A5C42"/>
    <w:rsid w:val="30340091"/>
    <w:rsid w:val="30485997"/>
    <w:rsid w:val="30662043"/>
    <w:rsid w:val="306D3B35"/>
    <w:rsid w:val="307153DD"/>
    <w:rsid w:val="3083092C"/>
    <w:rsid w:val="30930D2E"/>
    <w:rsid w:val="30B632EC"/>
    <w:rsid w:val="30B8125D"/>
    <w:rsid w:val="30B87D63"/>
    <w:rsid w:val="30BF439A"/>
    <w:rsid w:val="30CF6A37"/>
    <w:rsid w:val="30D250CF"/>
    <w:rsid w:val="30D3355A"/>
    <w:rsid w:val="30E7260A"/>
    <w:rsid w:val="30ED24C4"/>
    <w:rsid w:val="31002970"/>
    <w:rsid w:val="311016AD"/>
    <w:rsid w:val="31220DA0"/>
    <w:rsid w:val="31253A1B"/>
    <w:rsid w:val="3136622A"/>
    <w:rsid w:val="31393501"/>
    <w:rsid w:val="3139422E"/>
    <w:rsid w:val="31496359"/>
    <w:rsid w:val="314D19A6"/>
    <w:rsid w:val="31580A38"/>
    <w:rsid w:val="316177A4"/>
    <w:rsid w:val="31700E4B"/>
    <w:rsid w:val="3172683C"/>
    <w:rsid w:val="318D41A0"/>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C63A0"/>
    <w:rsid w:val="32E429C1"/>
    <w:rsid w:val="330503EE"/>
    <w:rsid w:val="331E109C"/>
    <w:rsid w:val="33240E2C"/>
    <w:rsid w:val="33274478"/>
    <w:rsid w:val="334045BE"/>
    <w:rsid w:val="334A3B2A"/>
    <w:rsid w:val="3365592E"/>
    <w:rsid w:val="336A31F3"/>
    <w:rsid w:val="336F6533"/>
    <w:rsid w:val="33727DEA"/>
    <w:rsid w:val="337E5E2F"/>
    <w:rsid w:val="3384610D"/>
    <w:rsid w:val="33886F33"/>
    <w:rsid w:val="33AA5979"/>
    <w:rsid w:val="33C03E90"/>
    <w:rsid w:val="33C96649"/>
    <w:rsid w:val="33CC3D88"/>
    <w:rsid w:val="33D45236"/>
    <w:rsid w:val="33D939C5"/>
    <w:rsid w:val="33DD0306"/>
    <w:rsid w:val="33E86E49"/>
    <w:rsid w:val="33FD722F"/>
    <w:rsid w:val="3400362D"/>
    <w:rsid w:val="340B09C5"/>
    <w:rsid w:val="341E4CAB"/>
    <w:rsid w:val="34555CF1"/>
    <w:rsid w:val="34584EE2"/>
    <w:rsid w:val="347A1C51"/>
    <w:rsid w:val="347D373F"/>
    <w:rsid w:val="347E631A"/>
    <w:rsid w:val="34922A93"/>
    <w:rsid w:val="34956481"/>
    <w:rsid w:val="34A35871"/>
    <w:rsid w:val="34C06C9D"/>
    <w:rsid w:val="34DF24AE"/>
    <w:rsid w:val="35143766"/>
    <w:rsid w:val="351C4931"/>
    <w:rsid w:val="351C4EAC"/>
    <w:rsid w:val="351D4C26"/>
    <w:rsid w:val="352B46F4"/>
    <w:rsid w:val="352E7D40"/>
    <w:rsid w:val="35361A77"/>
    <w:rsid w:val="353E07CB"/>
    <w:rsid w:val="35461A22"/>
    <w:rsid w:val="35483CC9"/>
    <w:rsid w:val="354B08F2"/>
    <w:rsid w:val="35571045"/>
    <w:rsid w:val="356E46AA"/>
    <w:rsid w:val="357235B0"/>
    <w:rsid w:val="3578329E"/>
    <w:rsid w:val="3578502D"/>
    <w:rsid w:val="3586192A"/>
    <w:rsid w:val="358625C7"/>
    <w:rsid w:val="35A815CB"/>
    <w:rsid w:val="35A85BD0"/>
    <w:rsid w:val="35AA1B9C"/>
    <w:rsid w:val="35D501BC"/>
    <w:rsid w:val="35DB09A6"/>
    <w:rsid w:val="35DF5DB4"/>
    <w:rsid w:val="36080591"/>
    <w:rsid w:val="3609472F"/>
    <w:rsid w:val="3619454C"/>
    <w:rsid w:val="36203B2D"/>
    <w:rsid w:val="363E0457"/>
    <w:rsid w:val="36554956"/>
    <w:rsid w:val="365B4B65"/>
    <w:rsid w:val="3660230D"/>
    <w:rsid w:val="366F1648"/>
    <w:rsid w:val="36751D82"/>
    <w:rsid w:val="367F5397"/>
    <w:rsid w:val="36910587"/>
    <w:rsid w:val="369B4CF0"/>
    <w:rsid w:val="36D62629"/>
    <w:rsid w:val="36D76172"/>
    <w:rsid w:val="36D84407"/>
    <w:rsid w:val="36E833BB"/>
    <w:rsid w:val="36EB1E1B"/>
    <w:rsid w:val="36F17F0D"/>
    <w:rsid w:val="36FB00F6"/>
    <w:rsid w:val="37103BA1"/>
    <w:rsid w:val="37191D4D"/>
    <w:rsid w:val="37224581"/>
    <w:rsid w:val="3735197D"/>
    <w:rsid w:val="373756A2"/>
    <w:rsid w:val="374A416C"/>
    <w:rsid w:val="375E0DA6"/>
    <w:rsid w:val="377639AE"/>
    <w:rsid w:val="377D0B0B"/>
    <w:rsid w:val="378142CB"/>
    <w:rsid w:val="378B61A6"/>
    <w:rsid w:val="3793032E"/>
    <w:rsid w:val="37B90F0B"/>
    <w:rsid w:val="37C75A47"/>
    <w:rsid w:val="37CD3F98"/>
    <w:rsid w:val="37DF75BA"/>
    <w:rsid w:val="37E148E2"/>
    <w:rsid w:val="37E813AF"/>
    <w:rsid w:val="37EE4FBF"/>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30CF9"/>
    <w:rsid w:val="39091F35"/>
    <w:rsid w:val="392536E2"/>
    <w:rsid w:val="39465F15"/>
    <w:rsid w:val="39505209"/>
    <w:rsid w:val="396453C5"/>
    <w:rsid w:val="39922CCF"/>
    <w:rsid w:val="39A24859"/>
    <w:rsid w:val="39A65327"/>
    <w:rsid w:val="39A65C9B"/>
    <w:rsid w:val="39AE31FE"/>
    <w:rsid w:val="39BC1DBE"/>
    <w:rsid w:val="39BC5ED6"/>
    <w:rsid w:val="39D27231"/>
    <w:rsid w:val="39E82BB3"/>
    <w:rsid w:val="39EB39E0"/>
    <w:rsid w:val="39EE17A8"/>
    <w:rsid w:val="39EE7A9E"/>
    <w:rsid w:val="39EF02D4"/>
    <w:rsid w:val="3A0D6176"/>
    <w:rsid w:val="3A11342A"/>
    <w:rsid w:val="3A153110"/>
    <w:rsid w:val="3A2149EA"/>
    <w:rsid w:val="3A2507C0"/>
    <w:rsid w:val="3A285AD8"/>
    <w:rsid w:val="3A393FA7"/>
    <w:rsid w:val="3A3A5A22"/>
    <w:rsid w:val="3A524858"/>
    <w:rsid w:val="3A64203E"/>
    <w:rsid w:val="3A663D00"/>
    <w:rsid w:val="3A7428D0"/>
    <w:rsid w:val="3A747EDD"/>
    <w:rsid w:val="3A8F302F"/>
    <w:rsid w:val="3A923AE4"/>
    <w:rsid w:val="3A9248CD"/>
    <w:rsid w:val="3AA50E25"/>
    <w:rsid w:val="3AC05C10"/>
    <w:rsid w:val="3AC566E3"/>
    <w:rsid w:val="3AD6747A"/>
    <w:rsid w:val="3AD95C48"/>
    <w:rsid w:val="3ADF5D0A"/>
    <w:rsid w:val="3B0F23C2"/>
    <w:rsid w:val="3B312338"/>
    <w:rsid w:val="3B3C5B77"/>
    <w:rsid w:val="3B3D0FF2"/>
    <w:rsid w:val="3B501351"/>
    <w:rsid w:val="3B521A18"/>
    <w:rsid w:val="3B8D2B96"/>
    <w:rsid w:val="3B8D51D7"/>
    <w:rsid w:val="3B923660"/>
    <w:rsid w:val="3BCA44BE"/>
    <w:rsid w:val="3C061F3A"/>
    <w:rsid w:val="3C0A04F9"/>
    <w:rsid w:val="3C495480"/>
    <w:rsid w:val="3C4C3A42"/>
    <w:rsid w:val="3C557EA4"/>
    <w:rsid w:val="3C6F0167"/>
    <w:rsid w:val="3C71667B"/>
    <w:rsid w:val="3C7C75E3"/>
    <w:rsid w:val="3C914F3B"/>
    <w:rsid w:val="3CA52FDE"/>
    <w:rsid w:val="3CC17F13"/>
    <w:rsid w:val="3CD15B81"/>
    <w:rsid w:val="3CD50B40"/>
    <w:rsid w:val="3CE320A3"/>
    <w:rsid w:val="3CE9196C"/>
    <w:rsid w:val="3CF15105"/>
    <w:rsid w:val="3D0C04B9"/>
    <w:rsid w:val="3D1141CF"/>
    <w:rsid w:val="3D1414C5"/>
    <w:rsid w:val="3D1C763E"/>
    <w:rsid w:val="3D201AA5"/>
    <w:rsid w:val="3D2B37EA"/>
    <w:rsid w:val="3D2F7FF3"/>
    <w:rsid w:val="3D3B56F0"/>
    <w:rsid w:val="3D3D1507"/>
    <w:rsid w:val="3D421ADA"/>
    <w:rsid w:val="3D62085B"/>
    <w:rsid w:val="3D6B12FD"/>
    <w:rsid w:val="3D7B4622"/>
    <w:rsid w:val="3D8E5820"/>
    <w:rsid w:val="3D931088"/>
    <w:rsid w:val="3D942E29"/>
    <w:rsid w:val="3DA53531"/>
    <w:rsid w:val="3DB54E0C"/>
    <w:rsid w:val="3DB900C1"/>
    <w:rsid w:val="3DE51866"/>
    <w:rsid w:val="3DE91725"/>
    <w:rsid w:val="3DF159B1"/>
    <w:rsid w:val="3E0176D9"/>
    <w:rsid w:val="3E135D25"/>
    <w:rsid w:val="3E1A106E"/>
    <w:rsid w:val="3E36303B"/>
    <w:rsid w:val="3E526044"/>
    <w:rsid w:val="3E542365"/>
    <w:rsid w:val="3E5C591E"/>
    <w:rsid w:val="3E6C2B3A"/>
    <w:rsid w:val="3E8C5311"/>
    <w:rsid w:val="3E8E7E55"/>
    <w:rsid w:val="3EB61473"/>
    <w:rsid w:val="3EC66011"/>
    <w:rsid w:val="3ED25BE0"/>
    <w:rsid w:val="3ED75B7F"/>
    <w:rsid w:val="3EF9316D"/>
    <w:rsid w:val="3F315E6B"/>
    <w:rsid w:val="3F5175E2"/>
    <w:rsid w:val="3F56276A"/>
    <w:rsid w:val="3F6C10E0"/>
    <w:rsid w:val="3F79605C"/>
    <w:rsid w:val="3F963015"/>
    <w:rsid w:val="3F964D35"/>
    <w:rsid w:val="3FA327ED"/>
    <w:rsid w:val="3FA44D09"/>
    <w:rsid w:val="3FB11738"/>
    <w:rsid w:val="3FB5581B"/>
    <w:rsid w:val="3FC33D05"/>
    <w:rsid w:val="3FF46B18"/>
    <w:rsid w:val="3FF74A2E"/>
    <w:rsid w:val="3FFC36E2"/>
    <w:rsid w:val="4005572D"/>
    <w:rsid w:val="400A3F23"/>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F701DF"/>
    <w:rsid w:val="40FD480A"/>
    <w:rsid w:val="410C362B"/>
    <w:rsid w:val="411B59C4"/>
    <w:rsid w:val="412A32F8"/>
    <w:rsid w:val="417F433E"/>
    <w:rsid w:val="4185570A"/>
    <w:rsid w:val="418A1D66"/>
    <w:rsid w:val="419C4043"/>
    <w:rsid w:val="41B7239D"/>
    <w:rsid w:val="41C95079"/>
    <w:rsid w:val="41D852BC"/>
    <w:rsid w:val="41F50C1B"/>
    <w:rsid w:val="41FF3845"/>
    <w:rsid w:val="420E33D3"/>
    <w:rsid w:val="42101488"/>
    <w:rsid w:val="421104A9"/>
    <w:rsid w:val="42143B88"/>
    <w:rsid w:val="42164586"/>
    <w:rsid w:val="422363B0"/>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2F648E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06BF4"/>
    <w:rsid w:val="444946CA"/>
    <w:rsid w:val="444B3F54"/>
    <w:rsid w:val="4476661F"/>
    <w:rsid w:val="447E3AC5"/>
    <w:rsid w:val="44805ED4"/>
    <w:rsid w:val="448E5DEE"/>
    <w:rsid w:val="449E4142"/>
    <w:rsid w:val="44A90BAA"/>
    <w:rsid w:val="44B24A20"/>
    <w:rsid w:val="44BC0BEE"/>
    <w:rsid w:val="44BF6C07"/>
    <w:rsid w:val="44C24001"/>
    <w:rsid w:val="44C55A88"/>
    <w:rsid w:val="44FB1C9C"/>
    <w:rsid w:val="45321187"/>
    <w:rsid w:val="45392A13"/>
    <w:rsid w:val="453E3FCF"/>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A4554"/>
    <w:rsid w:val="462A6010"/>
    <w:rsid w:val="465D501C"/>
    <w:rsid w:val="466367DB"/>
    <w:rsid w:val="46686D18"/>
    <w:rsid w:val="466D15DA"/>
    <w:rsid w:val="46BF7E28"/>
    <w:rsid w:val="46C3037C"/>
    <w:rsid w:val="46EF26BD"/>
    <w:rsid w:val="46FF15E0"/>
    <w:rsid w:val="4700581C"/>
    <w:rsid w:val="4702516A"/>
    <w:rsid w:val="470923BB"/>
    <w:rsid w:val="4724600B"/>
    <w:rsid w:val="472E597E"/>
    <w:rsid w:val="474A4B33"/>
    <w:rsid w:val="47501D98"/>
    <w:rsid w:val="47665A15"/>
    <w:rsid w:val="47677941"/>
    <w:rsid w:val="477F1660"/>
    <w:rsid w:val="4788232A"/>
    <w:rsid w:val="478B0398"/>
    <w:rsid w:val="478F5D0B"/>
    <w:rsid w:val="479D5A47"/>
    <w:rsid w:val="47A11E6C"/>
    <w:rsid w:val="47A31F5F"/>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91F7C74"/>
    <w:rsid w:val="492108CC"/>
    <w:rsid w:val="492C082F"/>
    <w:rsid w:val="49413F52"/>
    <w:rsid w:val="49483D67"/>
    <w:rsid w:val="494F6304"/>
    <w:rsid w:val="49792B95"/>
    <w:rsid w:val="49F11610"/>
    <w:rsid w:val="4A05334F"/>
    <w:rsid w:val="4A060864"/>
    <w:rsid w:val="4A1C51FA"/>
    <w:rsid w:val="4A244932"/>
    <w:rsid w:val="4A2922C8"/>
    <w:rsid w:val="4A4117B2"/>
    <w:rsid w:val="4A4A6F73"/>
    <w:rsid w:val="4A4E6A63"/>
    <w:rsid w:val="4A7A4350"/>
    <w:rsid w:val="4A7B1703"/>
    <w:rsid w:val="4A7E2497"/>
    <w:rsid w:val="4A896826"/>
    <w:rsid w:val="4A93046E"/>
    <w:rsid w:val="4AB77AC9"/>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447E66"/>
    <w:rsid w:val="4B520DF4"/>
    <w:rsid w:val="4B603107"/>
    <w:rsid w:val="4B7A5635"/>
    <w:rsid w:val="4B8E10E1"/>
    <w:rsid w:val="4B9802B0"/>
    <w:rsid w:val="4B9E65BE"/>
    <w:rsid w:val="4B9F33A8"/>
    <w:rsid w:val="4BA80AFD"/>
    <w:rsid w:val="4BB033BA"/>
    <w:rsid w:val="4BB469AD"/>
    <w:rsid w:val="4BC06040"/>
    <w:rsid w:val="4BC66ACD"/>
    <w:rsid w:val="4BCA6CE0"/>
    <w:rsid w:val="4BCF5981"/>
    <w:rsid w:val="4BD846DB"/>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1E2466"/>
    <w:rsid w:val="4D225F85"/>
    <w:rsid w:val="4D297BF3"/>
    <w:rsid w:val="4D2D0EAF"/>
    <w:rsid w:val="4D39488E"/>
    <w:rsid w:val="4D7677FB"/>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B1AD7"/>
    <w:rsid w:val="4E3F66C2"/>
    <w:rsid w:val="4E611B8B"/>
    <w:rsid w:val="4E6279D7"/>
    <w:rsid w:val="4E682F8C"/>
    <w:rsid w:val="4E6A7BB7"/>
    <w:rsid w:val="4E6C5D89"/>
    <w:rsid w:val="4E9133C2"/>
    <w:rsid w:val="4E9F4951"/>
    <w:rsid w:val="4EB23220"/>
    <w:rsid w:val="4EE661F8"/>
    <w:rsid w:val="4EF27A04"/>
    <w:rsid w:val="4F0773B4"/>
    <w:rsid w:val="4F241019"/>
    <w:rsid w:val="4F307BB1"/>
    <w:rsid w:val="4F336227"/>
    <w:rsid w:val="4F3C3EF2"/>
    <w:rsid w:val="4F3D562D"/>
    <w:rsid w:val="4F537ED5"/>
    <w:rsid w:val="4F5C4EE0"/>
    <w:rsid w:val="4F681AF1"/>
    <w:rsid w:val="4F6E1972"/>
    <w:rsid w:val="4F943166"/>
    <w:rsid w:val="4F9C19A5"/>
    <w:rsid w:val="4FBA02A1"/>
    <w:rsid w:val="4FE7106E"/>
    <w:rsid w:val="4FF82FCD"/>
    <w:rsid w:val="50053943"/>
    <w:rsid w:val="50260569"/>
    <w:rsid w:val="502B33A2"/>
    <w:rsid w:val="50374A3C"/>
    <w:rsid w:val="50487AB0"/>
    <w:rsid w:val="505223C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4229EF"/>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339"/>
    <w:rsid w:val="53AC6F7B"/>
    <w:rsid w:val="53C01F4F"/>
    <w:rsid w:val="53EB297B"/>
    <w:rsid w:val="53EC4BF7"/>
    <w:rsid w:val="53F20E5E"/>
    <w:rsid w:val="53F671DE"/>
    <w:rsid w:val="53F758A1"/>
    <w:rsid w:val="540D5A7F"/>
    <w:rsid w:val="542E2BC2"/>
    <w:rsid w:val="54310657"/>
    <w:rsid w:val="54352A96"/>
    <w:rsid w:val="54447390"/>
    <w:rsid w:val="544B514D"/>
    <w:rsid w:val="545E1D01"/>
    <w:rsid w:val="54674051"/>
    <w:rsid w:val="5472334E"/>
    <w:rsid w:val="54935B8F"/>
    <w:rsid w:val="549D3677"/>
    <w:rsid w:val="54B03E76"/>
    <w:rsid w:val="54BF230B"/>
    <w:rsid w:val="54CC6227"/>
    <w:rsid w:val="54CE0935"/>
    <w:rsid w:val="54D10F9B"/>
    <w:rsid w:val="54D97871"/>
    <w:rsid w:val="54DC4C6B"/>
    <w:rsid w:val="550B5550"/>
    <w:rsid w:val="551D586C"/>
    <w:rsid w:val="55200298"/>
    <w:rsid w:val="55335E1B"/>
    <w:rsid w:val="55342CF9"/>
    <w:rsid w:val="5536079B"/>
    <w:rsid w:val="554B7EF0"/>
    <w:rsid w:val="554F7B33"/>
    <w:rsid w:val="556F3D99"/>
    <w:rsid w:val="55720837"/>
    <w:rsid w:val="55735C18"/>
    <w:rsid w:val="55860894"/>
    <w:rsid w:val="558A0B6B"/>
    <w:rsid w:val="558F6181"/>
    <w:rsid w:val="55B02DF1"/>
    <w:rsid w:val="55D47A00"/>
    <w:rsid w:val="55D5456D"/>
    <w:rsid w:val="55DC290C"/>
    <w:rsid w:val="55E71B19"/>
    <w:rsid w:val="55EA5D64"/>
    <w:rsid w:val="55F01FA1"/>
    <w:rsid w:val="55FC19B9"/>
    <w:rsid w:val="56130B60"/>
    <w:rsid w:val="56234F28"/>
    <w:rsid w:val="562C1C22"/>
    <w:rsid w:val="56666B5B"/>
    <w:rsid w:val="56717635"/>
    <w:rsid w:val="567E25C8"/>
    <w:rsid w:val="56990B7C"/>
    <w:rsid w:val="569E1126"/>
    <w:rsid w:val="56A8690E"/>
    <w:rsid w:val="56B679AB"/>
    <w:rsid w:val="56B80DEB"/>
    <w:rsid w:val="56E0560F"/>
    <w:rsid w:val="56E06E61"/>
    <w:rsid w:val="56EF3C74"/>
    <w:rsid w:val="56F653FE"/>
    <w:rsid w:val="57007337"/>
    <w:rsid w:val="57295209"/>
    <w:rsid w:val="574448FC"/>
    <w:rsid w:val="57561D39"/>
    <w:rsid w:val="575B7AFD"/>
    <w:rsid w:val="57660D3F"/>
    <w:rsid w:val="5785783C"/>
    <w:rsid w:val="578F06BB"/>
    <w:rsid w:val="579F0CAA"/>
    <w:rsid w:val="57A469A0"/>
    <w:rsid w:val="57BE5BA6"/>
    <w:rsid w:val="57CC4BC2"/>
    <w:rsid w:val="57D10760"/>
    <w:rsid w:val="57D1153D"/>
    <w:rsid w:val="57D77297"/>
    <w:rsid w:val="57FA3774"/>
    <w:rsid w:val="58084A3C"/>
    <w:rsid w:val="582772A7"/>
    <w:rsid w:val="5847689F"/>
    <w:rsid w:val="58531B77"/>
    <w:rsid w:val="585D2975"/>
    <w:rsid w:val="585E3492"/>
    <w:rsid w:val="585F64F9"/>
    <w:rsid w:val="587E3341"/>
    <w:rsid w:val="587F428B"/>
    <w:rsid w:val="58843A9C"/>
    <w:rsid w:val="58B31855"/>
    <w:rsid w:val="58C1051A"/>
    <w:rsid w:val="58CB792A"/>
    <w:rsid w:val="58CF56D8"/>
    <w:rsid w:val="58D31010"/>
    <w:rsid w:val="58D63E23"/>
    <w:rsid w:val="58D6741E"/>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8653AC"/>
    <w:rsid w:val="59AC3C86"/>
    <w:rsid w:val="59B817D3"/>
    <w:rsid w:val="59C11856"/>
    <w:rsid w:val="59C153AB"/>
    <w:rsid w:val="59CF2FF0"/>
    <w:rsid w:val="59D42FDA"/>
    <w:rsid w:val="59DA4E01"/>
    <w:rsid w:val="59F64E82"/>
    <w:rsid w:val="5A0A5DD6"/>
    <w:rsid w:val="5A10435C"/>
    <w:rsid w:val="5A2654CC"/>
    <w:rsid w:val="5A323A44"/>
    <w:rsid w:val="5A395E66"/>
    <w:rsid w:val="5A476FBE"/>
    <w:rsid w:val="5A484352"/>
    <w:rsid w:val="5A5321A5"/>
    <w:rsid w:val="5A783688"/>
    <w:rsid w:val="5A845B89"/>
    <w:rsid w:val="5A8734AF"/>
    <w:rsid w:val="5A955FE8"/>
    <w:rsid w:val="5A9A53AC"/>
    <w:rsid w:val="5A9C1D5C"/>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2555BE"/>
    <w:rsid w:val="5B4859CC"/>
    <w:rsid w:val="5B585171"/>
    <w:rsid w:val="5B585B78"/>
    <w:rsid w:val="5B6360E6"/>
    <w:rsid w:val="5B6D62B9"/>
    <w:rsid w:val="5B746CFA"/>
    <w:rsid w:val="5B7C4AB2"/>
    <w:rsid w:val="5B9A2B59"/>
    <w:rsid w:val="5BA652E6"/>
    <w:rsid w:val="5BC0085A"/>
    <w:rsid w:val="5BC052E6"/>
    <w:rsid w:val="5BE03293"/>
    <w:rsid w:val="5BF03D58"/>
    <w:rsid w:val="5BF20AFB"/>
    <w:rsid w:val="5C1A6BB2"/>
    <w:rsid w:val="5C306D31"/>
    <w:rsid w:val="5C37233A"/>
    <w:rsid w:val="5C5355FE"/>
    <w:rsid w:val="5C5A49A5"/>
    <w:rsid w:val="5C6519EA"/>
    <w:rsid w:val="5C6715FE"/>
    <w:rsid w:val="5C6F4105"/>
    <w:rsid w:val="5C841E70"/>
    <w:rsid w:val="5CAF45D9"/>
    <w:rsid w:val="5CBB7F6F"/>
    <w:rsid w:val="5CC248CE"/>
    <w:rsid w:val="5CC826A5"/>
    <w:rsid w:val="5CF1327E"/>
    <w:rsid w:val="5D042FB1"/>
    <w:rsid w:val="5D2D2508"/>
    <w:rsid w:val="5D442CB4"/>
    <w:rsid w:val="5D7C3F11"/>
    <w:rsid w:val="5D971C5A"/>
    <w:rsid w:val="5D9D49E0"/>
    <w:rsid w:val="5DA01E9E"/>
    <w:rsid w:val="5DAD3649"/>
    <w:rsid w:val="5DC310BE"/>
    <w:rsid w:val="5DC32E6C"/>
    <w:rsid w:val="5DDC27FF"/>
    <w:rsid w:val="5DDF1821"/>
    <w:rsid w:val="5DE2656A"/>
    <w:rsid w:val="5DEA2F91"/>
    <w:rsid w:val="5DF94AE0"/>
    <w:rsid w:val="5DFA5883"/>
    <w:rsid w:val="5E224037"/>
    <w:rsid w:val="5E31411E"/>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082D81"/>
    <w:rsid w:val="5F1544E7"/>
    <w:rsid w:val="5F197EE8"/>
    <w:rsid w:val="5F1C6CD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4B5C6A"/>
    <w:rsid w:val="605D2617"/>
    <w:rsid w:val="60616CDC"/>
    <w:rsid w:val="60624E53"/>
    <w:rsid w:val="606319E5"/>
    <w:rsid w:val="607A77D8"/>
    <w:rsid w:val="607B3C50"/>
    <w:rsid w:val="608B6567"/>
    <w:rsid w:val="60902A4E"/>
    <w:rsid w:val="60AA3E6F"/>
    <w:rsid w:val="60FF21D9"/>
    <w:rsid w:val="610C0686"/>
    <w:rsid w:val="611E37D0"/>
    <w:rsid w:val="611F485D"/>
    <w:rsid w:val="613021B3"/>
    <w:rsid w:val="61306A6A"/>
    <w:rsid w:val="613253FD"/>
    <w:rsid w:val="61421F29"/>
    <w:rsid w:val="61637D56"/>
    <w:rsid w:val="61712185"/>
    <w:rsid w:val="618B7207"/>
    <w:rsid w:val="61907E69"/>
    <w:rsid w:val="619D5782"/>
    <w:rsid w:val="61A90D68"/>
    <w:rsid w:val="61B43A15"/>
    <w:rsid w:val="61DA0425"/>
    <w:rsid w:val="61E241E7"/>
    <w:rsid w:val="62065A1D"/>
    <w:rsid w:val="6213792C"/>
    <w:rsid w:val="621775E2"/>
    <w:rsid w:val="621C0D9D"/>
    <w:rsid w:val="622F7552"/>
    <w:rsid w:val="6250406E"/>
    <w:rsid w:val="6254757F"/>
    <w:rsid w:val="6267666C"/>
    <w:rsid w:val="62707B03"/>
    <w:rsid w:val="62745086"/>
    <w:rsid w:val="627D6831"/>
    <w:rsid w:val="62811B1C"/>
    <w:rsid w:val="62A20409"/>
    <w:rsid w:val="62AC0373"/>
    <w:rsid w:val="62B54B44"/>
    <w:rsid w:val="62C02613"/>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62907"/>
    <w:rsid w:val="64177A6E"/>
    <w:rsid w:val="643F32F9"/>
    <w:rsid w:val="64464CA2"/>
    <w:rsid w:val="64582686"/>
    <w:rsid w:val="64673C87"/>
    <w:rsid w:val="64877733"/>
    <w:rsid w:val="64925346"/>
    <w:rsid w:val="64A170D2"/>
    <w:rsid w:val="64A251DD"/>
    <w:rsid w:val="64AC7F92"/>
    <w:rsid w:val="64BC182A"/>
    <w:rsid w:val="650242F0"/>
    <w:rsid w:val="65365B2B"/>
    <w:rsid w:val="653F447E"/>
    <w:rsid w:val="65470082"/>
    <w:rsid w:val="65542778"/>
    <w:rsid w:val="655829AF"/>
    <w:rsid w:val="656B70C3"/>
    <w:rsid w:val="657038D9"/>
    <w:rsid w:val="65711400"/>
    <w:rsid w:val="658F4798"/>
    <w:rsid w:val="659B1EBA"/>
    <w:rsid w:val="659D2308"/>
    <w:rsid w:val="65A11CE5"/>
    <w:rsid w:val="65A83379"/>
    <w:rsid w:val="65B461E9"/>
    <w:rsid w:val="65BE39A8"/>
    <w:rsid w:val="65C23A09"/>
    <w:rsid w:val="65FB3FBE"/>
    <w:rsid w:val="66101A71"/>
    <w:rsid w:val="66171FA7"/>
    <w:rsid w:val="66247D11"/>
    <w:rsid w:val="663B3EC9"/>
    <w:rsid w:val="665A1E94"/>
    <w:rsid w:val="66736112"/>
    <w:rsid w:val="667F5B5B"/>
    <w:rsid w:val="66826A6F"/>
    <w:rsid w:val="6694262A"/>
    <w:rsid w:val="66990381"/>
    <w:rsid w:val="66B31B01"/>
    <w:rsid w:val="66CE1E80"/>
    <w:rsid w:val="66DC3999"/>
    <w:rsid w:val="66E362F9"/>
    <w:rsid w:val="66E47FD9"/>
    <w:rsid w:val="66E520A5"/>
    <w:rsid w:val="66F04175"/>
    <w:rsid w:val="66F127F8"/>
    <w:rsid w:val="67071922"/>
    <w:rsid w:val="6723175B"/>
    <w:rsid w:val="673B73C0"/>
    <w:rsid w:val="674743C8"/>
    <w:rsid w:val="675608B6"/>
    <w:rsid w:val="67754402"/>
    <w:rsid w:val="677D54ED"/>
    <w:rsid w:val="678B726C"/>
    <w:rsid w:val="67B25E27"/>
    <w:rsid w:val="67B4646D"/>
    <w:rsid w:val="67B464CA"/>
    <w:rsid w:val="67C4383B"/>
    <w:rsid w:val="67D35E1A"/>
    <w:rsid w:val="67D839B8"/>
    <w:rsid w:val="67DF08A2"/>
    <w:rsid w:val="67E81E4D"/>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41085"/>
    <w:rsid w:val="68993219"/>
    <w:rsid w:val="689E42BA"/>
    <w:rsid w:val="68A026F3"/>
    <w:rsid w:val="68AF6C13"/>
    <w:rsid w:val="68E22922"/>
    <w:rsid w:val="68F25680"/>
    <w:rsid w:val="69046F0B"/>
    <w:rsid w:val="69074555"/>
    <w:rsid w:val="690E07C7"/>
    <w:rsid w:val="69140A20"/>
    <w:rsid w:val="69236A65"/>
    <w:rsid w:val="692E469B"/>
    <w:rsid w:val="69315C48"/>
    <w:rsid w:val="694019EC"/>
    <w:rsid w:val="694841AF"/>
    <w:rsid w:val="69584DB4"/>
    <w:rsid w:val="695B5B89"/>
    <w:rsid w:val="695C3AB5"/>
    <w:rsid w:val="696C3D80"/>
    <w:rsid w:val="696D7E94"/>
    <w:rsid w:val="698A5EE4"/>
    <w:rsid w:val="69C811ED"/>
    <w:rsid w:val="69D33070"/>
    <w:rsid w:val="69E97E75"/>
    <w:rsid w:val="69FB5D9E"/>
    <w:rsid w:val="69FF6FDA"/>
    <w:rsid w:val="6A09542B"/>
    <w:rsid w:val="6A1A3007"/>
    <w:rsid w:val="6A1E645E"/>
    <w:rsid w:val="6A3C6480"/>
    <w:rsid w:val="6A3D7B02"/>
    <w:rsid w:val="6A417049"/>
    <w:rsid w:val="6A576E16"/>
    <w:rsid w:val="6A7903E5"/>
    <w:rsid w:val="6A8219B9"/>
    <w:rsid w:val="6A8641F2"/>
    <w:rsid w:val="6A9701A5"/>
    <w:rsid w:val="6AA03032"/>
    <w:rsid w:val="6AA86FEC"/>
    <w:rsid w:val="6AC326FD"/>
    <w:rsid w:val="6ACB20F7"/>
    <w:rsid w:val="6ADA6AC4"/>
    <w:rsid w:val="6ADB11D6"/>
    <w:rsid w:val="6B1A2C3C"/>
    <w:rsid w:val="6B221F4E"/>
    <w:rsid w:val="6B31644D"/>
    <w:rsid w:val="6B486C86"/>
    <w:rsid w:val="6B554C72"/>
    <w:rsid w:val="6B680BAF"/>
    <w:rsid w:val="6B774DF2"/>
    <w:rsid w:val="6B847AD7"/>
    <w:rsid w:val="6B8B7888"/>
    <w:rsid w:val="6B961F07"/>
    <w:rsid w:val="6B9A2DF9"/>
    <w:rsid w:val="6BA56BC7"/>
    <w:rsid w:val="6BAA566B"/>
    <w:rsid w:val="6BAC4619"/>
    <w:rsid w:val="6BB118FD"/>
    <w:rsid w:val="6BC60150"/>
    <w:rsid w:val="6BCD2823"/>
    <w:rsid w:val="6BDD15DD"/>
    <w:rsid w:val="6BDF2966"/>
    <w:rsid w:val="6BE86A5F"/>
    <w:rsid w:val="6BFB7C75"/>
    <w:rsid w:val="6C053C7D"/>
    <w:rsid w:val="6C0D357A"/>
    <w:rsid w:val="6C2076DB"/>
    <w:rsid w:val="6C234DED"/>
    <w:rsid w:val="6C29198B"/>
    <w:rsid w:val="6C3A67D1"/>
    <w:rsid w:val="6C3D2157"/>
    <w:rsid w:val="6C3D2D5C"/>
    <w:rsid w:val="6C4800AA"/>
    <w:rsid w:val="6C4B4758"/>
    <w:rsid w:val="6C4D28F8"/>
    <w:rsid w:val="6C573E9C"/>
    <w:rsid w:val="6C5C23DC"/>
    <w:rsid w:val="6C6121CE"/>
    <w:rsid w:val="6C6D1126"/>
    <w:rsid w:val="6C8E1FC4"/>
    <w:rsid w:val="6C98633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F6F7D"/>
    <w:rsid w:val="6D480984"/>
    <w:rsid w:val="6D8079F9"/>
    <w:rsid w:val="6D982645"/>
    <w:rsid w:val="6D9C0B83"/>
    <w:rsid w:val="6DB13E57"/>
    <w:rsid w:val="6DC245A2"/>
    <w:rsid w:val="6DC71662"/>
    <w:rsid w:val="6DCD5126"/>
    <w:rsid w:val="6DDB6CB0"/>
    <w:rsid w:val="6DE21877"/>
    <w:rsid w:val="6DE52ACD"/>
    <w:rsid w:val="6DF36E56"/>
    <w:rsid w:val="6DFC0B44"/>
    <w:rsid w:val="6E0458E7"/>
    <w:rsid w:val="6E212037"/>
    <w:rsid w:val="6E2234B8"/>
    <w:rsid w:val="6E263D90"/>
    <w:rsid w:val="6E3B221B"/>
    <w:rsid w:val="6E475779"/>
    <w:rsid w:val="6E4C2A0A"/>
    <w:rsid w:val="6E51424D"/>
    <w:rsid w:val="6E663C68"/>
    <w:rsid w:val="6E7764EF"/>
    <w:rsid w:val="6E8403F6"/>
    <w:rsid w:val="6E971ED7"/>
    <w:rsid w:val="6E98530F"/>
    <w:rsid w:val="6EAD447C"/>
    <w:rsid w:val="6EAE5472"/>
    <w:rsid w:val="6EBC069A"/>
    <w:rsid w:val="6EC627BC"/>
    <w:rsid w:val="6ECD7F59"/>
    <w:rsid w:val="6ECF2622"/>
    <w:rsid w:val="6ECF449B"/>
    <w:rsid w:val="6ED975CA"/>
    <w:rsid w:val="6EED67AB"/>
    <w:rsid w:val="6EED7C80"/>
    <w:rsid w:val="6EF03395"/>
    <w:rsid w:val="6EF72E99"/>
    <w:rsid w:val="6EF773A4"/>
    <w:rsid w:val="6EFB1D7B"/>
    <w:rsid w:val="6F174DC6"/>
    <w:rsid w:val="6F1E2E65"/>
    <w:rsid w:val="6F2F2D9E"/>
    <w:rsid w:val="6F4147D9"/>
    <w:rsid w:val="6F561247"/>
    <w:rsid w:val="6F581F47"/>
    <w:rsid w:val="6F5B0D5A"/>
    <w:rsid w:val="6F5C35EA"/>
    <w:rsid w:val="6F63625D"/>
    <w:rsid w:val="6F6B6A15"/>
    <w:rsid w:val="6F947E4B"/>
    <w:rsid w:val="6FA30BDA"/>
    <w:rsid w:val="6FB21D4C"/>
    <w:rsid w:val="6FB80698"/>
    <w:rsid w:val="6FFD5E0F"/>
    <w:rsid w:val="701021F4"/>
    <w:rsid w:val="70196232"/>
    <w:rsid w:val="701C29A6"/>
    <w:rsid w:val="7024611F"/>
    <w:rsid w:val="7038498C"/>
    <w:rsid w:val="70637B96"/>
    <w:rsid w:val="70797317"/>
    <w:rsid w:val="707E201F"/>
    <w:rsid w:val="7099044B"/>
    <w:rsid w:val="709A06E1"/>
    <w:rsid w:val="709D518F"/>
    <w:rsid w:val="709D782C"/>
    <w:rsid w:val="70B76860"/>
    <w:rsid w:val="70C759D3"/>
    <w:rsid w:val="70CD7E32"/>
    <w:rsid w:val="70CF2B23"/>
    <w:rsid w:val="70D70CB1"/>
    <w:rsid w:val="70D80585"/>
    <w:rsid w:val="70E909E4"/>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C25DB7"/>
    <w:rsid w:val="71D07496"/>
    <w:rsid w:val="71D75D0F"/>
    <w:rsid w:val="71F437A4"/>
    <w:rsid w:val="721919B3"/>
    <w:rsid w:val="721A6098"/>
    <w:rsid w:val="721D18D3"/>
    <w:rsid w:val="72310D1A"/>
    <w:rsid w:val="725B146D"/>
    <w:rsid w:val="725D6B54"/>
    <w:rsid w:val="72986FA0"/>
    <w:rsid w:val="72A17C99"/>
    <w:rsid w:val="72A2709C"/>
    <w:rsid w:val="72A5093A"/>
    <w:rsid w:val="72AD7197"/>
    <w:rsid w:val="72AF6F7E"/>
    <w:rsid w:val="72BD2C86"/>
    <w:rsid w:val="72CD226C"/>
    <w:rsid w:val="72D27981"/>
    <w:rsid w:val="72FD74B4"/>
    <w:rsid w:val="73047407"/>
    <w:rsid w:val="73047904"/>
    <w:rsid w:val="730F2712"/>
    <w:rsid w:val="731A4E85"/>
    <w:rsid w:val="73253EFA"/>
    <w:rsid w:val="73353A6C"/>
    <w:rsid w:val="734C1A6A"/>
    <w:rsid w:val="735663B7"/>
    <w:rsid w:val="735C5949"/>
    <w:rsid w:val="73671287"/>
    <w:rsid w:val="73737DA5"/>
    <w:rsid w:val="73740A39"/>
    <w:rsid w:val="73783823"/>
    <w:rsid w:val="73887B3E"/>
    <w:rsid w:val="73892412"/>
    <w:rsid w:val="73AF2114"/>
    <w:rsid w:val="73AF381F"/>
    <w:rsid w:val="73E96BCA"/>
    <w:rsid w:val="73EE4A6E"/>
    <w:rsid w:val="73F57E4D"/>
    <w:rsid w:val="741048BC"/>
    <w:rsid w:val="742E78D4"/>
    <w:rsid w:val="74317498"/>
    <w:rsid w:val="74335A84"/>
    <w:rsid w:val="743A6A13"/>
    <w:rsid w:val="74676A28"/>
    <w:rsid w:val="747E40B6"/>
    <w:rsid w:val="748F1AFC"/>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65C30"/>
    <w:rsid w:val="76692382"/>
    <w:rsid w:val="766B00E5"/>
    <w:rsid w:val="76832D41"/>
    <w:rsid w:val="768B2C28"/>
    <w:rsid w:val="76AA4771"/>
    <w:rsid w:val="76BB1CAB"/>
    <w:rsid w:val="76C04050"/>
    <w:rsid w:val="76C536F1"/>
    <w:rsid w:val="76D67314"/>
    <w:rsid w:val="76E00193"/>
    <w:rsid w:val="76E65049"/>
    <w:rsid w:val="76FA74A7"/>
    <w:rsid w:val="77076007"/>
    <w:rsid w:val="771A36A5"/>
    <w:rsid w:val="772049CA"/>
    <w:rsid w:val="773B361B"/>
    <w:rsid w:val="77413F7E"/>
    <w:rsid w:val="77464076"/>
    <w:rsid w:val="7758241F"/>
    <w:rsid w:val="777A7D22"/>
    <w:rsid w:val="777E28EC"/>
    <w:rsid w:val="77835654"/>
    <w:rsid w:val="7797109C"/>
    <w:rsid w:val="779A2A38"/>
    <w:rsid w:val="77B4450A"/>
    <w:rsid w:val="77B46E73"/>
    <w:rsid w:val="77D067C7"/>
    <w:rsid w:val="77E37A12"/>
    <w:rsid w:val="77F42148"/>
    <w:rsid w:val="77FE3468"/>
    <w:rsid w:val="781A76D5"/>
    <w:rsid w:val="78232A2D"/>
    <w:rsid w:val="78250553"/>
    <w:rsid w:val="783B17B1"/>
    <w:rsid w:val="784E2046"/>
    <w:rsid w:val="78546F0C"/>
    <w:rsid w:val="786778FE"/>
    <w:rsid w:val="7899684C"/>
    <w:rsid w:val="789D588A"/>
    <w:rsid w:val="78B418D7"/>
    <w:rsid w:val="78B65E3A"/>
    <w:rsid w:val="78D15CC9"/>
    <w:rsid w:val="78E0091E"/>
    <w:rsid w:val="78EE1C79"/>
    <w:rsid w:val="78F85605"/>
    <w:rsid w:val="78FA66FA"/>
    <w:rsid w:val="79345B6A"/>
    <w:rsid w:val="79424F6E"/>
    <w:rsid w:val="795F3706"/>
    <w:rsid w:val="797239CC"/>
    <w:rsid w:val="797F54AB"/>
    <w:rsid w:val="79831473"/>
    <w:rsid w:val="798365B5"/>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C9692A"/>
    <w:rsid w:val="7AD60EB8"/>
    <w:rsid w:val="7ADA73A4"/>
    <w:rsid w:val="7AE66B99"/>
    <w:rsid w:val="7AF34646"/>
    <w:rsid w:val="7AFE508C"/>
    <w:rsid w:val="7B0A3BCA"/>
    <w:rsid w:val="7B1C0EF4"/>
    <w:rsid w:val="7B212805"/>
    <w:rsid w:val="7B2528D6"/>
    <w:rsid w:val="7B345AA9"/>
    <w:rsid w:val="7B4048C1"/>
    <w:rsid w:val="7B4C5DF7"/>
    <w:rsid w:val="7B4F29D4"/>
    <w:rsid w:val="7B73082F"/>
    <w:rsid w:val="7B7B492E"/>
    <w:rsid w:val="7B9A3D1D"/>
    <w:rsid w:val="7BB46FBD"/>
    <w:rsid w:val="7BC62E00"/>
    <w:rsid w:val="7BC73B55"/>
    <w:rsid w:val="7BE35E2A"/>
    <w:rsid w:val="7BEF4658"/>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617A9"/>
    <w:rsid w:val="7CEE3130"/>
    <w:rsid w:val="7CFC08E8"/>
    <w:rsid w:val="7D1E1A15"/>
    <w:rsid w:val="7D1F6674"/>
    <w:rsid w:val="7D475E29"/>
    <w:rsid w:val="7D480B34"/>
    <w:rsid w:val="7D777A3E"/>
    <w:rsid w:val="7D9005BC"/>
    <w:rsid w:val="7D9F0AD0"/>
    <w:rsid w:val="7DB22BDF"/>
    <w:rsid w:val="7DCD59DA"/>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265C58"/>
    <w:rsid w:val="7F3B240A"/>
    <w:rsid w:val="7F4C4618"/>
    <w:rsid w:val="7F4D13A6"/>
    <w:rsid w:val="7F582CF2"/>
    <w:rsid w:val="7F7D6E02"/>
    <w:rsid w:val="7F951B40"/>
    <w:rsid w:val="7FA501CC"/>
    <w:rsid w:val="7FA820A8"/>
    <w:rsid w:val="7FAF2DF8"/>
    <w:rsid w:val="7FB90D50"/>
    <w:rsid w:val="7FBE053E"/>
    <w:rsid w:val="7FBF10B0"/>
    <w:rsid w:val="7FDC1E3F"/>
    <w:rsid w:val="7FE33012"/>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1"/>
    <w:autoRedefine/>
    <w:qFormat/>
    <w:uiPriority w:val="0"/>
    <w:pPr>
      <w:keepNext/>
      <w:keepLines/>
      <w:spacing w:line="360" w:lineRule="auto"/>
      <w:outlineLvl w:val="3"/>
    </w:pPr>
    <w:rPr>
      <w:rFonts w:ascii="Arial" w:hAnsi="Arial"/>
      <w:b/>
      <w:bCs/>
      <w:szCs w:val="28"/>
    </w:rPr>
  </w:style>
  <w:style w:type="paragraph" w:styleId="7">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1"/>
    <w:link w:val="77"/>
    <w:autoRedefine/>
    <w:qFormat/>
    <w:uiPriority w:val="0"/>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0">
    <w:name w:val="caption"/>
    <w:basedOn w:val="1"/>
    <w:next w:val="1"/>
    <w:qFormat/>
    <w:uiPriority w:val="0"/>
    <w:pPr>
      <w:spacing w:before="152" w:after="160"/>
    </w:pPr>
    <w:rPr>
      <w:rFonts w:ascii="Arial" w:hAnsi="Arial" w:eastAsia="黑体" w:cs="Arial"/>
      <w:sz w:val="20"/>
      <w:szCs w:val="20"/>
    </w:rPr>
  </w:style>
  <w:style w:type="paragraph" w:styleId="11">
    <w:name w:val="Document Map"/>
    <w:basedOn w:val="1"/>
    <w:link w:val="79"/>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Body Text First Indent 2"/>
    <w:basedOn w:val="14"/>
    <w:autoRedefine/>
    <w:qFormat/>
    <w:uiPriority w:val="0"/>
    <w:pPr>
      <w:ind w:firstLine="420" w:firstLineChars="200"/>
    </w:p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3"/>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3"/>
    <w:next w:val="15"/>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Default"/>
    <w:next w:val="24"/>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0">
    <w:name w:val="大标题"/>
    <w:basedOn w:val="1"/>
    <w:next w:val="15"/>
    <w:autoRedefine/>
    <w:qFormat/>
    <w:uiPriority w:val="0"/>
    <w:pPr>
      <w:jc w:val="center"/>
    </w:pPr>
    <w:rPr>
      <w:rFonts w:ascii="Arial" w:hAnsi="Arial"/>
      <w:b/>
      <w:sz w:val="28"/>
    </w:rPr>
  </w:style>
  <w:style w:type="paragraph" w:customStyle="1" w:styleId="51">
    <w:name w:val="无间隔1"/>
    <w:basedOn w:val="52"/>
    <w:next w:val="10"/>
    <w:autoRedefine/>
    <w:qFormat/>
    <w:uiPriority w:val="1"/>
    <w:pPr>
      <w:spacing w:line="400" w:lineRule="exact"/>
    </w:pPr>
    <w:rPr>
      <w:sz w:val="24"/>
    </w:rPr>
  </w:style>
  <w:style w:type="paragraph" w:customStyle="1" w:styleId="52">
    <w:name w:val="正文_1"/>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53">
    <w:name w:val="正文文本缩进 21"/>
    <w:basedOn w:val="1"/>
    <w:autoRedefine/>
    <w:qFormat/>
    <w:uiPriority w:val="0"/>
    <w:pPr>
      <w:ind w:firstLine="570"/>
    </w:pPr>
    <w:rPr>
      <w:sz w:val="32"/>
    </w:rPr>
  </w:style>
  <w:style w:type="paragraph" w:customStyle="1" w:styleId="54">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5">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6">
    <w:name w:val="No Spacing1"/>
    <w:basedOn w:val="1"/>
    <w:autoRedefine/>
    <w:qFormat/>
    <w:uiPriority w:val="0"/>
    <w:pPr>
      <w:spacing w:line="400" w:lineRule="exact"/>
    </w:pPr>
    <w:rPr>
      <w:sz w:val="24"/>
    </w:rPr>
  </w:style>
  <w:style w:type="paragraph" w:customStyle="1" w:styleId="57">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8">
    <w:name w:val="Char"/>
    <w:basedOn w:val="1"/>
    <w:autoRedefine/>
    <w:qFormat/>
    <w:uiPriority w:val="0"/>
  </w:style>
  <w:style w:type="paragraph" w:customStyle="1" w:styleId="59">
    <w:name w:val="正文缩进1"/>
    <w:basedOn w:val="1"/>
    <w:autoRedefine/>
    <w:qFormat/>
    <w:uiPriority w:val="0"/>
    <w:pPr>
      <w:widowControl/>
      <w:ind w:firstLine="420"/>
      <w:jc w:val="left"/>
    </w:pPr>
    <w:rPr>
      <w:kern w:val="0"/>
      <w:szCs w:val="20"/>
    </w:rPr>
  </w:style>
  <w:style w:type="paragraph" w:customStyle="1" w:styleId="60">
    <w:name w:val="列出段落2"/>
    <w:basedOn w:val="1"/>
    <w:autoRedefine/>
    <w:qFormat/>
    <w:uiPriority w:val="34"/>
    <w:pPr>
      <w:ind w:firstLine="420" w:firstLineChars="200"/>
    </w:pPr>
  </w:style>
  <w:style w:type="paragraph" w:customStyle="1" w:styleId="61">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1"/>
    <w:basedOn w:val="1"/>
    <w:autoRedefine/>
    <w:qFormat/>
    <w:uiPriority w:val="0"/>
    <w:pPr>
      <w:widowControl/>
      <w:spacing w:beforeAutospacing="1" w:afterAutospacing="1"/>
      <w:jc w:val="left"/>
    </w:pPr>
    <w:rPr>
      <w:rFonts w:ascii="宋体" w:hAnsi="宋体" w:cs="宋体"/>
      <w:kern w:val="0"/>
      <w:sz w:val="24"/>
    </w:rPr>
  </w:style>
  <w:style w:type="paragraph" w:styleId="63">
    <w:name w:val="No Spacing"/>
    <w:autoRedefine/>
    <w:qFormat/>
    <w:uiPriority w:val="1"/>
    <w:rPr>
      <w:rFonts w:ascii="Calibri" w:hAnsi="Calibri" w:eastAsia="宋体" w:cs="Times New Roman"/>
      <w:sz w:val="22"/>
      <w:szCs w:val="22"/>
      <w:lang w:val="en-US" w:eastAsia="zh-CN" w:bidi="ar-SA"/>
    </w:rPr>
  </w:style>
  <w:style w:type="paragraph" w:customStyle="1" w:styleId="64">
    <w:name w:val="_Style 2"/>
    <w:basedOn w:val="1"/>
    <w:autoRedefine/>
    <w:qFormat/>
    <w:uiPriority w:val="34"/>
    <w:pPr>
      <w:ind w:firstLine="420" w:firstLineChars="200"/>
    </w:pPr>
    <w:rPr>
      <w:rFonts w:ascii="Calibri" w:hAnsi="Calibri"/>
    </w:rPr>
  </w:style>
  <w:style w:type="paragraph" w:customStyle="1" w:styleId="65">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6">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7">
    <w:name w:val="Char1"/>
    <w:basedOn w:val="1"/>
    <w:autoRedefine/>
    <w:qFormat/>
    <w:uiPriority w:val="0"/>
  </w:style>
  <w:style w:type="paragraph" w:customStyle="1" w:styleId="68">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9">
    <w:name w:val="Table Paragraph"/>
    <w:basedOn w:val="1"/>
    <w:autoRedefine/>
    <w:qFormat/>
    <w:uiPriority w:val="1"/>
    <w:pPr>
      <w:jc w:val="left"/>
    </w:pPr>
    <w:rPr>
      <w:rFonts w:ascii="宋体" w:hAnsi="宋体" w:cs="宋体"/>
      <w:kern w:val="0"/>
      <w:sz w:val="22"/>
      <w:szCs w:val="22"/>
      <w:lang w:eastAsia="en-US"/>
    </w:rPr>
  </w:style>
  <w:style w:type="paragraph" w:customStyle="1" w:styleId="70">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1">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
    <w:basedOn w:val="1"/>
    <w:autoRedefine/>
    <w:qFormat/>
    <w:uiPriority w:val="34"/>
    <w:pPr>
      <w:ind w:firstLine="420" w:firstLineChars="200"/>
    </w:pPr>
  </w:style>
  <w:style w:type="paragraph" w:customStyle="1" w:styleId="73">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4">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6">
    <w:name w:val="列出段落11"/>
    <w:basedOn w:val="1"/>
    <w:autoRedefine/>
    <w:qFormat/>
    <w:uiPriority w:val="0"/>
    <w:pPr>
      <w:ind w:firstLine="420" w:firstLineChars="200"/>
    </w:pPr>
    <w:rPr>
      <w:rFonts w:ascii="Calibri" w:hAnsi="Calibri"/>
      <w:szCs w:val="22"/>
    </w:rPr>
  </w:style>
  <w:style w:type="character" w:customStyle="1" w:styleId="77">
    <w:name w:val="正文文本 Char"/>
    <w:basedOn w:val="35"/>
    <w:link w:val="3"/>
    <w:autoRedefine/>
    <w:qFormat/>
    <w:uiPriority w:val="0"/>
  </w:style>
  <w:style w:type="character" w:customStyle="1" w:styleId="78">
    <w:name w:val="apple-converted-space"/>
    <w:basedOn w:val="35"/>
    <w:autoRedefine/>
    <w:qFormat/>
    <w:uiPriority w:val="0"/>
  </w:style>
  <w:style w:type="character" w:customStyle="1" w:styleId="79">
    <w:name w:val="文档结构图 Char"/>
    <w:link w:val="11"/>
    <w:autoRedefine/>
    <w:qFormat/>
    <w:uiPriority w:val="0"/>
    <w:rPr>
      <w:rFonts w:ascii="宋体"/>
      <w:kern w:val="2"/>
      <w:sz w:val="18"/>
      <w:szCs w:val="18"/>
    </w:rPr>
  </w:style>
  <w:style w:type="character" w:customStyle="1" w:styleId="80">
    <w:name w:val="不明显强调1"/>
    <w:autoRedefine/>
    <w:qFormat/>
    <w:uiPriority w:val="19"/>
    <w:rPr>
      <w:i/>
      <w:iCs/>
      <w:color w:val="7F7F7F"/>
      <w:szCs w:val="24"/>
    </w:rPr>
  </w:style>
  <w:style w:type="character" w:customStyle="1" w:styleId="81">
    <w:name w:val="font71"/>
    <w:basedOn w:val="35"/>
    <w:autoRedefine/>
    <w:qFormat/>
    <w:uiPriority w:val="0"/>
    <w:rPr>
      <w:rFonts w:hint="eastAsia" w:ascii="宋体" w:hAnsi="宋体" w:eastAsia="宋体" w:cs="宋体"/>
      <w:color w:val="000000"/>
      <w:sz w:val="28"/>
      <w:szCs w:val="28"/>
      <w:u w:val="none"/>
    </w:rPr>
  </w:style>
  <w:style w:type="character" w:customStyle="1" w:styleId="82">
    <w:name w:val="font21"/>
    <w:autoRedefine/>
    <w:qFormat/>
    <w:uiPriority w:val="0"/>
    <w:rPr>
      <w:rFonts w:hint="default" w:ascii="Calibri" w:hAnsi="Calibri" w:cs="Calibri"/>
      <w:color w:val="000000"/>
      <w:sz w:val="28"/>
      <w:szCs w:val="28"/>
      <w:u w:val="none"/>
    </w:rPr>
  </w:style>
  <w:style w:type="character" w:customStyle="1" w:styleId="83">
    <w:name w:val="17"/>
    <w:autoRedefine/>
    <w:qFormat/>
    <w:uiPriority w:val="0"/>
    <w:rPr>
      <w:rFonts w:hint="eastAsia" w:ascii="宋体" w:hAnsi="宋体" w:eastAsia="宋体"/>
      <w:color w:val="000000"/>
    </w:rPr>
  </w:style>
  <w:style w:type="character" w:customStyle="1" w:styleId="84">
    <w:name w:val="font91"/>
    <w:autoRedefine/>
    <w:qFormat/>
    <w:uiPriority w:val="0"/>
    <w:rPr>
      <w:rFonts w:hint="eastAsia" w:ascii="宋体" w:hAnsi="宋体" w:eastAsia="宋体" w:cs="宋体"/>
      <w:color w:val="FF0000"/>
      <w:sz w:val="28"/>
      <w:szCs w:val="28"/>
      <w:u w:val="none"/>
    </w:rPr>
  </w:style>
  <w:style w:type="paragraph" w:customStyle="1" w:styleId="85">
    <w:name w:val="p"/>
    <w:basedOn w:val="1"/>
    <w:autoRedefine/>
    <w:qFormat/>
    <w:uiPriority w:val="0"/>
    <w:pPr>
      <w:widowControl/>
      <w:spacing w:line="432" w:lineRule="auto"/>
      <w:jc w:val="left"/>
    </w:pPr>
    <w:rPr>
      <w:rFonts w:ascii="宋体" w:hAnsi="宋体" w:cs="宋体"/>
      <w:kern w:val="0"/>
      <w:sz w:val="24"/>
    </w:rPr>
  </w:style>
  <w:style w:type="paragraph" w:customStyle="1" w:styleId="86">
    <w:name w:val="WPSOffice手动目录 1"/>
    <w:autoRedefine/>
    <w:qFormat/>
    <w:uiPriority w:val="0"/>
    <w:rPr>
      <w:rFonts w:ascii="Times New Roman" w:hAnsi="Times New Roman" w:eastAsia="宋体" w:cs="Times New Roman"/>
      <w:lang w:val="en-US" w:eastAsia="zh-CN" w:bidi="ar-SA"/>
    </w:rPr>
  </w:style>
  <w:style w:type="paragraph" w:customStyle="1" w:styleId="87">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8">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9">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90">
    <w:name w:val="列表段落1"/>
    <w:basedOn w:val="1"/>
    <w:autoRedefine/>
    <w:qFormat/>
    <w:uiPriority w:val="34"/>
    <w:pPr>
      <w:widowControl/>
      <w:ind w:firstLine="420"/>
      <w:jc w:val="left"/>
    </w:pPr>
    <w:rPr>
      <w:kern w:val="0"/>
    </w:rPr>
  </w:style>
  <w:style w:type="paragraph" w:styleId="91">
    <w:name w:val="List Paragraph"/>
    <w:basedOn w:val="1"/>
    <w:autoRedefine/>
    <w:qFormat/>
    <w:uiPriority w:val="34"/>
    <w:pPr>
      <w:ind w:firstLine="420" w:firstLineChars="200"/>
    </w:pPr>
  </w:style>
  <w:style w:type="character" w:customStyle="1" w:styleId="92">
    <w:name w:val="hover18"/>
    <w:basedOn w:val="35"/>
    <w:autoRedefine/>
    <w:qFormat/>
    <w:uiPriority w:val="0"/>
  </w:style>
  <w:style w:type="table" w:customStyle="1" w:styleId="93">
    <w:name w:val="Table Normal"/>
    <w:autoRedefine/>
    <w:qFormat/>
    <w:uiPriority w:val="0"/>
    <w:tblPr>
      <w:tblCellMar>
        <w:top w:w="0" w:type="dxa"/>
        <w:left w:w="0" w:type="dxa"/>
        <w:bottom w:w="0" w:type="dxa"/>
        <w:right w:w="0" w:type="dxa"/>
      </w:tblCellMar>
    </w:tblPr>
  </w:style>
  <w:style w:type="paragraph" w:customStyle="1" w:styleId="94">
    <w:name w:val="Table Text"/>
    <w:basedOn w:val="1"/>
    <w:autoRedefine/>
    <w:semiHidden/>
    <w:qFormat/>
    <w:uiPriority w:val="0"/>
    <w:rPr>
      <w:rFonts w:ascii="宋体" w:hAnsi="宋体" w:eastAsia="宋体" w:cs="宋体"/>
      <w:sz w:val="45"/>
      <w:szCs w:val="45"/>
      <w:lang w:val="en-US" w:eastAsia="en-US" w:bidi="ar-SA"/>
    </w:rPr>
  </w:style>
  <w:style w:type="character" w:customStyle="1" w:styleId="95">
    <w:name w:val="font11"/>
    <w:basedOn w:val="35"/>
    <w:autoRedefine/>
    <w:qFormat/>
    <w:uiPriority w:val="0"/>
    <w:rPr>
      <w:rFonts w:ascii="Calibri" w:hAnsi="Calibri" w:cs="Calibri"/>
      <w:color w:val="000000"/>
      <w:sz w:val="24"/>
      <w:szCs w:val="24"/>
      <w:u w:val="none"/>
    </w:rPr>
  </w:style>
  <w:style w:type="paragraph" w:customStyle="1" w:styleId="96">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7">
    <w:name w:val="font61"/>
    <w:basedOn w:val="35"/>
    <w:qFormat/>
    <w:uiPriority w:val="0"/>
    <w:rPr>
      <w:rFonts w:ascii="宋体" w:hAnsi="宋体" w:eastAsia="宋体" w:cs="宋体"/>
      <w:color w:val="000000"/>
      <w:sz w:val="24"/>
      <w:szCs w:val="24"/>
      <w:u w:val="none"/>
    </w:rPr>
  </w:style>
  <w:style w:type="character" w:customStyle="1" w:styleId="98">
    <w:name w:val="font81"/>
    <w:basedOn w:val="35"/>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18710</Words>
  <Characters>19659</Characters>
  <Lines>50</Lines>
  <Paragraphs>68</Paragraphs>
  <TotalTime>1</TotalTime>
  <ScaleCrop>false</ScaleCrop>
  <LinksUpToDate>false</LinksUpToDate>
  <CharactersWithSpaces>20737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枫玲儿</cp:lastModifiedBy>
  <cp:lastPrinted>2021-09-30T00:46:00Z</cp:lastPrinted>
  <dcterms:modified xsi:type="dcterms:W3CDTF">2026-01-19T05:21:25Z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7AC3622B8C4D4CBF8DF0E6FC28617126_13</vt:lpwstr>
  </property>
  <property fmtid="{D5CDD505-2E9C-101B-9397-08002B2CF9AE}" pid="4" name="KSOTemplateDocerSaveRecord">
    <vt:lpwstr>eyJoZGlkIjoiMzU0MTZjMjFkMjFjOGMwYTIzNWEzZDljNjYxZWI0MmYiLCJ1c2VySWQiOiIxNjg0NTc5MjM2In0=</vt:lpwstr>
  </property>
</Properties>
</file>