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val="0"/>
        <w:spacing w:before="157" w:beforeLines="50" w:line="360" w:lineRule="auto"/>
        <w:ind w:left="0" w:leftChars="0" w:right="48" w:rightChars="23" w:firstLine="0" w:firstLineChars="0"/>
        <w:jc w:val="center"/>
        <w:textAlignment w:val="auto"/>
        <w:rPr>
          <w:rFonts w:hint="default" w:ascii="宋体" w:hAnsi="宋体" w:eastAsia="宋体" w:cs="宋体"/>
          <w:b/>
          <w:bCs/>
          <w:color w:val="auto"/>
          <w:sz w:val="44"/>
          <w:szCs w:val="44"/>
          <w:highlight w:val="none"/>
          <w:lang w:val="en-US" w:eastAsia="zh-CN"/>
        </w:rPr>
      </w:pPr>
      <w:bookmarkStart w:id="104" w:name="_GoBack"/>
      <w:r>
        <w:rPr>
          <w:rFonts w:hint="eastAsia" w:cs="宋体"/>
          <w:b/>
          <w:bCs/>
          <w:color w:val="auto"/>
          <w:sz w:val="44"/>
          <w:szCs w:val="44"/>
          <w:highlight w:val="none"/>
          <w:lang w:val="en-US" w:eastAsia="zh-CN"/>
        </w:rPr>
        <w:t>驻马店市中心医院三号楼、六号楼及行政办公区域零星维修改造项目</w:t>
      </w:r>
    </w:p>
    <w:bookmarkEnd w:id="104"/>
    <w:p w14:paraId="72164425">
      <w:pPr>
        <w:pStyle w:val="21"/>
        <w:bidi w:val="0"/>
        <w:jc w:val="center"/>
        <w:rPr>
          <w:rStyle w:val="45"/>
          <w:rFonts w:hint="eastAsia" w:ascii="宋体" w:hAnsi="宋体" w:eastAsia="宋体" w:cs="宋体"/>
          <w:b/>
          <w:bCs/>
          <w:color w:val="auto"/>
          <w:sz w:val="44"/>
          <w:szCs w:val="44"/>
          <w:highlight w:val="none"/>
        </w:rPr>
      </w:pPr>
    </w:p>
    <w:p w14:paraId="44E388B3">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r>
        <w:rPr>
          <w:rStyle w:val="45"/>
          <w:rFonts w:hint="eastAsia" w:ascii="宋体" w:hAnsi="宋体" w:eastAsia="宋体" w:cs="宋体"/>
          <w:b/>
          <w:bCs/>
          <w:color w:val="auto"/>
          <w:sz w:val="72"/>
          <w:szCs w:val="72"/>
          <w:highlight w:val="none"/>
          <w:lang w:val="en-US" w:eastAsia="zh-CN"/>
        </w:rPr>
        <w:t>竞争性磋商</w:t>
      </w:r>
      <w:r>
        <w:rPr>
          <w:rStyle w:val="45"/>
          <w:rFonts w:hint="eastAsia" w:ascii="宋体" w:hAnsi="宋体" w:eastAsia="宋体" w:cs="宋体"/>
          <w:b/>
          <w:bCs/>
          <w:color w:val="auto"/>
          <w:sz w:val="72"/>
          <w:szCs w:val="72"/>
          <w:highlight w:val="none"/>
        </w:rPr>
        <w:t>文件</w:t>
      </w:r>
    </w:p>
    <w:p w14:paraId="20826E73">
      <w:pPr>
        <w:pStyle w:val="21"/>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686" w:firstLineChars="494"/>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snapToGrid w:val="0"/>
          <w:color w:val="auto"/>
          <w:spacing w:val="0"/>
          <w:kern w:val="0"/>
          <w:sz w:val="34"/>
          <w:szCs w:val="34"/>
          <w:highlight w:val="none"/>
          <w:lang w:val="en-US" w:eastAsia="zh-CN"/>
        </w:rPr>
        <w:t>采   购   人</w:t>
      </w:r>
      <w:r>
        <w:rPr>
          <w:rFonts w:hint="eastAsia" w:ascii="宋体" w:hAnsi="宋体" w:eastAsia="宋体" w:cs="宋体"/>
          <w:b/>
          <w:bCs/>
          <w:color w:val="auto"/>
          <w:spacing w:val="-10"/>
          <w:sz w:val="34"/>
          <w:szCs w:val="34"/>
          <w:highlight w:val="none"/>
          <w:lang w:val="en-US" w:eastAsia="zh-CN"/>
        </w:rPr>
        <w:t>：</w:t>
      </w:r>
      <w:r>
        <w:rPr>
          <w:rFonts w:hint="eastAsia" w:ascii="宋体" w:hAnsi="宋体" w:eastAsia="宋体" w:cs="宋体"/>
          <w:b/>
          <w:bCs/>
          <w:snapToGrid w:val="0"/>
          <w:color w:val="auto"/>
          <w:spacing w:val="11"/>
          <w:kern w:val="0"/>
          <w:sz w:val="34"/>
          <w:szCs w:val="34"/>
          <w:highlight w:val="none"/>
          <w:lang w:val="en-US" w:eastAsia="zh-CN"/>
        </w:rPr>
        <w:t>驻马店市中心医院</w:t>
      </w:r>
    </w:p>
    <w:p w14:paraId="52889C6C">
      <w:pPr>
        <w:tabs>
          <w:tab w:val="left" w:pos="2700"/>
          <w:tab w:val="left" w:pos="2880"/>
          <w:tab w:val="left" w:pos="3060"/>
          <w:tab w:val="left" w:pos="7560"/>
        </w:tabs>
        <w:snapToGrid w:val="0"/>
        <w:spacing w:line="480" w:lineRule="auto"/>
        <w:ind w:left="0" w:leftChars="0" w:firstLine="1686" w:firstLineChars="494"/>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snapToGrid w:val="0"/>
          <w:color w:val="auto"/>
          <w:spacing w:val="0"/>
          <w:kern w:val="0"/>
          <w:sz w:val="34"/>
          <w:szCs w:val="34"/>
          <w:highlight w:val="none"/>
          <w:lang w:val="en-US" w:eastAsia="zh-CN"/>
        </w:rPr>
        <w:t>采购代理机构</w:t>
      </w:r>
      <w:r>
        <w:rPr>
          <w:rFonts w:hint="eastAsia" w:ascii="宋体" w:hAnsi="宋体" w:eastAsia="宋体" w:cs="宋体"/>
          <w:b/>
          <w:bCs/>
          <w:color w:val="auto"/>
          <w:spacing w:val="-10"/>
          <w:sz w:val="34"/>
          <w:szCs w:val="34"/>
          <w:highlight w:val="none"/>
          <w:lang w:val="en-US" w:eastAsia="zh-CN"/>
        </w:rPr>
        <w:t>：</w:t>
      </w:r>
      <w:r>
        <w:rPr>
          <w:rFonts w:hint="eastAsia" w:ascii="宋体" w:hAnsi="宋体" w:cs="宋体"/>
          <w:b/>
          <w:bCs/>
          <w:color w:val="auto"/>
          <w:spacing w:val="0"/>
          <w:sz w:val="34"/>
          <w:szCs w:val="34"/>
          <w:highlight w:val="none"/>
          <w:lang w:val="en-US" w:eastAsia="zh-CN"/>
        </w:rPr>
        <w:t>恒信咨询管理有限公司</w:t>
      </w:r>
    </w:p>
    <w:p w14:paraId="4FCBE59C">
      <w:pPr>
        <w:tabs>
          <w:tab w:val="left" w:pos="2700"/>
          <w:tab w:val="left" w:pos="2880"/>
          <w:tab w:val="left" w:pos="3060"/>
          <w:tab w:val="left" w:pos="7560"/>
        </w:tabs>
        <w:snapToGrid w:val="0"/>
        <w:spacing w:line="480" w:lineRule="auto"/>
        <w:ind w:left="0" w:leftChars="0" w:firstLine="1686" w:firstLineChars="494"/>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snapToGrid w:val="0"/>
          <w:color w:val="auto"/>
          <w:spacing w:val="0"/>
          <w:kern w:val="0"/>
          <w:sz w:val="34"/>
          <w:szCs w:val="34"/>
          <w:highlight w:val="none"/>
          <w:lang w:val="en-US" w:eastAsia="zh-CN"/>
        </w:rPr>
        <w:t xml:space="preserve">日      </w:t>
      </w:r>
      <w:r>
        <w:rPr>
          <w:rFonts w:hint="eastAsia" w:ascii="宋体" w:hAnsi="宋体" w:cs="宋体"/>
          <w:b/>
          <w:bCs/>
          <w:snapToGrid w:val="0"/>
          <w:color w:val="auto"/>
          <w:spacing w:val="0"/>
          <w:kern w:val="0"/>
          <w:sz w:val="34"/>
          <w:szCs w:val="34"/>
          <w:highlight w:val="none"/>
          <w:lang w:val="en-US" w:eastAsia="zh-CN"/>
        </w:rPr>
        <w:t xml:space="preserve"> </w:t>
      </w:r>
      <w:r>
        <w:rPr>
          <w:rFonts w:hint="eastAsia" w:ascii="宋体" w:hAnsi="宋体" w:eastAsia="宋体" w:cs="宋体"/>
          <w:b/>
          <w:bCs/>
          <w:snapToGrid w:val="0"/>
          <w:color w:val="auto"/>
          <w:spacing w:val="0"/>
          <w:kern w:val="0"/>
          <w:sz w:val="34"/>
          <w:szCs w:val="34"/>
          <w:highlight w:val="none"/>
          <w:lang w:val="en-US" w:eastAsia="zh-CN"/>
        </w:rPr>
        <w:t xml:space="preserve"> 期</w:t>
      </w:r>
      <w:r>
        <w:rPr>
          <w:rFonts w:hint="eastAsia" w:ascii="宋体" w:hAnsi="宋体" w:eastAsia="宋体" w:cs="宋体"/>
          <w:b/>
          <w:bCs/>
          <w:color w:val="auto"/>
          <w:spacing w:val="-10"/>
          <w:sz w:val="34"/>
          <w:szCs w:val="34"/>
          <w:highlight w:val="none"/>
          <w:lang w:val="en-US" w:eastAsia="zh-CN"/>
        </w:rPr>
        <w:t>：</w:t>
      </w:r>
      <w:r>
        <w:rPr>
          <w:rFonts w:hint="eastAsia" w:ascii="宋体" w:hAnsi="宋体" w:eastAsia="宋体" w:cs="宋体"/>
          <w:b/>
          <w:bCs/>
          <w:snapToGrid w:val="0"/>
          <w:color w:val="auto"/>
          <w:spacing w:val="0"/>
          <w:kern w:val="0"/>
          <w:sz w:val="34"/>
          <w:szCs w:val="34"/>
          <w:highlight w:val="none"/>
          <w:lang w:val="en-US" w:eastAsia="zh-CN"/>
        </w:rPr>
        <w:t>202</w:t>
      </w:r>
      <w:r>
        <w:rPr>
          <w:rFonts w:hint="eastAsia" w:ascii="宋体" w:hAnsi="宋体" w:cs="宋体"/>
          <w:b/>
          <w:bCs/>
          <w:snapToGrid w:val="0"/>
          <w:color w:val="auto"/>
          <w:spacing w:val="0"/>
          <w:kern w:val="0"/>
          <w:sz w:val="34"/>
          <w:szCs w:val="34"/>
          <w:highlight w:val="none"/>
          <w:lang w:val="en-US" w:eastAsia="zh-CN"/>
        </w:rPr>
        <w:t xml:space="preserve">6 </w:t>
      </w:r>
      <w:r>
        <w:rPr>
          <w:rFonts w:hint="eastAsia" w:ascii="宋体" w:hAnsi="宋体" w:eastAsia="宋体" w:cs="宋体"/>
          <w:b/>
          <w:bCs/>
          <w:snapToGrid w:val="0"/>
          <w:color w:val="auto"/>
          <w:spacing w:val="0"/>
          <w:kern w:val="0"/>
          <w:sz w:val="34"/>
          <w:szCs w:val="34"/>
          <w:highlight w:val="none"/>
          <w:lang w:val="en-US" w:eastAsia="zh-CN"/>
        </w:rPr>
        <w:t>年</w:t>
      </w:r>
      <w:r>
        <w:rPr>
          <w:rFonts w:hint="eastAsia" w:ascii="宋体" w:hAnsi="宋体" w:cs="宋体"/>
          <w:b/>
          <w:bCs/>
          <w:snapToGrid w:val="0"/>
          <w:color w:val="auto"/>
          <w:spacing w:val="0"/>
          <w:kern w:val="0"/>
          <w:sz w:val="34"/>
          <w:szCs w:val="34"/>
          <w:highlight w:val="none"/>
          <w:lang w:val="en-US" w:eastAsia="zh-CN"/>
        </w:rPr>
        <w:t xml:space="preserve"> 01 </w:t>
      </w:r>
      <w:r>
        <w:rPr>
          <w:rFonts w:hint="eastAsia" w:ascii="宋体" w:hAnsi="宋体" w:eastAsia="宋体" w:cs="宋体"/>
          <w:b/>
          <w:bCs/>
          <w:snapToGrid w:val="0"/>
          <w:color w:val="auto"/>
          <w:spacing w:val="0"/>
          <w:kern w:val="0"/>
          <w:sz w:val="34"/>
          <w:szCs w:val="34"/>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4CF3804">
      <w:pPr>
        <w:pStyle w:val="26"/>
        <w:tabs>
          <w:tab w:val="right" w:leader="dot" w:pos="8958"/>
        </w:tabs>
        <w:spacing w:line="360" w:lineRule="auto"/>
        <w:rPr>
          <w:sz w:val="24"/>
          <w:szCs w:val="24"/>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_Toc32329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sz w:val="24"/>
          <w:szCs w:val="24"/>
        </w:rPr>
        <w:tab/>
      </w:r>
      <w:r>
        <w:rPr>
          <w:sz w:val="24"/>
          <w:szCs w:val="24"/>
        </w:rPr>
        <w:fldChar w:fldCharType="begin"/>
      </w:r>
      <w:r>
        <w:rPr>
          <w:sz w:val="24"/>
          <w:szCs w:val="24"/>
        </w:rPr>
        <w:instrText xml:space="preserve"> PAGEREF _Toc32329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color w:val="auto"/>
          <w:sz w:val="24"/>
          <w:szCs w:val="24"/>
          <w:highlight w:val="none"/>
        </w:rPr>
        <w:fldChar w:fldCharType="end"/>
      </w:r>
    </w:p>
    <w:p w14:paraId="09A2170D">
      <w:pPr>
        <w:pStyle w:val="26"/>
        <w:tabs>
          <w:tab w:val="right" w:leader="dot" w:pos="8958"/>
        </w:tabs>
        <w:spacing w:line="360" w:lineRule="auto"/>
        <w:rPr>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_Toc15428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sz w:val="24"/>
          <w:szCs w:val="24"/>
        </w:rPr>
        <w:tab/>
      </w:r>
      <w:r>
        <w:rPr>
          <w:sz w:val="24"/>
          <w:szCs w:val="24"/>
        </w:rPr>
        <w:fldChar w:fldCharType="begin"/>
      </w:r>
      <w:r>
        <w:rPr>
          <w:sz w:val="24"/>
          <w:szCs w:val="24"/>
        </w:rPr>
        <w:instrText xml:space="preserve"> PAGEREF _Toc15428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bCs/>
          <w:color w:val="auto"/>
          <w:sz w:val="24"/>
          <w:szCs w:val="24"/>
          <w:highlight w:val="none"/>
        </w:rPr>
        <w:fldChar w:fldCharType="end"/>
      </w:r>
    </w:p>
    <w:p w14:paraId="31A72988">
      <w:pPr>
        <w:pStyle w:val="26"/>
        <w:tabs>
          <w:tab w:val="right" w:leader="dot" w:pos="8958"/>
        </w:tabs>
        <w:spacing w:line="360" w:lineRule="auto"/>
        <w:rPr>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_Toc23547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sz w:val="24"/>
          <w:szCs w:val="24"/>
        </w:rPr>
        <w:tab/>
      </w:r>
      <w:r>
        <w:rPr>
          <w:sz w:val="24"/>
          <w:szCs w:val="24"/>
        </w:rPr>
        <w:fldChar w:fldCharType="begin"/>
      </w:r>
      <w:r>
        <w:rPr>
          <w:sz w:val="24"/>
          <w:szCs w:val="24"/>
        </w:rPr>
        <w:instrText xml:space="preserve"> PAGEREF _Toc23547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bCs/>
          <w:color w:val="auto"/>
          <w:sz w:val="24"/>
          <w:szCs w:val="24"/>
          <w:highlight w:val="none"/>
        </w:rPr>
        <w:fldChar w:fldCharType="end"/>
      </w:r>
    </w:p>
    <w:p w14:paraId="06728E5F">
      <w:pPr>
        <w:pStyle w:val="26"/>
        <w:tabs>
          <w:tab w:val="right" w:leader="dot" w:pos="8958"/>
        </w:tabs>
        <w:spacing w:line="360" w:lineRule="auto"/>
        <w:rPr>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_Toc27581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sz w:val="24"/>
          <w:szCs w:val="24"/>
        </w:rPr>
        <w:tab/>
      </w:r>
      <w:r>
        <w:rPr>
          <w:sz w:val="24"/>
          <w:szCs w:val="24"/>
        </w:rPr>
        <w:fldChar w:fldCharType="begin"/>
      </w:r>
      <w:r>
        <w:rPr>
          <w:sz w:val="24"/>
          <w:szCs w:val="24"/>
        </w:rPr>
        <w:instrText xml:space="preserve"> PAGEREF _Toc27581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bCs/>
          <w:color w:val="auto"/>
          <w:sz w:val="24"/>
          <w:szCs w:val="24"/>
          <w:highlight w:val="none"/>
        </w:rPr>
        <w:fldChar w:fldCharType="end"/>
      </w:r>
    </w:p>
    <w:p w14:paraId="45EE52AF">
      <w:pPr>
        <w:pStyle w:val="26"/>
        <w:tabs>
          <w:tab w:val="right" w:leader="dot" w:pos="8958"/>
        </w:tabs>
        <w:spacing w:line="360" w:lineRule="auto"/>
        <w:rPr>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_Toc17670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sz w:val="24"/>
          <w:szCs w:val="24"/>
        </w:rPr>
        <w:tab/>
      </w:r>
      <w:r>
        <w:rPr>
          <w:sz w:val="24"/>
          <w:szCs w:val="24"/>
        </w:rPr>
        <w:fldChar w:fldCharType="begin"/>
      </w:r>
      <w:r>
        <w:rPr>
          <w:sz w:val="24"/>
          <w:szCs w:val="24"/>
        </w:rPr>
        <w:instrText xml:space="preserve"> PAGEREF _Toc17670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bCs/>
          <w:color w:val="auto"/>
          <w:sz w:val="24"/>
          <w:szCs w:val="24"/>
          <w:highlight w:val="none"/>
        </w:rPr>
        <w:fldChar w:fldCharType="end"/>
      </w:r>
    </w:p>
    <w:p w14:paraId="51FCB9BB">
      <w:pPr>
        <w:pStyle w:val="26"/>
        <w:tabs>
          <w:tab w:val="right" w:leader="dot" w:pos="8958"/>
        </w:tabs>
        <w:spacing w:line="360" w:lineRule="auto"/>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_Toc21315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sz w:val="24"/>
          <w:szCs w:val="24"/>
        </w:rPr>
        <w:tab/>
      </w:r>
      <w:r>
        <w:rPr>
          <w:sz w:val="24"/>
          <w:szCs w:val="24"/>
        </w:rPr>
        <w:fldChar w:fldCharType="begin"/>
      </w:r>
      <w:r>
        <w:rPr>
          <w:sz w:val="24"/>
          <w:szCs w:val="24"/>
        </w:rPr>
        <w:instrText xml:space="preserve"> PAGEREF _Toc21315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outlineLvl w:val="0"/>
        <w:rPr>
          <w:rFonts w:hint="eastAsia" w:ascii="宋体" w:hAnsi="宋体" w:eastAsia="宋体" w:cs="宋体"/>
          <w:b/>
          <w:color w:val="auto"/>
          <w:sz w:val="32"/>
          <w:szCs w:val="32"/>
          <w:highlight w:val="none"/>
        </w:rPr>
      </w:pPr>
      <w:bookmarkStart w:id="2" w:name="_Toc32329"/>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7DC06C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default"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驻马店市中心医院三号楼、六号楼及行政办公区域零星维修改造项目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1C02C4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bookmarkStart w:id="3" w:name="_Toc30643"/>
      <w:bookmarkStart w:id="4" w:name="_Toc30971"/>
      <w:bookmarkStart w:id="5" w:name="_Toc23395"/>
      <w:bookmarkStart w:id="6" w:name="_Toc9562"/>
      <w:bookmarkStart w:id="7" w:name="_Toc7823"/>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三号楼、六号楼及行政办公区域零星维修改造项目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驻马店市中心医院三号楼、六号楼及行政办公区域零星维修改造项目</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详见采购文件第二章采购需求；</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8"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highlight w:val="none"/>
          <w:u w:val="none"/>
          <w:lang w:val="en-US" w:eastAsia="zh-CN"/>
        </w:rPr>
        <w:t>48</w:t>
      </w:r>
      <w:r>
        <w:rPr>
          <w:rFonts w:hint="eastAsia" w:ascii="宋体" w:hAnsi="宋体" w:eastAsia="宋体" w:cs="宋体"/>
          <w:color w:val="auto"/>
          <w:szCs w:val="21"/>
          <w:highlight w:val="none"/>
          <w:shd w:val="clear" w:color="auto" w:fill="FFFFFF"/>
        </w:rPr>
        <w:t>万元（据实结算）</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4、合同履行期限：1年</w:t>
      </w:r>
      <w:r>
        <w:rPr>
          <w:rFonts w:hint="eastAsia" w:ascii="宋体" w:hAnsi="宋体" w:cs="宋体"/>
          <w:color w:val="auto"/>
          <w:szCs w:val="21"/>
          <w:highlight w:val="none"/>
          <w:shd w:val="clear" w:color="auto" w:fill="FFFFFF"/>
          <w:lang w:val="en-US" w:eastAsia="zh-CN"/>
        </w:rPr>
        <w:t>；</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合格。</w:t>
      </w:r>
    </w:p>
    <w:p w14:paraId="6489B779">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9" w:name="_Toc27704"/>
      <w:bookmarkStart w:id="10" w:name="_Toc18607"/>
      <w:bookmarkStart w:id="11" w:name="_Toc16639"/>
      <w:bookmarkStart w:id="12"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8"/>
      <w:bookmarkEnd w:id="9"/>
      <w:bookmarkEnd w:id="10"/>
      <w:bookmarkEnd w:id="11"/>
      <w:bookmarkEnd w:id="12"/>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87A3D2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39F1B8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供应商须具有建设行政主管部门颁发的贰级及以上（含贰级）（且符合资质证书承揽范围）的建筑工程施工总承包资质，具有有效的企业安全生产许可证；</w:t>
      </w:r>
    </w:p>
    <w:p w14:paraId="76B20AE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yellow"/>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8.2供应商拟派项目经理须具有贰级或贰级以上建筑工程专业注册建造师资格，且具备有效的安全生产考核合格证书，项目经理未担任其他在建工程（提供相关证书和项目经理无在建承诺书）</w:t>
      </w:r>
      <w:r>
        <w:rPr>
          <w:rFonts w:hint="eastAsia" w:ascii="宋体" w:hAnsi="宋体" w:cs="宋体"/>
          <w:color w:val="auto"/>
          <w:szCs w:val="21"/>
          <w:highlight w:val="none"/>
          <w:shd w:val="clear" w:color="auto" w:fill="FFFFFF"/>
          <w:lang w:val="en-US" w:eastAsia="zh-CN"/>
        </w:rPr>
        <w:t>；</w:t>
      </w:r>
    </w:p>
    <w:p w14:paraId="4F9D3D3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3"/>
      <w:bookmarkEnd w:id="4"/>
      <w:bookmarkEnd w:id="5"/>
      <w:bookmarkEnd w:id="6"/>
      <w:bookmarkEnd w:id="7"/>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15</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highlight w:val="none"/>
          <w:u w:val="none"/>
          <w:lang w:val="en-US" w:eastAsia="zh-CN"/>
        </w:rPr>
        <w:t>371793315@qq.com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7480"/>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16291"/>
      <w:bookmarkStart w:id="27" w:name="_Toc27370"/>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2660457F">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3793"/>
      <w:bookmarkStart w:id="30"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78B4EA37">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5F60E93">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DBFA66B">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7E911C4">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2.采购代理机构：恒信咨询管理有限公司</w:t>
      </w:r>
    </w:p>
    <w:p w14:paraId="5A1E5459">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64DB09B1">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06A3BFC0">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76969795">
      <w:pPr>
        <w:keepNext w:val="0"/>
        <w:keepLines w:val="0"/>
        <w:pageBreakBefore w:val="0"/>
        <w:widowControl/>
        <w:numPr>
          <w:ilvl w:val="0"/>
          <w:numId w:val="0"/>
        </w:numPr>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监督部门：驻马店市中</w:t>
      </w:r>
      <w:r>
        <w:rPr>
          <w:rFonts w:hint="eastAsia" w:ascii="宋体" w:hAnsi="宋体" w:cs="宋体"/>
          <w:color w:val="auto"/>
          <w:kern w:val="0"/>
          <w:sz w:val="21"/>
          <w:szCs w:val="21"/>
          <w:highlight w:val="none"/>
          <w:shd w:val="clear" w:color="auto" w:fill="FFFFFF"/>
          <w:lang w:val="en-US" w:eastAsia="zh-CN" w:bidi="ar-SA"/>
        </w:rPr>
        <w:t>心医院及纪检监察室</w:t>
      </w:r>
    </w:p>
    <w:p w14:paraId="383E0D3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5428"/>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驻马店市中心医院三号楼、六号楼及行政办公区域零星维修改造项目</w:t>
      </w:r>
    </w:p>
    <w:p w14:paraId="2E59112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6" w:type="dxa"/>
            <w:vAlign w:val="center"/>
          </w:tcPr>
          <w:p w14:paraId="4F46A2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包号</w:t>
            </w:r>
          </w:p>
        </w:tc>
        <w:tc>
          <w:tcPr>
            <w:tcW w:w="746" w:type="dxa"/>
            <w:vAlign w:val="center"/>
          </w:tcPr>
          <w:p w14:paraId="5C7ECEE4">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三号楼、六号楼及行政办公区域零星维修改造</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92" w:type="dxa"/>
            <w:gridSpan w:val="2"/>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764" w:type="dxa"/>
            <w:gridSpan w:val="6"/>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b/>
                <w:bCs/>
                <w:kern w:val="2"/>
                <w:sz w:val="21"/>
                <w:szCs w:val="21"/>
                <w:highlight w:val="none"/>
              </w:rPr>
              <w:t>招两家供应商</w:t>
            </w:r>
          </w:p>
        </w:tc>
      </w:tr>
    </w:tbl>
    <w:p w14:paraId="213FFBE6">
      <w:pPr>
        <w:keepNext w:val="0"/>
        <w:keepLines w:val="0"/>
        <w:pageBreakBefore w:val="0"/>
        <w:widowControl w:val="0"/>
        <w:numPr>
          <w:ilvl w:val="0"/>
          <w:numId w:val="0"/>
        </w:numPr>
        <w:kinsoku/>
        <w:wordWrap/>
        <w:overflowPunct/>
        <w:topLinePunct w:val="0"/>
        <w:autoSpaceDE/>
        <w:autoSpaceDN/>
        <w:bidi w:val="0"/>
        <w:adjustRightInd/>
        <w:snapToGrid w:val="0"/>
        <w:spacing w:before="161" w:beforeLines="50" w:after="161" w:afterLines="50" w:line="360" w:lineRule="auto"/>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技术要求：</w:t>
      </w:r>
    </w:p>
    <w:p w14:paraId="2CFD4E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1.服务内容：负责我院三号楼、六号楼及行政办公区域预算不超过三万元的日常零星维修改造项目。包括但限于我院室内房屋装修、新建隔断、刷漆、壁纸、吊顶、防水、瓷砖、地板、门窗等及室外新建小型房屋、板房、路面、护栏等维修和改造。</w:t>
      </w:r>
    </w:p>
    <w:p w14:paraId="22E684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2.服务要求：</w:t>
      </w:r>
    </w:p>
    <w:p w14:paraId="68BF83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① 供应商要做好施工组织，保证安全生产和成品保护。</w:t>
      </w:r>
    </w:p>
    <w:p w14:paraId="1C3552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② 在合同履约期中发生意外事故和成品破坏所引起的经济和法律责任，均由供应商承担全部责任。</w:t>
      </w:r>
    </w:p>
    <w:p w14:paraId="3B0594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③ 供应商要实行24小时工作值班制度，确保值班人员通讯工具畅通。</w:t>
      </w:r>
    </w:p>
    <w:p w14:paraId="437541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④ 必须服从采购单位统一管理，密切配合采购单位后勤管理部门和相关职能部门的日常工作。</w:t>
      </w:r>
    </w:p>
    <w:p w14:paraId="2901E8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3.供应商应指定项目负责人。项目负责人负责项目统筹、协调和管理；须配备认真负责、业务熟练的施工员及各专业技术工人，且在采购单位有常驻人员。</w:t>
      </w:r>
    </w:p>
    <w:p w14:paraId="2A1BCF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4.材料要求：维修使用的工程材料，需经采购人认可。施工前报样板给采购人选定，采购人认可后方可使用，所选购的材料须有产品合格证、生产许可证等证明材料且能满足消防要求。</w:t>
      </w:r>
    </w:p>
    <w:p w14:paraId="26FFAC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5.根据采购人下达的任务单，包工、包料、包质量、包工期、包安全文明施工、包验收。</w:t>
      </w:r>
    </w:p>
    <w:p w14:paraId="16EB6CE4">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03E5F6DF">
      <w:pPr>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br w:type="page"/>
      </w:r>
    </w:p>
    <w:p w14:paraId="547D0D60">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4A70C1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139A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bottom w:val="single" w:color="auto" w:sz="4" w:space="0"/>
              <w:right w:val="single" w:color="auto" w:sz="4" w:space="0"/>
            </w:tcBorders>
            <w:noWrap/>
            <w:vAlign w:val="center"/>
          </w:tcPr>
          <w:p w14:paraId="4210D975">
            <w:pPr>
              <w:pStyle w:val="8"/>
              <w:jc w:val="center"/>
              <w:rPr>
                <w:color w:val="000000"/>
                <w:sz w:val="21"/>
                <w:szCs w:val="21"/>
                <w:highlight w:val="none"/>
              </w:rPr>
            </w:pPr>
            <w:r>
              <w:rPr>
                <w:color w:val="000000"/>
                <w:sz w:val="21"/>
                <w:szCs w:val="21"/>
                <w:highlight w:val="none"/>
              </w:rPr>
              <w:t>合同</w:t>
            </w:r>
            <w:r>
              <w:rPr>
                <w:rFonts w:hint="eastAsia"/>
                <w:color w:val="000000"/>
                <w:sz w:val="21"/>
                <w:szCs w:val="21"/>
                <w:highlight w:val="none"/>
              </w:rPr>
              <w:t>签订时间</w:t>
            </w:r>
          </w:p>
        </w:tc>
        <w:tc>
          <w:tcPr>
            <w:tcW w:w="7354" w:type="dxa"/>
            <w:tcBorders>
              <w:top w:val="single" w:color="auto" w:sz="4" w:space="0"/>
              <w:left w:val="single" w:color="auto" w:sz="4" w:space="0"/>
              <w:bottom w:val="single" w:color="auto" w:sz="4" w:space="0"/>
            </w:tcBorders>
            <w:noWrap/>
            <w:vAlign w:val="center"/>
          </w:tcPr>
          <w:p w14:paraId="432EF646">
            <w:pPr>
              <w:pStyle w:val="8"/>
              <w:rPr>
                <w:color w:val="000000"/>
                <w:sz w:val="21"/>
                <w:szCs w:val="21"/>
                <w:highlight w:val="none"/>
              </w:rPr>
            </w:pPr>
            <w:r>
              <w:rPr>
                <w:color w:val="000000"/>
                <w:sz w:val="21"/>
                <w:szCs w:val="21"/>
                <w:highlight w:val="none"/>
              </w:rPr>
              <w:t>自成交通知</w:t>
            </w:r>
            <w:r>
              <w:rPr>
                <w:rFonts w:hint="eastAsia"/>
                <w:color w:val="000000"/>
                <w:sz w:val="21"/>
                <w:szCs w:val="21"/>
                <w:highlight w:val="none"/>
              </w:rPr>
              <w:t>书发</w:t>
            </w:r>
            <w:r>
              <w:rPr>
                <w:color w:val="000000"/>
                <w:sz w:val="21"/>
                <w:szCs w:val="21"/>
                <w:highlight w:val="none"/>
              </w:rPr>
              <w:t>出之日起30日内。</w:t>
            </w:r>
          </w:p>
        </w:tc>
      </w:tr>
      <w:tr w14:paraId="1B3E5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bottom w:val="single" w:color="auto" w:sz="4" w:space="0"/>
              <w:right w:val="single" w:color="auto" w:sz="4" w:space="0"/>
            </w:tcBorders>
            <w:noWrap/>
            <w:vAlign w:val="center"/>
          </w:tcPr>
          <w:p w14:paraId="68A7E589">
            <w:pPr>
              <w:pStyle w:val="8"/>
              <w:jc w:val="center"/>
              <w:rPr>
                <w:color w:val="000000"/>
                <w:sz w:val="21"/>
                <w:szCs w:val="21"/>
                <w:highlight w:val="none"/>
              </w:rPr>
            </w:pPr>
            <w:r>
              <w:rPr>
                <w:color w:val="000000"/>
                <w:sz w:val="21"/>
                <w:szCs w:val="21"/>
                <w:highlight w:val="none"/>
              </w:rPr>
              <w:t>合同履行期限</w:t>
            </w:r>
          </w:p>
        </w:tc>
        <w:tc>
          <w:tcPr>
            <w:tcW w:w="7354" w:type="dxa"/>
            <w:tcBorders>
              <w:top w:val="single" w:color="auto" w:sz="4" w:space="0"/>
              <w:left w:val="single" w:color="auto" w:sz="4" w:space="0"/>
              <w:bottom w:val="single" w:color="auto" w:sz="4" w:space="0"/>
            </w:tcBorders>
            <w:noWrap/>
            <w:vAlign w:val="center"/>
          </w:tcPr>
          <w:p w14:paraId="470EFB06">
            <w:pPr>
              <w:pStyle w:val="8"/>
              <w:rPr>
                <w:color w:val="000000"/>
                <w:sz w:val="21"/>
                <w:szCs w:val="21"/>
                <w:highlight w:val="none"/>
              </w:rPr>
            </w:pPr>
            <w:r>
              <w:rPr>
                <w:rFonts w:hint="eastAsia"/>
                <w:color w:val="000000"/>
                <w:sz w:val="21"/>
                <w:szCs w:val="21"/>
                <w:highlight w:val="none"/>
              </w:rPr>
              <w:t>一年。</w:t>
            </w:r>
          </w:p>
        </w:tc>
      </w:tr>
      <w:tr w14:paraId="336DE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bottom w:val="single" w:color="auto" w:sz="4" w:space="0"/>
              <w:right w:val="single" w:color="auto" w:sz="4" w:space="0"/>
            </w:tcBorders>
            <w:noWrap/>
            <w:vAlign w:val="center"/>
          </w:tcPr>
          <w:p w14:paraId="01B340E9">
            <w:pPr>
              <w:pStyle w:val="8"/>
              <w:jc w:val="center"/>
              <w:rPr>
                <w:color w:val="000000"/>
                <w:sz w:val="21"/>
                <w:szCs w:val="21"/>
                <w:highlight w:val="none"/>
              </w:rPr>
            </w:pPr>
            <w:r>
              <w:rPr>
                <w:color w:val="000000"/>
                <w:sz w:val="21"/>
                <w:szCs w:val="21"/>
                <w:highlight w:val="none"/>
              </w:rPr>
              <w:t>工程地点</w:t>
            </w:r>
          </w:p>
        </w:tc>
        <w:tc>
          <w:tcPr>
            <w:tcW w:w="7354" w:type="dxa"/>
            <w:tcBorders>
              <w:top w:val="single" w:color="auto" w:sz="4" w:space="0"/>
              <w:left w:val="single" w:color="auto" w:sz="4" w:space="0"/>
              <w:bottom w:val="single" w:color="auto" w:sz="4" w:space="0"/>
            </w:tcBorders>
            <w:noWrap/>
            <w:vAlign w:val="center"/>
          </w:tcPr>
          <w:p w14:paraId="18244687">
            <w:pPr>
              <w:pStyle w:val="8"/>
              <w:rPr>
                <w:color w:val="000000"/>
                <w:sz w:val="21"/>
                <w:szCs w:val="21"/>
                <w:highlight w:val="none"/>
              </w:rPr>
            </w:pPr>
            <w:r>
              <w:rPr>
                <w:color w:val="000000"/>
                <w:sz w:val="21"/>
                <w:szCs w:val="21"/>
                <w:highlight w:val="none"/>
              </w:rPr>
              <w:t>医院指定地点。</w:t>
            </w:r>
          </w:p>
        </w:tc>
      </w:tr>
      <w:tr w14:paraId="05169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bottom w:val="single" w:color="auto" w:sz="4" w:space="0"/>
              <w:right w:val="single" w:color="auto" w:sz="4" w:space="0"/>
            </w:tcBorders>
            <w:noWrap/>
            <w:vAlign w:val="center"/>
          </w:tcPr>
          <w:p w14:paraId="00F3EDDE">
            <w:pPr>
              <w:pStyle w:val="8"/>
              <w:jc w:val="center"/>
              <w:rPr>
                <w:color w:val="000000"/>
                <w:sz w:val="21"/>
                <w:szCs w:val="21"/>
                <w:highlight w:val="none"/>
              </w:rPr>
            </w:pPr>
            <w:r>
              <w:rPr>
                <w:color w:val="000000"/>
                <w:sz w:val="21"/>
                <w:szCs w:val="21"/>
                <w:highlight w:val="none"/>
              </w:rPr>
              <w:t>付款方式</w:t>
            </w:r>
          </w:p>
        </w:tc>
        <w:tc>
          <w:tcPr>
            <w:tcW w:w="7354" w:type="dxa"/>
            <w:tcBorders>
              <w:top w:val="single" w:color="auto" w:sz="4" w:space="0"/>
              <w:left w:val="single" w:color="auto" w:sz="4" w:space="0"/>
              <w:bottom w:val="single" w:color="auto" w:sz="4" w:space="0"/>
            </w:tcBorders>
            <w:noWrap/>
            <w:vAlign w:val="center"/>
          </w:tcPr>
          <w:p w14:paraId="66941AD3">
            <w:pPr>
              <w:pStyle w:val="8"/>
              <w:spacing w:line="360" w:lineRule="auto"/>
              <w:rPr>
                <w:color w:val="000000"/>
                <w:sz w:val="21"/>
                <w:szCs w:val="21"/>
                <w:highlight w:val="none"/>
              </w:rPr>
            </w:pPr>
            <w:r>
              <w:rPr>
                <w:rFonts w:hint="eastAsia"/>
                <w:color w:val="000000"/>
                <w:sz w:val="21"/>
                <w:szCs w:val="21"/>
                <w:highlight w:val="none"/>
              </w:rPr>
              <w:t>具体支付款项审计后根据合同签订优惠比率据实结算。</w:t>
            </w:r>
          </w:p>
        </w:tc>
      </w:tr>
      <w:tr w14:paraId="6592B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bottom w:val="single" w:color="auto" w:sz="4" w:space="0"/>
              <w:right w:val="single" w:color="auto" w:sz="4" w:space="0"/>
            </w:tcBorders>
            <w:noWrap/>
            <w:vAlign w:val="center"/>
          </w:tcPr>
          <w:p w14:paraId="2AF771F0">
            <w:pPr>
              <w:pStyle w:val="8"/>
              <w:jc w:val="center"/>
              <w:rPr>
                <w:color w:val="000000"/>
                <w:sz w:val="21"/>
                <w:szCs w:val="21"/>
                <w:highlight w:val="none"/>
              </w:rPr>
            </w:pPr>
            <w:r>
              <w:rPr>
                <w:rFonts w:hint="eastAsia"/>
                <w:color w:val="000000"/>
                <w:sz w:val="21"/>
                <w:szCs w:val="21"/>
                <w:highlight w:val="none"/>
              </w:rPr>
              <w:t>工程验收标准</w:t>
            </w:r>
          </w:p>
        </w:tc>
        <w:tc>
          <w:tcPr>
            <w:tcW w:w="7354" w:type="dxa"/>
            <w:tcBorders>
              <w:top w:val="single" w:color="auto" w:sz="4" w:space="0"/>
              <w:left w:val="single" w:color="auto" w:sz="4" w:space="0"/>
              <w:bottom w:val="single" w:color="auto" w:sz="4" w:space="0"/>
            </w:tcBorders>
            <w:noWrap/>
            <w:vAlign w:val="center"/>
          </w:tcPr>
          <w:p w14:paraId="0E70FF44">
            <w:pPr>
              <w:spacing w:line="360" w:lineRule="auto"/>
              <w:rPr>
                <w:rFonts w:ascii="??" w:hAnsi="??" w:cs="??"/>
                <w:color w:val="000000"/>
                <w:szCs w:val="21"/>
                <w:highlight w:val="none"/>
              </w:rPr>
            </w:pPr>
            <w:r>
              <w:rPr>
                <w:rFonts w:hint="eastAsia" w:ascii="??" w:hAnsi="??" w:cs="??"/>
                <w:color w:val="000000"/>
                <w:szCs w:val="21"/>
                <w:highlight w:val="none"/>
              </w:rPr>
              <w:t>工程严格按照国家现行有关施工及验收规范、技术标准进行施工和验收。</w:t>
            </w:r>
          </w:p>
        </w:tc>
      </w:tr>
      <w:tr w14:paraId="718E1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bottom w:val="single" w:color="auto" w:sz="4" w:space="0"/>
              <w:right w:val="single" w:color="auto" w:sz="4" w:space="0"/>
            </w:tcBorders>
            <w:noWrap/>
            <w:vAlign w:val="center"/>
          </w:tcPr>
          <w:p w14:paraId="41671BF8">
            <w:pPr>
              <w:pStyle w:val="8"/>
              <w:jc w:val="center"/>
              <w:rPr>
                <w:rFonts w:hint="eastAsia" w:eastAsia="宋体"/>
                <w:color w:val="000000"/>
                <w:sz w:val="21"/>
                <w:szCs w:val="21"/>
                <w:highlight w:val="none"/>
                <w:lang w:eastAsia="zh-CN"/>
              </w:rPr>
            </w:pPr>
            <w:r>
              <w:rPr>
                <w:rFonts w:hint="eastAsia"/>
                <w:color w:val="000000"/>
                <w:sz w:val="21"/>
                <w:szCs w:val="21"/>
                <w:highlight w:val="none"/>
              </w:rPr>
              <w:t>质量</w:t>
            </w:r>
            <w:r>
              <w:rPr>
                <w:rFonts w:hint="eastAsia"/>
                <w:color w:val="000000"/>
                <w:sz w:val="21"/>
                <w:szCs w:val="21"/>
                <w:highlight w:val="none"/>
                <w:lang w:val="en-US" w:eastAsia="zh-CN"/>
              </w:rPr>
              <w:t>标准</w:t>
            </w:r>
          </w:p>
        </w:tc>
        <w:tc>
          <w:tcPr>
            <w:tcW w:w="7354" w:type="dxa"/>
            <w:tcBorders>
              <w:top w:val="single" w:color="auto" w:sz="4" w:space="0"/>
              <w:left w:val="single" w:color="auto" w:sz="4" w:space="0"/>
              <w:bottom w:val="single" w:color="auto" w:sz="4" w:space="0"/>
            </w:tcBorders>
            <w:noWrap/>
            <w:vAlign w:val="center"/>
          </w:tcPr>
          <w:p w14:paraId="3F724FAD">
            <w:pPr>
              <w:spacing w:line="360" w:lineRule="auto"/>
              <w:rPr>
                <w:rFonts w:ascii="??" w:hAnsi="??" w:cs="??"/>
                <w:color w:val="000000"/>
                <w:szCs w:val="21"/>
                <w:highlight w:val="none"/>
              </w:rPr>
            </w:pPr>
            <w:r>
              <w:rPr>
                <w:rFonts w:hint="eastAsia" w:ascii="??" w:hAnsi="??" w:cs="??"/>
                <w:color w:val="000000"/>
                <w:szCs w:val="21"/>
                <w:highlight w:val="none"/>
              </w:rPr>
              <w:t>合格。</w:t>
            </w:r>
          </w:p>
        </w:tc>
      </w:tr>
      <w:tr w14:paraId="7456D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bottom w:val="single" w:color="auto" w:sz="4" w:space="0"/>
              <w:right w:val="single" w:color="auto" w:sz="4" w:space="0"/>
            </w:tcBorders>
            <w:noWrap/>
            <w:vAlign w:val="center"/>
          </w:tcPr>
          <w:p w14:paraId="289F6405">
            <w:pPr>
              <w:pStyle w:val="8"/>
              <w:jc w:val="center"/>
              <w:rPr>
                <w:color w:val="000000"/>
                <w:sz w:val="21"/>
                <w:szCs w:val="21"/>
                <w:highlight w:val="none"/>
              </w:rPr>
            </w:pPr>
            <w:r>
              <w:rPr>
                <w:rFonts w:hint="eastAsia"/>
                <w:color w:val="000000"/>
                <w:sz w:val="21"/>
                <w:szCs w:val="21"/>
                <w:highlight w:val="none"/>
              </w:rPr>
              <w:t>工程质保期</w:t>
            </w:r>
          </w:p>
        </w:tc>
        <w:tc>
          <w:tcPr>
            <w:tcW w:w="7354" w:type="dxa"/>
            <w:tcBorders>
              <w:top w:val="single" w:color="auto" w:sz="4" w:space="0"/>
              <w:left w:val="single" w:color="auto" w:sz="4" w:space="0"/>
              <w:bottom w:val="single" w:color="auto" w:sz="4" w:space="0"/>
            </w:tcBorders>
            <w:noWrap/>
            <w:vAlign w:val="center"/>
          </w:tcPr>
          <w:p w14:paraId="6DACFC92">
            <w:pPr>
              <w:spacing w:line="360" w:lineRule="auto"/>
              <w:rPr>
                <w:rFonts w:ascii="??" w:hAnsi="??" w:cs="??"/>
                <w:color w:val="000000"/>
                <w:szCs w:val="21"/>
                <w:highlight w:val="none"/>
              </w:rPr>
            </w:pPr>
            <w:r>
              <w:rPr>
                <w:rFonts w:hint="eastAsia" w:ascii="??" w:hAnsi="??" w:cs="??"/>
                <w:color w:val="000000"/>
                <w:szCs w:val="21"/>
                <w:highlight w:val="none"/>
              </w:rPr>
              <w:t>维修项目自验收之日起，工程质保期为两年，防水工程质保期为五年。国家有强制质保标准的按照国家标准执行，质保期自验收合格之日起计，如需整改或翻修的，自翻修或整改之日起重新计算维保期。</w:t>
            </w:r>
          </w:p>
        </w:tc>
      </w:tr>
    </w:tbl>
    <w:p w14:paraId="09D265A1">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3B185F12">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3CD3305B">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707F53E0">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5309ED51">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03590BCF">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2EDE9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A609403">
            <w:pPr>
              <w:widowControl/>
              <w:snapToGrid w:val="0"/>
              <w:spacing w:line="360" w:lineRule="auto"/>
              <w:rPr>
                <w:rFonts w:hint="eastAsia" w:cs="Times New Roman"/>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2354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26279"/>
            <w:bookmarkStart w:id="38" w:name="_Toc9566"/>
            <w:bookmarkStart w:id="39" w:name="_Toc30169"/>
            <w:bookmarkStart w:id="40" w:name="_Toc32144"/>
            <w:r>
              <w:rPr>
                <w:rFonts w:hint="eastAsia" w:ascii="宋体" w:hAnsi="宋体" w:eastAsia="宋体" w:cs="宋体"/>
                <w:color w:val="auto"/>
                <w:highlight w:val="none"/>
              </w:rPr>
              <w:t>1.1项目名称：</w:t>
            </w:r>
            <w:bookmarkEnd w:id="36"/>
            <w:bookmarkEnd w:id="37"/>
            <w:bookmarkEnd w:id="38"/>
            <w:bookmarkEnd w:id="39"/>
            <w:r>
              <w:rPr>
                <w:rFonts w:hint="eastAsia" w:ascii="宋体" w:hAnsi="宋体" w:cs="宋体"/>
                <w:color w:val="auto"/>
                <w:highlight w:val="none"/>
                <w:lang w:val="en-US" w:eastAsia="zh-CN"/>
              </w:rPr>
              <w:t>驻马店市中心医院三号楼、六号楼及行政办公区域零星维修改造项目</w:t>
            </w:r>
            <w:bookmarkEnd w:id="40"/>
          </w:p>
          <w:p w14:paraId="710A5111">
            <w:pPr>
              <w:widowControl/>
              <w:snapToGrid w:val="0"/>
              <w:spacing w:line="440" w:lineRule="exact"/>
              <w:jc w:val="left"/>
              <w:outlineLvl w:val="0"/>
              <w:rPr>
                <w:rFonts w:hint="eastAsia" w:ascii="宋体" w:hAnsi="宋体" w:eastAsia="宋体" w:cs="宋体"/>
                <w:color w:val="auto"/>
                <w:highlight w:val="none"/>
              </w:rPr>
            </w:pPr>
            <w:bookmarkStart w:id="41" w:name="_Toc29400"/>
            <w:bookmarkStart w:id="42" w:name="_Toc23424"/>
            <w:bookmarkStart w:id="43" w:name="_Toc28320"/>
            <w:bookmarkStart w:id="44" w:name="_Toc10981"/>
            <w:bookmarkStart w:id="45" w:name="_Toc11669"/>
            <w:r>
              <w:rPr>
                <w:rFonts w:hint="eastAsia" w:ascii="宋体" w:hAnsi="宋体" w:eastAsia="宋体" w:cs="宋体"/>
                <w:color w:val="auto"/>
                <w:highlight w:val="none"/>
              </w:rPr>
              <w:t>1.2采购人名称：</w:t>
            </w:r>
            <w:bookmarkEnd w:id="41"/>
            <w:bookmarkEnd w:id="42"/>
            <w:bookmarkEnd w:id="43"/>
            <w:r>
              <w:rPr>
                <w:rFonts w:hint="eastAsia" w:ascii="宋体" w:hAnsi="宋体" w:eastAsia="宋体" w:cs="宋体"/>
                <w:color w:val="auto"/>
                <w:highlight w:val="none"/>
              </w:rPr>
              <w:t>驻马店市中心医院</w:t>
            </w:r>
            <w:bookmarkEnd w:id="44"/>
            <w:bookmarkEnd w:id="4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6" w:name="_Toc30330"/>
            <w:bookmarkStart w:id="47" w:name="_Toc26199"/>
            <w:bookmarkStart w:id="48" w:name="_Toc3148"/>
            <w:bookmarkStart w:id="49" w:name="_Toc24541"/>
            <w:bookmarkStart w:id="50" w:name="_Toc2314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6"/>
            <w:bookmarkEnd w:id="47"/>
            <w:bookmarkEnd w:id="48"/>
            <w:bookmarkEnd w:id="49"/>
            <w:bookmarkEnd w:id="5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highlight w:val="none"/>
                <w:lang w:val="en-US" w:eastAsia="zh-CN"/>
              </w:rPr>
              <w:t>48</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highlight w:val="none"/>
                <w:lang w:val="en-US" w:eastAsia="zh-CN"/>
              </w:rPr>
              <w:t>100%</w:t>
            </w:r>
            <w:r>
              <w:rPr>
                <w:rFonts w:hint="eastAsia" w:ascii="宋体" w:hAnsi="宋体" w:eastAsia="宋体" w:cs="宋体"/>
                <w:color w:val="auto"/>
                <w:highlight w:val="none"/>
                <w:lang w:val="en-US" w:eastAsia="zh-CN"/>
              </w:rPr>
              <w:t>。</w:t>
            </w:r>
          </w:p>
          <w:p w14:paraId="6D8832C7">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本项目磋商以</w:t>
            </w:r>
            <w:r>
              <w:rPr>
                <w:rFonts w:hint="eastAsia" w:ascii="宋体" w:hAnsi="宋体" w:cs="宋体"/>
                <w:color w:val="auto"/>
                <w:kern w:val="0"/>
                <w:szCs w:val="21"/>
                <w:highlight w:val="none"/>
                <w:lang w:val="en-US" w:eastAsia="zh-CN"/>
              </w:rPr>
              <w:t>综合折扣率</w:t>
            </w:r>
            <w:r>
              <w:rPr>
                <w:rFonts w:hint="eastAsia" w:ascii="宋体" w:hAnsi="宋体" w:eastAsia="宋体" w:cs="宋体"/>
                <w:color w:val="auto"/>
                <w:kern w:val="0"/>
                <w:szCs w:val="21"/>
                <w:highlight w:val="none"/>
              </w:rPr>
              <w:t>（%）报价。</w:t>
            </w:r>
          </w:p>
          <w:p w14:paraId="775B585D">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注：1.本项目供应商磋商报价以审结金额为基准，整体报出综合</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（%），供应商所报</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不得大于100%，否则将被作为无效响应。</w:t>
            </w:r>
          </w:p>
          <w:p w14:paraId="47984B6A">
            <w:pPr>
              <w:widowControl/>
              <w:snapToGrid w:val="0"/>
              <w:spacing w:line="44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2.结算价格计算方法：结算价格=审结金额×</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举例：如</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报价为90％，某项零星维修改造任务项审结金额1000.00元，则其结算价格为1000.00元×90％=900.00元（四舍五入保留两位小数），其他任务项以此类推。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1" w:name="_Toc4700"/>
      <w:bookmarkStart w:id="52"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48万元（据实结算）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EDC6A6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4.8.1供应商须具有建设行政主管部门颁发的贰级及以上（含贰级）（且符合资质证书承揽范围）的建筑工程施工总承包资质，具有有效的企业安全生产许可证；拟派项目负责人须具有；</w:t>
      </w:r>
    </w:p>
    <w:p w14:paraId="09ABE98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8.2供应商拟派项目经理须具有贰级或贰级以上建筑工程专业注册建造师资格，且具备有效的安全生产考核合格证书，项目经理未担任其他在建工程（提供相关证书和项目经理无在建承诺书）</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4AA0627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w:t>
      </w:r>
      <w:r>
        <w:rPr>
          <w:rFonts w:hint="eastAsia" w:ascii="宋体" w:hAnsi="宋体" w:cs="宋体"/>
          <w:kern w:val="0"/>
          <w:szCs w:val="21"/>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w:t>
      </w:r>
      <w:r>
        <w:rPr>
          <w:rFonts w:hint="eastAsia" w:ascii="宋体" w:hAnsi="宋体" w:cs="宋体"/>
          <w:kern w:val="0"/>
          <w:szCs w:val="21"/>
        </w:rPr>
        <w:t>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7"/>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7"/>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18.1 </w:t>
      </w:r>
      <w:r>
        <w:rPr>
          <w:rFonts w:hint="eastAsia" w:ascii="宋体" w:hAnsi="宋体" w:cs="宋体"/>
          <w:kern w:val="0"/>
          <w:szCs w:val="21"/>
        </w:rPr>
        <w:t>所有磋商报价均以百分率为计算单位，以综合折扣率报价。供应商的报价应包括项目实施所需的人工费、机械费、材料费、辅助耗材费用、税费、服务费及其他一切费用的总和</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（4）响应文件有效期、质量等不满足采购文件要求的。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0121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5" w:name="_Toc27581"/>
      <w:r>
        <w:rPr>
          <w:rFonts w:hint="eastAsia" w:ascii="宋体" w:hAnsi="宋体" w:eastAsia="宋体" w:cs="宋体"/>
          <w:b/>
          <w:bCs/>
          <w:color w:val="auto"/>
          <w:kern w:val="0"/>
          <w:sz w:val="32"/>
          <w:szCs w:val="32"/>
          <w:highlight w:val="none"/>
        </w:rPr>
        <w:t>第四章  评标办法及评分标准</w:t>
      </w:r>
      <w:bookmarkEnd w:id="51"/>
      <w:bookmarkEnd w:id="5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52A93E6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30F8E7A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00706ED1">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12ECB191">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B9D0A3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供应商应根据采购需求编制完整、详细的</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包含但不限于：1.</w:t>
            </w:r>
            <w:r>
              <w:rPr>
                <w:rFonts w:hint="eastAsia" w:ascii="宋体" w:hAnsi="宋体" w:eastAsia="宋体" w:cs="宋体"/>
                <w:sz w:val="21"/>
                <w:szCs w:val="21"/>
                <w:highlight w:val="none"/>
              </w:rPr>
              <w:t>施工过程重点难点分析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建议及措施</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31E2BF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供应商应根据采购需求编制完整、详细的质量管理体系与措施方案，包含但不限于：1.质量责任制度；2.质量目标；3.施工过程质量控制措施等。</w:t>
            </w:r>
          </w:p>
          <w:p w14:paraId="4804E6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30D3FE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安全管理体系与措施、文明及环境保护管理体系与措施方案，包含但不限于：1.安全责任制度；2.安全培训与交底；3.施工现场安全控制；4.应急机制等；5.文明施工管理制度；6.环境保护管理制度。</w:t>
            </w:r>
          </w:p>
          <w:p w14:paraId="1F82D7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完整科学、合理、实用，并具有针对性，得10分；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较为清晰、较为详细、技术措施较为健全、较有针对性得7分；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内容一般、技术措施一般，基本具有针对性得4分；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内容一般、技术措施一般，基本具有针对性得3分；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2.管理人员配备（10分）</w:t>
            </w:r>
          </w:p>
        </w:tc>
        <w:tc>
          <w:tcPr>
            <w:tcW w:w="6770" w:type="dxa"/>
            <w:noWrap w:val="0"/>
            <w:vAlign w:val="center"/>
          </w:tcPr>
          <w:p w14:paraId="3E8A64D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4FA582B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（提供有效证件及本单位近半年以来任意三个月为其缴纳社保证明材料，新入职的从入职当月起算，不符合要求不得分）。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4081E7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分；承诺全面、详尽，合理、可行性程度较强</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分；承诺不全面，合理、可行性程度差得1分。缺项得0分。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6CC97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2"/>
    <w:p w14:paraId="2CCD7513">
      <w:pPr>
        <w:rPr>
          <w:rFonts w:hint="eastAsia" w:ascii="宋体" w:hAnsi="宋体" w:eastAsia="宋体" w:cs="宋体"/>
          <w:color w:val="auto"/>
          <w:highlight w:val="none"/>
        </w:rPr>
      </w:pPr>
      <w:bookmarkStart w:id="56" w:name="_Toc1482"/>
      <w:bookmarkStart w:id="57" w:name="_Toc1947"/>
      <w:bookmarkStart w:id="58" w:name="_Toc326786897"/>
      <w:bookmarkStart w:id="59"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0" w:name="_Toc17670"/>
      <w:r>
        <w:rPr>
          <w:rFonts w:hint="eastAsia" w:ascii="宋体" w:hAnsi="宋体" w:eastAsia="宋体" w:cs="宋体"/>
          <w:color w:val="auto"/>
          <w:sz w:val="28"/>
          <w:szCs w:val="28"/>
          <w:highlight w:val="none"/>
        </w:rPr>
        <w:t>第五章  采购合同</w:t>
      </w:r>
      <w:bookmarkEnd w:id="6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6"/>
    <w:bookmarkEnd w:id="57"/>
    <w:p w14:paraId="13A20F0D">
      <w:pPr>
        <w:pStyle w:val="3"/>
        <w:snapToGrid w:val="0"/>
        <w:spacing w:before="0" w:after="0" w:line="480" w:lineRule="auto"/>
        <w:jc w:val="center"/>
        <w:rPr>
          <w:rFonts w:hint="eastAsia" w:ascii="宋体" w:hAnsi="宋体" w:eastAsia="宋体" w:cs="宋体"/>
          <w:color w:val="auto"/>
          <w:sz w:val="28"/>
          <w:szCs w:val="28"/>
          <w:highlight w:val="none"/>
        </w:rPr>
      </w:pPr>
      <w:bookmarkStart w:id="61" w:name="_Toc24384"/>
      <w:bookmarkStart w:id="62" w:name="_Toc21315"/>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bookmarkEnd w:id="61"/>
      <w:bookmarkEnd w:id="62"/>
    </w:p>
    <w:p w14:paraId="6C8D7EFA">
      <w:pPr>
        <w:jc w:val="center"/>
        <w:rPr>
          <w:rFonts w:hint="eastAsia" w:ascii="宋体" w:hAnsi="宋体" w:eastAsia="宋体" w:cs="宋体"/>
          <w:b/>
          <w:bCs/>
          <w:color w:val="auto"/>
          <w:sz w:val="32"/>
          <w:szCs w:val="32"/>
          <w:highlight w:val="none"/>
        </w:rPr>
      </w:pPr>
      <w:bookmarkStart w:id="63" w:name="_Toc13604"/>
      <w:r>
        <w:rPr>
          <w:rFonts w:hint="eastAsia" w:ascii="宋体" w:hAnsi="宋体" w:eastAsia="宋体" w:cs="宋体"/>
          <w:b/>
          <w:bCs/>
          <w:color w:val="auto"/>
          <w:sz w:val="32"/>
          <w:szCs w:val="32"/>
          <w:highlight w:val="none"/>
        </w:rPr>
        <w:t>目    录</w:t>
      </w:r>
      <w:bookmarkEnd w:id="63"/>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4"/>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25345"/>
      <w:bookmarkStart w:id="66"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5"/>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7"/>
    </w:p>
    <w:bookmarkEnd w:id="66"/>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8"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bookmarkEnd w:id="68"/>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9"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9"/>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70"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0"/>
    </w:p>
    <w:p w14:paraId="73242694">
      <w:pPr>
        <w:snapToGrid w:val="0"/>
        <w:spacing w:line="360" w:lineRule="auto"/>
        <w:ind w:firstLine="480" w:firstLineChars="200"/>
        <w:rPr>
          <w:rFonts w:hint="eastAsia" w:ascii="宋体" w:hAnsi="宋体" w:eastAsia="宋体" w:cs="宋体"/>
          <w:color w:val="auto"/>
          <w:sz w:val="24"/>
          <w:highlight w:val="none"/>
        </w:rPr>
      </w:pPr>
      <w:bookmarkStart w:id="71"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1"/>
    </w:p>
    <w:p w14:paraId="222B26A2">
      <w:pPr>
        <w:snapToGrid w:val="0"/>
        <w:spacing w:line="360" w:lineRule="auto"/>
        <w:ind w:firstLine="480" w:firstLineChars="200"/>
        <w:rPr>
          <w:rFonts w:hint="eastAsia" w:ascii="宋体" w:hAnsi="宋体" w:eastAsia="宋体" w:cs="宋体"/>
          <w:color w:val="auto"/>
          <w:sz w:val="24"/>
          <w:highlight w:val="none"/>
        </w:rPr>
      </w:pPr>
      <w:bookmarkStart w:id="72"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72"/>
    </w:p>
    <w:p w14:paraId="0927E7C0">
      <w:pPr>
        <w:snapToGrid w:val="0"/>
        <w:spacing w:line="360" w:lineRule="auto"/>
        <w:ind w:firstLine="480" w:firstLineChars="200"/>
        <w:rPr>
          <w:rFonts w:hint="eastAsia" w:ascii="宋体" w:hAnsi="宋体" w:eastAsia="宋体" w:cs="宋体"/>
          <w:color w:val="auto"/>
          <w:sz w:val="24"/>
          <w:highlight w:val="none"/>
        </w:rPr>
      </w:pPr>
      <w:bookmarkStart w:id="73"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73"/>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 xml:space="preserve">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4" w:name="_Toc31798"/>
      <w:bookmarkStart w:id="75"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4"/>
      <w:bookmarkEnd w:id="7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C26E0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18C9F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8"/>
    <w:bookmarkEnd w:id="59"/>
    <w:p w14:paraId="4F2DC55F">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14560"/>
      <w:bookmarkStart w:id="77" w:name="_Toc8818"/>
      <w:r>
        <w:rPr>
          <w:rFonts w:hint="eastAsia" w:ascii="宋体" w:hAnsi="宋体" w:eastAsia="宋体" w:cs="宋体"/>
          <w:color w:val="auto"/>
          <w:sz w:val="28"/>
          <w:szCs w:val="28"/>
          <w:highlight w:val="none"/>
          <w:lang w:val="en-US" w:eastAsia="zh-CN"/>
        </w:rPr>
        <w:t>附件2            竞争性磋商响应书（格式）</w:t>
      </w:r>
      <w:bookmarkEnd w:id="76"/>
      <w:bookmarkEnd w:id="77"/>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A3FA220">
      <w:pPr>
        <w:widowControl/>
        <w:snapToGrid w:val="0"/>
        <w:spacing w:line="460" w:lineRule="exact"/>
        <w:ind w:firstLine="840" w:firstLineChars="400"/>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7838"/>
      <w:r>
        <w:rPr>
          <w:rFonts w:hint="eastAsia" w:ascii="宋体" w:hAnsi="宋体" w:eastAsia="宋体" w:cs="宋体"/>
          <w:color w:val="auto"/>
          <w:sz w:val="28"/>
          <w:szCs w:val="28"/>
          <w:highlight w:val="none"/>
          <w:lang w:val="en-US" w:eastAsia="zh-CN"/>
        </w:rPr>
        <w:t xml:space="preserve">附件3            </w:t>
      </w:r>
      <w:bookmarkEnd w:id="78"/>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36"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36"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036" w:type="dxa"/>
            <w:noWrap/>
            <w:vAlign w:val="center"/>
          </w:tcPr>
          <w:p w14:paraId="31DA26B9">
            <w:pPr>
              <w:rPr>
                <w:rFonts w:ascii="宋体" w:cs="宋体"/>
                <w:szCs w:val="21"/>
                <w:highlight w:val="none"/>
              </w:rPr>
            </w:pPr>
            <w:r>
              <w:rPr>
                <w:rFonts w:hint="eastAsia" w:ascii="宋体" w:hAnsi="宋体" w:cs="宋体"/>
                <w:szCs w:val="21"/>
                <w:highlight w:val="none"/>
              </w:rPr>
              <w:t>大写：百分之</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ascii="宋体" w:hAnsi="宋体" w:cs="宋体"/>
                <w:szCs w:val="21"/>
                <w:highlight w:val="none"/>
              </w:rPr>
              <w:t xml:space="preserve">        </w:t>
            </w:r>
          </w:p>
          <w:p w14:paraId="2861DFA5">
            <w:pPr>
              <w:rPr>
                <w:rFonts w:hint="eastAsia" w:ascii="宋体" w:hAnsi="宋体" w:eastAsia="宋体" w:cs="宋体"/>
                <w:color w:val="auto"/>
                <w:szCs w:val="21"/>
                <w:highlight w:val="none"/>
                <w:lang w:val="en-US" w:eastAsia="zh-CN"/>
              </w:rPr>
            </w:pPr>
            <w:r>
              <w:rPr>
                <w:rFonts w:hint="eastAsia" w:ascii="宋体" w:hAnsi="宋体" w:cs="宋体"/>
                <w:szCs w:val="21"/>
                <w:highlight w:val="none"/>
              </w:rPr>
              <w:t>小写：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ascii="宋体" w:hAnsi="宋体" w:cs="宋体"/>
                <w:szCs w:val="21"/>
                <w:highlight w:val="none"/>
              </w:rPr>
              <w:t>%</w:t>
            </w: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36"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36" w:type="dxa"/>
            <w:noWrap/>
            <w:vAlign w:val="center"/>
          </w:tcPr>
          <w:p w14:paraId="4E05F90B">
            <w:pPr>
              <w:pStyle w:val="22"/>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36" w:type="dxa"/>
            <w:noWrap/>
            <w:vAlign w:val="center"/>
          </w:tcPr>
          <w:p w14:paraId="2B1CBB75">
            <w:pPr>
              <w:pStyle w:val="22"/>
              <w:ind w:left="0" w:leftChars="0"/>
              <w:rPr>
                <w:rFonts w:hint="eastAsia" w:ascii="宋体" w:hAnsi="宋体" w:eastAsia="宋体" w:cs="宋体"/>
                <w:color w:val="auto"/>
                <w:szCs w:val="21"/>
                <w:highlight w:val="none"/>
                <w:u w:val="single"/>
                <w:lang w:eastAsia="zh-CN"/>
              </w:rPr>
            </w:pPr>
            <w:r>
              <w:rPr>
                <w:rFonts w:hint="eastAsia" w:cs="宋体"/>
                <w:color w:val="auto"/>
                <w:sz w:val="21"/>
                <w:szCs w:val="21"/>
                <w:highlight w:val="none"/>
                <w:u w:val="none"/>
                <w:lang w:eastAsia="zh-CN"/>
              </w:rPr>
              <w:t>响应文件递交截止期结束后60日。成交供应商的响应文件是合同的组成部分,有效期至合同完全履行止。</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36" w:type="dxa"/>
            <w:noWrap/>
            <w:vAlign w:val="center"/>
          </w:tcPr>
          <w:p w14:paraId="37D62547">
            <w:pPr>
              <w:pStyle w:val="22"/>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9" w:name="_Toc11620"/>
      <w:bookmarkStart w:id="80" w:name="_Toc20877"/>
    </w:p>
    <w:bookmarkEnd w:id="79"/>
    <w:bookmarkEnd w:id="80"/>
    <w:p w14:paraId="79DD778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1DC992B4">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7ABDB65D">
      <w:pPr>
        <w:spacing w:line="360" w:lineRule="auto"/>
        <w:ind w:firstLine="840" w:firstLineChars="400"/>
        <w:jc w:val="both"/>
        <w:rPr>
          <w:rFonts w:hint="eastAsia" w:ascii="宋体" w:hAnsi="宋体" w:eastAsia="宋体" w:cs="宋体"/>
          <w:color w:val="auto"/>
          <w:highlight w:val="none"/>
        </w:rPr>
      </w:pPr>
      <w:bookmarkStart w:id="81" w:name="_Toc1330"/>
      <w:bookmarkStart w:id="82" w:name="_Toc9950"/>
      <w:r>
        <w:rPr>
          <w:rFonts w:hint="eastAsia" w:ascii="宋体" w:hAnsi="宋体" w:cs="宋体"/>
          <w:color w:val="auto"/>
          <w:szCs w:val="21"/>
          <w:highlight w:val="none"/>
          <w:lang w:val="en-US" w:eastAsia="zh-CN"/>
        </w:rPr>
        <w:t xml:space="preserve">日期：   </w:t>
      </w:r>
      <w:r>
        <w:rPr>
          <w:rFonts w:hint="eastAsia" w:ascii="宋体" w:hAnsi="宋体" w:eastAsia="宋体" w:cs="宋体"/>
          <w:color w:val="auto"/>
          <w:szCs w:val="21"/>
          <w:highlight w:val="none"/>
        </w:rPr>
        <w:t>年  月  日</w:t>
      </w:r>
      <w:bookmarkEnd w:id="81"/>
      <w:bookmarkEnd w:id="82"/>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3" w:name="_Toc24984"/>
      <w:bookmarkStart w:id="84" w:name="_Toc2200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br w:type="page"/>
      </w:r>
    </w:p>
    <w:bookmarkEnd w:id="83"/>
    <w:bookmarkEnd w:id="84"/>
    <w:p w14:paraId="546D5D5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            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4168"/>
      <w:bookmarkStart w:id="86" w:name="_Toc20420"/>
      <w:bookmarkStart w:id="87" w:name="_Toc29960"/>
      <w:r>
        <w:rPr>
          <w:rFonts w:hint="eastAsia" w:ascii="宋体" w:hAnsi="宋体" w:eastAsia="宋体" w:cs="宋体"/>
          <w:color w:val="auto"/>
          <w:sz w:val="28"/>
          <w:szCs w:val="28"/>
          <w:highlight w:val="none"/>
          <w:lang w:val="en-US" w:eastAsia="zh-CN"/>
        </w:rPr>
        <w:t>附件5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14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040" w:type="dxa"/>
            <w:noWrap w:val="0"/>
            <w:vAlign w:val="center"/>
          </w:tcPr>
          <w:p w14:paraId="32A8A95D">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34DCE0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C6771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70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4AAABEAA">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355"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31526"/>
      <w:bookmarkStart w:id="89" w:name="_Toc28621"/>
      <w:r>
        <w:rPr>
          <w:rFonts w:hint="eastAsia" w:ascii="宋体" w:hAnsi="宋体" w:eastAsia="宋体" w:cs="宋体"/>
          <w:b/>
          <w:color w:val="auto"/>
          <w:sz w:val="28"/>
          <w:highlight w:val="none"/>
        </w:rPr>
        <w:br w:type="page"/>
      </w:r>
    </w:p>
    <w:p w14:paraId="7563106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附件6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0519"/>
      <w:bookmarkStart w:id="92" w:name="_Toc13976"/>
      <w:bookmarkStart w:id="93" w:name="_Toc12939"/>
      <w:r>
        <w:rPr>
          <w:rFonts w:hint="eastAsia" w:ascii="宋体" w:hAnsi="宋体" w:eastAsia="宋体" w:cs="宋体"/>
          <w:color w:val="auto"/>
          <w:sz w:val="28"/>
          <w:szCs w:val="28"/>
          <w:highlight w:val="none"/>
          <w:lang w:val="en-US" w:eastAsia="zh-CN"/>
        </w:rPr>
        <w:t>附件7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cs="宋体"/>
          <w:color w:val="auto"/>
          <w:kern w:val="0"/>
          <w:sz w:val="24"/>
          <w:highlight w:val="none"/>
          <w:lang w:val="en-US" w:eastAsia="zh-CN"/>
        </w:rPr>
        <w:t>日期：</w:t>
      </w: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3342"/>
      <w:bookmarkStart w:id="95" w:name="_Toc24693"/>
      <w:bookmarkStart w:id="96" w:name="_Toc18105"/>
      <w:r>
        <w:rPr>
          <w:rFonts w:hint="eastAsia" w:ascii="宋体" w:hAnsi="宋体" w:eastAsia="宋体" w:cs="宋体"/>
          <w:color w:val="auto"/>
          <w:sz w:val="28"/>
          <w:szCs w:val="28"/>
          <w:highlight w:val="none"/>
          <w:lang w:val="en-US" w:eastAsia="zh-CN"/>
        </w:rPr>
        <w:t>附件8          证明文件</w:t>
      </w:r>
      <w:bookmarkEnd w:id="94"/>
      <w:bookmarkEnd w:id="95"/>
      <w:bookmarkEnd w:id="96"/>
    </w:p>
    <w:p w14:paraId="0714D98E">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2888"/>
      <w:bookmarkStart w:id="99" w:name="_Toc16083"/>
      <w:bookmarkStart w:id="100" w:name="_Toc13726"/>
      <w:r>
        <w:rPr>
          <w:rFonts w:hint="eastAsia" w:ascii="宋体" w:hAnsi="宋体" w:eastAsia="宋体" w:cs="宋体"/>
          <w:color w:val="auto"/>
          <w:sz w:val="28"/>
          <w:szCs w:val="28"/>
          <w:highlight w:val="none"/>
          <w:lang w:val="en-US" w:eastAsia="zh-CN"/>
        </w:rPr>
        <w:br w:type="page"/>
      </w:r>
    </w:p>
    <w:p w14:paraId="2C2AA8E5">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14:paraId="24BAB2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1219831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7715FA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31685"/>
      <w:bookmarkStart w:id="102" w:name="_Toc25094"/>
      <w:bookmarkStart w:id="103" w:name="_Toc233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4"/>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Tahoma"/>
    <w:panose1 w:val="02010600030101010101"/>
    <w:charset w:val="00"/>
    <w:family w:val="auto"/>
    <w:pitch w:val="default"/>
    <w:sig w:usb0="00000000" w:usb1="00000000" w:usb2="00000000" w:usb3="00000000" w:csb0="0000002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驻马店市中心医院三号楼、六号楼及行政办公区域零星维修改造项目磋商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42167"/>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C550A4"/>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EE5A21"/>
    <w:rsid w:val="0D05268E"/>
    <w:rsid w:val="0D0646E7"/>
    <w:rsid w:val="0D0C38CA"/>
    <w:rsid w:val="0D206810"/>
    <w:rsid w:val="0D35493D"/>
    <w:rsid w:val="0D4861FD"/>
    <w:rsid w:val="0D6372B7"/>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163A6"/>
    <w:rsid w:val="162323A3"/>
    <w:rsid w:val="162F30B1"/>
    <w:rsid w:val="16504596"/>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183D2A"/>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90370"/>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4F4092"/>
    <w:rsid w:val="2D6F134E"/>
    <w:rsid w:val="2D835174"/>
    <w:rsid w:val="2D8C63A3"/>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BB1A8E"/>
    <w:rsid w:val="31C42968"/>
    <w:rsid w:val="31C5181A"/>
    <w:rsid w:val="31CD297B"/>
    <w:rsid w:val="31CD73BD"/>
    <w:rsid w:val="31D66571"/>
    <w:rsid w:val="31DB4220"/>
    <w:rsid w:val="31DC56CD"/>
    <w:rsid w:val="31E63B94"/>
    <w:rsid w:val="31F103C7"/>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6C65E7"/>
    <w:rsid w:val="347A1C51"/>
    <w:rsid w:val="347D373F"/>
    <w:rsid w:val="34922A93"/>
    <w:rsid w:val="34956481"/>
    <w:rsid w:val="34A35871"/>
    <w:rsid w:val="34AE6BFF"/>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9D2F5B"/>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31D54"/>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15338"/>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B33A7A"/>
    <w:rsid w:val="3CC17F13"/>
    <w:rsid w:val="3CC74410"/>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D368B"/>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97F74"/>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1E2BA2"/>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937A20"/>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D76600"/>
    <w:rsid w:val="5AE12FDB"/>
    <w:rsid w:val="5AE1508F"/>
    <w:rsid w:val="5AF80256"/>
    <w:rsid w:val="5B110CC9"/>
    <w:rsid w:val="5B136165"/>
    <w:rsid w:val="5B1851F5"/>
    <w:rsid w:val="5B1F6672"/>
    <w:rsid w:val="5B1F7B5D"/>
    <w:rsid w:val="5B585171"/>
    <w:rsid w:val="5B585B78"/>
    <w:rsid w:val="5B6A04FC"/>
    <w:rsid w:val="5B6D62B9"/>
    <w:rsid w:val="5B746CFA"/>
    <w:rsid w:val="5B9A2B59"/>
    <w:rsid w:val="5BA61494"/>
    <w:rsid w:val="5BA652E6"/>
    <w:rsid w:val="5BC0085A"/>
    <w:rsid w:val="5BE03293"/>
    <w:rsid w:val="5BF03D58"/>
    <w:rsid w:val="5BF20AFB"/>
    <w:rsid w:val="5C14137F"/>
    <w:rsid w:val="5C1A6BB2"/>
    <w:rsid w:val="5C306D31"/>
    <w:rsid w:val="5C37233A"/>
    <w:rsid w:val="5C42391F"/>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874FB"/>
    <w:rsid w:val="5D7C3F11"/>
    <w:rsid w:val="5D8365CC"/>
    <w:rsid w:val="5D846D93"/>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6E505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3FF2724"/>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BF1117"/>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04861"/>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54E4F"/>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0F447D"/>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0C7880"/>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6317BF"/>
    <w:rsid w:val="7F9468E1"/>
    <w:rsid w:val="7F951B40"/>
    <w:rsid w:val="7FA501CC"/>
    <w:rsid w:val="7FA820A8"/>
    <w:rsid w:val="7FAF2DF8"/>
    <w:rsid w:val="7FB90D50"/>
    <w:rsid w:val="7FBE053E"/>
    <w:rsid w:val="7FBF10B0"/>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16975</Words>
  <Characters>17768</Characters>
  <Lines>50</Lines>
  <Paragraphs>68</Paragraphs>
  <TotalTime>0</TotalTime>
  <ScaleCrop>false</ScaleCrop>
  <LinksUpToDate>false</LinksUpToDate>
  <CharactersWithSpaces>18737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2026-01-19T05:44:31Z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B6DCBB403ABC43AEB9A6991CCF3DA8C8_13</vt:lpwstr>
  </property>
  <property fmtid="{D5CDD505-2E9C-101B-9397-08002B2CF9AE}" pid="4" name="KSOTemplateDocerSaveRecord">
    <vt:lpwstr>eyJoZGlkIjoiMzU0MTZjMjFkMjFjOGMwYTIzNWEzZDljNjYxZWI0MmYiLCJ1c2VySWQiOiIxNjg0NTc5MjM2In0=</vt:lpwstr>
  </property>
</Properties>
</file>