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8BA076">
      <w:pPr>
        <w:pStyle w:val="20"/>
        <w:widowControl w:val="0"/>
        <w:spacing w:before="156" w:beforeLines="50"/>
        <w:jc w:val="center"/>
        <w:rPr>
          <w:rFonts w:hint="eastAsia"/>
          <w:b/>
          <w:bCs/>
          <w:sz w:val="48"/>
          <w:szCs w:val="48"/>
        </w:rPr>
      </w:pPr>
      <w:bookmarkStart w:id="0" w:name="_Toc22953395"/>
      <w:bookmarkEnd w:id="0"/>
      <w:bookmarkStart w:id="1" w:name="_Toc22804073"/>
      <w:bookmarkEnd w:id="1"/>
    </w:p>
    <w:p w14:paraId="3F9780B2">
      <w:pPr>
        <w:pStyle w:val="20"/>
        <w:widowControl w:val="0"/>
        <w:spacing w:before="156" w:beforeLines="50"/>
        <w:jc w:val="center"/>
        <w:rPr>
          <w:rFonts w:hint="eastAsia"/>
          <w:b/>
          <w:bCs/>
          <w:sz w:val="44"/>
          <w:szCs w:val="44"/>
        </w:rPr>
      </w:pPr>
      <w:r>
        <w:rPr>
          <w:rFonts w:hint="eastAsia"/>
          <w:b/>
          <w:bCs/>
          <w:sz w:val="44"/>
          <w:szCs w:val="44"/>
        </w:rPr>
        <w:t>驻马店市中心医院妇儿院区零星维修改造项目</w:t>
      </w:r>
    </w:p>
    <w:p w14:paraId="3230FE7D">
      <w:pPr>
        <w:pStyle w:val="20"/>
        <w:jc w:val="center"/>
        <w:rPr>
          <w:rStyle w:val="45"/>
          <w:rFonts w:hint="eastAsia"/>
          <w:b/>
          <w:bCs/>
          <w:color w:val="auto"/>
          <w:sz w:val="44"/>
          <w:szCs w:val="44"/>
        </w:rPr>
      </w:pPr>
      <w:r>
        <w:rPr>
          <w:rStyle w:val="45"/>
          <w:rFonts w:hint="eastAsia"/>
          <w:b/>
          <w:bCs/>
          <w:color w:val="auto"/>
          <w:sz w:val="44"/>
          <w:szCs w:val="44"/>
        </w:rPr>
        <w:t>竞争性磋商文件</w:t>
      </w:r>
    </w:p>
    <w:p w14:paraId="1C9FC260">
      <w:pPr>
        <w:pStyle w:val="20"/>
        <w:jc w:val="center"/>
        <w:rPr>
          <w:rStyle w:val="45"/>
          <w:rFonts w:hint="eastAsia"/>
          <w:b/>
          <w:bCs/>
          <w:color w:val="auto"/>
          <w:sz w:val="48"/>
          <w:szCs w:val="48"/>
        </w:rPr>
      </w:pPr>
    </w:p>
    <w:p w14:paraId="37F0A2DC">
      <w:pPr>
        <w:pStyle w:val="20"/>
        <w:jc w:val="center"/>
        <w:rPr>
          <w:rStyle w:val="45"/>
          <w:rFonts w:hint="eastAsia"/>
          <w:b/>
          <w:bCs/>
          <w:color w:val="auto"/>
          <w:sz w:val="48"/>
          <w:szCs w:val="48"/>
        </w:rPr>
      </w:pPr>
    </w:p>
    <w:p w14:paraId="25A49E6D">
      <w:pPr>
        <w:pStyle w:val="20"/>
        <w:jc w:val="center"/>
        <w:rPr>
          <w:rStyle w:val="45"/>
          <w:rFonts w:hint="eastAsia"/>
          <w:b/>
          <w:bCs/>
          <w:color w:val="auto"/>
          <w:sz w:val="48"/>
          <w:szCs w:val="48"/>
        </w:rPr>
      </w:pPr>
    </w:p>
    <w:p w14:paraId="375E8088">
      <w:pPr>
        <w:pStyle w:val="20"/>
        <w:jc w:val="center"/>
        <w:rPr>
          <w:rStyle w:val="45"/>
          <w:rFonts w:hint="eastAsia"/>
          <w:b/>
          <w:bCs/>
          <w:color w:val="auto"/>
          <w:sz w:val="48"/>
          <w:szCs w:val="48"/>
        </w:rPr>
      </w:pPr>
    </w:p>
    <w:p w14:paraId="3F75BF71">
      <w:pPr>
        <w:tabs>
          <w:tab w:val="left" w:pos="2700"/>
          <w:tab w:val="left" w:pos="2880"/>
          <w:tab w:val="left" w:pos="3060"/>
          <w:tab w:val="left" w:pos="7560"/>
        </w:tabs>
        <w:snapToGrid w:val="0"/>
        <w:spacing w:line="360" w:lineRule="auto"/>
        <w:ind w:firstLine="1928" w:firstLineChars="600"/>
        <w:rPr>
          <w:rFonts w:hint="eastAsia" w:ascii="宋体" w:hAnsi="宋体" w:cs="宋体"/>
          <w:b/>
          <w:bCs/>
          <w:spacing w:val="-10"/>
          <w:sz w:val="34"/>
          <w:szCs w:val="34"/>
        </w:rPr>
      </w:pPr>
    </w:p>
    <w:p w14:paraId="233E2A52">
      <w:pPr>
        <w:snapToGrid w:val="0"/>
        <w:spacing w:line="380" w:lineRule="exact"/>
        <w:jc w:val="center"/>
        <w:rPr>
          <w:rFonts w:hint="eastAsia" w:ascii="宋体" w:hAnsi="宋体" w:cs="宋体"/>
          <w:b/>
          <w:sz w:val="32"/>
          <w:szCs w:val="32"/>
        </w:rPr>
      </w:pPr>
    </w:p>
    <w:p w14:paraId="22EA3E38">
      <w:pPr>
        <w:pStyle w:val="33"/>
        <w:ind w:firstLine="210"/>
        <w:rPr>
          <w:rFonts w:hint="eastAsia" w:ascii="宋体" w:hAnsi="宋体" w:cs="宋体"/>
        </w:rPr>
      </w:pPr>
    </w:p>
    <w:p w14:paraId="0F61A730">
      <w:pPr>
        <w:pStyle w:val="60"/>
        <w:rPr>
          <w:rFonts w:hint="eastAsia" w:ascii="宋体" w:hAnsi="宋体" w:cs="宋体"/>
          <w:bCs/>
          <w:sz w:val="2"/>
          <w:szCs w:val="2"/>
        </w:rPr>
      </w:pPr>
    </w:p>
    <w:p w14:paraId="3057A2CC">
      <w:pPr>
        <w:rPr>
          <w:rFonts w:hint="eastAsia" w:ascii="宋体" w:hAnsi="宋体" w:cs="宋体"/>
          <w:bCs/>
          <w:sz w:val="2"/>
          <w:szCs w:val="2"/>
        </w:rPr>
      </w:pPr>
    </w:p>
    <w:p w14:paraId="2D0D3517">
      <w:pPr>
        <w:spacing w:line="20" w:lineRule="exact"/>
        <w:rPr>
          <w:rFonts w:hint="eastAsia" w:ascii="宋体" w:hAnsi="宋体" w:cs="宋体"/>
          <w:bCs/>
          <w:sz w:val="2"/>
          <w:szCs w:val="2"/>
        </w:rPr>
      </w:pPr>
    </w:p>
    <w:p w14:paraId="6EBA8A0C">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p>
    <w:p w14:paraId="054ECE46">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B4BF3B9">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6BD1E50F">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日        期：2026年01月</w:t>
      </w:r>
    </w:p>
    <w:p w14:paraId="6E4D5D05">
      <w:pPr>
        <w:tabs>
          <w:tab w:val="left" w:pos="2505"/>
          <w:tab w:val="center" w:pos="4535"/>
        </w:tabs>
        <w:snapToGrid w:val="0"/>
        <w:spacing w:line="480" w:lineRule="auto"/>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28F66A4D">
      <w:pPr>
        <w:jc w:val="center"/>
        <w:rPr>
          <w:rFonts w:hint="eastAsia" w:ascii="宋体" w:hAnsi="宋体" w:cs="宋体"/>
          <w:b/>
          <w:bCs/>
          <w:sz w:val="36"/>
          <w:szCs w:val="36"/>
        </w:rPr>
      </w:pPr>
      <w:r>
        <w:rPr>
          <w:rFonts w:hint="eastAsia" w:ascii="宋体" w:hAnsi="宋体" w:cs="宋体"/>
          <w:b/>
          <w:bCs/>
          <w:sz w:val="36"/>
          <w:szCs w:val="36"/>
        </w:rPr>
        <w:t>目录</w:t>
      </w:r>
    </w:p>
    <w:p w14:paraId="1058CB97">
      <w:pPr>
        <w:pStyle w:val="26"/>
        <w:tabs>
          <w:tab w:val="right" w:leader="dot" w:pos="8958"/>
        </w:tabs>
        <w:spacing w:line="360" w:lineRule="auto"/>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"_Toc4111"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_Toc4111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39871B80">
      <w:pPr>
        <w:pStyle w:val="26"/>
        <w:tabs>
          <w:tab w:val="right" w:leader="dot" w:pos="8958"/>
        </w:tabs>
        <w:spacing w:line="360" w:lineRule="auto"/>
        <w:rPr>
          <w:rFonts w:hint="eastAsia" w:ascii="宋体" w:hAnsi="宋体" w:cs="宋体"/>
        </w:rPr>
      </w:pPr>
      <w:r>
        <w:fldChar w:fldCharType="begin"/>
      </w:r>
      <w:r>
        <w:instrText xml:space="preserve"> HYPERLINK \l "_Toc1871"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_Toc1871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0F36C775">
      <w:pPr>
        <w:pStyle w:val="26"/>
        <w:tabs>
          <w:tab w:val="right" w:leader="dot" w:pos="8958"/>
        </w:tabs>
        <w:spacing w:line="360" w:lineRule="auto"/>
        <w:rPr>
          <w:rFonts w:hint="eastAsia" w:ascii="宋体" w:hAnsi="宋体" w:cs="宋体"/>
        </w:rPr>
      </w:pPr>
      <w:r>
        <w:fldChar w:fldCharType="begin"/>
      </w:r>
      <w:r>
        <w:instrText xml:space="preserve"> HYPERLINK \l "_Toc25734"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_Toc25734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438E91B2">
      <w:pPr>
        <w:pStyle w:val="26"/>
        <w:tabs>
          <w:tab w:val="right" w:leader="dot" w:pos="8958"/>
        </w:tabs>
        <w:spacing w:line="360" w:lineRule="auto"/>
        <w:rPr>
          <w:rFonts w:hint="eastAsia" w:ascii="宋体" w:hAnsi="宋体" w:cs="宋体"/>
        </w:rPr>
      </w:pPr>
      <w:r>
        <w:fldChar w:fldCharType="begin"/>
      </w:r>
      <w:r>
        <w:instrText xml:space="preserve"> HYPERLINK \l "_Toc8767"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_Toc8767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14:paraId="4F782A5C">
      <w:pPr>
        <w:pStyle w:val="26"/>
        <w:tabs>
          <w:tab w:val="right" w:leader="dot" w:pos="8958"/>
        </w:tabs>
        <w:spacing w:line="360" w:lineRule="auto"/>
        <w:rPr>
          <w:rFonts w:hint="eastAsia" w:ascii="宋体" w:hAnsi="宋体" w:cs="宋体"/>
        </w:rPr>
      </w:pPr>
      <w:r>
        <w:fldChar w:fldCharType="begin"/>
      </w:r>
      <w:r>
        <w:instrText xml:space="preserve"> HYPERLINK \l "_Toc11544"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_Toc11544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4FFDFD50">
      <w:pPr>
        <w:pStyle w:val="26"/>
        <w:tabs>
          <w:tab w:val="right" w:leader="dot" w:pos="8958"/>
        </w:tabs>
        <w:spacing w:line="360" w:lineRule="auto"/>
      </w:pPr>
      <w:r>
        <w:fldChar w:fldCharType="begin"/>
      </w:r>
      <w:r>
        <w:instrText xml:space="preserve"> HYPERLINK \l "_Toc29957"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_Toc29957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5DEBC37F">
      <w:pPr>
        <w:pStyle w:val="26"/>
        <w:tabs>
          <w:tab w:val="right" w:leader="dot" w:pos="8958"/>
        </w:tabs>
      </w:pPr>
    </w:p>
    <w:p w14:paraId="38B7CC62">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7E289EFE">
      <w:pPr>
        <w:spacing w:line="440" w:lineRule="exact"/>
        <w:rPr>
          <w:rFonts w:hint="eastAsia" w:ascii="宋体" w:hAnsi="宋体" w:cs="宋体"/>
          <w:b/>
          <w:sz w:val="32"/>
          <w:szCs w:val="32"/>
        </w:rPr>
      </w:pPr>
    </w:p>
    <w:p w14:paraId="77687CD7">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E8A4CFF">
      <w:pPr>
        <w:spacing w:line="360" w:lineRule="auto"/>
        <w:jc w:val="center"/>
        <w:outlineLvl w:val="0"/>
        <w:rPr>
          <w:rFonts w:hint="eastAsia" w:ascii="宋体" w:hAnsi="宋体" w:cs="宋体"/>
          <w:b/>
          <w:sz w:val="32"/>
          <w:szCs w:val="32"/>
        </w:rPr>
      </w:pPr>
      <w:bookmarkStart w:id="2" w:name="_Toc4111"/>
      <w:r>
        <w:rPr>
          <w:rFonts w:hint="eastAsia" w:ascii="宋体" w:hAnsi="宋体" w:cs="宋体"/>
          <w:b/>
          <w:sz w:val="32"/>
          <w:szCs w:val="32"/>
        </w:rPr>
        <w:t>第一章  竞争性磋商采购公告</w:t>
      </w:r>
      <w:bookmarkEnd w:id="2"/>
    </w:p>
    <w:p w14:paraId="1AB8CD7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驻马店市中心医院妇儿院区零星维修改造项目</w:t>
      </w:r>
    </w:p>
    <w:p w14:paraId="3EAE5D2A">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4238EA6D">
      <w:pPr>
        <w:snapToGrid w:val="0"/>
        <w:spacing w:line="360" w:lineRule="auto"/>
        <w:ind w:firstLine="420" w:firstLineChars="200"/>
        <w:rPr>
          <w:rFonts w:hint="eastAsia" w:ascii="宋体" w:hAnsi="宋体" w:cs="宋体"/>
          <w:szCs w:val="21"/>
        </w:rPr>
      </w:pPr>
      <w:bookmarkStart w:id="3" w:name="_Toc23395"/>
      <w:bookmarkStart w:id="4" w:name="_Toc7823"/>
      <w:bookmarkStart w:id="5" w:name="_Toc9562"/>
      <w:bookmarkStart w:id="6" w:name="_Toc30643"/>
      <w:bookmarkStart w:id="7" w:name="_Toc30971"/>
      <w:r>
        <w:rPr>
          <w:rFonts w:hint="eastAsia" w:ascii="宋体" w:hAnsi="宋体" w:cs="宋体"/>
        </w:rPr>
        <w:t>驻马店市中心医院现对</w:t>
      </w:r>
      <w:r>
        <w:rPr>
          <w:rFonts w:hint="eastAsia" w:ascii="宋体" w:hAnsi="宋体" w:cs="宋体"/>
          <w:u w:val="single"/>
        </w:rPr>
        <w:t>驻马店市中心医院妇儿院区零星维修改造项目</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1C862D18">
      <w:pPr>
        <w:widowControl/>
        <w:snapToGrid w:val="0"/>
        <w:spacing w:line="360"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627CAEDC">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1、采购项目名称：驻马店市中心医院妇儿院区零星维修改造项目；</w:t>
      </w:r>
    </w:p>
    <w:p w14:paraId="644D102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2、采购需求：具体内容详见磋商文件第二章采购需求；</w:t>
      </w:r>
    </w:p>
    <w:p w14:paraId="7B718706">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8" w:name="_Toc26725"/>
      <w:r>
        <w:rPr>
          <w:rFonts w:hint="eastAsia" w:ascii="宋体" w:hAnsi="宋体" w:cs="宋体"/>
          <w:szCs w:val="21"/>
          <w:shd w:val="clear" w:color="auto" w:fill="FFFFFF"/>
        </w:rPr>
        <w:t>、预算金额：</w:t>
      </w:r>
      <w:r>
        <w:rPr>
          <w:rFonts w:hint="eastAsia" w:ascii="宋体" w:hAnsi="宋体" w:cs="宋体"/>
        </w:rPr>
        <w:t>47</w:t>
      </w:r>
      <w:r>
        <w:rPr>
          <w:rFonts w:hint="eastAsia" w:ascii="宋体" w:hAnsi="宋体" w:cs="宋体"/>
          <w:szCs w:val="21"/>
          <w:shd w:val="clear" w:color="auto" w:fill="FFFFFF"/>
        </w:rPr>
        <w:t>万元</w:t>
      </w:r>
      <w:r>
        <w:rPr>
          <w:rFonts w:hint="eastAsia" w:ascii="宋体" w:hAnsi="宋体" w:cs="宋体"/>
          <w:color w:val="000000" w:themeColor="text1"/>
          <w:szCs w:val="21"/>
          <w:shd w:val="clear" w:color="auto" w:fill="FFFFFF"/>
          <w14:textFill>
            <w14:solidFill>
              <w14:schemeClr w14:val="tx1"/>
            </w14:solidFill>
          </w14:textFill>
        </w:rPr>
        <w:t>（据实结算）</w:t>
      </w:r>
      <w:r>
        <w:rPr>
          <w:rFonts w:hint="eastAsia" w:ascii="宋体" w:hAnsi="宋体" w:cs="宋体"/>
          <w:szCs w:val="21"/>
          <w:shd w:val="clear" w:color="auto" w:fill="FFFFFF"/>
        </w:rPr>
        <w:t>；</w:t>
      </w:r>
    </w:p>
    <w:p w14:paraId="4D55EFBC">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4、服务期限：一年，起止时间按照合同约定。；</w:t>
      </w:r>
    </w:p>
    <w:p w14:paraId="74DAD13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5、质量要求：合格。</w:t>
      </w:r>
    </w:p>
    <w:p w14:paraId="09983319">
      <w:pPr>
        <w:widowControl/>
        <w:snapToGrid w:val="0"/>
        <w:spacing w:line="360" w:lineRule="auto"/>
        <w:jc w:val="left"/>
        <w:outlineLvl w:val="1"/>
        <w:rPr>
          <w:rFonts w:hint="eastAsia" w:ascii="宋体" w:hAnsi="宋体" w:cs="宋体"/>
          <w:b/>
          <w:bCs/>
          <w:color w:val="000000" w:themeColor="text1"/>
          <w:szCs w:val="21"/>
          <w:shd w:val="clear" w:color="auto" w:fill="FFFFFF"/>
          <w14:textFill>
            <w14:solidFill>
              <w14:schemeClr w14:val="tx1"/>
            </w14:solidFill>
          </w14:textFill>
        </w:rPr>
      </w:pPr>
      <w:bookmarkStart w:id="9" w:name="_Toc23626"/>
      <w:bookmarkStart w:id="10" w:name="_Toc18607"/>
      <w:bookmarkStart w:id="11" w:name="_Toc27704"/>
      <w:bookmarkStart w:id="12" w:name="_Toc16639"/>
      <w:r>
        <w:rPr>
          <w:rFonts w:hint="eastAsia" w:ascii="宋体" w:hAnsi="宋体" w:cs="宋体"/>
          <w:b/>
          <w:bCs/>
          <w:color w:val="000000" w:themeColor="text1"/>
          <w:szCs w:val="21"/>
          <w:shd w:val="clear" w:color="auto" w:fill="FFFFFF"/>
          <w14:textFill>
            <w14:solidFill>
              <w14:schemeClr w14:val="tx1"/>
            </w14:solidFill>
          </w14:textFill>
        </w:rPr>
        <w:t>二、</w:t>
      </w:r>
      <w:bookmarkEnd w:id="8"/>
      <w:bookmarkEnd w:id="9"/>
      <w:bookmarkEnd w:id="10"/>
      <w:bookmarkEnd w:id="11"/>
      <w:bookmarkEnd w:id="12"/>
      <w:r>
        <w:rPr>
          <w:rFonts w:hint="eastAsia" w:ascii="宋体" w:hAnsi="宋体" w:cs="宋体"/>
          <w:b/>
          <w:bCs/>
          <w:color w:val="000000" w:themeColor="text1"/>
          <w:szCs w:val="21"/>
          <w:shd w:val="clear" w:color="auto" w:fill="FFFFFF"/>
          <w14:textFill>
            <w14:solidFill>
              <w14:schemeClr w14:val="tx1"/>
            </w14:solidFill>
          </w14:textFill>
        </w:rPr>
        <w:t>供应商资格要求：</w:t>
      </w:r>
    </w:p>
    <w:p w14:paraId="2EED07F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1、具有独立承担民事责任的能力（提供营业执照或其他证明材料）；</w:t>
      </w:r>
    </w:p>
    <w:p w14:paraId="56569BC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w:t>
      </w:r>
      <w:r>
        <w:rPr>
          <w:rFonts w:hint="eastAsia" w:ascii="宋体" w:hAnsi="宋体" w:cs="宋体"/>
          <w:szCs w:val="21"/>
          <w:highlight w:val="none"/>
          <w:shd w:val="clear" w:color="auto" w:fill="FFFFFF"/>
        </w:rPr>
        <w:t>经审计的2024年度财务</w:t>
      </w:r>
      <w:r>
        <w:rPr>
          <w:rFonts w:hint="eastAsia" w:ascii="宋体" w:hAnsi="宋体" w:cs="宋体"/>
          <w:szCs w:val="21"/>
          <w:shd w:val="clear" w:color="auto" w:fill="FFFFFF"/>
        </w:rPr>
        <w:t>报告或者其基本开户银行出具的资信证明）；</w:t>
      </w:r>
    </w:p>
    <w:p w14:paraId="53A37C2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1DEFA53">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22361C4B">
      <w:pPr>
        <w:widowControl/>
        <w:tabs>
          <w:tab w:val="left" w:pos="840"/>
        </w:tabs>
        <w:snapToGrid w:val="0"/>
        <w:spacing w:line="360" w:lineRule="auto"/>
        <w:ind w:firstLine="420" w:firstLineChars="200"/>
        <w:jc w:val="left"/>
        <w:rPr>
          <w:rFonts w:hint="eastAsia" w:ascii="宋体" w:hAnsi="宋体" w:cs="宋体"/>
        </w:rPr>
      </w:pPr>
      <w:r>
        <w:rPr>
          <w:rFonts w:hint="eastAsia" w:ascii="宋体" w:hAnsi="宋体" w:cs="宋体"/>
          <w:szCs w:val="21"/>
          <w:shd w:val="clear" w:color="auto" w:fill="FFFFFF"/>
        </w:rPr>
        <w:t>5、参加本采购活动前三年内，在经营活动中没有重大违法记录（提供书面承诺函）；</w:t>
      </w:r>
    </w:p>
    <w:p w14:paraId="10E8306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696B4D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color w:val="000000" w:themeColor="text1"/>
          <w:kern w:val="0"/>
          <w:szCs w:val="21"/>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）。一经发现，将导致响应同时被拒绝；</w:t>
      </w:r>
    </w:p>
    <w:p w14:paraId="4EA5785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8、本项目特定资格要求：</w:t>
      </w:r>
    </w:p>
    <w:p w14:paraId="3D07B88B">
      <w:pPr>
        <w:widowControl/>
        <w:tabs>
          <w:tab w:val="left" w:pos="840"/>
        </w:tabs>
        <w:snapToGrid w:val="0"/>
        <w:spacing w:line="324" w:lineRule="auto"/>
        <w:ind w:firstLine="420" w:firstLineChars="200"/>
        <w:jc w:val="left"/>
        <w:rPr>
          <w:rFonts w:hint="eastAsia" w:ascii="宋体" w:hAnsi="宋体" w:cs="宋体"/>
          <w:szCs w:val="21"/>
          <w:highlight w:val="yellow"/>
          <w:shd w:val="clear" w:color="auto" w:fill="FFFFFF"/>
        </w:rPr>
      </w:pPr>
      <w:r>
        <w:rPr>
          <w:rFonts w:hint="eastAsia" w:ascii="宋体" w:hAnsi="宋体" w:cs="宋体"/>
          <w:szCs w:val="21"/>
          <w:shd w:val="clear" w:color="auto" w:fill="FFFFFF"/>
        </w:rPr>
        <w:t>8.1供应商须具有建设行政主管部门颁发的建筑工程施工总承包贰级及以上资质（且符合资质证书承揽范围），并具有有效的企业安全生产许可证（提供相关证书）；</w:t>
      </w:r>
    </w:p>
    <w:p w14:paraId="6C3F72C7">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8.2供应商拟派项目经理须具有贰级或贰级以上建筑工程专业注册建造师证书，且具有有效的安全生产考核证书，项目经理未担任其他在建工程（提供相关证书和项目经理无在建承诺书）；</w:t>
      </w:r>
    </w:p>
    <w:p w14:paraId="592324AB">
      <w:pPr>
        <w:widowControl/>
        <w:snapToGrid w:val="0"/>
        <w:spacing w:line="324" w:lineRule="auto"/>
        <w:ind w:firstLine="420" w:firstLineChars="200"/>
        <w:jc w:val="left"/>
        <w:outlineLvl w:val="1"/>
        <w:rPr>
          <w:rFonts w:hint="eastAsia" w:ascii="宋体" w:hAnsi="宋体" w:cs="宋体"/>
          <w:szCs w:val="21"/>
          <w:shd w:val="clear" w:color="auto" w:fill="FFFFFF"/>
        </w:rPr>
      </w:pPr>
      <w:r>
        <w:rPr>
          <w:rFonts w:hint="eastAsia" w:ascii="宋体" w:hAnsi="宋体" w:cs="宋体"/>
          <w:szCs w:val="21"/>
          <w:shd w:val="clear" w:color="auto" w:fill="FFFFFF"/>
        </w:rPr>
        <w:t>9、不接受联合体磋商。</w:t>
      </w:r>
    </w:p>
    <w:p w14:paraId="34428F03">
      <w:pPr>
        <w:widowControl/>
        <w:snapToGrid w:val="0"/>
        <w:spacing w:line="324" w:lineRule="auto"/>
        <w:jc w:val="left"/>
        <w:outlineLvl w:val="1"/>
        <w:rPr>
          <w:rFonts w:hint="eastAsia" w:ascii="宋体" w:hAnsi="宋体" w:cs="宋体"/>
          <w:b/>
          <w:bCs/>
        </w:rPr>
      </w:pPr>
      <w:r>
        <w:rPr>
          <w:rFonts w:hint="eastAsia" w:ascii="宋体" w:hAnsi="宋体" w:cs="宋体"/>
          <w:b/>
          <w:bCs/>
        </w:rPr>
        <w:t>三、获取采购文件</w:t>
      </w:r>
      <w:bookmarkEnd w:id="3"/>
      <w:bookmarkEnd w:id="4"/>
      <w:bookmarkEnd w:id="5"/>
      <w:bookmarkEnd w:id="6"/>
      <w:bookmarkEnd w:id="7"/>
    </w:p>
    <w:p w14:paraId="7875263A">
      <w:pPr>
        <w:widowControl/>
        <w:adjustRightInd w:val="0"/>
        <w:snapToGrid w:val="0"/>
        <w:spacing w:line="324" w:lineRule="auto"/>
        <w:ind w:firstLine="420" w:firstLineChars="200"/>
        <w:jc w:val="left"/>
        <w:rPr>
          <w:rFonts w:hint="eastAsia" w:ascii="宋体" w:hAnsi="宋体" w:cs="宋体"/>
          <w:color w:val="000000" w:themeColor="text1"/>
          <w:szCs w:val="21"/>
          <w:shd w:val="clear" w:color="auto" w:fill="FFFFFF"/>
          <w14:textFill>
            <w14:solidFill>
              <w14:schemeClr w14:val="tx1"/>
            </w14:solidFill>
          </w14:textFill>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14:textFill>
            <w14:solidFill>
              <w14:schemeClr w14:val="tx1"/>
            </w14:solidFill>
          </w14:textFill>
        </w:rPr>
        <w:t>报</w:t>
      </w:r>
      <w:r>
        <w:rPr>
          <w:rFonts w:hint="eastAsia" w:ascii="宋体" w:hAnsi="宋体" w:cs="宋体"/>
          <w:color w:val="auto"/>
          <w:szCs w:val="21"/>
          <w:shd w:val="clear" w:color="auto" w:fill="FFFFFF"/>
        </w:rPr>
        <w:t>名时间：2026年</w:t>
      </w: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7</w:t>
      </w:r>
      <w:r>
        <w:rPr>
          <w:rFonts w:hint="eastAsia" w:ascii="宋体" w:hAnsi="宋体" w:cs="宋体"/>
          <w:color w:val="auto"/>
          <w:szCs w:val="21"/>
          <w:shd w:val="clear" w:color="auto" w:fill="FFFFFF"/>
        </w:rPr>
        <w:t>日-2026年</w:t>
      </w:r>
      <w:r>
        <w:rPr>
          <w:rFonts w:hint="eastAsia" w:ascii="宋体" w:hAnsi="宋体" w:cs="宋体"/>
          <w:color w:val="auto"/>
          <w:szCs w:val="21"/>
          <w:shd w:val="clear" w:color="auto" w:fill="FFFFFF"/>
          <w:lang w:val="en-US" w:eastAsia="zh-CN"/>
        </w:rPr>
        <w:t>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9</w:t>
      </w:r>
      <w:r>
        <w:rPr>
          <w:rFonts w:hint="eastAsia" w:ascii="宋体" w:hAnsi="宋体" w:cs="宋体"/>
          <w:color w:val="auto"/>
          <w:szCs w:val="21"/>
          <w:shd w:val="clear" w:color="auto" w:fill="FFFFFF"/>
        </w:rPr>
        <w:t>日，上</w:t>
      </w:r>
      <w:r>
        <w:rPr>
          <w:rFonts w:hint="eastAsia" w:ascii="宋体" w:hAnsi="宋体" w:cs="宋体"/>
          <w:color w:val="000000" w:themeColor="text1"/>
          <w:szCs w:val="21"/>
          <w:shd w:val="clear" w:color="auto" w:fill="FFFFFF"/>
          <w14:textFill>
            <w14:solidFill>
              <w14:schemeClr w14:val="tx1"/>
            </w14:solidFill>
          </w14:textFill>
        </w:rPr>
        <w:t>午08：00-下午17:30（北京时间，法定节假日除外）。</w:t>
      </w:r>
    </w:p>
    <w:p w14:paraId="41486B7E">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color w:val="000000" w:themeColor="text1"/>
          <w:kern w:val="0"/>
          <w:szCs w:val="21"/>
          <w:shd w:val="clear" w:color="auto" w:fill="FFFFFF"/>
          <w14:textFill>
            <w14:solidFill>
              <w14:schemeClr w14:val="tx1"/>
            </w14:solidFill>
          </w14:textFill>
        </w:rPr>
        <w:t>2. 凡报名成功的供应商无故不来参与</w:t>
      </w:r>
      <w:r>
        <w:rPr>
          <w:rFonts w:hint="eastAsia" w:ascii="宋体" w:hAnsi="宋体" w:cs="宋体"/>
          <w:kern w:val="0"/>
          <w:szCs w:val="21"/>
        </w:rPr>
        <w:t>磋商</w:t>
      </w:r>
      <w:r>
        <w:rPr>
          <w:rFonts w:hint="eastAsia" w:ascii="宋体" w:hAnsi="宋体" w:cs="宋体"/>
          <w:color w:val="000000" w:themeColor="text1"/>
          <w:kern w:val="0"/>
          <w:szCs w:val="21"/>
          <w:shd w:val="clear" w:color="auto" w:fill="FFFFFF"/>
          <w14:textFill>
            <w14:solidFill>
              <w14:schemeClr w14:val="tx1"/>
            </w14:solidFill>
          </w14:textFill>
        </w:rPr>
        <w:t>的，列入我院黑名</w:t>
      </w:r>
      <w:r>
        <w:rPr>
          <w:rFonts w:hint="eastAsia" w:ascii="宋体" w:hAnsi="宋体" w:cs="宋体"/>
          <w:kern w:val="0"/>
          <w:szCs w:val="21"/>
          <w:shd w:val="clear" w:color="auto" w:fill="FFFFFF"/>
        </w:rPr>
        <w:t xml:space="preserve">单，一年内不得参与我院任何采购活动。 </w:t>
      </w:r>
      <w:bookmarkStart w:id="102" w:name="_GoBack"/>
      <w:bookmarkEnd w:id="102"/>
    </w:p>
    <w:p w14:paraId="12509452">
      <w:pPr>
        <w:widowControl/>
        <w:wordWrap w:val="0"/>
        <w:snapToGrid w:val="0"/>
        <w:spacing w:line="324" w:lineRule="auto"/>
        <w:ind w:firstLine="420" w:firstLineChars="200"/>
        <w:jc w:val="left"/>
        <w:rPr>
          <w:rFonts w:hint="eastAsia"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采购文件获取方式：供应商须把填写完整的报名登记表及本磋商公告第二项供应商资格要求中需提供加盖单位公章的相关资料扫描件按序排版为PDF格式文件，发送至以下邮箱：1</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132414313@qq.com,并标明XX公司XX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3856D592">
      <w:pPr>
        <w:widowControl/>
        <w:wordWrap w:val="0"/>
        <w:snapToGrid w:val="0"/>
        <w:spacing w:line="324" w:lineRule="auto"/>
        <w:ind w:left="420" w:leftChars="200"/>
        <w:jc w:val="left"/>
        <w:rPr>
          <w:rFonts w:hint="eastAsia" w:ascii="宋体" w:hAnsi="宋体" w:cs="宋体"/>
          <w:kern w:val="0"/>
          <w:szCs w:val="21"/>
        </w:rPr>
      </w:pPr>
      <w:r>
        <w:rPr>
          <w:rFonts w:hint="eastAsia" w:ascii="宋体" w:hAnsi="宋体" w:cs="宋体"/>
          <w:kern w:val="0"/>
          <w:szCs w:val="21"/>
          <w:shd w:val="clear" w:color="auto" w:fill="FFFFFF"/>
        </w:rPr>
        <w:t>4. 报名登记表：请从附件中下载。</w:t>
      </w:r>
    </w:p>
    <w:p w14:paraId="764C1C53">
      <w:pPr>
        <w:widowControl/>
        <w:snapToGrid w:val="0"/>
        <w:spacing w:line="324" w:lineRule="auto"/>
        <w:jc w:val="left"/>
        <w:outlineLvl w:val="1"/>
        <w:rPr>
          <w:rFonts w:hint="eastAsia" w:ascii="宋体" w:hAnsi="宋体" w:cs="宋体"/>
          <w:b/>
          <w:bCs/>
          <w:szCs w:val="21"/>
        </w:rPr>
      </w:pPr>
      <w:bookmarkStart w:id="13" w:name="_Toc10738"/>
      <w:bookmarkStart w:id="14" w:name="_Toc25869"/>
      <w:bookmarkStart w:id="15" w:name="_Toc27480"/>
      <w:bookmarkStart w:id="16" w:name="_Toc15111"/>
      <w:bookmarkStart w:id="17" w:name="_Toc15135"/>
      <w:r>
        <w:rPr>
          <w:rFonts w:hint="eastAsia" w:ascii="宋体" w:hAnsi="宋体" w:cs="宋体"/>
          <w:b/>
          <w:bCs/>
          <w:szCs w:val="21"/>
          <w:shd w:val="clear" w:color="auto" w:fill="FFFFFF"/>
        </w:rPr>
        <w:t>四、磋商截止时间及地点</w:t>
      </w:r>
      <w:bookmarkEnd w:id="13"/>
      <w:bookmarkEnd w:id="14"/>
      <w:bookmarkEnd w:id="15"/>
      <w:bookmarkEnd w:id="16"/>
      <w:bookmarkEnd w:id="17"/>
    </w:p>
    <w:p w14:paraId="60E797A2">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2FB108E1">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35AE7036">
      <w:pPr>
        <w:widowControl/>
        <w:snapToGrid w:val="0"/>
        <w:spacing w:line="324" w:lineRule="auto"/>
        <w:jc w:val="left"/>
        <w:outlineLvl w:val="1"/>
        <w:rPr>
          <w:rFonts w:hint="eastAsia" w:ascii="宋体" w:hAnsi="宋体" w:cs="宋体"/>
          <w:b/>
          <w:bCs/>
          <w:szCs w:val="21"/>
        </w:rPr>
      </w:pPr>
      <w:r>
        <w:rPr>
          <w:rFonts w:hint="eastAsia" w:ascii="宋体" w:hAnsi="宋体" w:cs="宋体"/>
          <w:b/>
          <w:bCs/>
          <w:szCs w:val="21"/>
          <w:shd w:val="clear" w:color="auto" w:fill="FFFFFF"/>
        </w:rPr>
        <w:t>五、磋商时间及地点</w:t>
      </w:r>
    </w:p>
    <w:p w14:paraId="0013A49C">
      <w:pPr>
        <w:widowControl/>
        <w:snapToGrid w:val="0"/>
        <w:spacing w:line="324" w:lineRule="auto"/>
        <w:ind w:firstLine="420" w:firstLineChars="200"/>
        <w:jc w:val="left"/>
        <w:rPr>
          <w:rFonts w:hint="eastAsia"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0C9E91BF">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3A4A1226">
      <w:pPr>
        <w:widowControl/>
        <w:snapToGrid w:val="0"/>
        <w:spacing w:line="324" w:lineRule="auto"/>
        <w:jc w:val="left"/>
        <w:outlineLvl w:val="1"/>
        <w:rPr>
          <w:rFonts w:hint="eastAsia" w:ascii="宋体" w:hAnsi="宋体" w:cs="宋体"/>
          <w:b/>
          <w:bCs/>
          <w:szCs w:val="21"/>
        </w:rPr>
      </w:pPr>
      <w:bookmarkStart w:id="18" w:name="_Toc6523"/>
      <w:bookmarkStart w:id="19" w:name="_Toc30918"/>
      <w:bookmarkStart w:id="20" w:name="_Toc29784"/>
      <w:bookmarkStart w:id="21"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14:paraId="46A7010F">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795"/>
      <w:bookmarkStart w:id="23" w:name="_Toc35393626"/>
    </w:p>
    <w:bookmarkEnd w:id="22"/>
    <w:bookmarkEnd w:id="23"/>
    <w:p w14:paraId="0FE06821">
      <w:pPr>
        <w:widowControl/>
        <w:snapToGrid w:val="0"/>
        <w:spacing w:line="324" w:lineRule="auto"/>
        <w:jc w:val="left"/>
        <w:outlineLvl w:val="1"/>
        <w:rPr>
          <w:rFonts w:hint="eastAsia" w:ascii="宋体" w:hAnsi="宋体" w:cs="宋体"/>
          <w:b/>
          <w:bCs/>
          <w:szCs w:val="21"/>
        </w:rPr>
      </w:pPr>
      <w:bookmarkStart w:id="24" w:name="_Toc24274"/>
      <w:bookmarkStart w:id="25" w:name="_Toc27370"/>
      <w:bookmarkStart w:id="26" w:name="_Toc16291"/>
      <w:bookmarkStart w:id="27" w:name="_Toc31928"/>
      <w:bookmarkStart w:id="28" w:name="_Toc3604"/>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14:paraId="2F077F00">
      <w:pPr>
        <w:widowControl/>
        <w:snapToGrid w:val="0"/>
        <w:spacing w:line="360" w:lineRule="auto"/>
        <w:ind w:firstLine="420" w:firstLineChars="200"/>
        <w:jc w:val="left"/>
        <w:rPr>
          <w:rFonts w:hint="eastAsia" w:ascii="宋体" w:hAnsi="宋体" w:cs="宋体"/>
          <w:kern w:val="0"/>
          <w:szCs w:val="21"/>
          <w:shd w:val="clear" w:color="auto" w:fill="FFFFFF"/>
        </w:rPr>
      </w:pPr>
      <w:bookmarkStart w:id="29" w:name="_Toc29890"/>
      <w:bookmarkStart w:id="30" w:name="_Toc23793"/>
      <w:r>
        <w:rPr>
          <w:rFonts w:hint="eastAsia" w:ascii="宋体" w:hAnsi="宋体" w:cs="宋体"/>
          <w:kern w:val="0"/>
          <w:szCs w:val="21"/>
          <w:shd w:val="clear" w:color="auto" w:fill="FFFFFF"/>
        </w:rPr>
        <w:t>1.采购人：驻马店市中心医院</w:t>
      </w:r>
    </w:p>
    <w:p w14:paraId="4D9FE1A4">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地址：驻马店市中华大道747号</w:t>
      </w:r>
    </w:p>
    <w:p w14:paraId="09A024BA">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联系人：陈先生</w:t>
      </w:r>
      <w:r>
        <w:rPr>
          <w:rFonts w:hint="eastAsia" w:ascii="宋体" w:hAnsi="宋体" w:cs="宋体"/>
          <w:color w:val="000000" w:themeColor="text1"/>
          <w:szCs w:val="21"/>
          <w:shd w:val="clear" w:color="auto" w:fill="FFFFFF"/>
          <w14:textFill>
            <w14:solidFill>
              <w14:schemeClr w14:val="tx1"/>
            </w14:solidFill>
          </w14:textFill>
        </w:rPr>
        <w:t xml:space="preserve">  </w:t>
      </w:r>
    </w:p>
    <w:p w14:paraId="5FADA65F">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电话：0396-2726379</w:t>
      </w:r>
    </w:p>
    <w:p w14:paraId="23D46A32">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2.采购代理机构：中基建安工程管理有限公司</w:t>
      </w:r>
    </w:p>
    <w:p w14:paraId="26FAD848">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地址：河南自贸试验区郑州片区（郑东）心怡路319号易元国际B座16层1624号</w:t>
      </w:r>
    </w:p>
    <w:p w14:paraId="00480D04">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 xml:space="preserve">联系人：赵女士 </w:t>
      </w:r>
    </w:p>
    <w:p w14:paraId="6727F12C">
      <w:pPr>
        <w:widowControl/>
        <w:snapToGrid w:val="0"/>
        <w:spacing w:line="324"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联系方式：18568019891</w:t>
      </w:r>
    </w:p>
    <w:p w14:paraId="025C10F6">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2103656A">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监督电话：0396-2726678</w:t>
      </w:r>
    </w:p>
    <w:p w14:paraId="1A566842">
      <w:pPr>
        <w:widowControl/>
        <w:snapToGrid w:val="0"/>
        <w:spacing w:line="360" w:lineRule="auto"/>
        <w:ind w:firstLine="420" w:firstLineChars="200"/>
        <w:jc w:val="right"/>
        <w:rPr>
          <w:rFonts w:hint="eastAsia" w:ascii="宋体" w:hAnsi="宋体" w:cs="宋体"/>
          <w:kern w:val="0"/>
          <w:szCs w:val="21"/>
          <w:shd w:val="clear" w:color="auto" w:fill="FFFFFF"/>
        </w:rPr>
      </w:pPr>
    </w:p>
    <w:p w14:paraId="7FEA60CC">
      <w:pPr>
        <w:widowControl/>
        <w:snapToGrid w:val="0"/>
        <w:spacing w:line="360" w:lineRule="auto"/>
        <w:ind w:firstLine="420" w:firstLineChars="200"/>
        <w:jc w:val="right"/>
        <w:rPr>
          <w:rFonts w:hint="eastAsia" w:ascii="宋体" w:hAnsi="宋体" w:cs="宋体"/>
          <w:kern w:val="0"/>
          <w:szCs w:val="21"/>
          <w:shd w:val="clear" w:color="auto" w:fill="FFFFFF"/>
        </w:rPr>
      </w:pPr>
    </w:p>
    <w:p w14:paraId="5D90747C">
      <w:pPr>
        <w:widowControl/>
        <w:snapToGrid w:val="0"/>
        <w:spacing w:line="360"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09D194FD">
      <w:pPr>
        <w:pStyle w:val="31"/>
        <w:widowControl/>
        <w:snapToGrid w:val="0"/>
        <w:spacing w:before="0" w:beforeAutospacing="0" w:after="0" w:afterAutospacing="0" w:line="360"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2026年</w:t>
      </w:r>
      <w:r>
        <w:rPr>
          <w:rFonts w:hint="eastAsia" w:ascii="宋体" w:hAnsi="宋体" w:cs="宋体"/>
          <w:color w:val="auto"/>
          <w:sz w:val="21"/>
          <w:szCs w:val="21"/>
          <w:shd w:val="clear" w:color="auto" w:fill="FFFFFF"/>
          <w:lang w:val="en-US" w:eastAsia="zh-CN"/>
        </w:rPr>
        <w:t>1</w:t>
      </w:r>
      <w:r>
        <w:rPr>
          <w:rFonts w:hint="eastAsia" w:ascii="宋体" w:hAnsi="宋体" w:cs="宋体"/>
          <w:color w:val="auto"/>
          <w:sz w:val="21"/>
          <w:szCs w:val="21"/>
          <w:shd w:val="clear" w:color="auto" w:fill="FFFFFF"/>
        </w:rPr>
        <w:t xml:space="preserve">月 </w:t>
      </w:r>
      <w:r>
        <w:rPr>
          <w:rFonts w:hint="eastAsia" w:ascii="宋体" w:hAnsi="宋体" w:cs="宋体"/>
          <w:color w:val="auto"/>
          <w:sz w:val="21"/>
          <w:szCs w:val="21"/>
          <w:shd w:val="clear" w:color="auto" w:fill="FFFFFF"/>
          <w:lang w:val="en-US" w:eastAsia="zh-CN"/>
        </w:rPr>
        <w:t>6</w:t>
      </w:r>
      <w:r>
        <w:rPr>
          <w:rFonts w:hint="eastAsia" w:ascii="宋体" w:hAnsi="宋体" w:cs="宋体"/>
          <w:color w:val="auto"/>
          <w:sz w:val="21"/>
          <w:szCs w:val="21"/>
          <w:shd w:val="clear" w:color="auto" w:fill="FFFFFF"/>
        </w:rPr>
        <w:t>日</w:t>
      </w:r>
    </w:p>
    <w:p w14:paraId="484D5C84">
      <w:pPr>
        <w:rPr>
          <w:rFonts w:hint="eastAsia" w:ascii="宋体" w:hAnsi="宋体" w:cs="宋体"/>
          <w:b/>
          <w:sz w:val="32"/>
          <w:szCs w:val="32"/>
        </w:rPr>
      </w:pPr>
      <w:r>
        <w:rPr>
          <w:rFonts w:hint="eastAsia" w:ascii="宋体" w:hAnsi="宋体" w:cs="宋体"/>
          <w:b/>
          <w:sz w:val="32"/>
          <w:szCs w:val="32"/>
        </w:rPr>
        <w:br w:type="page"/>
      </w:r>
    </w:p>
    <w:p w14:paraId="5AE30D0B">
      <w:pPr>
        <w:widowControl/>
        <w:spacing w:line="360" w:lineRule="auto"/>
        <w:ind w:firstLine="643" w:firstLineChars="200"/>
        <w:jc w:val="center"/>
        <w:outlineLvl w:val="0"/>
        <w:rPr>
          <w:rFonts w:hint="eastAsia" w:ascii="宋体" w:hAnsi="宋体" w:cs="宋体"/>
          <w:b/>
          <w:sz w:val="32"/>
          <w:szCs w:val="32"/>
        </w:rPr>
      </w:pPr>
      <w:bookmarkStart w:id="31" w:name="_Toc1871"/>
      <w:r>
        <w:rPr>
          <w:rFonts w:hint="eastAsia" w:ascii="宋体" w:hAnsi="宋体" w:cs="宋体"/>
          <w:b/>
          <w:sz w:val="32"/>
          <w:szCs w:val="32"/>
        </w:rPr>
        <w:t>第二章  采购需求</w:t>
      </w:r>
      <w:bookmarkEnd w:id="31"/>
      <w:bookmarkStart w:id="32" w:name="_Toc23610"/>
      <w:bookmarkStart w:id="33" w:name="_Toc31536"/>
      <w:bookmarkStart w:id="34" w:name="_Toc9989"/>
    </w:p>
    <w:bookmarkEnd w:id="29"/>
    <w:bookmarkEnd w:id="30"/>
    <w:bookmarkEnd w:id="32"/>
    <w:bookmarkEnd w:id="33"/>
    <w:bookmarkEnd w:id="34"/>
    <w:p w14:paraId="537837B6">
      <w:pPr>
        <w:snapToGrid w:val="0"/>
        <w:spacing w:line="360" w:lineRule="auto"/>
        <w:rPr>
          <w:rFonts w:hint="eastAsia" w:ascii="宋体" w:hAnsi="宋体" w:cs="宋体"/>
          <w:iCs/>
          <w:szCs w:val="21"/>
        </w:rPr>
      </w:pPr>
      <w:r>
        <w:rPr>
          <w:rFonts w:hint="eastAsia" w:ascii="宋体" w:hAnsi="宋体" w:cs="宋体"/>
          <w:b/>
          <w:bCs/>
          <w:iCs/>
          <w:szCs w:val="21"/>
        </w:rPr>
        <w:t>一、项目名称：</w:t>
      </w:r>
      <w:r>
        <w:rPr>
          <w:rFonts w:hint="eastAsia" w:ascii="宋体" w:hAnsi="宋体" w:cs="宋体"/>
        </w:rPr>
        <w:t>驻马店市中心医院妇儿院区零星维修改造项目</w:t>
      </w:r>
    </w:p>
    <w:p w14:paraId="45FE1D5B">
      <w:pPr>
        <w:pStyle w:val="7"/>
        <w:snapToGrid w:val="0"/>
        <w:spacing w:beforeAutospacing="0" w:afterAutospacing="0" w:line="360" w:lineRule="auto"/>
        <w:jc w:val="both"/>
        <w:rPr>
          <w:rFonts w:hint="eastAsia"/>
          <w:b/>
          <w:bCs/>
          <w:kern w:val="2"/>
          <w:sz w:val="21"/>
        </w:rPr>
      </w:pPr>
      <w:r>
        <w:rPr>
          <w:rFonts w:hint="eastAsia"/>
          <w:b/>
          <w:bCs/>
          <w:kern w:val="2"/>
          <w:sz w:val="21"/>
        </w:rPr>
        <w:t>二、采购标的清单：</w:t>
      </w:r>
    </w:p>
    <w:tbl>
      <w:tblPr>
        <w:tblStyle w:val="35"/>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71"/>
        <w:gridCol w:w="953"/>
        <w:gridCol w:w="1026"/>
        <w:gridCol w:w="1550"/>
        <w:gridCol w:w="1032"/>
        <w:gridCol w:w="1032"/>
      </w:tblGrid>
      <w:tr w14:paraId="6F6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61" w:type="dxa"/>
            <w:vAlign w:val="center"/>
          </w:tcPr>
          <w:p w14:paraId="40B8F68A">
            <w:pPr>
              <w:pStyle w:val="7"/>
              <w:widowControl w:val="0"/>
              <w:spacing w:beforeAutospacing="0" w:line="400" w:lineRule="exact"/>
              <w:jc w:val="center"/>
              <w:rPr>
                <w:rFonts w:hint="eastAsia"/>
                <w:sz w:val="21"/>
                <w:szCs w:val="21"/>
              </w:rPr>
            </w:pPr>
            <w:r>
              <w:rPr>
                <w:rFonts w:hint="eastAsia"/>
                <w:b/>
                <w:bCs/>
                <w:sz w:val="21"/>
                <w:szCs w:val="21"/>
              </w:rPr>
              <w:t>序号</w:t>
            </w:r>
          </w:p>
        </w:tc>
        <w:tc>
          <w:tcPr>
            <w:tcW w:w="3171" w:type="dxa"/>
            <w:vAlign w:val="center"/>
          </w:tcPr>
          <w:p w14:paraId="12D6D4BE">
            <w:pPr>
              <w:pStyle w:val="7"/>
              <w:widowControl w:val="0"/>
              <w:spacing w:beforeAutospacing="0" w:line="400" w:lineRule="exact"/>
              <w:jc w:val="center"/>
              <w:rPr>
                <w:rFonts w:hint="eastAsia"/>
                <w:sz w:val="21"/>
                <w:szCs w:val="21"/>
              </w:rPr>
            </w:pPr>
            <w:r>
              <w:rPr>
                <w:rFonts w:hint="eastAsia"/>
                <w:b/>
                <w:bCs/>
                <w:sz w:val="21"/>
                <w:szCs w:val="21"/>
              </w:rPr>
              <w:t>标的名称</w:t>
            </w:r>
          </w:p>
        </w:tc>
        <w:tc>
          <w:tcPr>
            <w:tcW w:w="953" w:type="dxa"/>
            <w:vAlign w:val="center"/>
          </w:tcPr>
          <w:p w14:paraId="56AC30DF">
            <w:pPr>
              <w:pStyle w:val="7"/>
              <w:widowControl w:val="0"/>
              <w:spacing w:beforeAutospacing="0" w:line="400" w:lineRule="exact"/>
              <w:jc w:val="center"/>
              <w:rPr>
                <w:rFonts w:hint="eastAsia"/>
                <w:sz w:val="21"/>
                <w:szCs w:val="21"/>
              </w:rPr>
            </w:pPr>
            <w:r>
              <w:rPr>
                <w:rFonts w:hint="eastAsia"/>
                <w:b/>
                <w:bCs/>
                <w:sz w:val="21"/>
                <w:szCs w:val="21"/>
              </w:rPr>
              <w:t>单位</w:t>
            </w:r>
          </w:p>
        </w:tc>
        <w:tc>
          <w:tcPr>
            <w:tcW w:w="1026" w:type="dxa"/>
            <w:vAlign w:val="center"/>
          </w:tcPr>
          <w:p w14:paraId="26DBCF87">
            <w:pPr>
              <w:pStyle w:val="7"/>
              <w:widowControl w:val="0"/>
              <w:spacing w:beforeAutospacing="0" w:line="400" w:lineRule="exact"/>
              <w:jc w:val="center"/>
              <w:rPr>
                <w:rFonts w:hint="eastAsia"/>
                <w:sz w:val="21"/>
                <w:szCs w:val="21"/>
              </w:rPr>
            </w:pPr>
            <w:r>
              <w:rPr>
                <w:rFonts w:hint="eastAsia"/>
                <w:b/>
                <w:bCs/>
                <w:sz w:val="21"/>
                <w:szCs w:val="21"/>
              </w:rPr>
              <w:t>数量</w:t>
            </w:r>
          </w:p>
        </w:tc>
        <w:tc>
          <w:tcPr>
            <w:tcW w:w="1550" w:type="dxa"/>
            <w:vAlign w:val="center"/>
          </w:tcPr>
          <w:p w14:paraId="59B532D3">
            <w:pPr>
              <w:pStyle w:val="7"/>
              <w:widowControl w:val="0"/>
              <w:spacing w:beforeAutospacing="0" w:line="400" w:lineRule="exact"/>
              <w:jc w:val="center"/>
              <w:rPr>
                <w:rFonts w:hint="eastAsia"/>
                <w:sz w:val="21"/>
                <w:szCs w:val="21"/>
              </w:rPr>
            </w:pPr>
            <w:r>
              <w:rPr>
                <w:rFonts w:hint="eastAsia"/>
                <w:b/>
                <w:bCs/>
                <w:sz w:val="21"/>
                <w:szCs w:val="21"/>
              </w:rPr>
              <w:t>资金预算</w:t>
            </w:r>
          </w:p>
        </w:tc>
        <w:tc>
          <w:tcPr>
            <w:tcW w:w="1032" w:type="dxa"/>
            <w:vAlign w:val="center"/>
          </w:tcPr>
          <w:p w14:paraId="176BBF1E">
            <w:pPr>
              <w:pStyle w:val="7"/>
              <w:widowControl w:val="0"/>
              <w:spacing w:beforeAutospacing="0" w:line="400" w:lineRule="exact"/>
              <w:jc w:val="center"/>
              <w:rPr>
                <w:rFonts w:hint="eastAsia"/>
                <w:sz w:val="21"/>
                <w:szCs w:val="21"/>
              </w:rPr>
            </w:pPr>
            <w:r>
              <w:rPr>
                <w:rFonts w:hint="eastAsia"/>
                <w:b/>
                <w:bCs/>
                <w:sz w:val="21"/>
                <w:szCs w:val="21"/>
              </w:rPr>
              <w:t>资金性质</w:t>
            </w:r>
          </w:p>
        </w:tc>
        <w:tc>
          <w:tcPr>
            <w:tcW w:w="1032" w:type="dxa"/>
            <w:vAlign w:val="center"/>
          </w:tcPr>
          <w:p w14:paraId="1B8F9C0C">
            <w:pPr>
              <w:pStyle w:val="7"/>
              <w:widowControl w:val="0"/>
              <w:spacing w:beforeAutospacing="0" w:line="400" w:lineRule="exact"/>
              <w:jc w:val="center"/>
              <w:rPr>
                <w:rFonts w:hint="eastAsia"/>
                <w:b/>
                <w:bCs/>
                <w:sz w:val="21"/>
                <w:szCs w:val="21"/>
              </w:rPr>
            </w:pPr>
            <w:r>
              <w:rPr>
                <w:rFonts w:hint="eastAsia"/>
                <w:b/>
                <w:bCs/>
                <w:sz w:val="21"/>
                <w:szCs w:val="21"/>
              </w:rPr>
              <w:t>国产/进口</w:t>
            </w:r>
          </w:p>
        </w:tc>
      </w:tr>
      <w:tr w14:paraId="24A1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1" w:type="dxa"/>
            <w:vAlign w:val="center"/>
          </w:tcPr>
          <w:p w14:paraId="23F38585">
            <w:pPr>
              <w:spacing w:line="560" w:lineRule="exact"/>
              <w:jc w:val="center"/>
              <w:rPr>
                <w:rFonts w:hint="eastAsia" w:ascii="宋体" w:hAnsi="宋体" w:cs="宋体"/>
                <w:kern w:val="0"/>
                <w:szCs w:val="21"/>
              </w:rPr>
            </w:pPr>
            <w:r>
              <w:rPr>
                <w:rFonts w:hint="eastAsia" w:ascii="宋体" w:hAnsi="宋体" w:cs="宋体"/>
                <w:kern w:val="0"/>
                <w:szCs w:val="21"/>
              </w:rPr>
              <w:t>1</w:t>
            </w:r>
          </w:p>
        </w:tc>
        <w:tc>
          <w:tcPr>
            <w:tcW w:w="3171" w:type="dxa"/>
            <w:vAlign w:val="center"/>
          </w:tcPr>
          <w:p w14:paraId="505608AC">
            <w:pPr>
              <w:spacing w:line="560" w:lineRule="exact"/>
              <w:jc w:val="left"/>
              <w:rPr>
                <w:rFonts w:hint="eastAsia" w:ascii="宋体" w:hAnsi="宋体" w:cs="宋体"/>
                <w:kern w:val="0"/>
                <w:szCs w:val="21"/>
              </w:rPr>
            </w:pPr>
            <w:r>
              <w:rPr>
                <w:rFonts w:ascii="宋体" w:hAnsi="宋体" w:cs="宋体"/>
                <w:kern w:val="0"/>
                <w:szCs w:val="21"/>
              </w:rPr>
              <w:t>妇儿院区零星维修改造</w:t>
            </w:r>
          </w:p>
        </w:tc>
        <w:tc>
          <w:tcPr>
            <w:tcW w:w="953" w:type="dxa"/>
            <w:vAlign w:val="center"/>
          </w:tcPr>
          <w:p w14:paraId="0F9781A8">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w:t>
            </w:r>
          </w:p>
        </w:tc>
        <w:tc>
          <w:tcPr>
            <w:tcW w:w="1026" w:type="dxa"/>
            <w:vAlign w:val="center"/>
          </w:tcPr>
          <w:p w14:paraId="4255D556">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w:t>
            </w:r>
          </w:p>
        </w:tc>
        <w:tc>
          <w:tcPr>
            <w:tcW w:w="1550" w:type="dxa"/>
            <w:vAlign w:val="center"/>
          </w:tcPr>
          <w:p w14:paraId="71E60CC5">
            <w:pPr>
              <w:spacing w:line="560" w:lineRule="exact"/>
              <w:jc w:val="center"/>
              <w:rPr>
                <w:rFonts w:hint="eastAsia" w:ascii="宋体" w:hAnsi="宋体" w:cs="宋体"/>
                <w:kern w:val="0"/>
                <w:szCs w:val="21"/>
              </w:rPr>
            </w:pPr>
            <w:r>
              <w:rPr>
                <w:rFonts w:hint="eastAsia" w:ascii="宋体" w:hAnsi="宋体" w:cs="宋体"/>
                <w:kern w:val="0"/>
                <w:szCs w:val="21"/>
              </w:rPr>
              <w:t>47万元</w:t>
            </w:r>
          </w:p>
        </w:tc>
        <w:tc>
          <w:tcPr>
            <w:tcW w:w="1032" w:type="dxa"/>
            <w:vAlign w:val="center"/>
          </w:tcPr>
          <w:p w14:paraId="2184DB2D">
            <w:pPr>
              <w:spacing w:line="560" w:lineRule="exact"/>
              <w:jc w:val="center"/>
              <w:rPr>
                <w:rFonts w:hint="eastAsia" w:ascii="宋体" w:hAnsi="宋体" w:cs="宋体"/>
                <w:kern w:val="0"/>
                <w:szCs w:val="21"/>
              </w:rPr>
            </w:pPr>
            <w:r>
              <w:rPr>
                <w:rFonts w:hint="eastAsia" w:ascii="宋体" w:hAnsi="宋体" w:cs="宋体"/>
                <w:kern w:val="0"/>
                <w:szCs w:val="21"/>
              </w:rPr>
              <w:t>自筹</w:t>
            </w:r>
          </w:p>
        </w:tc>
        <w:tc>
          <w:tcPr>
            <w:tcW w:w="1032" w:type="dxa"/>
            <w:vAlign w:val="center"/>
          </w:tcPr>
          <w:p w14:paraId="00D91FB3">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w:t>
            </w:r>
          </w:p>
        </w:tc>
      </w:tr>
      <w:tr w14:paraId="39C3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61" w:type="dxa"/>
            <w:vAlign w:val="center"/>
          </w:tcPr>
          <w:p w14:paraId="6B91647E">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合计</w:t>
            </w:r>
          </w:p>
        </w:tc>
        <w:tc>
          <w:tcPr>
            <w:tcW w:w="3171" w:type="dxa"/>
            <w:vAlign w:val="center"/>
          </w:tcPr>
          <w:p w14:paraId="43C936C3">
            <w:pPr>
              <w:widowControl/>
              <w:adjustRightInd w:val="0"/>
              <w:spacing w:line="360" w:lineRule="auto"/>
              <w:jc w:val="center"/>
              <w:rPr>
                <w:rFonts w:hint="eastAsia" w:ascii="宋体" w:hAnsi="宋体" w:cs="宋体"/>
                <w:kern w:val="0"/>
                <w:szCs w:val="21"/>
              </w:rPr>
            </w:pPr>
          </w:p>
        </w:tc>
        <w:tc>
          <w:tcPr>
            <w:tcW w:w="953" w:type="dxa"/>
            <w:vAlign w:val="center"/>
          </w:tcPr>
          <w:p w14:paraId="1946B82D">
            <w:pPr>
              <w:widowControl/>
              <w:adjustRightInd w:val="0"/>
              <w:spacing w:line="360" w:lineRule="auto"/>
              <w:jc w:val="center"/>
              <w:rPr>
                <w:rFonts w:hint="eastAsia" w:ascii="宋体" w:hAnsi="宋体" w:cs="宋体"/>
                <w:kern w:val="0"/>
                <w:szCs w:val="21"/>
              </w:rPr>
            </w:pPr>
          </w:p>
        </w:tc>
        <w:tc>
          <w:tcPr>
            <w:tcW w:w="1026" w:type="dxa"/>
            <w:vAlign w:val="center"/>
          </w:tcPr>
          <w:p w14:paraId="491447F3">
            <w:pPr>
              <w:widowControl/>
              <w:adjustRightInd w:val="0"/>
              <w:spacing w:line="360" w:lineRule="auto"/>
              <w:jc w:val="center"/>
              <w:rPr>
                <w:rFonts w:hint="eastAsia" w:ascii="宋体" w:hAnsi="宋体" w:cs="宋体"/>
                <w:kern w:val="0"/>
                <w:szCs w:val="21"/>
              </w:rPr>
            </w:pPr>
          </w:p>
        </w:tc>
        <w:tc>
          <w:tcPr>
            <w:tcW w:w="1550" w:type="dxa"/>
            <w:vAlign w:val="center"/>
          </w:tcPr>
          <w:p w14:paraId="2A19188F">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47万元</w:t>
            </w:r>
          </w:p>
        </w:tc>
        <w:tc>
          <w:tcPr>
            <w:tcW w:w="1032" w:type="dxa"/>
            <w:vAlign w:val="center"/>
          </w:tcPr>
          <w:p w14:paraId="1FCFF347">
            <w:pPr>
              <w:widowControl/>
              <w:adjustRightInd w:val="0"/>
              <w:spacing w:line="360" w:lineRule="auto"/>
              <w:jc w:val="center"/>
              <w:rPr>
                <w:rFonts w:hint="eastAsia" w:ascii="宋体" w:hAnsi="宋体" w:cs="宋体"/>
                <w:kern w:val="0"/>
                <w:szCs w:val="21"/>
              </w:rPr>
            </w:pPr>
          </w:p>
        </w:tc>
        <w:tc>
          <w:tcPr>
            <w:tcW w:w="1032" w:type="dxa"/>
            <w:vAlign w:val="center"/>
          </w:tcPr>
          <w:p w14:paraId="07B4AFA8">
            <w:pPr>
              <w:widowControl/>
              <w:adjustRightInd w:val="0"/>
              <w:spacing w:line="360" w:lineRule="auto"/>
              <w:jc w:val="center"/>
              <w:rPr>
                <w:rFonts w:hint="eastAsia" w:ascii="宋体" w:hAnsi="宋体" w:cs="宋体"/>
                <w:kern w:val="0"/>
                <w:szCs w:val="21"/>
              </w:rPr>
            </w:pPr>
          </w:p>
        </w:tc>
      </w:tr>
      <w:tr w14:paraId="7B5A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61" w:type="dxa"/>
            <w:vAlign w:val="center"/>
          </w:tcPr>
          <w:p w14:paraId="19C8B8B0">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8764" w:type="dxa"/>
            <w:gridSpan w:val="6"/>
            <w:vAlign w:val="center"/>
          </w:tcPr>
          <w:p w14:paraId="4461E9FD">
            <w:pPr>
              <w:widowControl/>
              <w:adjustRightInd w:val="0"/>
              <w:spacing w:line="360" w:lineRule="auto"/>
              <w:jc w:val="center"/>
              <w:rPr>
                <w:rFonts w:hint="default" w:ascii="宋体" w:hAnsi="宋体" w:eastAsia="宋体" w:cs="宋体"/>
                <w:b/>
                <w:bCs/>
                <w:kern w:val="0"/>
                <w:szCs w:val="21"/>
                <w:lang w:val="en-US" w:eastAsia="zh-CN"/>
              </w:rPr>
            </w:pPr>
            <w:r>
              <w:rPr>
                <w:rFonts w:hint="eastAsia" w:ascii="宋体" w:hAnsi="宋体" w:cs="宋体"/>
                <w:b/>
                <w:bCs/>
                <w:szCs w:val="21"/>
                <w:lang w:val="en-US" w:eastAsia="zh-CN"/>
              </w:rPr>
              <w:t>招两家供应商，根据实际工作量据实结算。</w:t>
            </w:r>
          </w:p>
        </w:tc>
      </w:tr>
    </w:tbl>
    <w:p w14:paraId="585FC92D">
      <w:pPr>
        <w:spacing w:line="192" w:lineRule="auto"/>
        <w:rPr>
          <w:rFonts w:hint="eastAsia" w:ascii="宋体" w:hAnsi="宋体" w:cs="宋体"/>
          <w:b/>
          <w:bCs/>
        </w:rPr>
      </w:pPr>
      <w:r>
        <w:rPr>
          <w:rFonts w:hint="eastAsia" w:ascii="宋体" w:hAnsi="宋体" w:cs="宋体"/>
          <w:b/>
          <w:bCs/>
          <w:szCs w:val="21"/>
        </w:rPr>
        <w:t>三、技术要求：</w:t>
      </w:r>
    </w:p>
    <w:p w14:paraId="6DB5B0F7">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rPr>
      </w:pPr>
      <w:r>
        <w:rPr>
          <w:rFonts w:hint="eastAsia" w:ascii="宋体" w:hAnsi="宋体" w:cs="宋体"/>
          <w:lang w:val="en-US" w:eastAsia="zh-CN"/>
        </w:rPr>
        <w:t>1.</w:t>
      </w:r>
      <w:r>
        <w:rPr>
          <w:rFonts w:hint="eastAsia" w:ascii="宋体" w:hAnsi="宋体" w:cs="宋体"/>
        </w:rPr>
        <w:t>服务内容：负责我院妇儿院区预算不超过三万元的日常零星维修改造项目。包括但限于我院室内房屋装修、新建隔断、刷漆、壁纸、吊顶、防水、瓷砖、地板、门窗等及室外新建小型房屋、板房、路面、护栏等维修和改造。</w:t>
      </w:r>
    </w:p>
    <w:p w14:paraId="6E52E9F7">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rPr>
      </w:pPr>
      <w:r>
        <w:rPr>
          <w:rFonts w:hint="eastAsia" w:ascii="宋体" w:hAnsi="宋体" w:cs="宋体"/>
          <w:lang w:val="en-US" w:eastAsia="zh-CN"/>
        </w:rPr>
        <w:t>2.</w:t>
      </w:r>
      <w:r>
        <w:rPr>
          <w:rFonts w:hint="eastAsia" w:ascii="宋体" w:hAnsi="宋体" w:cs="宋体"/>
        </w:rPr>
        <w:t>服务要求：</w:t>
      </w:r>
    </w:p>
    <w:p w14:paraId="7DE69AD8">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rPr>
      </w:pPr>
      <w:r>
        <w:rPr>
          <w:rFonts w:hint="eastAsia" w:ascii="宋体" w:hAnsi="宋体" w:cs="宋体"/>
        </w:rPr>
        <w:t>①供应商要做好施工组织，保证安全生产和成品保护。</w:t>
      </w:r>
    </w:p>
    <w:p w14:paraId="12CF42E3">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rPr>
      </w:pPr>
      <w:r>
        <w:rPr>
          <w:rFonts w:hint="eastAsia" w:ascii="宋体" w:hAnsi="宋体" w:cs="宋体"/>
        </w:rPr>
        <w:t>②在合同履约期中发生意外事故和成品破坏所引起的经济和法律责任，均由供应商承担全部责任。</w:t>
      </w:r>
    </w:p>
    <w:p w14:paraId="3445C007">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rPr>
      </w:pPr>
      <w:r>
        <w:rPr>
          <w:rFonts w:hint="eastAsia" w:ascii="宋体" w:hAnsi="宋体" w:cs="宋体"/>
        </w:rPr>
        <w:t>③供应商要实行24小时工作值班制度，确保值班人员通讯工具畅通。</w:t>
      </w:r>
    </w:p>
    <w:p w14:paraId="72E4A3E8">
      <w:pPr>
        <w:keepNext w:val="0"/>
        <w:keepLines w:val="0"/>
        <w:pageBreakBefore w:val="0"/>
        <w:widowControl/>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rPr>
      </w:pPr>
      <w:r>
        <w:rPr>
          <w:rFonts w:hint="eastAsia" w:ascii="宋体" w:hAnsi="宋体" w:cs="宋体"/>
        </w:rPr>
        <w:t>④必须服从采购单位统一管理，密切配合采购单位后勤管理部门和相关职能部门的日常工作。</w:t>
      </w:r>
    </w:p>
    <w:p w14:paraId="4870F38A">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rPr>
      </w:pPr>
      <w:r>
        <w:rPr>
          <w:rFonts w:hint="eastAsia" w:ascii="宋体" w:hAnsi="宋体" w:cs="宋体"/>
          <w:lang w:val="en-US" w:eastAsia="zh-CN"/>
        </w:rPr>
        <w:t>3.</w:t>
      </w:r>
      <w:r>
        <w:rPr>
          <w:rFonts w:hint="eastAsia" w:ascii="宋体" w:hAnsi="宋体" w:cs="宋体"/>
        </w:rPr>
        <w:t>供应商应指定项目负责人。项目负责人负责项目统筹、协调和管理；须配备认真负责、业务熟练的施工员及各专业技术工人，且在采购单位有常驻人员。</w:t>
      </w:r>
    </w:p>
    <w:p w14:paraId="303BE38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rPr>
      </w:pPr>
      <w:r>
        <w:rPr>
          <w:rFonts w:hint="eastAsia" w:ascii="宋体" w:hAnsi="宋体" w:cs="宋体"/>
          <w:lang w:val="en-US" w:eastAsia="zh-CN"/>
        </w:rPr>
        <w:t>4.</w:t>
      </w:r>
      <w:r>
        <w:rPr>
          <w:rFonts w:hint="eastAsia" w:ascii="宋体" w:hAnsi="宋体" w:cs="宋体"/>
        </w:rPr>
        <w:t>材料要求：维修使用的工程材料，需经采购人认可。施工前报样板给采购人选定，采购人认可后方可使用，所选购的材料须有产品合格证、生产许可证等证明材料且能满足消防要求。</w:t>
      </w:r>
    </w:p>
    <w:p w14:paraId="049394B3">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rPr>
      </w:pPr>
      <w:r>
        <w:rPr>
          <w:rFonts w:hint="eastAsia" w:ascii="宋体" w:hAnsi="宋体" w:cs="宋体"/>
          <w:lang w:val="en-US" w:eastAsia="zh-CN"/>
        </w:rPr>
        <w:t>5.</w:t>
      </w:r>
      <w:r>
        <w:rPr>
          <w:rFonts w:hint="eastAsia" w:ascii="宋体" w:hAnsi="宋体" w:cs="宋体"/>
        </w:rPr>
        <w:t>发包方式：根据采购人下达的任务单，包工、包料、包质量、包工期、包安全文明施工、包验收。不允许转包和违法分包，否则视为成交供应商违约。</w:t>
      </w:r>
    </w:p>
    <w:p w14:paraId="3756305A">
      <w:pPr>
        <w:spacing w:line="192" w:lineRule="auto"/>
        <w:rPr>
          <w:rFonts w:hint="eastAsia" w:ascii="宋体" w:hAnsi="宋体" w:cs="宋体"/>
          <w:b/>
          <w:bCs/>
        </w:rPr>
        <w:sectPr>
          <w:pgSz w:w="11906" w:h="16838"/>
          <w:pgMar w:top="1417" w:right="1474" w:bottom="1417" w:left="1474" w:header="851" w:footer="624" w:gutter="0"/>
          <w:cols w:space="720" w:num="1"/>
          <w:docGrid w:type="lines" w:linePitch="319" w:charSpace="0"/>
        </w:sectPr>
      </w:pPr>
    </w:p>
    <w:p w14:paraId="4BF3A605">
      <w:pPr>
        <w:spacing w:line="192" w:lineRule="auto"/>
        <w:rPr>
          <w:rFonts w:hint="eastAsia" w:ascii="宋体" w:hAnsi="宋体" w:cs="宋体"/>
          <w:b/>
          <w:bCs/>
          <w:szCs w:val="21"/>
        </w:rPr>
      </w:pPr>
      <w:r>
        <w:rPr>
          <w:rFonts w:hint="eastAsia" w:ascii="宋体" w:hAnsi="宋体" w:cs="宋体"/>
          <w:b/>
          <w:bCs/>
        </w:rPr>
        <w:t>四、商</w:t>
      </w:r>
      <w:r>
        <w:rPr>
          <w:rFonts w:hint="eastAsia" w:ascii="宋体" w:hAnsi="宋体" w:cs="宋体"/>
          <w:b/>
          <w:bCs/>
          <w:szCs w:val="21"/>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967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34FA16">
            <w:pPr>
              <w:pStyle w:val="7"/>
              <w:jc w:val="center"/>
              <w:rPr>
                <w:rFonts w:hint="eastAsia"/>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46B09E3">
            <w:pPr>
              <w:pStyle w:val="7"/>
              <w:rPr>
                <w:rFonts w:hint="eastAsia"/>
                <w:sz w:val="21"/>
                <w:szCs w:val="21"/>
              </w:rPr>
            </w:pPr>
            <w:r>
              <w:rPr>
                <w:rFonts w:hint="eastAsia"/>
                <w:sz w:val="21"/>
                <w:szCs w:val="21"/>
              </w:rPr>
              <w:t>自成交通知书发出之日起30日内。</w:t>
            </w:r>
          </w:p>
        </w:tc>
      </w:tr>
      <w:tr w14:paraId="2FEA1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7FE13C2">
            <w:pPr>
              <w:pStyle w:val="7"/>
              <w:jc w:val="center"/>
              <w:rPr>
                <w:rFonts w:hint="eastAsia"/>
                <w:sz w:val="21"/>
                <w:szCs w:val="21"/>
              </w:rPr>
            </w:pPr>
            <w:r>
              <w:rPr>
                <w:rFonts w:hint="eastAsia"/>
                <w:sz w:val="21"/>
                <w:szCs w:val="21"/>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948FBA0">
            <w:pPr>
              <w:pStyle w:val="7"/>
              <w:rPr>
                <w:rFonts w:hint="eastAsia"/>
                <w:kern w:val="2"/>
                <w:sz w:val="21"/>
              </w:rPr>
            </w:pPr>
            <w:r>
              <w:rPr>
                <w:rFonts w:hint="eastAsia"/>
                <w:szCs w:val="21"/>
                <w:shd w:val="clear" w:color="auto" w:fill="FFFFFF"/>
              </w:rPr>
              <w:t>一年，起止时间按照合同约定。</w:t>
            </w:r>
          </w:p>
        </w:tc>
      </w:tr>
      <w:tr w14:paraId="7DBF5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271AD85">
            <w:pPr>
              <w:pStyle w:val="7"/>
              <w:jc w:val="center"/>
              <w:rPr>
                <w:rFonts w:hint="eastAsia"/>
                <w:sz w:val="21"/>
                <w:szCs w:val="21"/>
              </w:rPr>
            </w:pPr>
            <w:r>
              <w:rPr>
                <w:color w:val="000000"/>
                <w:sz w:val="21"/>
                <w:szCs w:val="21"/>
              </w:rPr>
              <w:t>工程地点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E1A9B2A">
            <w:pPr>
              <w:pStyle w:val="7"/>
              <w:rPr>
                <w:rFonts w:hint="eastAsia"/>
                <w:szCs w:val="21"/>
                <w:shd w:val="clear" w:color="auto" w:fill="FFFFFF"/>
              </w:rPr>
            </w:pPr>
            <w:r>
              <w:rPr>
                <w:color w:val="000000"/>
                <w:sz w:val="21"/>
                <w:szCs w:val="21"/>
              </w:rPr>
              <w:t>医院指定地点。</w:t>
            </w:r>
          </w:p>
        </w:tc>
      </w:tr>
      <w:tr w14:paraId="51A88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8E8607">
            <w:pPr>
              <w:pStyle w:val="7"/>
              <w:jc w:val="center"/>
              <w:rPr>
                <w:rFonts w:hint="eastAsia"/>
                <w:color w:val="000000"/>
                <w:sz w:val="21"/>
                <w:szCs w:val="21"/>
              </w:rPr>
            </w:pPr>
            <w:r>
              <w:rPr>
                <w:color w:val="000000"/>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6B8913C">
            <w:pPr>
              <w:pStyle w:val="7"/>
              <w:rPr>
                <w:rFonts w:hint="eastAsia"/>
                <w:color w:val="000000"/>
                <w:sz w:val="21"/>
                <w:szCs w:val="21"/>
              </w:rPr>
            </w:pPr>
            <w:r>
              <w:rPr>
                <w:rFonts w:hint="eastAsia"/>
                <w:color w:val="000000"/>
                <w:sz w:val="21"/>
                <w:szCs w:val="21"/>
              </w:rPr>
              <w:t>具体支付款项审计后根据合同签订优惠比率据实结算。</w:t>
            </w:r>
          </w:p>
        </w:tc>
      </w:tr>
      <w:tr w14:paraId="17958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DE0869">
            <w:pPr>
              <w:pStyle w:val="7"/>
              <w:jc w:val="center"/>
              <w:rPr>
                <w:rFonts w:hint="eastAsia"/>
                <w:sz w:val="21"/>
                <w:szCs w:val="21"/>
              </w:rPr>
            </w:pPr>
            <w:r>
              <w:rPr>
                <w:kern w:val="2"/>
                <w:sz w:val="21"/>
              </w:rPr>
              <w:t>工程验收标准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5F588FF">
            <w:pPr>
              <w:pStyle w:val="7"/>
              <w:rPr>
                <w:rFonts w:hint="eastAsia"/>
                <w:kern w:val="2"/>
                <w:sz w:val="21"/>
              </w:rPr>
            </w:pPr>
            <w:r>
              <w:rPr>
                <w:kern w:val="2"/>
                <w:sz w:val="21"/>
              </w:rPr>
              <w:t>严格按照国家现行有关施工及验收规范、技术标准进行施工和验收。</w:t>
            </w:r>
          </w:p>
        </w:tc>
      </w:tr>
      <w:tr w14:paraId="4F4C3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F0A51A9">
            <w:pPr>
              <w:pStyle w:val="7"/>
              <w:jc w:val="center"/>
              <w:rPr>
                <w:rFonts w:hint="eastAsia"/>
                <w:sz w:val="21"/>
                <w:szCs w:val="21"/>
                <w:highlight w:val="none"/>
              </w:rPr>
            </w:pPr>
            <w:r>
              <w:rPr>
                <w:rFonts w:hint="eastAsia"/>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9EB9F55">
            <w:pPr>
              <w:pStyle w:val="7"/>
              <w:rPr>
                <w:rFonts w:hint="eastAsia"/>
                <w:sz w:val="21"/>
                <w:szCs w:val="21"/>
                <w:highlight w:val="none"/>
              </w:rPr>
            </w:pPr>
            <w:r>
              <w:rPr>
                <w:sz w:val="21"/>
                <w:szCs w:val="21"/>
                <w:highlight w:val="none"/>
              </w:rPr>
              <w:t>合格</w:t>
            </w:r>
          </w:p>
        </w:tc>
      </w:tr>
      <w:tr w14:paraId="6CF49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27128D">
            <w:pPr>
              <w:pStyle w:val="7"/>
              <w:jc w:val="center"/>
              <w:rPr>
                <w:rFonts w:hint="eastAsia"/>
                <w:sz w:val="21"/>
                <w:szCs w:val="21"/>
              </w:rPr>
            </w:pPr>
            <w:r>
              <w:rPr>
                <w:kern w:val="2"/>
                <w:sz w:val="21"/>
              </w:rPr>
              <w:t>工程</w:t>
            </w:r>
            <w:r>
              <w:rPr>
                <w:rFonts w:hint="eastAsia"/>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7FF6C90">
            <w:pPr>
              <w:pStyle w:val="7"/>
              <w:rPr>
                <w:rFonts w:hint="eastAsia"/>
                <w:sz w:val="21"/>
                <w:szCs w:val="21"/>
              </w:rPr>
            </w:pPr>
            <w:r>
              <w:rPr>
                <w:rFonts w:hint="eastAsia"/>
                <w:sz w:val="21"/>
                <w:szCs w:val="21"/>
              </w:rPr>
              <w:t>维修项目自验收之日起，工程质保期为两年，防水工程质保期为五年。国家有强制质保标准的按照国家标准执行，质保期自验收合格之日起计，如需整改或翻修的，自翻修或整改之日起重新计算维保期。</w:t>
            </w:r>
          </w:p>
        </w:tc>
      </w:tr>
    </w:tbl>
    <w:p w14:paraId="5AF8D1C9">
      <w:pPr>
        <w:spacing w:line="192" w:lineRule="auto"/>
        <w:rPr>
          <w:rFonts w:hint="eastAsia" w:ascii="宋体" w:hAnsi="宋体" w:cs="宋体"/>
          <w:b/>
          <w:bCs/>
          <w:szCs w:val="21"/>
        </w:rPr>
      </w:pPr>
    </w:p>
    <w:p w14:paraId="69C43B44">
      <w:pPr>
        <w:spacing w:line="192" w:lineRule="auto"/>
        <w:rPr>
          <w:rFonts w:hint="eastAsia" w:ascii="宋体" w:hAnsi="宋体" w:cs="宋体"/>
          <w:b/>
          <w:bCs/>
          <w:szCs w:val="21"/>
        </w:rPr>
      </w:pPr>
    </w:p>
    <w:p w14:paraId="0DE5ABD3">
      <w:pPr>
        <w:spacing w:line="192" w:lineRule="auto"/>
        <w:rPr>
          <w:rFonts w:hint="eastAsia" w:ascii="宋体" w:hAnsi="宋体" w:cs="宋体"/>
          <w:b/>
          <w:bCs/>
          <w:szCs w:val="21"/>
        </w:rPr>
      </w:pPr>
    </w:p>
    <w:p w14:paraId="63198800">
      <w:pPr>
        <w:spacing w:line="192" w:lineRule="auto"/>
        <w:rPr>
          <w:rFonts w:hint="eastAsia" w:ascii="宋体" w:hAnsi="宋体" w:cs="宋体"/>
          <w:b/>
          <w:bCs/>
          <w:szCs w:val="21"/>
        </w:rPr>
      </w:pPr>
    </w:p>
    <w:p w14:paraId="14DCA7B0">
      <w:pPr>
        <w:spacing w:line="192" w:lineRule="auto"/>
        <w:rPr>
          <w:rFonts w:hint="eastAsia" w:ascii="宋体" w:hAnsi="宋体" w:cs="宋体"/>
          <w:b/>
          <w:bCs/>
          <w:szCs w:val="21"/>
        </w:rPr>
      </w:pPr>
    </w:p>
    <w:p w14:paraId="7DAF9430">
      <w:pPr>
        <w:spacing w:line="192" w:lineRule="auto"/>
        <w:rPr>
          <w:rFonts w:hint="eastAsia" w:ascii="宋体" w:hAnsi="宋体" w:cs="宋体"/>
          <w:b/>
          <w:bCs/>
          <w:szCs w:val="21"/>
        </w:rPr>
      </w:pPr>
      <w:r>
        <w:rPr>
          <w:rFonts w:hint="eastAsia" w:ascii="宋体" w:hAnsi="宋体" w:cs="宋体"/>
          <w:b/>
          <w:bCs/>
          <w:szCs w:val="21"/>
        </w:rPr>
        <w:t>五、采购人对项目的特殊要求及说明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2E919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D4E2C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AB39C9F">
            <w:pPr>
              <w:widowControl/>
              <w:numPr>
                <w:ilvl w:val="0"/>
                <w:numId w:val="1"/>
              </w:numPr>
              <w:snapToGrid w:val="0"/>
              <w:spacing w:line="360" w:lineRule="auto"/>
            </w:pPr>
            <w:r>
              <w:rPr>
                <w:rFonts w:hint="eastAsia"/>
              </w:rPr>
              <w:t>不接受联合体投标，不允许转包和分包。</w:t>
            </w:r>
          </w:p>
          <w:p w14:paraId="27D0FBE5">
            <w:pPr>
              <w:widowControl/>
              <w:snapToGrid w:val="0"/>
              <w:spacing w:line="360" w:lineRule="auto"/>
            </w:pPr>
            <w:r>
              <w:rPr>
                <w:rFonts w:hint="eastAsia"/>
              </w:rPr>
              <w:t>2、授权磋商小组确定综合得分排名前两名的供应商为成交供应商。</w:t>
            </w:r>
          </w:p>
          <w:p w14:paraId="4D722210">
            <w:pPr>
              <w:widowControl/>
              <w:snapToGrid w:val="0"/>
              <w:spacing w:line="360" w:lineRule="auto"/>
            </w:pPr>
            <w:r>
              <w:rPr>
                <w:rFonts w:hint="eastAsia"/>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37E24CE">
      <w:pPr>
        <w:rPr>
          <w:rFonts w:hint="eastAsia" w:ascii="宋体" w:hAnsi="宋体" w:cs="宋体"/>
          <w:b/>
          <w:bCs/>
          <w:sz w:val="32"/>
          <w:szCs w:val="32"/>
        </w:rPr>
      </w:pPr>
      <w:r>
        <w:rPr>
          <w:rFonts w:hint="eastAsia" w:ascii="宋体" w:hAnsi="宋体" w:cs="宋体"/>
          <w:b/>
          <w:bCs/>
          <w:sz w:val="32"/>
          <w:szCs w:val="32"/>
        </w:rPr>
        <w:br w:type="page"/>
      </w:r>
    </w:p>
    <w:p w14:paraId="3956C8C8">
      <w:pPr>
        <w:jc w:val="center"/>
        <w:outlineLvl w:val="0"/>
        <w:rPr>
          <w:rFonts w:hint="eastAsia" w:ascii="宋体" w:hAnsi="宋体" w:cs="宋体"/>
          <w:b/>
          <w:bCs/>
          <w:sz w:val="32"/>
          <w:szCs w:val="32"/>
        </w:rPr>
      </w:pPr>
      <w:bookmarkStart w:id="35" w:name="_Toc25734"/>
      <w:r>
        <w:rPr>
          <w:rFonts w:hint="eastAsia" w:ascii="宋体" w:hAnsi="宋体" w:cs="宋体"/>
          <w:b/>
          <w:bCs/>
          <w:sz w:val="32"/>
          <w:szCs w:val="32"/>
        </w:rPr>
        <w:t>第三章  供应商须知</w:t>
      </w:r>
      <w:bookmarkEnd w:id="35"/>
    </w:p>
    <w:p w14:paraId="5161613E">
      <w:pPr>
        <w:snapToGrid w:val="0"/>
        <w:spacing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7FF43C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DC7765">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DD186F">
            <w:pPr>
              <w:widowControl/>
              <w:jc w:val="center"/>
              <w:rPr>
                <w:rFonts w:hint="eastAsia" w:ascii="宋体" w:hAnsi="宋体" w:cs="宋体"/>
                <w:kern w:val="0"/>
                <w:szCs w:val="21"/>
              </w:rPr>
            </w:pPr>
            <w:r>
              <w:rPr>
                <w:rFonts w:hint="eastAsia" w:ascii="宋体" w:hAnsi="宋体" w:cs="宋体"/>
                <w:kern w:val="0"/>
                <w:szCs w:val="21"/>
              </w:rPr>
              <w:t>内容、要求</w:t>
            </w:r>
          </w:p>
        </w:tc>
      </w:tr>
      <w:tr w14:paraId="4090746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D6E609">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438D1B">
            <w:pPr>
              <w:widowControl/>
              <w:snapToGrid w:val="0"/>
              <w:spacing w:line="440" w:lineRule="exact"/>
              <w:jc w:val="left"/>
              <w:outlineLvl w:val="0"/>
              <w:rPr>
                <w:rFonts w:hint="eastAsia" w:ascii="宋体" w:hAnsi="宋体" w:cs="宋体"/>
              </w:rPr>
            </w:pPr>
            <w:bookmarkStart w:id="36" w:name="_Toc26279"/>
            <w:bookmarkStart w:id="37" w:name="_Toc30169"/>
            <w:bookmarkStart w:id="38" w:name="_Toc9566"/>
            <w:bookmarkStart w:id="39" w:name="_Toc27817"/>
            <w:r>
              <w:rPr>
                <w:rFonts w:hint="eastAsia" w:ascii="宋体" w:hAnsi="宋体" w:cs="宋体"/>
              </w:rPr>
              <w:t>1.1项目名称：</w:t>
            </w:r>
            <w:bookmarkEnd w:id="36"/>
            <w:bookmarkEnd w:id="37"/>
            <w:bookmarkEnd w:id="38"/>
            <w:bookmarkEnd w:id="39"/>
            <w:r>
              <w:rPr>
                <w:rFonts w:hint="eastAsia" w:ascii="宋体" w:hAnsi="宋体" w:cs="宋体"/>
              </w:rPr>
              <w:t>驻马店市中心医院妇儿院区零星维修改造项目</w:t>
            </w:r>
          </w:p>
          <w:p w14:paraId="23893A99">
            <w:pPr>
              <w:widowControl/>
              <w:snapToGrid w:val="0"/>
              <w:spacing w:line="440" w:lineRule="exact"/>
              <w:jc w:val="left"/>
              <w:outlineLvl w:val="0"/>
              <w:rPr>
                <w:rFonts w:hint="eastAsia" w:ascii="宋体" w:hAnsi="宋体" w:cs="宋体"/>
              </w:rPr>
            </w:pPr>
            <w:bookmarkStart w:id="40" w:name="_Toc28320"/>
            <w:bookmarkStart w:id="41" w:name="_Toc23424"/>
            <w:bookmarkStart w:id="42" w:name="_Toc29400"/>
            <w:bookmarkStart w:id="43" w:name="_Toc10981"/>
            <w:r>
              <w:rPr>
                <w:rFonts w:hint="eastAsia" w:ascii="宋体" w:hAnsi="宋体" w:cs="宋体"/>
              </w:rPr>
              <w:t>1.2采购人名称：</w:t>
            </w:r>
            <w:bookmarkEnd w:id="40"/>
            <w:bookmarkEnd w:id="41"/>
            <w:bookmarkEnd w:id="42"/>
            <w:r>
              <w:rPr>
                <w:rFonts w:hint="eastAsia" w:ascii="宋体" w:hAnsi="宋体" w:cs="宋体"/>
              </w:rPr>
              <w:t>驻马店市中心医院</w:t>
            </w:r>
            <w:bookmarkEnd w:id="43"/>
          </w:p>
          <w:p w14:paraId="6299C7BC">
            <w:pPr>
              <w:widowControl/>
              <w:snapToGrid w:val="0"/>
              <w:spacing w:line="440" w:lineRule="exact"/>
              <w:jc w:val="left"/>
              <w:outlineLvl w:val="0"/>
              <w:rPr>
                <w:rFonts w:hint="eastAsia" w:ascii="宋体" w:hAnsi="宋体" w:cs="宋体"/>
              </w:rPr>
            </w:pPr>
            <w:bookmarkStart w:id="44" w:name="_Toc3148"/>
            <w:bookmarkStart w:id="45" w:name="_Toc26199"/>
            <w:bookmarkStart w:id="46" w:name="_Toc24541"/>
            <w:bookmarkStart w:id="47" w:name="_Toc30330"/>
            <w:r>
              <w:rPr>
                <w:rFonts w:hint="eastAsia" w:ascii="宋体" w:hAnsi="宋体" w:cs="宋体"/>
              </w:rPr>
              <w:t>1.3采购范围：详见第二章采购需求</w:t>
            </w:r>
            <w:bookmarkEnd w:id="44"/>
            <w:bookmarkEnd w:id="45"/>
            <w:bookmarkEnd w:id="46"/>
            <w:bookmarkEnd w:id="47"/>
          </w:p>
        </w:tc>
      </w:tr>
      <w:tr w14:paraId="6DA2B8C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CF607A">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B4EADC">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338CF621">
        <w:tblPrEx>
          <w:tblCellMar>
            <w:top w:w="0" w:type="dxa"/>
            <w:left w:w="0" w:type="dxa"/>
            <w:bottom w:w="0" w:type="dxa"/>
            <w:right w:w="0" w:type="dxa"/>
          </w:tblCellMar>
        </w:tblPrEx>
        <w:trPr>
          <w:trHeight w:val="653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97EB9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351B8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b/>
                <w:bCs/>
              </w:rPr>
              <w:t>47</w:t>
            </w:r>
            <w:r>
              <w:rPr>
                <w:rFonts w:hint="eastAsia" w:ascii="宋体" w:hAnsi="宋体" w:cs="宋体"/>
                <w:b/>
                <w:bCs/>
                <w:kern w:val="0"/>
                <w:szCs w:val="21"/>
              </w:rPr>
              <w:t>万元；</w:t>
            </w:r>
            <w:r>
              <w:rPr>
                <w:rFonts w:hint="eastAsia" w:ascii="宋体" w:hAnsi="宋体" w:cs="宋体"/>
                <w:b/>
                <w:bCs/>
                <w:color w:val="000000" w:themeColor="text1"/>
                <w:szCs w:val="21"/>
                <w:shd w:val="clear" w:color="auto" w:fill="FFFFFF"/>
                <w14:textFill>
                  <w14:solidFill>
                    <w14:schemeClr w14:val="tx1"/>
                  </w14:solidFill>
                </w14:textFill>
              </w:rPr>
              <w:t>最高投标限价:100%</w:t>
            </w:r>
          </w:p>
          <w:p w14:paraId="596DDB90">
            <w:pPr>
              <w:widowControl/>
              <w:snapToGrid w:val="0"/>
              <w:spacing w:line="44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3.1 本项目磋商</w:t>
            </w:r>
            <w:r>
              <w:rPr>
                <w:rFonts w:hint="eastAsia" w:ascii="宋体" w:hAnsi="宋体" w:cs="宋体"/>
                <w:color w:val="000000" w:themeColor="text1"/>
                <w:kern w:val="0"/>
                <w:szCs w:val="21"/>
                <w14:textFill>
                  <w14:solidFill>
                    <w14:schemeClr w14:val="tx1"/>
                  </w14:solidFill>
                </w14:textFill>
              </w:rPr>
              <w:t>投标报价以综合折扣率（%）报价。</w:t>
            </w:r>
          </w:p>
          <w:p w14:paraId="668D1520">
            <w:pPr>
              <w:widowControl/>
              <w:snapToGrid w:val="0"/>
              <w:spacing w:line="440" w:lineRule="exact"/>
              <w:jc w:val="left"/>
              <w:rPr>
                <w:rFonts w:hint="eastAsia" w:ascii="宋体" w:hAnsi="宋体" w:cs="??"/>
                <w:b/>
                <w:bCs/>
                <w:color w:val="000000"/>
                <w:szCs w:val="21"/>
              </w:rPr>
            </w:pPr>
            <w:r>
              <w:rPr>
                <w:rFonts w:hint="eastAsia" w:ascii="宋体" w:hAnsi="宋体" w:cs="宋体"/>
                <w:b/>
                <w:kern w:val="0"/>
                <w:szCs w:val="21"/>
              </w:rPr>
              <w:t>注：1</w:t>
            </w:r>
            <w:r>
              <w:rPr>
                <w:rFonts w:ascii="宋体" w:hAnsi="宋体" w:cs="宋体"/>
                <w:kern w:val="0"/>
                <w:szCs w:val="21"/>
              </w:rPr>
              <w:t>.</w:t>
            </w:r>
            <w:r>
              <w:rPr>
                <w:rFonts w:ascii="宋体" w:hAnsi="宋体" w:cs="??"/>
                <w:b/>
                <w:bCs/>
                <w:color w:val="000000"/>
                <w:szCs w:val="21"/>
              </w:rPr>
              <w:t>本</w:t>
            </w:r>
            <w:r>
              <w:rPr>
                <w:rFonts w:hint="eastAsia" w:ascii="宋体" w:hAnsi="宋体" w:cs="宋体"/>
                <w:b/>
                <w:bCs/>
                <w:color w:val="000000"/>
                <w:szCs w:val="21"/>
              </w:rPr>
              <w:t>项</w:t>
            </w:r>
            <w:r>
              <w:rPr>
                <w:rFonts w:ascii="宋体" w:hAnsi="宋体" w:cs="??"/>
                <w:b/>
                <w:bCs/>
                <w:color w:val="000000"/>
                <w:szCs w:val="21"/>
              </w:rPr>
              <w:t>目</w:t>
            </w:r>
            <w:r>
              <w:rPr>
                <w:rFonts w:hint="eastAsia" w:ascii="宋体" w:hAnsi="宋体" w:cs="??"/>
                <w:b/>
                <w:bCs/>
                <w:color w:val="000000"/>
                <w:szCs w:val="21"/>
              </w:rPr>
              <w:t>供应商磋商</w:t>
            </w:r>
            <w:r>
              <w:rPr>
                <w:rFonts w:hint="eastAsia" w:ascii="宋体" w:hAnsi="宋体" w:cs="宋体"/>
                <w:b/>
                <w:bCs/>
                <w:color w:val="000000"/>
                <w:szCs w:val="21"/>
              </w:rPr>
              <w:t>报</w:t>
            </w:r>
            <w:r>
              <w:rPr>
                <w:rFonts w:ascii="宋体" w:hAnsi="宋体" w:cs="??"/>
                <w:b/>
                <w:bCs/>
                <w:color w:val="000000"/>
                <w:szCs w:val="21"/>
              </w:rPr>
              <w:t>价以</w:t>
            </w:r>
            <w:r>
              <w:rPr>
                <w:rFonts w:hint="eastAsia" w:ascii="宋体" w:hAnsi="宋体" w:cs="??"/>
                <w:b/>
                <w:bCs/>
                <w:color w:val="000000"/>
                <w:szCs w:val="21"/>
              </w:rPr>
              <w:t>审结金额为基准，整体报出综合折扣率（%），供应商所报综合折扣率不得大于100%，否则将被作为无效响应。</w:t>
            </w:r>
          </w:p>
          <w:p w14:paraId="4D706974">
            <w:pPr>
              <w:widowControl/>
              <w:snapToGrid w:val="0"/>
              <w:spacing w:line="440" w:lineRule="exact"/>
              <w:jc w:val="left"/>
              <w:rPr>
                <w:rFonts w:hint="eastAsia" w:ascii="宋体" w:hAnsi="宋体" w:cs="??"/>
                <w:b/>
                <w:bCs/>
                <w:color w:val="000000"/>
                <w:szCs w:val="21"/>
              </w:rPr>
            </w:pPr>
            <w:r>
              <w:rPr>
                <w:rFonts w:hint="eastAsia" w:ascii="宋体" w:hAnsi="宋体" w:cs="??"/>
                <w:b/>
                <w:bCs/>
                <w:color w:val="000000"/>
                <w:szCs w:val="21"/>
              </w:rPr>
              <w:t>2.结算价格计算方法</w:t>
            </w:r>
            <w:r>
              <w:rPr>
                <w:rFonts w:ascii="宋体" w:hAnsi="宋体" w:cs="??"/>
                <w:b/>
                <w:bCs/>
                <w:color w:val="000000"/>
                <w:szCs w:val="21"/>
              </w:rPr>
              <w:t>：</w:t>
            </w:r>
            <w:r>
              <w:rPr>
                <w:rFonts w:hint="eastAsia" w:ascii="宋体" w:hAnsi="宋体" w:cs="??"/>
                <w:b/>
                <w:bCs/>
                <w:color w:val="000000"/>
                <w:szCs w:val="21"/>
              </w:rPr>
              <w:t>结算</w:t>
            </w:r>
            <w:r>
              <w:rPr>
                <w:rFonts w:ascii="宋体" w:hAnsi="宋体" w:cs="??"/>
                <w:b/>
                <w:bCs/>
                <w:color w:val="000000"/>
                <w:szCs w:val="21"/>
              </w:rPr>
              <w:t>价格=</w:t>
            </w:r>
            <w:r>
              <w:rPr>
                <w:rFonts w:hint="eastAsia" w:ascii="宋体" w:hAnsi="宋体" w:cs="宋体"/>
                <w:b/>
                <w:bCs/>
                <w:color w:val="000000"/>
                <w:szCs w:val="21"/>
              </w:rPr>
              <w:t>审结</w:t>
            </w:r>
            <w:r>
              <w:rPr>
                <w:rFonts w:ascii="宋体" w:hAnsi="宋体" w:cs="??"/>
                <w:b/>
                <w:bCs/>
                <w:color w:val="000000"/>
                <w:szCs w:val="21"/>
              </w:rPr>
              <w:t>金</w:t>
            </w:r>
            <w:r>
              <w:rPr>
                <w:rFonts w:hint="eastAsia" w:ascii="宋体" w:hAnsi="宋体" w:cs="宋体"/>
                <w:b/>
                <w:bCs/>
                <w:color w:val="000000"/>
                <w:szCs w:val="21"/>
              </w:rPr>
              <w:t>额</w:t>
            </w:r>
            <w:r>
              <w:rPr>
                <w:rFonts w:ascii="宋体" w:hAnsi="宋体" w:cs="Arial"/>
                <w:b/>
                <w:bCs/>
                <w:color w:val="000000"/>
                <w:szCs w:val="21"/>
              </w:rPr>
              <w:t>×</w:t>
            </w:r>
            <w:r>
              <w:rPr>
                <w:rFonts w:hint="eastAsia" w:ascii="宋体" w:hAnsi="宋体" w:cs="??"/>
                <w:b/>
                <w:bCs/>
                <w:color w:val="000000"/>
                <w:szCs w:val="21"/>
              </w:rPr>
              <w:t>综合折扣率</w:t>
            </w:r>
            <w:r>
              <w:rPr>
                <w:rFonts w:ascii="宋体" w:hAnsi="宋体" w:cs="??"/>
                <w:b/>
                <w:bCs/>
                <w:color w:val="000000"/>
                <w:szCs w:val="21"/>
              </w:rPr>
              <w:t>。</w:t>
            </w:r>
          </w:p>
          <w:p w14:paraId="6C8A7881">
            <w:pPr>
              <w:widowControl/>
              <w:snapToGrid w:val="0"/>
              <w:spacing w:line="44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
                <w:b/>
                <w:bCs/>
                <w:color w:val="000000"/>
                <w:szCs w:val="21"/>
              </w:rPr>
              <w:t>举例：如综合折扣率报价为90％，某项零星维修改造任务项审结金额1000.00元，则其结算价格为1000.00元×90％=900.00元（四舍五入保留两位小数），其他任务项以此类推。</w:t>
            </w:r>
          </w:p>
          <w:p w14:paraId="173DE64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3CB6E29E">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0B2C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w:tcPr>
                <w:p w14:paraId="4F20982C">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1178560</wp:posOffset>
                            </wp:positionH>
                            <wp:positionV relativeFrom="paragraph">
                              <wp:posOffset>90805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0" y="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DB1D04">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8pt;margin-top:7.15pt;height:24.05pt;width:76.4pt;z-index:251659264;mso-width-relative:page;mso-height-relative:page;" fillcolor="#FFFFFF [3201]" filled="t" stroked="f" coordsize="21600,21600" o:gfxdata="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aZGX9UAAAAJAQAADwAAAAAA&#10;AAABACAAAAAiAAAAZHJzL2Rvd25yZXYueG1sUEsBAhQAFAAAAAgAh07iQN9qFtlPAgAAjgQAAA4A&#10;AAAAAAAAAQAgAAAAJAEAAGRycy9lMm9Eb2MueG1sUEsFBgAAAAAGAAYAWQEAAOUFAAAAAA==&#10;">
                            <v:fill on="t" focussize="0,0"/>
                            <v:stroke on="f" weight="0.5pt"/>
                            <v:imagedata o:title=""/>
                            <o:lock v:ext="edit" aspectratio="f"/>
                            <v:textbox>
                              <w:txbxContent>
                                <w:p w14:paraId="34DB1D04">
                                  <w:r>
                                    <w:rPr>
                                      <w:rFonts w:hint="eastAsia"/>
                                      <w:b/>
                                      <w:bCs/>
                                    </w:rPr>
                                    <w:t>服务费率类</w:t>
                                  </w:r>
                                  <w:r>
                                    <w:rPr>
                                      <w:rFonts w:hint="eastAsia"/>
                                    </w:rPr>
                                    <w:t>型</w:t>
                                  </w:r>
                                </w:p>
                              </w:txbxContent>
                            </v:textbox>
                          </v:shape>
                        </w:pict>
                      </mc:Fallback>
                    </mc:AlternateContent>
                  </w:r>
                </w:p>
                <w:p w14:paraId="307AA27B">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60288" behindDoc="1" locked="0" layoutInCell="1" allowOverlap="1">
                            <wp:simplePos x="0" y="0"/>
                            <wp:positionH relativeFrom="column">
                              <wp:posOffset>279400</wp:posOffset>
                            </wp:positionH>
                            <wp:positionV relativeFrom="paragraph">
                              <wp:posOffset>94615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CE35AC">
                                        <w:pPr>
                                          <w:rPr>
                                            <w:b/>
                                            <w:bCs/>
                                          </w:rPr>
                                        </w:pPr>
                                        <w:r>
                                          <w:rPr>
                                            <w:rFonts w:hint="eastAsia"/>
                                            <w:b/>
                                            <w:bCs/>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7.45pt;height:22.5pt;width:66.65pt;z-index:-251656192;mso-width-relative:page;mso-height-relative:page;" fillcolor="#FFFFFF [3201]" filled="t" stroked="f" coordsize="21600,21600" o:gfxdata="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Z9oXD1AAA&#10;AAg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74CE35AC">
                                  <w:pPr>
                                    <w:rPr>
                                      <w:b/>
                                      <w:bCs/>
                                    </w:rPr>
                                  </w:pPr>
                                  <w:r>
                                    <w:rPr>
                                      <w:rFonts w:hint="eastAsia"/>
                                      <w:b/>
                                      <w:bCs/>
                                    </w:rPr>
                                    <w:t>成交金额</w:t>
                                  </w:r>
                                </w:p>
                              </w:txbxContent>
                            </v:textbox>
                          </v:shape>
                        </w:pict>
                      </mc:Fallback>
                    </mc:AlternateContent>
                  </w:r>
                </w:p>
                <w:p w14:paraId="6BB821FF">
                  <w:pPr>
                    <w:widowControl/>
                    <w:snapToGrid w:val="0"/>
                    <w:spacing w:line="440" w:lineRule="exact"/>
                    <w:jc w:val="center"/>
                    <w:rPr>
                      <w:rFonts w:hint="eastAsia" w:ascii="宋体" w:hAnsi="宋体" w:cs="宋体"/>
                      <w:b/>
                      <w:bCs/>
                      <w:kern w:val="0"/>
                      <w:szCs w:val="21"/>
                    </w:rPr>
                  </w:pPr>
                </w:p>
              </w:tc>
              <w:tc>
                <w:tcPr>
                  <w:tcW w:w="1734" w:type="dxa"/>
                  <w:vAlign w:val="center"/>
                </w:tcPr>
                <w:p w14:paraId="11FD2143">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686" w:type="dxa"/>
                  <w:vAlign w:val="center"/>
                </w:tcPr>
                <w:p w14:paraId="36F1B0ED">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491" w:type="dxa"/>
                  <w:vAlign w:val="center"/>
                </w:tcPr>
                <w:p w14:paraId="711D46AA">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2876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55C2CEFE">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734" w:type="dxa"/>
                  <w:vAlign w:val="center"/>
                </w:tcPr>
                <w:p w14:paraId="2D8BBD7E">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686" w:type="dxa"/>
                  <w:vAlign w:val="center"/>
                </w:tcPr>
                <w:p w14:paraId="64F14EBB">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491" w:type="dxa"/>
                  <w:vAlign w:val="center"/>
                </w:tcPr>
                <w:p w14:paraId="18665279">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6BDA5F75">
            <w:pPr>
              <w:widowControl/>
              <w:snapToGrid w:val="0"/>
              <w:spacing w:line="440" w:lineRule="exact"/>
              <w:jc w:val="left"/>
              <w:rPr>
                <w:rFonts w:hint="eastAsia" w:ascii="宋体" w:hAnsi="宋体" w:cs="宋体"/>
                <w:kern w:val="0"/>
                <w:szCs w:val="21"/>
              </w:rPr>
            </w:pPr>
          </w:p>
        </w:tc>
      </w:tr>
      <w:tr w14:paraId="63AF0DA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CB15B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70E1E59">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7033535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AAB666">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2449E3">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3272DB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1348D">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1A007B">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磋商截止时间及磋商时间：</w:t>
            </w:r>
            <w:r>
              <w:rPr>
                <w:rFonts w:hint="eastAsia" w:ascii="宋体" w:hAnsi="宋体" w:cs="宋体"/>
                <w:szCs w:val="21"/>
              </w:rPr>
              <w:t>另行通知</w:t>
            </w:r>
          </w:p>
          <w:p w14:paraId="6F9140E1">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响应文件递交地点及磋商地点：</w:t>
            </w:r>
            <w:r>
              <w:rPr>
                <w:rFonts w:hint="eastAsia" w:ascii="宋体" w:hAnsi="宋体" w:cs="宋体"/>
                <w:szCs w:val="21"/>
              </w:rPr>
              <w:t>另行通知</w:t>
            </w:r>
            <w:r>
              <w:rPr>
                <w:rFonts w:hint="eastAsia" w:ascii="宋体" w:hAnsi="宋体" w:cs="宋体"/>
                <w:kern w:val="0"/>
                <w:szCs w:val="21"/>
              </w:rPr>
              <w:t>。</w:t>
            </w:r>
          </w:p>
        </w:tc>
      </w:tr>
      <w:tr w14:paraId="507998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5D3B3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B66189">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69C89E9B">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由评审专家、采购人代表组成</w:t>
            </w:r>
          </w:p>
        </w:tc>
      </w:tr>
      <w:tr w14:paraId="766E90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D6415B">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9634A6">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A5D13F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995B6E">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5545A1">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成交公告及成交通知书：由采购人授权磋商小组确定综合得分排名前两名的供应商为成交供应商并</w:t>
            </w:r>
            <w:r>
              <w:rPr>
                <w:rFonts w:hint="eastAsia" w:ascii="宋体" w:hAnsi="宋体" w:cs="宋体"/>
              </w:rPr>
              <w:t>推荐一名成交候选供应商</w:t>
            </w:r>
            <w:r>
              <w:rPr>
                <w:rFonts w:hint="eastAsia" w:ascii="宋体" w:hAnsi="宋体" w:cs="宋体"/>
                <w:kern w:val="0"/>
                <w:szCs w:val="21"/>
              </w:rPr>
              <w:t>。评审结束后在《驻马店市中心医院》官网上发布成交公告，公示期结束后向成交供应商发出成交通知书。</w:t>
            </w:r>
          </w:p>
        </w:tc>
      </w:tr>
      <w:tr w14:paraId="6C5C1B8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D2F851">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8D074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035CFE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9A19CA">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DC0FF5">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06A6B1A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AE6F8D">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FA2693">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71FB1E4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F9AB0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24270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64D6A1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C63E1F">
            <w:pPr>
              <w:widowControl/>
              <w:spacing w:line="440" w:lineRule="exact"/>
              <w:jc w:val="center"/>
              <w:textAlignment w:val="bottom"/>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4A167C">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BD31C8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ECB6EC">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325426">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6DCA54B2">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CFA685E">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82CB9F">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3062F99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202AE0">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1990BE">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ED299CC">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600E889F">
      <w:pPr>
        <w:snapToGrid w:val="0"/>
        <w:spacing w:line="360" w:lineRule="auto"/>
        <w:jc w:val="center"/>
        <w:outlineLvl w:val="1"/>
        <w:rPr>
          <w:rFonts w:hint="eastAsia" w:ascii="宋体" w:hAnsi="宋体" w:cs="宋体"/>
          <w:kern w:val="0"/>
          <w:sz w:val="24"/>
        </w:rPr>
      </w:pPr>
      <w:bookmarkStart w:id="48" w:name="_Toc4700"/>
      <w:bookmarkStart w:id="49" w:name="_Toc16669"/>
      <w:r>
        <w:rPr>
          <w:rFonts w:hint="eastAsia" w:ascii="宋体" w:hAnsi="宋体" w:cs="宋体"/>
          <w:b/>
          <w:bCs/>
          <w:kern w:val="0"/>
          <w:sz w:val="28"/>
          <w:szCs w:val="28"/>
        </w:rPr>
        <w:t>一 、说 明</w:t>
      </w:r>
    </w:p>
    <w:p w14:paraId="289C2962">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09EC647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本采购文件仅适用于采购公告中所叙述项目的工程项目采购。</w:t>
      </w:r>
    </w:p>
    <w:p w14:paraId="4CD767EC">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7EBAAD2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“采购人”系指各级国家机关、事业单位、团体组织。</w:t>
      </w:r>
    </w:p>
    <w:p w14:paraId="5A9100D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“供应商”系指驻马店市中心医院官网下载获取了本采购文件，且已经提交本次响应文件的供应商。</w:t>
      </w:r>
    </w:p>
    <w:p w14:paraId="07DA0BF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53094CE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“工程”系指供应商按竞争性磋商文件规定向采购人提供的一切工作内容。</w:t>
      </w:r>
    </w:p>
    <w:p w14:paraId="26D936A1">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3.采购预算：47万元（据实结算）；最高投标限价（综合折扣率）:100%；</w:t>
      </w:r>
    </w:p>
    <w:p w14:paraId="7611951A">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1B9205C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4BF3619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52F43C6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EBDB44C">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4EBABDFF">
      <w:pPr>
        <w:widowControl/>
        <w:tabs>
          <w:tab w:val="left" w:pos="840"/>
        </w:tabs>
        <w:snapToGrid w:val="0"/>
        <w:spacing w:line="360" w:lineRule="auto"/>
        <w:ind w:firstLine="420" w:firstLineChars="200"/>
        <w:jc w:val="left"/>
        <w:rPr>
          <w:rFonts w:hint="eastAsia" w:ascii="宋体" w:hAnsi="宋体" w:cs="宋体"/>
        </w:rPr>
      </w:pPr>
      <w:r>
        <w:rPr>
          <w:rFonts w:hint="eastAsia" w:ascii="宋体" w:hAnsi="宋体" w:cs="宋体"/>
          <w:szCs w:val="21"/>
          <w:shd w:val="clear" w:color="auto" w:fill="FFFFFF"/>
        </w:rPr>
        <w:t>4.5参加本采购活动前三年内，在经营活动中没有重大违法记录（提供书面承诺函）；</w:t>
      </w:r>
    </w:p>
    <w:p w14:paraId="6D17B92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227CF8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color w:val="000000" w:themeColor="text1"/>
          <w:kern w:val="0"/>
          <w:szCs w:val="21"/>
          <w14:textFill>
            <w14:solidFill>
              <w14:schemeClr w14:val="tx1"/>
            </w14:solidFill>
          </w14:textFill>
        </w:rPr>
        <w:t>提供在“国家企业信用信息公示系统”中查询的相关材料并加盖公章（需包含公司基本信息、股东信息及股权变更信息）或提供说明承诺函</w:t>
      </w:r>
      <w:r>
        <w:rPr>
          <w:rFonts w:hint="eastAsia" w:ascii="宋体" w:hAnsi="宋体" w:cs="宋体"/>
          <w:szCs w:val="21"/>
          <w:shd w:val="clear" w:color="auto" w:fill="FFFFFF"/>
        </w:rPr>
        <w:t>）。一经发现，将导致磋商同时被拒绝；</w:t>
      </w:r>
    </w:p>
    <w:p w14:paraId="0C50984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4.8本项目特定资格要求：</w:t>
      </w:r>
    </w:p>
    <w:p w14:paraId="0AEDA9EB">
      <w:pPr>
        <w:widowControl/>
        <w:tabs>
          <w:tab w:val="left" w:pos="840"/>
        </w:tabs>
        <w:snapToGrid w:val="0"/>
        <w:spacing w:line="324" w:lineRule="auto"/>
        <w:ind w:firstLine="420" w:firstLineChars="200"/>
        <w:jc w:val="left"/>
        <w:rPr>
          <w:rFonts w:hint="eastAsia" w:ascii="宋体" w:hAnsi="宋体" w:cs="宋体"/>
          <w:szCs w:val="21"/>
          <w:highlight w:val="yellow"/>
          <w:shd w:val="clear" w:color="auto" w:fill="FFFFFF"/>
        </w:rPr>
      </w:pPr>
      <w:r>
        <w:rPr>
          <w:rFonts w:hint="eastAsia" w:ascii="宋体" w:hAnsi="宋体" w:cs="宋体"/>
          <w:szCs w:val="21"/>
          <w:shd w:val="clear" w:color="auto" w:fill="FFFFFF"/>
        </w:rPr>
        <w:t>4.8.1供应商须具有建设行政主管部门颁发的建筑工程施工总承包贰级及以上资质（且符合资质证书承揽范围），并具有有效的企业安全生产许可证（提供相关证书）；</w:t>
      </w:r>
    </w:p>
    <w:p w14:paraId="5A9C479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4.8.2供应商拟派项目经理须具有贰级或贰级以上建筑工程专业注册建造师证书，且具有有效的安全生产考核证书，项目经理未担任其他在建工程（提供相关证书和项目经理无在建承诺书）；</w:t>
      </w:r>
    </w:p>
    <w:p w14:paraId="3873D7BB">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5.磋商费用</w:t>
      </w:r>
    </w:p>
    <w:p w14:paraId="4F27F347">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不论磋商结果如何，供应商均应自行承担所有与磋商有关的全部费用。</w:t>
      </w:r>
    </w:p>
    <w:p w14:paraId="4AACDC89">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6.联合体磋商：本项目不接受联合体磋商。</w:t>
      </w:r>
    </w:p>
    <w:p w14:paraId="6495434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w:t>
      </w:r>
      <w:r>
        <w:rPr>
          <w:rFonts w:hint="eastAsia" w:ascii="宋体" w:hAnsi="宋体" w:cs="宋体"/>
          <w:kern w:val="0"/>
          <w:szCs w:val="21"/>
        </w:rPr>
        <w:t>磋商</w:t>
      </w:r>
    </w:p>
    <w:p w14:paraId="4D427D3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0AC9937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磋商。单位负责人为同一人或者存在直接控股、管理关系的不同供应商，不得参加同一合同项下的磋商。一经发现，将导致磋商同时被拒绝。</w:t>
      </w:r>
    </w:p>
    <w:p w14:paraId="722A63A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5F3E5622">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757B4D69">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1655A70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6EF5E1B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69E0A3A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供应商磋商所使用的资格、信誉、荣誉、业绩与企业认证必须为本法人所拥有。  </w:t>
      </w:r>
    </w:p>
    <w:p w14:paraId="69F277C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供应商代表只能接受一个供应商的委托参加磋商。</w:t>
      </w:r>
    </w:p>
    <w:p w14:paraId="15E93BA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FA11D0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9.4供应商在磋商活动中提供虚假材料或从事其他违法活动的,其磋商无效，由相关部门查处。</w:t>
      </w:r>
    </w:p>
    <w:p w14:paraId="52E450D7">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1BFE2F22">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0162FBD4">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4D63AAA3">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03961905">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304A7FAD">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3510E5CB">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644C5D5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60A575B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46A3017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767D28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3A7BF5C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4091D28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35474896">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0AB8626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5EA4074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55B8CE7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2DD4AB1B">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52B4ED6B">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02050E12">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16F9871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DC0E3F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BF72ED5">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04CC9DF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38D5A91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77C470F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62F2BAB">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0BEB356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16.1、竞争性磋商响应书（格式）</w:t>
      </w:r>
    </w:p>
    <w:p w14:paraId="596DA8A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16.2、初次报价一览表（格式）</w:t>
      </w:r>
    </w:p>
    <w:p w14:paraId="5EEB295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16.3、技术响应表（格式）</w:t>
      </w:r>
    </w:p>
    <w:p w14:paraId="7E9EBEC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16.4、商务响应表（格式）</w:t>
      </w:r>
    </w:p>
    <w:p w14:paraId="2B0AE5D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16.5、法定代表人身份证明（格式）</w:t>
      </w:r>
    </w:p>
    <w:p w14:paraId="5C21210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16.6、法定代表人授权书（格式）</w:t>
      </w:r>
    </w:p>
    <w:p w14:paraId="7DFD104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16.7、证明文件</w:t>
      </w:r>
    </w:p>
    <w:p w14:paraId="7065CAC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16.8、供应商承诺书（格式）</w:t>
      </w:r>
    </w:p>
    <w:p w14:paraId="7776EB1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16.9、供应商信用承诺函（格式）</w:t>
      </w:r>
    </w:p>
    <w:p w14:paraId="2421D350">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40B459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17.1响应文件从采购公告所规定的磋商截止期之后开始生效，在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61DCB75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B715545">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18.磋商报价</w:t>
      </w:r>
    </w:p>
    <w:p w14:paraId="2E422892">
      <w:pPr>
        <w:snapToGrid w:val="0"/>
        <w:spacing w:line="360" w:lineRule="auto"/>
        <w:ind w:firstLine="420" w:firstLineChars="200"/>
        <w:jc w:val="left"/>
        <w:rPr>
          <w:rFonts w:hint="eastAsia" w:ascii="宋体" w:hAnsi="宋体" w:cs="宋体"/>
          <w:kern w:val="0"/>
          <w:szCs w:val="21"/>
        </w:rPr>
      </w:pPr>
      <w:r>
        <w:rPr>
          <w:rFonts w:ascii="宋体" w:hAnsi="宋体" w:cs="宋体"/>
          <w:kern w:val="0"/>
          <w:szCs w:val="21"/>
        </w:rPr>
        <w:t>18.1</w:t>
      </w:r>
      <w:r>
        <w:rPr>
          <w:rFonts w:hint="eastAsia" w:ascii="宋体" w:hAnsi="宋体" w:cs="宋体"/>
          <w:kern w:val="0"/>
          <w:szCs w:val="21"/>
        </w:rPr>
        <w:t>所有磋商报价均以百分率为计算单位，以综合折扣率报价。供应商的报价应包括项目实施所需的人工费、机械费、材料费、辅助耗材费用、税费、服务费及其他一切费用的总和。</w:t>
      </w:r>
    </w:p>
    <w:p w14:paraId="3B1B394A">
      <w:pPr>
        <w:widowControl/>
        <w:snapToGrid w:val="0"/>
        <w:spacing w:line="360" w:lineRule="auto"/>
        <w:ind w:firstLine="420" w:firstLineChars="200"/>
        <w:jc w:val="left"/>
        <w:rPr>
          <w:rFonts w:hint="eastAsia" w:ascii="宋体" w:hAnsi="宋体" w:cs="宋体"/>
          <w:b/>
          <w:kern w:val="0"/>
          <w:szCs w:val="21"/>
        </w:rPr>
      </w:pPr>
      <w:r>
        <w:rPr>
          <w:rFonts w:ascii="宋体" w:hAnsi="宋体" w:cs="宋体"/>
          <w:kern w:val="0"/>
          <w:szCs w:val="21"/>
        </w:rPr>
        <w:t>18.1.1</w:t>
      </w:r>
      <w:r>
        <w:rPr>
          <w:rFonts w:hint="eastAsia" w:ascii="宋体" w:hAnsi="宋体" w:cs="宋体"/>
          <w:b/>
          <w:kern w:val="0"/>
          <w:szCs w:val="21"/>
        </w:rPr>
        <w:t>磋商报价以综合折扣率报价。</w:t>
      </w:r>
    </w:p>
    <w:p w14:paraId="1E7193F7">
      <w:pPr>
        <w:widowControl/>
        <w:snapToGrid w:val="0"/>
        <w:spacing w:line="360" w:lineRule="auto"/>
        <w:ind w:firstLine="420" w:firstLineChars="200"/>
        <w:jc w:val="left"/>
        <w:rPr>
          <w:rFonts w:ascii="宋体" w:cs="宋体"/>
          <w:kern w:val="0"/>
          <w:szCs w:val="21"/>
        </w:rPr>
      </w:pPr>
      <w:r>
        <w:rPr>
          <w:rFonts w:ascii="宋体" w:hAnsi="宋体" w:cs="宋体"/>
          <w:kern w:val="0"/>
          <w:szCs w:val="21"/>
        </w:rPr>
        <w:t>18.1.2</w:t>
      </w:r>
      <w:r>
        <w:rPr>
          <w:rFonts w:hint="eastAsia" w:ascii="宋体" w:hAnsi="宋体" w:cs="宋体"/>
          <w:kern w:val="0"/>
          <w:szCs w:val="21"/>
        </w:rPr>
        <w:t>供应商的报价超过采购预算，采购人不能支付的，按废标处理。</w:t>
      </w:r>
    </w:p>
    <w:p w14:paraId="06463A88">
      <w:pPr>
        <w:snapToGrid w:val="0"/>
        <w:spacing w:line="360" w:lineRule="auto"/>
        <w:ind w:firstLine="420" w:firstLineChars="200"/>
        <w:jc w:val="left"/>
        <w:rPr>
          <w:rFonts w:ascii="宋体" w:cs="宋体"/>
          <w:kern w:val="0"/>
          <w:szCs w:val="21"/>
        </w:rPr>
      </w:pPr>
      <w:r>
        <w:rPr>
          <w:rFonts w:ascii="宋体" w:hAnsi="宋体" w:cs="宋体"/>
          <w:kern w:val="0"/>
          <w:szCs w:val="21"/>
        </w:rPr>
        <w:t xml:space="preserve">18.2 </w:t>
      </w:r>
      <w:r>
        <w:rPr>
          <w:rFonts w:hint="eastAsia" w:ascii="宋体" w:hAnsi="宋体" w:cs="宋体"/>
          <w:kern w:val="0"/>
          <w:szCs w:val="21"/>
        </w:rPr>
        <w:t>供应商要按初次报价一览表的内容填写。</w:t>
      </w:r>
    </w:p>
    <w:p w14:paraId="4F40380A">
      <w:pPr>
        <w:snapToGrid w:val="0"/>
        <w:spacing w:line="360" w:lineRule="auto"/>
        <w:ind w:firstLine="420" w:firstLineChars="200"/>
        <w:jc w:val="left"/>
        <w:rPr>
          <w:rFonts w:ascii="宋体" w:cs="宋体"/>
          <w:kern w:val="0"/>
          <w:szCs w:val="21"/>
        </w:rPr>
      </w:pPr>
      <w:r>
        <w:rPr>
          <w:rFonts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6DB2C028">
      <w:pPr>
        <w:snapToGrid w:val="0"/>
        <w:spacing w:line="360" w:lineRule="auto"/>
        <w:ind w:firstLine="420" w:firstLineChars="200"/>
        <w:jc w:val="left"/>
        <w:rPr>
          <w:rFonts w:ascii="宋体" w:cs="宋体"/>
          <w:kern w:val="0"/>
          <w:szCs w:val="21"/>
        </w:rPr>
      </w:pPr>
      <w:r>
        <w:rPr>
          <w:rFonts w:ascii="宋体" w:hAnsi="宋体" w:cs="宋体"/>
          <w:kern w:val="0"/>
          <w:szCs w:val="21"/>
        </w:rPr>
        <w:t xml:space="preserve">18.4 </w:t>
      </w:r>
      <w:r>
        <w:rPr>
          <w:rFonts w:hint="eastAsia" w:ascii="宋体" w:hAnsi="宋体" w:cs="宋体"/>
          <w:kern w:val="0"/>
          <w:szCs w:val="21"/>
        </w:rPr>
        <w:t>初次报价一览表中标明的价格在政府采购合同执行过程中是固定不变的，供应商不得以任何理由予以变更。以可调整的价格提交的投标将被作为无效投标处理。</w:t>
      </w:r>
    </w:p>
    <w:p w14:paraId="7D82A747">
      <w:pPr>
        <w:snapToGrid w:val="0"/>
        <w:spacing w:line="360" w:lineRule="auto"/>
        <w:ind w:firstLine="420" w:firstLineChars="200"/>
        <w:jc w:val="left"/>
        <w:rPr>
          <w:rFonts w:ascii="宋体" w:cs="宋体"/>
          <w:kern w:val="0"/>
          <w:szCs w:val="21"/>
        </w:rPr>
      </w:pPr>
      <w:r>
        <w:rPr>
          <w:rFonts w:ascii="宋体" w:hAnsi="宋体" w:cs="宋体"/>
          <w:kern w:val="0"/>
          <w:szCs w:val="21"/>
        </w:rPr>
        <w:t xml:space="preserve">18.5 </w:t>
      </w:r>
      <w:r>
        <w:rPr>
          <w:rFonts w:hint="eastAsia" w:ascii="宋体" w:hAnsi="宋体" w:cs="宋体"/>
          <w:kern w:val="0"/>
          <w:szCs w:val="21"/>
        </w:rPr>
        <w:t>采购人不接受可选择的投标报价。</w:t>
      </w:r>
    </w:p>
    <w:p w14:paraId="18584C9A">
      <w:pPr>
        <w:snapToGrid w:val="0"/>
        <w:spacing w:line="360" w:lineRule="auto"/>
        <w:ind w:firstLine="420" w:firstLineChars="200"/>
        <w:jc w:val="left"/>
        <w:rPr>
          <w:rFonts w:ascii="宋体" w:cs="宋体"/>
          <w:kern w:val="0"/>
          <w:szCs w:val="21"/>
        </w:rPr>
      </w:pPr>
      <w:r>
        <w:rPr>
          <w:rFonts w:ascii="宋体" w:hAnsi="宋体" w:cs="宋体"/>
          <w:kern w:val="0"/>
          <w:szCs w:val="21"/>
        </w:rPr>
        <w:t xml:space="preserve">18.6 </w:t>
      </w:r>
      <w:r>
        <w:rPr>
          <w:rFonts w:hint="eastAsia" w:ascii="宋体" w:hAnsi="宋体" w:cs="宋体"/>
          <w:kern w:val="0"/>
          <w:szCs w:val="21"/>
        </w:rPr>
        <w:t>对于供应商在初次报价一览表和响应文件中列出的赠送条款，在评审时不得作为价格评分因素或者调整评标价格的依据。</w:t>
      </w:r>
    </w:p>
    <w:p w14:paraId="15CAAE2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1B8896AB">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6208D8F0">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8775F95">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响应文件应当对采购文件有关工期、质量保修期、响应文件有效期、质量要求等实质性内容作出响应。</w:t>
      </w:r>
    </w:p>
    <w:p w14:paraId="669A9C49">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46A8F75">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170E6DC6">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1F95F87C">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576A5F5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6D7C86C">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3F30A5D6">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4856CAF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44B59031">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04698A8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5FF552DC">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178A3A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6C2A2BEE">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8E43E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供应商在磋商截止时间前，可以对所提交的响应文件进行补充、修改或者撤回，并书面通知采购人。补充、修改的内容和撤回通知应当按本须知要求签署、盖章、密封，并作为响应文件的组成部分。</w:t>
      </w:r>
    </w:p>
    <w:p w14:paraId="573E83D9">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供应商在磋商截止期后不得修改、撤回响应文件。供应商在磋商截止期后修改响应文件的，其磋商将被拒绝。</w:t>
      </w:r>
    </w:p>
    <w:p w14:paraId="1455036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1C6FA17E">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01931EEB">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w:t>
      </w:r>
      <w:r>
        <w:rPr>
          <w:rFonts w:hint="eastAsia" w:ascii="宋体" w:hAnsi="宋体" w:cs="宋体"/>
          <w:kern w:val="0"/>
          <w:szCs w:val="21"/>
        </w:rPr>
        <w:t>磋商开始</w:t>
      </w:r>
      <w:r>
        <w:rPr>
          <w:rFonts w:hint="eastAsia" w:ascii="宋体" w:hAnsi="宋体" w:cs="宋体"/>
          <w:szCs w:val="21"/>
        </w:rPr>
        <w:t>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0415BD1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10308A5">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7C6F949C">
      <w:pPr>
        <w:pStyle w:val="31"/>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5FA5307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5F4203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027FBD8C">
      <w:pPr>
        <w:pStyle w:val="31"/>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7997572F">
      <w:pPr>
        <w:pStyle w:val="31"/>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3DF8902D">
      <w:pPr>
        <w:pStyle w:val="31"/>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03BFE0B3">
      <w:pPr>
        <w:pStyle w:val="31"/>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731BD80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0E3BED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25.3.6同时出现两种以上不一致的，按照前款规定的顺序修正。修正后的报价按照财政部87号令第五十一条第二款的规定经供应商确认后产生约束力，供应商不确认的，其磋商无效。</w:t>
      </w:r>
    </w:p>
    <w:p w14:paraId="2C12F05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6D9AECD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w:t>
      </w:r>
      <w:r>
        <w:rPr>
          <w:rFonts w:hint="eastAsia" w:ascii="宋体" w:hAnsi="宋体" w:cs="宋体"/>
          <w:kern w:val="0"/>
          <w:szCs w:val="21"/>
        </w:rPr>
        <w:t>磋商</w:t>
      </w:r>
      <w:r>
        <w:rPr>
          <w:rFonts w:hint="eastAsia" w:ascii="宋体" w:hAnsi="宋体" w:cs="宋体"/>
          <w:szCs w:val="21"/>
        </w:rPr>
        <w:t>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B7D70B0">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4658F5C4">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5DD93459">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0BA137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2D8ACED2">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412D267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（4）响应文件有效期、质量等不满足采购文件要求的。</w:t>
      </w:r>
    </w:p>
    <w:p w14:paraId="7C2A0E80">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（5）未按采购文件提供的格式填列、项目不齐全或内容虚假的。</w:t>
      </w:r>
    </w:p>
    <w:p w14:paraId="747B5230">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3A0CE7D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1C27B678">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3A8FE160">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（9）不符合采购文件中规定的其它实质性条款。</w:t>
      </w:r>
    </w:p>
    <w:p w14:paraId="3CC5FA2A">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磋商小组决定磋商的响应性只根据响应文件本身的内容，而不寻求其他的外部证据。</w:t>
      </w:r>
    </w:p>
    <w:p w14:paraId="121AF26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对资格性检查和符合性检查不合格的供应商，将通过评审现场告知其理由。</w:t>
      </w:r>
    </w:p>
    <w:p w14:paraId="2ED133E7">
      <w:pPr>
        <w:pStyle w:val="31"/>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2AC0F564">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4792DA50">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7CE18DC">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689C9C0B">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5B1B2FF4">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3D0B9B4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25.5.6不同供应商的投标保证金从同一单位或者个人的账户转出（若收取）。</w:t>
      </w:r>
    </w:p>
    <w:p w14:paraId="0151B5E3">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36BB81E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527477B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25.5.9 磋商小组认定的其他串通投标情形。</w:t>
      </w:r>
    </w:p>
    <w:p w14:paraId="59211D70">
      <w:pPr>
        <w:tabs>
          <w:tab w:val="left" w:pos="0"/>
        </w:tabs>
        <w:snapToGrid w:val="0"/>
        <w:spacing w:line="360" w:lineRule="auto"/>
        <w:ind w:left="105" w:leftChars="50" w:firstLine="316" w:firstLineChars="150"/>
        <w:contextualSpacing/>
        <w:jc w:val="left"/>
        <w:rPr>
          <w:rFonts w:hint="eastAsia" w:ascii="宋体" w:hAnsi="宋体" w:cs="宋体"/>
          <w:b/>
          <w:bCs/>
          <w:szCs w:val="21"/>
        </w:rPr>
      </w:pPr>
      <w:r>
        <w:rPr>
          <w:rFonts w:hint="eastAsia" w:ascii="宋体" w:hAnsi="宋体" w:cs="宋体"/>
          <w:b/>
          <w:bCs/>
          <w:szCs w:val="21"/>
        </w:rPr>
        <w:t>25.6 磋商</w:t>
      </w:r>
    </w:p>
    <w:p w14:paraId="667344DA">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rPr>
        <w:t>对资格性检查和符合性检查合格的供应商，进入本次磋商程序。</w:t>
      </w:r>
    </w:p>
    <w:p w14:paraId="6F254000">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31533EB">
      <w:pPr>
        <w:widowControl/>
        <w:kinsoku w:val="0"/>
        <w:autoSpaceDE w:val="0"/>
        <w:autoSpaceDN w:val="0"/>
        <w:adjustRightInd w:val="0"/>
        <w:snapToGrid w:val="0"/>
        <w:spacing w:line="360" w:lineRule="auto"/>
        <w:ind w:firstLine="422" w:firstLineChars="200"/>
        <w:textAlignment w:val="baseline"/>
        <w:rPr>
          <w:rFonts w:hint="eastAsia" w:ascii="宋体" w:hAnsi="宋体" w:cs="宋体"/>
          <w:kern w:val="0"/>
          <w:szCs w:val="21"/>
        </w:rPr>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F7571D8">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379D638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2BFF3C42">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79B77522">
      <w:pPr>
        <w:pStyle w:val="31"/>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0E158C4C">
      <w:pPr>
        <w:pStyle w:val="31"/>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27.2对漏（缺）报项的处理：竞争性磋商文件中要求列入报价的费用，漏（缺）报的视同已含在投标总价中。</w:t>
      </w:r>
    </w:p>
    <w:p w14:paraId="6BB3E54C">
      <w:pPr>
        <w:pStyle w:val="31"/>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工程质量或者不能诚信履约的，应当要求其在评标现场合理的时间内提供书面说明，必要时提交相关证明材料；供应商不能证明其报价合理性的，磋商小组应当将其作为无效投标处理。</w:t>
      </w:r>
    </w:p>
    <w:p w14:paraId="6F707C7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49638B6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AE8458A">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0BC0856B">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73CB1BE1">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51F987EA">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6CDFFB8A">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67C1CDA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最低价不作为成交的保证。</w:t>
      </w:r>
    </w:p>
    <w:p w14:paraId="10FC3919">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37271FFE">
      <w:pPr>
        <w:snapToGrid w:val="0"/>
        <w:spacing w:line="360" w:lineRule="auto"/>
        <w:ind w:firstLine="420" w:firstLineChars="200"/>
        <w:rPr>
          <w:rFonts w:hint="eastAsia" w:ascii="宋体" w:hAnsi="宋体" w:cs="宋体"/>
          <w:szCs w:val="21"/>
        </w:rPr>
      </w:pPr>
      <w:bookmarkStart w:id="50" w:name="_Toc32200"/>
      <w:r>
        <w:rPr>
          <w:rFonts w:hint="eastAsia" w:ascii="宋体" w:hAnsi="宋体" w:cs="宋体"/>
          <w:bCs/>
          <w:kern w:val="0"/>
          <w:szCs w:val="21"/>
        </w:rPr>
        <w:t>30.2.1</w:t>
      </w:r>
      <w:bookmarkEnd w:id="50"/>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730317AE">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8B06831">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029A14EB">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本项目由采购人授权磋商小组确定综合得分排名前两名的供应商为成交供应商并推荐一名成交候选供应商</w:t>
      </w:r>
      <w:r>
        <w:rPr>
          <w:rFonts w:hint="eastAsia" w:ascii="宋体" w:hAnsi="宋体" w:cs="宋体"/>
          <w:kern w:val="0"/>
          <w:szCs w:val="21"/>
        </w:rPr>
        <w:t>。</w:t>
      </w:r>
    </w:p>
    <w:p w14:paraId="6C212B2C">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4F8232D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50E55C9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0A1ECC3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5A8CA036">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5FEB0FBB">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57C76A26">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18401F41">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6EFBC638">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4BF048B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5C230779">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46E2891E">
      <w:pPr>
        <w:numPr>
          <w:ilvl w:val="0"/>
          <w:numId w:val="2"/>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　</w:t>
      </w:r>
    </w:p>
    <w:p w14:paraId="7BB32DC5">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（2）采购文件没有不合理条款、采购程序符合规定，需要采用其他采购方式采购的，采购人应当依法报财政部门批准。</w:t>
      </w:r>
    </w:p>
    <w:p w14:paraId="23EFD1A9">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424AF3DF">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507A83AF">
      <w:pPr>
        <w:snapToGrid w:val="0"/>
        <w:spacing w:line="360" w:lineRule="auto"/>
        <w:ind w:firstLine="420" w:firstLineChars="200"/>
        <w:jc w:val="left"/>
        <w:rPr>
          <w:rFonts w:hint="eastAsia" w:ascii="宋体" w:hAnsi="宋体" w:cs="宋体"/>
          <w:kern w:val="0"/>
          <w:szCs w:val="21"/>
          <w:u w:val="single"/>
        </w:rPr>
      </w:pPr>
      <w:bookmarkStart w:id="51"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071AA9F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24F736F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采购。</w:t>
      </w:r>
    </w:p>
    <w:bookmarkEnd w:id="51"/>
    <w:p w14:paraId="3B0420C2">
      <w:pPr>
        <w:rPr>
          <w:rFonts w:hint="eastAsia" w:ascii="宋体" w:hAnsi="宋体" w:cs="宋体"/>
        </w:rPr>
      </w:pPr>
      <w:r>
        <w:rPr>
          <w:rFonts w:hint="eastAsia" w:ascii="宋体" w:hAnsi="宋体" w:cs="宋体"/>
        </w:rPr>
        <w:br w:type="page"/>
      </w:r>
    </w:p>
    <w:p w14:paraId="28697E75">
      <w:pPr>
        <w:widowControl/>
        <w:snapToGrid w:val="0"/>
        <w:jc w:val="center"/>
        <w:outlineLvl w:val="0"/>
        <w:rPr>
          <w:rFonts w:hint="eastAsia" w:ascii="宋体" w:hAnsi="宋体" w:cs="宋体"/>
          <w:kern w:val="0"/>
          <w:sz w:val="24"/>
        </w:rPr>
      </w:pPr>
      <w:bookmarkStart w:id="52" w:name="_Toc8767"/>
      <w:r>
        <w:rPr>
          <w:rFonts w:hint="eastAsia" w:ascii="宋体" w:hAnsi="宋体" w:cs="宋体"/>
          <w:b/>
          <w:bCs/>
          <w:kern w:val="0"/>
          <w:sz w:val="32"/>
          <w:szCs w:val="32"/>
        </w:rPr>
        <w:t>第四章  评标办法及评分标准</w:t>
      </w:r>
      <w:bookmarkEnd w:id="48"/>
      <w:bookmarkEnd w:id="52"/>
    </w:p>
    <w:p w14:paraId="303F8C74">
      <w:pPr>
        <w:tabs>
          <w:tab w:val="left" w:pos="1620"/>
        </w:tabs>
        <w:snapToGrid w:val="0"/>
        <w:spacing w:line="360" w:lineRule="auto"/>
        <w:ind w:firstLine="462" w:firstLineChars="220"/>
        <w:rPr>
          <w:rFonts w:hint="eastAsia" w:ascii="宋体" w:hAnsi="宋体" w:cs="宋体"/>
        </w:rPr>
      </w:pPr>
      <w:r>
        <w:rPr>
          <w:rFonts w:hint="eastAsia" w:ascii="宋体" w:hAnsi="宋体" w:cs="宋体"/>
        </w:rPr>
        <w:t>（一）评标原则</w:t>
      </w:r>
    </w:p>
    <w:p w14:paraId="10FC10DD">
      <w:pPr>
        <w:tabs>
          <w:tab w:val="left" w:pos="1620"/>
        </w:tabs>
        <w:snapToGrid w:val="0"/>
        <w:spacing w:line="360" w:lineRule="auto"/>
        <w:ind w:firstLine="462" w:firstLineChars="220"/>
        <w:rPr>
          <w:rFonts w:hint="eastAsia" w:ascii="宋体" w:hAnsi="宋体" w:cs="宋体"/>
        </w:rPr>
      </w:pPr>
      <w:r>
        <w:rPr>
          <w:rFonts w:hint="eastAsia" w:ascii="宋体" w:hAnsi="宋体" w:cs="宋体"/>
        </w:rPr>
        <w:t>按照“公平、公正”的原则对待所有供应商，按照采购文件的相关规定进行评标、定标。</w:t>
      </w:r>
    </w:p>
    <w:p w14:paraId="311FB625">
      <w:pPr>
        <w:tabs>
          <w:tab w:val="left" w:pos="1620"/>
        </w:tabs>
        <w:snapToGrid w:val="0"/>
        <w:spacing w:line="360" w:lineRule="auto"/>
        <w:ind w:firstLine="462" w:firstLineChars="220"/>
        <w:rPr>
          <w:rFonts w:hint="eastAsia" w:ascii="宋体" w:hAnsi="宋体" w:cs="宋体"/>
        </w:rPr>
      </w:pPr>
      <w:r>
        <w:rPr>
          <w:rFonts w:hint="eastAsia" w:ascii="宋体" w:hAnsi="宋体" w:cs="宋体"/>
        </w:rPr>
        <w:t>（二）评标办法</w:t>
      </w:r>
    </w:p>
    <w:p w14:paraId="289B6456">
      <w:pPr>
        <w:tabs>
          <w:tab w:val="left" w:pos="1620"/>
        </w:tabs>
        <w:snapToGrid w:val="0"/>
        <w:spacing w:line="360" w:lineRule="auto"/>
        <w:ind w:firstLine="462" w:firstLineChars="220"/>
        <w:rPr>
          <w:rFonts w:hint="eastAsia" w:ascii="宋体" w:hAnsi="宋体" w:cs="宋体"/>
        </w:rPr>
      </w:pPr>
      <w:r>
        <w:rPr>
          <w:rFonts w:hint="eastAsia" w:ascii="宋体" w:hAnsi="宋体" w:cs="宋体"/>
        </w:rPr>
        <w:t>1．本项目采用综合评分法，总分为100分。</w:t>
      </w:r>
    </w:p>
    <w:p w14:paraId="6C65083D">
      <w:pPr>
        <w:tabs>
          <w:tab w:val="left" w:pos="1620"/>
        </w:tabs>
        <w:snapToGrid w:val="0"/>
        <w:spacing w:line="360" w:lineRule="auto"/>
        <w:ind w:firstLine="462" w:firstLineChars="220"/>
        <w:rPr>
          <w:rFonts w:hint="eastAsia" w:ascii="宋体" w:hAnsi="宋体" w:cs="宋体"/>
        </w:rPr>
      </w:pPr>
      <w:r>
        <w:rPr>
          <w:rFonts w:hint="eastAsia" w:ascii="宋体" w:hAnsi="宋体" w:cs="宋体"/>
        </w:rPr>
        <w:t>2．磋商小组按照采购文件中规定的评标方法和标准，对响应文件进行综合比较与评价。</w:t>
      </w:r>
    </w:p>
    <w:p w14:paraId="7AF9F38F">
      <w:pPr>
        <w:tabs>
          <w:tab w:val="left" w:pos="1620"/>
        </w:tabs>
        <w:snapToGrid w:val="0"/>
        <w:spacing w:line="360" w:lineRule="auto"/>
        <w:ind w:firstLine="462" w:firstLineChars="220"/>
        <w:rPr>
          <w:rFonts w:hint="eastAsia" w:ascii="宋体" w:hAnsi="宋体" w:cs="宋体"/>
        </w:rPr>
      </w:pPr>
      <w:r>
        <w:rPr>
          <w:rFonts w:hint="eastAsia" w:ascii="宋体" w:hAnsi="宋体" w:cs="宋体"/>
        </w:rPr>
        <w:t>3. 评标结果按评审后得分由高到低顺序排列，得分相同的，按投标报价由低到高顺序排列。得分且投标报价相同的，按技术部分得分顺序排列。</w:t>
      </w:r>
    </w:p>
    <w:p w14:paraId="5FB64E2C">
      <w:pPr>
        <w:tabs>
          <w:tab w:val="left" w:pos="1620"/>
        </w:tabs>
        <w:snapToGrid w:val="0"/>
        <w:spacing w:line="360" w:lineRule="auto"/>
        <w:ind w:firstLine="462" w:firstLineChars="220"/>
        <w:rPr>
          <w:rFonts w:hint="eastAsia" w:ascii="宋体" w:hAnsi="宋体" w:cs="宋体"/>
        </w:rPr>
      </w:pPr>
      <w:r>
        <w:rPr>
          <w:rFonts w:hint="eastAsia" w:ascii="宋体" w:hAnsi="宋体" w:cs="宋体"/>
        </w:rPr>
        <w:t>4.响应文件满足采购文件全部实质性要求，确定综合得分排名前两名的供应商为成交供应商。</w:t>
      </w:r>
    </w:p>
    <w:p w14:paraId="785C2C46">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031B68ED">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BB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14:paraId="4D950A5D">
            <w:pPr>
              <w:tabs>
                <w:tab w:val="left" w:pos="3000"/>
              </w:tabs>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r>
      <w:tr w14:paraId="11FB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14:paraId="55C9658D">
            <w:pPr>
              <w:snapToGrid w:val="0"/>
              <w:spacing w:line="3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价格标部分 (30分)</w:t>
            </w:r>
          </w:p>
        </w:tc>
        <w:tc>
          <w:tcPr>
            <w:tcW w:w="8243" w:type="dxa"/>
            <w:gridSpan w:val="2"/>
            <w:vAlign w:val="center"/>
          </w:tcPr>
          <w:p w14:paraId="2A49A6F8">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66973C47">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有效磋商报价：磋商报价不高于采购预算价的为有效磋商报价。</w:t>
            </w:r>
          </w:p>
          <w:p w14:paraId="52F054DF">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评标基准值的确定：满足采购文件要求且磋商价格最低的有效磋商报价为评标基准价。</w:t>
            </w:r>
          </w:p>
          <w:p w14:paraId="68F4CA1F">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磋商报价得分=（评标基准价/有效磋商报价）×30分</w:t>
            </w:r>
          </w:p>
        </w:tc>
      </w:tr>
      <w:tr w14:paraId="0C8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vAlign w:val="center"/>
          </w:tcPr>
          <w:p w14:paraId="65A23A2D">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施工组织设计</w:t>
            </w:r>
          </w:p>
          <w:p w14:paraId="1B9ECB4F">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分）</w:t>
            </w:r>
          </w:p>
        </w:tc>
        <w:tc>
          <w:tcPr>
            <w:tcW w:w="1473" w:type="dxa"/>
            <w:vAlign w:val="center"/>
          </w:tcPr>
          <w:p w14:paraId="35EA4BF3">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1.施工方案与技术措施（1</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6770" w:type="dxa"/>
            <w:vAlign w:val="center"/>
          </w:tcPr>
          <w:p w14:paraId="6FF6FBF7">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供应商应根据采购需求编制完整、详细的施工方案，包含但不限于：1.施工过程重点难点分析；2.建议及措施等。</w:t>
            </w:r>
          </w:p>
          <w:p w14:paraId="7870703B">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w:t>
            </w:r>
            <w:r>
              <w:rPr>
                <w:rFonts w:hint="eastAsia" w:ascii="宋体" w:hAnsi="宋体" w:cs="宋体"/>
                <w:szCs w:val="21"/>
                <w:lang w:val="en-US" w:eastAsia="zh-CN"/>
              </w:rPr>
              <w:t>0</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缺项得0分。</w:t>
            </w:r>
          </w:p>
        </w:tc>
      </w:tr>
      <w:tr w14:paraId="7C22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vAlign w:val="center"/>
          </w:tcPr>
          <w:p w14:paraId="530A6921">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517007D4">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2.质量管理方案与技术措施（1</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6770" w:type="dxa"/>
            <w:vAlign w:val="center"/>
          </w:tcPr>
          <w:p w14:paraId="6213ED3E">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供应商应根据采购需求编制完整、详细的质量管理体系与措施方案，包含但不限于：1.质量责任制度；2.质量目标；3.施工过程质量控制措施等。</w:t>
            </w:r>
          </w:p>
          <w:p w14:paraId="51E93EFC">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w:t>
            </w:r>
            <w:r>
              <w:rPr>
                <w:rFonts w:hint="eastAsia" w:ascii="宋体" w:hAnsi="宋体" w:cs="宋体"/>
                <w:szCs w:val="21"/>
                <w:lang w:val="en-US" w:eastAsia="zh-CN"/>
              </w:rPr>
              <w:t>0</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缺项得0分。</w:t>
            </w:r>
          </w:p>
        </w:tc>
      </w:tr>
      <w:tr w14:paraId="29B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vAlign w:val="center"/>
          </w:tcPr>
          <w:p w14:paraId="44C2BDFD">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7DFF7E21">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3.安全管理方案与技术措施、文明及环境保护管理方案与技术措施（1</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6770" w:type="dxa"/>
            <w:vAlign w:val="center"/>
          </w:tcPr>
          <w:p w14:paraId="4666A8C2">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安全管理体系与措施、文明及环境保护管理体系与措施方案，包含但不限于：1.安全责任制度；2.安全培训与交底；3.施工现场安全控制；4.应急机制等；5.文明施工管理制度；6.环境保护管理制度。</w:t>
            </w:r>
          </w:p>
          <w:p w14:paraId="4D96B56B">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w:t>
            </w:r>
            <w:r>
              <w:rPr>
                <w:rFonts w:hint="eastAsia" w:ascii="宋体" w:hAnsi="宋体" w:cs="宋体"/>
                <w:szCs w:val="21"/>
                <w:lang w:val="en-US" w:eastAsia="zh-CN"/>
              </w:rPr>
              <w:t>0</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缺项得0分。</w:t>
            </w:r>
          </w:p>
        </w:tc>
      </w:tr>
      <w:tr w14:paraId="19F3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vAlign w:val="center"/>
          </w:tcPr>
          <w:p w14:paraId="788ECA21">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18ED58D7">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4.拟投入资源配备计划（10分）</w:t>
            </w:r>
          </w:p>
        </w:tc>
        <w:tc>
          <w:tcPr>
            <w:tcW w:w="6770" w:type="dxa"/>
            <w:vAlign w:val="center"/>
          </w:tcPr>
          <w:p w14:paraId="0A22CE53">
            <w:pPr>
              <w:widowControl/>
              <w:snapToGrid w:val="0"/>
              <w:spacing w:line="320" w:lineRule="exact"/>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根据供应商拟投入的施工人员、机械设备、物资投入计划综合对比。</w:t>
            </w:r>
            <w:r>
              <w:rPr>
                <w:rFonts w:hint="eastAsia" w:ascii="宋体" w:hAnsi="宋体" w:cs="宋体"/>
                <w:szCs w:val="21"/>
              </w:rPr>
              <w:t>包含但不限于：1.施工人员配备计划；2.机械、设备配备计划；3.材料资源保证措施等。</w:t>
            </w:r>
          </w:p>
          <w:p w14:paraId="6475E587">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完整科学、合理、实用，并具有针对性，得10分；</w:t>
            </w: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较为清晰、较为详细、技术措施较为健全、较有针对性得7分；</w:t>
            </w: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内容一般、技术措施一般，基本具有针对性得4分；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内容不全、有所欠缺得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缺项得0分。</w:t>
            </w:r>
          </w:p>
        </w:tc>
      </w:tr>
      <w:tr w14:paraId="5049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vAlign w:val="center"/>
          </w:tcPr>
          <w:p w14:paraId="27BAFF05">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4BD63AC8">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5.工程进度计划与措施</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分）</w:t>
            </w:r>
          </w:p>
        </w:tc>
        <w:tc>
          <w:tcPr>
            <w:tcW w:w="6770" w:type="dxa"/>
            <w:vAlign w:val="center"/>
          </w:tcPr>
          <w:p w14:paraId="7499EDEF">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供应商应根据采购需求编制完整、详细的工程进度计划与措施方案，包含但不限于：1.关键节点控制；2.工序衔接计划；3.进度管控机制等。</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完整科学、合理、实用，并具有针对性，得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较为清晰、较为详细、技术措施较为健全、较有针对性得5分；</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内容一般、技术措施一般，基本具有针对性得3分；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内容不全、有所欠缺得1分；</w:t>
            </w:r>
            <w:r>
              <w:rPr>
                <w:rFonts w:hint="eastAsia" w:ascii="宋体" w:hAnsi="宋体" w:cs="宋体"/>
                <w:color w:val="000000" w:themeColor="text1"/>
                <w:szCs w:val="21"/>
                <w14:textFill>
                  <w14:solidFill>
                    <w14:schemeClr w14:val="tx1"/>
                  </w14:solidFill>
                </w14:textFill>
              </w:rPr>
              <w:t>缺项得0分。</w:t>
            </w:r>
          </w:p>
        </w:tc>
      </w:tr>
      <w:tr w14:paraId="16B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3CC3D5D0">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商务评价</w:t>
            </w:r>
          </w:p>
          <w:p w14:paraId="3FEE63A1">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分)</w:t>
            </w:r>
          </w:p>
        </w:tc>
        <w:tc>
          <w:tcPr>
            <w:tcW w:w="1473" w:type="dxa"/>
            <w:tcBorders>
              <w:top w:val="single" w:color="auto" w:sz="4" w:space="0"/>
            </w:tcBorders>
            <w:vAlign w:val="center"/>
          </w:tcPr>
          <w:p w14:paraId="3770F3E0">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1.类似业绩（</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770" w:type="dxa"/>
            <w:vAlign w:val="center"/>
          </w:tcPr>
          <w:p w14:paraId="0348B0CB">
            <w:pPr>
              <w:widowControl/>
              <w:snapToGrid w:val="0"/>
              <w:spacing w:line="3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供应商自2023年1月1日以来具有类似工程的业绩，每提供一份得2分，最多得</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分。（注：以上业绩以合同为准）。</w:t>
            </w:r>
          </w:p>
        </w:tc>
      </w:tr>
      <w:tr w14:paraId="41C5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vAlign w:val="center"/>
          </w:tcPr>
          <w:p w14:paraId="704A3922">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tcBorders>
              <w:top w:val="single" w:color="auto" w:sz="4" w:space="0"/>
            </w:tcBorders>
            <w:vAlign w:val="center"/>
          </w:tcPr>
          <w:p w14:paraId="6A7ED1D3">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2.管理人员配备（</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6770" w:type="dxa"/>
            <w:vAlign w:val="center"/>
          </w:tcPr>
          <w:p w14:paraId="2AFAFECF">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供应商拟派项目团队配备人员中具有施工员、材料员、质检员、安全员、资料员的，每提供1个得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分，最多得</w:t>
            </w:r>
            <w:r>
              <w:rPr>
                <w:rFonts w:hint="eastAsia" w:ascii="宋体" w:hAnsi="宋体" w:cs="宋体"/>
                <w:color w:val="000000" w:themeColor="text1"/>
                <w:lang w:val="en-US" w:eastAsia="zh-CN"/>
                <w14:textFill>
                  <w14:solidFill>
                    <w14:schemeClr w14:val="tx1"/>
                  </w14:solidFill>
                </w14:textFill>
              </w:rPr>
              <w:t>10</w:t>
            </w:r>
            <w:r>
              <w:rPr>
                <w:rFonts w:hint="eastAsia" w:ascii="宋体" w:hAnsi="宋体" w:cs="宋体"/>
                <w:color w:val="000000" w:themeColor="text1"/>
                <w14:textFill>
                  <w14:solidFill>
                    <w14:schemeClr w14:val="tx1"/>
                  </w14:solidFill>
                </w14:textFill>
              </w:rPr>
              <w:t>分。</w:t>
            </w:r>
          </w:p>
          <w:p w14:paraId="1E446AE3">
            <w:pPr>
              <w:widowControl/>
              <w:snapToGrid w:val="0"/>
              <w:spacing w:line="320" w:lineRule="exact"/>
              <w:rPr>
                <w:rFonts w:hint="eastAsia" w:ascii="宋体" w:hAnsi="宋体" w:cs="宋体"/>
                <w:color w:val="000000" w:themeColor="text1"/>
                <w:highlight w:val="yellow"/>
                <w14:textFill>
                  <w14:solidFill>
                    <w14:schemeClr w14:val="tx1"/>
                  </w14:solidFill>
                </w14:textFill>
              </w:rPr>
            </w:pPr>
            <w:r>
              <w:rPr>
                <w:rFonts w:hint="eastAsia" w:ascii="宋体" w:hAnsi="宋体" w:cs="??"/>
                <w:color w:val="000000"/>
                <w:szCs w:val="21"/>
                <w:highlight w:val="none"/>
                <w:lang w:val="en-US" w:eastAsia="zh-CN"/>
              </w:rPr>
              <w:t>注：</w:t>
            </w:r>
            <w:r>
              <w:rPr>
                <w:rFonts w:ascii="宋体" w:hAnsi="宋体" w:cs="??"/>
                <w:color w:val="000000"/>
                <w:szCs w:val="21"/>
                <w:highlight w:val="none"/>
              </w:rPr>
              <w:t>提供有效</w:t>
            </w:r>
            <w:r>
              <w:rPr>
                <w:rFonts w:hint="eastAsia" w:ascii="宋体" w:hAnsi="宋体" w:cs="宋体"/>
                <w:color w:val="000000"/>
                <w:szCs w:val="21"/>
                <w:highlight w:val="none"/>
              </w:rPr>
              <w:t>证</w:t>
            </w:r>
            <w:r>
              <w:rPr>
                <w:rFonts w:ascii="宋体" w:hAnsi="宋体" w:cs="??"/>
                <w:color w:val="000000"/>
                <w:szCs w:val="21"/>
                <w:highlight w:val="none"/>
              </w:rPr>
              <w:t>件原件</w:t>
            </w:r>
            <w:r>
              <w:rPr>
                <w:rFonts w:hint="eastAsia" w:ascii="宋体" w:hAnsi="宋体" w:cs="宋体"/>
                <w:color w:val="000000"/>
                <w:szCs w:val="21"/>
                <w:highlight w:val="none"/>
              </w:rPr>
              <w:t>复印件</w:t>
            </w:r>
            <w:r>
              <w:rPr>
                <w:rFonts w:ascii="宋体" w:hAnsi="宋体" w:cs="??"/>
                <w:color w:val="000000"/>
                <w:szCs w:val="21"/>
                <w:highlight w:val="none"/>
              </w:rPr>
              <w:t>及采</w:t>
            </w:r>
            <w:r>
              <w:rPr>
                <w:rFonts w:hint="eastAsia" w:ascii="宋体" w:hAnsi="宋体" w:cs="宋体"/>
                <w:color w:val="000000"/>
                <w:szCs w:val="21"/>
                <w:highlight w:val="none"/>
              </w:rPr>
              <w:t>购</w:t>
            </w:r>
            <w:r>
              <w:rPr>
                <w:rFonts w:ascii="宋体" w:hAnsi="宋体" w:cs="??"/>
                <w:color w:val="000000"/>
                <w:szCs w:val="21"/>
                <w:highlight w:val="none"/>
              </w:rPr>
              <w:t>活</w:t>
            </w:r>
            <w:r>
              <w:rPr>
                <w:rFonts w:hint="eastAsia" w:ascii="宋体" w:hAnsi="宋体" w:cs="宋体"/>
                <w:color w:val="000000"/>
                <w:szCs w:val="21"/>
                <w:highlight w:val="none"/>
              </w:rPr>
              <w:t>动</w:t>
            </w:r>
            <w:r>
              <w:rPr>
                <w:rFonts w:ascii="宋体" w:hAnsi="宋体" w:cs="??"/>
                <w:color w:val="000000"/>
                <w:szCs w:val="21"/>
                <w:highlight w:val="none"/>
              </w:rPr>
              <w:t>近三个月或上一季度任一个月的</w:t>
            </w:r>
            <w:r>
              <w:rPr>
                <w:rFonts w:hint="eastAsia" w:ascii="宋体" w:hAnsi="宋体" w:cs="宋体"/>
                <w:color w:val="000000"/>
                <w:szCs w:val="21"/>
                <w:highlight w:val="none"/>
              </w:rPr>
              <w:t>缴纳</w:t>
            </w:r>
            <w:r>
              <w:rPr>
                <w:rFonts w:ascii="宋体" w:hAnsi="宋体" w:cs="??"/>
                <w:color w:val="000000"/>
                <w:szCs w:val="21"/>
                <w:highlight w:val="none"/>
              </w:rPr>
              <w:t>的社保</w:t>
            </w:r>
            <w:r>
              <w:rPr>
                <w:rFonts w:hint="eastAsia" w:ascii="宋体" w:hAnsi="宋体" w:cs="宋体"/>
                <w:color w:val="000000"/>
                <w:szCs w:val="21"/>
                <w:highlight w:val="none"/>
              </w:rPr>
              <w:t>证</w:t>
            </w:r>
            <w:r>
              <w:rPr>
                <w:rFonts w:ascii="宋体" w:hAnsi="宋体" w:cs="??"/>
                <w:color w:val="000000"/>
                <w:szCs w:val="21"/>
                <w:highlight w:val="none"/>
              </w:rPr>
              <w:t>明，不符合要求不得分。</w:t>
            </w:r>
          </w:p>
        </w:tc>
      </w:tr>
      <w:tr w14:paraId="7343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vAlign w:val="center"/>
          </w:tcPr>
          <w:p w14:paraId="4B460AEE">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tcBorders>
              <w:top w:val="single" w:color="auto" w:sz="4" w:space="0"/>
            </w:tcBorders>
            <w:vAlign w:val="center"/>
          </w:tcPr>
          <w:p w14:paraId="591E35A9">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3.售后服务</w:t>
            </w:r>
          </w:p>
          <w:p w14:paraId="76FD6F21">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(7分)</w:t>
            </w:r>
          </w:p>
        </w:tc>
        <w:tc>
          <w:tcPr>
            <w:tcW w:w="6770" w:type="dxa"/>
            <w:vAlign w:val="center"/>
          </w:tcPr>
          <w:p w14:paraId="7DB34C63">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供应商具有保证技术措施落实到位的承诺和落实不到位的处理承诺，其中包括各关键岗位人员（负责人及相关技术人员等）的在岗、更换等履职尽责、工程保修期内、外的优惠及服务承诺等。</w:t>
            </w:r>
          </w:p>
          <w:p w14:paraId="739D43EA">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承诺全面、详尽，合理、可行性程度强7分；承诺全面、详尽，合理、可行性程度较强</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分；承诺基本全面，合理、可行性程度一般得</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分；承诺不全面，合理、可行性程度差得1分。缺项得0分。</w:t>
            </w:r>
          </w:p>
        </w:tc>
      </w:tr>
      <w:tr w14:paraId="0D1F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tcPr>
          <w:p w14:paraId="7A4CC505">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得分的计算</w:t>
            </w:r>
          </w:p>
        </w:tc>
        <w:tc>
          <w:tcPr>
            <w:tcW w:w="8243" w:type="dxa"/>
            <w:gridSpan w:val="2"/>
            <w:vAlign w:val="center"/>
          </w:tcPr>
          <w:p w14:paraId="6E2F3DD6">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磋商小组成员评分=各项评分因素的汇总得分。</w:t>
            </w:r>
          </w:p>
          <w:p w14:paraId="25641FAC">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评标总得分=磋商小组所有成员合计评分/磋商小组组成人员数。</w:t>
            </w:r>
          </w:p>
        </w:tc>
      </w:tr>
    </w:tbl>
    <w:p w14:paraId="197DCE8E">
      <w:pPr>
        <w:snapToGrid w:val="0"/>
        <w:rPr>
          <w:rFonts w:hint="eastAsia" w:ascii="宋体" w:hAnsi="宋体" w:cs="宋体"/>
          <w:kern w:val="0"/>
          <w:szCs w:val="21"/>
        </w:rPr>
      </w:pPr>
    </w:p>
    <w:p w14:paraId="0A69D26A">
      <w:pPr>
        <w:rPr>
          <w:rFonts w:hint="eastAsia" w:ascii="宋体" w:hAnsi="宋体" w:cs="宋体"/>
          <w:b/>
        </w:rPr>
      </w:pPr>
      <w:r>
        <w:rPr>
          <w:rFonts w:hint="eastAsia" w:ascii="宋体" w:hAnsi="宋体" w:cs="宋体"/>
          <w:b/>
        </w:rPr>
        <w:br w:type="page"/>
      </w:r>
    </w:p>
    <w:bookmarkEnd w:id="49"/>
    <w:p w14:paraId="18B9E229">
      <w:pPr>
        <w:rPr>
          <w:rFonts w:hint="eastAsia" w:ascii="宋体" w:hAnsi="宋体" w:cs="宋体"/>
        </w:rPr>
      </w:pPr>
      <w:bookmarkStart w:id="53" w:name="_Toc1482"/>
      <w:bookmarkStart w:id="54" w:name="_Toc1947"/>
      <w:bookmarkStart w:id="55" w:name="_Toc256519703"/>
      <w:bookmarkStart w:id="56" w:name="_Toc326786897"/>
    </w:p>
    <w:p w14:paraId="2E25F478">
      <w:pPr>
        <w:pStyle w:val="2"/>
        <w:snapToGrid w:val="0"/>
        <w:spacing w:before="0" w:after="0" w:line="480" w:lineRule="auto"/>
        <w:jc w:val="center"/>
        <w:rPr>
          <w:rFonts w:hint="eastAsia" w:ascii="宋体" w:hAnsi="宋体" w:cs="宋体"/>
          <w:sz w:val="28"/>
          <w:szCs w:val="28"/>
        </w:rPr>
      </w:pPr>
      <w:bookmarkStart w:id="57" w:name="_Toc11544"/>
      <w:r>
        <w:rPr>
          <w:rFonts w:hint="eastAsia" w:ascii="宋体" w:hAnsi="宋体" w:cs="宋体"/>
          <w:sz w:val="28"/>
          <w:szCs w:val="28"/>
        </w:rPr>
        <w:t>第五章  采购合同</w:t>
      </w:r>
      <w:bookmarkEnd w:id="57"/>
    </w:p>
    <w:p w14:paraId="01207491">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55249167">
      <w:pPr>
        <w:rPr>
          <w:rFonts w:hint="eastAsia" w:ascii="宋体" w:hAnsi="宋体" w:cs="宋体"/>
          <w:sz w:val="32"/>
          <w:szCs w:val="32"/>
        </w:rPr>
      </w:pPr>
    </w:p>
    <w:p w14:paraId="76EAF522">
      <w:pPr>
        <w:rPr>
          <w:rFonts w:hint="eastAsia" w:ascii="宋体" w:hAnsi="宋体" w:cs="宋体"/>
        </w:rPr>
      </w:pPr>
      <w:r>
        <w:rPr>
          <w:rFonts w:hint="eastAsia" w:ascii="宋体" w:hAnsi="宋体" w:cs="宋体"/>
        </w:rPr>
        <w:br w:type="page"/>
      </w:r>
    </w:p>
    <w:bookmarkEnd w:id="53"/>
    <w:bookmarkEnd w:id="54"/>
    <w:p w14:paraId="2ECB010E">
      <w:pPr>
        <w:pStyle w:val="2"/>
        <w:jc w:val="center"/>
        <w:rPr>
          <w:rFonts w:hint="eastAsia" w:ascii="宋体" w:hAnsi="宋体" w:cs="宋体"/>
          <w:kern w:val="0"/>
        </w:rPr>
      </w:pPr>
      <w:bookmarkStart w:id="58" w:name="_Toc24384"/>
      <w:r>
        <w:rPr>
          <w:rFonts w:hint="eastAsia" w:ascii="宋体" w:hAnsi="宋体" w:cs="宋体"/>
          <w:sz w:val="32"/>
          <w:szCs w:val="32"/>
        </w:rPr>
        <w:t>第六章  响应文件格式</w:t>
      </w:r>
      <w:bookmarkEnd w:id="58"/>
    </w:p>
    <w:p w14:paraId="3CF4388C">
      <w:pPr>
        <w:jc w:val="center"/>
        <w:rPr>
          <w:rFonts w:hint="eastAsia" w:ascii="宋体" w:hAnsi="宋体" w:cs="宋体"/>
          <w:b/>
          <w:bCs/>
          <w:sz w:val="32"/>
          <w:szCs w:val="32"/>
        </w:rPr>
      </w:pPr>
      <w:bookmarkStart w:id="59" w:name="_Toc13604"/>
      <w:r>
        <w:rPr>
          <w:rFonts w:hint="eastAsia" w:ascii="宋体" w:hAnsi="宋体" w:cs="宋体"/>
          <w:b/>
          <w:bCs/>
          <w:sz w:val="32"/>
          <w:szCs w:val="32"/>
        </w:rPr>
        <w:t>目    录</w:t>
      </w:r>
      <w:bookmarkEnd w:id="59"/>
    </w:p>
    <w:p w14:paraId="002A3120">
      <w:pPr>
        <w:widowControl/>
        <w:wordWrap w:val="0"/>
        <w:spacing w:line="460" w:lineRule="exact"/>
        <w:ind w:firstLine="480" w:firstLineChars="200"/>
        <w:jc w:val="left"/>
        <w:rPr>
          <w:rFonts w:hint="eastAsia" w:ascii="宋体" w:hAnsi="宋体" w:cs="宋体"/>
          <w:kern w:val="0"/>
          <w:sz w:val="24"/>
        </w:rPr>
      </w:pPr>
    </w:p>
    <w:p w14:paraId="6DAB3911">
      <w:pPr>
        <w:snapToGrid w:val="0"/>
        <w:spacing w:line="360" w:lineRule="auto"/>
        <w:ind w:firstLine="480" w:firstLineChars="200"/>
        <w:rPr>
          <w:rFonts w:hint="eastAsia" w:ascii="宋体" w:hAnsi="宋体" w:cs="宋体"/>
          <w:sz w:val="24"/>
        </w:rPr>
      </w:pPr>
      <w:bookmarkStart w:id="60" w:name="_Toc11308"/>
      <w:r>
        <w:rPr>
          <w:rFonts w:hint="eastAsia" w:ascii="宋体" w:hAnsi="宋体" w:cs="宋体"/>
          <w:sz w:val="24"/>
        </w:rPr>
        <w:t>附件1 响应文件封面（格式）</w:t>
      </w:r>
      <w:bookmarkEnd w:id="60"/>
    </w:p>
    <w:p w14:paraId="5CB933F7">
      <w:pPr>
        <w:snapToGrid w:val="0"/>
        <w:spacing w:line="360" w:lineRule="auto"/>
        <w:ind w:firstLine="480" w:firstLineChars="200"/>
        <w:rPr>
          <w:rFonts w:hint="eastAsia" w:ascii="宋体" w:hAnsi="宋体" w:cs="宋体"/>
          <w:sz w:val="24"/>
        </w:rPr>
      </w:pPr>
      <w:bookmarkStart w:id="61" w:name="_Toc25345"/>
      <w:bookmarkStart w:id="62" w:name="_Toc9579"/>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61"/>
    </w:p>
    <w:p w14:paraId="480B7D72">
      <w:pPr>
        <w:snapToGrid w:val="0"/>
        <w:spacing w:line="360" w:lineRule="auto"/>
        <w:ind w:firstLine="480" w:firstLineChars="200"/>
        <w:rPr>
          <w:rFonts w:hint="eastAsia" w:ascii="宋体" w:hAnsi="宋体" w:cs="宋体"/>
          <w:sz w:val="24"/>
        </w:rPr>
      </w:pPr>
      <w:bookmarkStart w:id="63"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63"/>
    </w:p>
    <w:p w14:paraId="5F301B5F">
      <w:pPr>
        <w:snapToGrid w:val="0"/>
        <w:spacing w:line="360" w:lineRule="auto"/>
        <w:ind w:firstLine="480" w:firstLineChars="200"/>
        <w:rPr>
          <w:rFonts w:hint="eastAsia" w:ascii="宋体" w:hAnsi="宋体" w:cs="宋体"/>
          <w:kern w:val="0"/>
          <w:sz w:val="24"/>
        </w:rPr>
      </w:pPr>
      <w:r>
        <w:rPr>
          <w:rFonts w:hint="eastAsia" w:ascii="宋体" w:hAnsi="宋体" w:cs="宋体"/>
          <w:sz w:val="24"/>
        </w:rPr>
        <w:t>附件4</w:t>
      </w:r>
      <w:bookmarkEnd w:id="62"/>
      <w:r>
        <w:rPr>
          <w:rFonts w:hint="eastAsia" w:ascii="宋体" w:hAnsi="宋体" w:cs="宋体"/>
          <w:sz w:val="24"/>
        </w:rPr>
        <w:t xml:space="preserve"> </w:t>
      </w:r>
      <w:bookmarkStart w:id="64" w:name="_Toc28392"/>
      <w:r>
        <w:rPr>
          <w:rFonts w:hint="eastAsia" w:ascii="宋体" w:hAnsi="宋体" w:cs="宋体"/>
          <w:kern w:val="0"/>
          <w:sz w:val="24"/>
        </w:rPr>
        <w:t>技术响应表（格式）</w:t>
      </w:r>
    </w:p>
    <w:p w14:paraId="3645A135">
      <w:pPr>
        <w:snapToGrid w:val="0"/>
        <w:spacing w:line="360" w:lineRule="auto"/>
        <w:ind w:firstLine="480" w:firstLineChars="200"/>
        <w:rPr>
          <w:rFonts w:hint="eastAsia" w:ascii="宋体" w:hAnsi="宋体" w:cs="宋体"/>
          <w:sz w:val="24"/>
        </w:rPr>
      </w:pPr>
      <w:r>
        <w:rPr>
          <w:rFonts w:hint="eastAsia" w:ascii="宋体" w:hAnsi="宋体" w:cs="宋体"/>
          <w:sz w:val="24"/>
        </w:rPr>
        <w:t xml:space="preserve">附件5 </w:t>
      </w:r>
      <w:bookmarkEnd w:id="64"/>
      <w:r>
        <w:rPr>
          <w:rFonts w:hint="eastAsia" w:ascii="宋体" w:hAnsi="宋体" w:cs="宋体"/>
          <w:sz w:val="24"/>
        </w:rPr>
        <w:t>商务响应表（格式）</w:t>
      </w:r>
    </w:p>
    <w:p w14:paraId="284645D9">
      <w:pPr>
        <w:snapToGrid w:val="0"/>
        <w:spacing w:line="360" w:lineRule="auto"/>
        <w:ind w:firstLine="480" w:firstLineChars="200"/>
        <w:rPr>
          <w:rFonts w:hint="eastAsia" w:ascii="宋体" w:hAnsi="宋体" w:cs="宋体"/>
          <w:sz w:val="24"/>
        </w:rPr>
      </w:pPr>
      <w:bookmarkStart w:id="65" w:name="_Toc6234"/>
      <w:r>
        <w:rPr>
          <w:rFonts w:hint="eastAsia" w:ascii="宋体" w:hAnsi="宋体" w:cs="宋体"/>
          <w:sz w:val="24"/>
        </w:rPr>
        <w:t xml:space="preserve">附件6 </w:t>
      </w:r>
      <w:bookmarkEnd w:id="65"/>
      <w:r>
        <w:rPr>
          <w:rFonts w:hint="eastAsia" w:ascii="宋体" w:hAnsi="宋体" w:cs="宋体"/>
          <w:sz w:val="24"/>
        </w:rPr>
        <w:t>法定代表人身份证明（格式）</w:t>
      </w:r>
    </w:p>
    <w:p w14:paraId="2AF25646">
      <w:pPr>
        <w:snapToGrid w:val="0"/>
        <w:spacing w:line="360" w:lineRule="auto"/>
        <w:ind w:firstLine="480" w:firstLineChars="200"/>
        <w:rPr>
          <w:rFonts w:hint="eastAsia" w:ascii="宋体" w:hAnsi="宋体" w:cs="宋体"/>
          <w:sz w:val="24"/>
        </w:rPr>
      </w:pPr>
      <w:bookmarkStart w:id="66" w:name="_Toc26231"/>
      <w:r>
        <w:rPr>
          <w:rFonts w:hint="eastAsia" w:ascii="宋体" w:hAnsi="宋体" w:cs="宋体"/>
          <w:sz w:val="24"/>
        </w:rPr>
        <w:t>附件7</w:t>
      </w:r>
      <w:bookmarkEnd w:id="66"/>
      <w:r>
        <w:rPr>
          <w:rFonts w:hint="eastAsia" w:ascii="宋体" w:hAnsi="宋体" w:cs="宋体"/>
          <w:sz w:val="24"/>
        </w:rPr>
        <w:t>法定代表人授权书（格式）</w:t>
      </w:r>
    </w:p>
    <w:p w14:paraId="2DE47700">
      <w:pPr>
        <w:snapToGrid w:val="0"/>
        <w:spacing w:line="360" w:lineRule="auto"/>
        <w:ind w:firstLine="480" w:firstLineChars="200"/>
        <w:rPr>
          <w:rFonts w:hint="eastAsia" w:ascii="宋体" w:hAnsi="宋体" w:cs="宋体"/>
          <w:sz w:val="24"/>
        </w:rPr>
      </w:pPr>
      <w:bookmarkStart w:id="67" w:name="_Toc18484"/>
      <w:r>
        <w:rPr>
          <w:rFonts w:hint="eastAsia" w:ascii="宋体" w:hAnsi="宋体" w:cs="宋体"/>
          <w:sz w:val="24"/>
        </w:rPr>
        <w:t>附件8</w:t>
      </w:r>
      <w:bookmarkEnd w:id="67"/>
      <w:r>
        <w:rPr>
          <w:rFonts w:hint="eastAsia" w:ascii="宋体" w:hAnsi="宋体" w:cs="宋体"/>
          <w:sz w:val="24"/>
        </w:rPr>
        <w:t xml:space="preserve"> 证明文件</w:t>
      </w:r>
    </w:p>
    <w:p w14:paraId="30B5FDFD">
      <w:pPr>
        <w:snapToGrid w:val="0"/>
        <w:spacing w:line="360" w:lineRule="auto"/>
        <w:ind w:firstLine="480" w:firstLineChars="200"/>
        <w:rPr>
          <w:rFonts w:hint="eastAsia" w:ascii="宋体" w:hAnsi="宋体" w:cs="宋体"/>
          <w:sz w:val="24"/>
        </w:rPr>
      </w:pPr>
      <w:bookmarkStart w:id="68" w:name="_Toc31857"/>
      <w:r>
        <w:rPr>
          <w:rFonts w:hint="eastAsia" w:ascii="宋体" w:hAnsi="宋体" w:cs="宋体"/>
          <w:sz w:val="24"/>
        </w:rPr>
        <w:t xml:space="preserve">附件9 </w:t>
      </w:r>
      <w:bookmarkEnd w:id="68"/>
      <w:r>
        <w:rPr>
          <w:rFonts w:hint="eastAsia" w:ascii="宋体" w:hAnsi="宋体" w:cs="宋体"/>
          <w:sz w:val="24"/>
        </w:rPr>
        <w:t>供应商承诺书（格式）</w:t>
      </w:r>
    </w:p>
    <w:p w14:paraId="50DD9539">
      <w:pPr>
        <w:snapToGrid w:val="0"/>
        <w:spacing w:line="360" w:lineRule="auto"/>
        <w:ind w:firstLine="480" w:firstLineChars="200"/>
        <w:rPr>
          <w:rFonts w:hint="eastAsia" w:ascii="宋体" w:hAnsi="宋体" w:cs="宋体"/>
          <w:sz w:val="24"/>
        </w:rPr>
      </w:pPr>
      <w:bookmarkStart w:id="69" w:name="_Toc23116"/>
      <w:r>
        <w:rPr>
          <w:rFonts w:hint="eastAsia" w:ascii="宋体" w:hAnsi="宋体" w:cs="宋体"/>
          <w:sz w:val="24"/>
        </w:rPr>
        <w:t xml:space="preserve">附件10 </w:t>
      </w:r>
      <w:bookmarkEnd w:id="69"/>
      <w:r>
        <w:rPr>
          <w:rFonts w:hint="eastAsia" w:ascii="宋体" w:hAnsi="宋体" w:cs="宋体"/>
          <w:sz w:val="24"/>
        </w:rPr>
        <w:t>供应商信用承诺函（格式）</w:t>
      </w:r>
    </w:p>
    <w:p w14:paraId="5D4D0DF4">
      <w:pPr>
        <w:snapToGrid w:val="0"/>
        <w:spacing w:line="360" w:lineRule="auto"/>
        <w:ind w:firstLine="480" w:firstLineChars="200"/>
        <w:rPr>
          <w:rFonts w:hint="eastAsia" w:ascii="宋体" w:hAnsi="宋体" w:cs="宋体"/>
          <w:sz w:val="24"/>
        </w:rPr>
      </w:pPr>
    </w:p>
    <w:p w14:paraId="701D3BAE">
      <w:pPr>
        <w:pStyle w:val="33"/>
        <w:ind w:firstLine="210"/>
        <w:rPr>
          <w:rFonts w:hint="eastAsia" w:ascii="宋体" w:hAnsi="宋体" w:cs="宋体"/>
        </w:rPr>
      </w:pPr>
    </w:p>
    <w:p w14:paraId="2C876D96">
      <w:pPr>
        <w:widowControl/>
        <w:wordWrap w:val="0"/>
        <w:snapToGrid w:val="0"/>
        <w:spacing w:line="460" w:lineRule="exact"/>
        <w:ind w:firstLine="482" w:firstLineChars="200"/>
        <w:jc w:val="center"/>
        <w:rPr>
          <w:rFonts w:hint="eastAsia" w:ascii="宋体" w:hAnsi="宋体" w:cs="宋体"/>
          <w:b/>
          <w:bCs/>
          <w:kern w:val="0"/>
          <w:sz w:val="24"/>
        </w:rPr>
      </w:pPr>
    </w:p>
    <w:p w14:paraId="6283D235">
      <w:pPr>
        <w:widowControl/>
        <w:wordWrap w:val="0"/>
        <w:snapToGrid w:val="0"/>
        <w:spacing w:line="460" w:lineRule="exact"/>
        <w:ind w:firstLine="482" w:firstLineChars="200"/>
        <w:jc w:val="center"/>
        <w:rPr>
          <w:rFonts w:hint="eastAsia" w:ascii="宋体" w:hAnsi="宋体" w:cs="宋体"/>
          <w:b/>
          <w:bCs/>
          <w:kern w:val="0"/>
          <w:sz w:val="24"/>
        </w:rPr>
      </w:pPr>
    </w:p>
    <w:p w14:paraId="7624165D">
      <w:pPr>
        <w:widowControl/>
        <w:wordWrap w:val="0"/>
        <w:snapToGrid w:val="0"/>
        <w:spacing w:line="460" w:lineRule="exact"/>
        <w:ind w:firstLine="482" w:firstLineChars="200"/>
        <w:jc w:val="center"/>
        <w:rPr>
          <w:rFonts w:hint="eastAsia" w:ascii="宋体" w:hAnsi="宋体" w:cs="宋体"/>
          <w:b/>
          <w:bCs/>
          <w:kern w:val="0"/>
          <w:sz w:val="24"/>
        </w:rPr>
      </w:pPr>
    </w:p>
    <w:p w14:paraId="617AE931">
      <w:pPr>
        <w:pStyle w:val="3"/>
        <w:rPr>
          <w:rFonts w:hint="eastAsia" w:ascii="宋体" w:hAnsi="宋体" w:cs="宋体"/>
          <w:b/>
          <w:bCs/>
          <w:kern w:val="0"/>
          <w:sz w:val="24"/>
        </w:rPr>
      </w:pPr>
    </w:p>
    <w:p w14:paraId="4350DCEF">
      <w:pPr>
        <w:pStyle w:val="4"/>
        <w:rPr>
          <w:rFonts w:hint="eastAsia" w:hAnsi="宋体"/>
          <w:b/>
          <w:bCs/>
          <w:color w:val="auto"/>
        </w:rPr>
      </w:pPr>
    </w:p>
    <w:p w14:paraId="10389864">
      <w:pPr>
        <w:pStyle w:val="4"/>
        <w:rPr>
          <w:rFonts w:hint="eastAsia" w:hAnsi="宋体"/>
          <w:b/>
          <w:bCs/>
          <w:color w:val="auto"/>
        </w:rPr>
      </w:pPr>
    </w:p>
    <w:p w14:paraId="663AE674">
      <w:pPr>
        <w:rPr>
          <w:rFonts w:hint="eastAsia" w:ascii="宋体" w:hAnsi="宋体" w:cs="宋体"/>
        </w:rPr>
      </w:pPr>
      <w:r>
        <w:rPr>
          <w:rFonts w:hint="eastAsia" w:ascii="宋体" w:hAnsi="宋体" w:cs="宋体"/>
        </w:rPr>
        <w:br w:type="page"/>
      </w:r>
    </w:p>
    <w:p w14:paraId="7CA7DDD5">
      <w:pPr>
        <w:pStyle w:val="28"/>
        <w:rPr>
          <w:rFonts w:hint="eastAsia" w:ascii="宋体" w:hAnsi="宋体" w:cs="宋体"/>
        </w:rPr>
      </w:pPr>
    </w:p>
    <w:p w14:paraId="4EF63195">
      <w:pPr>
        <w:pStyle w:val="8"/>
        <w:snapToGrid w:val="0"/>
        <w:spacing w:before="20" w:after="20" w:line="360" w:lineRule="auto"/>
        <w:rPr>
          <w:rFonts w:hint="eastAsia" w:ascii="宋体" w:hAnsi="宋体" w:eastAsia="宋体" w:cs="宋体"/>
          <w:sz w:val="28"/>
          <w:szCs w:val="28"/>
        </w:rPr>
      </w:pPr>
      <w:bookmarkStart w:id="70" w:name="_Toc24743"/>
      <w:bookmarkStart w:id="71" w:name="_Toc31798"/>
      <w:r>
        <w:rPr>
          <w:rFonts w:hint="eastAsia" w:ascii="宋体" w:hAnsi="宋体" w:eastAsia="宋体" w:cs="宋体"/>
          <w:sz w:val="28"/>
          <w:szCs w:val="28"/>
        </w:rPr>
        <w:t>附件1               响应文件封面（格式）</w:t>
      </w:r>
      <w:bookmarkEnd w:id="70"/>
      <w:bookmarkEnd w:id="71"/>
    </w:p>
    <w:p w14:paraId="55D90F0C">
      <w:pPr>
        <w:widowControl/>
        <w:wordWrap w:val="0"/>
        <w:spacing w:line="460" w:lineRule="exact"/>
        <w:ind w:firstLine="482" w:firstLineChars="200"/>
        <w:jc w:val="center"/>
        <w:rPr>
          <w:rFonts w:hint="eastAsia" w:ascii="宋体" w:hAnsi="宋体" w:cs="宋体"/>
          <w:b/>
          <w:kern w:val="0"/>
          <w:sz w:val="24"/>
        </w:rPr>
      </w:pPr>
    </w:p>
    <w:p w14:paraId="03232B1C">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77398C4A">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75C7D8C9">
      <w:pPr>
        <w:spacing w:line="360" w:lineRule="auto"/>
        <w:rPr>
          <w:rFonts w:hint="eastAsia" w:ascii="宋体" w:hAnsi="宋体" w:cs="宋体"/>
          <w:sz w:val="28"/>
        </w:rPr>
      </w:pPr>
    </w:p>
    <w:p w14:paraId="0ED48923">
      <w:pPr>
        <w:pStyle w:val="4"/>
        <w:spacing w:line="360" w:lineRule="auto"/>
        <w:rPr>
          <w:rFonts w:hint="eastAsia" w:hAnsi="宋体"/>
          <w:color w:val="auto"/>
        </w:rPr>
      </w:pPr>
    </w:p>
    <w:p w14:paraId="0A9DCFC5">
      <w:pPr>
        <w:pStyle w:val="4"/>
        <w:spacing w:line="360" w:lineRule="auto"/>
        <w:rPr>
          <w:rFonts w:hint="eastAsia" w:hAnsi="宋体"/>
          <w:color w:val="auto"/>
        </w:rPr>
      </w:pPr>
    </w:p>
    <w:p w14:paraId="63387A0D">
      <w:pPr>
        <w:spacing w:line="360" w:lineRule="auto"/>
        <w:rPr>
          <w:rFonts w:hint="eastAsia" w:ascii="宋体" w:hAnsi="宋体" w:cs="宋体"/>
          <w:sz w:val="28"/>
        </w:rPr>
      </w:pPr>
    </w:p>
    <w:p w14:paraId="08AF3B7D">
      <w:pPr>
        <w:spacing w:line="360" w:lineRule="auto"/>
        <w:rPr>
          <w:rFonts w:hint="eastAsia" w:ascii="宋体" w:hAnsi="宋体" w:cs="宋体"/>
          <w:sz w:val="28"/>
        </w:rPr>
      </w:pPr>
    </w:p>
    <w:p w14:paraId="4589DA11">
      <w:pPr>
        <w:spacing w:line="360" w:lineRule="auto"/>
        <w:rPr>
          <w:rFonts w:hint="eastAsia" w:ascii="宋体" w:hAnsi="宋体" w:cs="宋体"/>
          <w:sz w:val="28"/>
        </w:rPr>
      </w:pPr>
    </w:p>
    <w:p w14:paraId="547F85BB">
      <w:pPr>
        <w:spacing w:line="360" w:lineRule="auto"/>
        <w:rPr>
          <w:rFonts w:hint="eastAsia" w:ascii="宋体" w:hAnsi="宋体" w:cs="宋体"/>
          <w:sz w:val="28"/>
        </w:rPr>
      </w:pPr>
    </w:p>
    <w:p w14:paraId="3B3A42AE">
      <w:pPr>
        <w:spacing w:line="360" w:lineRule="auto"/>
        <w:rPr>
          <w:rFonts w:hint="eastAsia" w:ascii="宋体" w:hAnsi="宋体" w:cs="宋体"/>
          <w:sz w:val="28"/>
        </w:rPr>
      </w:pPr>
    </w:p>
    <w:p w14:paraId="451CEEB1">
      <w:pPr>
        <w:spacing w:line="360" w:lineRule="auto"/>
        <w:rPr>
          <w:rFonts w:hint="eastAsia" w:ascii="宋体" w:hAnsi="宋体" w:cs="宋体"/>
          <w:sz w:val="28"/>
        </w:rPr>
      </w:pPr>
    </w:p>
    <w:p w14:paraId="01FDE235">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03DBBFEF">
      <w:pPr>
        <w:widowControl/>
        <w:wordWrap w:val="0"/>
        <w:spacing w:line="460" w:lineRule="exact"/>
        <w:ind w:firstLine="1400" w:firstLineChars="500"/>
        <w:rPr>
          <w:rFonts w:hint="eastAsia" w:ascii="宋体" w:hAnsi="宋体" w:cs="宋体"/>
          <w:sz w:val="28"/>
          <w:szCs w:val="28"/>
        </w:rPr>
      </w:pPr>
      <w:r>
        <w:rPr>
          <w:rFonts w:hint="eastAsia" w:ascii="宋体" w:hAnsi="宋体" w:cs="宋体"/>
          <w:sz w:val="28"/>
          <w:szCs w:val="28"/>
        </w:rPr>
        <w:t>法定代表人或委托代理人（签字或盖章）：</w:t>
      </w:r>
    </w:p>
    <w:p w14:paraId="205EDB8A">
      <w:pPr>
        <w:widowControl/>
        <w:wordWrap w:val="0"/>
        <w:spacing w:line="460" w:lineRule="exact"/>
        <w:ind w:firstLine="1400" w:firstLineChars="500"/>
        <w:rPr>
          <w:rFonts w:hint="eastAsia" w:ascii="宋体" w:hAnsi="宋体" w:cs="宋体"/>
          <w:b/>
          <w:kern w:val="0"/>
          <w:sz w:val="24"/>
        </w:rPr>
      </w:pPr>
      <w:r>
        <w:rPr>
          <w:rFonts w:hint="eastAsia" w:ascii="宋体" w:hAnsi="宋体" w:cs="宋体"/>
          <w:sz w:val="28"/>
          <w:szCs w:val="28"/>
        </w:rPr>
        <w:t>日期：     年   月   日</w:t>
      </w:r>
    </w:p>
    <w:p w14:paraId="721911F1">
      <w:pPr>
        <w:widowControl/>
        <w:wordWrap w:val="0"/>
        <w:spacing w:line="460" w:lineRule="exact"/>
        <w:ind w:firstLine="482" w:firstLineChars="200"/>
        <w:jc w:val="left"/>
        <w:rPr>
          <w:rFonts w:hint="eastAsia" w:ascii="宋体" w:hAnsi="宋体" w:cs="宋体"/>
          <w:b/>
          <w:kern w:val="0"/>
          <w:sz w:val="24"/>
        </w:rPr>
      </w:pPr>
    </w:p>
    <w:p w14:paraId="46D22CD2">
      <w:pPr>
        <w:pStyle w:val="3"/>
        <w:rPr>
          <w:rFonts w:hint="eastAsia" w:ascii="宋体" w:hAnsi="宋体" w:cs="宋体"/>
          <w:b/>
          <w:kern w:val="0"/>
          <w:sz w:val="24"/>
        </w:rPr>
      </w:pPr>
    </w:p>
    <w:p w14:paraId="080E437E">
      <w:pPr>
        <w:rPr>
          <w:rFonts w:hint="eastAsia" w:ascii="宋体" w:hAnsi="宋体" w:cs="宋体"/>
          <w:b/>
          <w:kern w:val="0"/>
          <w:sz w:val="24"/>
        </w:rPr>
      </w:pPr>
      <w:r>
        <w:rPr>
          <w:rFonts w:hint="eastAsia" w:ascii="宋体" w:hAnsi="宋体" w:cs="宋体"/>
          <w:b/>
          <w:kern w:val="0"/>
          <w:sz w:val="24"/>
        </w:rPr>
        <w:br w:type="page"/>
      </w:r>
    </w:p>
    <w:bookmarkEnd w:id="55"/>
    <w:bookmarkEnd w:id="56"/>
    <w:p w14:paraId="263FEC07">
      <w:pPr>
        <w:pStyle w:val="8"/>
        <w:snapToGrid w:val="0"/>
        <w:spacing w:before="20" w:after="20" w:line="360" w:lineRule="auto"/>
        <w:rPr>
          <w:rFonts w:hint="eastAsia" w:ascii="宋体" w:hAnsi="宋体" w:eastAsia="宋体" w:cs="宋体"/>
          <w:sz w:val="28"/>
          <w:szCs w:val="28"/>
        </w:rPr>
      </w:pPr>
      <w:bookmarkStart w:id="72" w:name="_Toc8818"/>
      <w:bookmarkStart w:id="73" w:name="_Toc14560"/>
      <w:r>
        <w:rPr>
          <w:rFonts w:hint="eastAsia" w:ascii="宋体" w:hAnsi="宋体" w:eastAsia="宋体" w:cs="宋体"/>
          <w:sz w:val="28"/>
          <w:szCs w:val="28"/>
        </w:rPr>
        <w:t>附件2                竞争性磋商响应书（格式）</w:t>
      </w:r>
      <w:bookmarkEnd w:id="72"/>
      <w:bookmarkEnd w:id="73"/>
    </w:p>
    <w:p w14:paraId="7D4E854E">
      <w:pPr>
        <w:widowControl/>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485D0D74">
      <w:pPr>
        <w:widowControl/>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7D5F1A3F">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447ED11B">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2、技术响应表。</w:t>
      </w:r>
    </w:p>
    <w:p w14:paraId="5028DA24">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3、商务响应表。</w:t>
      </w:r>
    </w:p>
    <w:p w14:paraId="4A456F0B">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4、证明文件。</w:t>
      </w:r>
    </w:p>
    <w:p w14:paraId="4CFD331F">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5、供应商承诺书。</w:t>
      </w:r>
    </w:p>
    <w:p w14:paraId="158A2D19">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为便于贵方公正、择优地确定中标供应商及其投标产品和服务，我方就本次投标有关事项郑重声明并宣布同意如下：</w:t>
      </w:r>
    </w:p>
    <w:p w14:paraId="70F0CACE">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60A13FEA">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251DD03F">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03CACB5F">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15E89DC2">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17F8CF54">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3F3697AB">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2C653FE8">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43517761">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275DA4BF">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4E860B6D">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07713EDA">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12、如果被确定为成交供应商，我方同意按采购文件的规定领取成交通知书并缴纳服务费。否则，视为我方成交后自动放弃中标资格，承担由此引起的一切后果。</w:t>
      </w:r>
    </w:p>
    <w:p w14:paraId="1E84D40A">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68C748DD">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b/>
          <w:bCs/>
          <w:kern w:val="0"/>
          <w:szCs w:val="21"/>
        </w:rPr>
        <w:t>（若无，则填无；若有，逐一列明）。</w:t>
      </w:r>
    </w:p>
    <w:p w14:paraId="40434032">
      <w:pPr>
        <w:widowControl/>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6F0285F1">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4ED96F34">
      <w:pPr>
        <w:widowControl/>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068BF317">
      <w:pPr>
        <w:widowControl/>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41F95AA0">
      <w:pPr>
        <w:widowControl/>
        <w:wordWrap w:val="0"/>
        <w:spacing w:line="460" w:lineRule="exact"/>
        <w:ind w:firstLine="420" w:firstLineChars="200"/>
        <w:jc w:val="left"/>
        <w:rPr>
          <w:rFonts w:hint="eastAsia" w:ascii="宋体" w:hAnsi="宋体" w:cs="宋体"/>
          <w:kern w:val="0"/>
          <w:szCs w:val="21"/>
        </w:rPr>
      </w:pPr>
    </w:p>
    <w:p w14:paraId="1616787B">
      <w:pPr>
        <w:widowControl/>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7718BDAE">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0B31A27E">
      <w:pPr>
        <w:widowControl/>
        <w:snapToGrid w:val="0"/>
        <w:spacing w:line="460" w:lineRule="exact"/>
        <w:ind w:firstLine="840" w:firstLineChars="400"/>
        <w:rPr>
          <w:rFonts w:hint="eastAsia" w:ascii="宋体" w:hAnsi="宋体" w:cs="宋体"/>
          <w:kern w:val="0"/>
          <w:sz w:val="24"/>
        </w:rPr>
      </w:pPr>
      <w:r>
        <w:rPr>
          <w:rFonts w:hint="eastAsia" w:ascii="宋体" w:hAnsi="宋体" w:cs="宋体"/>
          <w:kern w:val="0"/>
          <w:szCs w:val="21"/>
        </w:rPr>
        <w:t xml:space="preserve">日期：    年    月   日 </w:t>
      </w:r>
    </w:p>
    <w:p w14:paraId="0A336D01">
      <w:pPr>
        <w:widowControl/>
        <w:wordWrap w:val="0"/>
        <w:snapToGrid w:val="0"/>
        <w:spacing w:before="50" w:after="50" w:line="480" w:lineRule="auto"/>
        <w:jc w:val="left"/>
        <w:rPr>
          <w:rFonts w:hint="eastAsia" w:ascii="宋体" w:hAnsi="宋体" w:cs="宋体"/>
          <w:b/>
          <w:kern w:val="0"/>
          <w:sz w:val="24"/>
        </w:rPr>
      </w:pPr>
    </w:p>
    <w:p w14:paraId="71E97FCD">
      <w:pPr>
        <w:widowControl/>
        <w:wordWrap w:val="0"/>
        <w:snapToGrid w:val="0"/>
        <w:spacing w:before="50" w:after="50" w:line="480" w:lineRule="auto"/>
        <w:jc w:val="left"/>
        <w:rPr>
          <w:rFonts w:hint="eastAsia" w:ascii="宋体" w:hAnsi="宋体" w:cs="宋体"/>
          <w:b/>
          <w:kern w:val="0"/>
          <w:sz w:val="24"/>
        </w:rPr>
      </w:pPr>
    </w:p>
    <w:p w14:paraId="25D8BD68">
      <w:pPr>
        <w:spacing w:line="500" w:lineRule="exact"/>
        <w:jc w:val="center"/>
        <w:rPr>
          <w:rFonts w:hint="eastAsia" w:ascii="宋体" w:hAnsi="宋体" w:cs="宋体"/>
          <w:b/>
          <w:bCs/>
          <w:sz w:val="24"/>
        </w:rPr>
      </w:pPr>
    </w:p>
    <w:p w14:paraId="06E701D9">
      <w:pPr>
        <w:rPr>
          <w:rFonts w:hint="eastAsia" w:ascii="宋体" w:hAnsi="宋体" w:cs="宋体"/>
          <w:sz w:val="28"/>
          <w:szCs w:val="28"/>
        </w:rPr>
      </w:pPr>
      <w:r>
        <w:rPr>
          <w:rFonts w:hint="eastAsia" w:ascii="宋体" w:hAnsi="宋体" w:cs="宋体"/>
          <w:sz w:val="28"/>
          <w:szCs w:val="28"/>
        </w:rPr>
        <w:br w:type="page"/>
      </w:r>
    </w:p>
    <w:p w14:paraId="673E84BF">
      <w:pPr>
        <w:pStyle w:val="8"/>
        <w:snapToGrid w:val="0"/>
        <w:spacing w:before="20" w:after="20" w:line="360" w:lineRule="auto"/>
        <w:rPr>
          <w:rFonts w:hint="eastAsia" w:ascii="宋体" w:hAnsi="宋体" w:eastAsia="宋体" w:cs="宋体"/>
          <w:sz w:val="28"/>
          <w:szCs w:val="28"/>
        </w:rPr>
      </w:pPr>
      <w:bookmarkStart w:id="74" w:name="_Toc7838"/>
      <w:r>
        <w:rPr>
          <w:rFonts w:hint="eastAsia" w:ascii="宋体" w:hAnsi="宋体" w:eastAsia="宋体" w:cs="宋体"/>
          <w:sz w:val="28"/>
          <w:szCs w:val="28"/>
        </w:rPr>
        <w:t xml:space="preserve">附件3              </w:t>
      </w:r>
      <w:bookmarkEnd w:id="74"/>
      <w:r>
        <w:rPr>
          <w:rFonts w:hint="eastAsia" w:ascii="宋体" w:hAnsi="宋体" w:eastAsia="宋体" w:cs="宋体"/>
          <w:sz w:val="28"/>
          <w:szCs w:val="28"/>
        </w:rPr>
        <w:t>初次报价一览表（格式）</w:t>
      </w:r>
    </w:p>
    <w:p w14:paraId="647785F3">
      <w:pPr>
        <w:rPr>
          <w:rFonts w:hint="eastAsia" w:ascii="宋体" w:hAnsi="宋体" w:cs="宋体"/>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1905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585AB110">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036" w:type="dxa"/>
            <w:noWrap/>
            <w:vAlign w:val="center"/>
          </w:tcPr>
          <w:p w14:paraId="2A47A155">
            <w:pPr>
              <w:rPr>
                <w:rFonts w:hint="eastAsia" w:ascii="宋体" w:hAnsi="宋体" w:cs="宋体"/>
                <w:bCs/>
                <w:szCs w:val="21"/>
              </w:rPr>
            </w:pPr>
          </w:p>
        </w:tc>
      </w:tr>
      <w:tr w14:paraId="241D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725C70D1">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036" w:type="dxa"/>
            <w:noWrap/>
            <w:vAlign w:val="center"/>
          </w:tcPr>
          <w:p w14:paraId="5F60EAD3">
            <w:pPr>
              <w:rPr>
                <w:rFonts w:hint="eastAsia" w:ascii="宋体" w:hAnsi="宋体" w:cs="宋体"/>
                <w:szCs w:val="21"/>
              </w:rPr>
            </w:pPr>
          </w:p>
        </w:tc>
      </w:tr>
      <w:tr w14:paraId="46ED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BA5F1CA">
            <w:pPr>
              <w:jc w:val="center"/>
              <w:rPr>
                <w:rFonts w:hint="eastAsia" w:ascii="宋体" w:hAnsi="宋体" w:cs="宋体"/>
                <w:spacing w:val="-20"/>
                <w:szCs w:val="21"/>
              </w:rPr>
            </w:pPr>
            <w:r>
              <w:rPr>
                <w:rFonts w:hint="eastAsia" w:ascii="宋体" w:hAnsi="宋体" w:cs="宋体"/>
                <w:szCs w:val="21"/>
              </w:rPr>
              <w:t>磋商报价（综合折扣率）</w:t>
            </w:r>
          </w:p>
        </w:tc>
        <w:tc>
          <w:tcPr>
            <w:tcW w:w="7036" w:type="dxa"/>
            <w:noWrap/>
            <w:vAlign w:val="center"/>
          </w:tcPr>
          <w:p w14:paraId="48399F2F">
            <w:pPr>
              <w:rPr>
                <w:rFonts w:ascii="宋体" w:cs="宋体"/>
                <w:szCs w:val="21"/>
              </w:rPr>
            </w:pPr>
            <w:r>
              <w:rPr>
                <w:rFonts w:hint="eastAsia" w:ascii="宋体" w:hAnsi="宋体" w:cs="宋体"/>
                <w:szCs w:val="21"/>
              </w:rPr>
              <w:t>大写：百分之</w:t>
            </w:r>
            <w:r>
              <w:rPr>
                <w:u w:val="single"/>
              </w:rPr>
              <w:t xml:space="preserve">   </w:t>
            </w:r>
            <w:r>
              <w:rPr>
                <w:rFonts w:hint="eastAsia"/>
                <w:u w:val="single"/>
              </w:rPr>
              <w:t xml:space="preserve">     </w:t>
            </w:r>
            <w:r>
              <w:rPr>
                <w:u w:val="single"/>
              </w:rPr>
              <w:t xml:space="preserve">       </w:t>
            </w:r>
            <w:r>
              <w:rPr>
                <w:rFonts w:ascii="宋体" w:hAnsi="宋体" w:cs="宋体"/>
                <w:szCs w:val="21"/>
              </w:rPr>
              <w:t xml:space="preserve">        </w:t>
            </w:r>
          </w:p>
          <w:p w14:paraId="659CAEE1">
            <w:pPr>
              <w:jc w:val="left"/>
              <w:rPr>
                <w:rFonts w:hint="eastAsia" w:ascii="宋体" w:hAnsi="宋体" w:cs="宋体"/>
                <w:szCs w:val="21"/>
              </w:rPr>
            </w:pPr>
            <w:r>
              <w:rPr>
                <w:rFonts w:hint="eastAsia" w:ascii="宋体" w:hAnsi="宋体" w:cs="宋体"/>
                <w:szCs w:val="21"/>
              </w:rPr>
              <w:t>小写：</w:t>
            </w:r>
            <w:r>
              <w:rPr>
                <w:u w:val="single"/>
              </w:rPr>
              <w:t xml:space="preserve">    </w:t>
            </w:r>
            <w:r>
              <w:rPr>
                <w:rFonts w:hint="eastAsia"/>
                <w:u w:val="single"/>
              </w:rPr>
              <w:t xml:space="preserve">     </w:t>
            </w:r>
            <w:r>
              <w:rPr>
                <w:u w:val="single"/>
              </w:rPr>
              <w:t xml:space="preserve">   </w:t>
            </w:r>
            <w:r>
              <w:rPr>
                <w:rFonts w:ascii="宋体" w:hAnsi="宋体" w:cs="宋体"/>
                <w:szCs w:val="21"/>
              </w:rPr>
              <w:t>%</w:t>
            </w:r>
          </w:p>
        </w:tc>
      </w:tr>
      <w:tr w14:paraId="677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2EF69D6F">
            <w:pPr>
              <w:jc w:val="center"/>
              <w:rPr>
                <w:rFonts w:hint="eastAsia" w:ascii="宋体" w:hAnsi="宋体" w:cs="宋体"/>
                <w:szCs w:val="21"/>
              </w:rPr>
            </w:pPr>
            <w:r>
              <w:rPr>
                <w:rFonts w:hint="eastAsia" w:ascii="宋体" w:hAnsi="宋体" w:cs="宋体"/>
                <w:szCs w:val="21"/>
              </w:rPr>
              <w:t>项目经理</w:t>
            </w:r>
          </w:p>
        </w:tc>
        <w:tc>
          <w:tcPr>
            <w:tcW w:w="7036" w:type="dxa"/>
            <w:noWrap/>
            <w:vAlign w:val="center"/>
          </w:tcPr>
          <w:p w14:paraId="46027607">
            <w:pPr>
              <w:spacing w:line="360" w:lineRule="auto"/>
              <w:jc w:val="center"/>
              <w:rPr>
                <w:rFonts w:hint="eastAsia" w:ascii="宋体" w:hAnsi="宋体" w:cs="宋体"/>
                <w:szCs w:val="21"/>
                <w:u w:val="single"/>
              </w:rPr>
            </w:pPr>
          </w:p>
        </w:tc>
      </w:tr>
      <w:tr w14:paraId="3B4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52E58EF0">
            <w:pPr>
              <w:jc w:val="center"/>
              <w:rPr>
                <w:rFonts w:hint="eastAsia" w:ascii="宋体" w:hAnsi="宋体" w:cs="宋体"/>
                <w:kern w:val="0"/>
                <w:szCs w:val="21"/>
              </w:rPr>
            </w:pPr>
            <w:r>
              <w:rPr>
                <w:rFonts w:hint="eastAsia" w:ascii="宋体" w:hAnsi="宋体" w:cs="宋体"/>
                <w:szCs w:val="21"/>
              </w:rPr>
              <w:t>证书等级及编号</w:t>
            </w:r>
          </w:p>
        </w:tc>
        <w:tc>
          <w:tcPr>
            <w:tcW w:w="7036" w:type="dxa"/>
            <w:noWrap/>
            <w:vAlign w:val="center"/>
          </w:tcPr>
          <w:p w14:paraId="4BA95C76">
            <w:pPr>
              <w:pStyle w:val="21"/>
              <w:ind w:left="0" w:leftChars="0"/>
              <w:rPr>
                <w:rFonts w:hint="eastAsia" w:cs="宋体"/>
                <w:sz w:val="21"/>
                <w:szCs w:val="21"/>
              </w:rPr>
            </w:pPr>
          </w:p>
        </w:tc>
      </w:tr>
      <w:tr w14:paraId="73DE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135749CA">
            <w:pPr>
              <w:jc w:val="center"/>
              <w:rPr>
                <w:rFonts w:hint="eastAsia" w:ascii="宋体" w:hAnsi="宋体" w:cs="宋体"/>
                <w:szCs w:val="21"/>
              </w:rPr>
            </w:pPr>
            <w:r>
              <w:rPr>
                <w:rFonts w:hint="eastAsia" w:ascii="宋体" w:hAnsi="宋体" w:cs="宋体"/>
                <w:kern w:val="0"/>
                <w:szCs w:val="21"/>
              </w:rPr>
              <w:t>响应文件有效期</w:t>
            </w:r>
          </w:p>
        </w:tc>
        <w:tc>
          <w:tcPr>
            <w:tcW w:w="7036" w:type="dxa"/>
            <w:noWrap/>
            <w:vAlign w:val="center"/>
          </w:tcPr>
          <w:p w14:paraId="16B68A26">
            <w:pPr>
              <w:pStyle w:val="21"/>
              <w:ind w:left="0" w:leftChars="0"/>
              <w:rPr>
                <w:rFonts w:hint="eastAsia" w:cs="宋体"/>
                <w:szCs w:val="21"/>
                <w:u w:val="single"/>
              </w:rPr>
            </w:pPr>
            <w:r>
              <w:rPr>
                <w:rFonts w:hint="eastAsia" w:cs="宋体"/>
                <w:sz w:val="21"/>
                <w:szCs w:val="21"/>
              </w:rPr>
              <w:t>响应文件递交截止期结束后60日。</w:t>
            </w:r>
          </w:p>
        </w:tc>
      </w:tr>
      <w:tr w14:paraId="2081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E48A0AD">
            <w:pPr>
              <w:jc w:val="center"/>
              <w:rPr>
                <w:rFonts w:hint="eastAsia" w:ascii="宋体" w:hAnsi="宋体" w:cs="宋体"/>
                <w:szCs w:val="21"/>
              </w:rPr>
            </w:pPr>
            <w:r>
              <w:rPr>
                <w:rFonts w:hint="eastAsia" w:ascii="宋体" w:hAnsi="宋体" w:cs="宋体"/>
                <w:szCs w:val="21"/>
              </w:rPr>
              <w:t>备  注</w:t>
            </w:r>
          </w:p>
        </w:tc>
        <w:tc>
          <w:tcPr>
            <w:tcW w:w="7036" w:type="dxa"/>
            <w:noWrap/>
            <w:vAlign w:val="center"/>
          </w:tcPr>
          <w:p w14:paraId="0348F23B">
            <w:pPr>
              <w:pStyle w:val="21"/>
              <w:ind w:left="0" w:leftChars="0"/>
              <w:rPr>
                <w:rFonts w:hint="eastAsia" w:cs="宋体"/>
                <w:sz w:val="21"/>
                <w:szCs w:val="21"/>
              </w:rPr>
            </w:pPr>
          </w:p>
        </w:tc>
      </w:tr>
    </w:tbl>
    <w:p w14:paraId="200D503A">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39CB9344">
      <w:pPr>
        <w:spacing w:line="360" w:lineRule="auto"/>
        <w:ind w:firstLine="420" w:firstLineChars="200"/>
        <w:rPr>
          <w:rFonts w:hint="eastAsia" w:ascii="宋体" w:hAnsi="宋体" w:cs="宋体"/>
          <w:kern w:val="0"/>
          <w:szCs w:val="21"/>
        </w:rPr>
      </w:pPr>
      <w:r>
        <w:rPr>
          <w:rFonts w:hint="eastAsia" w:ascii="宋体" w:hAnsi="宋体" w:cs="宋体"/>
          <w:kern w:val="0"/>
          <w:szCs w:val="21"/>
        </w:rPr>
        <w:t>2、以上报价应与“报价明细表”中的报价相一致。</w:t>
      </w:r>
    </w:p>
    <w:p w14:paraId="51DD7B82">
      <w:pPr>
        <w:spacing w:line="360" w:lineRule="auto"/>
        <w:ind w:firstLine="420" w:firstLineChars="200"/>
        <w:rPr>
          <w:rFonts w:hint="eastAsia"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38D801F8">
      <w:pPr>
        <w:spacing w:line="360" w:lineRule="auto"/>
        <w:ind w:firstLine="420" w:firstLineChars="200"/>
        <w:rPr>
          <w:rFonts w:hint="eastAsia" w:ascii="宋体" w:hAnsi="宋体" w:cs="宋体"/>
        </w:rPr>
      </w:pPr>
      <w:r>
        <w:rPr>
          <w:rFonts w:hint="eastAsia" w:ascii="宋体" w:hAnsi="宋体" w:cs="宋体"/>
          <w:kern w:val="0"/>
          <w:szCs w:val="21"/>
        </w:rPr>
        <w:t>4、供应商按格式填列，不得自行更改。否则引起的不利后果由供应商承担。</w:t>
      </w:r>
    </w:p>
    <w:p w14:paraId="51D05578">
      <w:pPr>
        <w:spacing w:line="360" w:lineRule="auto"/>
        <w:ind w:firstLine="420" w:firstLineChars="200"/>
        <w:jc w:val="center"/>
        <w:rPr>
          <w:rFonts w:hint="eastAsia" w:ascii="宋体" w:hAnsi="宋体" w:cs="宋体"/>
          <w:szCs w:val="21"/>
        </w:rPr>
      </w:pPr>
      <w:bookmarkStart w:id="75" w:name="_Toc20877"/>
      <w:bookmarkStart w:id="76" w:name="_Toc11620"/>
    </w:p>
    <w:bookmarkEnd w:id="75"/>
    <w:bookmarkEnd w:id="76"/>
    <w:p w14:paraId="406BB649">
      <w:pPr>
        <w:widowControl/>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7F3CD240">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5B5AE93E">
      <w:pPr>
        <w:spacing w:line="360" w:lineRule="auto"/>
        <w:ind w:firstLine="840" w:firstLineChars="400"/>
        <w:rPr>
          <w:rFonts w:hint="eastAsia" w:ascii="宋体" w:hAnsi="宋体" w:cs="宋体"/>
        </w:rPr>
      </w:pPr>
      <w:bookmarkStart w:id="77" w:name="_Toc1330"/>
      <w:bookmarkStart w:id="78" w:name="_Toc9950"/>
      <w:r>
        <w:rPr>
          <w:rFonts w:hint="eastAsia" w:ascii="宋体" w:hAnsi="宋体" w:cs="宋体"/>
          <w:szCs w:val="21"/>
        </w:rPr>
        <w:t>日期：   年  月  日</w:t>
      </w:r>
      <w:bookmarkEnd w:id="77"/>
      <w:bookmarkEnd w:id="78"/>
    </w:p>
    <w:p w14:paraId="49B2E370">
      <w:pPr>
        <w:rPr>
          <w:rFonts w:hint="eastAsia" w:ascii="宋体" w:hAnsi="宋体" w:cs="宋体"/>
        </w:rPr>
      </w:pPr>
    </w:p>
    <w:p w14:paraId="6ECC1973">
      <w:pPr>
        <w:spacing w:before="20" w:after="20"/>
        <w:rPr>
          <w:rFonts w:hint="eastAsia" w:ascii="宋体" w:hAnsi="宋体" w:cs="宋体"/>
        </w:rPr>
      </w:pPr>
      <w:bookmarkStart w:id="79" w:name="_Toc22004"/>
      <w:bookmarkStart w:id="80" w:name="_Toc24984"/>
    </w:p>
    <w:p w14:paraId="26F941D9">
      <w:pPr>
        <w:rPr>
          <w:rFonts w:hint="eastAsia" w:ascii="宋体" w:hAnsi="宋体" w:cs="宋体"/>
        </w:rPr>
      </w:pPr>
    </w:p>
    <w:p w14:paraId="435FD90E">
      <w:pPr>
        <w:rPr>
          <w:rFonts w:hint="eastAsia" w:ascii="宋体" w:hAnsi="宋体" w:cs="宋体"/>
        </w:rPr>
      </w:pPr>
      <w:r>
        <w:rPr>
          <w:rFonts w:hint="eastAsia" w:ascii="宋体" w:hAnsi="宋体" w:cs="宋体"/>
        </w:rPr>
        <w:br w:type="page"/>
      </w:r>
    </w:p>
    <w:bookmarkEnd w:id="79"/>
    <w:bookmarkEnd w:id="80"/>
    <w:p w14:paraId="1D0A83FD">
      <w:pPr>
        <w:pStyle w:val="8"/>
        <w:snapToGrid w:val="0"/>
        <w:spacing w:before="20" w:after="20" w:line="360" w:lineRule="auto"/>
        <w:rPr>
          <w:rFonts w:hint="eastAsia" w:ascii="宋体" w:hAnsi="宋体" w:eastAsia="宋体" w:cs="宋体"/>
          <w:sz w:val="28"/>
          <w:szCs w:val="28"/>
        </w:rPr>
      </w:pPr>
      <w:bookmarkStart w:id="81" w:name="_Toc226"/>
      <w:bookmarkStart w:id="82" w:name="_Toc15804"/>
      <w:r>
        <w:rPr>
          <w:rFonts w:hint="eastAsia" w:ascii="宋体" w:hAnsi="宋体" w:eastAsia="宋体" w:cs="宋体"/>
          <w:sz w:val="28"/>
          <w:szCs w:val="28"/>
        </w:rPr>
        <w:t xml:space="preserve">附件4             </w:t>
      </w:r>
      <w:bookmarkEnd w:id="81"/>
      <w:bookmarkEnd w:id="82"/>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技术响应表（格式）</w:t>
      </w:r>
    </w:p>
    <w:p w14:paraId="4A1AFF59"/>
    <w:tbl>
      <w:tblPr>
        <w:tblStyle w:val="34"/>
        <w:tblW w:w="9077" w:type="dxa"/>
        <w:tblInd w:w="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68B9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3776538F">
            <w:pPr>
              <w:widowControl/>
              <w:spacing w:line="360" w:lineRule="auto"/>
              <w:jc w:val="center"/>
              <w:textAlignment w:val="baseline"/>
              <w:rPr>
                <w:rFonts w:ascii="宋体" w:cs="宋体"/>
                <w:szCs w:val="21"/>
              </w:rPr>
            </w:pPr>
            <w:r>
              <w:rPr>
                <w:rFonts w:hint="eastAsia" w:ascii="宋体" w:hAnsi="宋体" w:cs="宋体"/>
                <w:szCs w:val="21"/>
              </w:rPr>
              <w:t>序号</w:t>
            </w:r>
          </w:p>
        </w:tc>
        <w:tc>
          <w:tcPr>
            <w:tcW w:w="1833" w:type="dxa"/>
            <w:vAlign w:val="center"/>
          </w:tcPr>
          <w:p w14:paraId="517055D6">
            <w:pPr>
              <w:widowControl/>
              <w:spacing w:line="360" w:lineRule="auto"/>
              <w:jc w:val="center"/>
              <w:textAlignment w:val="baseline"/>
              <w:rPr>
                <w:rFonts w:ascii="宋体" w:cs="宋体"/>
                <w:szCs w:val="21"/>
              </w:rPr>
            </w:pPr>
            <w:r>
              <w:rPr>
                <w:rFonts w:hint="eastAsia" w:ascii="宋体" w:hAnsi="宋体" w:cs="宋体"/>
                <w:szCs w:val="21"/>
              </w:rPr>
              <w:t>项目</w:t>
            </w:r>
          </w:p>
        </w:tc>
        <w:tc>
          <w:tcPr>
            <w:tcW w:w="2625" w:type="dxa"/>
            <w:vAlign w:val="center"/>
          </w:tcPr>
          <w:p w14:paraId="5D99D81E">
            <w:pPr>
              <w:widowControl/>
              <w:spacing w:line="360" w:lineRule="auto"/>
              <w:jc w:val="center"/>
              <w:textAlignment w:val="baseline"/>
              <w:rPr>
                <w:rFonts w:ascii="宋体" w:cs="宋体"/>
                <w:szCs w:val="21"/>
              </w:rPr>
            </w:pPr>
            <w:r>
              <w:rPr>
                <w:rFonts w:hint="eastAsia" w:ascii="宋体" w:hAnsi="宋体" w:cs="宋体"/>
                <w:szCs w:val="21"/>
              </w:rPr>
              <w:t>采购文件要求</w:t>
            </w:r>
          </w:p>
        </w:tc>
        <w:tc>
          <w:tcPr>
            <w:tcW w:w="2379" w:type="dxa"/>
            <w:vAlign w:val="center"/>
          </w:tcPr>
          <w:p w14:paraId="7204EDE2">
            <w:pPr>
              <w:widowControl/>
              <w:spacing w:line="360" w:lineRule="auto"/>
              <w:jc w:val="center"/>
              <w:textAlignment w:val="baseline"/>
              <w:rPr>
                <w:rFonts w:ascii="宋体" w:cs="宋体"/>
                <w:szCs w:val="21"/>
              </w:rPr>
            </w:pPr>
            <w:r>
              <w:rPr>
                <w:rFonts w:hint="eastAsia" w:ascii="宋体" w:hAnsi="宋体" w:cs="宋体"/>
                <w:szCs w:val="21"/>
              </w:rPr>
              <w:t>响应文件响应</w:t>
            </w:r>
          </w:p>
        </w:tc>
        <w:tc>
          <w:tcPr>
            <w:tcW w:w="1468" w:type="dxa"/>
            <w:vAlign w:val="center"/>
          </w:tcPr>
          <w:p w14:paraId="4226E206">
            <w:pPr>
              <w:widowControl/>
              <w:spacing w:line="360" w:lineRule="auto"/>
              <w:jc w:val="center"/>
              <w:textAlignment w:val="baseline"/>
              <w:rPr>
                <w:rFonts w:ascii="宋体" w:cs="宋体"/>
                <w:szCs w:val="21"/>
              </w:rPr>
            </w:pPr>
            <w:r>
              <w:rPr>
                <w:rFonts w:hint="eastAsia" w:ascii="宋体" w:hAnsi="宋体" w:cs="宋体"/>
                <w:szCs w:val="21"/>
              </w:rPr>
              <w:t>偏离情况</w:t>
            </w:r>
          </w:p>
        </w:tc>
      </w:tr>
      <w:tr w14:paraId="2824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E18B60A">
            <w:pPr>
              <w:widowControl/>
              <w:spacing w:line="360" w:lineRule="auto"/>
              <w:jc w:val="center"/>
              <w:textAlignment w:val="baseline"/>
              <w:rPr>
                <w:rFonts w:ascii="宋体" w:cs="宋体"/>
                <w:szCs w:val="21"/>
              </w:rPr>
            </w:pPr>
            <w:r>
              <w:rPr>
                <w:rFonts w:ascii="宋体" w:hAnsi="宋体" w:cs="宋体"/>
                <w:szCs w:val="21"/>
              </w:rPr>
              <w:t>1</w:t>
            </w:r>
          </w:p>
        </w:tc>
        <w:tc>
          <w:tcPr>
            <w:tcW w:w="1833" w:type="dxa"/>
            <w:vAlign w:val="center"/>
          </w:tcPr>
          <w:p w14:paraId="550C706D">
            <w:pPr>
              <w:widowControl/>
              <w:spacing w:line="360" w:lineRule="auto"/>
              <w:ind w:firstLine="422"/>
              <w:jc w:val="center"/>
              <w:textAlignment w:val="baseline"/>
              <w:rPr>
                <w:rFonts w:ascii="宋体" w:cs="宋体"/>
                <w:szCs w:val="21"/>
              </w:rPr>
            </w:pPr>
          </w:p>
        </w:tc>
        <w:tc>
          <w:tcPr>
            <w:tcW w:w="2625" w:type="dxa"/>
            <w:vAlign w:val="center"/>
          </w:tcPr>
          <w:p w14:paraId="5941FAC9">
            <w:pPr>
              <w:widowControl/>
              <w:spacing w:line="360" w:lineRule="auto"/>
              <w:ind w:firstLine="422"/>
              <w:jc w:val="center"/>
              <w:textAlignment w:val="baseline"/>
              <w:rPr>
                <w:rFonts w:ascii="宋体" w:cs="宋体"/>
                <w:szCs w:val="21"/>
              </w:rPr>
            </w:pPr>
          </w:p>
        </w:tc>
        <w:tc>
          <w:tcPr>
            <w:tcW w:w="2379" w:type="dxa"/>
            <w:vAlign w:val="center"/>
          </w:tcPr>
          <w:p w14:paraId="533ECE28">
            <w:pPr>
              <w:widowControl/>
              <w:spacing w:line="360" w:lineRule="auto"/>
              <w:ind w:firstLine="422"/>
              <w:jc w:val="center"/>
              <w:textAlignment w:val="baseline"/>
              <w:rPr>
                <w:rFonts w:ascii="宋体" w:cs="宋体"/>
                <w:szCs w:val="21"/>
              </w:rPr>
            </w:pPr>
          </w:p>
        </w:tc>
        <w:tc>
          <w:tcPr>
            <w:tcW w:w="1468" w:type="dxa"/>
            <w:vAlign w:val="center"/>
          </w:tcPr>
          <w:p w14:paraId="2B77A5E8">
            <w:pPr>
              <w:widowControl/>
              <w:spacing w:line="360" w:lineRule="auto"/>
              <w:ind w:firstLine="422"/>
              <w:jc w:val="center"/>
              <w:textAlignment w:val="baseline"/>
              <w:rPr>
                <w:rFonts w:ascii="宋体" w:cs="宋体"/>
                <w:szCs w:val="21"/>
              </w:rPr>
            </w:pPr>
          </w:p>
        </w:tc>
      </w:tr>
      <w:tr w14:paraId="1E25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1954DAD2">
            <w:pPr>
              <w:widowControl/>
              <w:spacing w:line="360" w:lineRule="auto"/>
              <w:jc w:val="center"/>
              <w:textAlignment w:val="baseline"/>
              <w:rPr>
                <w:rFonts w:ascii="宋体" w:cs="宋体"/>
                <w:szCs w:val="21"/>
              </w:rPr>
            </w:pPr>
            <w:r>
              <w:rPr>
                <w:rFonts w:ascii="宋体" w:hAnsi="宋体" w:cs="宋体"/>
                <w:szCs w:val="21"/>
              </w:rPr>
              <w:t>2</w:t>
            </w:r>
          </w:p>
        </w:tc>
        <w:tc>
          <w:tcPr>
            <w:tcW w:w="1833" w:type="dxa"/>
            <w:vAlign w:val="center"/>
          </w:tcPr>
          <w:p w14:paraId="675B748A">
            <w:pPr>
              <w:widowControl/>
              <w:spacing w:line="360" w:lineRule="auto"/>
              <w:ind w:firstLine="422"/>
              <w:jc w:val="center"/>
              <w:textAlignment w:val="baseline"/>
              <w:rPr>
                <w:rFonts w:ascii="宋体" w:cs="宋体"/>
                <w:szCs w:val="21"/>
              </w:rPr>
            </w:pPr>
          </w:p>
        </w:tc>
        <w:tc>
          <w:tcPr>
            <w:tcW w:w="2625" w:type="dxa"/>
            <w:vAlign w:val="center"/>
          </w:tcPr>
          <w:p w14:paraId="3A92D290">
            <w:pPr>
              <w:widowControl/>
              <w:spacing w:line="360" w:lineRule="auto"/>
              <w:ind w:firstLine="422"/>
              <w:jc w:val="center"/>
              <w:textAlignment w:val="baseline"/>
              <w:rPr>
                <w:rFonts w:ascii="宋体" w:cs="宋体"/>
                <w:szCs w:val="21"/>
              </w:rPr>
            </w:pPr>
          </w:p>
        </w:tc>
        <w:tc>
          <w:tcPr>
            <w:tcW w:w="2379" w:type="dxa"/>
            <w:vAlign w:val="center"/>
          </w:tcPr>
          <w:p w14:paraId="2DA49E87">
            <w:pPr>
              <w:widowControl/>
              <w:spacing w:line="360" w:lineRule="auto"/>
              <w:ind w:firstLine="422"/>
              <w:jc w:val="center"/>
              <w:textAlignment w:val="baseline"/>
              <w:rPr>
                <w:rFonts w:ascii="宋体" w:cs="宋体"/>
                <w:szCs w:val="21"/>
              </w:rPr>
            </w:pPr>
          </w:p>
        </w:tc>
        <w:tc>
          <w:tcPr>
            <w:tcW w:w="1468" w:type="dxa"/>
            <w:vAlign w:val="center"/>
          </w:tcPr>
          <w:p w14:paraId="1F626E12">
            <w:pPr>
              <w:widowControl/>
              <w:spacing w:line="360" w:lineRule="auto"/>
              <w:ind w:firstLine="422"/>
              <w:jc w:val="center"/>
              <w:textAlignment w:val="baseline"/>
              <w:rPr>
                <w:rFonts w:ascii="宋体" w:cs="宋体"/>
                <w:szCs w:val="21"/>
              </w:rPr>
            </w:pPr>
          </w:p>
        </w:tc>
      </w:tr>
      <w:tr w14:paraId="507A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1E752705">
            <w:pPr>
              <w:widowControl/>
              <w:spacing w:line="360" w:lineRule="auto"/>
              <w:ind w:firstLine="422"/>
              <w:jc w:val="center"/>
              <w:textAlignment w:val="baseline"/>
              <w:rPr>
                <w:rFonts w:ascii="宋体" w:cs="宋体"/>
                <w:szCs w:val="21"/>
              </w:rPr>
            </w:pPr>
            <w:r>
              <w:rPr>
                <w:rFonts w:hint="eastAsia" w:ascii="宋体" w:hAnsi="宋体" w:cs="宋体"/>
                <w:szCs w:val="21"/>
              </w:rPr>
              <w:t>…</w:t>
            </w:r>
          </w:p>
        </w:tc>
        <w:tc>
          <w:tcPr>
            <w:tcW w:w="1833" w:type="dxa"/>
            <w:vAlign w:val="center"/>
          </w:tcPr>
          <w:p w14:paraId="0F669F58">
            <w:pPr>
              <w:widowControl/>
              <w:spacing w:line="360" w:lineRule="auto"/>
              <w:ind w:firstLine="422"/>
              <w:jc w:val="center"/>
              <w:textAlignment w:val="baseline"/>
              <w:rPr>
                <w:rFonts w:ascii="宋体" w:cs="宋体"/>
                <w:szCs w:val="21"/>
              </w:rPr>
            </w:pPr>
          </w:p>
        </w:tc>
        <w:tc>
          <w:tcPr>
            <w:tcW w:w="2625" w:type="dxa"/>
            <w:vAlign w:val="center"/>
          </w:tcPr>
          <w:p w14:paraId="6EFBB31B">
            <w:pPr>
              <w:widowControl/>
              <w:spacing w:line="360" w:lineRule="auto"/>
              <w:ind w:firstLine="422"/>
              <w:jc w:val="center"/>
              <w:textAlignment w:val="baseline"/>
              <w:rPr>
                <w:rFonts w:ascii="宋体" w:cs="宋体"/>
                <w:szCs w:val="21"/>
              </w:rPr>
            </w:pPr>
          </w:p>
        </w:tc>
        <w:tc>
          <w:tcPr>
            <w:tcW w:w="2379" w:type="dxa"/>
            <w:vAlign w:val="center"/>
          </w:tcPr>
          <w:p w14:paraId="4912FF3B">
            <w:pPr>
              <w:widowControl/>
              <w:spacing w:line="360" w:lineRule="auto"/>
              <w:ind w:firstLine="422"/>
              <w:jc w:val="center"/>
              <w:textAlignment w:val="baseline"/>
              <w:rPr>
                <w:rFonts w:ascii="宋体" w:cs="宋体"/>
                <w:szCs w:val="21"/>
              </w:rPr>
            </w:pPr>
          </w:p>
        </w:tc>
        <w:tc>
          <w:tcPr>
            <w:tcW w:w="1468" w:type="dxa"/>
            <w:vAlign w:val="center"/>
          </w:tcPr>
          <w:p w14:paraId="78D64DFA">
            <w:pPr>
              <w:widowControl/>
              <w:spacing w:line="360" w:lineRule="auto"/>
              <w:ind w:firstLine="422"/>
              <w:jc w:val="center"/>
              <w:textAlignment w:val="baseline"/>
              <w:rPr>
                <w:rFonts w:ascii="宋体" w:cs="宋体"/>
                <w:szCs w:val="21"/>
              </w:rPr>
            </w:pPr>
          </w:p>
        </w:tc>
      </w:tr>
    </w:tbl>
    <w:p w14:paraId="0173A72C">
      <w:pPr>
        <w:widowControl/>
        <w:wordWrap w:val="0"/>
        <w:spacing w:line="460" w:lineRule="exact"/>
        <w:ind w:firstLine="422" w:firstLineChars="200"/>
        <w:jc w:val="left"/>
        <w:rPr>
          <w:rFonts w:ascii="宋体" w:cs="宋体"/>
          <w:b/>
          <w:kern w:val="0"/>
          <w:szCs w:val="21"/>
        </w:rPr>
      </w:pPr>
    </w:p>
    <w:p w14:paraId="4CE0FFAD">
      <w:pPr>
        <w:widowControl/>
        <w:spacing w:line="360" w:lineRule="auto"/>
        <w:ind w:firstLine="422"/>
        <w:textAlignment w:val="baseline"/>
        <w:rPr>
          <w:rFonts w:ascii="宋体" w:cs="宋体"/>
          <w:szCs w:val="21"/>
        </w:rPr>
      </w:pPr>
      <w:r>
        <w:rPr>
          <w:rFonts w:hint="eastAsia" w:ascii="宋体" w:hAnsi="宋体" w:cs="宋体"/>
          <w:szCs w:val="21"/>
        </w:rPr>
        <w:t>注：供应商必须如实完整填写表格，“偏离情况”是指“正偏离”、“负偏离”或“无偏离”。</w:t>
      </w:r>
    </w:p>
    <w:p w14:paraId="6EBD6EA1">
      <w:pPr>
        <w:widowControl/>
        <w:spacing w:line="360" w:lineRule="auto"/>
        <w:ind w:firstLine="422"/>
        <w:textAlignment w:val="baseline"/>
        <w:rPr>
          <w:rFonts w:ascii="宋体" w:cs="宋体"/>
          <w:szCs w:val="21"/>
        </w:rPr>
      </w:pPr>
    </w:p>
    <w:p w14:paraId="744A1989">
      <w:pPr>
        <w:widowControl/>
        <w:spacing w:line="360" w:lineRule="auto"/>
        <w:ind w:firstLine="422"/>
        <w:textAlignment w:val="baseline"/>
        <w:rPr>
          <w:rFonts w:ascii="宋体" w:cs="宋体"/>
          <w:szCs w:val="21"/>
        </w:rPr>
      </w:pPr>
      <w:r>
        <w:rPr>
          <w:rFonts w:ascii="宋体" w:hAnsi="宋体" w:cs="宋体"/>
          <w:szCs w:val="21"/>
        </w:rPr>
        <w:t xml:space="preserve">              </w:t>
      </w:r>
    </w:p>
    <w:p w14:paraId="59C29122">
      <w:pPr>
        <w:widowControl/>
        <w:spacing w:line="360" w:lineRule="auto"/>
        <w:ind w:firstLine="2100" w:firstLineChars="1000"/>
        <w:textAlignment w:val="baseline"/>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（全称并加盖公章）</w:t>
      </w:r>
    </w:p>
    <w:p w14:paraId="1846A2A4">
      <w:pPr>
        <w:widowControl/>
        <w:wordWrap w:val="0"/>
        <w:spacing w:line="460" w:lineRule="exact"/>
        <w:ind w:firstLine="3570" w:firstLineChars="1700"/>
        <w:jc w:val="left"/>
        <w:rPr>
          <w:rFonts w:ascii="宋体" w:cs="宋体"/>
          <w:b/>
          <w:kern w:val="0"/>
          <w:sz w:val="32"/>
          <w:szCs w:val="32"/>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25054960">
      <w:pPr>
        <w:widowControl/>
        <w:wordWrap w:val="0"/>
        <w:spacing w:line="460" w:lineRule="exact"/>
        <w:ind w:firstLine="1928" w:firstLineChars="600"/>
        <w:jc w:val="left"/>
        <w:rPr>
          <w:rFonts w:hint="eastAsia" w:ascii="宋体" w:hAnsi="宋体" w:cs="宋体"/>
          <w:b/>
          <w:kern w:val="0"/>
          <w:sz w:val="32"/>
          <w:szCs w:val="32"/>
        </w:rPr>
      </w:pPr>
    </w:p>
    <w:p w14:paraId="56DCA158">
      <w:pPr>
        <w:widowControl/>
        <w:wordWrap w:val="0"/>
        <w:spacing w:line="460" w:lineRule="exact"/>
        <w:ind w:firstLine="643" w:firstLineChars="200"/>
        <w:jc w:val="left"/>
        <w:rPr>
          <w:rFonts w:hint="eastAsia" w:ascii="宋体" w:hAnsi="宋体" w:cs="宋体"/>
          <w:b/>
          <w:kern w:val="0"/>
          <w:sz w:val="32"/>
          <w:szCs w:val="32"/>
        </w:rPr>
      </w:pPr>
    </w:p>
    <w:p w14:paraId="69269305">
      <w:pPr>
        <w:widowControl/>
        <w:wordWrap w:val="0"/>
        <w:spacing w:line="460" w:lineRule="exact"/>
        <w:ind w:firstLine="643" w:firstLineChars="200"/>
        <w:jc w:val="left"/>
        <w:rPr>
          <w:rFonts w:hint="eastAsia" w:ascii="宋体" w:hAnsi="宋体" w:cs="宋体"/>
          <w:b/>
          <w:kern w:val="0"/>
          <w:sz w:val="32"/>
          <w:szCs w:val="32"/>
        </w:rPr>
      </w:pPr>
    </w:p>
    <w:p w14:paraId="07E30FCB">
      <w:pPr>
        <w:widowControl/>
        <w:wordWrap w:val="0"/>
        <w:spacing w:line="460" w:lineRule="exact"/>
        <w:ind w:firstLine="643" w:firstLineChars="200"/>
        <w:jc w:val="left"/>
        <w:rPr>
          <w:rFonts w:hint="eastAsia" w:ascii="宋体" w:hAnsi="宋体" w:cs="宋体"/>
          <w:b/>
          <w:kern w:val="0"/>
          <w:sz w:val="32"/>
          <w:szCs w:val="32"/>
        </w:rPr>
      </w:pPr>
    </w:p>
    <w:p w14:paraId="2CE1A495">
      <w:pPr>
        <w:widowControl/>
        <w:wordWrap w:val="0"/>
        <w:snapToGrid w:val="0"/>
        <w:spacing w:before="50" w:after="159" w:afterLines="50"/>
        <w:jc w:val="left"/>
        <w:rPr>
          <w:rFonts w:hint="eastAsia" w:ascii="宋体" w:hAnsi="宋体" w:cs="宋体"/>
          <w:kern w:val="0"/>
          <w:sz w:val="24"/>
          <w:u w:val="single"/>
        </w:rPr>
      </w:pPr>
    </w:p>
    <w:p w14:paraId="0308E512">
      <w:pPr>
        <w:pStyle w:val="8"/>
        <w:snapToGrid w:val="0"/>
        <w:spacing w:before="20" w:after="20" w:line="360" w:lineRule="auto"/>
        <w:rPr>
          <w:rFonts w:hint="eastAsia" w:ascii="宋体" w:hAnsi="宋体" w:eastAsia="宋体" w:cs="宋体"/>
          <w:sz w:val="28"/>
          <w:szCs w:val="28"/>
        </w:rPr>
      </w:pPr>
      <w:r>
        <w:rPr>
          <w:rFonts w:hint="eastAsia" w:ascii="宋体" w:hAnsi="宋体" w:eastAsia="宋体" w:cs="宋体"/>
          <w:kern w:val="0"/>
          <w:sz w:val="24"/>
        </w:rPr>
        <w:br w:type="page"/>
      </w:r>
      <w:r>
        <w:rPr>
          <w:rFonts w:hint="eastAsia" w:ascii="宋体" w:hAnsi="宋体" w:eastAsia="宋体" w:cs="宋体"/>
          <w:sz w:val="28"/>
          <w:szCs w:val="28"/>
        </w:rPr>
        <w:t>附件5                  商务响应表（格式）</w:t>
      </w:r>
    </w:p>
    <w:p w14:paraId="07489958">
      <w:pPr>
        <w:widowControl/>
        <w:wordWrap w:val="0"/>
        <w:spacing w:line="460" w:lineRule="exact"/>
        <w:ind w:firstLine="640"/>
        <w:jc w:val="left"/>
        <w:rPr>
          <w:rFonts w:ascii="宋体" w:cs="宋体"/>
          <w:b/>
          <w:kern w:val="0"/>
          <w:sz w:val="32"/>
          <w:szCs w:val="32"/>
        </w:rPr>
      </w:pPr>
      <w:r>
        <w:rPr>
          <w:rFonts w:ascii="宋体" w:hAnsi="宋体" w:cs="宋体"/>
          <w:b/>
          <w:kern w:val="0"/>
          <w:sz w:val="32"/>
          <w:szCs w:val="32"/>
        </w:rPr>
        <w:t xml:space="preserve">  </w:t>
      </w:r>
    </w:p>
    <w:tbl>
      <w:tblPr>
        <w:tblStyle w:val="34"/>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1543"/>
        <w:gridCol w:w="1680"/>
        <w:gridCol w:w="1427"/>
        <w:gridCol w:w="1410"/>
        <w:gridCol w:w="1251"/>
      </w:tblGrid>
      <w:tr w14:paraId="2AFD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072F6D9E">
            <w:pPr>
              <w:widowControl/>
              <w:spacing w:line="360" w:lineRule="auto"/>
              <w:jc w:val="center"/>
              <w:textAlignment w:val="baseline"/>
              <w:rPr>
                <w:rFonts w:ascii="宋体" w:cs="宋体"/>
                <w:color w:val="000000"/>
                <w:szCs w:val="21"/>
              </w:rPr>
            </w:pPr>
            <w:r>
              <w:rPr>
                <w:rFonts w:hint="eastAsia" w:ascii="宋体" w:hAnsi="宋体" w:cs="宋体"/>
                <w:color w:val="000000"/>
                <w:szCs w:val="21"/>
              </w:rPr>
              <w:t>序号</w:t>
            </w:r>
          </w:p>
        </w:tc>
        <w:tc>
          <w:tcPr>
            <w:tcW w:w="1543" w:type="dxa"/>
            <w:vAlign w:val="center"/>
          </w:tcPr>
          <w:p w14:paraId="418D0AC8">
            <w:pPr>
              <w:widowControl/>
              <w:spacing w:line="360" w:lineRule="auto"/>
              <w:jc w:val="center"/>
              <w:textAlignment w:val="baseline"/>
              <w:rPr>
                <w:rFonts w:ascii="宋体" w:cs="宋体"/>
                <w:szCs w:val="21"/>
              </w:rPr>
            </w:pPr>
            <w:r>
              <w:rPr>
                <w:rFonts w:hint="eastAsia" w:ascii="宋体" w:hAnsi="宋体" w:cs="宋体"/>
                <w:szCs w:val="21"/>
              </w:rPr>
              <w:t>项目</w:t>
            </w:r>
          </w:p>
        </w:tc>
        <w:tc>
          <w:tcPr>
            <w:tcW w:w="1680" w:type="dxa"/>
            <w:tcBorders>
              <w:right w:val="single" w:color="auto" w:sz="4" w:space="0"/>
            </w:tcBorders>
            <w:vAlign w:val="center"/>
          </w:tcPr>
          <w:p w14:paraId="5AE366DE">
            <w:pPr>
              <w:widowControl/>
              <w:spacing w:line="360" w:lineRule="auto"/>
              <w:jc w:val="center"/>
              <w:textAlignment w:val="baseline"/>
              <w:rPr>
                <w:rFonts w:ascii="宋体" w:cs="宋体"/>
                <w:szCs w:val="21"/>
              </w:rPr>
            </w:pPr>
            <w:r>
              <w:rPr>
                <w:rFonts w:hint="eastAsia" w:ascii="宋体" w:hAnsi="宋体" w:cs="宋体"/>
                <w:color w:val="000000"/>
                <w:szCs w:val="21"/>
              </w:rPr>
              <w:t>采购文件要求</w:t>
            </w:r>
          </w:p>
        </w:tc>
        <w:tc>
          <w:tcPr>
            <w:tcW w:w="1427" w:type="dxa"/>
            <w:tcBorders>
              <w:left w:val="single" w:color="auto" w:sz="4" w:space="0"/>
            </w:tcBorders>
            <w:vAlign w:val="center"/>
          </w:tcPr>
          <w:p w14:paraId="60EE315B">
            <w:pPr>
              <w:widowControl/>
              <w:spacing w:line="360" w:lineRule="auto"/>
              <w:jc w:val="center"/>
              <w:rPr>
                <w:rFonts w:ascii="??" w:hAnsi="??" w:cs="??"/>
                <w:color w:val="000000"/>
                <w:szCs w:val="21"/>
              </w:rPr>
            </w:pPr>
            <w:r>
              <w:rPr>
                <w:rFonts w:ascii="??" w:hAnsi="??" w:cs="??"/>
                <w:color w:val="000000"/>
                <w:szCs w:val="21"/>
              </w:rPr>
              <w:t>响</w:t>
            </w:r>
            <w:r>
              <w:rPr>
                <w:rFonts w:hint="eastAsia" w:ascii="宋体" w:hAnsi="宋体" w:cs="宋体"/>
                <w:color w:val="000000"/>
                <w:szCs w:val="21"/>
              </w:rPr>
              <w:t>应</w:t>
            </w:r>
            <w:r>
              <w:rPr>
                <w:rFonts w:ascii="??" w:hAnsi="??" w:cs="??"/>
                <w:color w:val="000000"/>
                <w:szCs w:val="21"/>
              </w:rPr>
              <w:t>文件响</w:t>
            </w:r>
            <w:r>
              <w:rPr>
                <w:rFonts w:hint="eastAsia" w:ascii="宋体" w:hAnsi="宋体" w:cs="宋体"/>
                <w:color w:val="000000"/>
                <w:szCs w:val="21"/>
              </w:rPr>
              <w:t>应</w:t>
            </w:r>
          </w:p>
        </w:tc>
        <w:tc>
          <w:tcPr>
            <w:tcW w:w="1410" w:type="dxa"/>
            <w:vAlign w:val="center"/>
          </w:tcPr>
          <w:p w14:paraId="2CE860AD">
            <w:pPr>
              <w:widowControl/>
              <w:spacing w:line="360" w:lineRule="auto"/>
              <w:jc w:val="center"/>
              <w:rPr>
                <w:rFonts w:ascii="??" w:hAnsi="??" w:cs="??"/>
                <w:color w:val="000000"/>
                <w:szCs w:val="21"/>
              </w:rPr>
            </w:pPr>
            <w:r>
              <w:rPr>
                <w:rFonts w:ascii="??" w:hAnsi="??" w:cs="??"/>
                <w:color w:val="000000"/>
                <w:szCs w:val="21"/>
              </w:rPr>
              <w:t>偏离情况</w:t>
            </w:r>
          </w:p>
        </w:tc>
        <w:tc>
          <w:tcPr>
            <w:tcW w:w="1251" w:type="dxa"/>
            <w:vAlign w:val="center"/>
          </w:tcPr>
          <w:p w14:paraId="69D1A6E9">
            <w:pPr>
              <w:widowControl/>
              <w:spacing w:line="360" w:lineRule="auto"/>
              <w:jc w:val="center"/>
              <w:rPr>
                <w:rFonts w:ascii="??" w:hAnsi="??" w:cs="??"/>
                <w:color w:val="000000"/>
                <w:szCs w:val="21"/>
              </w:rPr>
            </w:pPr>
            <w:r>
              <w:rPr>
                <w:rFonts w:hint="eastAsia" w:ascii="宋体" w:hAnsi="宋体" w:cs="宋体"/>
                <w:color w:val="000000"/>
                <w:szCs w:val="21"/>
              </w:rPr>
              <w:t>备</w:t>
            </w:r>
            <w:r>
              <w:rPr>
                <w:rFonts w:ascii="??" w:hAnsi="??" w:cs="??"/>
                <w:color w:val="000000"/>
                <w:szCs w:val="21"/>
              </w:rPr>
              <w:t>注</w:t>
            </w:r>
          </w:p>
        </w:tc>
      </w:tr>
      <w:tr w14:paraId="6BCF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BA39ABC">
            <w:pPr>
              <w:widowControl/>
              <w:spacing w:line="360" w:lineRule="auto"/>
              <w:ind w:firstLine="422"/>
              <w:textAlignment w:val="baseline"/>
              <w:rPr>
                <w:rFonts w:ascii="宋体" w:cs="宋体"/>
                <w:szCs w:val="21"/>
              </w:rPr>
            </w:pPr>
            <w:r>
              <w:rPr>
                <w:rFonts w:hint="eastAsia" w:ascii="宋体" w:cs="宋体"/>
                <w:szCs w:val="21"/>
              </w:rPr>
              <w:t>1</w:t>
            </w:r>
          </w:p>
        </w:tc>
        <w:tc>
          <w:tcPr>
            <w:tcW w:w="1543" w:type="dxa"/>
            <w:vAlign w:val="center"/>
          </w:tcPr>
          <w:p w14:paraId="5E73EDA5">
            <w:pPr>
              <w:pStyle w:val="7"/>
              <w:jc w:val="center"/>
              <w:rPr>
                <w:rFonts w:hint="eastAsia"/>
                <w:color w:val="000000"/>
                <w:sz w:val="21"/>
                <w:szCs w:val="21"/>
              </w:rPr>
            </w:pPr>
            <w:r>
              <w:rPr>
                <w:color w:val="000000"/>
                <w:sz w:val="21"/>
                <w:szCs w:val="21"/>
              </w:rPr>
              <w:t>合同</w:t>
            </w:r>
            <w:r>
              <w:rPr>
                <w:rFonts w:hint="eastAsia"/>
                <w:color w:val="000000"/>
                <w:sz w:val="21"/>
                <w:szCs w:val="21"/>
              </w:rPr>
              <w:t>签订时间</w:t>
            </w:r>
          </w:p>
        </w:tc>
        <w:tc>
          <w:tcPr>
            <w:tcW w:w="1680" w:type="dxa"/>
            <w:tcBorders>
              <w:right w:val="single" w:color="auto" w:sz="4" w:space="0"/>
            </w:tcBorders>
            <w:vAlign w:val="center"/>
          </w:tcPr>
          <w:p w14:paraId="2070BA7F">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1FAF4EAA">
            <w:pPr>
              <w:widowControl/>
              <w:spacing w:line="360" w:lineRule="auto"/>
              <w:ind w:firstLine="422"/>
              <w:jc w:val="center"/>
              <w:textAlignment w:val="baseline"/>
              <w:rPr>
                <w:rFonts w:ascii="宋体" w:cs="宋体"/>
                <w:szCs w:val="21"/>
              </w:rPr>
            </w:pPr>
          </w:p>
        </w:tc>
        <w:tc>
          <w:tcPr>
            <w:tcW w:w="1410" w:type="dxa"/>
            <w:vAlign w:val="center"/>
          </w:tcPr>
          <w:p w14:paraId="23698FE6">
            <w:pPr>
              <w:widowControl/>
              <w:spacing w:line="360" w:lineRule="auto"/>
              <w:ind w:firstLine="422"/>
              <w:jc w:val="center"/>
              <w:textAlignment w:val="baseline"/>
              <w:rPr>
                <w:rFonts w:ascii="宋体" w:cs="宋体"/>
                <w:szCs w:val="21"/>
              </w:rPr>
            </w:pPr>
          </w:p>
        </w:tc>
        <w:tc>
          <w:tcPr>
            <w:tcW w:w="1251" w:type="dxa"/>
            <w:vAlign w:val="center"/>
          </w:tcPr>
          <w:p w14:paraId="23C2309D">
            <w:pPr>
              <w:widowControl/>
              <w:spacing w:line="360" w:lineRule="auto"/>
              <w:ind w:firstLine="422"/>
              <w:jc w:val="center"/>
              <w:textAlignment w:val="baseline"/>
              <w:rPr>
                <w:rFonts w:ascii="宋体" w:cs="宋体"/>
                <w:szCs w:val="21"/>
              </w:rPr>
            </w:pPr>
          </w:p>
        </w:tc>
      </w:tr>
      <w:tr w14:paraId="3E144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D989E0B">
            <w:pPr>
              <w:widowControl/>
              <w:spacing w:line="360" w:lineRule="auto"/>
              <w:ind w:firstLine="422"/>
              <w:textAlignment w:val="baseline"/>
              <w:rPr>
                <w:rFonts w:ascii="宋体" w:cs="宋体"/>
                <w:szCs w:val="21"/>
              </w:rPr>
            </w:pPr>
            <w:r>
              <w:rPr>
                <w:rFonts w:hint="eastAsia" w:ascii="宋体" w:cs="宋体"/>
                <w:szCs w:val="21"/>
              </w:rPr>
              <w:t>2</w:t>
            </w:r>
          </w:p>
        </w:tc>
        <w:tc>
          <w:tcPr>
            <w:tcW w:w="1543" w:type="dxa"/>
            <w:vAlign w:val="center"/>
          </w:tcPr>
          <w:p w14:paraId="02F3C41F">
            <w:pPr>
              <w:pStyle w:val="7"/>
              <w:jc w:val="center"/>
              <w:rPr>
                <w:rFonts w:hint="eastAsia"/>
                <w:color w:val="000000"/>
                <w:sz w:val="21"/>
                <w:szCs w:val="21"/>
              </w:rPr>
            </w:pPr>
            <w:r>
              <w:rPr>
                <w:color w:val="000000"/>
                <w:sz w:val="21"/>
                <w:szCs w:val="21"/>
              </w:rPr>
              <w:t>合同履行期限</w:t>
            </w:r>
          </w:p>
        </w:tc>
        <w:tc>
          <w:tcPr>
            <w:tcW w:w="1680" w:type="dxa"/>
            <w:tcBorders>
              <w:right w:val="single" w:color="auto" w:sz="4" w:space="0"/>
            </w:tcBorders>
            <w:vAlign w:val="center"/>
          </w:tcPr>
          <w:p w14:paraId="5CB78E9C">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08E6DD1B">
            <w:pPr>
              <w:widowControl/>
              <w:spacing w:line="360" w:lineRule="auto"/>
              <w:ind w:firstLine="422"/>
              <w:jc w:val="center"/>
              <w:textAlignment w:val="baseline"/>
              <w:rPr>
                <w:rFonts w:ascii="宋体" w:cs="宋体"/>
                <w:szCs w:val="21"/>
              </w:rPr>
            </w:pPr>
          </w:p>
        </w:tc>
        <w:tc>
          <w:tcPr>
            <w:tcW w:w="1410" w:type="dxa"/>
            <w:vAlign w:val="center"/>
          </w:tcPr>
          <w:p w14:paraId="1BBD048A">
            <w:pPr>
              <w:widowControl/>
              <w:spacing w:line="360" w:lineRule="auto"/>
              <w:ind w:firstLine="422"/>
              <w:jc w:val="center"/>
              <w:textAlignment w:val="baseline"/>
              <w:rPr>
                <w:rFonts w:ascii="宋体" w:cs="宋体"/>
                <w:szCs w:val="21"/>
              </w:rPr>
            </w:pPr>
          </w:p>
        </w:tc>
        <w:tc>
          <w:tcPr>
            <w:tcW w:w="1251" w:type="dxa"/>
            <w:vAlign w:val="center"/>
          </w:tcPr>
          <w:p w14:paraId="3D63F0A8">
            <w:pPr>
              <w:widowControl/>
              <w:spacing w:line="360" w:lineRule="auto"/>
              <w:ind w:firstLine="422"/>
              <w:jc w:val="center"/>
              <w:textAlignment w:val="baseline"/>
              <w:rPr>
                <w:rFonts w:ascii="宋体" w:cs="宋体"/>
                <w:szCs w:val="21"/>
              </w:rPr>
            </w:pPr>
          </w:p>
        </w:tc>
      </w:tr>
      <w:tr w14:paraId="484B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A9AC2E4">
            <w:pPr>
              <w:widowControl/>
              <w:spacing w:line="360" w:lineRule="auto"/>
              <w:ind w:firstLine="422"/>
              <w:textAlignment w:val="baseline"/>
              <w:rPr>
                <w:rFonts w:ascii="宋体" w:cs="宋体"/>
                <w:szCs w:val="21"/>
              </w:rPr>
            </w:pPr>
            <w:r>
              <w:rPr>
                <w:rFonts w:hint="eastAsia" w:ascii="宋体" w:cs="宋体"/>
                <w:szCs w:val="21"/>
              </w:rPr>
              <w:t>3</w:t>
            </w:r>
          </w:p>
        </w:tc>
        <w:tc>
          <w:tcPr>
            <w:tcW w:w="1543" w:type="dxa"/>
            <w:vAlign w:val="center"/>
          </w:tcPr>
          <w:p w14:paraId="0E3360D9">
            <w:pPr>
              <w:pStyle w:val="7"/>
              <w:jc w:val="center"/>
              <w:rPr>
                <w:rFonts w:hint="eastAsia"/>
                <w:color w:val="000000"/>
                <w:sz w:val="21"/>
                <w:szCs w:val="21"/>
              </w:rPr>
            </w:pPr>
            <w:r>
              <w:rPr>
                <w:color w:val="000000"/>
                <w:sz w:val="21"/>
                <w:szCs w:val="21"/>
              </w:rPr>
              <w:t>工程地点</w:t>
            </w:r>
          </w:p>
        </w:tc>
        <w:tc>
          <w:tcPr>
            <w:tcW w:w="1680" w:type="dxa"/>
            <w:tcBorders>
              <w:right w:val="single" w:color="auto" w:sz="4" w:space="0"/>
            </w:tcBorders>
            <w:vAlign w:val="center"/>
          </w:tcPr>
          <w:p w14:paraId="64172B43">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67E39FA6">
            <w:pPr>
              <w:widowControl/>
              <w:spacing w:line="360" w:lineRule="auto"/>
              <w:ind w:firstLine="422"/>
              <w:jc w:val="center"/>
              <w:textAlignment w:val="baseline"/>
              <w:rPr>
                <w:rFonts w:ascii="宋体" w:cs="宋体"/>
                <w:szCs w:val="21"/>
              </w:rPr>
            </w:pPr>
          </w:p>
        </w:tc>
        <w:tc>
          <w:tcPr>
            <w:tcW w:w="1410" w:type="dxa"/>
            <w:vAlign w:val="center"/>
          </w:tcPr>
          <w:p w14:paraId="22709C3E">
            <w:pPr>
              <w:widowControl/>
              <w:spacing w:line="360" w:lineRule="auto"/>
              <w:ind w:firstLine="422"/>
              <w:jc w:val="center"/>
              <w:textAlignment w:val="baseline"/>
              <w:rPr>
                <w:rFonts w:ascii="宋体" w:cs="宋体"/>
                <w:szCs w:val="21"/>
              </w:rPr>
            </w:pPr>
          </w:p>
        </w:tc>
        <w:tc>
          <w:tcPr>
            <w:tcW w:w="1251" w:type="dxa"/>
            <w:vAlign w:val="center"/>
          </w:tcPr>
          <w:p w14:paraId="5526B071">
            <w:pPr>
              <w:widowControl/>
              <w:spacing w:line="360" w:lineRule="auto"/>
              <w:ind w:firstLine="422"/>
              <w:jc w:val="center"/>
              <w:textAlignment w:val="baseline"/>
              <w:rPr>
                <w:rFonts w:ascii="宋体" w:cs="宋体"/>
                <w:szCs w:val="21"/>
              </w:rPr>
            </w:pPr>
          </w:p>
        </w:tc>
      </w:tr>
      <w:tr w14:paraId="674D3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E599979">
            <w:pPr>
              <w:widowControl/>
              <w:spacing w:line="360" w:lineRule="auto"/>
              <w:ind w:firstLine="422"/>
              <w:textAlignment w:val="baseline"/>
              <w:rPr>
                <w:rFonts w:ascii="宋体" w:cs="宋体"/>
                <w:szCs w:val="21"/>
              </w:rPr>
            </w:pPr>
            <w:r>
              <w:rPr>
                <w:rFonts w:hint="eastAsia" w:ascii="宋体" w:cs="宋体"/>
                <w:szCs w:val="21"/>
              </w:rPr>
              <w:t>4</w:t>
            </w:r>
          </w:p>
        </w:tc>
        <w:tc>
          <w:tcPr>
            <w:tcW w:w="1543" w:type="dxa"/>
            <w:vAlign w:val="center"/>
          </w:tcPr>
          <w:p w14:paraId="6E617F09">
            <w:pPr>
              <w:pStyle w:val="7"/>
              <w:jc w:val="center"/>
              <w:rPr>
                <w:rFonts w:hint="eastAsia"/>
                <w:color w:val="000000"/>
                <w:sz w:val="21"/>
                <w:szCs w:val="21"/>
              </w:rPr>
            </w:pPr>
            <w:r>
              <w:rPr>
                <w:color w:val="000000"/>
                <w:sz w:val="21"/>
                <w:szCs w:val="21"/>
              </w:rPr>
              <w:t>付款方式</w:t>
            </w:r>
          </w:p>
        </w:tc>
        <w:tc>
          <w:tcPr>
            <w:tcW w:w="1680" w:type="dxa"/>
            <w:tcBorders>
              <w:right w:val="single" w:color="auto" w:sz="4" w:space="0"/>
            </w:tcBorders>
            <w:vAlign w:val="center"/>
          </w:tcPr>
          <w:p w14:paraId="2D53726F">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7559D108">
            <w:pPr>
              <w:widowControl/>
              <w:spacing w:line="360" w:lineRule="auto"/>
              <w:ind w:firstLine="422"/>
              <w:jc w:val="center"/>
              <w:textAlignment w:val="baseline"/>
              <w:rPr>
                <w:rFonts w:ascii="宋体" w:cs="宋体"/>
                <w:szCs w:val="21"/>
              </w:rPr>
            </w:pPr>
          </w:p>
        </w:tc>
        <w:tc>
          <w:tcPr>
            <w:tcW w:w="1410" w:type="dxa"/>
            <w:vAlign w:val="center"/>
          </w:tcPr>
          <w:p w14:paraId="11B50F67">
            <w:pPr>
              <w:widowControl/>
              <w:spacing w:line="360" w:lineRule="auto"/>
              <w:ind w:firstLine="422"/>
              <w:jc w:val="center"/>
              <w:textAlignment w:val="baseline"/>
              <w:rPr>
                <w:rFonts w:ascii="宋体" w:cs="宋体"/>
                <w:szCs w:val="21"/>
              </w:rPr>
            </w:pPr>
          </w:p>
        </w:tc>
        <w:tc>
          <w:tcPr>
            <w:tcW w:w="1251" w:type="dxa"/>
            <w:vAlign w:val="center"/>
          </w:tcPr>
          <w:p w14:paraId="6A1CA0AE">
            <w:pPr>
              <w:widowControl/>
              <w:spacing w:line="360" w:lineRule="auto"/>
              <w:ind w:firstLine="422"/>
              <w:jc w:val="center"/>
              <w:textAlignment w:val="baseline"/>
              <w:rPr>
                <w:rFonts w:ascii="宋体" w:cs="宋体"/>
                <w:szCs w:val="21"/>
              </w:rPr>
            </w:pPr>
          </w:p>
        </w:tc>
      </w:tr>
      <w:tr w14:paraId="545C8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766DEEF">
            <w:pPr>
              <w:widowControl/>
              <w:spacing w:line="360" w:lineRule="auto"/>
              <w:ind w:firstLine="422"/>
              <w:textAlignment w:val="baseline"/>
              <w:rPr>
                <w:rFonts w:ascii="宋体" w:cs="宋体"/>
                <w:szCs w:val="21"/>
              </w:rPr>
            </w:pPr>
            <w:r>
              <w:rPr>
                <w:rFonts w:hint="eastAsia" w:ascii="宋体" w:cs="宋体"/>
                <w:szCs w:val="21"/>
              </w:rPr>
              <w:t>5</w:t>
            </w:r>
          </w:p>
        </w:tc>
        <w:tc>
          <w:tcPr>
            <w:tcW w:w="1543" w:type="dxa"/>
            <w:vAlign w:val="center"/>
          </w:tcPr>
          <w:p w14:paraId="60832E45">
            <w:pPr>
              <w:pStyle w:val="7"/>
              <w:jc w:val="center"/>
              <w:rPr>
                <w:rFonts w:hint="eastAsia"/>
                <w:color w:val="000000"/>
                <w:sz w:val="21"/>
                <w:szCs w:val="21"/>
              </w:rPr>
            </w:pPr>
            <w:r>
              <w:rPr>
                <w:rFonts w:hint="eastAsia"/>
                <w:color w:val="000000"/>
                <w:sz w:val="21"/>
                <w:szCs w:val="21"/>
              </w:rPr>
              <w:t>工程验收标准</w:t>
            </w:r>
          </w:p>
        </w:tc>
        <w:tc>
          <w:tcPr>
            <w:tcW w:w="1680" w:type="dxa"/>
            <w:tcBorders>
              <w:right w:val="single" w:color="auto" w:sz="4" w:space="0"/>
            </w:tcBorders>
            <w:vAlign w:val="center"/>
          </w:tcPr>
          <w:p w14:paraId="2392F6CB">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58128889">
            <w:pPr>
              <w:widowControl/>
              <w:spacing w:line="360" w:lineRule="auto"/>
              <w:ind w:firstLine="422"/>
              <w:jc w:val="center"/>
              <w:textAlignment w:val="baseline"/>
              <w:rPr>
                <w:rFonts w:ascii="宋体" w:cs="宋体"/>
                <w:szCs w:val="21"/>
              </w:rPr>
            </w:pPr>
          </w:p>
        </w:tc>
        <w:tc>
          <w:tcPr>
            <w:tcW w:w="1410" w:type="dxa"/>
            <w:vAlign w:val="center"/>
          </w:tcPr>
          <w:p w14:paraId="5A0CD1D9">
            <w:pPr>
              <w:widowControl/>
              <w:spacing w:line="360" w:lineRule="auto"/>
              <w:ind w:firstLine="422"/>
              <w:jc w:val="center"/>
              <w:textAlignment w:val="baseline"/>
              <w:rPr>
                <w:rFonts w:ascii="宋体" w:cs="宋体"/>
                <w:szCs w:val="21"/>
              </w:rPr>
            </w:pPr>
          </w:p>
        </w:tc>
        <w:tc>
          <w:tcPr>
            <w:tcW w:w="1251" w:type="dxa"/>
            <w:vAlign w:val="center"/>
          </w:tcPr>
          <w:p w14:paraId="38DB691E">
            <w:pPr>
              <w:widowControl/>
              <w:spacing w:line="360" w:lineRule="auto"/>
              <w:ind w:firstLine="422"/>
              <w:jc w:val="center"/>
              <w:textAlignment w:val="baseline"/>
              <w:rPr>
                <w:rFonts w:ascii="宋体" w:cs="宋体"/>
                <w:szCs w:val="21"/>
              </w:rPr>
            </w:pPr>
          </w:p>
        </w:tc>
      </w:tr>
      <w:tr w14:paraId="47D8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7C4D81F3">
            <w:pPr>
              <w:widowControl/>
              <w:spacing w:line="360" w:lineRule="auto"/>
              <w:ind w:firstLine="422"/>
              <w:textAlignment w:val="baseline"/>
              <w:rPr>
                <w:rFonts w:ascii="宋体" w:cs="宋体"/>
                <w:szCs w:val="21"/>
              </w:rPr>
            </w:pPr>
            <w:r>
              <w:rPr>
                <w:rFonts w:hint="eastAsia" w:ascii="宋体" w:cs="宋体"/>
                <w:szCs w:val="21"/>
              </w:rPr>
              <w:t>6</w:t>
            </w:r>
          </w:p>
        </w:tc>
        <w:tc>
          <w:tcPr>
            <w:tcW w:w="1543" w:type="dxa"/>
            <w:vAlign w:val="center"/>
          </w:tcPr>
          <w:p w14:paraId="447F35A6">
            <w:pPr>
              <w:pStyle w:val="7"/>
              <w:jc w:val="center"/>
              <w:rPr>
                <w:rFonts w:hint="eastAsia"/>
                <w:color w:val="000000"/>
                <w:sz w:val="21"/>
                <w:szCs w:val="21"/>
              </w:rPr>
            </w:pPr>
            <w:r>
              <w:rPr>
                <w:rFonts w:hint="eastAsia"/>
                <w:color w:val="000000"/>
                <w:sz w:val="21"/>
                <w:szCs w:val="21"/>
              </w:rPr>
              <w:t>质量标准</w:t>
            </w:r>
          </w:p>
        </w:tc>
        <w:tc>
          <w:tcPr>
            <w:tcW w:w="1680" w:type="dxa"/>
            <w:tcBorders>
              <w:right w:val="single" w:color="auto" w:sz="4" w:space="0"/>
            </w:tcBorders>
            <w:vAlign w:val="center"/>
          </w:tcPr>
          <w:p w14:paraId="5F39EA35">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4BDAE957">
            <w:pPr>
              <w:widowControl/>
              <w:spacing w:line="360" w:lineRule="auto"/>
              <w:ind w:firstLine="422"/>
              <w:jc w:val="center"/>
              <w:textAlignment w:val="baseline"/>
              <w:rPr>
                <w:rFonts w:ascii="宋体" w:cs="宋体"/>
                <w:szCs w:val="21"/>
              </w:rPr>
            </w:pPr>
          </w:p>
        </w:tc>
        <w:tc>
          <w:tcPr>
            <w:tcW w:w="1410" w:type="dxa"/>
            <w:vAlign w:val="center"/>
          </w:tcPr>
          <w:p w14:paraId="283692A3">
            <w:pPr>
              <w:widowControl/>
              <w:spacing w:line="360" w:lineRule="auto"/>
              <w:ind w:firstLine="422"/>
              <w:jc w:val="center"/>
              <w:textAlignment w:val="baseline"/>
              <w:rPr>
                <w:rFonts w:ascii="宋体" w:cs="宋体"/>
                <w:szCs w:val="21"/>
              </w:rPr>
            </w:pPr>
          </w:p>
        </w:tc>
        <w:tc>
          <w:tcPr>
            <w:tcW w:w="1251" w:type="dxa"/>
            <w:vAlign w:val="center"/>
          </w:tcPr>
          <w:p w14:paraId="50A43D7F">
            <w:pPr>
              <w:widowControl/>
              <w:spacing w:line="360" w:lineRule="auto"/>
              <w:ind w:firstLine="422"/>
              <w:jc w:val="center"/>
              <w:textAlignment w:val="baseline"/>
              <w:rPr>
                <w:rFonts w:ascii="宋体" w:cs="宋体"/>
                <w:szCs w:val="21"/>
              </w:rPr>
            </w:pPr>
          </w:p>
        </w:tc>
      </w:tr>
      <w:tr w14:paraId="52ED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8579167">
            <w:pPr>
              <w:widowControl/>
              <w:spacing w:line="360" w:lineRule="auto"/>
              <w:ind w:firstLine="422"/>
              <w:textAlignment w:val="baseline"/>
              <w:rPr>
                <w:rFonts w:ascii="宋体" w:cs="宋体"/>
                <w:szCs w:val="21"/>
              </w:rPr>
            </w:pPr>
            <w:r>
              <w:rPr>
                <w:rFonts w:hint="eastAsia" w:ascii="宋体" w:cs="宋体"/>
                <w:szCs w:val="21"/>
              </w:rPr>
              <w:t>7</w:t>
            </w:r>
          </w:p>
        </w:tc>
        <w:tc>
          <w:tcPr>
            <w:tcW w:w="1543" w:type="dxa"/>
            <w:vAlign w:val="center"/>
          </w:tcPr>
          <w:p w14:paraId="6271FBF3">
            <w:pPr>
              <w:pStyle w:val="7"/>
              <w:jc w:val="center"/>
              <w:rPr>
                <w:rFonts w:hint="eastAsia"/>
                <w:color w:val="000000"/>
                <w:sz w:val="21"/>
                <w:szCs w:val="21"/>
              </w:rPr>
            </w:pPr>
            <w:r>
              <w:rPr>
                <w:rFonts w:hint="eastAsia"/>
                <w:color w:val="000000"/>
                <w:sz w:val="21"/>
                <w:szCs w:val="21"/>
              </w:rPr>
              <w:t>工程质保期</w:t>
            </w:r>
          </w:p>
        </w:tc>
        <w:tc>
          <w:tcPr>
            <w:tcW w:w="1680" w:type="dxa"/>
            <w:tcBorders>
              <w:right w:val="single" w:color="auto" w:sz="4" w:space="0"/>
            </w:tcBorders>
            <w:vAlign w:val="center"/>
          </w:tcPr>
          <w:p w14:paraId="49DB89D2">
            <w:pPr>
              <w:widowControl/>
              <w:spacing w:line="360" w:lineRule="auto"/>
              <w:ind w:firstLine="422"/>
              <w:jc w:val="center"/>
              <w:textAlignment w:val="baseline"/>
              <w:rPr>
                <w:rFonts w:ascii="宋体" w:cs="宋体"/>
                <w:szCs w:val="21"/>
              </w:rPr>
            </w:pPr>
          </w:p>
        </w:tc>
        <w:tc>
          <w:tcPr>
            <w:tcW w:w="1427" w:type="dxa"/>
            <w:tcBorders>
              <w:left w:val="single" w:color="auto" w:sz="4" w:space="0"/>
            </w:tcBorders>
            <w:vAlign w:val="center"/>
          </w:tcPr>
          <w:p w14:paraId="06431063">
            <w:pPr>
              <w:widowControl/>
              <w:spacing w:line="360" w:lineRule="auto"/>
              <w:ind w:firstLine="422"/>
              <w:jc w:val="center"/>
              <w:textAlignment w:val="baseline"/>
              <w:rPr>
                <w:rFonts w:ascii="宋体" w:cs="宋体"/>
                <w:szCs w:val="21"/>
              </w:rPr>
            </w:pPr>
          </w:p>
        </w:tc>
        <w:tc>
          <w:tcPr>
            <w:tcW w:w="1410" w:type="dxa"/>
            <w:vAlign w:val="center"/>
          </w:tcPr>
          <w:p w14:paraId="55D86A4C">
            <w:pPr>
              <w:widowControl/>
              <w:spacing w:line="360" w:lineRule="auto"/>
              <w:ind w:firstLine="422"/>
              <w:jc w:val="center"/>
              <w:textAlignment w:val="baseline"/>
              <w:rPr>
                <w:rFonts w:ascii="宋体" w:cs="宋体"/>
                <w:szCs w:val="21"/>
              </w:rPr>
            </w:pPr>
          </w:p>
        </w:tc>
        <w:tc>
          <w:tcPr>
            <w:tcW w:w="1251" w:type="dxa"/>
            <w:vAlign w:val="center"/>
          </w:tcPr>
          <w:p w14:paraId="6A72D89F">
            <w:pPr>
              <w:widowControl/>
              <w:spacing w:line="360" w:lineRule="auto"/>
              <w:ind w:firstLine="422"/>
              <w:jc w:val="center"/>
              <w:textAlignment w:val="baseline"/>
              <w:rPr>
                <w:rFonts w:ascii="宋体" w:cs="宋体"/>
                <w:szCs w:val="21"/>
              </w:rPr>
            </w:pPr>
          </w:p>
        </w:tc>
      </w:tr>
    </w:tbl>
    <w:p w14:paraId="737CC06D">
      <w:pPr>
        <w:ind w:firstLine="420"/>
        <w:rPr>
          <w:rFonts w:ascii="宋体" w:cs="宋体"/>
          <w:b/>
          <w:kern w:val="0"/>
          <w:szCs w:val="21"/>
        </w:rPr>
      </w:pPr>
    </w:p>
    <w:p w14:paraId="13EF14FB">
      <w:pPr>
        <w:pStyle w:val="33"/>
        <w:ind w:firstLine="210"/>
        <w:rPr>
          <w:rFonts w:ascii="宋体" w:cs="宋体"/>
        </w:rPr>
      </w:pPr>
    </w:p>
    <w:p w14:paraId="56048C91">
      <w:pPr>
        <w:widowControl/>
        <w:spacing w:line="360" w:lineRule="auto"/>
        <w:ind w:firstLine="3360" w:firstLineChars="1600"/>
        <w:textAlignment w:val="baseline"/>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（全称并加盖公章）</w:t>
      </w:r>
    </w:p>
    <w:p w14:paraId="0791770A">
      <w:pPr>
        <w:widowControl/>
        <w:spacing w:line="360" w:lineRule="auto"/>
        <w:ind w:firstLine="4410" w:firstLineChars="2100"/>
        <w:textAlignment w:val="baseline"/>
        <w:rPr>
          <w:rFonts w:ascii="宋体" w:cs="宋体"/>
          <w:sz w:val="24"/>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72905E5F">
      <w:pPr>
        <w:ind w:firstLine="422"/>
        <w:rPr>
          <w:rFonts w:ascii="宋体" w:cs="宋体"/>
        </w:rPr>
      </w:pPr>
    </w:p>
    <w:p w14:paraId="27815501">
      <w:pPr>
        <w:ind w:firstLine="422"/>
        <w:rPr>
          <w:rFonts w:ascii="宋体" w:cs="宋体"/>
        </w:rPr>
      </w:pPr>
    </w:p>
    <w:p w14:paraId="27A6CFD2">
      <w:pPr>
        <w:ind w:firstLine="422"/>
        <w:rPr>
          <w:rFonts w:ascii="宋体" w:cs="宋体"/>
        </w:rPr>
      </w:pPr>
    </w:p>
    <w:p w14:paraId="3811413E">
      <w:pPr>
        <w:widowControl/>
        <w:wordWrap w:val="0"/>
        <w:spacing w:before="50" w:after="50" w:line="480" w:lineRule="auto"/>
        <w:jc w:val="left"/>
        <w:rPr>
          <w:rFonts w:hint="eastAsia" w:ascii="宋体" w:hAnsi="宋体" w:cs="宋体"/>
          <w:b/>
          <w:kern w:val="0"/>
          <w:sz w:val="24"/>
        </w:rPr>
      </w:pPr>
    </w:p>
    <w:p w14:paraId="0900BEBF">
      <w:pPr>
        <w:rPr>
          <w:rFonts w:hint="eastAsia" w:ascii="宋体" w:hAnsi="宋体" w:cs="宋体"/>
          <w:b/>
          <w:kern w:val="0"/>
          <w:sz w:val="24"/>
        </w:rPr>
      </w:pPr>
      <w:r>
        <w:rPr>
          <w:rFonts w:hint="eastAsia" w:ascii="宋体" w:hAnsi="宋体" w:cs="宋体"/>
          <w:b/>
          <w:kern w:val="0"/>
          <w:sz w:val="24"/>
        </w:rPr>
        <w:br w:type="page"/>
      </w:r>
    </w:p>
    <w:p w14:paraId="0D90646C">
      <w:pPr>
        <w:pStyle w:val="8"/>
        <w:snapToGrid w:val="0"/>
        <w:spacing w:before="20" w:after="20" w:line="360" w:lineRule="auto"/>
        <w:rPr>
          <w:rFonts w:hint="eastAsia" w:ascii="宋体" w:hAnsi="宋体" w:eastAsia="宋体" w:cs="宋体"/>
          <w:sz w:val="28"/>
          <w:szCs w:val="28"/>
        </w:rPr>
      </w:pPr>
      <w:bookmarkStart w:id="83" w:name="_Toc24168"/>
      <w:bookmarkStart w:id="84" w:name="_Toc29960"/>
      <w:bookmarkStart w:id="85" w:name="_Toc20420"/>
      <w:r>
        <w:rPr>
          <w:rFonts w:hint="eastAsia" w:ascii="宋体" w:hAnsi="宋体" w:eastAsia="宋体" w:cs="宋体"/>
          <w:sz w:val="28"/>
          <w:szCs w:val="28"/>
        </w:rPr>
        <w:t xml:space="preserve">附件6             </w:t>
      </w:r>
      <w:bookmarkEnd w:id="83"/>
      <w:bookmarkEnd w:id="84"/>
      <w:bookmarkEnd w:id="85"/>
      <w:r>
        <w:rPr>
          <w:rFonts w:hint="eastAsia" w:ascii="宋体" w:hAnsi="宋体" w:eastAsia="宋体" w:cs="宋体"/>
          <w:sz w:val="28"/>
          <w:szCs w:val="28"/>
        </w:rPr>
        <w:t>法定代表人身份证明（格式）</w:t>
      </w:r>
    </w:p>
    <w:p w14:paraId="77694132">
      <w:pPr>
        <w:widowControl/>
        <w:wordWrap w:val="0"/>
        <w:spacing w:line="460" w:lineRule="exact"/>
        <w:jc w:val="left"/>
        <w:rPr>
          <w:rFonts w:hint="eastAsia" w:ascii="宋体" w:hAnsi="宋体" w:cs="宋体"/>
          <w:kern w:val="0"/>
          <w:sz w:val="24"/>
        </w:rPr>
      </w:pPr>
    </w:p>
    <w:p w14:paraId="1BF723B0">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7320C89D">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4BBD1948">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307FCEE0">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32303A8C">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7F42D829">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426B8BCA">
      <w:pPr>
        <w:widowControl/>
        <w:wordWrap w:val="0"/>
        <w:spacing w:line="460" w:lineRule="exact"/>
        <w:jc w:val="left"/>
        <w:rPr>
          <w:rFonts w:hint="eastAsia" w:ascii="宋体" w:hAnsi="宋体" w:cs="宋体"/>
          <w:kern w:val="0"/>
          <w:sz w:val="24"/>
          <w:szCs w:val="20"/>
        </w:rPr>
      </w:pPr>
    </w:p>
    <w:p w14:paraId="32DE97A1">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206BCDC3">
      <w:pPr>
        <w:widowControl/>
        <w:wordWrap w:val="0"/>
        <w:spacing w:line="460" w:lineRule="exact"/>
        <w:jc w:val="left"/>
        <w:rPr>
          <w:rFonts w:hint="eastAsia" w:ascii="宋体" w:hAnsi="宋体" w:cs="宋体"/>
          <w:kern w:val="0"/>
          <w:sz w:val="24"/>
          <w:szCs w:val="20"/>
        </w:rPr>
      </w:pPr>
    </w:p>
    <w:p w14:paraId="62C1763F">
      <w:pPr>
        <w:widowControl/>
        <w:wordWrap w:val="0"/>
        <w:spacing w:before="319" w:beforeLines="100" w:after="319" w:afterLines="100" w:line="480" w:lineRule="exact"/>
        <w:jc w:val="center"/>
        <w:rPr>
          <w:rFonts w:hint="eastAsia"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499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2E248DF">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2E1261C3">
            <w:pPr>
              <w:widowControl/>
              <w:spacing w:line="480" w:lineRule="exact"/>
              <w:jc w:val="left"/>
              <w:rPr>
                <w:rFonts w:hint="eastAsia" w:ascii="宋体" w:hAnsi="宋体" w:cs="宋体"/>
                <w:kern w:val="0"/>
                <w:sz w:val="24"/>
              </w:rPr>
            </w:pPr>
          </w:p>
          <w:p w14:paraId="123D4C03">
            <w:pPr>
              <w:widowControl/>
              <w:spacing w:line="480" w:lineRule="exact"/>
              <w:jc w:val="left"/>
              <w:rPr>
                <w:rFonts w:hint="eastAsia" w:ascii="宋体" w:hAnsi="宋体" w:cs="宋体"/>
                <w:kern w:val="0"/>
                <w:sz w:val="24"/>
              </w:rPr>
            </w:pPr>
          </w:p>
        </w:tc>
      </w:tr>
    </w:tbl>
    <w:p w14:paraId="29234DDA">
      <w:pPr>
        <w:widowControl/>
        <w:wordWrap w:val="0"/>
        <w:spacing w:before="319" w:beforeLines="100" w:after="319" w:afterLines="100" w:line="480" w:lineRule="exact"/>
        <w:jc w:val="center"/>
        <w:rPr>
          <w:rFonts w:hint="eastAsia" w:ascii="宋体" w:hAnsi="宋体" w:cs="宋体"/>
          <w:b/>
          <w:kern w:val="0"/>
          <w:sz w:val="24"/>
        </w:rPr>
      </w:pPr>
    </w:p>
    <w:p w14:paraId="4A6E6010">
      <w:pPr>
        <w:widowControl/>
        <w:wordWrap w:val="0"/>
        <w:spacing w:before="319" w:beforeLines="100" w:after="319" w:afterLines="100" w:line="480" w:lineRule="exact"/>
        <w:jc w:val="center"/>
        <w:rPr>
          <w:rFonts w:hint="eastAsia" w:ascii="宋体" w:hAnsi="宋体" w:cs="宋体"/>
          <w:b/>
          <w:kern w:val="0"/>
          <w:sz w:val="36"/>
          <w:szCs w:val="36"/>
        </w:rPr>
      </w:pPr>
    </w:p>
    <w:p w14:paraId="076824AD">
      <w:pPr>
        <w:widowControl/>
        <w:wordWrap w:val="0"/>
        <w:spacing w:before="319" w:beforeLines="100" w:after="319" w:afterLines="100" w:line="480" w:lineRule="exact"/>
        <w:jc w:val="center"/>
        <w:rPr>
          <w:rFonts w:hint="eastAsia" w:ascii="宋体" w:hAnsi="宋体" w:cs="宋体"/>
          <w:b/>
          <w:kern w:val="0"/>
          <w:sz w:val="36"/>
          <w:szCs w:val="36"/>
        </w:rPr>
      </w:pPr>
    </w:p>
    <w:p w14:paraId="4153B2AD">
      <w:pPr>
        <w:widowControl/>
        <w:wordWrap w:val="0"/>
        <w:spacing w:line="480" w:lineRule="exact"/>
        <w:jc w:val="right"/>
        <w:rPr>
          <w:rFonts w:hint="eastAsia" w:ascii="宋体" w:hAnsi="宋体" w:cs="宋体"/>
          <w:kern w:val="0"/>
          <w:sz w:val="24"/>
        </w:rPr>
      </w:pPr>
    </w:p>
    <w:p w14:paraId="42FA68AB">
      <w:pPr>
        <w:widowControl/>
        <w:wordWrap w:val="0"/>
        <w:spacing w:line="480" w:lineRule="exact"/>
        <w:jc w:val="right"/>
        <w:rPr>
          <w:rFonts w:hint="eastAsia" w:ascii="宋体" w:hAnsi="宋体" w:cs="宋体"/>
          <w:kern w:val="0"/>
          <w:sz w:val="24"/>
        </w:rPr>
      </w:pPr>
    </w:p>
    <w:p w14:paraId="1B8E4F73">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3D8AB4C3">
      <w:pPr>
        <w:widowControl/>
        <w:wordWrap w:val="0"/>
        <w:spacing w:line="460" w:lineRule="exact"/>
        <w:ind w:firstLine="2880" w:firstLineChars="1200"/>
        <w:jc w:val="left"/>
        <w:rPr>
          <w:rFonts w:hint="eastAsia" w:ascii="宋体" w:hAnsi="宋体" w:cs="宋体"/>
          <w:kern w:val="0"/>
          <w:sz w:val="24"/>
        </w:rPr>
      </w:pPr>
      <w:r>
        <w:rPr>
          <w:rFonts w:hint="eastAsia" w:ascii="宋体" w:hAnsi="宋体" w:cs="宋体"/>
          <w:kern w:val="0"/>
          <w:sz w:val="24"/>
        </w:rPr>
        <w:t>日期：   年    月    日</w:t>
      </w:r>
    </w:p>
    <w:p w14:paraId="0D456958">
      <w:pPr>
        <w:rPr>
          <w:rFonts w:hint="eastAsia" w:ascii="宋体" w:hAnsi="宋体" w:cs="宋体"/>
        </w:rPr>
      </w:pPr>
    </w:p>
    <w:p w14:paraId="204A8C78">
      <w:pPr>
        <w:pStyle w:val="8"/>
        <w:snapToGrid w:val="0"/>
        <w:spacing w:before="20" w:after="20" w:line="360" w:lineRule="auto"/>
        <w:jc w:val="center"/>
        <w:rPr>
          <w:rFonts w:hint="eastAsia" w:ascii="宋体" w:hAnsi="宋体" w:cs="宋体"/>
        </w:rPr>
      </w:pPr>
    </w:p>
    <w:p w14:paraId="427E94E5">
      <w:pPr>
        <w:rPr>
          <w:rFonts w:hint="eastAsia" w:ascii="宋体" w:hAnsi="宋体" w:cs="宋体"/>
        </w:rPr>
      </w:pPr>
    </w:p>
    <w:p w14:paraId="0D22DA5B">
      <w:pPr>
        <w:rPr>
          <w:rFonts w:hint="eastAsia" w:ascii="宋体" w:hAnsi="宋体" w:cs="宋体"/>
        </w:rPr>
      </w:pPr>
    </w:p>
    <w:p w14:paraId="14AAD24A">
      <w:pPr>
        <w:rPr>
          <w:rFonts w:hint="eastAsia" w:ascii="宋体" w:hAnsi="宋体" w:cs="宋体"/>
          <w:b/>
          <w:sz w:val="28"/>
        </w:rPr>
      </w:pPr>
      <w:bookmarkStart w:id="86" w:name="_Toc28621"/>
      <w:bookmarkStart w:id="87" w:name="_Toc31526"/>
      <w:r>
        <w:rPr>
          <w:rFonts w:hint="eastAsia" w:ascii="宋体" w:hAnsi="宋体" w:cs="宋体"/>
          <w:b/>
          <w:sz w:val="28"/>
        </w:rPr>
        <w:br w:type="page"/>
      </w:r>
    </w:p>
    <w:p w14:paraId="5B517E29">
      <w:pPr>
        <w:pStyle w:val="8"/>
        <w:snapToGrid w:val="0"/>
        <w:spacing w:before="20" w:after="20" w:line="360" w:lineRule="auto"/>
        <w:rPr>
          <w:rFonts w:hint="eastAsia" w:ascii="宋体" w:hAnsi="宋体" w:eastAsia="宋体" w:cs="宋体"/>
          <w:sz w:val="28"/>
          <w:szCs w:val="28"/>
        </w:rPr>
      </w:pPr>
      <w:bookmarkStart w:id="88" w:name="_Toc29406"/>
      <w:r>
        <w:rPr>
          <w:rFonts w:hint="eastAsia" w:ascii="宋体" w:hAnsi="宋体" w:eastAsia="宋体" w:cs="宋体"/>
          <w:sz w:val="28"/>
          <w:szCs w:val="28"/>
        </w:rPr>
        <w:t>附件7            法定代表人授权书（格式）</w:t>
      </w:r>
    </w:p>
    <w:p w14:paraId="6061E0D4">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25FB2179">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2E3FED7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65866F4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71690B8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65ED28F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649789A">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5BA482DC">
      <w:pPr>
        <w:widowControl/>
        <w:wordWrap w:val="0"/>
        <w:snapToGrid w:val="0"/>
        <w:spacing w:line="460" w:lineRule="exact"/>
        <w:ind w:firstLine="480" w:firstLineChars="200"/>
        <w:jc w:val="left"/>
        <w:rPr>
          <w:rFonts w:hint="eastAsia" w:ascii="宋体" w:hAnsi="宋体" w:cs="宋体"/>
          <w:kern w:val="0"/>
          <w:sz w:val="24"/>
        </w:rPr>
      </w:pPr>
    </w:p>
    <w:p w14:paraId="513D26BC">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3203DAF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698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F3A89E">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76F53AB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38DB22DA">
      <w:pPr>
        <w:widowControl/>
        <w:wordWrap w:val="0"/>
        <w:spacing w:line="460" w:lineRule="exact"/>
        <w:ind w:firstLine="4800" w:firstLineChars="2000"/>
        <w:jc w:val="left"/>
        <w:rPr>
          <w:rFonts w:hint="eastAsia" w:ascii="宋体" w:hAnsi="宋体" w:cs="宋体"/>
          <w:kern w:val="0"/>
          <w:sz w:val="24"/>
        </w:rPr>
      </w:pPr>
    </w:p>
    <w:p w14:paraId="49D4D60B">
      <w:pPr>
        <w:widowControl/>
        <w:wordWrap w:val="0"/>
        <w:spacing w:line="360" w:lineRule="auto"/>
        <w:jc w:val="center"/>
        <w:rPr>
          <w:rFonts w:hint="eastAsia" w:ascii="宋体" w:hAnsi="宋体" w:cs="宋体"/>
          <w:kern w:val="0"/>
          <w:sz w:val="24"/>
        </w:rPr>
      </w:pPr>
    </w:p>
    <w:p w14:paraId="05243D77">
      <w:pPr>
        <w:widowControl/>
        <w:wordWrap w:val="0"/>
        <w:spacing w:line="360" w:lineRule="auto"/>
        <w:jc w:val="right"/>
        <w:rPr>
          <w:rFonts w:hint="eastAsia" w:ascii="宋体" w:hAnsi="宋体" w:cs="宋体"/>
          <w:kern w:val="0"/>
          <w:sz w:val="24"/>
        </w:rPr>
      </w:pPr>
    </w:p>
    <w:p w14:paraId="5A56AD0F">
      <w:pPr>
        <w:widowControl/>
        <w:wordWrap w:val="0"/>
        <w:spacing w:line="360" w:lineRule="auto"/>
        <w:jc w:val="right"/>
        <w:rPr>
          <w:rFonts w:hint="eastAsia" w:ascii="宋体" w:hAnsi="宋体" w:cs="宋体"/>
          <w:kern w:val="0"/>
          <w:sz w:val="24"/>
        </w:rPr>
      </w:pPr>
    </w:p>
    <w:p w14:paraId="4A3A0672">
      <w:pPr>
        <w:widowControl/>
        <w:wordWrap w:val="0"/>
        <w:spacing w:line="360" w:lineRule="auto"/>
        <w:jc w:val="right"/>
        <w:rPr>
          <w:rFonts w:hint="eastAsia" w:ascii="宋体" w:hAnsi="宋体" w:cs="宋体"/>
          <w:kern w:val="0"/>
          <w:sz w:val="24"/>
        </w:rPr>
      </w:pPr>
    </w:p>
    <w:p w14:paraId="2F160FC4">
      <w:pPr>
        <w:widowControl/>
        <w:wordWrap w:val="0"/>
        <w:spacing w:line="360" w:lineRule="auto"/>
        <w:jc w:val="right"/>
        <w:rPr>
          <w:rFonts w:hint="eastAsia" w:ascii="宋体" w:hAnsi="宋体" w:cs="宋体"/>
          <w:kern w:val="0"/>
          <w:sz w:val="24"/>
        </w:rPr>
      </w:pPr>
    </w:p>
    <w:p w14:paraId="7C67AF8F">
      <w:pPr>
        <w:widowControl/>
        <w:wordWrap w:val="0"/>
        <w:spacing w:line="360" w:lineRule="auto"/>
        <w:jc w:val="right"/>
        <w:rPr>
          <w:rFonts w:hint="eastAsia" w:ascii="宋体" w:hAnsi="宋体" w:cs="宋体"/>
          <w:kern w:val="0"/>
          <w:sz w:val="24"/>
        </w:rPr>
      </w:pPr>
    </w:p>
    <w:p w14:paraId="30C70D97">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F613172">
      <w:pPr>
        <w:widowControl/>
        <w:wordWrap w:val="0"/>
        <w:spacing w:line="460" w:lineRule="exact"/>
        <w:ind w:firstLine="2160" w:firstLineChars="900"/>
        <w:jc w:val="left"/>
        <w:rPr>
          <w:rFonts w:hint="eastAsia" w:ascii="宋体" w:hAnsi="宋体" w:cs="宋体"/>
          <w:b/>
          <w:kern w:val="0"/>
          <w:sz w:val="32"/>
          <w:szCs w:val="32"/>
        </w:rPr>
      </w:pPr>
      <w:r>
        <w:rPr>
          <w:rFonts w:hint="eastAsia" w:ascii="宋体" w:hAnsi="宋体" w:cs="宋体"/>
          <w:kern w:val="0"/>
          <w:sz w:val="24"/>
        </w:rPr>
        <w:t>日期：年    月    日</w:t>
      </w:r>
    </w:p>
    <w:p w14:paraId="29FC5134">
      <w:pPr>
        <w:pStyle w:val="8"/>
        <w:snapToGrid w:val="0"/>
        <w:spacing w:before="20" w:after="20" w:line="360" w:lineRule="auto"/>
        <w:jc w:val="center"/>
        <w:rPr>
          <w:rFonts w:hint="eastAsia" w:ascii="宋体" w:hAnsi="宋体" w:cs="宋体"/>
        </w:rPr>
      </w:pPr>
      <w:r>
        <w:rPr>
          <w:rFonts w:hint="eastAsia" w:ascii="宋体" w:hAnsi="宋体" w:eastAsia="宋体" w:cs="宋体"/>
          <w:sz w:val="28"/>
          <w:szCs w:val="28"/>
        </w:rPr>
        <w:t xml:space="preserve">     </w:t>
      </w:r>
      <w:bookmarkEnd w:id="86"/>
      <w:bookmarkEnd w:id="87"/>
      <w:bookmarkEnd w:id="88"/>
    </w:p>
    <w:p w14:paraId="4FC413E7">
      <w:pPr>
        <w:rPr>
          <w:rFonts w:hint="eastAsia" w:ascii="宋体" w:hAnsi="宋体" w:cs="宋体"/>
        </w:rPr>
      </w:pPr>
      <w:r>
        <w:rPr>
          <w:rFonts w:hint="eastAsia" w:ascii="宋体" w:hAnsi="宋体" w:cs="宋体"/>
        </w:rPr>
        <w:br w:type="page"/>
      </w:r>
    </w:p>
    <w:p w14:paraId="79654B34">
      <w:pPr>
        <w:pStyle w:val="8"/>
        <w:snapToGrid w:val="0"/>
        <w:spacing w:before="20" w:after="20" w:line="360" w:lineRule="auto"/>
        <w:rPr>
          <w:rFonts w:hint="eastAsia" w:ascii="宋体" w:hAnsi="宋体" w:eastAsia="宋体" w:cs="宋体"/>
          <w:sz w:val="28"/>
          <w:szCs w:val="28"/>
        </w:rPr>
      </w:pPr>
      <w:bookmarkStart w:id="89" w:name="_Toc13976"/>
      <w:bookmarkStart w:id="90" w:name="_Toc12939"/>
      <w:bookmarkStart w:id="91" w:name="_Toc30519"/>
      <w:r>
        <w:rPr>
          <w:rFonts w:hint="eastAsia" w:ascii="宋体" w:hAnsi="宋体" w:eastAsia="宋体" w:cs="宋体"/>
          <w:sz w:val="28"/>
          <w:szCs w:val="28"/>
        </w:rPr>
        <w:t>附件8                    证明文件</w:t>
      </w:r>
    </w:p>
    <w:p w14:paraId="3E030EBD">
      <w:pPr>
        <w:pStyle w:val="13"/>
        <w:spacing w:beforeAutospacing="0" w:afterAutospacing="0" w:line="480" w:lineRule="auto"/>
        <w:ind w:firstLine="470" w:firstLineChars="224"/>
        <w:jc w:val="both"/>
        <w:rPr>
          <w:rFonts w:hint="eastAsia"/>
          <w:bCs/>
          <w:sz w:val="21"/>
          <w:szCs w:val="21"/>
        </w:rPr>
      </w:pPr>
      <w:r>
        <w:rPr>
          <w:rFonts w:hint="eastAsia"/>
          <w:bCs/>
          <w:sz w:val="21"/>
          <w:szCs w:val="21"/>
        </w:rPr>
        <w:t>9.1 资格审查资料</w:t>
      </w:r>
    </w:p>
    <w:p w14:paraId="16594473">
      <w:pPr>
        <w:pStyle w:val="13"/>
        <w:spacing w:beforeAutospacing="0" w:afterAutospacing="0" w:line="480" w:lineRule="auto"/>
        <w:ind w:firstLine="470" w:firstLineChars="224"/>
        <w:jc w:val="both"/>
        <w:rPr>
          <w:rFonts w:hint="eastAsia"/>
          <w:bCs/>
          <w:sz w:val="21"/>
          <w:szCs w:val="21"/>
        </w:rPr>
      </w:pPr>
      <w:r>
        <w:rPr>
          <w:rFonts w:hint="eastAsia"/>
          <w:bCs/>
          <w:sz w:val="21"/>
          <w:szCs w:val="21"/>
        </w:rPr>
        <w:t>9.2 评分标准中需提供的证明材料</w:t>
      </w:r>
    </w:p>
    <w:p w14:paraId="79A3B6CE">
      <w:pPr>
        <w:pStyle w:val="13"/>
        <w:spacing w:beforeAutospacing="0" w:afterAutospacing="0" w:line="480" w:lineRule="auto"/>
        <w:ind w:firstLine="470" w:firstLineChars="224"/>
        <w:jc w:val="both"/>
        <w:rPr>
          <w:rFonts w:hint="eastAsia"/>
          <w:bCs/>
          <w:sz w:val="21"/>
          <w:szCs w:val="21"/>
        </w:rPr>
      </w:pPr>
      <w:r>
        <w:rPr>
          <w:rFonts w:hint="eastAsia"/>
          <w:bCs/>
          <w:sz w:val="21"/>
          <w:szCs w:val="21"/>
        </w:rPr>
        <w:t>9.3 供应商认为其他需要提供的证明材料。</w:t>
      </w:r>
    </w:p>
    <w:p w14:paraId="080BE3EC">
      <w:pPr>
        <w:pStyle w:val="8"/>
        <w:snapToGrid w:val="0"/>
        <w:spacing w:before="20" w:after="20" w:line="360" w:lineRule="auto"/>
        <w:jc w:val="center"/>
        <w:rPr>
          <w:rFonts w:hint="eastAsia" w:ascii="宋体" w:hAnsi="宋体" w:cs="宋体"/>
          <w:b w:val="0"/>
          <w:kern w:val="0"/>
        </w:rPr>
      </w:pPr>
      <w:r>
        <w:rPr>
          <w:rFonts w:hint="eastAsia" w:ascii="宋体" w:hAnsi="宋体" w:eastAsia="宋体" w:cs="宋体"/>
          <w:sz w:val="28"/>
          <w:szCs w:val="28"/>
        </w:rPr>
        <w:t xml:space="preserve"> </w:t>
      </w:r>
      <w:bookmarkEnd w:id="89"/>
      <w:bookmarkEnd w:id="90"/>
      <w:bookmarkEnd w:id="91"/>
    </w:p>
    <w:p w14:paraId="4B33830A">
      <w:pPr>
        <w:widowControl/>
        <w:spacing w:line="360" w:lineRule="auto"/>
        <w:ind w:firstLine="7228" w:firstLineChars="2250"/>
        <w:jc w:val="left"/>
        <w:rPr>
          <w:rFonts w:hint="eastAsia" w:ascii="宋体" w:hAnsi="宋体" w:cs="宋体"/>
          <w:b/>
          <w:kern w:val="0"/>
          <w:sz w:val="32"/>
          <w:szCs w:val="32"/>
        </w:rPr>
      </w:pPr>
    </w:p>
    <w:p w14:paraId="1236FA37">
      <w:pPr>
        <w:rPr>
          <w:rFonts w:hint="eastAsia" w:ascii="宋体" w:hAnsi="宋体" w:cs="宋体"/>
          <w:b/>
          <w:kern w:val="0"/>
          <w:sz w:val="32"/>
          <w:szCs w:val="32"/>
        </w:rPr>
      </w:pPr>
      <w:r>
        <w:rPr>
          <w:rFonts w:hint="eastAsia" w:ascii="宋体" w:hAnsi="宋体" w:cs="宋体"/>
          <w:b/>
          <w:kern w:val="0"/>
          <w:sz w:val="32"/>
          <w:szCs w:val="32"/>
        </w:rPr>
        <w:br w:type="page"/>
      </w:r>
    </w:p>
    <w:p w14:paraId="4D82FAF6">
      <w:pPr>
        <w:pStyle w:val="8"/>
        <w:snapToGrid w:val="0"/>
        <w:spacing w:before="20" w:after="20" w:line="360" w:lineRule="auto"/>
        <w:rPr>
          <w:rFonts w:hint="eastAsia" w:ascii="宋体" w:hAnsi="宋体" w:eastAsia="宋体" w:cs="宋体"/>
          <w:sz w:val="28"/>
          <w:szCs w:val="28"/>
        </w:rPr>
      </w:pPr>
      <w:bookmarkStart w:id="92" w:name="_Toc3342"/>
      <w:bookmarkStart w:id="93" w:name="_Toc18105"/>
      <w:bookmarkStart w:id="94" w:name="_Toc24693"/>
      <w:r>
        <w:rPr>
          <w:rFonts w:hint="eastAsia" w:ascii="宋体" w:hAnsi="宋体" w:eastAsia="宋体" w:cs="宋体"/>
          <w:sz w:val="28"/>
          <w:szCs w:val="28"/>
        </w:rPr>
        <w:t>附件9              供 应 商 承 诺 书 （格式）</w:t>
      </w:r>
    </w:p>
    <w:p w14:paraId="34E27BA5">
      <w:pPr>
        <w:rPr>
          <w:rFonts w:hint="eastAsia" w:ascii="宋体" w:hAnsi="宋体" w:cs="宋体"/>
        </w:rPr>
      </w:pPr>
    </w:p>
    <w:p w14:paraId="6FAE3F55">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我院（以下简称甲方）组织的本次采购，在遵守《招标投标法》、《政府采购法》、《反不正当竞争法》和《关于推进招投标监督领域诚信建设的意见》等法律法规的基础上，要求贵方（以下简称乙方）做出如下承诺：</w:t>
      </w:r>
    </w:p>
    <w:p w14:paraId="0AC08A48">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1、遵循公开、公平、公正和诚实信用的原则自愿参加，所提供的一切材料真实、有效、合法。</w:t>
      </w:r>
    </w:p>
    <w:p w14:paraId="17859CF0">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14:paraId="7BE2602D">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3、杜绝利用提供财物或给予其他不正当利益谋取中标的不良行为。</w:t>
      </w:r>
    </w:p>
    <w:p w14:paraId="36909902">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4、不发生其他任何可能影响甲方工作人员公正执行公务或者职务廉洁的行为。</w:t>
      </w:r>
    </w:p>
    <w:p w14:paraId="644AA28A">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5、不参与串标、围标或其他不正当竞争行为；杜绝以虚报资质、业绩或其他弄虚作假等方式骗取中标。</w:t>
      </w:r>
    </w:p>
    <w:p w14:paraId="1E4A668B">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6、响应时，杜绝擅自修改采购文件或技术标准（包括差异表）技术配置的行为。</w:t>
      </w:r>
    </w:p>
    <w:p w14:paraId="274CB73E">
      <w:pPr>
        <w:keepNext w:val="0"/>
        <w:keepLines w:val="0"/>
        <w:pageBreakBefore w:val="0"/>
        <w:kinsoku/>
        <w:wordWrap/>
        <w:overflowPunct/>
        <w:topLinePunct w:val="0"/>
        <w:autoSpaceDE/>
        <w:autoSpaceDN/>
        <w:bidi w:val="0"/>
        <w:adjustRightInd/>
        <w:snapToGrid w:val="0"/>
        <w:spacing w:line="500" w:lineRule="exact"/>
        <w:ind w:firstLine="640"/>
        <w:textAlignment w:val="auto"/>
        <w:rPr>
          <w:rFonts w:hint="eastAsia" w:ascii="宋体" w:hAnsi="宋体" w:cs="宋体"/>
          <w:sz w:val="24"/>
        </w:rPr>
      </w:pPr>
      <w:r>
        <w:rPr>
          <w:rFonts w:hint="eastAsia" w:ascii="宋体" w:hAnsi="宋体" w:cs="宋体"/>
          <w:sz w:val="24"/>
        </w:rPr>
        <w:t>7、严格按照采购、响应文件要求签订合同，不违反法律无故拒签合同，不签订背离合同（或技术协议书）实质性内容的协议。</w:t>
      </w:r>
    </w:p>
    <w:p w14:paraId="451E89B5">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cs="宋体"/>
          <w:sz w:val="24"/>
        </w:rPr>
      </w:pPr>
    </w:p>
    <w:p w14:paraId="6F01D96B">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cs="宋体"/>
          <w:kern w:val="0"/>
          <w:sz w:val="24"/>
        </w:rPr>
      </w:pPr>
      <w:r>
        <w:rPr>
          <w:rFonts w:hint="eastAsia" w:ascii="宋体" w:hAnsi="宋体" w:cs="宋体"/>
          <w:sz w:val="24"/>
        </w:rPr>
        <w:t xml:space="preserve">                                 </w:t>
      </w: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706CCB7D">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法定代表人或委托人（签字或盖章）：      </w:t>
      </w:r>
    </w:p>
    <w:p w14:paraId="18C775D2">
      <w:pPr>
        <w:keepNext w:val="0"/>
        <w:keepLines w:val="0"/>
        <w:pageBreakBefore w:val="0"/>
        <w:kinsoku/>
        <w:wordWrap/>
        <w:overflowPunct/>
        <w:topLinePunct w:val="0"/>
        <w:autoSpaceDE/>
        <w:autoSpaceDN/>
        <w:bidi w:val="0"/>
        <w:adjustRightInd/>
        <w:snapToGrid w:val="0"/>
        <w:spacing w:line="500" w:lineRule="exact"/>
        <w:ind w:right="960"/>
        <w:jc w:val="center"/>
        <w:textAlignment w:val="auto"/>
        <w:rPr>
          <w:rFonts w:hint="eastAsia" w:ascii="宋体" w:hAnsi="宋体" w:cs="宋体"/>
          <w:sz w:val="28"/>
          <w:szCs w:val="28"/>
        </w:rPr>
      </w:pPr>
      <w:r>
        <w:rPr>
          <w:rFonts w:hint="eastAsia" w:ascii="宋体" w:hAnsi="宋体" w:cs="宋体"/>
          <w:sz w:val="24"/>
        </w:rPr>
        <w:t xml:space="preserve">                           日期：       年   月   日</w:t>
      </w:r>
    </w:p>
    <w:p w14:paraId="36FFB30F">
      <w:pPr>
        <w:widowControl/>
        <w:spacing w:line="360" w:lineRule="auto"/>
        <w:ind w:firstLine="4305" w:firstLineChars="2050"/>
        <w:jc w:val="left"/>
        <w:rPr>
          <w:rFonts w:hint="eastAsia" w:ascii="宋体" w:hAnsi="宋体" w:cs="宋体"/>
          <w:kern w:val="0"/>
          <w:szCs w:val="21"/>
        </w:rPr>
      </w:pPr>
    </w:p>
    <w:bookmarkEnd w:id="92"/>
    <w:bookmarkEnd w:id="93"/>
    <w:bookmarkEnd w:id="94"/>
    <w:p w14:paraId="02032A9B">
      <w:pPr>
        <w:pStyle w:val="8"/>
        <w:snapToGrid w:val="0"/>
        <w:spacing w:before="20" w:after="20" w:line="360" w:lineRule="auto"/>
        <w:rPr>
          <w:b w:val="0"/>
          <w:bCs w:val="0"/>
        </w:rPr>
      </w:pPr>
      <w:bookmarkStart w:id="95" w:name="_Toc17966"/>
    </w:p>
    <w:p w14:paraId="7DA02D73">
      <w:pPr>
        <w:rPr>
          <w:rFonts w:hint="eastAsia" w:ascii="宋体" w:hAnsi="宋体" w:cs="宋体"/>
          <w:sz w:val="28"/>
          <w:szCs w:val="28"/>
        </w:rPr>
      </w:pPr>
      <w:bookmarkStart w:id="96" w:name="_Toc13726"/>
      <w:bookmarkStart w:id="97" w:name="_Toc16083"/>
      <w:bookmarkStart w:id="98" w:name="_Toc12888"/>
      <w:r>
        <w:rPr>
          <w:rFonts w:hint="eastAsia" w:ascii="宋体" w:hAnsi="宋体" w:cs="宋体"/>
          <w:sz w:val="28"/>
          <w:szCs w:val="28"/>
        </w:rPr>
        <w:br w:type="page"/>
      </w:r>
    </w:p>
    <w:p w14:paraId="71B4C91C">
      <w:pPr>
        <w:pStyle w:val="8"/>
        <w:snapToGrid w:val="0"/>
        <w:spacing w:before="20" w:after="20" w:line="360" w:lineRule="auto"/>
        <w:rPr>
          <w:rFonts w:hint="eastAsia" w:ascii="宋体" w:hAnsi="宋体" w:cs="宋体"/>
          <w:kern w:val="0"/>
        </w:rPr>
      </w:pPr>
      <w:r>
        <w:rPr>
          <w:rFonts w:hint="eastAsia" w:ascii="宋体" w:hAnsi="宋体" w:eastAsia="宋体" w:cs="宋体"/>
          <w:sz w:val="28"/>
          <w:szCs w:val="28"/>
        </w:rPr>
        <w:t xml:space="preserve">附件10     </w:t>
      </w:r>
      <w:bookmarkEnd w:id="95"/>
      <w:bookmarkEnd w:id="96"/>
      <w:bookmarkEnd w:id="97"/>
      <w:bookmarkEnd w:id="98"/>
      <w:r>
        <w:rPr>
          <w:rFonts w:hint="eastAsia" w:ascii="宋体" w:hAnsi="宋体" w:eastAsia="宋体" w:cs="宋体"/>
          <w:sz w:val="28"/>
          <w:szCs w:val="28"/>
        </w:rPr>
        <w:t xml:space="preserve">        供应商信用承诺函（格式）</w:t>
      </w:r>
    </w:p>
    <w:p w14:paraId="3F943487">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33AFF48A">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00450F47">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7467D2A8">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4E097C41">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5CF0B030">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8A414D4">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69BFD85D">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7FDC4F55">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41DC7121">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40ECE591">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5B2FB8B3">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50CDA0BD">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7B9C5A35">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383DA482">
      <w:pPr>
        <w:snapToGrid w:val="0"/>
        <w:spacing w:line="360" w:lineRule="auto"/>
        <w:ind w:firstLine="641"/>
        <w:rPr>
          <w:rFonts w:hint="eastAsia" w:ascii="宋体" w:hAnsi="宋体" w:cs="宋体"/>
          <w:szCs w:val="21"/>
        </w:rPr>
      </w:pPr>
    </w:p>
    <w:p w14:paraId="2FDCCF71">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450EEF14">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68F6A19D">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58A2EB96">
      <w:pPr>
        <w:snapToGrid w:val="0"/>
        <w:spacing w:line="360" w:lineRule="auto"/>
        <w:ind w:firstLine="641"/>
        <w:rPr>
          <w:rFonts w:hint="eastAsia" w:ascii="宋体" w:hAnsi="宋体" w:cs="宋体"/>
          <w:szCs w:val="21"/>
        </w:rPr>
      </w:pPr>
    </w:p>
    <w:p w14:paraId="7D34B460">
      <w:pPr>
        <w:snapToGrid w:val="0"/>
        <w:spacing w:line="360" w:lineRule="auto"/>
        <w:ind w:firstLine="641"/>
        <w:rPr>
          <w:rFonts w:hint="eastAsia" w:ascii="宋体" w:hAnsi="宋体" w:cs="宋体"/>
          <w:szCs w:val="21"/>
        </w:rPr>
      </w:pPr>
    </w:p>
    <w:p w14:paraId="69F8D3BD">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09DFE616">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D8A8719">
      <w:pPr>
        <w:pStyle w:val="13"/>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766DB141">
      <w:pPr>
        <w:pStyle w:val="8"/>
        <w:snapToGrid w:val="0"/>
        <w:spacing w:before="20" w:after="20" w:line="360" w:lineRule="auto"/>
        <w:jc w:val="center"/>
        <w:rPr>
          <w:rFonts w:hint="eastAsia" w:ascii="宋体" w:hAnsi="宋体" w:eastAsia="宋体" w:cs="宋体"/>
        </w:rPr>
      </w:pPr>
      <w:bookmarkStart w:id="99" w:name="_Toc25094"/>
      <w:bookmarkStart w:id="100" w:name="_Toc23394"/>
      <w:bookmarkStart w:id="101" w:name="_Toc31685"/>
      <w:r>
        <w:rPr>
          <w:rFonts w:hint="eastAsia" w:ascii="宋体" w:hAnsi="宋体" w:eastAsia="宋体" w:cs="宋体"/>
        </w:rPr>
        <w:t>供应商认为有必要的其他资料</w:t>
      </w:r>
      <w:bookmarkEnd w:id="99"/>
      <w:bookmarkEnd w:id="100"/>
      <w:bookmarkEnd w:id="101"/>
    </w:p>
    <w:p w14:paraId="69360F75">
      <w:pPr>
        <w:pStyle w:val="13"/>
        <w:spacing w:beforeAutospacing="0" w:afterAutospacing="0" w:line="460" w:lineRule="atLeast"/>
        <w:jc w:val="both"/>
        <w:rPr>
          <w:rFonts w:hint="eastAsia"/>
          <w:b/>
          <w:bCs/>
          <w:sz w:val="28"/>
          <w:szCs w:val="28"/>
        </w:rPr>
      </w:pPr>
      <w:r>
        <w:rPr>
          <w:rFonts w:hint="eastAsia"/>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sectPr>
      <w:footerReference r:id="rId5"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Tahoma"/>
    <w:panose1 w:val="00000000000000000000"/>
    <w:charset w:val="00"/>
    <w:family w:val="auto"/>
    <w:pitch w:val="default"/>
    <w:sig w:usb0="00000000" w:usb1="00000000" w:usb2="00000000" w:usb3="00000000" w:csb0="0000002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EF65">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posOffset>2810510</wp:posOffset>
              </wp:positionH>
              <wp:positionV relativeFrom="paragraph">
                <wp:posOffset>14605</wp:posOffset>
              </wp:positionV>
              <wp:extent cx="171450" cy="2286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71450" cy="228600"/>
                      </a:xfrm>
                      <a:prstGeom prst="rect">
                        <a:avLst/>
                      </a:prstGeom>
                      <a:noFill/>
                      <a:ln w="6350">
                        <a:noFill/>
                      </a:ln>
                    </wps:spPr>
                    <wps:txbx>
                      <w:txbxContent>
                        <w:p w14:paraId="34FA635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square" lIns="0" tIns="0" rIns="0" bIns="0" upright="1">
                      <a:noAutofit/>
                    </wps:bodyPr>
                  </wps:wsp>
                </a:graphicData>
              </a:graphic>
            </wp:anchor>
          </w:drawing>
        </mc:Choice>
        <mc:Fallback>
          <w:pict>
            <v:shape id="文本框 1025" o:spid="_x0000_s1026" o:spt="202" type="#_x0000_t202" style="position:absolute;left:0pt;margin-left:221.3pt;margin-top:1.15pt;height:18pt;width:13.5pt;mso-position-horizontal-relative:margin;z-index:251660288;mso-width-relative:page;mso-height-relative:page;" filled="f" stroked="f" coordsize="21600,21600" o:gfxdata="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HmQe1wAAAAgBAAAPAAAAAAAAAAEA&#10;IAAAACIAAABkcnMvZG93bnJldi54bWxQSwECFAAUAAAACACHTuJAI11otdcBAAClAwAADgAAAAAA&#10;AAABACAAAAAmAQAAZHJzL2Uyb0RvYy54bWxQSwUGAAAAAAYABgBZAQAAbwUAAAAA&#10;">
              <v:fill on="f" focussize="0,0"/>
              <v:stroke on="f" weight="0.5pt"/>
              <v:imagedata o:title=""/>
              <o:lock v:ext="edit" aspectratio="f"/>
              <v:textbox inset="0mm,0mm,0mm,0mm">
                <w:txbxContent>
                  <w:p w14:paraId="34FA635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26CC">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AE364BA">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AE364BA">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7404051">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23BB">
    <w:pPr>
      <w:pStyle w:val="25"/>
    </w:pPr>
    <w:r>
      <w:rPr>
        <w:rFonts w:hint="eastAsia"/>
      </w:rPr>
      <w:t xml:space="preserve">                                                   驻马店市中心医院妇儿院区零星维修改造项目采购文件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pStyle w:val="89"/>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3654"/>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1B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0EF1"/>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26406"/>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063"/>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0E4A"/>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C7FEA"/>
    <w:rsid w:val="004D5FCF"/>
    <w:rsid w:val="004D751C"/>
    <w:rsid w:val="004D7B42"/>
    <w:rsid w:val="004F0462"/>
    <w:rsid w:val="00503E97"/>
    <w:rsid w:val="0050638A"/>
    <w:rsid w:val="005068C0"/>
    <w:rsid w:val="00506CF4"/>
    <w:rsid w:val="00512A1F"/>
    <w:rsid w:val="005226EE"/>
    <w:rsid w:val="00524147"/>
    <w:rsid w:val="00525D5A"/>
    <w:rsid w:val="0052705E"/>
    <w:rsid w:val="00527303"/>
    <w:rsid w:val="00531A15"/>
    <w:rsid w:val="00536761"/>
    <w:rsid w:val="0054003D"/>
    <w:rsid w:val="00543694"/>
    <w:rsid w:val="00545EBC"/>
    <w:rsid w:val="00551B96"/>
    <w:rsid w:val="00552CFD"/>
    <w:rsid w:val="005537EC"/>
    <w:rsid w:val="00561DC8"/>
    <w:rsid w:val="00563FCD"/>
    <w:rsid w:val="00567B6D"/>
    <w:rsid w:val="0057221A"/>
    <w:rsid w:val="00574F1C"/>
    <w:rsid w:val="00575874"/>
    <w:rsid w:val="00580C48"/>
    <w:rsid w:val="00583F9C"/>
    <w:rsid w:val="005867C0"/>
    <w:rsid w:val="00586B69"/>
    <w:rsid w:val="00587007"/>
    <w:rsid w:val="005916D7"/>
    <w:rsid w:val="00592A6D"/>
    <w:rsid w:val="005946C4"/>
    <w:rsid w:val="00595847"/>
    <w:rsid w:val="005A01F3"/>
    <w:rsid w:val="005A466D"/>
    <w:rsid w:val="005A783C"/>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5F40EA"/>
    <w:rsid w:val="00600486"/>
    <w:rsid w:val="006026D1"/>
    <w:rsid w:val="006026DE"/>
    <w:rsid w:val="00605665"/>
    <w:rsid w:val="00606A63"/>
    <w:rsid w:val="006134B6"/>
    <w:rsid w:val="00622261"/>
    <w:rsid w:val="00627850"/>
    <w:rsid w:val="00627DC7"/>
    <w:rsid w:val="00632751"/>
    <w:rsid w:val="006328AC"/>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CF3"/>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23BA9"/>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23C"/>
    <w:rsid w:val="00991644"/>
    <w:rsid w:val="00991ADF"/>
    <w:rsid w:val="009923FC"/>
    <w:rsid w:val="00996E4C"/>
    <w:rsid w:val="00997337"/>
    <w:rsid w:val="009A0964"/>
    <w:rsid w:val="009A0F72"/>
    <w:rsid w:val="009A25B4"/>
    <w:rsid w:val="009A4634"/>
    <w:rsid w:val="009A541B"/>
    <w:rsid w:val="009B2766"/>
    <w:rsid w:val="009B41D3"/>
    <w:rsid w:val="009B46DB"/>
    <w:rsid w:val="009C113C"/>
    <w:rsid w:val="009C2AC3"/>
    <w:rsid w:val="009C491F"/>
    <w:rsid w:val="009C4A96"/>
    <w:rsid w:val="009C78C9"/>
    <w:rsid w:val="009C7E8F"/>
    <w:rsid w:val="009D01D7"/>
    <w:rsid w:val="009D0F10"/>
    <w:rsid w:val="009D1343"/>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18F"/>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77F26"/>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37C6"/>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27CC1"/>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B33"/>
    <w:rsid w:val="00C90C23"/>
    <w:rsid w:val="00C90E22"/>
    <w:rsid w:val="00C91556"/>
    <w:rsid w:val="00C915EB"/>
    <w:rsid w:val="00C943E0"/>
    <w:rsid w:val="00CA2EDD"/>
    <w:rsid w:val="00CA4EFF"/>
    <w:rsid w:val="00CA61E0"/>
    <w:rsid w:val="00CB1EB4"/>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26CC"/>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008"/>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2F507B"/>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92654A"/>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397409"/>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DE3B0C"/>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E433A4"/>
    <w:rsid w:val="15FF1F8C"/>
    <w:rsid w:val="16005D04"/>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32C32"/>
    <w:rsid w:val="176D5FB2"/>
    <w:rsid w:val="17793FC0"/>
    <w:rsid w:val="179D33A9"/>
    <w:rsid w:val="179F2E61"/>
    <w:rsid w:val="17A06264"/>
    <w:rsid w:val="17B1375A"/>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D0120"/>
    <w:rsid w:val="18CE20EA"/>
    <w:rsid w:val="18DB2CD8"/>
    <w:rsid w:val="18DF60A5"/>
    <w:rsid w:val="18F67868"/>
    <w:rsid w:val="190B2D88"/>
    <w:rsid w:val="190E6B63"/>
    <w:rsid w:val="19123928"/>
    <w:rsid w:val="19194264"/>
    <w:rsid w:val="192341E3"/>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2375A"/>
    <w:rsid w:val="1E840DA4"/>
    <w:rsid w:val="1EA5444C"/>
    <w:rsid w:val="1EA5569B"/>
    <w:rsid w:val="1EB350EF"/>
    <w:rsid w:val="1EC21749"/>
    <w:rsid w:val="1EEB7C4E"/>
    <w:rsid w:val="1F025000"/>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02549"/>
    <w:rsid w:val="1FB43DE7"/>
    <w:rsid w:val="1FB64FF9"/>
    <w:rsid w:val="1FC11109"/>
    <w:rsid w:val="1FD91AA0"/>
    <w:rsid w:val="1FDA3223"/>
    <w:rsid w:val="1FDE2C12"/>
    <w:rsid w:val="1FE0525A"/>
    <w:rsid w:val="1FEF08C8"/>
    <w:rsid w:val="1FF72E6A"/>
    <w:rsid w:val="1FFB6F12"/>
    <w:rsid w:val="201B3ED4"/>
    <w:rsid w:val="20230F6D"/>
    <w:rsid w:val="20310B02"/>
    <w:rsid w:val="20344F28"/>
    <w:rsid w:val="2041412B"/>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C029C6"/>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140E84"/>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55556"/>
    <w:rsid w:val="26395046"/>
    <w:rsid w:val="264B0BA4"/>
    <w:rsid w:val="264F4111"/>
    <w:rsid w:val="265E0AEC"/>
    <w:rsid w:val="2661459D"/>
    <w:rsid w:val="268C5256"/>
    <w:rsid w:val="268E455B"/>
    <w:rsid w:val="26912B30"/>
    <w:rsid w:val="269772F0"/>
    <w:rsid w:val="26997893"/>
    <w:rsid w:val="26A050C5"/>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A44ECD"/>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9A62D0"/>
    <w:rsid w:val="2AA35184"/>
    <w:rsid w:val="2AAB4E76"/>
    <w:rsid w:val="2AB63ABC"/>
    <w:rsid w:val="2AB63D0A"/>
    <w:rsid w:val="2AC31382"/>
    <w:rsid w:val="2AD046CD"/>
    <w:rsid w:val="2AD0584D"/>
    <w:rsid w:val="2AD549F8"/>
    <w:rsid w:val="2AEA74E5"/>
    <w:rsid w:val="2AFB4FC0"/>
    <w:rsid w:val="2B003D00"/>
    <w:rsid w:val="2B074D5E"/>
    <w:rsid w:val="2B0945C6"/>
    <w:rsid w:val="2B0A6991"/>
    <w:rsid w:val="2B100BA9"/>
    <w:rsid w:val="2B1B5825"/>
    <w:rsid w:val="2B1E3AFC"/>
    <w:rsid w:val="2B4A5600"/>
    <w:rsid w:val="2B574FD9"/>
    <w:rsid w:val="2B642979"/>
    <w:rsid w:val="2B681F2A"/>
    <w:rsid w:val="2B8D373E"/>
    <w:rsid w:val="2B9E4F56"/>
    <w:rsid w:val="2BAA3B4C"/>
    <w:rsid w:val="2BB138D1"/>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4045BE"/>
    <w:rsid w:val="334A3B2A"/>
    <w:rsid w:val="336057C5"/>
    <w:rsid w:val="3365592E"/>
    <w:rsid w:val="336A31F3"/>
    <w:rsid w:val="336F6533"/>
    <w:rsid w:val="337E5E2F"/>
    <w:rsid w:val="3384610D"/>
    <w:rsid w:val="339935C8"/>
    <w:rsid w:val="33AA5979"/>
    <w:rsid w:val="33C03E90"/>
    <w:rsid w:val="33C96649"/>
    <w:rsid w:val="33CC3D88"/>
    <w:rsid w:val="33D939C5"/>
    <w:rsid w:val="33DD0306"/>
    <w:rsid w:val="33FD722F"/>
    <w:rsid w:val="3400362D"/>
    <w:rsid w:val="340B09C5"/>
    <w:rsid w:val="341E4CAB"/>
    <w:rsid w:val="34571F2B"/>
    <w:rsid w:val="34584EE2"/>
    <w:rsid w:val="347A1C51"/>
    <w:rsid w:val="347D373F"/>
    <w:rsid w:val="34922A93"/>
    <w:rsid w:val="34956481"/>
    <w:rsid w:val="34A35871"/>
    <w:rsid w:val="34C06C9D"/>
    <w:rsid w:val="34C46423"/>
    <w:rsid w:val="34DB140D"/>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27713D"/>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A87E0A"/>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0F500F"/>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26E2C"/>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3A1C8F"/>
    <w:rsid w:val="40425879"/>
    <w:rsid w:val="405C1C05"/>
    <w:rsid w:val="405E3BCF"/>
    <w:rsid w:val="406B3DDC"/>
    <w:rsid w:val="40765D15"/>
    <w:rsid w:val="407B4FC1"/>
    <w:rsid w:val="407F2DE9"/>
    <w:rsid w:val="40866C82"/>
    <w:rsid w:val="40920B61"/>
    <w:rsid w:val="40953369"/>
    <w:rsid w:val="40991379"/>
    <w:rsid w:val="409B3C3D"/>
    <w:rsid w:val="409F1D81"/>
    <w:rsid w:val="409F7D44"/>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943F5"/>
    <w:rsid w:val="430D368B"/>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331971"/>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5C6435"/>
    <w:rsid w:val="516273A1"/>
    <w:rsid w:val="51764AF1"/>
    <w:rsid w:val="517F7502"/>
    <w:rsid w:val="51884D75"/>
    <w:rsid w:val="51996737"/>
    <w:rsid w:val="51B408B8"/>
    <w:rsid w:val="51B80848"/>
    <w:rsid w:val="51CA0754"/>
    <w:rsid w:val="51CC0868"/>
    <w:rsid w:val="51CE72C5"/>
    <w:rsid w:val="51D5340F"/>
    <w:rsid w:val="520E2E26"/>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37A20"/>
    <w:rsid w:val="55B02DF1"/>
    <w:rsid w:val="55B57FD9"/>
    <w:rsid w:val="55D47A00"/>
    <w:rsid w:val="55D5456D"/>
    <w:rsid w:val="55DC290C"/>
    <w:rsid w:val="55E71B19"/>
    <w:rsid w:val="55EA5D64"/>
    <w:rsid w:val="55F01FA1"/>
    <w:rsid w:val="55FC19B9"/>
    <w:rsid w:val="56130B60"/>
    <w:rsid w:val="56226294"/>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2F7A5F"/>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24261"/>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91D5C"/>
    <w:rsid w:val="5B9A2B59"/>
    <w:rsid w:val="5BA652E6"/>
    <w:rsid w:val="5BC0085A"/>
    <w:rsid w:val="5BE03293"/>
    <w:rsid w:val="5BF03D58"/>
    <w:rsid w:val="5BF20AFB"/>
    <w:rsid w:val="5C14137F"/>
    <w:rsid w:val="5C1A6BB2"/>
    <w:rsid w:val="5C306D31"/>
    <w:rsid w:val="5C37233A"/>
    <w:rsid w:val="5C4E28F2"/>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808F3"/>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2C057D"/>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AC2121"/>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454EE"/>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4E24673"/>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B7181F"/>
    <w:rsid w:val="68F25680"/>
    <w:rsid w:val="68F42063"/>
    <w:rsid w:val="69074555"/>
    <w:rsid w:val="690E07C7"/>
    <w:rsid w:val="69140A20"/>
    <w:rsid w:val="69236A65"/>
    <w:rsid w:val="692616D2"/>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8E65B0"/>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657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D7115"/>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25931"/>
    <w:rsid w:val="7797109C"/>
    <w:rsid w:val="779A2A38"/>
    <w:rsid w:val="77B4450A"/>
    <w:rsid w:val="77B46E73"/>
    <w:rsid w:val="77DB72D8"/>
    <w:rsid w:val="77E37A12"/>
    <w:rsid w:val="77F42148"/>
    <w:rsid w:val="77FE3468"/>
    <w:rsid w:val="78250553"/>
    <w:rsid w:val="783B17B1"/>
    <w:rsid w:val="784E2046"/>
    <w:rsid w:val="78546F0C"/>
    <w:rsid w:val="78553F8B"/>
    <w:rsid w:val="786778FE"/>
    <w:rsid w:val="78921F38"/>
    <w:rsid w:val="789D588A"/>
    <w:rsid w:val="78B65E3A"/>
    <w:rsid w:val="78B813C8"/>
    <w:rsid w:val="78E0091E"/>
    <w:rsid w:val="78EE1C79"/>
    <w:rsid w:val="78F85605"/>
    <w:rsid w:val="78FA66FA"/>
    <w:rsid w:val="79246A5D"/>
    <w:rsid w:val="79345B6A"/>
    <w:rsid w:val="79424F6E"/>
    <w:rsid w:val="794E03ED"/>
    <w:rsid w:val="795F3706"/>
    <w:rsid w:val="797239CC"/>
    <w:rsid w:val="797F54AB"/>
    <w:rsid w:val="79831473"/>
    <w:rsid w:val="79983E9C"/>
    <w:rsid w:val="7999527A"/>
    <w:rsid w:val="799E4AD3"/>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6317BF"/>
    <w:rsid w:val="7F951B40"/>
    <w:rsid w:val="7FA501CC"/>
    <w:rsid w:val="7FA820A8"/>
    <w:rsid w:val="7FAF2DF8"/>
    <w:rsid w:val="7FB90D50"/>
    <w:rsid w:val="7FBE053E"/>
    <w:rsid w:val="7FBF10B0"/>
    <w:rsid w:val="7FD8234F"/>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link w:val="97"/>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link w:val="98"/>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link w:val="99"/>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widowControl/>
      <w:numPr>
        <w:ilvl w:val="0"/>
        <w:numId w:val="1"/>
      </w:numPr>
      <w:snapToGrid w:val="0"/>
      <w:spacing w:line="360" w:lineRule="auto"/>
      <w:ind w:firstLine="420"/>
      <w:jc w:val="left"/>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标题 2 字符"/>
    <w:basedOn w:val="36"/>
    <w:link w:val="8"/>
    <w:qFormat/>
    <w:uiPriority w:val="0"/>
    <w:rPr>
      <w:rFonts w:ascii="Arial" w:hAnsi="Arial" w:eastAsia="黑体"/>
      <w:b/>
      <w:bCs/>
      <w:kern w:val="2"/>
      <w:sz w:val="32"/>
      <w:szCs w:val="32"/>
    </w:rPr>
  </w:style>
  <w:style w:type="character" w:customStyle="1" w:styleId="98">
    <w:name w:val="正文文本缩进 字符"/>
    <w:basedOn w:val="36"/>
    <w:link w:val="7"/>
    <w:qFormat/>
    <w:uiPriority w:val="0"/>
    <w:rPr>
      <w:rFonts w:ascii="宋体" w:hAnsi="宋体" w:cs="宋体"/>
      <w:sz w:val="24"/>
      <w:szCs w:val="24"/>
    </w:rPr>
  </w:style>
  <w:style w:type="character" w:customStyle="1" w:styleId="99">
    <w:name w:val="正文文本首行缩进 字符"/>
    <w:basedOn w:val="75"/>
    <w:link w:val="3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17249</Words>
  <Characters>18043</Characters>
  <Lines>145</Lines>
  <Paragraphs>40</Paragraphs>
  <TotalTime>16</TotalTime>
  <ScaleCrop>false</ScaleCrop>
  <LinksUpToDate>false</LinksUpToDate>
  <CharactersWithSpaces>19208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2026-01-06T07:53:31Z</dcterms:modified>
  <dc:title>驻马店市政府采购货物项目</dc:title>
  <cp:revision>1103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