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19"/>
        <w:keepNext w:val="0"/>
        <w:keepLines w:val="0"/>
        <w:pageBreakBefore w:val="0"/>
        <w:widowControl w:val="0"/>
        <w:kinsoku/>
        <w:wordWrap/>
        <w:overflowPunct/>
        <w:topLinePunct w:val="0"/>
        <w:autoSpaceDE/>
        <w:autoSpaceDN/>
        <w:bidi w:val="0"/>
        <w:adjustRightInd/>
        <w:snapToGrid/>
        <w:spacing w:before="157" w:beforeLines="50" w:line="240" w:lineRule="auto"/>
        <w:ind w:left="0" w:leftChars="-95" w:right="-149" w:rightChars="-71" w:hanging="199" w:hangingChars="45"/>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驻马店市中心医院免陪照护服务采购项目</w:t>
      </w:r>
    </w:p>
    <w:p w14:paraId="72164425">
      <w:pPr>
        <w:pStyle w:val="19"/>
        <w:bidi w:val="0"/>
        <w:jc w:val="center"/>
        <w:rPr>
          <w:rStyle w:val="44"/>
          <w:rFonts w:hint="eastAsia" w:ascii="宋体" w:hAnsi="宋体" w:eastAsia="宋体" w:cs="宋体"/>
          <w:b/>
          <w:bCs/>
          <w:color w:val="auto"/>
          <w:sz w:val="44"/>
          <w:szCs w:val="44"/>
          <w:highlight w:val="none"/>
        </w:rPr>
      </w:pPr>
    </w:p>
    <w:p w14:paraId="2962C736">
      <w:pPr>
        <w:pStyle w:val="19"/>
        <w:bidi w:val="0"/>
        <w:jc w:val="center"/>
        <w:rPr>
          <w:rStyle w:val="44"/>
          <w:rFonts w:hint="eastAsia" w:ascii="宋体" w:hAnsi="宋体" w:eastAsia="宋体" w:cs="宋体"/>
          <w:b/>
          <w:bCs/>
          <w:color w:val="auto"/>
          <w:sz w:val="44"/>
          <w:szCs w:val="44"/>
          <w:highlight w:val="none"/>
        </w:rPr>
      </w:pPr>
    </w:p>
    <w:p w14:paraId="44E388B3">
      <w:pPr>
        <w:pStyle w:val="19"/>
        <w:bidi w:val="0"/>
        <w:jc w:val="center"/>
        <w:rPr>
          <w:rStyle w:val="44"/>
          <w:rFonts w:hint="eastAsia" w:ascii="宋体" w:hAnsi="宋体" w:eastAsia="宋体" w:cs="宋体"/>
          <w:b/>
          <w:bCs/>
          <w:color w:val="auto"/>
          <w:sz w:val="48"/>
          <w:szCs w:val="48"/>
          <w:highlight w:val="none"/>
        </w:rPr>
      </w:pPr>
    </w:p>
    <w:p w14:paraId="158E927F">
      <w:pPr>
        <w:pStyle w:val="19"/>
        <w:bidi w:val="0"/>
        <w:jc w:val="center"/>
        <w:rPr>
          <w:rStyle w:val="44"/>
          <w:rFonts w:hint="eastAsia" w:ascii="宋体" w:hAnsi="宋体" w:eastAsia="宋体" w:cs="宋体"/>
          <w:b/>
          <w:bCs/>
          <w:color w:val="auto"/>
          <w:sz w:val="48"/>
          <w:szCs w:val="48"/>
          <w:highlight w:val="none"/>
        </w:rPr>
      </w:pPr>
    </w:p>
    <w:p w14:paraId="5ABC8E99">
      <w:pPr>
        <w:pStyle w:val="19"/>
        <w:bidi w:val="0"/>
        <w:jc w:val="center"/>
        <w:rPr>
          <w:rStyle w:val="44"/>
          <w:rFonts w:hint="eastAsia" w:ascii="宋体" w:hAnsi="宋体" w:eastAsia="宋体" w:cs="宋体"/>
          <w:b/>
          <w:bCs/>
          <w:color w:val="auto"/>
          <w:sz w:val="48"/>
          <w:szCs w:val="48"/>
          <w:highlight w:val="none"/>
        </w:rPr>
      </w:pPr>
      <w:r>
        <w:rPr>
          <w:rStyle w:val="44"/>
          <w:rFonts w:hint="eastAsia" w:cs="宋体"/>
          <w:b/>
          <w:bCs/>
          <w:color w:val="auto"/>
          <w:sz w:val="52"/>
          <w:szCs w:val="52"/>
          <w:highlight w:val="none"/>
          <w:lang w:val="en-US" w:eastAsia="zh-CN"/>
        </w:rPr>
        <w:t>竞争性磋商</w:t>
      </w:r>
      <w:r>
        <w:rPr>
          <w:rStyle w:val="44"/>
          <w:rFonts w:hint="eastAsia" w:ascii="宋体" w:hAnsi="宋体" w:eastAsia="宋体" w:cs="宋体"/>
          <w:b/>
          <w:bCs/>
          <w:color w:val="auto"/>
          <w:sz w:val="52"/>
          <w:szCs w:val="52"/>
          <w:highlight w:val="none"/>
        </w:rPr>
        <w:t>文件</w:t>
      </w:r>
    </w:p>
    <w:p w14:paraId="20826E73">
      <w:pPr>
        <w:pStyle w:val="19"/>
        <w:bidi w:val="0"/>
        <w:jc w:val="center"/>
        <w:rPr>
          <w:rStyle w:val="44"/>
          <w:rFonts w:hint="eastAsia" w:ascii="宋体" w:hAnsi="宋体" w:eastAsia="宋体" w:cs="宋体"/>
          <w:b/>
          <w:bCs/>
          <w:color w:val="auto"/>
          <w:sz w:val="48"/>
          <w:szCs w:val="48"/>
          <w:highlight w:val="none"/>
        </w:rPr>
      </w:pPr>
    </w:p>
    <w:p w14:paraId="18181E0E">
      <w:pPr>
        <w:pStyle w:val="19"/>
        <w:bidi w:val="0"/>
        <w:jc w:val="center"/>
        <w:rPr>
          <w:rStyle w:val="44"/>
          <w:rFonts w:hint="eastAsia" w:ascii="宋体" w:hAnsi="宋体" w:eastAsia="宋体" w:cs="宋体"/>
          <w:b/>
          <w:bCs/>
          <w:color w:val="auto"/>
          <w:sz w:val="48"/>
          <w:szCs w:val="48"/>
          <w:highlight w:val="none"/>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3"/>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left="0" w:leftChars="0" w:firstLine="1062" w:firstLineChars="311"/>
        <w:jc w:val="left"/>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left="0" w:leftChars="0" w:firstLine="1062" w:firstLineChars="311"/>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采购代理机构：河南省伟信招标管理咨询有限公司</w:t>
      </w:r>
    </w:p>
    <w:p w14:paraId="4FCBE59C">
      <w:pPr>
        <w:tabs>
          <w:tab w:val="left" w:pos="2700"/>
          <w:tab w:val="left" w:pos="2880"/>
          <w:tab w:val="left" w:pos="3060"/>
          <w:tab w:val="left" w:pos="7560"/>
        </w:tabs>
        <w:snapToGrid w:val="0"/>
        <w:spacing w:line="480" w:lineRule="auto"/>
        <w:ind w:left="0" w:leftChars="0" w:firstLine="1062" w:firstLineChars="311"/>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日        期：202</w:t>
      </w:r>
      <w:r>
        <w:rPr>
          <w:rFonts w:hint="eastAsia" w:ascii="宋体" w:hAnsi="宋体" w:cs="宋体"/>
          <w:b/>
          <w:bCs/>
          <w:color w:val="auto"/>
          <w:spacing w:val="0"/>
          <w:sz w:val="34"/>
          <w:szCs w:val="34"/>
          <w:highlight w:val="none"/>
          <w:lang w:val="en-US" w:eastAsia="zh-CN"/>
        </w:rPr>
        <w:t>6</w:t>
      </w:r>
      <w:r>
        <w:rPr>
          <w:rFonts w:hint="eastAsia" w:ascii="宋体" w:hAnsi="宋体" w:eastAsia="宋体" w:cs="宋体"/>
          <w:b/>
          <w:bCs/>
          <w:color w:val="auto"/>
          <w:spacing w:val="0"/>
          <w:sz w:val="34"/>
          <w:szCs w:val="34"/>
          <w:highlight w:val="none"/>
          <w:lang w:val="en-US" w:eastAsia="zh-CN"/>
        </w:rPr>
        <w:t>年</w:t>
      </w:r>
      <w:r>
        <w:rPr>
          <w:rFonts w:hint="eastAsia" w:ascii="宋体" w:hAnsi="宋体" w:cs="宋体"/>
          <w:b/>
          <w:bCs/>
          <w:color w:val="auto"/>
          <w:spacing w:val="0"/>
          <w:sz w:val="34"/>
          <w:szCs w:val="34"/>
          <w:highlight w:val="none"/>
          <w:lang w:val="en-US" w:eastAsia="zh-CN"/>
        </w:rPr>
        <w:t>1</w:t>
      </w:r>
      <w:r>
        <w:rPr>
          <w:rFonts w:hint="eastAsia" w:ascii="宋体" w:hAnsi="宋体" w:eastAsia="宋体" w:cs="宋体"/>
          <w:b/>
          <w:bCs/>
          <w:color w:val="auto"/>
          <w:spacing w:val="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7"/>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before="161" w:beforeLines="50"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驻马店市中心医院免陪照护服务采购项目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免陪照护服务采购项目 </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驻马店市中心医院免陪照护服务采购项目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662063B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480000元；</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4、服务期限：一年</w:t>
      </w:r>
    </w:p>
    <w:p w14:paraId="686E7A8C">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cs="宋体"/>
          <w:color w:val="auto"/>
          <w:szCs w:val="21"/>
          <w:highlight w:val="none"/>
          <w:shd w:val="clear" w:color="auto" w:fill="FFFFFF"/>
          <w:lang w:val="en-US" w:eastAsia="zh-CN"/>
        </w:rPr>
        <w:t>符合现行国家、省、市地方相关规范和标准，满足磋商文件规定标准</w:t>
      </w:r>
      <w:r>
        <w:rPr>
          <w:rFonts w:hint="eastAsia" w:ascii="宋体" w:hAnsi="宋体" w:eastAsia="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27704"/>
      <w:bookmarkStart w:id="6" w:name="_Toc16639"/>
      <w:bookmarkStart w:id="7" w:name="_Toc23626"/>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23395"/>
      <w:bookmarkStart w:id="9" w:name="_Toc9562"/>
      <w:bookmarkStart w:id="10" w:name="_Toc30643"/>
      <w:bookmarkStart w:id="11" w:name="_Toc7823"/>
      <w:bookmarkStart w:id="12" w:name="_Toc30971"/>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w:t>
      </w:r>
      <w:bookmarkStart w:id="101" w:name="_GoBack"/>
      <w:bookmarkEnd w:id="101"/>
      <w:r>
        <w:rPr>
          <w:rFonts w:hint="eastAsia" w:ascii="宋体" w:hAnsi="宋体" w:eastAsia="宋体" w:cs="宋体"/>
          <w:color w:val="auto"/>
          <w:szCs w:val="21"/>
          <w:highlight w:val="none"/>
          <w:shd w:val="clear" w:color="auto" w:fill="FFFFFF"/>
          <w:lang w:val="en-US" w:eastAsia="zh-CN"/>
        </w:rPr>
        <w:t>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盖公章，</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w:t>
      </w:r>
      <w:r>
        <w:rPr>
          <w:rFonts w:hint="eastAsia" w:ascii="宋体" w:hAnsi="宋体" w:cs="宋体"/>
          <w:color w:val="000000" w:themeColor="text1"/>
          <w:kern w:val="0"/>
          <w:szCs w:val="21"/>
          <w:highlight w:val="none"/>
          <w:lang w:val="en-US" w:eastAsia="zh-CN"/>
          <w14:textFill>
            <w14:solidFill>
              <w14:schemeClr w14:val="tx1"/>
            </w14:solidFill>
          </w14:textFill>
        </w:rPr>
        <w:t>并加盖公章</w:t>
      </w:r>
      <w:r>
        <w:rPr>
          <w:rFonts w:hint="eastAsia" w:ascii="宋体" w:hAnsi="宋体" w:eastAsia="宋体" w:cs="宋体"/>
          <w:color w:val="000000" w:themeColor="text1"/>
          <w:kern w:val="0"/>
          <w:szCs w:val="21"/>
          <w:highlight w:val="none"/>
          <w:lang w:val="en-US" w:eastAsia="zh-CN"/>
          <w14:textFill>
            <w14:solidFill>
              <w14:schemeClr w14:val="tx1"/>
            </w14:solidFill>
          </w14:textFill>
        </w:rPr>
        <w:t>（需包含公司基本信息、股东信息及股权变更信息）或提供承诺</w:t>
      </w:r>
      <w:r>
        <w:rPr>
          <w:rFonts w:hint="eastAsia" w:ascii="宋体" w:hAnsi="宋体" w:cs="宋体"/>
          <w:color w:val="000000" w:themeColor="text1"/>
          <w:kern w:val="0"/>
          <w:szCs w:val="21"/>
          <w:highlight w:val="none"/>
          <w:lang w:val="en-US" w:eastAsia="zh-CN"/>
          <w14:textFill>
            <w14:solidFill>
              <w14:schemeClr w14:val="tx1"/>
            </w14:solidFill>
          </w14:textFill>
        </w:rPr>
        <w:t>函</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）。一经发现，将导致投标同时被拒绝</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w:t>
      </w:r>
    </w:p>
    <w:p w14:paraId="523822F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t>三、获取</w:t>
      </w:r>
      <w:bookmarkEnd w:id="8"/>
      <w:bookmarkEnd w:id="9"/>
      <w:bookmarkEnd w:id="10"/>
      <w:bookmarkEnd w:id="11"/>
      <w:bookmarkEnd w:id="12"/>
      <w:r>
        <w:rPr>
          <w:rFonts w:hint="eastAsia" w:ascii="宋体" w:hAnsi="宋体" w:cs="宋体"/>
          <w:b/>
          <w:bCs/>
          <w:color w:val="000000" w:themeColor="text1"/>
          <w:kern w:val="2"/>
          <w:sz w:val="21"/>
          <w:szCs w:val="24"/>
          <w:highlight w:val="none"/>
          <w:lang w:val="en-US" w:eastAsia="zh-CN" w:bidi="ar-SA"/>
          <w14:textFill>
            <w14:solidFill>
              <w14:schemeClr w14:val="tx1"/>
            </w14:solidFill>
          </w14:textFill>
        </w:rPr>
        <w:t>竞争性磋商文件</w:t>
      </w:r>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1</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 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w:t>
      </w:r>
      <w:r>
        <w:rPr>
          <w:rFonts w:hint="eastAsia" w:ascii="宋体" w:hAnsi="宋体" w:eastAsia="宋体" w:cs="宋体"/>
          <w:color w:val="000000" w:themeColor="text1"/>
          <w:szCs w:val="21"/>
          <w:highlight w:val="none"/>
          <w:shd w:val="clear" w:color="auto" w:fill="FFFFFF"/>
          <w14:textFill>
            <w14:solidFill>
              <w14:schemeClr w14:val="tx1"/>
            </w14:solidFill>
          </w14:textFill>
        </w:rPr>
        <w:t>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eastAsia="宋体" w:cs="宋体"/>
          <w:color w:val="000000" w:themeColor="text1"/>
          <w:szCs w:val="21"/>
          <w:highlight w:val="none"/>
          <w:shd w:val="clear" w:color="auto" w:fill="FFFFFF"/>
          <w14:textFill>
            <w14:solidFill>
              <w14:schemeClr w14:val="tx1"/>
            </w14:solidFill>
          </w14:textFill>
        </w:rPr>
        <w:t>1</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FFFFFF"/>
          <w14:textFill>
            <w14:solidFill>
              <w14:schemeClr w14:val="tx1"/>
            </w14:solidFill>
          </w14:textFill>
        </w:rPr>
        <w:t>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000000" w:themeColor="text1"/>
          <w:kern w:val="0"/>
          <w:sz w:val="21"/>
          <w:szCs w:val="21"/>
          <w:highlight w:val="none"/>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3. </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竞争性磋商文件</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separate"/>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934027204@qq.com</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,并标明XX公司XX</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3" w:name="_Toc15111"/>
      <w:bookmarkStart w:id="14" w:name="_Toc25869"/>
      <w:bookmarkStart w:id="15" w:name="_Toc10738"/>
      <w:bookmarkStart w:id="16" w:name="_Toc15135"/>
      <w:bookmarkStart w:id="17" w:name="_Toc27480"/>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 时间：</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地点：</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 时间：</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地点：</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8" w:name="_Toc30918"/>
      <w:bookmarkStart w:id="19" w:name="_Toc6523"/>
      <w:bookmarkStart w:id="20" w:name="_Toc20287"/>
      <w:bookmarkStart w:id="21" w:name="_Toc29784"/>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上发布</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24" w:name="_Toc27370"/>
      <w:bookmarkStart w:id="25" w:name="_Toc31928"/>
      <w:bookmarkStart w:id="26" w:name="_Toc3604"/>
      <w:bookmarkStart w:id="27" w:name="_Toc16291"/>
      <w:bookmarkStart w:id="28" w:name="_Toc24274"/>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七、</w:t>
      </w:r>
      <w:bookmarkEnd w:id="24"/>
      <w:bookmarkEnd w:id="25"/>
      <w:bookmarkEnd w:id="26"/>
      <w:bookmarkEnd w:id="27"/>
      <w:bookmarkEnd w:id="28"/>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电话：0396-2726379</w:t>
      </w:r>
    </w:p>
    <w:p w14:paraId="2DBD8F4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2.采购代理机构：河南省伟信招标管理咨询有限公司 </w:t>
      </w:r>
    </w:p>
    <w:p w14:paraId="3A2E6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地址：郑州市郑东新区东风南路与创业路交叉口绿地中心北塔16楼</w:t>
      </w:r>
    </w:p>
    <w:p w14:paraId="10B4126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联系人：陈先生</w:t>
      </w:r>
    </w:p>
    <w:p w14:paraId="1625C2C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联系方式：18838148020</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驻</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000000" w:themeColor="text1"/>
          <w:sz w:val="32"/>
          <w:szCs w:val="32"/>
          <w:highlight w:val="none"/>
          <w14:textFill>
            <w14:solidFill>
              <w14:schemeClr w14:val="tx1"/>
            </w14:solidFill>
          </w14:textFill>
        </w:rPr>
      </w:pPr>
      <w:bookmarkStart w:id="29" w:name="_Toc29890"/>
      <w:bookmarkStart w:id="30" w:name="_Toc23793"/>
      <w:r>
        <w:rPr>
          <w:rFonts w:hint="eastAsia" w:ascii="宋体" w:hAnsi="宋体" w:eastAsia="宋体" w:cs="宋体"/>
          <w:b/>
          <w:color w:val="000000" w:themeColor="text1"/>
          <w:sz w:val="32"/>
          <w:szCs w:val="32"/>
          <w:highlight w:val="none"/>
          <w14:textFill>
            <w14:solidFill>
              <w14:schemeClr w14:val="tx1"/>
            </w14:solidFill>
          </w14:textFill>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一、项目名称：</w:t>
      </w:r>
      <w:r>
        <w:rPr>
          <w:rFonts w:hint="eastAsia" w:ascii="宋体" w:hAnsi="宋体" w:cs="宋体"/>
          <w:b w:val="0"/>
          <w:bCs w:val="0"/>
          <w:i w:val="0"/>
          <w:iCs/>
          <w:color w:val="auto"/>
          <w:sz w:val="24"/>
          <w:szCs w:val="24"/>
          <w:highlight w:val="none"/>
          <w:u w:val="none"/>
          <w:lang w:val="en-US" w:eastAsia="zh-CN"/>
        </w:rPr>
        <w:t>驻马店市中心医院免陪照护服务采购项目</w:t>
      </w:r>
    </w:p>
    <w:p w14:paraId="774013EF">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二、采购标的清单：</w:t>
      </w:r>
    </w:p>
    <w:tbl>
      <w:tblPr>
        <w:tblStyle w:val="34"/>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409"/>
        <w:gridCol w:w="1018"/>
        <w:gridCol w:w="5609"/>
        <w:gridCol w:w="1187"/>
      </w:tblGrid>
      <w:tr w14:paraId="7B53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55" w:type="dxa"/>
            <w:vAlign w:val="center"/>
          </w:tcPr>
          <w:p w14:paraId="10834B03">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序号</w:t>
            </w:r>
          </w:p>
        </w:tc>
        <w:tc>
          <w:tcPr>
            <w:tcW w:w="1409" w:type="dxa"/>
            <w:vAlign w:val="center"/>
          </w:tcPr>
          <w:p w14:paraId="1B463CEC">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标的名称</w:t>
            </w:r>
          </w:p>
        </w:tc>
        <w:tc>
          <w:tcPr>
            <w:tcW w:w="1018" w:type="dxa"/>
            <w:vAlign w:val="center"/>
          </w:tcPr>
          <w:p w14:paraId="16268EB0">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数量</w:t>
            </w:r>
          </w:p>
        </w:tc>
        <w:tc>
          <w:tcPr>
            <w:tcW w:w="5609" w:type="dxa"/>
            <w:vAlign w:val="center"/>
          </w:tcPr>
          <w:p w14:paraId="6E2738E1">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资金预算</w:t>
            </w:r>
          </w:p>
        </w:tc>
        <w:tc>
          <w:tcPr>
            <w:tcW w:w="1187" w:type="dxa"/>
            <w:vAlign w:val="center"/>
          </w:tcPr>
          <w:p w14:paraId="701EE0AF">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资金性质</w:t>
            </w:r>
          </w:p>
        </w:tc>
      </w:tr>
      <w:tr w14:paraId="608E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5C4F682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1</w:t>
            </w:r>
          </w:p>
        </w:tc>
        <w:tc>
          <w:tcPr>
            <w:tcW w:w="1409" w:type="dxa"/>
            <w:vAlign w:val="center"/>
          </w:tcPr>
          <w:p w14:paraId="7448A57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免陪照护服务采购</w:t>
            </w:r>
          </w:p>
        </w:tc>
        <w:tc>
          <w:tcPr>
            <w:tcW w:w="1018" w:type="dxa"/>
            <w:vAlign w:val="center"/>
          </w:tcPr>
          <w:p w14:paraId="4175556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一年</w:t>
            </w:r>
          </w:p>
        </w:tc>
        <w:tc>
          <w:tcPr>
            <w:tcW w:w="5609" w:type="dxa"/>
            <w:vAlign w:val="center"/>
          </w:tcPr>
          <w:p w14:paraId="6FFDD7E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《驻马店市医疗保障局驻马店市人力资源和社会保障局关于规范护理等3类医疗服务价格项目的通知》（驻医保办〔2025〕7号）免陪照护服务价格为基准，</w:t>
            </w:r>
          </w:p>
          <w:p w14:paraId="124FC1B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“一对一”提供服务：免陪照护服务价格×95%</w:t>
            </w:r>
          </w:p>
          <w:p w14:paraId="169A165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“一对二”提供服务：免陪照护服务价格×90%</w:t>
            </w:r>
          </w:p>
          <w:p w14:paraId="065FA79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“一对三”提供服务：免陪照护服务价格×80%</w:t>
            </w:r>
          </w:p>
          <w:p w14:paraId="284CF4E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“一对四”提供服务：免陪照护服务价格×70%</w:t>
            </w:r>
          </w:p>
        </w:tc>
        <w:tc>
          <w:tcPr>
            <w:tcW w:w="1187" w:type="dxa"/>
            <w:vAlign w:val="center"/>
          </w:tcPr>
          <w:p w14:paraId="38B22C8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自筹</w:t>
            </w:r>
          </w:p>
        </w:tc>
      </w:tr>
      <w:tr w14:paraId="15DA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690CF81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合计</w:t>
            </w:r>
          </w:p>
        </w:tc>
        <w:tc>
          <w:tcPr>
            <w:tcW w:w="1409" w:type="dxa"/>
            <w:vAlign w:val="center"/>
          </w:tcPr>
          <w:p w14:paraId="705FBB8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c>
          <w:tcPr>
            <w:tcW w:w="1018" w:type="dxa"/>
            <w:vAlign w:val="center"/>
          </w:tcPr>
          <w:p w14:paraId="3E1A385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c>
          <w:tcPr>
            <w:tcW w:w="5609" w:type="dxa"/>
            <w:vAlign w:val="center"/>
          </w:tcPr>
          <w:p w14:paraId="3351E0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48万元</w:t>
            </w:r>
          </w:p>
        </w:tc>
        <w:tc>
          <w:tcPr>
            <w:tcW w:w="1187" w:type="dxa"/>
            <w:vAlign w:val="center"/>
          </w:tcPr>
          <w:p w14:paraId="761189F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r>
      <w:tr w14:paraId="2EFB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14:paraId="408CA85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备注</w:t>
            </w:r>
          </w:p>
        </w:tc>
        <w:tc>
          <w:tcPr>
            <w:tcW w:w="9223" w:type="dxa"/>
            <w:gridSpan w:val="4"/>
            <w:vAlign w:val="center"/>
          </w:tcPr>
          <w:p w14:paraId="6DB1074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服务期限一</w:t>
            </w:r>
            <w:r>
              <w:rPr>
                <w:rFonts w:hint="eastAsia" w:ascii="宋体" w:hAnsi="宋体" w:eastAsia="宋体" w:cs="宋体"/>
                <w:color w:val="auto"/>
                <w:kern w:val="0"/>
                <w:sz w:val="21"/>
                <w:szCs w:val="21"/>
                <w:highlight w:val="none"/>
                <w:shd w:val="clear" w:fill="FFFFFF"/>
                <w:lang w:val="en-US" w:eastAsia="zh-CN"/>
              </w:rPr>
              <w:t>年，招3家供应商，</w:t>
            </w: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据实结算</w:t>
            </w:r>
          </w:p>
        </w:tc>
      </w:tr>
    </w:tbl>
    <w:p w14:paraId="6A2D07C1">
      <w:pPr>
        <w:keepNext w:val="0"/>
        <w:keepLines w:val="0"/>
        <w:pageBreakBefore w:val="0"/>
        <w:widowControl w:val="0"/>
        <w:numPr>
          <w:ilvl w:val="0"/>
          <w:numId w:val="0"/>
        </w:numPr>
        <w:kinsoku/>
        <w:wordWrap/>
        <w:overflowPunct/>
        <w:topLinePunct w:val="0"/>
        <w:autoSpaceDE/>
        <w:autoSpaceDN/>
        <w:bidi w:val="0"/>
        <w:adjustRightInd/>
        <w:snapToGrid w:val="0"/>
        <w:spacing w:line="192" w:lineRule="auto"/>
        <w:textAlignment w:val="auto"/>
        <w:rPr>
          <w:rFonts w:hint="eastAsia" w:ascii="宋体" w:hAnsi="宋体" w:eastAsia="宋体" w:cs="宋体"/>
          <w:b/>
          <w:bCs/>
          <w:color w:val="auto"/>
          <w:kern w:val="2"/>
          <w:sz w:val="21"/>
          <w:szCs w:val="24"/>
          <w:highlight w:val="none"/>
          <w:lang w:val="en-US" w:eastAsia="zh-CN" w:bidi="ar-SA"/>
        </w:rPr>
      </w:pPr>
    </w:p>
    <w:p w14:paraId="10E84755">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技术要求：</w:t>
      </w:r>
    </w:p>
    <w:p w14:paraId="24192FA6">
      <w:pPr>
        <w:pStyle w:val="9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sz w:val="24"/>
          <w:szCs w:val="24"/>
          <w:highlight w:val="none"/>
        </w:rPr>
        <w:t>★</w:t>
      </w:r>
      <w:r>
        <w:rPr>
          <w:rFonts w:hint="eastAsia" w:ascii="宋体" w:hAnsi="宋体" w:eastAsia="宋体" w:cs="宋体"/>
          <w:b/>
          <w:bCs/>
          <w:color w:val="000000" w:themeColor="text1"/>
          <w:sz w:val="21"/>
          <w:szCs w:val="21"/>
          <w:highlight w:val="none"/>
          <w14:textFill>
            <w14:solidFill>
              <w14:schemeClr w14:val="tx1"/>
            </w14:solidFill>
          </w14:textFill>
        </w:rPr>
        <w:t>（一）总体要求</w:t>
      </w:r>
    </w:p>
    <w:p w14:paraId="3A409F11">
      <w:pPr>
        <w:pStyle w:val="99"/>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1.本项目“免陪照护”服务主要指患者在住院期间，在患者或其家属知情同意且自愿选择的基础上，根据患者病情和生活自理能力等，由医疗护理员提供的生活照护服务。</w:t>
      </w:r>
    </w:p>
    <w:p w14:paraId="368E5216">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2.“免陪照护”服务拟开展4个试点病区（老年医学科、普通外科、骨科、特优病房），核定床位预计150张，具体开展情况以医院实际情况为准。</w:t>
      </w:r>
    </w:p>
    <w:p w14:paraId="7BAE8C8B">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3.开展“免陪照护”服务试点病房的病区，需开展接、送患者检查服务。</w:t>
      </w:r>
    </w:p>
    <w:p w14:paraId="36697017">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4.医院提供供应商驻点办公场所，为办公提供必要的电源，其余均为供应商自备。供应商对办公室安全负责。</w:t>
      </w:r>
    </w:p>
    <w:p w14:paraId="3AD88028">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5.供应商应具备完善的服务质量控制体系、培训制度、管理制度、标准和流程及服务质量持续改进方案。供应商有针对各种突发和异常情况的应急预案，需配合医院处理和陪护有关的临时性突发事件，并承担相应责任；配合医院开展各项综合整改等相关活动。</w:t>
      </w:r>
    </w:p>
    <w:p w14:paraId="4231813F">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6.医疗护理员由供应商直接聘用并管理，与医院之间没有任何劳动用工关系和雇佣关系。</w:t>
      </w:r>
    </w:p>
    <w:p w14:paraId="0B5E19F2">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7.供应商在院方指导下制作“免陪照护”服务的流程、服务内容及对应价格和二维码的宣传牌，固定摆放在门诊区、护士站及入出院服务中心台面，宣传牌不得涉及医院Logo及相关内容。</w:t>
      </w:r>
    </w:p>
    <w:p w14:paraId="3CFD8A43">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8.供应商为医疗护理员提供统一服装，分冬装和夏装，并保证不少于1次/周的集中洗涤和熨烫，有污染时随时更换，相关费用由供应商自理。</w:t>
      </w:r>
    </w:p>
    <w:p w14:paraId="065405B2">
      <w:pPr>
        <w:pStyle w:val="99"/>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9.供应商以片区为单位对全院病区陪护工作进行巡查，不低于2次/月，与各科室护士长就陪护工作等情况进行沟通；供应商项目经理主动与医院护理部就陪护工作进行专项沟通，不低于1次/月，听取医院护理部的意见并及时整改和追踪。针对工作中存在问题，制定有效的整改方案或意见，组织实施及评价，并将整改情况及时向医院护理部和临床护理单元反馈。</w:t>
      </w:r>
    </w:p>
    <w:p w14:paraId="7A983687">
      <w:pPr>
        <w:pStyle w:val="99"/>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10.除“免陪照护”服务外的其他陪护服务，以患者需求为主导，具体服务内容及费用由供应商与病患或家属沟通签署协议并收取，提供收费单据，根据患者需要提供正式发票（收费标准含税点）。供应商在法律法规规定的范围内按市场价格确定陪护服务收费标准并在医院显著位置公示，公司收费与陪护项目对应，不允许陪护人员高费低陪、乱收费及临床病人陪护需求与陪护岗位不符合等情况，不得恶意抬高价格。如有收费标准调整应在实施前告知医院。如医院接到价格投诉一经查实，将对公司进行处罚，并纳入质量考核、满意度测评体系。</w:t>
      </w:r>
    </w:p>
    <w:p w14:paraId="4554CB54">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11.供应商服从医院管理，完善医院在管理过程中各项制度、资料、方案等。</w:t>
      </w:r>
    </w:p>
    <w:p w14:paraId="18546480">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12.基于散护工对医院患者存在安全隐患（如患者财物失窃、护理不当造成损伤无处追索等）以及影响科室环境整洁，供应商有义务协助医院对散护工进行清退或整编工作。</w:t>
      </w:r>
    </w:p>
    <w:p w14:paraId="66DB6B61">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13.本项目管理方为医院护理部。供应商所有事项在医院护理部管理、指导下进行。</w:t>
      </w:r>
    </w:p>
    <w:p w14:paraId="1BC97C68">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14.合同期满，供应商应配合并保证医院作业平稳交接，不得占用医院场地，不得影响医院工作。</w:t>
      </w:r>
    </w:p>
    <w:p w14:paraId="74EC3C85">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15.合同期满，但新供应商尚未确认的，供应商应无条件配合医院至医院确定新的供应商为止。投标人应充分知晓因此带来的经营风险并自行承担风险。</w:t>
      </w:r>
    </w:p>
    <w:p w14:paraId="104F6498">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16.采购需求未明确的其他约定事项或条款，待医院与供应商签订合同时，由双方协商订立。</w:t>
      </w:r>
    </w:p>
    <w:p w14:paraId="437E503F">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17.服务期间，遇政策调整与本项目采购需求相冲突的情况，无法继续执行，需重新采购的，供应商需保证医院护理工作平稳过渡至新标的确定为止，过渡期间以新政策为准。投标人应充分知晓因此带来的经营风险并自行承担风险。</w:t>
      </w:r>
    </w:p>
    <w:p w14:paraId="7BA7B6AF">
      <w:pPr>
        <w:pStyle w:val="9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sz w:val="24"/>
          <w:szCs w:val="24"/>
          <w:highlight w:val="none"/>
        </w:rPr>
        <w:t>★</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）人员要求</w:t>
      </w:r>
    </w:p>
    <w:p w14:paraId="0277C662">
      <w:pPr>
        <w:pStyle w:val="99"/>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1.供应商须配备一名项目经理，且不得随意更改，必须有3年以上类似医院管理经验，不能由医疗护理员兼职。如因特殊原因需调整，须书面报医院护理部审核同意后方可进行人员调整。（提供相关证明文件）</w:t>
      </w:r>
    </w:p>
    <w:p w14:paraId="4CDD4BB6">
      <w:pPr>
        <w:pStyle w:val="99"/>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2.供应商至少配备10名医疗护理员，须具备医疗护理员证书或护理院校毕业证书，医疗护理员无违法犯罪记录（提供花名册、花名册相对应的身份证及劳动合同、无违法犯罪记录的证明材料）。</w:t>
      </w:r>
    </w:p>
    <w:p w14:paraId="75EE5A05">
      <w:pPr>
        <w:pStyle w:val="99"/>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3.供应商对派驻医院的医疗护理员的健康、身份负责，身体健康，无传染病及传染病原携带者，无残疾、精神障碍等，上岗前应持有效二级及以上医疗机构出具的健康检查合格证明。（提供与花名册相对应的健康检查合格证明）</w:t>
      </w:r>
    </w:p>
    <w:p w14:paraId="288EE033">
      <w:pPr>
        <w:pStyle w:val="9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sz w:val="24"/>
          <w:szCs w:val="24"/>
          <w:highlight w:val="none"/>
        </w:rPr>
        <w:t>★</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）人员管理要求</w:t>
      </w:r>
    </w:p>
    <w:p w14:paraId="62033A7A">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1.供应商进驻后应建立服务于医院的医疗护理员人事档案，并交医院存档。</w:t>
      </w:r>
    </w:p>
    <w:p w14:paraId="556350DA">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2.医疗护理员做到“六统一”：即统一建档、统一调配、统一着装（着工作服、佩戴工作牌上岗），统一标识、统一收费标准、统一管理；根据临床需要和患者意愿，由病区通知供应商项目经理派驻医疗护理员。工作证（胸卡等）应当记载信息：医疗护理员照片、姓名、年龄、供应商名称、项目经理投诉电话等，并加盖供应商公章。</w:t>
      </w:r>
    </w:p>
    <w:p w14:paraId="3972A0BB">
      <w:pPr>
        <w:pStyle w:val="99"/>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3.供应商及其派驻医院的医疗护理员在履行职责的过程中，严格遵守医院的各项规章制度，维护医院形象，维护医院利益。</w:t>
      </w:r>
    </w:p>
    <w:p w14:paraId="76BCFEE9">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4.供应商对其聘用的医疗护理员进行技能培训、手卫生、消毒隔离知识培训和指导；项目经理每天向服务对象及所在科室护士长或责任护士了解情况，定期对医疗护理员服务质量进行考核并持续改进，内容包括服务对象（患者及家属）及医务人员对医疗护理员服务态度、服务质量等，确保为病人提供安全的生活护理服务。</w:t>
      </w:r>
    </w:p>
    <w:p w14:paraId="76910402">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5.供应商应认真做好医疗护理员规范化管理工作，设置多渠道意见反馈通道，保证及时准确收到患者、家属及医务人员的反馈意见。对提出的意见、建议，应及时分析，并有持续改进措施、效果反馈等。</w:t>
      </w:r>
    </w:p>
    <w:p w14:paraId="087914AA">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6.实行双向管理，医院相关管理部门及各科护士长对供应商管理及医疗护理员的服务质量进行监督，供应商接受其提出的改进意见和建议，并限期整改。</w:t>
      </w:r>
    </w:p>
    <w:p w14:paraId="31745165">
      <w:pPr>
        <w:pStyle w:val="99"/>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（四）免陪照护线上管理系统</w:t>
      </w:r>
    </w:p>
    <w:p w14:paraId="0451E23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供应商须配备线上管理系统，并负责系统的部署、培训、后期维护及升级。功能至少包括但不限于以下模块：</w:t>
      </w:r>
    </w:p>
    <w:p w14:paraId="32BE439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1.订单管理模块</w:t>
      </w:r>
    </w:p>
    <w:p w14:paraId="2EC9004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具备患者/家属或科室发起照护服务订单的功能（支持APP、小程序、PC端等多种方式），实现订单的实时查询、状态跟踪（如待受理、进行中、已完成等），支持照护服务的在线预约、改期或取消。（提供功能截图）</w:t>
      </w:r>
    </w:p>
    <w:p w14:paraId="34A7AAB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2.患者信息管理模块</w:t>
      </w:r>
    </w:p>
    <w:p w14:paraId="7C478C5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安全存储并管理接受照护服务患者的基本信息、科室、床位、照护等级、服务项目等，确保信息调取便捷，权限设置清晰，符合医疗信息保密规定。（提供功能截图）</w:t>
      </w:r>
    </w:p>
    <w:p w14:paraId="2FD8392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3.服务质量管理模块</w:t>
      </w:r>
    </w:p>
    <w:p w14:paraId="45BA533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内置服务质量与满意度评价功能，服务完成后可由患者/家属或护士在线提交评价，评价结果可自动汇总、统计与分析，形成可视化报表，用于持续改进服务质量。（提供功能截图）</w:t>
      </w:r>
    </w:p>
    <w:p w14:paraId="32F8805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4.医疗护理员管理模块</w:t>
      </w:r>
    </w:p>
    <w:p w14:paraId="7BC6094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建立医疗护理员信息数据库，包括资质证书、培训记录、考核结果、健康状况等，实现护理员排班管理、任务自动分配、在岗状态显示，记录并管理护理员的培训历史与计划，确保持证上岗与技能更新。（提供功能截图）</w:t>
      </w:r>
    </w:p>
    <w:p w14:paraId="1DF201D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5.统计与报表模块</w:t>
      </w:r>
    </w:p>
    <w:p w14:paraId="73306C8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自动生成各类工作量报表（如科室/个人服务时长、服务项目频次、订单总量等），提供质量分析报表（如满意度评分分布、投诉与表扬详情等），数据支持按日、周、月、自定义周期导出，为管理决策提供数据支撑。（提供功能截图）</w:t>
      </w:r>
    </w:p>
    <w:p w14:paraId="03C0207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6.系统基本要求</w:t>
      </w:r>
    </w:p>
    <w:p w14:paraId="7635259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fill="FFFFFF"/>
          <w:lang w:val="en-US" w:eastAsia="zh-CN"/>
          <w14:textFill>
            <w14:solidFill>
              <w14:schemeClr w14:val="tx1"/>
            </w14:solidFill>
          </w14:textFill>
        </w:rPr>
        <w:t>系统需确保数据安全、传输加密，符合网络安全等级保护相关要求；服务期间，供应商需提供系统技术支持和功能维护。</w:t>
      </w:r>
    </w:p>
    <w:p w14:paraId="67B61035">
      <w:pPr>
        <w:pStyle w:val="9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sz w:val="24"/>
          <w:szCs w:val="24"/>
          <w:highlight w:val="none"/>
        </w:rPr>
        <w:t>★</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eastAsia="zh-CN"/>
          <w14:textFill>
            <w14:solidFill>
              <w14:schemeClr w14:val="tx1"/>
            </w14:solidFill>
          </w14:textFill>
        </w:rPr>
        <w:t>医疗护理员</w:t>
      </w:r>
      <w:r>
        <w:rPr>
          <w:rFonts w:hint="eastAsia" w:ascii="宋体" w:hAnsi="宋体" w:eastAsia="宋体" w:cs="宋体"/>
          <w:b/>
          <w:bCs/>
          <w:color w:val="000000" w:themeColor="text1"/>
          <w:sz w:val="21"/>
          <w:szCs w:val="21"/>
          <w:highlight w:val="none"/>
          <w14:textFill>
            <w14:solidFill>
              <w14:schemeClr w14:val="tx1"/>
            </w14:solidFill>
          </w14:textFill>
        </w:rPr>
        <w:t>岗位职责</w:t>
      </w:r>
      <w:r>
        <w:rPr>
          <w:rFonts w:hint="eastAsia" w:ascii="宋体" w:hAnsi="宋体" w:eastAsia="宋体" w:cs="宋体"/>
          <w:b w:val="0"/>
          <w:bCs w:val="0"/>
          <w:color w:val="000000" w:themeColor="text1"/>
          <w:sz w:val="21"/>
          <w:szCs w:val="21"/>
          <w:highlight w:val="none"/>
          <w14:textFill>
            <w14:solidFill>
              <w14:schemeClr w14:val="tx1"/>
            </w14:solidFill>
          </w14:textFill>
        </w:rPr>
        <w:t>（附件</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14:paraId="202D18E0">
      <w:pPr>
        <w:pStyle w:val="9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sz w:val="24"/>
          <w:szCs w:val="24"/>
          <w:highlight w:val="none"/>
        </w:rPr>
        <w:t>★</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六</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eastAsia="zh-CN"/>
          <w14:textFill>
            <w14:solidFill>
              <w14:schemeClr w14:val="tx1"/>
            </w14:solidFill>
          </w14:textFill>
        </w:rPr>
        <w:t>医疗护理员</w:t>
      </w:r>
      <w:r>
        <w:rPr>
          <w:rFonts w:hint="eastAsia" w:ascii="宋体" w:hAnsi="宋体" w:eastAsia="宋体" w:cs="宋体"/>
          <w:b/>
          <w:bCs/>
          <w:color w:val="000000" w:themeColor="text1"/>
          <w:sz w:val="21"/>
          <w:szCs w:val="21"/>
          <w:highlight w:val="none"/>
          <w14:textFill>
            <w14:solidFill>
              <w14:schemeClr w14:val="tx1"/>
            </w14:solidFill>
          </w14:textFill>
        </w:rPr>
        <w:t>行为规范</w:t>
      </w:r>
      <w:r>
        <w:rPr>
          <w:rFonts w:hint="eastAsia" w:ascii="宋体" w:hAnsi="宋体" w:eastAsia="宋体" w:cs="宋体"/>
          <w:b w:val="0"/>
          <w:bCs w:val="0"/>
          <w:color w:val="000000" w:themeColor="text1"/>
          <w:sz w:val="21"/>
          <w:szCs w:val="21"/>
          <w:highlight w:val="none"/>
          <w14:textFill>
            <w14:solidFill>
              <w14:schemeClr w14:val="tx1"/>
            </w14:solidFill>
          </w14:textFill>
        </w:rPr>
        <w:t>（附件2）</w:t>
      </w:r>
    </w:p>
    <w:p w14:paraId="2EAE14EB">
      <w:pPr>
        <w:pStyle w:val="9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sz w:val="24"/>
          <w:szCs w:val="24"/>
          <w:highlight w:val="none"/>
        </w:rPr>
        <w:t>★</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eastAsia="zh-CN"/>
          <w14:textFill>
            <w14:solidFill>
              <w14:schemeClr w14:val="tx1"/>
            </w14:solidFill>
          </w14:textFill>
        </w:rPr>
        <w:t>医疗护理员</w:t>
      </w:r>
      <w:r>
        <w:rPr>
          <w:rFonts w:hint="eastAsia" w:ascii="宋体" w:hAnsi="宋体" w:eastAsia="宋体" w:cs="宋体"/>
          <w:b/>
          <w:bCs/>
          <w:color w:val="000000" w:themeColor="text1"/>
          <w:sz w:val="21"/>
          <w:szCs w:val="21"/>
          <w:highlight w:val="none"/>
          <w14:textFill>
            <w14:solidFill>
              <w14:schemeClr w14:val="tx1"/>
            </w14:solidFill>
          </w14:textFill>
        </w:rPr>
        <w:t>服务内容</w:t>
      </w:r>
    </w:p>
    <w:p w14:paraId="17F0D14A">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医疗护理员</w:t>
      </w: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在医务人员的指导下，协助为生活部分自理或完全不能自理以及行动受限住院患者提供生活照护服务</w:t>
      </w: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不得从事医疗护理专业技术性工作，不得替代医务人员工作</w:t>
      </w: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，具体见《医疗护理员生活照护服务参考内容》（附件3）。</w:t>
      </w:r>
    </w:p>
    <w:p w14:paraId="74ED2A3C">
      <w:pPr>
        <w:pStyle w:val="9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sz w:val="24"/>
          <w:szCs w:val="24"/>
          <w:highlight w:val="none"/>
        </w:rPr>
        <w:t>★</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八</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eastAsia="zh-CN"/>
          <w14:textFill>
            <w14:solidFill>
              <w14:schemeClr w14:val="tx1"/>
            </w14:solidFill>
          </w14:textFill>
        </w:rPr>
        <w:t>医疗护理员</w:t>
      </w:r>
      <w:r>
        <w:rPr>
          <w:rFonts w:hint="eastAsia" w:ascii="宋体" w:hAnsi="宋体" w:eastAsia="宋体" w:cs="宋体"/>
          <w:b/>
          <w:bCs/>
          <w:color w:val="000000" w:themeColor="text1"/>
          <w:sz w:val="21"/>
          <w:szCs w:val="21"/>
          <w:highlight w:val="none"/>
          <w14:textFill>
            <w14:solidFill>
              <w14:schemeClr w14:val="tx1"/>
            </w14:solidFill>
          </w14:textFill>
        </w:rPr>
        <w:t>服务模式及工作时间</w:t>
      </w:r>
    </w:p>
    <w:p w14:paraId="5AA6ACEE">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1.“免陪照护”服务试点病房按照“患者/医疗护理员”配比：</w:t>
      </w:r>
    </w:p>
    <w:p w14:paraId="25C8C9CF">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①“一对一”服务模式：“患者/医疗护理员”配比为：1:1；②“一对多”服务模式：“患者/医疗护理员”配比为：1:0.25-0.5；可按照医院实际业务需求，供应商无条件服从医院的调整。</w:t>
      </w:r>
    </w:p>
    <w:p w14:paraId="795E5F8F">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2.除“免陪照护”服务外的其他陪护服务（患者家庭根据自身需要自行雇佣医疗护理员），由供应商与病患或家属沟通签署协议。</w:t>
      </w:r>
    </w:p>
    <w:p w14:paraId="6E4B8547">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3.为住院患者提供24小时照护服务。供应商须在院内建立24小时电话值班制，随时满足患者和病区的需求。</w:t>
      </w:r>
    </w:p>
    <w:p w14:paraId="7BD3DA87">
      <w:pPr>
        <w:pStyle w:val="9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sz w:val="24"/>
          <w:szCs w:val="24"/>
          <w:highlight w:val="none"/>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（九）</w:t>
      </w:r>
      <w:r>
        <w:rPr>
          <w:rFonts w:hint="eastAsia" w:ascii="宋体" w:hAnsi="宋体" w:eastAsia="宋体" w:cs="宋体"/>
          <w:b/>
          <w:bCs/>
          <w:color w:val="000000" w:themeColor="text1"/>
          <w:sz w:val="21"/>
          <w:szCs w:val="21"/>
          <w:highlight w:val="none"/>
          <w14:textFill>
            <w14:solidFill>
              <w14:schemeClr w14:val="tx1"/>
            </w14:solidFill>
          </w14:textFill>
        </w:rPr>
        <w:t xml:space="preserve">法律责任、纠纷 </w:t>
      </w:r>
    </w:p>
    <w:p w14:paraId="00038612">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1.供应商在本合同范围之内所提供的陪护服务必须符合医院规章制度及国家相关法规政策。</w:t>
      </w:r>
    </w:p>
    <w:p w14:paraId="56A4C21A">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2.医疗护理员与供应商所产生任何法律关系，包括但不限于劳动关系、雇佣关系、侵权责任、违约责任等，均与医院无关，由供应商自行承担责任。医疗护理员的收入、福利及工伤等相关事项由供应商承担、负责，医院不承担任何责任。</w:t>
      </w:r>
    </w:p>
    <w:p w14:paraId="6250EBCD">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3.供应商对所辖员工安全、人身、健康等一切事项负责，供应商员工若发生安全事故、人身财产损害或意外，由供应商承担责任，与医院无关，若造成医院损失的，供应商应负赔偿责任。</w:t>
      </w:r>
    </w:p>
    <w:p w14:paraId="4D10D92D">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4.供应商按医院认可的护理服务方案、工作管理制度、服务标准等进行作业，确保服务质量，并监督、协调和处理各类由于工作或服务不到位而引起的纠纷责任。</w:t>
      </w:r>
    </w:p>
    <w:p w14:paraId="55113306">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5.供应商派驻的医疗护理员因提供护理服务引起投诉、纠纷或造成事故或人身财产损害，造成雇主/医院/其他第三者损害的情况，医院无责，由供应商应及时响应，协调解决处理，明确相关责任并承担相应法律责任及赔偿责任。若发生死亡安全事故，除按国家有关安全管理规定及医院有关安全管理办法执行外，还将报相关行政主管部门处罚。发生重大安全事故或特大安全事故，除按国家有关安全管理规定及医院有关安全管理办法执行外，医院有权终止合同，医院有权保留更换供应商的权利，给医院造成的损失，还应承担赔偿责任，保留追究法律责任的权利。</w:t>
      </w:r>
    </w:p>
    <w:p w14:paraId="2FD8E6F6">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6.本项目若有涉及知识产权出现纠纷、法律责任的由供应商承担责任，若造成医院损失的，供应商应负赔偿责任。</w:t>
      </w:r>
    </w:p>
    <w:p w14:paraId="5FCCC650">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7.供应商占用医院场地、影响医院作业，拒不配合医院管理的，给医院带来损失的，医院有权向供应商追究法律责任。</w:t>
      </w:r>
    </w:p>
    <w:p w14:paraId="33221A32">
      <w:pPr>
        <w:pStyle w:val="9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sz w:val="24"/>
          <w:szCs w:val="24"/>
          <w:highlight w:val="none"/>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（十）</w:t>
      </w:r>
      <w:r>
        <w:rPr>
          <w:rFonts w:hint="eastAsia" w:ascii="宋体" w:hAnsi="宋体" w:eastAsia="宋体" w:cs="宋体"/>
          <w:b/>
          <w:bCs/>
          <w:color w:val="000000" w:themeColor="text1"/>
          <w:sz w:val="21"/>
          <w:szCs w:val="21"/>
          <w:highlight w:val="none"/>
          <w14:textFill>
            <w14:solidFill>
              <w14:schemeClr w14:val="tx1"/>
            </w14:solidFill>
          </w14:textFill>
        </w:rPr>
        <w:t>违约责任</w:t>
      </w:r>
    </w:p>
    <w:p w14:paraId="4DE4037D">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1.供应商无故造成采购合同无法按时签订的，视为供应商违约，医院有权单方终止合同。供应商违约对医院造成损失的，需另行支付相应的赔偿。</w:t>
      </w:r>
    </w:p>
    <w:p w14:paraId="324B70F9">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2.在签订采购合同之后，供应商要求解除合同的，视为供应商违约，对医院造成损失的，供应商需支付相应的赔偿。</w:t>
      </w:r>
    </w:p>
    <w:p w14:paraId="366C3291">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3.在合同有效期内，双方不得随意终止合同，无合理理由任何一方提出终止合同必须赔偿对方由此造成的经济损失并赔偿守约方近三个月的服务费用。</w:t>
      </w:r>
    </w:p>
    <w:p w14:paraId="132C454D">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4.本项目不允许供应商以任何名义和理由进行转包，如有发现，视为供应商违约，医院有权单方终止合同，若供应商违约对医院造成损失的，需另行支付相应的赔偿。</w:t>
      </w:r>
    </w:p>
    <w:p w14:paraId="1B7EFBCC">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5.在明确违约责任后，供应商应在接到书面通知书起七天内支付违约金、赔偿金等。</w:t>
      </w:r>
    </w:p>
    <w:p w14:paraId="49325CFF">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6.有下列情况之一的，医院有权单方面终止合同，并清退出场：</w:t>
      </w:r>
    </w:p>
    <w:p w14:paraId="31293818">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①因各种主观原因，造成严重的社会影响；</w:t>
      </w:r>
    </w:p>
    <w:p w14:paraId="63E80CD7">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②不服从医院管理，不参与各项培训（含院内、外医疗护理员技能培训）、考评会等各项会议的连续三个月及以上的；连续3个月若考核不合格的，医院有权终止合同。合同终止前，供应商应依合同约定办妥停止所有服务人员的人事劳动服务的相关手续并结清全部费用（包括但不限于服务人员的工资、社会保险费以及其他费用等）。</w:t>
      </w:r>
    </w:p>
    <w:p w14:paraId="393F4551">
      <w:pPr>
        <w:pStyle w:val="9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sz w:val="24"/>
          <w:szCs w:val="24"/>
          <w:highlight w:val="none"/>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（十一）</w:t>
      </w:r>
      <w:r>
        <w:rPr>
          <w:rFonts w:hint="eastAsia" w:ascii="宋体" w:hAnsi="宋体" w:eastAsia="宋体" w:cs="宋体"/>
          <w:b/>
          <w:bCs/>
          <w:color w:val="000000" w:themeColor="text1"/>
          <w:sz w:val="21"/>
          <w:szCs w:val="21"/>
          <w:highlight w:val="none"/>
          <w14:textFill>
            <w14:solidFill>
              <w14:schemeClr w14:val="tx1"/>
            </w14:solidFill>
          </w14:textFill>
        </w:rPr>
        <w:t>保密条款</w:t>
      </w:r>
    </w:p>
    <w:p w14:paraId="5EEF2838">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1.任何一方对于合同的全部条款以及因签署或履行合同而了解或接触到的对方的机密资料和信息（下称“保密信息”）均应保守秘密；非经医院书面同意，任何一方不得向第三方泄露、给予或转让该保密信息。</w:t>
      </w:r>
    </w:p>
    <w:p w14:paraId="52EA2F17">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2.如任何一方提出要求，对方均应将载有对方保密信息的任何文件、资料或软件，按要求归还，或予以销毁，或进行其他处置，并且不得继续使用这些保密信息。</w:t>
      </w:r>
    </w:p>
    <w:p w14:paraId="4E1337D7">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3.任何一方违反上述保密义务造成损失的，需承担赔偿责任。本保密条款永久有效，不受合同终止或无效的影响。</w:t>
      </w:r>
    </w:p>
    <w:p w14:paraId="110637C3">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4.供应商违反本条约定泄露医院的涉密信息的，应承担相应的法律责任，造成医院损失的，供应商应当依法承担赔偿责任</w:t>
      </w:r>
      <w:r>
        <w:rPr>
          <w:rFonts w:hint="eastAsia" w:ascii="宋体" w:hAnsi="宋体" w:eastAsia="宋体" w:cs="宋体"/>
          <w:color w:val="000000" w:themeColor="text1"/>
          <w:sz w:val="21"/>
          <w:szCs w:val="21"/>
          <w:highlight w:val="none"/>
          <w:shd w:val="clear" w:fill="FFFFFF"/>
          <w14:textFill>
            <w14:solidFill>
              <w14:schemeClr w14:val="tx1"/>
            </w14:solidFill>
          </w14:textFill>
        </w:rPr>
        <w:t>。</w:t>
      </w:r>
    </w:p>
    <w:p w14:paraId="2FC8F664">
      <w:pPr>
        <w:pStyle w:val="9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sz w:val="24"/>
          <w:szCs w:val="24"/>
          <w:highlight w:val="none"/>
        </w:rPr>
        <w:t>★</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十二</w:t>
      </w:r>
      <w:r>
        <w:rPr>
          <w:rFonts w:hint="eastAsia" w:ascii="宋体" w:hAnsi="宋体" w:eastAsia="宋体" w:cs="宋体"/>
          <w:b/>
          <w:bCs/>
          <w:color w:val="000000" w:themeColor="text1"/>
          <w:sz w:val="21"/>
          <w:szCs w:val="21"/>
          <w:highlight w:val="none"/>
          <w14:textFill>
            <w14:solidFill>
              <w14:schemeClr w14:val="tx1"/>
            </w14:solidFill>
          </w14:textFill>
        </w:rPr>
        <w:t>）投标服务承诺（专项承诺）</w:t>
      </w:r>
    </w:p>
    <w:p w14:paraId="0696CB9D">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 xml:space="preserve">1.供应商及旗下公司（包含医疗护理员和管理人员）从未被卫生管理部门列入扫黑除恶名单的记录；  </w:t>
      </w:r>
    </w:p>
    <w:p w14:paraId="0C3A9B36">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2.供应商及旗下公司未被卫健部门或医院方起诉至法院的记录；</w:t>
      </w:r>
    </w:p>
    <w:p w14:paraId="4B883865">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3.供应商及旗下公司无行贿违法记录；</w:t>
      </w:r>
    </w:p>
    <w:p w14:paraId="33BDBC58">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4.供应商未被政府采购网及各采购平台（含军队采购网）等列入采购失信名单。</w:t>
      </w:r>
    </w:p>
    <w:p w14:paraId="7E06F436">
      <w:pPr>
        <w:pStyle w:val="99"/>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shd w:val="clear" w:fill="FFFFFF"/>
          <w14:textFill>
            <w14:solidFill>
              <w14:schemeClr w14:val="tx1"/>
            </w14:solidFill>
          </w14:textFill>
        </w:rPr>
        <w:t>注：供应商须提供以上专项承诺函（格式自拟），发现与事实不符的，则按无效投标处理。在技术和服务要求响应表中进行响应的不为承诺，须单独提供承诺函。</w:t>
      </w:r>
    </w:p>
    <w:p w14:paraId="329AD237">
      <w:pPr>
        <w:pStyle w:val="9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sz w:val="24"/>
          <w:szCs w:val="24"/>
          <w:highlight w:val="none"/>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管理机制</w:t>
      </w:r>
    </w:p>
    <w:p w14:paraId="370DE4D9">
      <w:pPr>
        <w:pStyle w:val="99"/>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w:t>
      </w:r>
      <w:r>
        <w:rPr>
          <w:rFonts w:hint="eastAsia" w:ascii="宋体" w:hAnsi="宋体" w:eastAsia="宋体" w:cs="宋体"/>
          <w:color w:val="000000" w:themeColor="text1"/>
          <w:sz w:val="21"/>
          <w:szCs w:val="21"/>
          <w:highlight w:val="none"/>
          <w:shd w:val="clear" w:fill="FFFFFF"/>
          <w:lang w:eastAsia="zh-CN"/>
          <w14:textFill>
            <w14:solidFill>
              <w14:schemeClr w14:val="tx1"/>
            </w14:solidFill>
          </w14:textFill>
        </w:rPr>
        <w:t>医院</w:t>
      </w: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依据</w:t>
      </w:r>
      <w:r>
        <w:rPr>
          <w:rFonts w:hint="eastAsia" w:ascii="宋体" w:hAnsi="宋体" w:eastAsia="宋体" w:cs="宋体"/>
          <w:color w:val="000000" w:themeColor="text1"/>
          <w:sz w:val="21"/>
          <w:szCs w:val="21"/>
          <w:highlight w:val="none"/>
          <w:shd w:val="clear" w:fill="FFFFFF"/>
          <w:lang w:eastAsia="zh-CN"/>
          <w14:textFill>
            <w14:solidFill>
              <w14:schemeClr w14:val="tx1"/>
            </w14:solidFill>
          </w14:textFill>
        </w:rPr>
        <w:t>医疗护理员</w:t>
      </w:r>
      <w:r>
        <w:rPr>
          <w:rFonts w:hint="eastAsia" w:ascii="宋体" w:hAnsi="宋体" w:eastAsia="宋体" w:cs="宋体"/>
          <w:color w:val="000000" w:themeColor="text1"/>
          <w:sz w:val="21"/>
          <w:szCs w:val="21"/>
          <w:highlight w:val="none"/>
          <w:shd w:val="clear" w:fill="FFFFFF"/>
          <w14:textFill>
            <w14:solidFill>
              <w14:schemeClr w14:val="tx1"/>
            </w14:solidFill>
          </w14:textFill>
        </w:rPr>
        <w:t>服务质量考核标准</w:t>
      </w: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（附件4）</w:t>
      </w:r>
      <w:r>
        <w:rPr>
          <w:rFonts w:hint="eastAsia" w:ascii="宋体" w:hAnsi="宋体" w:eastAsia="宋体" w:cs="宋体"/>
          <w:color w:val="000000" w:themeColor="text1"/>
          <w:sz w:val="21"/>
          <w:szCs w:val="21"/>
          <w:highlight w:val="none"/>
          <w:shd w:val="clear" w:fill="FFFFFF"/>
          <w14:textFill>
            <w14:solidFill>
              <w14:schemeClr w14:val="tx1"/>
            </w14:solidFill>
          </w14:textFill>
        </w:rPr>
        <w:t>对</w:t>
      </w:r>
      <w:r>
        <w:rPr>
          <w:rFonts w:hint="eastAsia" w:ascii="宋体" w:hAnsi="宋体" w:eastAsia="宋体" w:cs="宋体"/>
          <w:color w:val="000000" w:themeColor="text1"/>
          <w:sz w:val="21"/>
          <w:szCs w:val="21"/>
          <w:highlight w:val="none"/>
          <w:shd w:val="clear" w:fill="FFFFFF"/>
          <w:lang w:eastAsia="zh-CN"/>
          <w14:textFill>
            <w14:solidFill>
              <w14:schemeClr w14:val="tx1"/>
            </w14:solidFill>
          </w14:textFill>
        </w:rPr>
        <w:t>供应商</w:t>
      </w:r>
      <w:r>
        <w:rPr>
          <w:rFonts w:hint="eastAsia" w:ascii="宋体" w:hAnsi="宋体" w:eastAsia="宋体" w:cs="宋体"/>
          <w:color w:val="000000" w:themeColor="text1"/>
          <w:sz w:val="21"/>
          <w:szCs w:val="21"/>
          <w:highlight w:val="none"/>
          <w:shd w:val="clear" w:fill="FFFFFF"/>
          <w14:textFill>
            <w14:solidFill>
              <w14:schemeClr w14:val="tx1"/>
            </w14:solidFill>
          </w14:textFill>
        </w:rPr>
        <w:t>派驻的</w:t>
      </w:r>
      <w:r>
        <w:rPr>
          <w:rFonts w:hint="eastAsia" w:ascii="宋体" w:hAnsi="宋体" w:eastAsia="宋体" w:cs="宋体"/>
          <w:color w:val="000000" w:themeColor="text1"/>
          <w:sz w:val="21"/>
          <w:szCs w:val="21"/>
          <w:highlight w:val="none"/>
          <w:shd w:val="clear" w:fill="FFFFFF"/>
          <w:lang w:eastAsia="zh-CN"/>
          <w14:textFill>
            <w14:solidFill>
              <w14:schemeClr w14:val="tx1"/>
            </w14:solidFill>
          </w14:textFill>
        </w:rPr>
        <w:t>医疗护理员</w:t>
      </w:r>
      <w:r>
        <w:rPr>
          <w:rFonts w:hint="eastAsia" w:ascii="宋体" w:hAnsi="宋体" w:eastAsia="宋体" w:cs="宋体"/>
          <w:color w:val="000000" w:themeColor="text1"/>
          <w:sz w:val="21"/>
          <w:szCs w:val="21"/>
          <w:highlight w:val="none"/>
          <w:shd w:val="clear" w:fill="FFFFFF"/>
          <w14:textFill>
            <w14:solidFill>
              <w14:schemeClr w14:val="tx1"/>
            </w14:solidFill>
          </w14:textFill>
        </w:rPr>
        <w:t>每月进行</w:t>
      </w: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服务质量</w:t>
      </w:r>
      <w:r>
        <w:rPr>
          <w:rFonts w:hint="eastAsia" w:ascii="宋体" w:hAnsi="宋体" w:eastAsia="宋体" w:cs="宋体"/>
          <w:color w:val="000000" w:themeColor="text1"/>
          <w:sz w:val="21"/>
          <w:szCs w:val="21"/>
          <w:highlight w:val="none"/>
          <w:shd w:val="clear" w:fill="FFFFFF"/>
          <w14:textFill>
            <w14:solidFill>
              <w14:schemeClr w14:val="tx1"/>
            </w14:solidFill>
          </w14:textFill>
        </w:rPr>
        <w:t>考评</w:t>
      </w: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，对连续三个月考评&lt;60分的医疗护理员，医院有权要求更换医疗护理员。</w:t>
      </w:r>
    </w:p>
    <w:p w14:paraId="51D1BE78">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2.医疗护理员满意度管理机制</w:t>
      </w:r>
    </w:p>
    <w:p w14:paraId="229DA411">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医院护理部对供应商派驻的医疗护理员每月进行满意度考评。</w:t>
      </w:r>
    </w:p>
    <w:p w14:paraId="6665FBCE">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①医务人员对医疗护理员服务评价（附件5）</w:t>
      </w:r>
    </w:p>
    <w:p w14:paraId="4FD20804">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②住院患者对医疗护理员服务评价（附件6）</w:t>
      </w:r>
    </w:p>
    <w:p w14:paraId="4361AC00">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③</w:t>
      </w:r>
      <w:r>
        <w:rPr>
          <w:rFonts w:hint="eastAsia" w:ascii="宋体" w:hAnsi="宋体" w:eastAsia="宋体" w:cs="宋体"/>
          <w:color w:val="000000" w:themeColor="text1"/>
          <w:sz w:val="21"/>
          <w:szCs w:val="21"/>
          <w:highlight w:val="none"/>
          <w:shd w:val="clear" w:fill="FFFFFF"/>
          <w14:textFill>
            <w14:solidFill>
              <w14:schemeClr w14:val="tx1"/>
            </w14:solidFill>
          </w14:textFill>
        </w:rPr>
        <w:t>医务人员对</w:t>
      </w:r>
      <w:r>
        <w:rPr>
          <w:rFonts w:hint="eastAsia" w:ascii="宋体" w:hAnsi="宋体" w:eastAsia="宋体" w:cs="宋体"/>
          <w:color w:val="000000" w:themeColor="text1"/>
          <w:sz w:val="21"/>
          <w:szCs w:val="21"/>
          <w:highlight w:val="none"/>
          <w:shd w:val="clear" w:fill="FFFFFF"/>
          <w:lang w:eastAsia="zh-CN"/>
          <w14:textFill>
            <w14:solidFill>
              <w14:schemeClr w14:val="tx1"/>
            </w14:solidFill>
          </w14:textFill>
        </w:rPr>
        <w:t>医疗护理员</w:t>
      </w:r>
      <w:r>
        <w:rPr>
          <w:rFonts w:hint="eastAsia" w:ascii="宋体" w:hAnsi="宋体" w:eastAsia="宋体" w:cs="宋体"/>
          <w:color w:val="000000" w:themeColor="text1"/>
          <w:sz w:val="21"/>
          <w:szCs w:val="21"/>
          <w:highlight w:val="none"/>
          <w:shd w:val="clear" w:fill="FFFFFF"/>
          <w14:textFill>
            <w14:solidFill>
              <w14:schemeClr w14:val="tx1"/>
            </w14:solidFill>
          </w14:textFill>
        </w:rPr>
        <w:t>服务评价及住院患者对</w:t>
      </w:r>
      <w:r>
        <w:rPr>
          <w:rFonts w:hint="eastAsia" w:ascii="宋体" w:hAnsi="宋体" w:eastAsia="宋体" w:cs="宋体"/>
          <w:color w:val="000000" w:themeColor="text1"/>
          <w:sz w:val="21"/>
          <w:szCs w:val="21"/>
          <w:highlight w:val="none"/>
          <w:shd w:val="clear" w:fill="FFFFFF"/>
          <w:lang w:eastAsia="zh-CN"/>
          <w14:textFill>
            <w14:solidFill>
              <w14:schemeClr w14:val="tx1"/>
            </w14:solidFill>
          </w14:textFill>
        </w:rPr>
        <w:t>医疗护理员</w:t>
      </w:r>
      <w:r>
        <w:rPr>
          <w:rFonts w:hint="eastAsia" w:ascii="宋体" w:hAnsi="宋体" w:eastAsia="宋体" w:cs="宋体"/>
          <w:color w:val="000000" w:themeColor="text1"/>
          <w:sz w:val="21"/>
          <w:szCs w:val="21"/>
          <w:highlight w:val="none"/>
          <w:shd w:val="clear" w:fill="FFFFFF"/>
          <w14:textFill>
            <w14:solidFill>
              <w14:schemeClr w14:val="tx1"/>
            </w14:solidFill>
          </w14:textFill>
        </w:rPr>
        <w:t>服务评价的平均分为最终考评分。</w:t>
      </w:r>
    </w:p>
    <w:p w14:paraId="3562F865">
      <w:pPr>
        <w:pStyle w:val="99"/>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④</w:t>
      </w:r>
      <w:r>
        <w:rPr>
          <w:rFonts w:hint="eastAsia" w:ascii="宋体" w:hAnsi="宋体" w:eastAsia="宋体" w:cs="宋体"/>
          <w:color w:val="000000" w:themeColor="text1"/>
          <w:sz w:val="21"/>
          <w:szCs w:val="21"/>
          <w:highlight w:val="none"/>
          <w:shd w:val="clear" w:fill="FFFFFF"/>
          <w14:textFill>
            <w14:solidFill>
              <w14:schemeClr w14:val="tx1"/>
            </w14:solidFill>
          </w14:textFill>
        </w:rPr>
        <w:t>考评等级分为优、良、及格、不及格等四个等级。</w:t>
      </w:r>
    </w:p>
    <w:p w14:paraId="37A7D5B2">
      <w:pPr>
        <w:pStyle w:val="99"/>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fill="FFFFFF"/>
          <w14:textFill>
            <w14:solidFill>
              <w14:schemeClr w14:val="tx1"/>
            </w14:solidFill>
          </w14:textFill>
        </w:rPr>
        <w:t>考评得分</w:t>
      </w: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≥90</w:t>
      </w:r>
      <w:r>
        <w:rPr>
          <w:rFonts w:hint="eastAsia" w:ascii="宋体" w:hAnsi="宋体" w:eastAsia="宋体" w:cs="宋体"/>
          <w:color w:val="000000" w:themeColor="text1"/>
          <w:sz w:val="21"/>
          <w:szCs w:val="21"/>
          <w:highlight w:val="none"/>
          <w:shd w:val="clear" w:fill="FFFFFF"/>
          <w14:textFill>
            <w14:solidFill>
              <w14:schemeClr w14:val="tx1"/>
            </w14:solidFill>
          </w14:textFill>
        </w:rPr>
        <w:t>分，考评等级为优；</w:t>
      </w:r>
    </w:p>
    <w:p w14:paraId="108EEE8C">
      <w:pPr>
        <w:pStyle w:val="99"/>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80分</w:t>
      </w:r>
      <w:r>
        <w:rPr>
          <w:rFonts w:hint="eastAsia" w:ascii="宋体" w:hAnsi="宋体" w:eastAsia="宋体" w:cs="宋体"/>
          <w:color w:val="000000" w:themeColor="text1"/>
          <w:sz w:val="21"/>
          <w:szCs w:val="21"/>
          <w:highlight w:val="none"/>
          <w:shd w:val="clear" w:fill="FFFFFF"/>
          <w14:textFill>
            <w14:solidFill>
              <w14:schemeClr w14:val="tx1"/>
            </w14:solidFill>
          </w14:textFill>
        </w:rPr>
        <w:t>≤考评得分＜</w:t>
      </w: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90</w:t>
      </w:r>
      <w:r>
        <w:rPr>
          <w:rFonts w:hint="eastAsia" w:ascii="宋体" w:hAnsi="宋体" w:eastAsia="宋体" w:cs="宋体"/>
          <w:color w:val="000000" w:themeColor="text1"/>
          <w:sz w:val="21"/>
          <w:szCs w:val="21"/>
          <w:highlight w:val="none"/>
          <w:shd w:val="clear" w:fill="FFFFFF"/>
          <w14:textFill>
            <w14:solidFill>
              <w14:schemeClr w14:val="tx1"/>
            </w14:solidFill>
          </w14:textFill>
        </w:rPr>
        <w:t>分，考评等级为良；</w:t>
      </w:r>
    </w:p>
    <w:p w14:paraId="31B7500F">
      <w:pPr>
        <w:pStyle w:val="99"/>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fill="FFFFFF"/>
          <w14:textFill>
            <w14:solidFill>
              <w14:schemeClr w14:val="tx1"/>
            </w14:solidFill>
          </w14:textFill>
        </w:rPr>
        <w:t>60</w:t>
      </w: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shd w:val="clear" w:fill="FFFFFF"/>
          <w14:textFill>
            <w14:solidFill>
              <w14:schemeClr w14:val="tx1"/>
            </w14:solidFill>
          </w14:textFill>
        </w:rPr>
        <w:t>≤考评得分＜</w:t>
      </w: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80</w:t>
      </w:r>
      <w:r>
        <w:rPr>
          <w:rFonts w:hint="eastAsia" w:ascii="宋体" w:hAnsi="宋体" w:eastAsia="宋体" w:cs="宋体"/>
          <w:color w:val="000000" w:themeColor="text1"/>
          <w:sz w:val="21"/>
          <w:szCs w:val="21"/>
          <w:highlight w:val="none"/>
          <w:shd w:val="clear" w:fill="FFFFFF"/>
          <w14:textFill>
            <w14:solidFill>
              <w14:schemeClr w14:val="tx1"/>
            </w14:solidFill>
          </w14:textFill>
        </w:rPr>
        <w:t>分，考评等级为及格；</w:t>
      </w:r>
    </w:p>
    <w:p w14:paraId="417B7CE3">
      <w:pPr>
        <w:pStyle w:val="99"/>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fill="FFFFFF"/>
          <w14:textFill>
            <w14:solidFill>
              <w14:schemeClr w14:val="tx1"/>
            </w14:solidFill>
          </w14:textFill>
        </w:rPr>
        <w:t>考核得分＜60分，考评等级为不及格。</w:t>
      </w:r>
    </w:p>
    <w:p w14:paraId="314D44FE">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3.单项管理机制</w:t>
      </w:r>
    </w:p>
    <w:p w14:paraId="63384C1C">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（1）供应商按医院管理要求，做好相应的台账及报表，发现一份资料提交内容不实、虚假的，扣发服务费100元/次；拒不上交资料的扣发服务费500元/次。</w:t>
      </w:r>
    </w:p>
    <w:p w14:paraId="49ECDF60">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（2）供应商员工发生擅自带走医院或患者的物品，收受红包、买卖医疗废物、从事非护理服务的项目、超范围经营等情况的发生，扣减服务费200元/次，物品价值超过200元者按实际价值扣除。</w:t>
      </w:r>
    </w:p>
    <w:p w14:paraId="1216F242">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（3）上级检查迎检考核。上级检查中被有关部门以文件形式通报点名批评的，扣减服务费1000元/次。</w:t>
      </w:r>
    </w:p>
    <w:p w14:paraId="157B5066">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（4）临床科室收到病患关于医疗护理员服务态度的投诉，经查实扣减服务费10元/次。</w:t>
      </w:r>
    </w:p>
    <w:p w14:paraId="37D15961">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（5）岗前培训不到位，经临床科室投诉的，扣减服务费50元/次；</w:t>
      </w:r>
    </w:p>
    <w:p w14:paraId="34966D0B">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（6）因各种主观原因，造成患者合理投诉，投诉至医院护理部或行政管理部门的，扣减服务费20元/次；</w:t>
      </w:r>
    </w:p>
    <w:p w14:paraId="0F5C6235">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（7）挑拣病人，拒不接单的，扣减服务费50元/次；</w:t>
      </w:r>
    </w:p>
    <w:p w14:paraId="35A6067F">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（8）因各种主观原因，造成患者合理投诉，投诉至政府投诉平台或发布至网络平台，扣减服务费200元/次；</w:t>
      </w:r>
    </w:p>
    <w:p w14:paraId="54DC3253">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（9）合同期内，单项扣款与考评分扣款并存，不存在单项已扣款，考评分不扣款情况，或考评分达到不扣款项，但单项扣款中出现扣款情况也需扣款。</w:t>
      </w:r>
    </w:p>
    <w:p w14:paraId="73D84CBA">
      <w:pPr>
        <w:pStyle w:val="99"/>
        <w:keepNext w:val="0"/>
        <w:keepLines w:val="0"/>
        <w:pageBreakBefore w:val="0"/>
        <w:widowControl/>
        <w:kinsoku/>
        <w:wordWrap/>
        <w:overflowPunct/>
        <w:topLinePunct w:val="0"/>
        <w:autoSpaceDE/>
        <w:autoSpaceDN/>
        <w:bidi w:val="0"/>
        <w:adjustRightInd/>
        <w:snapToGrid/>
        <w:spacing w:line="360" w:lineRule="auto"/>
        <w:ind w:left="75"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t>（10）磨合期（3个月）的考评结果不作为扣款项，供应商应积极整改不足之处。</w:t>
      </w:r>
    </w:p>
    <w:p w14:paraId="6CE3FC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p>
    <w:p w14:paraId="6D8E8F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2" w:firstLineChars="200"/>
        <w:jc w:val="both"/>
        <w:textAlignment w:val="auto"/>
        <w:rPr>
          <w:rFonts w:hint="eastAsia" w:ascii="宋体" w:hAnsi="宋体" w:eastAsia="宋体" w:cs="宋体"/>
          <w:b/>
          <w:bCs/>
          <w:color w:val="000000" w:themeColor="text1"/>
          <w:sz w:val="21"/>
          <w:szCs w:val="21"/>
          <w:highlight w:val="none"/>
          <w:shd w:val="clear" w:fill="FFFFFF"/>
          <w:lang w:val="en-US" w:eastAsia="zh-CN"/>
          <w14:textFill>
            <w14:solidFill>
              <w14:schemeClr w14:val="tx1"/>
            </w14:solidFill>
          </w14:textFill>
        </w:rPr>
      </w:pPr>
    </w:p>
    <w:p w14:paraId="7D65CF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shd w:val="clear" w:fill="FFFFFF"/>
          <w:lang w:val="en-US" w:eastAsia="zh-CN"/>
          <w14:textFill>
            <w14:solidFill>
              <w14:schemeClr w14:val="tx1"/>
            </w14:solidFill>
          </w14:textFill>
        </w:rPr>
        <w:t>附件：1</w:t>
      </w:r>
      <w:r>
        <w:rPr>
          <w:rFonts w:hint="eastAsia" w:ascii="宋体" w:hAnsi="宋体" w:eastAsia="宋体" w:cs="宋体"/>
          <w:b/>
          <w:bCs/>
          <w:color w:val="000000" w:themeColor="text1"/>
          <w:kern w:val="0"/>
          <w:sz w:val="21"/>
          <w:szCs w:val="21"/>
          <w:highlight w:val="none"/>
          <w:shd w:val="clear" w:fill="FFFFFF"/>
          <w:lang w:val="en-US" w:eastAsia="zh-CN"/>
          <w14:textFill>
            <w14:solidFill>
              <w14:schemeClr w14:val="tx1"/>
            </w14:solidFill>
          </w14:textFill>
        </w:rPr>
        <w:t>.医疗护理员岗位职责</w:t>
      </w:r>
    </w:p>
    <w:p w14:paraId="5BA6D6D2">
      <w:pPr>
        <w:pStyle w:val="99"/>
        <w:keepNext w:val="0"/>
        <w:keepLines w:val="0"/>
        <w:pageBreakBefore w:val="0"/>
        <w:kinsoku/>
        <w:wordWrap/>
        <w:overflowPunct/>
        <w:topLinePunct w:val="0"/>
        <w:autoSpaceDE/>
        <w:autoSpaceDN/>
        <w:bidi w:val="0"/>
        <w:spacing w:line="560" w:lineRule="exact"/>
        <w:ind w:firstLine="1054" w:firstLineChars="500"/>
        <w:jc w:val="both"/>
        <w:textAlignment w:val="auto"/>
        <w:rPr>
          <w:rFonts w:hint="eastAsia" w:ascii="宋体" w:hAnsi="宋体" w:eastAsia="宋体" w:cs="宋体"/>
          <w:b/>
          <w:bCs/>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shd w:val="clear" w:fill="FFFFFF"/>
          <w:lang w:val="en-US" w:eastAsia="zh-CN"/>
          <w14:textFill>
            <w14:solidFill>
              <w14:schemeClr w14:val="tx1"/>
            </w14:solidFill>
          </w14:textFill>
        </w:rPr>
        <w:t>2.医疗护理员行为规范</w:t>
      </w:r>
    </w:p>
    <w:p w14:paraId="4D2E18A5">
      <w:pPr>
        <w:pStyle w:val="99"/>
        <w:keepNext w:val="0"/>
        <w:keepLines w:val="0"/>
        <w:pageBreakBefore w:val="0"/>
        <w:kinsoku/>
        <w:wordWrap/>
        <w:overflowPunct/>
        <w:topLinePunct w:val="0"/>
        <w:autoSpaceDE/>
        <w:autoSpaceDN/>
        <w:bidi w:val="0"/>
        <w:spacing w:line="560" w:lineRule="exact"/>
        <w:ind w:firstLine="1054" w:firstLineChars="500"/>
        <w:jc w:val="both"/>
        <w:textAlignment w:val="auto"/>
        <w:rPr>
          <w:rFonts w:hint="eastAsia" w:ascii="宋体" w:hAnsi="宋体" w:eastAsia="宋体" w:cs="宋体"/>
          <w:b/>
          <w:bCs/>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shd w:val="clear" w:fill="FFFFFF"/>
          <w:lang w:val="en-US" w:eastAsia="zh-CN"/>
          <w14:textFill>
            <w14:solidFill>
              <w14:schemeClr w14:val="tx1"/>
            </w14:solidFill>
          </w14:textFill>
        </w:rPr>
        <w:t>3.医疗护理员生活照护服务参考内容</w:t>
      </w:r>
    </w:p>
    <w:p w14:paraId="696AD019">
      <w:pPr>
        <w:pStyle w:val="99"/>
        <w:keepNext w:val="0"/>
        <w:keepLines w:val="0"/>
        <w:pageBreakBefore w:val="0"/>
        <w:kinsoku/>
        <w:wordWrap/>
        <w:overflowPunct/>
        <w:topLinePunct w:val="0"/>
        <w:autoSpaceDE/>
        <w:autoSpaceDN/>
        <w:bidi w:val="0"/>
        <w:spacing w:line="560" w:lineRule="exact"/>
        <w:ind w:firstLine="1054" w:firstLineChars="500"/>
        <w:jc w:val="both"/>
        <w:textAlignment w:val="auto"/>
        <w:rPr>
          <w:rFonts w:hint="eastAsia" w:ascii="宋体" w:hAnsi="宋体" w:eastAsia="宋体" w:cs="宋体"/>
          <w:b/>
          <w:bCs/>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shd w:val="clear" w:fill="FFFFFF"/>
          <w:lang w:val="en-US" w:eastAsia="zh-CN"/>
          <w14:textFill>
            <w14:solidFill>
              <w14:schemeClr w14:val="tx1"/>
            </w14:solidFill>
          </w14:textFill>
        </w:rPr>
        <w:t>4.医疗护理员服务质量考核标准</w:t>
      </w:r>
    </w:p>
    <w:p w14:paraId="4D0CB689">
      <w:pPr>
        <w:pStyle w:val="99"/>
        <w:keepNext w:val="0"/>
        <w:keepLines w:val="0"/>
        <w:pageBreakBefore w:val="0"/>
        <w:kinsoku/>
        <w:wordWrap/>
        <w:overflowPunct/>
        <w:topLinePunct w:val="0"/>
        <w:autoSpaceDE/>
        <w:autoSpaceDN/>
        <w:bidi w:val="0"/>
        <w:spacing w:line="560" w:lineRule="exact"/>
        <w:ind w:firstLine="1054" w:firstLineChars="500"/>
        <w:jc w:val="both"/>
        <w:textAlignment w:val="auto"/>
        <w:rPr>
          <w:rFonts w:hint="eastAsia" w:ascii="宋体" w:hAnsi="宋体" w:eastAsia="宋体" w:cs="宋体"/>
          <w:b/>
          <w:bCs/>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shd w:val="clear" w:fill="FFFFFF"/>
          <w:lang w:val="en-US" w:eastAsia="zh-CN"/>
          <w14:textFill>
            <w14:solidFill>
              <w14:schemeClr w14:val="tx1"/>
            </w14:solidFill>
          </w14:textFill>
        </w:rPr>
        <w:t>5.医务人员对医疗护理员服务评价问卷</w:t>
      </w:r>
    </w:p>
    <w:p w14:paraId="524305AE">
      <w:pPr>
        <w:pStyle w:val="99"/>
        <w:keepNext w:val="0"/>
        <w:keepLines w:val="0"/>
        <w:pageBreakBefore w:val="0"/>
        <w:kinsoku/>
        <w:wordWrap/>
        <w:overflowPunct/>
        <w:topLinePunct w:val="0"/>
        <w:autoSpaceDE/>
        <w:autoSpaceDN/>
        <w:bidi w:val="0"/>
        <w:spacing w:line="560" w:lineRule="exact"/>
        <w:ind w:firstLine="1054" w:firstLineChars="500"/>
        <w:jc w:val="both"/>
        <w:textAlignment w:val="auto"/>
        <w:rPr>
          <w:rFonts w:hint="eastAsia" w:ascii="宋体" w:hAnsi="宋体"/>
          <w:sz w:val="24"/>
          <w:szCs w:val="24"/>
          <w:highlight w:val="none"/>
        </w:rPr>
      </w:pPr>
      <w:r>
        <w:rPr>
          <w:rFonts w:hint="eastAsia" w:ascii="宋体" w:hAnsi="宋体" w:eastAsia="宋体" w:cs="宋体"/>
          <w:b/>
          <w:bCs/>
          <w:color w:val="000000" w:themeColor="text1"/>
          <w:sz w:val="21"/>
          <w:szCs w:val="21"/>
          <w:highlight w:val="none"/>
          <w:shd w:val="clear" w:fill="FFFFFF"/>
          <w:lang w:val="en-US" w:eastAsia="zh-CN"/>
          <w14:textFill>
            <w14:solidFill>
              <w14:schemeClr w14:val="tx1"/>
            </w14:solidFill>
          </w14:textFill>
        </w:rPr>
        <w:t>6.住院患者对医疗护理员服务评价问卷</w:t>
      </w:r>
    </w:p>
    <w:p w14:paraId="0AB2CC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hint="eastAsia" w:ascii="宋体" w:hAnsi="宋体"/>
          <w:sz w:val="24"/>
          <w:szCs w:val="24"/>
          <w:highlight w:val="none"/>
        </w:rPr>
      </w:pPr>
    </w:p>
    <w:p w14:paraId="2207825B">
      <w:pP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br w:type="page"/>
      </w:r>
    </w:p>
    <w:p w14:paraId="6880CE5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附件1</w:t>
      </w:r>
    </w:p>
    <w:p w14:paraId="6DDCA39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医疗护理员岗位职责</w:t>
      </w:r>
    </w:p>
    <w:p w14:paraId="0A3A5849">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1.遵纪守法，坚守岗位，无故不得迟到与早退，上下班时需做好班次交接，上不清，下不接。</w:t>
      </w:r>
    </w:p>
    <w:p w14:paraId="568A6EE1">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2.熟悉并遵守医院相关规章制度，举止文明、态度和蔼、着装整洁。</w:t>
      </w:r>
    </w:p>
    <w:p w14:paraId="7CA23161">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3.有责任心、具备良好的职业道德。尊重关心爱护患者，维护患者权益，保护患者隐私，不泄露患者隐私和秘密。</w:t>
      </w:r>
    </w:p>
    <w:p w14:paraId="75FC3FDD">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4.按照服务内容为患者实施生活护理，保证护理服务质量。</w:t>
      </w:r>
    </w:p>
    <w:p w14:paraId="1F1AF716">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5.服从科室护士长及护士的工作指导和安排，不做与工作无关的事情。</w:t>
      </w:r>
    </w:p>
    <w:p w14:paraId="02D47A5A">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6.随时巡视病房，及时答应患者呼唤，协助生活不能自理的患者进食、翻身、起床等活动。</w:t>
      </w:r>
    </w:p>
    <w:p w14:paraId="77E7A8FF">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7.夜班需做好夜间护理，随时巡视病房，不得离岗，防止患者跌床或意外发生。</w:t>
      </w:r>
    </w:p>
    <w:p w14:paraId="44205F44">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8.参加班前班后会议，汇报科室患者护理情况，传达患者及家属建议。</w:t>
      </w:r>
    </w:p>
    <w:p w14:paraId="462BEAD9">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9.积极参与院方护理部及供应商组织的培训，不断提升自身护理技能水平。</w:t>
      </w:r>
    </w:p>
    <w:p w14:paraId="3C0A9F96">
      <w:pPr>
        <w:pStyle w:val="99"/>
        <w:keepNext w:val="0"/>
        <w:keepLines w:val="0"/>
        <w:pageBreakBefore w:val="0"/>
        <w:kinsoku/>
        <w:wordWrap/>
        <w:overflowPunct/>
        <w:topLinePunct w:val="0"/>
        <w:autoSpaceDE/>
        <w:autoSpaceDN/>
        <w:bidi w:val="0"/>
        <w:spacing w:line="560" w:lineRule="exact"/>
        <w:ind w:firstLine="643" w:firstLineChars="200"/>
        <w:jc w:val="left"/>
        <w:textAlignment w:val="auto"/>
        <w:rPr>
          <w:rFonts w:hint="eastAsia" w:ascii="楷体" w:hAnsi="楷体" w:eastAsia="楷体" w:cs="楷体"/>
          <w:b/>
          <w:bCs/>
          <w:color w:val="000000" w:themeColor="text1"/>
          <w:sz w:val="32"/>
          <w:szCs w:val="32"/>
          <w:highlight w:val="none"/>
          <w:lang w:val="en-US" w:eastAsia="zh-CN"/>
          <w14:textFill>
            <w14:solidFill>
              <w14:schemeClr w14:val="tx1"/>
            </w14:solidFill>
          </w14:textFill>
        </w:rPr>
      </w:pPr>
    </w:p>
    <w:p w14:paraId="3DC4875D">
      <w:pPr>
        <w:pStyle w:val="99"/>
        <w:keepNext w:val="0"/>
        <w:keepLines w:val="0"/>
        <w:pageBreakBefore w:val="0"/>
        <w:kinsoku/>
        <w:wordWrap/>
        <w:overflowPunct/>
        <w:topLinePunct w:val="0"/>
        <w:autoSpaceDE/>
        <w:autoSpaceDN/>
        <w:bidi w:val="0"/>
        <w:spacing w:line="560" w:lineRule="exact"/>
        <w:ind w:firstLine="643" w:firstLineChars="200"/>
        <w:jc w:val="left"/>
        <w:textAlignment w:val="auto"/>
        <w:rPr>
          <w:rFonts w:hint="eastAsia" w:ascii="楷体" w:hAnsi="楷体" w:eastAsia="楷体" w:cs="楷体"/>
          <w:b/>
          <w:bCs/>
          <w:color w:val="000000" w:themeColor="text1"/>
          <w:sz w:val="32"/>
          <w:szCs w:val="32"/>
          <w:highlight w:val="none"/>
          <w:lang w:val="en-US" w:eastAsia="zh-CN"/>
          <w14:textFill>
            <w14:solidFill>
              <w14:schemeClr w14:val="tx1"/>
            </w14:solidFill>
          </w14:textFill>
        </w:rPr>
      </w:pPr>
    </w:p>
    <w:p w14:paraId="52EC0E84">
      <w:pPr>
        <w:rPr>
          <w:rFonts w:hint="eastAsia" w:ascii="楷体" w:hAnsi="楷体" w:eastAsia="楷体" w:cs="楷体"/>
          <w:b/>
          <w:bCs/>
          <w:color w:val="000000" w:themeColor="text1"/>
          <w:sz w:val="32"/>
          <w:szCs w:val="32"/>
          <w:highlight w:val="none"/>
          <w:lang w:val="en-US" w:eastAsia="zh-CN"/>
          <w14:textFill>
            <w14:solidFill>
              <w14:schemeClr w14:val="tx1"/>
            </w14:solidFill>
          </w14:textFill>
        </w:rPr>
      </w:pPr>
      <w:r>
        <w:rPr>
          <w:rFonts w:hint="eastAsia" w:ascii="楷体" w:hAnsi="楷体" w:eastAsia="楷体" w:cs="楷体"/>
          <w:b/>
          <w:bCs/>
          <w:color w:val="000000" w:themeColor="text1"/>
          <w:sz w:val="32"/>
          <w:szCs w:val="32"/>
          <w:highlight w:val="none"/>
          <w:lang w:val="en-US" w:eastAsia="zh-CN"/>
          <w14:textFill>
            <w14:solidFill>
              <w14:schemeClr w14:val="tx1"/>
            </w14:solidFill>
          </w14:textFill>
        </w:rPr>
        <w:br w:type="page"/>
      </w:r>
    </w:p>
    <w:p w14:paraId="15801F4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附件2</w:t>
      </w:r>
    </w:p>
    <w:p w14:paraId="4818F08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医疗护理员行为规范</w:t>
      </w:r>
    </w:p>
    <w:p w14:paraId="7425DD25">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1.严格遵守国家法律法规及医院、科室的各项规章制度。</w:t>
      </w:r>
    </w:p>
    <w:p w14:paraId="51741B81">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2.爱岗敬业，具有高度责任心、同情心和爱心，尊重患者，慎言守密。</w:t>
      </w:r>
    </w:p>
    <w:p w14:paraId="1356D198">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3.服从科室管理，不干扰医疗护理正常工作，与医务人员友好合作。每次接受新的服务对象时，一定要向当班护士了解病人禁忌及注意事项，方可上岗。工作中应虚心接受医护人员的技术指导和质量监督。</w:t>
      </w:r>
    </w:p>
    <w:p w14:paraId="75C3E938">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4.文明礼貌，讲究卫生，保持病室内清洁、整齐、安静、有序。不得在病房吸烟、喧哗等，不得随地吐痰、乱扔纸屑、果皮等垃圾，不得坐卧病床、互串病区、病室。</w:t>
      </w:r>
    </w:p>
    <w:p w14:paraId="227FA8E5">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5.讲究公共道德，文明陪伴、尊重同病房的病友，和睦相处。</w:t>
      </w:r>
    </w:p>
    <w:p w14:paraId="41462F81">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6.仪表端庄，着装规范，佩戴胸牌，头发梳理整齐，前不过肩，后不遮领，侧不掩耳，男士不留长发，留中长发的女性医疗护理员统一使用头花（发网）盘起，不佩戴手镯、戒指等首饰，忌浓妆和涂染指甲，指甲修剪合宜。</w:t>
      </w:r>
    </w:p>
    <w:p w14:paraId="6DFF340E">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7.坚守岗位，工作期间不得擅离职守，如遇特殊情况，须经供应商项目经理同意，且须及时做好替岗安排并告知病区护士长。不准私自接工作或接受他人工作。</w:t>
      </w:r>
    </w:p>
    <w:p w14:paraId="42D3784A">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8.不得从事医疗护理专业技术性工作，不得替代医务人员工作。</w:t>
      </w:r>
    </w:p>
    <w:p w14:paraId="1E747D1B">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9.不得私自调整仪器设备、不得私自翻阅病历，禁止解释病情。</w:t>
      </w:r>
    </w:p>
    <w:p w14:paraId="7C825FB7">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10.不得向患者或其家属推荐或兜售任何产品或服务（如保健品、丧葬服务等）；不得参与患者转科、转院的选择意向，非服务时间不得在病区逗留或留宿。</w:t>
      </w:r>
    </w:p>
    <w:p w14:paraId="2A098AF7">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11.严禁以个人名义直接或间接向患者或其家属收取服务费用。</w:t>
      </w:r>
    </w:p>
    <w:p w14:paraId="2B8C918C">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12.做好手卫生等职业防护，对特殊感染性疾病患者应严格遵循医疗机构相关要求，如对治疗、护理有疑问或有其他要求，应与医务人员及时联系。</w:t>
      </w:r>
    </w:p>
    <w:p w14:paraId="559F0393">
      <w:pPr>
        <w:pStyle w:val="99"/>
        <w:keepNext w:val="0"/>
        <w:keepLines w:val="0"/>
        <w:pageBreakBefore w:val="0"/>
        <w:kinsoku/>
        <w:wordWrap/>
        <w:overflowPunct/>
        <w:topLinePunct w:val="0"/>
        <w:autoSpaceDE/>
        <w:autoSpaceDN/>
        <w:bidi w:val="0"/>
        <w:spacing w:line="560" w:lineRule="exact"/>
        <w:ind w:left="75" w:firstLine="420" w:firstLineChars="200"/>
        <w:jc w:val="both"/>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color w:val="auto"/>
          <w:sz w:val="21"/>
          <w:szCs w:val="21"/>
          <w:highlight w:val="none"/>
          <w:shd w:val="clear" w:fill="FFFFFF"/>
          <w:lang w:val="en-US" w:eastAsia="zh-CN"/>
        </w:rPr>
        <w:t>13.节约水电等，爱护医院设施设备，如有损坏，应进行赔偿。</w:t>
      </w:r>
    </w:p>
    <w:p w14:paraId="11053FC3">
      <w:pPr>
        <w:rPr>
          <w:rFonts w:hint="eastAsia" w:ascii="宋体" w:hAnsi="宋体" w:eastAsia="宋体" w:cs="宋体"/>
          <w:color w:val="auto"/>
          <w:sz w:val="32"/>
          <w:szCs w:val="32"/>
          <w:highlight w:val="none"/>
          <w:shd w:val="clear" w:fill="FFFFFF"/>
          <w:lang w:val="en-US" w:eastAsia="zh-CN"/>
        </w:rPr>
      </w:pPr>
      <w:r>
        <w:rPr>
          <w:rFonts w:hint="eastAsia" w:ascii="宋体" w:hAnsi="宋体" w:eastAsia="宋体" w:cs="宋体"/>
          <w:color w:val="auto"/>
          <w:sz w:val="32"/>
          <w:szCs w:val="32"/>
          <w:highlight w:val="none"/>
          <w:shd w:val="clear" w:fill="FFFFFF"/>
          <w:lang w:val="en-US" w:eastAsia="zh-CN"/>
        </w:rPr>
        <w:br w:type="page"/>
      </w:r>
    </w:p>
    <w:p w14:paraId="62D7401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附件3</w:t>
      </w:r>
    </w:p>
    <w:p w14:paraId="0E6DB94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医疗护理员生活照护服务参考内容</w:t>
      </w:r>
    </w:p>
    <w:p w14:paraId="1AAAAA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一、基本要求</w:t>
      </w:r>
    </w:p>
    <w:p w14:paraId="0EFF90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（一）具有一定的文化程度、沟通能力、协作意识和人文关怀素养。</w:t>
      </w:r>
    </w:p>
    <w:p w14:paraId="6F6D98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（二）身体健康、品行良好、有责任心、具备良好的职业道德。</w:t>
      </w:r>
    </w:p>
    <w:p w14:paraId="01E041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（三）熟悉并遵守医院相关规章制度，举止文明、态度和蔼、着装整洁。</w:t>
      </w:r>
    </w:p>
    <w:p w14:paraId="679A13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（四）具备履行医疗护理员岗位职责所必需的理论知识和实践技能。</w:t>
      </w:r>
    </w:p>
    <w:p w14:paraId="2CD2E0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（五）尊重关心爱护患者，维护患者权益，保护患者隐私。</w:t>
      </w:r>
    </w:p>
    <w:p w14:paraId="35FE8D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（六）在医务人员的指导下，协助提供助餐、助洁、助浴等生活照护服务。</w:t>
      </w:r>
    </w:p>
    <w:p w14:paraId="514606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（七）严禁替代医务人员从事医疗护理专业技术性工作。</w:t>
      </w:r>
    </w:p>
    <w:p w14:paraId="190270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二、清洁照护</w:t>
      </w:r>
    </w:p>
    <w:p w14:paraId="26FB4F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（一）服务内容</w:t>
      </w:r>
    </w:p>
    <w:p w14:paraId="50081A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1.整理病房环境，定时通风。</w:t>
      </w:r>
    </w:p>
    <w:p w14:paraId="1E2B26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2.协助整理床单位，按需更换床上用品。</w:t>
      </w:r>
    </w:p>
    <w:p w14:paraId="52D204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3.协助晨晚间护理，包括梳头，清洁面部、口腔、会阴部和手足部。</w:t>
      </w:r>
    </w:p>
    <w:p w14:paraId="3F4FEF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4.协助洗头、沐浴或擦浴。</w:t>
      </w:r>
    </w:p>
    <w:p w14:paraId="059587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5.协助更换衣物。</w:t>
      </w:r>
    </w:p>
    <w:p w14:paraId="240038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6.协助清洁活动牙齿，修剪指（趾）甲。</w:t>
      </w:r>
    </w:p>
    <w:p w14:paraId="4598EE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（二）注意事项</w:t>
      </w:r>
    </w:p>
    <w:p w14:paraId="5B7489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1.观察患者反应，出现异常情况及时报告医务人员。</w:t>
      </w:r>
    </w:p>
    <w:p w14:paraId="402539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2.动作轻柔，保护患者隐私与安全，注意保暖。</w:t>
      </w:r>
    </w:p>
    <w:p w14:paraId="33A46B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三、饮食照护</w:t>
      </w:r>
    </w:p>
    <w:p w14:paraId="2E766F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（一）服务内容</w:t>
      </w:r>
    </w:p>
    <w:p w14:paraId="0E6973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1.协助餐前洗手、准备就餐环境。</w:t>
      </w:r>
    </w:p>
    <w:p w14:paraId="1A7109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2.协助准备进食所需用品。</w:t>
      </w:r>
    </w:p>
    <w:p w14:paraId="215D08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3.协助摆放适当进食（水）体位。</w:t>
      </w:r>
    </w:p>
    <w:p w14:paraId="27B51B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4.协助进食（水）。</w:t>
      </w:r>
    </w:p>
    <w:p w14:paraId="6009FD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5.协助餐后清洁及整理。</w:t>
      </w:r>
    </w:p>
    <w:p w14:paraId="77F947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（二）注意事项</w:t>
      </w:r>
    </w:p>
    <w:p w14:paraId="0B37A1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1.协助患者进食（水）前，与医务人员确认患者饮食有无禁忌。</w:t>
      </w:r>
    </w:p>
    <w:p w14:paraId="588B75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2.注意食物（水）的温度、进食（水）的速度和量。</w:t>
      </w:r>
    </w:p>
    <w:p w14:paraId="19BAD8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3.患者出现吞咽困难、呛咳、恶心、呕吐等情况，及时报告医务人员。</w:t>
      </w:r>
    </w:p>
    <w:p w14:paraId="5B31CD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四、睡眠照护</w:t>
      </w:r>
    </w:p>
    <w:p w14:paraId="07FA44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（一）服务内容</w:t>
      </w:r>
    </w:p>
    <w:p w14:paraId="38EE90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1.协助做好睡前准备，拉好床档。</w:t>
      </w:r>
    </w:p>
    <w:p w14:paraId="7EB7E1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2.协助调整适当的睡眠体位。</w:t>
      </w:r>
    </w:p>
    <w:p w14:paraId="24913E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3.协助盖好被服，观察患者入睡情况。</w:t>
      </w:r>
    </w:p>
    <w:p w14:paraId="054819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（二）注意事项</w:t>
      </w:r>
    </w:p>
    <w:p w14:paraId="77622E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1.注意观察患者的骨折部位、伤口、皮肤破溃处是否受压，以及患者的各种管路是否打折、受压等。</w:t>
      </w:r>
    </w:p>
    <w:p w14:paraId="7CC9A6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2.注意观察患者睡眠过程中是否出现呼吸不畅、失眠等情况，如有及时报告医务人员。</w:t>
      </w:r>
    </w:p>
    <w:p w14:paraId="046BA1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五、排泄照护</w:t>
      </w:r>
    </w:p>
    <w:p w14:paraId="291C17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（一）服务内容</w:t>
      </w:r>
    </w:p>
    <w:p w14:paraId="153A4B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1.协助选择适当的如厕方式，并完成如厕。</w:t>
      </w:r>
    </w:p>
    <w:p w14:paraId="054F48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2.协助床上使用便盆或尿壶。</w:t>
      </w:r>
    </w:p>
    <w:p w14:paraId="334721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3.协助便后清洁，按需更换医用保护垫等用品。</w:t>
      </w:r>
    </w:p>
    <w:p w14:paraId="050B8E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4.必要时协助留取大小便标本。</w:t>
      </w:r>
    </w:p>
    <w:p w14:paraId="292DF7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5.协助观察会阴、肛周等皮肤是否出现发红、破溃等情况。</w:t>
      </w:r>
    </w:p>
    <w:p w14:paraId="127711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（二）注意事项</w:t>
      </w:r>
    </w:p>
    <w:p w14:paraId="184F75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1.注意患者排泄习惯，帮助其适应住院期间的排泄方式。</w:t>
      </w:r>
    </w:p>
    <w:p w14:paraId="3781E2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2.如厕过程中保护患者隐私，关注其平衡能力及稳定性，注意安全。</w:t>
      </w:r>
    </w:p>
    <w:p w14:paraId="2AF08C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3.如厕过程中患者如有不适或出现跌倒、管路滑脱等情况，及时报告医务人员。</w:t>
      </w:r>
    </w:p>
    <w:p w14:paraId="3FEFC9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六、移动照护</w:t>
      </w:r>
    </w:p>
    <w:p w14:paraId="69F816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（一）服务内容</w:t>
      </w:r>
    </w:p>
    <w:p w14:paraId="0BDB22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1.协助采取合适体位并定时变换。</w:t>
      </w:r>
    </w:p>
    <w:p w14:paraId="51C4C8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2.协助床上移动。</w:t>
      </w:r>
    </w:p>
    <w:p w14:paraId="1A69D7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3.协助肢体主动或被动活动。</w:t>
      </w:r>
    </w:p>
    <w:p w14:paraId="5B0642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4.协助使用平车、轮椅等工具移动患者。</w:t>
      </w:r>
    </w:p>
    <w:p w14:paraId="22CBAE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5.协助上下床活动。</w:t>
      </w:r>
    </w:p>
    <w:p w14:paraId="2F5622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（二）注意事项</w:t>
      </w:r>
    </w:p>
    <w:p w14:paraId="2AF239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1.注意节力、安全原则。</w:t>
      </w:r>
    </w:p>
    <w:p w14:paraId="2F55B5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2.注意在患者移动时保护各种管路，发现管路打折、牵拉、脱出等情况，及时报告医务人员。</w:t>
      </w:r>
    </w:p>
    <w:p w14:paraId="59182A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3.变换体位时，保护局部皮肤，发现伤口或受压部位出现异常情况，及时报告医务人员。</w:t>
      </w:r>
    </w:p>
    <w:p w14:paraId="3CC3E4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shd w:val="clear" w:fill="FFFFFF"/>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4.在患者移动过程中，注意避免发生跌倒或坠床等。</w:t>
      </w:r>
    </w:p>
    <w:p w14:paraId="2521658F">
      <w:pPr>
        <w:rPr>
          <w:rFonts w:hint="default" w:ascii="仿宋_GB2312" w:hAnsi="仿宋_GB2312" w:eastAsia="仿宋_GB2312" w:cs="仿宋_GB2312"/>
          <w:color w:val="000000" w:themeColor="text1"/>
          <w:sz w:val="32"/>
          <w:szCs w:val="32"/>
          <w:highlight w:val="none"/>
          <w:shd w:val="clear" w:fill="FFFFFF"/>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shd w:val="clear" w:fill="FFFFFF"/>
          <w:lang w:val="en-US" w:eastAsia="zh-CN"/>
          <w14:textFill>
            <w14:solidFill>
              <w14:schemeClr w14:val="tx1"/>
            </w14:solidFill>
          </w14:textFill>
        </w:rPr>
        <w:br w:type="page"/>
      </w:r>
    </w:p>
    <w:p w14:paraId="3A3014E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附件4</w:t>
      </w:r>
    </w:p>
    <w:p w14:paraId="2A401AA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医疗护理员服务质量考核标准</w:t>
      </w:r>
    </w:p>
    <w:p w14:paraId="14A370A9">
      <w:pPr>
        <w:pStyle w:val="99"/>
        <w:ind w:firstLine="440" w:firstLineChars="200"/>
        <w:jc w:val="both"/>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科室：        检查者：            检查日期：        得分：</w:t>
      </w:r>
    </w:p>
    <w:tbl>
      <w:tblPr>
        <w:tblStyle w:val="33"/>
        <w:tblW w:w="8573"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072"/>
        <w:gridCol w:w="573"/>
        <w:gridCol w:w="624"/>
        <w:gridCol w:w="4462"/>
        <w:gridCol w:w="940"/>
      </w:tblGrid>
      <w:tr w14:paraId="4FD6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tcMar>
              <w:top w:w="0" w:type="dxa"/>
              <w:left w:w="105" w:type="dxa"/>
              <w:bottom w:w="0" w:type="dxa"/>
              <w:right w:w="105" w:type="dxa"/>
            </w:tcMar>
            <w:vAlign w:val="center"/>
          </w:tcPr>
          <w:p w14:paraId="3D4AC108">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考核项目</w:t>
            </w:r>
          </w:p>
        </w:tc>
        <w:tc>
          <w:tcPr>
            <w:tcW w:w="1072" w:type="dxa"/>
            <w:tcMar>
              <w:top w:w="0" w:type="dxa"/>
              <w:left w:w="105" w:type="dxa"/>
              <w:bottom w:w="0" w:type="dxa"/>
              <w:right w:w="105" w:type="dxa"/>
            </w:tcMar>
            <w:vAlign w:val="center"/>
          </w:tcPr>
          <w:p w14:paraId="722D7B44">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考核要求</w:t>
            </w:r>
          </w:p>
        </w:tc>
        <w:tc>
          <w:tcPr>
            <w:tcW w:w="573" w:type="dxa"/>
            <w:tcMar>
              <w:top w:w="0" w:type="dxa"/>
              <w:left w:w="105" w:type="dxa"/>
              <w:bottom w:w="0" w:type="dxa"/>
              <w:right w:w="105" w:type="dxa"/>
            </w:tcMar>
            <w:vAlign w:val="center"/>
          </w:tcPr>
          <w:p w14:paraId="7407CAFA">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分值</w:t>
            </w:r>
          </w:p>
        </w:tc>
        <w:tc>
          <w:tcPr>
            <w:tcW w:w="624" w:type="dxa"/>
            <w:tcMar>
              <w:top w:w="0" w:type="dxa"/>
              <w:left w:w="105" w:type="dxa"/>
              <w:bottom w:w="0" w:type="dxa"/>
              <w:right w:w="105" w:type="dxa"/>
            </w:tcMar>
            <w:vAlign w:val="center"/>
          </w:tcPr>
          <w:p w14:paraId="0E96A495">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考核方法</w:t>
            </w:r>
          </w:p>
        </w:tc>
        <w:tc>
          <w:tcPr>
            <w:tcW w:w="4462" w:type="dxa"/>
            <w:tcMar>
              <w:top w:w="0" w:type="dxa"/>
              <w:left w:w="105" w:type="dxa"/>
              <w:bottom w:w="0" w:type="dxa"/>
              <w:right w:w="105" w:type="dxa"/>
            </w:tcMar>
            <w:vAlign w:val="center"/>
          </w:tcPr>
          <w:p w14:paraId="5C08DB08">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考核标准</w:t>
            </w:r>
          </w:p>
        </w:tc>
        <w:tc>
          <w:tcPr>
            <w:tcW w:w="940" w:type="dxa"/>
            <w:tcMar>
              <w:top w:w="0" w:type="dxa"/>
              <w:left w:w="105" w:type="dxa"/>
              <w:bottom w:w="0" w:type="dxa"/>
              <w:right w:w="105" w:type="dxa"/>
            </w:tcMar>
            <w:vAlign w:val="center"/>
          </w:tcPr>
          <w:p w14:paraId="06E05A61">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扣分</w:t>
            </w:r>
          </w:p>
        </w:tc>
      </w:tr>
      <w:tr w14:paraId="6D89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restart"/>
            <w:tcMar>
              <w:top w:w="0" w:type="dxa"/>
              <w:left w:w="105" w:type="dxa"/>
              <w:bottom w:w="0" w:type="dxa"/>
              <w:right w:w="105" w:type="dxa"/>
            </w:tcMar>
            <w:vAlign w:val="center"/>
          </w:tcPr>
          <w:p w14:paraId="7631CB8F">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患者护理(日常照护)50%</w:t>
            </w:r>
          </w:p>
        </w:tc>
        <w:tc>
          <w:tcPr>
            <w:tcW w:w="1072" w:type="dxa"/>
            <w:vMerge w:val="restart"/>
            <w:tcMar>
              <w:top w:w="0" w:type="dxa"/>
              <w:left w:w="105" w:type="dxa"/>
              <w:bottom w:w="0" w:type="dxa"/>
              <w:right w:w="105" w:type="dxa"/>
            </w:tcMar>
            <w:vAlign w:val="center"/>
          </w:tcPr>
          <w:p w14:paraId="4D5B3F38">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基础护理落实到位</w:t>
            </w:r>
          </w:p>
        </w:tc>
        <w:tc>
          <w:tcPr>
            <w:tcW w:w="573" w:type="dxa"/>
            <w:vMerge w:val="restart"/>
            <w:tcMar>
              <w:top w:w="0" w:type="dxa"/>
              <w:left w:w="105" w:type="dxa"/>
              <w:bottom w:w="0" w:type="dxa"/>
              <w:right w:w="105" w:type="dxa"/>
            </w:tcMar>
            <w:vAlign w:val="center"/>
          </w:tcPr>
          <w:p w14:paraId="65FA7645">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15</w:t>
            </w:r>
          </w:p>
        </w:tc>
        <w:tc>
          <w:tcPr>
            <w:tcW w:w="624" w:type="dxa"/>
            <w:vMerge w:val="restart"/>
            <w:tcMar>
              <w:top w:w="0" w:type="dxa"/>
              <w:left w:w="105" w:type="dxa"/>
              <w:bottom w:w="0" w:type="dxa"/>
              <w:right w:w="105" w:type="dxa"/>
            </w:tcMar>
            <w:vAlign w:val="center"/>
          </w:tcPr>
          <w:p w14:paraId="7877AFB4">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查看</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r>
              <w:rPr>
                <w:rFonts w:ascii="仿宋_GB2312" w:hAnsi="仿宋_GB2312" w:eastAsia="仿宋_GB2312" w:cs="仿宋_GB2312"/>
                <w:color w:val="000000" w:themeColor="text1"/>
                <w:sz w:val="18"/>
                <w:szCs w:val="18"/>
                <w:highlight w:val="none"/>
                <w14:textFill>
                  <w14:solidFill>
                    <w14:schemeClr w14:val="tx1"/>
                  </w14:solidFill>
                </w14:textFill>
              </w:rPr>
              <w:t>名患者</w:t>
            </w:r>
          </w:p>
        </w:tc>
        <w:tc>
          <w:tcPr>
            <w:tcW w:w="4462" w:type="dxa"/>
            <w:tcMar>
              <w:top w:w="0" w:type="dxa"/>
              <w:left w:w="105" w:type="dxa"/>
              <w:bottom w:w="0" w:type="dxa"/>
              <w:right w:w="105" w:type="dxa"/>
            </w:tcMar>
            <w:vAlign w:val="top"/>
          </w:tcPr>
          <w:p w14:paraId="6BF67350">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主动询问患者护理需求</w:t>
            </w:r>
          </w:p>
        </w:tc>
        <w:tc>
          <w:tcPr>
            <w:tcW w:w="940" w:type="dxa"/>
            <w:tcMar>
              <w:top w:w="0" w:type="dxa"/>
              <w:left w:w="105" w:type="dxa"/>
              <w:bottom w:w="0" w:type="dxa"/>
              <w:right w:w="105" w:type="dxa"/>
            </w:tcMar>
            <w:vAlign w:val="top"/>
          </w:tcPr>
          <w:p w14:paraId="3AE02D76">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1CC00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350563B9">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34BA3C46">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35F077A7">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0C6BE83C">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57D52E58">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头发清洁，梳理整齐</w:t>
            </w:r>
          </w:p>
        </w:tc>
        <w:tc>
          <w:tcPr>
            <w:tcW w:w="940" w:type="dxa"/>
            <w:tcMar>
              <w:top w:w="0" w:type="dxa"/>
              <w:left w:w="105" w:type="dxa"/>
              <w:bottom w:w="0" w:type="dxa"/>
              <w:right w:w="105" w:type="dxa"/>
            </w:tcMar>
            <w:vAlign w:val="top"/>
          </w:tcPr>
          <w:p w14:paraId="6ED58FCA">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6840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0D4B11B1">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3E9A89BF">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7896A5BA">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4A86A2EF">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300EDEFC">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口腔清洁、无异味</w:t>
            </w:r>
          </w:p>
        </w:tc>
        <w:tc>
          <w:tcPr>
            <w:tcW w:w="940" w:type="dxa"/>
            <w:tcMar>
              <w:top w:w="0" w:type="dxa"/>
              <w:left w:w="105" w:type="dxa"/>
              <w:bottom w:w="0" w:type="dxa"/>
              <w:right w:w="105" w:type="dxa"/>
            </w:tcMar>
            <w:vAlign w:val="top"/>
          </w:tcPr>
          <w:p w14:paraId="69A27A9A">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15FC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50751BE0">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54A85F3E">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22781D36">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6856AEAD">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0F2C2C5A">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面部清洁</w:t>
            </w:r>
          </w:p>
        </w:tc>
        <w:tc>
          <w:tcPr>
            <w:tcW w:w="940" w:type="dxa"/>
            <w:tcMar>
              <w:top w:w="0" w:type="dxa"/>
              <w:left w:w="105" w:type="dxa"/>
              <w:bottom w:w="0" w:type="dxa"/>
              <w:right w:w="105" w:type="dxa"/>
            </w:tcMar>
            <w:vAlign w:val="top"/>
          </w:tcPr>
          <w:p w14:paraId="6050B404">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7048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6B22F730">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5EAB9BB0">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149A1A04">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22081DBF">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38F0389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男患者修整胡须</w:t>
            </w:r>
          </w:p>
        </w:tc>
        <w:tc>
          <w:tcPr>
            <w:tcW w:w="940" w:type="dxa"/>
            <w:tcMar>
              <w:top w:w="0" w:type="dxa"/>
              <w:left w:w="105" w:type="dxa"/>
              <w:bottom w:w="0" w:type="dxa"/>
              <w:right w:w="105" w:type="dxa"/>
            </w:tcMar>
            <w:vAlign w:val="top"/>
          </w:tcPr>
          <w:p w14:paraId="76810298">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76C3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0A3E1635">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207FD876">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56F53FD4">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7BDF3227">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308EFD5D">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指(趾)甲短、清洁无污垢</w:t>
            </w:r>
          </w:p>
        </w:tc>
        <w:tc>
          <w:tcPr>
            <w:tcW w:w="940" w:type="dxa"/>
            <w:tcMar>
              <w:top w:w="0" w:type="dxa"/>
              <w:left w:w="105" w:type="dxa"/>
              <w:bottom w:w="0" w:type="dxa"/>
              <w:right w:w="105" w:type="dxa"/>
            </w:tcMar>
            <w:vAlign w:val="top"/>
          </w:tcPr>
          <w:p w14:paraId="4E57652C">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47A3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2B149D01">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61330289">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79109EC6">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618106A1">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0B51403">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会阴部清洁无异味</w:t>
            </w:r>
          </w:p>
        </w:tc>
        <w:tc>
          <w:tcPr>
            <w:tcW w:w="940" w:type="dxa"/>
            <w:tcMar>
              <w:top w:w="0" w:type="dxa"/>
              <w:left w:w="105" w:type="dxa"/>
              <w:bottom w:w="0" w:type="dxa"/>
              <w:right w:w="105" w:type="dxa"/>
            </w:tcMar>
            <w:vAlign w:val="top"/>
          </w:tcPr>
          <w:p w14:paraId="2F078FBC">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2E4B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5726BA32">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3D18AB2A">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7CE004BD">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5A7931A9">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079EDD78">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肛周清洁</w:t>
            </w:r>
          </w:p>
        </w:tc>
        <w:tc>
          <w:tcPr>
            <w:tcW w:w="940" w:type="dxa"/>
            <w:tcMar>
              <w:top w:w="0" w:type="dxa"/>
              <w:left w:w="105" w:type="dxa"/>
              <w:bottom w:w="0" w:type="dxa"/>
              <w:right w:w="105" w:type="dxa"/>
            </w:tcMar>
            <w:vAlign w:val="top"/>
          </w:tcPr>
          <w:p w14:paraId="45DDC45A">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3397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57EDEC37">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0677DA4B">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0AC0FA6F">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3BBB6144">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3BDB6D7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患者清洁，无污迹</w:t>
            </w:r>
          </w:p>
        </w:tc>
        <w:tc>
          <w:tcPr>
            <w:tcW w:w="940" w:type="dxa"/>
            <w:tcMar>
              <w:top w:w="0" w:type="dxa"/>
              <w:left w:w="105" w:type="dxa"/>
              <w:bottom w:w="0" w:type="dxa"/>
              <w:right w:w="105" w:type="dxa"/>
            </w:tcMar>
            <w:vAlign w:val="top"/>
          </w:tcPr>
          <w:p w14:paraId="17E55312">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6ADD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42F3F882">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1ACAC4D9">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385A5EA9">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5070B032">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2EC01C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皮肤无污垢，清洁无异味</w:t>
            </w:r>
          </w:p>
        </w:tc>
        <w:tc>
          <w:tcPr>
            <w:tcW w:w="940" w:type="dxa"/>
            <w:tcMar>
              <w:top w:w="0" w:type="dxa"/>
              <w:left w:w="105" w:type="dxa"/>
              <w:bottom w:w="0" w:type="dxa"/>
              <w:right w:w="105" w:type="dxa"/>
            </w:tcMar>
            <w:vAlign w:val="top"/>
          </w:tcPr>
          <w:p w14:paraId="20F18C12">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1F09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0166C507">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1EFB7810">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3030554E">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0B6603FB">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1E785587">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协助床上擦浴或洗头、足部护理，协助患者及时更衣</w:t>
            </w:r>
          </w:p>
        </w:tc>
        <w:tc>
          <w:tcPr>
            <w:tcW w:w="940" w:type="dxa"/>
            <w:tcMar>
              <w:top w:w="0" w:type="dxa"/>
              <w:left w:w="105" w:type="dxa"/>
              <w:bottom w:w="0" w:type="dxa"/>
              <w:right w:w="105" w:type="dxa"/>
            </w:tcMar>
            <w:vAlign w:val="top"/>
          </w:tcPr>
          <w:p w14:paraId="564E217C">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4317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1E156176">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196201AE">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6FC4921E">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72AD553B">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5BDA28DD">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护理患者前后洗手</w:t>
            </w:r>
          </w:p>
        </w:tc>
        <w:tc>
          <w:tcPr>
            <w:tcW w:w="940" w:type="dxa"/>
            <w:tcMar>
              <w:top w:w="0" w:type="dxa"/>
              <w:left w:w="105" w:type="dxa"/>
              <w:bottom w:w="0" w:type="dxa"/>
              <w:right w:w="105" w:type="dxa"/>
            </w:tcMar>
            <w:vAlign w:val="top"/>
          </w:tcPr>
          <w:p w14:paraId="3BCEB9EE">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287A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743546F6">
            <w:pPr>
              <w:jc w:val="center"/>
              <w:rPr>
                <w:color w:val="000000" w:themeColor="text1"/>
                <w:sz w:val="18"/>
                <w:szCs w:val="18"/>
                <w:highlight w:val="none"/>
                <w14:textFill>
                  <w14:solidFill>
                    <w14:schemeClr w14:val="tx1"/>
                  </w14:solidFill>
                </w14:textFill>
              </w:rPr>
            </w:pPr>
          </w:p>
        </w:tc>
        <w:tc>
          <w:tcPr>
            <w:tcW w:w="1072" w:type="dxa"/>
            <w:vMerge w:val="restart"/>
            <w:tcMar>
              <w:top w:w="0" w:type="dxa"/>
              <w:left w:w="105" w:type="dxa"/>
              <w:bottom w:w="0" w:type="dxa"/>
              <w:right w:w="105" w:type="dxa"/>
            </w:tcMar>
            <w:vAlign w:val="center"/>
          </w:tcPr>
          <w:p w14:paraId="0769C997">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饮食饮水服药照护</w:t>
            </w:r>
          </w:p>
        </w:tc>
        <w:tc>
          <w:tcPr>
            <w:tcW w:w="573" w:type="dxa"/>
            <w:vMerge w:val="restart"/>
            <w:tcMar>
              <w:top w:w="0" w:type="dxa"/>
              <w:left w:w="105" w:type="dxa"/>
              <w:bottom w:w="0" w:type="dxa"/>
              <w:right w:w="105" w:type="dxa"/>
            </w:tcMar>
            <w:vAlign w:val="center"/>
          </w:tcPr>
          <w:p w14:paraId="137B6DE8">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6</w:t>
            </w:r>
          </w:p>
        </w:tc>
        <w:tc>
          <w:tcPr>
            <w:tcW w:w="624" w:type="dxa"/>
            <w:vMerge w:val="continue"/>
            <w:vAlign w:val="center"/>
          </w:tcPr>
          <w:p w14:paraId="1929CF38">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9EA464D">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协助生活不能自理者进食</w:t>
            </w:r>
          </w:p>
        </w:tc>
        <w:tc>
          <w:tcPr>
            <w:tcW w:w="940" w:type="dxa"/>
            <w:tcMar>
              <w:top w:w="0" w:type="dxa"/>
              <w:left w:w="105" w:type="dxa"/>
              <w:bottom w:w="0" w:type="dxa"/>
              <w:right w:w="105" w:type="dxa"/>
            </w:tcMar>
            <w:vAlign w:val="top"/>
          </w:tcPr>
          <w:p w14:paraId="393ABD83">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23DF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02" w:type="dxa"/>
            <w:vMerge w:val="continue"/>
            <w:vAlign w:val="center"/>
          </w:tcPr>
          <w:p w14:paraId="1813BD26">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0F6562E6">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2053C45F">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3D852828">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22F6588C">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协助(观察)进食或饮水、服药(情况)，异常情况及时报告</w:t>
            </w:r>
          </w:p>
        </w:tc>
        <w:tc>
          <w:tcPr>
            <w:tcW w:w="940" w:type="dxa"/>
            <w:tcMar>
              <w:top w:w="0" w:type="dxa"/>
              <w:left w:w="105" w:type="dxa"/>
              <w:bottom w:w="0" w:type="dxa"/>
              <w:right w:w="105" w:type="dxa"/>
            </w:tcMar>
            <w:vAlign w:val="top"/>
          </w:tcPr>
          <w:p w14:paraId="2AC4859C">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7F3C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6C6FD4F2">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5218AEF6">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16A8664D">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538C7531">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21B603F">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送餐到床头</w:t>
            </w:r>
          </w:p>
        </w:tc>
        <w:tc>
          <w:tcPr>
            <w:tcW w:w="940" w:type="dxa"/>
            <w:tcMar>
              <w:top w:w="0" w:type="dxa"/>
              <w:left w:w="105" w:type="dxa"/>
              <w:bottom w:w="0" w:type="dxa"/>
              <w:right w:w="105" w:type="dxa"/>
            </w:tcMar>
            <w:vAlign w:val="top"/>
          </w:tcPr>
          <w:p w14:paraId="0C751B42">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6D6D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0BB954F5">
            <w:pPr>
              <w:jc w:val="center"/>
              <w:rPr>
                <w:color w:val="000000" w:themeColor="text1"/>
                <w:sz w:val="18"/>
                <w:szCs w:val="18"/>
                <w:highlight w:val="none"/>
                <w14:textFill>
                  <w14:solidFill>
                    <w14:schemeClr w14:val="tx1"/>
                  </w14:solidFill>
                </w14:textFill>
              </w:rPr>
            </w:pPr>
          </w:p>
        </w:tc>
        <w:tc>
          <w:tcPr>
            <w:tcW w:w="1072" w:type="dxa"/>
            <w:vMerge w:val="restart"/>
            <w:tcMar>
              <w:top w:w="0" w:type="dxa"/>
              <w:left w:w="105" w:type="dxa"/>
              <w:bottom w:w="0" w:type="dxa"/>
              <w:right w:w="105" w:type="dxa"/>
            </w:tcMar>
            <w:vAlign w:val="center"/>
          </w:tcPr>
          <w:p w14:paraId="0CE27C54">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做好二便及日常照护</w:t>
            </w:r>
          </w:p>
        </w:tc>
        <w:tc>
          <w:tcPr>
            <w:tcW w:w="573" w:type="dxa"/>
            <w:vMerge w:val="restart"/>
            <w:tcMar>
              <w:top w:w="0" w:type="dxa"/>
              <w:left w:w="105" w:type="dxa"/>
              <w:bottom w:w="0" w:type="dxa"/>
              <w:right w:w="105" w:type="dxa"/>
            </w:tcMar>
            <w:vAlign w:val="center"/>
          </w:tcPr>
          <w:p w14:paraId="070C0532">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6</w:t>
            </w:r>
          </w:p>
        </w:tc>
        <w:tc>
          <w:tcPr>
            <w:tcW w:w="624" w:type="dxa"/>
            <w:vMerge w:val="continue"/>
            <w:vAlign w:val="center"/>
          </w:tcPr>
          <w:p w14:paraId="2FFAC1EE">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5D605267">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二便失禁患者便后及时更换尿布、清洁到位</w:t>
            </w:r>
          </w:p>
        </w:tc>
        <w:tc>
          <w:tcPr>
            <w:tcW w:w="940" w:type="dxa"/>
            <w:tcMar>
              <w:top w:w="0" w:type="dxa"/>
              <w:left w:w="105" w:type="dxa"/>
              <w:bottom w:w="0" w:type="dxa"/>
              <w:right w:w="105" w:type="dxa"/>
            </w:tcMar>
            <w:vAlign w:val="top"/>
          </w:tcPr>
          <w:p w14:paraId="1226B126">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2</w:t>
            </w:r>
          </w:p>
        </w:tc>
      </w:tr>
      <w:tr w14:paraId="368E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704795AF">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2FB21CC3">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597F9997">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5CA6FF9F">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BCC706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协助年老体弱、行动不便、术后患者如厕</w:t>
            </w:r>
          </w:p>
        </w:tc>
        <w:tc>
          <w:tcPr>
            <w:tcW w:w="940" w:type="dxa"/>
            <w:tcMar>
              <w:top w:w="0" w:type="dxa"/>
              <w:left w:w="105" w:type="dxa"/>
              <w:bottom w:w="0" w:type="dxa"/>
              <w:right w:w="105" w:type="dxa"/>
            </w:tcMar>
            <w:vAlign w:val="top"/>
          </w:tcPr>
          <w:p w14:paraId="6CBE65F2">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3258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20657518">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66972297">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2E5AF177">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1AF44CFA">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539A29A8">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协助床上使用便器</w:t>
            </w:r>
          </w:p>
        </w:tc>
        <w:tc>
          <w:tcPr>
            <w:tcW w:w="940" w:type="dxa"/>
            <w:tcMar>
              <w:top w:w="0" w:type="dxa"/>
              <w:left w:w="105" w:type="dxa"/>
              <w:bottom w:w="0" w:type="dxa"/>
              <w:right w:w="105" w:type="dxa"/>
            </w:tcMar>
            <w:vAlign w:val="top"/>
          </w:tcPr>
          <w:p w14:paraId="56278C65">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2492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0AC24A66">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66FB87E6">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3E06FE45">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3A5524F9">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7A28D5B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协助患者过床</w:t>
            </w:r>
          </w:p>
        </w:tc>
        <w:tc>
          <w:tcPr>
            <w:tcW w:w="940" w:type="dxa"/>
            <w:tcMar>
              <w:top w:w="0" w:type="dxa"/>
              <w:left w:w="105" w:type="dxa"/>
              <w:bottom w:w="0" w:type="dxa"/>
              <w:right w:w="105" w:type="dxa"/>
            </w:tcMar>
            <w:vAlign w:val="top"/>
          </w:tcPr>
          <w:p w14:paraId="36D65526">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7FD6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3DB801F2">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229DAAB3">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4E5A9BF1">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4A81B85A">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3F634464">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协助患者上下床</w:t>
            </w:r>
          </w:p>
        </w:tc>
        <w:tc>
          <w:tcPr>
            <w:tcW w:w="940" w:type="dxa"/>
            <w:tcMar>
              <w:top w:w="0" w:type="dxa"/>
              <w:left w:w="105" w:type="dxa"/>
              <w:bottom w:w="0" w:type="dxa"/>
              <w:right w:w="105" w:type="dxa"/>
            </w:tcMar>
            <w:vAlign w:val="top"/>
          </w:tcPr>
          <w:p w14:paraId="545098C4">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033B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4E4F3038">
            <w:pPr>
              <w:jc w:val="center"/>
              <w:rPr>
                <w:color w:val="000000" w:themeColor="text1"/>
                <w:sz w:val="18"/>
                <w:szCs w:val="18"/>
                <w:highlight w:val="none"/>
                <w14:textFill>
                  <w14:solidFill>
                    <w14:schemeClr w14:val="tx1"/>
                  </w14:solidFill>
                </w14:textFill>
              </w:rPr>
            </w:pPr>
          </w:p>
        </w:tc>
        <w:tc>
          <w:tcPr>
            <w:tcW w:w="1072" w:type="dxa"/>
            <w:vMerge w:val="restart"/>
            <w:tcMar>
              <w:top w:w="0" w:type="dxa"/>
              <w:left w:w="105" w:type="dxa"/>
              <w:bottom w:w="0" w:type="dxa"/>
              <w:right w:w="105" w:type="dxa"/>
            </w:tcMar>
            <w:vAlign w:val="center"/>
          </w:tcPr>
          <w:p w14:paraId="51263E45">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落实安全措施</w:t>
            </w:r>
          </w:p>
        </w:tc>
        <w:tc>
          <w:tcPr>
            <w:tcW w:w="573" w:type="dxa"/>
            <w:vMerge w:val="restart"/>
            <w:tcMar>
              <w:top w:w="0" w:type="dxa"/>
              <w:left w:w="105" w:type="dxa"/>
              <w:bottom w:w="0" w:type="dxa"/>
              <w:right w:w="105" w:type="dxa"/>
            </w:tcMar>
            <w:vAlign w:val="center"/>
          </w:tcPr>
          <w:p w14:paraId="2F3EB454">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15</w:t>
            </w:r>
          </w:p>
        </w:tc>
        <w:tc>
          <w:tcPr>
            <w:tcW w:w="624" w:type="dxa"/>
            <w:vMerge w:val="continue"/>
            <w:vAlign w:val="center"/>
          </w:tcPr>
          <w:p w14:paraId="67C8395D">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BF5CC8F">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无出现皮肤潮湿、压痕或骨突出处压红</w:t>
            </w:r>
          </w:p>
        </w:tc>
        <w:tc>
          <w:tcPr>
            <w:tcW w:w="940" w:type="dxa"/>
            <w:tcMar>
              <w:top w:w="0" w:type="dxa"/>
              <w:left w:w="105" w:type="dxa"/>
              <w:bottom w:w="0" w:type="dxa"/>
              <w:right w:w="105" w:type="dxa"/>
            </w:tcMar>
            <w:vAlign w:val="top"/>
          </w:tcPr>
          <w:p w14:paraId="2F445FE3">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2</w:t>
            </w:r>
          </w:p>
        </w:tc>
      </w:tr>
      <w:tr w14:paraId="3E5A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6518E750">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374C7C6E">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7A3D62DB">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2AD4D841">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6A845B30">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年老体弱、跌倒高风险患者休息时及时上好双侧护栏</w:t>
            </w:r>
          </w:p>
        </w:tc>
        <w:tc>
          <w:tcPr>
            <w:tcW w:w="940" w:type="dxa"/>
            <w:tcMar>
              <w:top w:w="0" w:type="dxa"/>
              <w:left w:w="105" w:type="dxa"/>
              <w:bottom w:w="0" w:type="dxa"/>
              <w:right w:w="105" w:type="dxa"/>
            </w:tcMar>
            <w:vAlign w:val="top"/>
          </w:tcPr>
          <w:p w14:paraId="6FFE45E6">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59EF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459EBAC3">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1522F494">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41747E37">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1D29EA29">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3A5B670E">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高危跌倒、压疮患者，多巡视多翻身，特殊患者做好交班</w:t>
            </w:r>
          </w:p>
        </w:tc>
        <w:tc>
          <w:tcPr>
            <w:tcW w:w="940" w:type="dxa"/>
            <w:tcMar>
              <w:top w:w="0" w:type="dxa"/>
              <w:left w:w="105" w:type="dxa"/>
              <w:bottom w:w="0" w:type="dxa"/>
              <w:right w:w="105" w:type="dxa"/>
            </w:tcMar>
            <w:vAlign w:val="top"/>
          </w:tcPr>
          <w:p w14:paraId="3ADCBDDA">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1A45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36C148A3">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2BE222C3">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633F2D8B">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23359FC6">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C1927C3">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患者休息时应上护栏</w:t>
            </w:r>
          </w:p>
        </w:tc>
        <w:tc>
          <w:tcPr>
            <w:tcW w:w="940" w:type="dxa"/>
            <w:tcMar>
              <w:top w:w="0" w:type="dxa"/>
              <w:left w:w="105" w:type="dxa"/>
              <w:bottom w:w="0" w:type="dxa"/>
              <w:right w:w="105" w:type="dxa"/>
            </w:tcMar>
            <w:vAlign w:val="top"/>
          </w:tcPr>
          <w:p w14:paraId="15708E7F">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1E82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7EEDBCC5">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74642E27">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5BB8A73E">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37C8C516">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2178906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管路放置规范、无垂地及位置正确等</w:t>
            </w:r>
          </w:p>
        </w:tc>
        <w:tc>
          <w:tcPr>
            <w:tcW w:w="940" w:type="dxa"/>
            <w:tcMar>
              <w:top w:w="0" w:type="dxa"/>
              <w:left w:w="105" w:type="dxa"/>
              <w:bottom w:w="0" w:type="dxa"/>
              <w:right w:w="105" w:type="dxa"/>
            </w:tcMar>
            <w:vAlign w:val="top"/>
          </w:tcPr>
          <w:p w14:paraId="1CDD7D74">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3B62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484BF8C9">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45E0D294">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38909749">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58B0C723">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EA4A2A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知晓并落实防跌倒、防压力性损伤或防管路脱落的措施</w:t>
            </w:r>
          </w:p>
        </w:tc>
        <w:tc>
          <w:tcPr>
            <w:tcW w:w="940" w:type="dxa"/>
            <w:tcMar>
              <w:top w:w="0" w:type="dxa"/>
              <w:left w:w="105" w:type="dxa"/>
              <w:bottom w:w="0" w:type="dxa"/>
              <w:right w:w="105" w:type="dxa"/>
            </w:tcMar>
            <w:vAlign w:val="top"/>
          </w:tcPr>
          <w:p w14:paraId="198A8769">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1F9B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3C282C7C">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6A2AB769">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038C9C83">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62B7FFC5">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2D2D0F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对于一级、重症患者随时关注，有异常及时报告护士</w:t>
            </w:r>
          </w:p>
        </w:tc>
        <w:tc>
          <w:tcPr>
            <w:tcW w:w="940" w:type="dxa"/>
            <w:tcMar>
              <w:top w:w="0" w:type="dxa"/>
              <w:left w:w="105" w:type="dxa"/>
              <w:bottom w:w="0" w:type="dxa"/>
              <w:right w:w="105" w:type="dxa"/>
            </w:tcMar>
            <w:vAlign w:val="top"/>
          </w:tcPr>
          <w:p w14:paraId="181F33FC">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1822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55E1C85D">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36A68DBF">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777FB120">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45656528">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8741BC3">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发生突发意外情况，及时上报，不瞒报(若瞒报导致严重后果的进行相应处罚)</w:t>
            </w:r>
          </w:p>
        </w:tc>
        <w:tc>
          <w:tcPr>
            <w:tcW w:w="940" w:type="dxa"/>
            <w:tcMar>
              <w:top w:w="0" w:type="dxa"/>
              <w:left w:w="105" w:type="dxa"/>
              <w:bottom w:w="0" w:type="dxa"/>
              <w:right w:w="105" w:type="dxa"/>
            </w:tcMar>
            <w:vAlign w:val="top"/>
          </w:tcPr>
          <w:p w14:paraId="2E96330C">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2</w:t>
            </w:r>
          </w:p>
        </w:tc>
      </w:tr>
      <w:tr w14:paraId="57C7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6312A8F3">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7C843514">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152CCCF9">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17BC1DD1">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68CFAE50">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危重、一级患者交接班到位</w:t>
            </w:r>
          </w:p>
        </w:tc>
        <w:tc>
          <w:tcPr>
            <w:tcW w:w="940" w:type="dxa"/>
            <w:tcMar>
              <w:top w:w="0" w:type="dxa"/>
              <w:left w:w="105" w:type="dxa"/>
              <w:bottom w:w="0" w:type="dxa"/>
              <w:right w:w="105" w:type="dxa"/>
            </w:tcMar>
            <w:vAlign w:val="top"/>
          </w:tcPr>
          <w:p w14:paraId="4D1E20AB">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6E84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4E6E3F61">
            <w:pPr>
              <w:jc w:val="center"/>
              <w:rPr>
                <w:color w:val="000000" w:themeColor="text1"/>
                <w:sz w:val="18"/>
                <w:szCs w:val="18"/>
                <w:highlight w:val="none"/>
                <w14:textFill>
                  <w14:solidFill>
                    <w14:schemeClr w14:val="tx1"/>
                  </w14:solidFill>
                </w14:textFill>
              </w:rPr>
            </w:pPr>
          </w:p>
        </w:tc>
        <w:tc>
          <w:tcPr>
            <w:tcW w:w="1072" w:type="dxa"/>
            <w:vMerge w:val="restart"/>
            <w:tcMar>
              <w:top w:w="0" w:type="dxa"/>
              <w:left w:w="105" w:type="dxa"/>
              <w:bottom w:w="0" w:type="dxa"/>
              <w:right w:w="105" w:type="dxa"/>
            </w:tcMar>
            <w:vAlign w:val="center"/>
          </w:tcPr>
          <w:p w14:paraId="41CE5027">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协助患者活动及康复锻炼</w:t>
            </w:r>
          </w:p>
        </w:tc>
        <w:tc>
          <w:tcPr>
            <w:tcW w:w="573" w:type="dxa"/>
            <w:vMerge w:val="restart"/>
            <w:tcMar>
              <w:top w:w="0" w:type="dxa"/>
              <w:left w:w="105" w:type="dxa"/>
              <w:bottom w:w="0" w:type="dxa"/>
              <w:right w:w="105" w:type="dxa"/>
            </w:tcMar>
            <w:vAlign w:val="center"/>
          </w:tcPr>
          <w:p w14:paraId="4281BC5C">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8</w:t>
            </w:r>
          </w:p>
        </w:tc>
        <w:tc>
          <w:tcPr>
            <w:tcW w:w="624" w:type="dxa"/>
            <w:vMerge w:val="continue"/>
            <w:tcMar>
              <w:top w:w="0" w:type="dxa"/>
              <w:left w:w="105" w:type="dxa"/>
              <w:bottom w:w="0" w:type="dxa"/>
              <w:right w:w="105" w:type="dxa"/>
            </w:tcMar>
            <w:vAlign w:val="center"/>
          </w:tcPr>
          <w:p w14:paraId="185A3630">
            <w:pPr>
              <w:pStyle w:val="99"/>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6759C9CF">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患者体位符合病情要求，处于功能位</w:t>
            </w:r>
          </w:p>
        </w:tc>
        <w:tc>
          <w:tcPr>
            <w:tcW w:w="940" w:type="dxa"/>
            <w:tcMar>
              <w:top w:w="0" w:type="dxa"/>
              <w:left w:w="105" w:type="dxa"/>
              <w:bottom w:w="0" w:type="dxa"/>
              <w:right w:w="105" w:type="dxa"/>
            </w:tcMar>
            <w:vAlign w:val="top"/>
          </w:tcPr>
          <w:p w14:paraId="0721D061">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1B3E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4EAAA492">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2691B313">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22BC5FD9">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627B5944">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2AB22BD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协助患者翻身，拍背或指导有效咳嗽</w:t>
            </w:r>
          </w:p>
        </w:tc>
        <w:tc>
          <w:tcPr>
            <w:tcW w:w="940" w:type="dxa"/>
            <w:tcMar>
              <w:top w:w="0" w:type="dxa"/>
              <w:left w:w="105" w:type="dxa"/>
              <w:bottom w:w="0" w:type="dxa"/>
              <w:right w:w="105" w:type="dxa"/>
            </w:tcMar>
            <w:vAlign w:val="top"/>
          </w:tcPr>
          <w:p w14:paraId="48BCA72E">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0E48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7351E4C2">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6EEB30C8">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75BA507E">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620AAF4C">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17DC89D9">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协助长期卧床或者行动不便患者进行四肢功能锻炼</w:t>
            </w:r>
          </w:p>
        </w:tc>
        <w:tc>
          <w:tcPr>
            <w:tcW w:w="940" w:type="dxa"/>
            <w:tcMar>
              <w:top w:w="0" w:type="dxa"/>
              <w:left w:w="105" w:type="dxa"/>
              <w:bottom w:w="0" w:type="dxa"/>
              <w:right w:w="105" w:type="dxa"/>
            </w:tcMar>
            <w:vAlign w:val="top"/>
          </w:tcPr>
          <w:p w14:paraId="0ABDABFB">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5219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15C94692">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3ECB3C8C">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1C1924E9">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1D384355">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31834B3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拐杖、助行器放置患者床旁</w:t>
            </w:r>
          </w:p>
        </w:tc>
        <w:tc>
          <w:tcPr>
            <w:tcW w:w="940" w:type="dxa"/>
            <w:tcMar>
              <w:top w:w="0" w:type="dxa"/>
              <w:left w:w="105" w:type="dxa"/>
              <w:bottom w:w="0" w:type="dxa"/>
              <w:right w:w="105" w:type="dxa"/>
            </w:tcMar>
            <w:vAlign w:val="top"/>
          </w:tcPr>
          <w:p w14:paraId="47C0B4FA">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095B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4B957127">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6AB62AC1">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6C1465B7">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09699BB1">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57690D09">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提供陪检服务</w:t>
            </w:r>
          </w:p>
        </w:tc>
        <w:tc>
          <w:tcPr>
            <w:tcW w:w="940" w:type="dxa"/>
            <w:tcMar>
              <w:top w:w="0" w:type="dxa"/>
              <w:left w:w="105" w:type="dxa"/>
              <w:bottom w:w="0" w:type="dxa"/>
              <w:right w:w="105" w:type="dxa"/>
            </w:tcMar>
            <w:vAlign w:val="top"/>
          </w:tcPr>
          <w:p w14:paraId="308840F9">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6022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143C8167">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3A5E6F46">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244969E3">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619D9E68">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51EDCD2E">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提供陪检服务及时</w:t>
            </w:r>
          </w:p>
        </w:tc>
        <w:tc>
          <w:tcPr>
            <w:tcW w:w="940" w:type="dxa"/>
            <w:tcMar>
              <w:top w:w="0" w:type="dxa"/>
              <w:left w:w="105" w:type="dxa"/>
              <w:bottom w:w="0" w:type="dxa"/>
              <w:right w:w="105" w:type="dxa"/>
            </w:tcMar>
            <w:vAlign w:val="top"/>
          </w:tcPr>
          <w:p w14:paraId="3EA4BD93">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305D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4E3FB13B">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5252D592">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387B5542">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0677688B">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2B1F90C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陪检人员服务态度好</w:t>
            </w:r>
          </w:p>
        </w:tc>
        <w:tc>
          <w:tcPr>
            <w:tcW w:w="940" w:type="dxa"/>
            <w:tcMar>
              <w:top w:w="0" w:type="dxa"/>
              <w:left w:w="105" w:type="dxa"/>
              <w:bottom w:w="0" w:type="dxa"/>
              <w:right w:w="105" w:type="dxa"/>
            </w:tcMar>
            <w:vAlign w:val="top"/>
          </w:tcPr>
          <w:p w14:paraId="2BD38D6C">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517D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437E100C">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1852D5D9">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2159B653">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177A4A15">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15259FD">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提供合适的运送工具</w:t>
            </w:r>
          </w:p>
        </w:tc>
        <w:tc>
          <w:tcPr>
            <w:tcW w:w="940" w:type="dxa"/>
            <w:tcMar>
              <w:top w:w="0" w:type="dxa"/>
              <w:left w:w="105" w:type="dxa"/>
              <w:bottom w:w="0" w:type="dxa"/>
              <w:right w:w="105" w:type="dxa"/>
            </w:tcMar>
            <w:vAlign w:val="top"/>
          </w:tcPr>
          <w:p w14:paraId="5966589B">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4657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02" w:type="dxa"/>
            <w:vMerge w:val="continue"/>
            <w:vAlign w:val="center"/>
          </w:tcPr>
          <w:p w14:paraId="2864CCBF">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7CC6885E">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69E62C30">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13876C4B">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C680D2D">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帮助需要轮椅及平车的出院病人送至一楼门口</w:t>
            </w:r>
          </w:p>
        </w:tc>
        <w:tc>
          <w:tcPr>
            <w:tcW w:w="940" w:type="dxa"/>
            <w:tcMar>
              <w:top w:w="0" w:type="dxa"/>
              <w:left w:w="105" w:type="dxa"/>
              <w:bottom w:w="0" w:type="dxa"/>
              <w:right w:w="105" w:type="dxa"/>
            </w:tcMar>
            <w:vAlign w:val="top"/>
          </w:tcPr>
          <w:p w14:paraId="58C0100D">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0EE0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restart"/>
            <w:tcMar>
              <w:top w:w="0" w:type="dxa"/>
              <w:left w:w="105" w:type="dxa"/>
              <w:bottom w:w="0" w:type="dxa"/>
              <w:right w:w="105" w:type="dxa"/>
            </w:tcMar>
            <w:vAlign w:val="center"/>
          </w:tcPr>
          <w:p w14:paraId="7280EF29">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病室管理30%</w:t>
            </w:r>
          </w:p>
        </w:tc>
        <w:tc>
          <w:tcPr>
            <w:tcW w:w="1072" w:type="dxa"/>
            <w:vMerge w:val="restart"/>
            <w:tcMar>
              <w:top w:w="0" w:type="dxa"/>
              <w:left w:w="105" w:type="dxa"/>
              <w:bottom w:w="0" w:type="dxa"/>
              <w:right w:w="105" w:type="dxa"/>
            </w:tcMar>
            <w:vAlign w:val="center"/>
          </w:tcPr>
          <w:p w14:paraId="73FBC975">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病室物品摆放有序，保持床单位整洁</w:t>
            </w:r>
          </w:p>
        </w:tc>
        <w:tc>
          <w:tcPr>
            <w:tcW w:w="573" w:type="dxa"/>
            <w:vMerge w:val="restart"/>
            <w:tcMar>
              <w:top w:w="0" w:type="dxa"/>
              <w:left w:w="105" w:type="dxa"/>
              <w:bottom w:w="0" w:type="dxa"/>
              <w:right w:w="105" w:type="dxa"/>
            </w:tcMar>
            <w:vAlign w:val="center"/>
          </w:tcPr>
          <w:p w14:paraId="15D635F9">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30</w:t>
            </w:r>
          </w:p>
        </w:tc>
        <w:tc>
          <w:tcPr>
            <w:tcW w:w="624" w:type="dxa"/>
            <w:vMerge w:val="restart"/>
            <w:tcMar>
              <w:top w:w="0" w:type="dxa"/>
              <w:left w:w="105" w:type="dxa"/>
              <w:bottom w:w="0" w:type="dxa"/>
              <w:right w:w="105" w:type="dxa"/>
            </w:tcMar>
            <w:vAlign w:val="center"/>
          </w:tcPr>
          <w:p w14:paraId="16EC2209">
            <w:pPr>
              <w:pStyle w:val="99"/>
              <w:jc w:val="center"/>
              <w:rPr>
                <w:rFonts w:hint="default" w:eastAsia="仿宋_GB2312"/>
                <w:color w:val="000000" w:themeColor="text1"/>
                <w:sz w:val="18"/>
                <w:szCs w:val="18"/>
                <w:highlight w:val="none"/>
                <w:lang w:val="en-US" w:eastAsia="zh-CN"/>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查看</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5名患者</w:t>
            </w:r>
          </w:p>
        </w:tc>
        <w:tc>
          <w:tcPr>
            <w:tcW w:w="4462" w:type="dxa"/>
            <w:tcMar>
              <w:top w:w="0" w:type="dxa"/>
              <w:left w:w="105" w:type="dxa"/>
              <w:bottom w:w="0" w:type="dxa"/>
              <w:right w:w="105" w:type="dxa"/>
            </w:tcMar>
            <w:vAlign w:val="top"/>
          </w:tcPr>
          <w:p w14:paraId="3081DA37">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病房安静无嘈杂，无闲杂人员</w:t>
            </w:r>
          </w:p>
        </w:tc>
        <w:tc>
          <w:tcPr>
            <w:tcW w:w="940" w:type="dxa"/>
            <w:tcMar>
              <w:top w:w="0" w:type="dxa"/>
              <w:left w:w="105" w:type="dxa"/>
              <w:bottom w:w="0" w:type="dxa"/>
              <w:right w:w="105" w:type="dxa"/>
            </w:tcMar>
            <w:vAlign w:val="top"/>
          </w:tcPr>
          <w:p w14:paraId="37E2E636">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30E3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76BD3669">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031D01F8">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52A36674">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7C7DA516">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278B2BD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陪护人员按规定管理</w:t>
            </w:r>
          </w:p>
        </w:tc>
        <w:tc>
          <w:tcPr>
            <w:tcW w:w="940" w:type="dxa"/>
            <w:tcMar>
              <w:top w:w="0" w:type="dxa"/>
              <w:left w:w="105" w:type="dxa"/>
              <w:bottom w:w="0" w:type="dxa"/>
              <w:right w:w="105" w:type="dxa"/>
            </w:tcMar>
            <w:vAlign w:val="top"/>
          </w:tcPr>
          <w:p w14:paraId="628A0F5B">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584D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7B1D5D3E">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2126DDB2">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081B607D">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63695A76">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1A63471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床单位干净、整洁、平整</w:t>
            </w:r>
          </w:p>
        </w:tc>
        <w:tc>
          <w:tcPr>
            <w:tcW w:w="940" w:type="dxa"/>
            <w:tcMar>
              <w:top w:w="0" w:type="dxa"/>
              <w:left w:w="105" w:type="dxa"/>
              <w:bottom w:w="0" w:type="dxa"/>
              <w:right w:w="105" w:type="dxa"/>
            </w:tcMar>
            <w:vAlign w:val="top"/>
          </w:tcPr>
          <w:p w14:paraId="589E5B9C">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2234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7E711856">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223B1F36">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65C07E52">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5491572B">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1B6A1DE1">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晨间护理时做到一床一套或者清洁湿扫，床单无渣屑</w:t>
            </w:r>
          </w:p>
        </w:tc>
        <w:tc>
          <w:tcPr>
            <w:tcW w:w="940" w:type="dxa"/>
            <w:tcMar>
              <w:top w:w="0" w:type="dxa"/>
              <w:left w:w="105" w:type="dxa"/>
              <w:bottom w:w="0" w:type="dxa"/>
              <w:right w:w="105" w:type="dxa"/>
            </w:tcMar>
            <w:vAlign w:val="top"/>
          </w:tcPr>
          <w:p w14:paraId="4E5B3975">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00F3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3744BE3E">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4161D109">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080DFE34">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3B36F52E">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2F5E230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床单、枕套、被套干净无污迹、无潮湿</w:t>
            </w:r>
          </w:p>
        </w:tc>
        <w:tc>
          <w:tcPr>
            <w:tcW w:w="940" w:type="dxa"/>
            <w:tcMar>
              <w:top w:w="0" w:type="dxa"/>
              <w:left w:w="105" w:type="dxa"/>
              <w:bottom w:w="0" w:type="dxa"/>
              <w:right w:w="105" w:type="dxa"/>
            </w:tcMar>
            <w:vAlign w:val="top"/>
          </w:tcPr>
          <w:p w14:paraId="71DE5FE6">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0CE4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42A4C7A8">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20CB217D">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34F3C37A">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1C4C564F">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3080C7E3">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床上无患者自带物品</w:t>
            </w:r>
          </w:p>
        </w:tc>
        <w:tc>
          <w:tcPr>
            <w:tcW w:w="940" w:type="dxa"/>
            <w:tcMar>
              <w:top w:w="0" w:type="dxa"/>
              <w:left w:w="105" w:type="dxa"/>
              <w:bottom w:w="0" w:type="dxa"/>
              <w:right w:w="105" w:type="dxa"/>
            </w:tcMar>
            <w:vAlign w:val="top"/>
          </w:tcPr>
          <w:p w14:paraId="14306CA9">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2DEB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6C96B8AF">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5ECA119F">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637155F5">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1069F137">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26812E77">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床头柜物品摆放有序</w:t>
            </w:r>
          </w:p>
        </w:tc>
        <w:tc>
          <w:tcPr>
            <w:tcW w:w="940" w:type="dxa"/>
            <w:tcMar>
              <w:top w:w="0" w:type="dxa"/>
              <w:left w:w="105" w:type="dxa"/>
              <w:bottom w:w="0" w:type="dxa"/>
              <w:right w:w="105" w:type="dxa"/>
            </w:tcMar>
            <w:vAlign w:val="top"/>
          </w:tcPr>
          <w:p w14:paraId="0C51A523">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213C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0A3795E9">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0DDE9DB9">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5BE88589">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60A74D53">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05CA95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床头柜、病床清洁，无灰尘</w:t>
            </w:r>
          </w:p>
        </w:tc>
        <w:tc>
          <w:tcPr>
            <w:tcW w:w="940" w:type="dxa"/>
            <w:tcMar>
              <w:top w:w="0" w:type="dxa"/>
              <w:left w:w="105" w:type="dxa"/>
              <w:bottom w:w="0" w:type="dxa"/>
              <w:right w:w="105" w:type="dxa"/>
            </w:tcMar>
            <w:vAlign w:val="top"/>
          </w:tcPr>
          <w:p w14:paraId="0BF36E47">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4B2B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129BEF8F">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63D36ED5">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2BA038F7">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3EA18027">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60425B5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病床、窗台无杂物、床把手整齐</w:t>
            </w:r>
          </w:p>
        </w:tc>
        <w:tc>
          <w:tcPr>
            <w:tcW w:w="940" w:type="dxa"/>
            <w:tcMar>
              <w:top w:w="0" w:type="dxa"/>
              <w:left w:w="105" w:type="dxa"/>
              <w:bottom w:w="0" w:type="dxa"/>
              <w:right w:w="105" w:type="dxa"/>
            </w:tcMar>
            <w:vAlign w:val="top"/>
          </w:tcPr>
          <w:p w14:paraId="42ECBC65">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649A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1AE29633">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779BE4D5">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22E78286">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345DB46B">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27C74F35">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椅子放置在指定位置、开水壶规范放置</w:t>
            </w:r>
          </w:p>
        </w:tc>
        <w:tc>
          <w:tcPr>
            <w:tcW w:w="940" w:type="dxa"/>
            <w:tcMar>
              <w:top w:w="0" w:type="dxa"/>
              <w:left w:w="105" w:type="dxa"/>
              <w:bottom w:w="0" w:type="dxa"/>
              <w:right w:w="105" w:type="dxa"/>
            </w:tcMar>
            <w:vAlign w:val="top"/>
          </w:tcPr>
          <w:p w14:paraId="0360EE01">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7066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5D052E6E">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15B98468">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69F9B34B">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3C5AA683">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0B7C9395">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窗帘/床帘清洁、整齐，病房窗帘/床帘规范束扎</w:t>
            </w:r>
          </w:p>
        </w:tc>
        <w:tc>
          <w:tcPr>
            <w:tcW w:w="940" w:type="dxa"/>
            <w:tcMar>
              <w:top w:w="0" w:type="dxa"/>
              <w:left w:w="105" w:type="dxa"/>
              <w:bottom w:w="0" w:type="dxa"/>
              <w:right w:w="105" w:type="dxa"/>
            </w:tcMar>
            <w:vAlign w:val="top"/>
          </w:tcPr>
          <w:p w14:paraId="24D68D3C">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156D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7920FEC0">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5C0032BF">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15D77D48">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26497D6D">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0D2AE2B6">
            <w:pPr>
              <w:pStyle w:val="99"/>
              <w:jc w:val="left"/>
              <w:rPr>
                <w:rFonts w:hint="default" w:eastAsia="仿宋_GB2312"/>
                <w:color w:val="000000" w:themeColor="text1"/>
                <w:sz w:val="18"/>
                <w:szCs w:val="18"/>
                <w:highlight w:val="none"/>
                <w:lang w:val="en-US" w:eastAsia="zh-CN"/>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脸盆、尿壶、便盆</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规范摆放</w:t>
            </w:r>
          </w:p>
        </w:tc>
        <w:tc>
          <w:tcPr>
            <w:tcW w:w="940" w:type="dxa"/>
            <w:tcMar>
              <w:top w:w="0" w:type="dxa"/>
              <w:left w:w="105" w:type="dxa"/>
              <w:bottom w:w="0" w:type="dxa"/>
              <w:right w:w="105" w:type="dxa"/>
            </w:tcMar>
            <w:vAlign w:val="top"/>
          </w:tcPr>
          <w:p w14:paraId="7EF2F1E2">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121B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3D593010">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1137AC20">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504905C4">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5A391419">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51F319F7">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协助熄灯和拉窗帘或床帘</w:t>
            </w:r>
          </w:p>
        </w:tc>
        <w:tc>
          <w:tcPr>
            <w:tcW w:w="940" w:type="dxa"/>
            <w:tcMar>
              <w:top w:w="0" w:type="dxa"/>
              <w:left w:w="105" w:type="dxa"/>
              <w:bottom w:w="0" w:type="dxa"/>
              <w:right w:w="105" w:type="dxa"/>
            </w:tcMar>
            <w:vAlign w:val="top"/>
          </w:tcPr>
          <w:p w14:paraId="2D96B3C0">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2FB1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672D37F0">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337806D6">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7B152BB3">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545AF31B">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3B2D02E">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患者衣物没有晾晒在窗外</w:t>
            </w:r>
          </w:p>
        </w:tc>
        <w:tc>
          <w:tcPr>
            <w:tcW w:w="940" w:type="dxa"/>
            <w:tcMar>
              <w:top w:w="0" w:type="dxa"/>
              <w:left w:w="105" w:type="dxa"/>
              <w:bottom w:w="0" w:type="dxa"/>
              <w:right w:w="105" w:type="dxa"/>
            </w:tcMar>
            <w:vAlign w:val="top"/>
          </w:tcPr>
          <w:p w14:paraId="722A6694">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60E4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35C7D6AF">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7410CCC2">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552808D4">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1347AA44">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E9E687A">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陪伴床及时收起</w:t>
            </w:r>
          </w:p>
        </w:tc>
        <w:tc>
          <w:tcPr>
            <w:tcW w:w="940" w:type="dxa"/>
            <w:tcMar>
              <w:top w:w="0" w:type="dxa"/>
              <w:left w:w="105" w:type="dxa"/>
              <w:bottom w:w="0" w:type="dxa"/>
              <w:right w:w="105" w:type="dxa"/>
            </w:tcMar>
            <w:vAlign w:val="top"/>
          </w:tcPr>
          <w:p w14:paraId="3912F287">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2463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5169D707">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432B12ED">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4B5E90BA">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732F1E99">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1752EBD5">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卫生间物品按规定放置妥当</w:t>
            </w:r>
          </w:p>
        </w:tc>
        <w:tc>
          <w:tcPr>
            <w:tcW w:w="940" w:type="dxa"/>
            <w:tcMar>
              <w:top w:w="0" w:type="dxa"/>
              <w:left w:w="105" w:type="dxa"/>
              <w:bottom w:w="0" w:type="dxa"/>
              <w:right w:w="105" w:type="dxa"/>
            </w:tcMar>
            <w:vAlign w:val="top"/>
          </w:tcPr>
          <w:p w14:paraId="58A17287">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5DC7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07165467">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047FB94D">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68BEAF82">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633AD337">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197EECF0">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无私自使用大功率电器</w:t>
            </w:r>
          </w:p>
        </w:tc>
        <w:tc>
          <w:tcPr>
            <w:tcW w:w="940" w:type="dxa"/>
            <w:tcMar>
              <w:top w:w="0" w:type="dxa"/>
              <w:left w:w="105" w:type="dxa"/>
              <w:bottom w:w="0" w:type="dxa"/>
              <w:right w:w="105" w:type="dxa"/>
            </w:tcMar>
            <w:vAlign w:val="top"/>
          </w:tcPr>
          <w:p w14:paraId="4CBBF2DF">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2</w:t>
            </w:r>
          </w:p>
        </w:tc>
      </w:tr>
      <w:tr w14:paraId="4C04E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restart"/>
            <w:tcMar>
              <w:top w:w="0" w:type="dxa"/>
              <w:left w:w="105" w:type="dxa"/>
              <w:bottom w:w="0" w:type="dxa"/>
              <w:right w:w="105" w:type="dxa"/>
            </w:tcMar>
            <w:vAlign w:val="center"/>
          </w:tcPr>
          <w:p w14:paraId="54AFC00D">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工作纪律20%</w:t>
            </w:r>
          </w:p>
        </w:tc>
        <w:tc>
          <w:tcPr>
            <w:tcW w:w="1072" w:type="dxa"/>
            <w:vMerge w:val="restart"/>
            <w:tcMar>
              <w:top w:w="0" w:type="dxa"/>
              <w:left w:w="105" w:type="dxa"/>
              <w:bottom w:w="0" w:type="dxa"/>
              <w:right w:w="105" w:type="dxa"/>
            </w:tcMar>
            <w:vAlign w:val="center"/>
          </w:tcPr>
          <w:p w14:paraId="13A6A381">
            <w:pPr>
              <w:pStyle w:val="99"/>
              <w:jc w:val="center"/>
              <w:rPr>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遵守规章制度，着装规范</w:t>
            </w:r>
          </w:p>
        </w:tc>
        <w:tc>
          <w:tcPr>
            <w:tcW w:w="573" w:type="dxa"/>
            <w:vMerge w:val="restart"/>
            <w:tcMar>
              <w:top w:w="0" w:type="dxa"/>
              <w:left w:w="105" w:type="dxa"/>
              <w:bottom w:w="0" w:type="dxa"/>
              <w:right w:w="105" w:type="dxa"/>
            </w:tcMar>
            <w:vAlign w:val="center"/>
          </w:tcPr>
          <w:p w14:paraId="46452080">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20</w:t>
            </w:r>
          </w:p>
        </w:tc>
        <w:tc>
          <w:tcPr>
            <w:tcW w:w="624" w:type="dxa"/>
            <w:vMerge w:val="restart"/>
            <w:tcMar>
              <w:top w:w="0" w:type="dxa"/>
              <w:left w:w="105" w:type="dxa"/>
              <w:bottom w:w="0" w:type="dxa"/>
              <w:right w:w="105" w:type="dxa"/>
            </w:tcMar>
            <w:vAlign w:val="center"/>
          </w:tcPr>
          <w:p w14:paraId="165360AA">
            <w:pPr>
              <w:pStyle w:val="99"/>
              <w:jc w:val="center"/>
              <w:rPr>
                <w:rFonts w:hint="eastAsia" w:eastAsia="仿宋_GB2312"/>
                <w:color w:val="000000" w:themeColor="text1"/>
                <w:sz w:val="18"/>
                <w:szCs w:val="18"/>
                <w:highlight w:val="none"/>
                <w:lang w:eastAsia="zh-CN"/>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查</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看</w:t>
            </w:r>
            <w:r>
              <w:rPr>
                <w:rFonts w:ascii="仿宋_GB2312" w:hAnsi="仿宋_GB2312" w:eastAsia="仿宋_GB2312" w:cs="仿宋_GB2312"/>
                <w:color w:val="000000" w:themeColor="text1"/>
                <w:sz w:val="18"/>
                <w:szCs w:val="18"/>
                <w:highlight w:val="none"/>
                <w14:textFill>
                  <w14:solidFill>
                    <w14:schemeClr w14:val="tx1"/>
                  </w14:solidFill>
                </w14:textFill>
              </w:rPr>
              <w:t>5名</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p>
        </w:tc>
        <w:tc>
          <w:tcPr>
            <w:tcW w:w="4462" w:type="dxa"/>
            <w:tcMar>
              <w:top w:w="0" w:type="dxa"/>
              <w:left w:w="105" w:type="dxa"/>
              <w:bottom w:w="0" w:type="dxa"/>
              <w:right w:w="105" w:type="dxa"/>
            </w:tcMar>
            <w:vAlign w:val="top"/>
          </w:tcPr>
          <w:p w14:paraId="5460C62A">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语言文明、耐心诚恳、不与人发生争执</w:t>
            </w:r>
          </w:p>
        </w:tc>
        <w:tc>
          <w:tcPr>
            <w:tcW w:w="940" w:type="dxa"/>
            <w:tcMar>
              <w:top w:w="0" w:type="dxa"/>
              <w:left w:w="105" w:type="dxa"/>
              <w:bottom w:w="0" w:type="dxa"/>
              <w:right w:w="105" w:type="dxa"/>
            </w:tcMar>
            <w:vAlign w:val="top"/>
          </w:tcPr>
          <w:p w14:paraId="197BBA80">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1EEA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14:paraId="761BA992">
            <w:pPr>
              <w:jc w:val="center"/>
              <w:rPr>
                <w:color w:val="000000" w:themeColor="text1"/>
                <w:sz w:val="18"/>
                <w:szCs w:val="18"/>
                <w:highlight w:val="none"/>
                <w14:textFill>
                  <w14:solidFill>
                    <w14:schemeClr w14:val="tx1"/>
                  </w14:solidFill>
                </w14:textFill>
              </w:rPr>
            </w:pPr>
          </w:p>
        </w:tc>
        <w:tc>
          <w:tcPr>
            <w:tcW w:w="1072" w:type="dxa"/>
            <w:vMerge w:val="continue"/>
            <w:vAlign w:val="center"/>
          </w:tcPr>
          <w:p w14:paraId="12A74AAE">
            <w:pPr>
              <w:jc w:val="center"/>
              <w:rPr>
                <w:color w:val="000000" w:themeColor="text1"/>
                <w:sz w:val="18"/>
                <w:szCs w:val="18"/>
                <w:highlight w:val="none"/>
                <w14:textFill>
                  <w14:solidFill>
                    <w14:schemeClr w14:val="tx1"/>
                  </w14:solidFill>
                </w14:textFill>
              </w:rPr>
            </w:pPr>
          </w:p>
        </w:tc>
        <w:tc>
          <w:tcPr>
            <w:tcW w:w="573" w:type="dxa"/>
            <w:vMerge w:val="continue"/>
            <w:vAlign w:val="center"/>
          </w:tcPr>
          <w:p w14:paraId="6BED7BA5">
            <w:pPr>
              <w:jc w:val="center"/>
              <w:rPr>
                <w:color w:val="000000" w:themeColor="text1"/>
                <w:sz w:val="18"/>
                <w:szCs w:val="18"/>
                <w:highlight w:val="none"/>
                <w14:textFill>
                  <w14:solidFill>
                    <w14:schemeClr w14:val="tx1"/>
                  </w14:solidFill>
                </w14:textFill>
              </w:rPr>
            </w:pPr>
          </w:p>
        </w:tc>
        <w:tc>
          <w:tcPr>
            <w:tcW w:w="624" w:type="dxa"/>
            <w:vMerge w:val="continue"/>
            <w:vAlign w:val="center"/>
          </w:tcPr>
          <w:p w14:paraId="30806DC4">
            <w:pPr>
              <w:jc w:val="cente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1D2C4EA5">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着装整洁、规范、统一标识</w:t>
            </w:r>
          </w:p>
        </w:tc>
        <w:tc>
          <w:tcPr>
            <w:tcW w:w="940" w:type="dxa"/>
            <w:tcMar>
              <w:top w:w="0" w:type="dxa"/>
              <w:left w:w="105" w:type="dxa"/>
              <w:bottom w:w="0" w:type="dxa"/>
              <w:right w:w="105" w:type="dxa"/>
            </w:tcMar>
            <w:vAlign w:val="top"/>
          </w:tcPr>
          <w:p w14:paraId="63D5E5F8">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2B86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tcPr>
          <w:p w14:paraId="7003F8E9">
            <w:pPr>
              <w:rPr>
                <w:color w:val="000000" w:themeColor="text1"/>
                <w:sz w:val="18"/>
                <w:szCs w:val="18"/>
                <w:highlight w:val="none"/>
                <w14:textFill>
                  <w14:solidFill>
                    <w14:schemeClr w14:val="tx1"/>
                  </w14:solidFill>
                </w14:textFill>
              </w:rPr>
            </w:pPr>
          </w:p>
        </w:tc>
        <w:tc>
          <w:tcPr>
            <w:tcW w:w="1072" w:type="dxa"/>
            <w:vMerge w:val="continue"/>
          </w:tcPr>
          <w:p w14:paraId="694F641F">
            <w:pPr>
              <w:rPr>
                <w:color w:val="000000" w:themeColor="text1"/>
                <w:sz w:val="18"/>
                <w:szCs w:val="18"/>
                <w:highlight w:val="none"/>
                <w14:textFill>
                  <w14:solidFill>
                    <w14:schemeClr w14:val="tx1"/>
                  </w14:solidFill>
                </w14:textFill>
              </w:rPr>
            </w:pPr>
          </w:p>
        </w:tc>
        <w:tc>
          <w:tcPr>
            <w:tcW w:w="573" w:type="dxa"/>
            <w:vMerge w:val="continue"/>
          </w:tcPr>
          <w:p w14:paraId="55F2F6EB">
            <w:pPr>
              <w:rPr>
                <w:color w:val="000000" w:themeColor="text1"/>
                <w:sz w:val="18"/>
                <w:szCs w:val="18"/>
                <w:highlight w:val="none"/>
                <w14:textFill>
                  <w14:solidFill>
                    <w14:schemeClr w14:val="tx1"/>
                  </w14:solidFill>
                </w14:textFill>
              </w:rPr>
            </w:pPr>
          </w:p>
        </w:tc>
        <w:tc>
          <w:tcPr>
            <w:tcW w:w="624" w:type="dxa"/>
            <w:vMerge w:val="continue"/>
          </w:tcPr>
          <w:p w14:paraId="33B5C951">
            <w:pP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536C743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指甲短且清洁、无涂指甲油</w:t>
            </w:r>
          </w:p>
        </w:tc>
        <w:tc>
          <w:tcPr>
            <w:tcW w:w="940" w:type="dxa"/>
            <w:tcMar>
              <w:top w:w="0" w:type="dxa"/>
              <w:left w:w="105" w:type="dxa"/>
              <w:bottom w:w="0" w:type="dxa"/>
              <w:right w:w="105" w:type="dxa"/>
            </w:tcMar>
            <w:vAlign w:val="top"/>
          </w:tcPr>
          <w:p w14:paraId="21870F0D">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56B6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tcPr>
          <w:p w14:paraId="279E1433">
            <w:pPr>
              <w:rPr>
                <w:color w:val="000000" w:themeColor="text1"/>
                <w:sz w:val="18"/>
                <w:szCs w:val="18"/>
                <w:highlight w:val="none"/>
                <w14:textFill>
                  <w14:solidFill>
                    <w14:schemeClr w14:val="tx1"/>
                  </w14:solidFill>
                </w14:textFill>
              </w:rPr>
            </w:pPr>
          </w:p>
        </w:tc>
        <w:tc>
          <w:tcPr>
            <w:tcW w:w="1072" w:type="dxa"/>
            <w:vMerge w:val="continue"/>
          </w:tcPr>
          <w:p w14:paraId="685A8149">
            <w:pPr>
              <w:rPr>
                <w:color w:val="000000" w:themeColor="text1"/>
                <w:sz w:val="18"/>
                <w:szCs w:val="18"/>
                <w:highlight w:val="none"/>
                <w14:textFill>
                  <w14:solidFill>
                    <w14:schemeClr w14:val="tx1"/>
                  </w14:solidFill>
                </w14:textFill>
              </w:rPr>
            </w:pPr>
          </w:p>
        </w:tc>
        <w:tc>
          <w:tcPr>
            <w:tcW w:w="573" w:type="dxa"/>
            <w:vMerge w:val="continue"/>
          </w:tcPr>
          <w:p w14:paraId="0ACEE65D">
            <w:pPr>
              <w:rPr>
                <w:color w:val="000000" w:themeColor="text1"/>
                <w:sz w:val="18"/>
                <w:szCs w:val="18"/>
                <w:highlight w:val="none"/>
                <w14:textFill>
                  <w14:solidFill>
                    <w14:schemeClr w14:val="tx1"/>
                  </w14:solidFill>
                </w14:textFill>
              </w:rPr>
            </w:pPr>
          </w:p>
        </w:tc>
        <w:tc>
          <w:tcPr>
            <w:tcW w:w="624" w:type="dxa"/>
            <w:vMerge w:val="continue"/>
          </w:tcPr>
          <w:p w14:paraId="17AD20D9">
            <w:pP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7B1BD295">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佩戴符合要求，不能佩戴饰物饰品(耳坠或粗大醒目的耳钉、戒指、手镯脚链外露等)</w:t>
            </w:r>
          </w:p>
        </w:tc>
        <w:tc>
          <w:tcPr>
            <w:tcW w:w="940" w:type="dxa"/>
            <w:tcMar>
              <w:top w:w="0" w:type="dxa"/>
              <w:left w:w="105" w:type="dxa"/>
              <w:bottom w:w="0" w:type="dxa"/>
              <w:right w:w="105" w:type="dxa"/>
            </w:tcMar>
            <w:vAlign w:val="top"/>
          </w:tcPr>
          <w:p w14:paraId="0E30AF5C">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3072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tcPr>
          <w:p w14:paraId="6326FA82">
            <w:pPr>
              <w:rPr>
                <w:color w:val="000000" w:themeColor="text1"/>
                <w:sz w:val="18"/>
                <w:szCs w:val="18"/>
                <w:highlight w:val="none"/>
                <w14:textFill>
                  <w14:solidFill>
                    <w14:schemeClr w14:val="tx1"/>
                  </w14:solidFill>
                </w14:textFill>
              </w:rPr>
            </w:pPr>
          </w:p>
        </w:tc>
        <w:tc>
          <w:tcPr>
            <w:tcW w:w="1072" w:type="dxa"/>
            <w:vMerge w:val="continue"/>
          </w:tcPr>
          <w:p w14:paraId="20DD8A42">
            <w:pPr>
              <w:rPr>
                <w:color w:val="000000" w:themeColor="text1"/>
                <w:sz w:val="18"/>
                <w:szCs w:val="18"/>
                <w:highlight w:val="none"/>
                <w14:textFill>
                  <w14:solidFill>
                    <w14:schemeClr w14:val="tx1"/>
                  </w14:solidFill>
                </w14:textFill>
              </w:rPr>
            </w:pPr>
          </w:p>
        </w:tc>
        <w:tc>
          <w:tcPr>
            <w:tcW w:w="573" w:type="dxa"/>
            <w:vMerge w:val="continue"/>
          </w:tcPr>
          <w:p w14:paraId="4FCD77F0">
            <w:pPr>
              <w:rPr>
                <w:color w:val="000000" w:themeColor="text1"/>
                <w:sz w:val="18"/>
                <w:szCs w:val="18"/>
                <w:highlight w:val="none"/>
                <w14:textFill>
                  <w14:solidFill>
                    <w14:schemeClr w14:val="tx1"/>
                  </w14:solidFill>
                </w14:textFill>
              </w:rPr>
            </w:pPr>
          </w:p>
        </w:tc>
        <w:tc>
          <w:tcPr>
            <w:tcW w:w="624" w:type="dxa"/>
            <w:vMerge w:val="continue"/>
          </w:tcPr>
          <w:p w14:paraId="3ECAF6FB">
            <w:pP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55317FD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男员工无出现头发长或胡须长等现象</w:t>
            </w:r>
          </w:p>
        </w:tc>
        <w:tc>
          <w:tcPr>
            <w:tcW w:w="940" w:type="dxa"/>
            <w:tcMar>
              <w:top w:w="0" w:type="dxa"/>
              <w:left w:w="105" w:type="dxa"/>
              <w:bottom w:w="0" w:type="dxa"/>
              <w:right w:w="105" w:type="dxa"/>
            </w:tcMar>
            <w:vAlign w:val="top"/>
          </w:tcPr>
          <w:p w14:paraId="61A1F9C1">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0F95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tcPr>
          <w:p w14:paraId="3D29DD0A">
            <w:pPr>
              <w:rPr>
                <w:color w:val="000000" w:themeColor="text1"/>
                <w:sz w:val="18"/>
                <w:szCs w:val="18"/>
                <w:highlight w:val="none"/>
                <w14:textFill>
                  <w14:solidFill>
                    <w14:schemeClr w14:val="tx1"/>
                  </w14:solidFill>
                </w14:textFill>
              </w:rPr>
            </w:pPr>
          </w:p>
        </w:tc>
        <w:tc>
          <w:tcPr>
            <w:tcW w:w="1072" w:type="dxa"/>
            <w:vMerge w:val="continue"/>
          </w:tcPr>
          <w:p w14:paraId="3790E5A8">
            <w:pPr>
              <w:rPr>
                <w:color w:val="000000" w:themeColor="text1"/>
                <w:sz w:val="18"/>
                <w:szCs w:val="18"/>
                <w:highlight w:val="none"/>
                <w14:textFill>
                  <w14:solidFill>
                    <w14:schemeClr w14:val="tx1"/>
                  </w14:solidFill>
                </w14:textFill>
              </w:rPr>
            </w:pPr>
          </w:p>
        </w:tc>
        <w:tc>
          <w:tcPr>
            <w:tcW w:w="573" w:type="dxa"/>
            <w:vMerge w:val="continue"/>
          </w:tcPr>
          <w:p w14:paraId="79CD9E1B">
            <w:pPr>
              <w:rPr>
                <w:color w:val="000000" w:themeColor="text1"/>
                <w:sz w:val="18"/>
                <w:szCs w:val="18"/>
                <w:highlight w:val="none"/>
                <w14:textFill>
                  <w14:solidFill>
                    <w14:schemeClr w14:val="tx1"/>
                  </w14:solidFill>
                </w14:textFill>
              </w:rPr>
            </w:pPr>
          </w:p>
        </w:tc>
        <w:tc>
          <w:tcPr>
            <w:tcW w:w="624" w:type="dxa"/>
            <w:vMerge w:val="continue"/>
          </w:tcPr>
          <w:p w14:paraId="2C610EDD">
            <w:pP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256426B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工作鞋干净、整洁、不能穿拖鞋</w:t>
            </w:r>
          </w:p>
        </w:tc>
        <w:tc>
          <w:tcPr>
            <w:tcW w:w="940" w:type="dxa"/>
            <w:tcMar>
              <w:top w:w="0" w:type="dxa"/>
              <w:left w:w="105" w:type="dxa"/>
              <w:bottom w:w="0" w:type="dxa"/>
              <w:right w:w="105" w:type="dxa"/>
            </w:tcMar>
            <w:vAlign w:val="top"/>
          </w:tcPr>
          <w:p w14:paraId="024A0C62">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6773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tcPr>
          <w:p w14:paraId="0139A61B">
            <w:pPr>
              <w:rPr>
                <w:color w:val="000000" w:themeColor="text1"/>
                <w:sz w:val="18"/>
                <w:szCs w:val="18"/>
                <w:highlight w:val="none"/>
                <w14:textFill>
                  <w14:solidFill>
                    <w14:schemeClr w14:val="tx1"/>
                  </w14:solidFill>
                </w14:textFill>
              </w:rPr>
            </w:pPr>
          </w:p>
        </w:tc>
        <w:tc>
          <w:tcPr>
            <w:tcW w:w="1072" w:type="dxa"/>
            <w:vMerge w:val="continue"/>
          </w:tcPr>
          <w:p w14:paraId="7AD48FA9">
            <w:pPr>
              <w:rPr>
                <w:color w:val="000000" w:themeColor="text1"/>
                <w:sz w:val="18"/>
                <w:szCs w:val="18"/>
                <w:highlight w:val="none"/>
                <w14:textFill>
                  <w14:solidFill>
                    <w14:schemeClr w14:val="tx1"/>
                  </w14:solidFill>
                </w14:textFill>
              </w:rPr>
            </w:pPr>
          </w:p>
        </w:tc>
        <w:tc>
          <w:tcPr>
            <w:tcW w:w="573" w:type="dxa"/>
            <w:vMerge w:val="continue"/>
          </w:tcPr>
          <w:p w14:paraId="12179C8E">
            <w:pPr>
              <w:rPr>
                <w:color w:val="000000" w:themeColor="text1"/>
                <w:sz w:val="18"/>
                <w:szCs w:val="18"/>
                <w:highlight w:val="none"/>
                <w14:textFill>
                  <w14:solidFill>
                    <w14:schemeClr w14:val="tx1"/>
                  </w14:solidFill>
                </w14:textFill>
              </w:rPr>
            </w:pPr>
          </w:p>
        </w:tc>
        <w:tc>
          <w:tcPr>
            <w:tcW w:w="624" w:type="dxa"/>
            <w:vMerge w:val="continue"/>
          </w:tcPr>
          <w:p w14:paraId="76EA9C90">
            <w:pP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6F8CC17C">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上班期间坚守岗位，无脱岗</w:t>
            </w:r>
          </w:p>
        </w:tc>
        <w:tc>
          <w:tcPr>
            <w:tcW w:w="940" w:type="dxa"/>
            <w:tcMar>
              <w:top w:w="0" w:type="dxa"/>
              <w:left w:w="105" w:type="dxa"/>
              <w:bottom w:w="0" w:type="dxa"/>
              <w:right w:w="105" w:type="dxa"/>
            </w:tcMar>
            <w:vAlign w:val="top"/>
          </w:tcPr>
          <w:p w14:paraId="1A4A7625">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2</w:t>
            </w:r>
          </w:p>
        </w:tc>
      </w:tr>
      <w:tr w14:paraId="73BEA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tcPr>
          <w:p w14:paraId="33C1EBDB">
            <w:pPr>
              <w:rPr>
                <w:color w:val="000000" w:themeColor="text1"/>
                <w:sz w:val="18"/>
                <w:szCs w:val="18"/>
                <w:highlight w:val="none"/>
                <w14:textFill>
                  <w14:solidFill>
                    <w14:schemeClr w14:val="tx1"/>
                  </w14:solidFill>
                </w14:textFill>
              </w:rPr>
            </w:pPr>
          </w:p>
        </w:tc>
        <w:tc>
          <w:tcPr>
            <w:tcW w:w="1072" w:type="dxa"/>
            <w:vMerge w:val="continue"/>
          </w:tcPr>
          <w:p w14:paraId="42212AE7">
            <w:pPr>
              <w:rPr>
                <w:color w:val="000000" w:themeColor="text1"/>
                <w:sz w:val="18"/>
                <w:szCs w:val="18"/>
                <w:highlight w:val="none"/>
                <w14:textFill>
                  <w14:solidFill>
                    <w14:schemeClr w14:val="tx1"/>
                  </w14:solidFill>
                </w14:textFill>
              </w:rPr>
            </w:pPr>
          </w:p>
        </w:tc>
        <w:tc>
          <w:tcPr>
            <w:tcW w:w="573" w:type="dxa"/>
            <w:vMerge w:val="continue"/>
          </w:tcPr>
          <w:p w14:paraId="64E9289D">
            <w:pPr>
              <w:rPr>
                <w:color w:val="000000" w:themeColor="text1"/>
                <w:sz w:val="18"/>
                <w:szCs w:val="18"/>
                <w:highlight w:val="none"/>
                <w14:textFill>
                  <w14:solidFill>
                    <w14:schemeClr w14:val="tx1"/>
                  </w14:solidFill>
                </w14:textFill>
              </w:rPr>
            </w:pPr>
          </w:p>
        </w:tc>
        <w:tc>
          <w:tcPr>
            <w:tcW w:w="624" w:type="dxa"/>
            <w:vMerge w:val="continue"/>
          </w:tcPr>
          <w:p w14:paraId="2CAE3667">
            <w:pP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21980C33">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无玩手机、长时间接听电话，手机处于静音状态</w:t>
            </w:r>
          </w:p>
        </w:tc>
        <w:tc>
          <w:tcPr>
            <w:tcW w:w="940" w:type="dxa"/>
            <w:tcMar>
              <w:top w:w="0" w:type="dxa"/>
              <w:left w:w="105" w:type="dxa"/>
              <w:bottom w:w="0" w:type="dxa"/>
              <w:right w:w="105" w:type="dxa"/>
            </w:tcMar>
            <w:vAlign w:val="top"/>
          </w:tcPr>
          <w:p w14:paraId="1B82D24C">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2</w:t>
            </w:r>
          </w:p>
        </w:tc>
      </w:tr>
      <w:tr w14:paraId="055B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tcPr>
          <w:p w14:paraId="5E7658D5">
            <w:pPr>
              <w:rPr>
                <w:color w:val="000000" w:themeColor="text1"/>
                <w:sz w:val="18"/>
                <w:szCs w:val="18"/>
                <w:highlight w:val="none"/>
                <w14:textFill>
                  <w14:solidFill>
                    <w14:schemeClr w14:val="tx1"/>
                  </w14:solidFill>
                </w14:textFill>
              </w:rPr>
            </w:pPr>
          </w:p>
        </w:tc>
        <w:tc>
          <w:tcPr>
            <w:tcW w:w="1072" w:type="dxa"/>
            <w:vMerge w:val="continue"/>
          </w:tcPr>
          <w:p w14:paraId="3E0053DF">
            <w:pPr>
              <w:rPr>
                <w:color w:val="000000" w:themeColor="text1"/>
                <w:sz w:val="18"/>
                <w:szCs w:val="18"/>
                <w:highlight w:val="none"/>
                <w14:textFill>
                  <w14:solidFill>
                    <w14:schemeClr w14:val="tx1"/>
                  </w14:solidFill>
                </w14:textFill>
              </w:rPr>
            </w:pPr>
          </w:p>
        </w:tc>
        <w:tc>
          <w:tcPr>
            <w:tcW w:w="573" w:type="dxa"/>
            <w:vMerge w:val="continue"/>
          </w:tcPr>
          <w:p w14:paraId="55A8D3FC">
            <w:pPr>
              <w:rPr>
                <w:color w:val="000000" w:themeColor="text1"/>
                <w:sz w:val="18"/>
                <w:szCs w:val="18"/>
                <w:highlight w:val="none"/>
                <w14:textFill>
                  <w14:solidFill>
                    <w14:schemeClr w14:val="tx1"/>
                  </w14:solidFill>
                </w14:textFill>
              </w:rPr>
            </w:pPr>
          </w:p>
        </w:tc>
        <w:tc>
          <w:tcPr>
            <w:tcW w:w="624" w:type="dxa"/>
            <w:vMerge w:val="continue"/>
          </w:tcPr>
          <w:p w14:paraId="149E0264">
            <w:pP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7980DB9E">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无扎堆聊天、干私活现象</w:t>
            </w:r>
          </w:p>
        </w:tc>
        <w:tc>
          <w:tcPr>
            <w:tcW w:w="940" w:type="dxa"/>
            <w:tcMar>
              <w:top w:w="0" w:type="dxa"/>
              <w:left w:w="105" w:type="dxa"/>
              <w:bottom w:w="0" w:type="dxa"/>
              <w:right w:w="105" w:type="dxa"/>
            </w:tcMar>
            <w:vAlign w:val="top"/>
          </w:tcPr>
          <w:p w14:paraId="28A6C4EC">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2</w:t>
            </w:r>
          </w:p>
        </w:tc>
      </w:tr>
      <w:tr w14:paraId="715D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tcPr>
          <w:p w14:paraId="58FD824B">
            <w:pPr>
              <w:rPr>
                <w:color w:val="000000" w:themeColor="text1"/>
                <w:sz w:val="18"/>
                <w:szCs w:val="18"/>
                <w:highlight w:val="none"/>
                <w14:textFill>
                  <w14:solidFill>
                    <w14:schemeClr w14:val="tx1"/>
                  </w14:solidFill>
                </w14:textFill>
              </w:rPr>
            </w:pPr>
          </w:p>
        </w:tc>
        <w:tc>
          <w:tcPr>
            <w:tcW w:w="1072" w:type="dxa"/>
            <w:vMerge w:val="continue"/>
          </w:tcPr>
          <w:p w14:paraId="212624DF">
            <w:pPr>
              <w:rPr>
                <w:color w:val="000000" w:themeColor="text1"/>
                <w:sz w:val="18"/>
                <w:szCs w:val="18"/>
                <w:highlight w:val="none"/>
                <w14:textFill>
                  <w14:solidFill>
                    <w14:schemeClr w14:val="tx1"/>
                  </w14:solidFill>
                </w14:textFill>
              </w:rPr>
            </w:pPr>
          </w:p>
        </w:tc>
        <w:tc>
          <w:tcPr>
            <w:tcW w:w="573" w:type="dxa"/>
            <w:vMerge w:val="continue"/>
          </w:tcPr>
          <w:p w14:paraId="41C93D1E">
            <w:pPr>
              <w:rPr>
                <w:color w:val="000000" w:themeColor="text1"/>
                <w:sz w:val="18"/>
                <w:szCs w:val="18"/>
                <w:highlight w:val="none"/>
                <w14:textFill>
                  <w14:solidFill>
                    <w14:schemeClr w14:val="tx1"/>
                  </w14:solidFill>
                </w14:textFill>
              </w:rPr>
            </w:pPr>
          </w:p>
        </w:tc>
        <w:tc>
          <w:tcPr>
            <w:tcW w:w="624" w:type="dxa"/>
            <w:vMerge w:val="continue"/>
          </w:tcPr>
          <w:p w14:paraId="39382F7A">
            <w:pP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5D81B455">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做到“四轻”(说话轻、走路轻、开门轻、操作轻)</w:t>
            </w:r>
          </w:p>
        </w:tc>
        <w:tc>
          <w:tcPr>
            <w:tcW w:w="940" w:type="dxa"/>
            <w:tcMar>
              <w:top w:w="0" w:type="dxa"/>
              <w:left w:w="105" w:type="dxa"/>
              <w:bottom w:w="0" w:type="dxa"/>
              <w:right w:w="105" w:type="dxa"/>
            </w:tcMar>
            <w:vAlign w:val="top"/>
          </w:tcPr>
          <w:p w14:paraId="4CF3CA89">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244F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tcPr>
          <w:p w14:paraId="00929C9E">
            <w:pPr>
              <w:rPr>
                <w:color w:val="000000" w:themeColor="text1"/>
                <w:sz w:val="18"/>
                <w:szCs w:val="18"/>
                <w:highlight w:val="none"/>
                <w14:textFill>
                  <w14:solidFill>
                    <w14:schemeClr w14:val="tx1"/>
                  </w14:solidFill>
                </w14:textFill>
              </w:rPr>
            </w:pPr>
          </w:p>
        </w:tc>
        <w:tc>
          <w:tcPr>
            <w:tcW w:w="1072" w:type="dxa"/>
            <w:vMerge w:val="continue"/>
          </w:tcPr>
          <w:p w14:paraId="3A3707E9">
            <w:pPr>
              <w:rPr>
                <w:color w:val="000000" w:themeColor="text1"/>
                <w:sz w:val="18"/>
                <w:szCs w:val="18"/>
                <w:highlight w:val="none"/>
                <w14:textFill>
                  <w14:solidFill>
                    <w14:schemeClr w14:val="tx1"/>
                  </w14:solidFill>
                </w14:textFill>
              </w:rPr>
            </w:pPr>
          </w:p>
        </w:tc>
        <w:tc>
          <w:tcPr>
            <w:tcW w:w="573" w:type="dxa"/>
            <w:vMerge w:val="continue"/>
          </w:tcPr>
          <w:p w14:paraId="250D6537">
            <w:pPr>
              <w:rPr>
                <w:color w:val="000000" w:themeColor="text1"/>
                <w:sz w:val="18"/>
                <w:szCs w:val="18"/>
                <w:highlight w:val="none"/>
                <w14:textFill>
                  <w14:solidFill>
                    <w14:schemeClr w14:val="tx1"/>
                  </w14:solidFill>
                </w14:textFill>
              </w:rPr>
            </w:pPr>
          </w:p>
        </w:tc>
        <w:tc>
          <w:tcPr>
            <w:tcW w:w="624" w:type="dxa"/>
            <w:vMerge w:val="continue"/>
          </w:tcPr>
          <w:p w14:paraId="532C143C">
            <w:pP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5F84F68B">
            <w:pPr>
              <w:pStyle w:val="99"/>
              <w:jc w:val="left"/>
              <w:rPr>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无从事医疗护理相关技术性工作(如给药、吸痰、更换尿袋等)</w:t>
            </w:r>
          </w:p>
        </w:tc>
        <w:tc>
          <w:tcPr>
            <w:tcW w:w="940" w:type="dxa"/>
            <w:tcMar>
              <w:top w:w="0" w:type="dxa"/>
              <w:left w:w="105" w:type="dxa"/>
              <w:bottom w:w="0" w:type="dxa"/>
              <w:right w:w="105" w:type="dxa"/>
            </w:tcMar>
            <w:vAlign w:val="top"/>
          </w:tcPr>
          <w:p w14:paraId="62E18937">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2</w:t>
            </w:r>
          </w:p>
        </w:tc>
      </w:tr>
      <w:tr w14:paraId="60D0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tcPr>
          <w:p w14:paraId="37CEB808">
            <w:pPr>
              <w:rPr>
                <w:color w:val="000000" w:themeColor="text1"/>
                <w:sz w:val="18"/>
                <w:szCs w:val="18"/>
                <w:highlight w:val="none"/>
                <w14:textFill>
                  <w14:solidFill>
                    <w14:schemeClr w14:val="tx1"/>
                  </w14:solidFill>
                </w14:textFill>
              </w:rPr>
            </w:pPr>
          </w:p>
        </w:tc>
        <w:tc>
          <w:tcPr>
            <w:tcW w:w="1072" w:type="dxa"/>
            <w:vMerge w:val="continue"/>
          </w:tcPr>
          <w:p w14:paraId="6B126F83">
            <w:pPr>
              <w:rPr>
                <w:color w:val="000000" w:themeColor="text1"/>
                <w:sz w:val="18"/>
                <w:szCs w:val="18"/>
                <w:highlight w:val="none"/>
                <w14:textFill>
                  <w14:solidFill>
                    <w14:schemeClr w14:val="tx1"/>
                  </w14:solidFill>
                </w14:textFill>
              </w:rPr>
            </w:pPr>
          </w:p>
        </w:tc>
        <w:tc>
          <w:tcPr>
            <w:tcW w:w="573" w:type="dxa"/>
            <w:vMerge w:val="continue"/>
          </w:tcPr>
          <w:p w14:paraId="70794158">
            <w:pPr>
              <w:rPr>
                <w:color w:val="000000" w:themeColor="text1"/>
                <w:sz w:val="18"/>
                <w:szCs w:val="18"/>
                <w:highlight w:val="none"/>
                <w14:textFill>
                  <w14:solidFill>
                    <w14:schemeClr w14:val="tx1"/>
                  </w14:solidFill>
                </w14:textFill>
              </w:rPr>
            </w:pPr>
          </w:p>
        </w:tc>
        <w:tc>
          <w:tcPr>
            <w:tcW w:w="624" w:type="dxa"/>
            <w:vMerge w:val="continue"/>
          </w:tcPr>
          <w:p w14:paraId="083166E6">
            <w:pP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99BE713">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保护患者隐私</w:t>
            </w:r>
          </w:p>
        </w:tc>
        <w:tc>
          <w:tcPr>
            <w:tcW w:w="940" w:type="dxa"/>
            <w:tcMar>
              <w:top w:w="0" w:type="dxa"/>
              <w:left w:w="105" w:type="dxa"/>
              <w:bottom w:w="0" w:type="dxa"/>
              <w:right w:w="105" w:type="dxa"/>
            </w:tcMar>
            <w:vAlign w:val="top"/>
          </w:tcPr>
          <w:p w14:paraId="096F95F9">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0D1B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tcPr>
          <w:p w14:paraId="6385685A">
            <w:pPr>
              <w:rPr>
                <w:color w:val="000000" w:themeColor="text1"/>
                <w:sz w:val="18"/>
                <w:szCs w:val="18"/>
                <w:highlight w:val="none"/>
                <w14:textFill>
                  <w14:solidFill>
                    <w14:schemeClr w14:val="tx1"/>
                  </w14:solidFill>
                </w14:textFill>
              </w:rPr>
            </w:pPr>
          </w:p>
        </w:tc>
        <w:tc>
          <w:tcPr>
            <w:tcW w:w="1072" w:type="dxa"/>
            <w:vMerge w:val="continue"/>
          </w:tcPr>
          <w:p w14:paraId="213BDA4D">
            <w:pPr>
              <w:rPr>
                <w:color w:val="000000" w:themeColor="text1"/>
                <w:sz w:val="18"/>
                <w:szCs w:val="18"/>
                <w:highlight w:val="none"/>
                <w14:textFill>
                  <w14:solidFill>
                    <w14:schemeClr w14:val="tx1"/>
                  </w14:solidFill>
                </w14:textFill>
              </w:rPr>
            </w:pPr>
          </w:p>
        </w:tc>
        <w:tc>
          <w:tcPr>
            <w:tcW w:w="573" w:type="dxa"/>
            <w:vMerge w:val="continue"/>
          </w:tcPr>
          <w:p w14:paraId="690B5B03">
            <w:pPr>
              <w:rPr>
                <w:color w:val="000000" w:themeColor="text1"/>
                <w:sz w:val="18"/>
                <w:szCs w:val="18"/>
                <w:highlight w:val="none"/>
                <w14:textFill>
                  <w14:solidFill>
                    <w14:schemeClr w14:val="tx1"/>
                  </w14:solidFill>
                </w14:textFill>
              </w:rPr>
            </w:pPr>
          </w:p>
        </w:tc>
        <w:tc>
          <w:tcPr>
            <w:tcW w:w="624" w:type="dxa"/>
            <w:vMerge w:val="continue"/>
          </w:tcPr>
          <w:p w14:paraId="79C8D7B5">
            <w:pP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0EF63EA7">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在岗期间不抽烟、不喝酒</w:t>
            </w:r>
          </w:p>
        </w:tc>
        <w:tc>
          <w:tcPr>
            <w:tcW w:w="940" w:type="dxa"/>
            <w:tcMar>
              <w:top w:w="0" w:type="dxa"/>
              <w:left w:w="105" w:type="dxa"/>
              <w:bottom w:w="0" w:type="dxa"/>
              <w:right w:w="105" w:type="dxa"/>
            </w:tcMar>
            <w:vAlign w:val="top"/>
          </w:tcPr>
          <w:p w14:paraId="462633F1">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r w14:paraId="5691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tcPr>
          <w:p w14:paraId="16054134">
            <w:pPr>
              <w:rPr>
                <w:color w:val="000000" w:themeColor="text1"/>
                <w:sz w:val="18"/>
                <w:szCs w:val="18"/>
                <w:highlight w:val="none"/>
                <w14:textFill>
                  <w14:solidFill>
                    <w14:schemeClr w14:val="tx1"/>
                  </w14:solidFill>
                </w14:textFill>
              </w:rPr>
            </w:pPr>
          </w:p>
        </w:tc>
        <w:tc>
          <w:tcPr>
            <w:tcW w:w="1072" w:type="dxa"/>
            <w:vMerge w:val="continue"/>
          </w:tcPr>
          <w:p w14:paraId="1B72F5AB">
            <w:pPr>
              <w:rPr>
                <w:color w:val="000000" w:themeColor="text1"/>
                <w:sz w:val="18"/>
                <w:szCs w:val="18"/>
                <w:highlight w:val="none"/>
                <w14:textFill>
                  <w14:solidFill>
                    <w14:schemeClr w14:val="tx1"/>
                  </w14:solidFill>
                </w14:textFill>
              </w:rPr>
            </w:pPr>
          </w:p>
        </w:tc>
        <w:tc>
          <w:tcPr>
            <w:tcW w:w="573" w:type="dxa"/>
            <w:vMerge w:val="continue"/>
          </w:tcPr>
          <w:p w14:paraId="1B966686">
            <w:pPr>
              <w:rPr>
                <w:color w:val="000000" w:themeColor="text1"/>
                <w:sz w:val="18"/>
                <w:szCs w:val="18"/>
                <w:highlight w:val="none"/>
                <w14:textFill>
                  <w14:solidFill>
                    <w14:schemeClr w14:val="tx1"/>
                  </w14:solidFill>
                </w14:textFill>
              </w:rPr>
            </w:pPr>
          </w:p>
        </w:tc>
        <w:tc>
          <w:tcPr>
            <w:tcW w:w="624" w:type="dxa"/>
            <w:vMerge w:val="continue"/>
          </w:tcPr>
          <w:p w14:paraId="14F8F375">
            <w:pPr>
              <w:rPr>
                <w:color w:val="000000" w:themeColor="text1"/>
                <w:sz w:val="18"/>
                <w:szCs w:val="18"/>
                <w:highlight w:val="none"/>
                <w14:textFill>
                  <w14:solidFill>
                    <w14:schemeClr w14:val="tx1"/>
                  </w14:solidFill>
                </w14:textFill>
              </w:rPr>
            </w:pPr>
          </w:p>
        </w:tc>
        <w:tc>
          <w:tcPr>
            <w:tcW w:w="4462" w:type="dxa"/>
            <w:tcMar>
              <w:top w:w="0" w:type="dxa"/>
              <w:left w:w="105" w:type="dxa"/>
              <w:bottom w:w="0" w:type="dxa"/>
              <w:right w:w="105" w:type="dxa"/>
            </w:tcMar>
            <w:vAlign w:val="top"/>
          </w:tcPr>
          <w:p w14:paraId="4F01ED6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不浓妆艳抹、不染夸张颜色头发</w:t>
            </w:r>
          </w:p>
        </w:tc>
        <w:tc>
          <w:tcPr>
            <w:tcW w:w="940" w:type="dxa"/>
            <w:tcMar>
              <w:top w:w="0" w:type="dxa"/>
              <w:left w:w="105" w:type="dxa"/>
              <w:bottom w:w="0" w:type="dxa"/>
              <w:right w:w="105" w:type="dxa"/>
            </w:tcMar>
            <w:vAlign w:val="top"/>
          </w:tcPr>
          <w:p w14:paraId="67B27270">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r>
    </w:tbl>
    <w:p w14:paraId="420B87AB">
      <w:pPr>
        <w:rPr>
          <w:rFonts w:hint="eastAsia" w:ascii="仿宋_GB2312" w:hAnsi="仿宋_GB2312" w:eastAsia="仿宋_GB2312" w:cs="仿宋_GB2312"/>
          <w:color w:val="000000" w:themeColor="text1"/>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fill="FFFFFF"/>
          <w:lang w:val="en-US" w:eastAsia="zh-CN"/>
          <w14:textFill>
            <w14:solidFill>
              <w14:schemeClr w14:val="tx1"/>
            </w14:solidFill>
          </w14:textFill>
        </w:rPr>
        <w:br w:type="page"/>
      </w:r>
    </w:p>
    <w:p w14:paraId="4964052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附件5</w:t>
      </w:r>
    </w:p>
    <w:p w14:paraId="2E9FF49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医务人员对医疗护理员服务评价问卷</w:t>
      </w:r>
    </w:p>
    <w:p w14:paraId="6EF94DA3">
      <w:pPr>
        <w:pStyle w:val="99"/>
        <w:ind w:left="75" w:firstLine="400" w:firstLineChars="200"/>
        <w:jc w:val="both"/>
        <w:rPr>
          <w:color w:val="000000" w:themeColor="text1"/>
          <w:sz w:val="20"/>
          <w:szCs w:val="20"/>
          <w:highlight w:val="none"/>
          <w14:textFill>
            <w14:solidFill>
              <w14:schemeClr w14:val="tx1"/>
            </w14:solidFill>
          </w14:textFill>
        </w:rPr>
      </w:pPr>
      <w:r>
        <w:rPr>
          <w:rFonts w:ascii="仿宋_GB2312" w:hAnsi="仿宋_GB2312" w:eastAsia="仿宋_GB2312" w:cs="仿宋_GB2312"/>
          <w:color w:val="000000" w:themeColor="text1"/>
          <w:sz w:val="20"/>
          <w:szCs w:val="20"/>
          <w:highlight w:val="none"/>
          <w14:textFill>
            <w14:solidFill>
              <w14:schemeClr w14:val="tx1"/>
            </w14:solidFill>
          </w14:textFill>
        </w:rPr>
        <w:t>日期</w:t>
      </w:r>
      <w:r>
        <w:rPr>
          <w:rFonts w:ascii="仿宋_GB2312" w:hAnsi="仿宋_GB2312" w:eastAsia="仿宋_GB2312" w:cs="仿宋_GB2312"/>
          <w:color w:val="000000" w:themeColor="text1"/>
          <w:sz w:val="20"/>
          <w:szCs w:val="20"/>
          <w:highlight w:val="none"/>
          <w:u w:val="single"/>
          <w14:textFill>
            <w14:solidFill>
              <w14:schemeClr w14:val="tx1"/>
            </w14:solidFill>
          </w14:textFill>
        </w:rPr>
        <w:t xml:space="preserve">                </w:t>
      </w:r>
      <w:r>
        <w:rPr>
          <w:rFonts w:ascii="仿宋_GB2312" w:hAnsi="仿宋_GB2312" w:eastAsia="仿宋_GB2312" w:cs="仿宋_GB2312"/>
          <w:color w:val="000000" w:themeColor="text1"/>
          <w:sz w:val="20"/>
          <w:szCs w:val="20"/>
          <w:highlight w:val="none"/>
          <w14:textFill>
            <w14:solidFill>
              <w14:schemeClr w14:val="tx1"/>
            </w14:solidFill>
          </w14:textFill>
        </w:rPr>
        <w:t xml:space="preserve">    科室</w:t>
      </w:r>
      <w:r>
        <w:rPr>
          <w:rFonts w:ascii="仿宋_GB2312" w:hAnsi="仿宋_GB2312" w:eastAsia="仿宋_GB2312" w:cs="仿宋_GB2312"/>
          <w:color w:val="000000" w:themeColor="text1"/>
          <w:sz w:val="20"/>
          <w:szCs w:val="20"/>
          <w:highlight w:val="none"/>
          <w:u w:val="single"/>
          <w14:textFill>
            <w14:solidFill>
              <w14:schemeClr w14:val="tx1"/>
            </w14:solidFill>
          </w14:textFill>
        </w:rPr>
        <w:t xml:space="preserve">               </w:t>
      </w:r>
      <w:r>
        <w:rPr>
          <w:rFonts w:ascii="仿宋_GB2312" w:hAnsi="仿宋_GB2312" w:eastAsia="仿宋_GB2312" w:cs="仿宋_GB2312"/>
          <w:color w:val="000000" w:themeColor="text1"/>
          <w:sz w:val="20"/>
          <w:szCs w:val="20"/>
          <w:highlight w:val="none"/>
          <w14:textFill>
            <w14:solidFill>
              <w14:schemeClr w14:val="tx1"/>
            </w14:solidFill>
          </w14:textFill>
        </w:rPr>
        <w:t xml:space="preserve">   人员类别：□医生    □护士</w:t>
      </w:r>
    </w:p>
    <w:tbl>
      <w:tblPr>
        <w:tblStyle w:val="33"/>
        <w:tblW w:w="0" w:type="auto"/>
        <w:tblInd w:w="227"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45"/>
        <w:gridCol w:w="3414"/>
        <w:gridCol w:w="586"/>
        <w:gridCol w:w="872"/>
        <w:gridCol w:w="872"/>
        <w:gridCol w:w="872"/>
        <w:gridCol w:w="872"/>
      </w:tblGrid>
      <w:tr w14:paraId="268AA3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8BB9401">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序号</w:t>
            </w:r>
          </w:p>
        </w:tc>
        <w:tc>
          <w:tcPr>
            <w:tcW w:w="341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6C67B17">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项目内容/分值</w:t>
            </w:r>
          </w:p>
        </w:tc>
        <w:tc>
          <w:tcPr>
            <w:tcW w:w="58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2DA6BA2">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得分</w:t>
            </w:r>
          </w:p>
        </w:tc>
        <w:tc>
          <w:tcPr>
            <w:tcW w:w="3488"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B26FA51">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满意程度</w:t>
            </w:r>
          </w:p>
        </w:tc>
      </w:tr>
      <w:tr w14:paraId="1EC6D9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AA0890C">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c>
          <w:tcPr>
            <w:tcW w:w="341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417431">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遵守医院和科室的规章制度，维护医院正常工作秩序、无赌博及偷窃等行为是否满意?</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8E2D02">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70B75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□满意(10分)</w:t>
            </w:r>
          </w:p>
        </w:tc>
        <w:tc>
          <w:tcPr>
            <w:tcW w:w="87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DE4531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□较满意(8分)</w:t>
            </w:r>
          </w:p>
        </w:tc>
        <w:tc>
          <w:tcPr>
            <w:tcW w:w="87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9ECCE60">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□一般(6分)</w:t>
            </w:r>
          </w:p>
        </w:tc>
        <w:tc>
          <w:tcPr>
            <w:tcW w:w="87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77F4088">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□差(0分)</w:t>
            </w:r>
          </w:p>
        </w:tc>
      </w:tr>
      <w:tr w14:paraId="77A6B3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62AB9C4">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2</w:t>
            </w:r>
          </w:p>
        </w:tc>
        <w:tc>
          <w:tcPr>
            <w:tcW w:w="341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05E901">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无向患方索要钱物等要挟行为是否满意?</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689444">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8A3BD3">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口满意(10分)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3788F9">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□较满意(8分)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673468">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□一般(6分)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099941">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□差(0分)</w:t>
            </w:r>
          </w:p>
        </w:tc>
      </w:tr>
      <w:tr w14:paraId="724226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A867828">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3</w:t>
            </w:r>
          </w:p>
        </w:tc>
        <w:tc>
          <w:tcPr>
            <w:tcW w:w="341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083D8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尊重关爱患者、语言文明，主动为患者解决生活护理问题是否满意?</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DCEB9D">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C22A3C">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□满意(10分)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C71B64">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□较满意(8分)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72D167">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□一般(6分)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94F46A">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□差(0分)</w:t>
            </w:r>
          </w:p>
        </w:tc>
      </w:tr>
      <w:tr w14:paraId="3E4A23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2E69D43">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4</w:t>
            </w:r>
          </w:p>
        </w:tc>
        <w:tc>
          <w:tcPr>
            <w:tcW w:w="341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92897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按要求统一着装、挂牌上岗、不做与工作无关的事情或长时间看手机等是否满意?</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9F644C">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722EB4">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□满意(10分)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15A33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□较满意(8分)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6D643E">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□一般(6分)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A3F389">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□差(0分)</w:t>
            </w:r>
          </w:p>
        </w:tc>
      </w:tr>
      <w:tr w14:paraId="04B11A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118E100">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5</w:t>
            </w:r>
          </w:p>
        </w:tc>
        <w:tc>
          <w:tcPr>
            <w:tcW w:w="341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8EF575">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配置人数与工作量匹配情况是否满意?</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080937">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00C81F">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口满意(10分)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DB86F8">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□较满意(8分)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8D71C3">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□一般(6分)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E4A1EC">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□差(0分)</w:t>
            </w:r>
          </w:p>
        </w:tc>
      </w:tr>
      <w:tr w14:paraId="301038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C2553E0">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6</w:t>
            </w:r>
          </w:p>
        </w:tc>
        <w:tc>
          <w:tcPr>
            <w:tcW w:w="341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0E2ED1">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配合医疗护理工作(沟通、陪检、配合康复、反馈病情等)及与医务人员相处情况是否满意?</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444F5F">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A12423">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□满意(10分)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6EDF0F">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□较满意(8分)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9B5FB9">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□一般(6分)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BD82B3">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□差(0分)</w:t>
            </w:r>
          </w:p>
        </w:tc>
      </w:tr>
      <w:tr w14:paraId="6FAC5F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47A5B19">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7</w:t>
            </w:r>
          </w:p>
        </w:tc>
        <w:tc>
          <w:tcPr>
            <w:tcW w:w="341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B2DE18">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生活护理质量是否满意(三短四轻、六洁、巡视、二便护理等，“三短”指指甲短、胡须短、头发短；“四轻”指说话轻、走路轻、关门轻、动作轻；“六洁”指口腔洁、头发洁、皮肤洁、手足洁、会阴洁、肛门洁)?</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417FE2">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3C2A3D">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□满意(10分)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CCF35A">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□较满意(8分)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4B0CF7">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□一般(6分)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8C7F9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□差(0分)</w:t>
            </w:r>
          </w:p>
        </w:tc>
      </w:tr>
      <w:tr w14:paraId="428A24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8808334">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8</w:t>
            </w:r>
          </w:p>
        </w:tc>
        <w:tc>
          <w:tcPr>
            <w:tcW w:w="341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8DF8F7">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及时回应呼叫协助解决问题，特殊情况未能及时到位时能做好解释等情况是否满意?</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8DBDCB">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199C10">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口满意(10分)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9AFDEE">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□较满意(8分)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635F31">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□一般(6分)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A73AE5">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□差(0分)</w:t>
            </w:r>
          </w:p>
        </w:tc>
      </w:tr>
      <w:tr w14:paraId="08E6D2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9087F1C">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9</w:t>
            </w:r>
          </w:p>
        </w:tc>
        <w:tc>
          <w:tcPr>
            <w:tcW w:w="341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761F3F">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各项操作熟练安全情况是否满意?</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5FA79B">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7A2079">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口满意(10分)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65D3F0">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□较满意(8分)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FB54A9">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□一般(6分)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306F63">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□差(0分)</w:t>
            </w:r>
          </w:p>
        </w:tc>
      </w:tr>
      <w:tr w14:paraId="6EC5C7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579DEA4">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341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E0A85F">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陪护</w:t>
            </w:r>
            <w:r>
              <w:rPr>
                <w:rFonts w:ascii="仿宋_GB2312" w:hAnsi="仿宋_GB2312" w:eastAsia="仿宋_GB2312" w:cs="仿宋_GB2312"/>
                <w:color w:val="000000" w:themeColor="text1"/>
                <w:sz w:val="18"/>
                <w:szCs w:val="18"/>
                <w:highlight w:val="none"/>
                <w14:textFill>
                  <w14:solidFill>
                    <w14:schemeClr w14:val="tx1"/>
                  </w14:solidFill>
                </w14:textFill>
              </w:rPr>
              <w:t>公司管理人员落实经常深入病房，了解</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工作质量及患者意见等情况是否满意?</w:t>
            </w:r>
          </w:p>
        </w:tc>
        <w:tc>
          <w:tcPr>
            <w:tcW w:w="58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02AA21">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69C013">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口满意(10分)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0B1A71">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□较满意(8分)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848013">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□一般(6分)</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8A13D1">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□差(0分)</w:t>
            </w:r>
          </w:p>
        </w:tc>
      </w:tr>
      <w:tr w14:paraId="7699AB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6428F41">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总得分</w:t>
            </w:r>
          </w:p>
        </w:tc>
        <w:tc>
          <w:tcPr>
            <w:tcW w:w="4074" w:type="dxa"/>
            <w:gridSpan w:val="5"/>
            <w:tcBorders>
              <w:top w:val="nil"/>
              <w:left w:val="nil"/>
              <w:bottom w:val="single" w:color="000000" w:sz="4" w:space="0"/>
              <w:right w:val="single" w:color="000000" w:sz="4" w:space="0"/>
            </w:tcBorders>
            <w:tcMar>
              <w:top w:w="0" w:type="dxa"/>
              <w:left w:w="105" w:type="dxa"/>
              <w:bottom w:w="0" w:type="dxa"/>
              <w:right w:w="105" w:type="dxa"/>
            </w:tcMar>
            <w:vAlign w:val="center"/>
          </w:tcPr>
          <w:p w14:paraId="68344D84">
            <w:pPr>
              <w:pStyle w:val="99"/>
              <w:jc w:val="left"/>
              <w:rPr>
                <w:color w:val="000000" w:themeColor="text1"/>
                <w:sz w:val="18"/>
                <w:szCs w:val="18"/>
                <w:highlight w:val="none"/>
                <w14:textFill>
                  <w14:solidFill>
                    <w14:schemeClr w14:val="tx1"/>
                  </w14:solidFill>
                </w14:textFill>
              </w:rPr>
            </w:pPr>
          </w:p>
        </w:tc>
      </w:tr>
    </w:tbl>
    <w:p w14:paraId="21869CDC">
      <w:pPr>
        <w:pStyle w:val="99"/>
        <w:ind w:firstLine="220" w:firstLineChars="100"/>
        <w:jc w:val="left"/>
        <w:rPr>
          <w:rFonts w:ascii="仿宋_GB2312" w:hAnsi="仿宋_GB2312" w:eastAsia="仿宋_GB2312" w:cs="仿宋_GB2312"/>
          <w:color w:val="000000" w:themeColor="text1"/>
          <w:sz w:val="20"/>
          <w:szCs w:val="20"/>
          <w:highlight w:val="none"/>
          <w:u w:val="single"/>
          <w14:textFill>
            <w14:solidFill>
              <w14:schemeClr w14:val="tx1"/>
            </w14:solidFill>
          </w14:textFill>
        </w:rPr>
      </w:pPr>
      <w:r>
        <w:rPr>
          <w:rFonts w:ascii="仿宋_GB2312" w:hAnsi="仿宋_GB2312" w:eastAsia="仿宋_GB2312" w:cs="仿宋_GB2312"/>
          <w:color w:val="000000" w:themeColor="text1"/>
          <w:sz w:val="22"/>
          <w:szCs w:val="22"/>
          <w:highlight w:val="none"/>
          <w14:textFill>
            <w14:solidFill>
              <w14:schemeClr w14:val="tx1"/>
            </w14:solidFill>
          </w14:textFill>
        </w:rPr>
        <w:t>意见建议：</w:t>
      </w:r>
      <w:r>
        <w:rPr>
          <w:rFonts w:ascii="仿宋_GB2312" w:hAnsi="仿宋_GB2312" w:eastAsia="仿宋_GB2312" w:cs="仿宋_GB2312"/>
          <w:color w:val="000000" w:themeColor="text1"/>
          <w:sz w:val="20"/>
          <w:szCs w:val="20"/>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0"/>
          <w:szCs w:val="20"/>
          <w:highlight w:val="none"/>
          <w:u w:val="single"/>
          <w:lang w:val="en-US" w:eastAsia="zh-CN"/>
          <w14:textFill>
            <w14:solidFill>
              <w14:schemeClr w14:val="tx1"/>
            </w14:solidFill>
          </w14:textFill>
        </w:rPr>
        <w:t xml:space="preserve">              </w:t>
      </w:r>
      <w:r>
        <w:rPr>
          <w:rFonts w:ascii="仿宋_GB2312" w:hAnsi="仿宋_GB2312" w:eastAsia="仿宋_GB2312" w:cs="仿宋_GB2312"/>
          <w:color w:val="000000" w:themeColor="text1"/>
          <w:sz w:val="20"/>
          <w:szCs w:val="20"/>
          <w:highlight w:val="none"/>
          <w:u w:val="single"/>
          <w14:textFill>
            <w14:solidFill>
              <w14:schemeClr w14:val="tx1"/>
            </w14:solidFill>
          </w14:textFill>
        </w:rPr>
        <w:t xml:space="preserve">   </w:t>
      </w:r>
    </w:p>
    <w:p w14:paraId="210868EE">
      <w:pPr>
        <w:rPr>
          <w:rFonts w:ascii="仿宋_GB2312" w:hAnsi="仿宋_GB2312" w:eastAsia="仿宋_GB2312" w:cs="仿宋_GB2312"/>
          <w:color w:val="000000" w:themeColor="text1"/>
          <w:sz w:val="20"/>
          <w:szCs w:val="20"/>
          <w:highlight w:val="none"/>
          <w:u w:val="single"/>
          <w14:textFill>
            <w14:solidFill>
              <w14:schemeClr w14:val="tx1"/>
            </w14:solidFill>
          </w14:textFill>
        </w:rPr>
      </w:pPr>
      <w:r>
        <w:rPr>
          <w:rFonts w:ascii="仿宋_GB2312" w:hAnsi="仿宋_GB2312" w:eastAsia="仿宋_GB2312" w:cs="仿宋_GB2312"/>
          <w:color w:val="000000" w:themeColor="text1"/>
          <w:sz w:val="20"/>
          <w:szCs w:val="20"/>
          <w:highlight w:val="none"/>
          <w:u w:val="single"/>
          <w14:textFill>
            <w14:solidFill>
              <w14:schemeClr w14:val="tx1"/>
            </w14:solidFill>
          </w14:textFill>
        </w:rPr>
        <w:br w:type="page"/>
      </w:r>
    </w:p>
    <w:p w14:paraId="2F7F5397">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附件6</w:t>
      </w:r>
    </w:p>
    <w:p w14:paraId="63B0231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住院患者对医疗护理员服务评价问卷</w:t>
      </w:r>
    </w:p>
    <w:p w14:paraId="5824DE1B">
      <w:pPr>
        <w:pStyle w:val="99"/>
        <w:ind w:left="75" w:firstLine="440" w:firstLineChars="200"/>
        <w:jc w:val="both"/>
        <w:rPr>
          <w:color w:val="000000" w:themeColor="text1"/>
          <w:sz w:val="22"/>
          <w:szCs w:val="22"/>
          <w:highlight w:val="none"/>
          <w14:textFill>
            <w14:solidFill>
              <w14:schemeClr w14:val="tx1"/>
            </w14:solidFill>
          </w14:textFill>
        </w:rPr>
      </w:pPr>
      <w:r>
        <w:rPr>
          <w:rFonts w:ascii="仿宋_GB2312" w:hAnsi="仿宋_GB2312" w:eastAsia="仿宋_GB2312" w:cs="仿宋_GB2312"/>
          <w:color w:val="000000" w:themeColor="text1"/>
          <w:sz w:val="22"/>
          <w:szCs w:val="22"/>
          <w:highlight w:val="none"/>
          <w14:textFill>
            <w14:solidFill>
              <w14:schemeClr w14:val="tx1"/>
            </w14:solidFill>
          </w14:textFill>
        </w:rPr>
        <w:t>日期</w:t>
      </w:r>
      <w:r>
        <w:rPr>
          <w:rFonts w:ascii="仿宋_GB2312" w:hAnsi="仿宋_GB2312" w:eastAsia="仿宋_GB2312" w:cs="仿宋_GB2312"/>
          <w:color w:val="000000" w:themeColor="text1"/>
          <w:sz w:val="22"/>
          <w:szCs w:val="22"/>
          <w:highlight w:val="none"/>
          <w:u w:val="single"/>
          <w14:textFill>
            <w14:solidFill>
              <w14:schemeClr w14:val="tx1"/>
            </w14:solidFill>
          </w14:textFill>
        </w:rPr>
        <w:t xml:space="preserve">      </w:t>
      </w:r>
      <w:r>
        <w:rPr>
          <w:rFonts w:ascii="仿宋_GB2312" w:hAnsi="仿宋_GB2312" w:eastAsia="仿宋_GB2312" w:cs="仿宋_GB2312"/>
          <w:color w:val="000000" w:themeColor="text1"/>
          <w:sz w:val="22"/>
          <w:szCs w:val="22"/>
          <w:highlight w:val="none"/>
          <w14:textFill>
            <w14:solidFill>
              <w14:schemeClr w14:val="tx1"/>
            </w14:solidFill>
          </w14:textFill>
        </w:rPr>
        <w:t xml:space="preserve">  科室</w:t>
      </w:r>
      <w:r>
        <w:rPr>
          <w:rFonts w:ascii="仿宋_GB2312" w:hAnsi="仿宋_GB2312" w:eastAsia="仿宋_GB2312" w:cs="仿宋_GB2312"/>
          <w:color w:val="000000" w:themeColor="text1"/>
          <w:sz w:val="22"/>
          <w:szCs w:val="22"/>
          <w:highlight w:val="none"/>
          <w:u w:val="single"/>
          <w14:textFill>
            <w14:solidFill>
              <w14:schemeClr w14:val="tx1"/>
            </w14:solidFill>
          </w14:textFill>
        </w:rPr>
        <w:t xml:space="preserve">      </w:t>
      </w:r>
      <w:r>
        <w:rPr>
          <w:rFonts w:ascii="仿宋_GB2312" w:hAnsi="仿宋_GB2312" w:eastAsia="仿宋_GB2312" w:cs="仿宋_GB2312"/>
          <w:color w:val="000000" w:themeColor="text1"/>
          <w:sz w:val="22"/>
          <w:szCs w:val="22"/>
          <w:highlight w:val="none"/>
          <w14:textFill>
            <w14:solidFill>
              <w14:schemeClr w14:val="tx1"/>
            </w14:solidFill>
          </w14:textFill>
        </w:rPr>
        <w:t xml:space="preserve">  患者住院天数</w:t>
      </w:r>
      <w:r>
        <w:rPr>
          <w:rFonts w:ascii="仿宋_GB2312" w:hAnsi="仿宋_GB2312" w:eastAsia="仿宋_GB2312" w:cs="仿宋_GB2312"/>
          <w:color w:val="000000" w:themeColor="text1"/>
          <w:sz w:val="22"/>
          <w:szCs w:val="22"/>
          <w:highlight w:val="none"/>
          <w:u w:val="single"/>
          <w14:textFill>
            <w14:solidFill>
              <w14:schemeClr w14:val="tx1"/>
            </w14:solidFill>
          </w14:textFill>
        </w:rPr>
        <w:t xml:space="preserve">    </w:t>
      </w:r>
      <w:r>
        <w:rPr>
          <w:rFonts w:ascii="仿宋_GB2312" w:hAnsi="仿宋_GB2312" w:eastAsia="仿宋_GB2312" w:cs="仿宋_GB2312"/>
          <w:color w:val="000000" w:themeColor="text1"/>
          <w:sz w:val="22"/>
          <w:szCs w:val="22"/>
          <w:highlight w:val="none"/>
          <w14:textFill>
            <w14:solidFill>
              <w14:schemeClr w14:val="tx1"/>
            </w14:solidFill>
          </w14:textFill>
        </w:rPr>
        <w:t xml:space="preserve">  护理级别：□一级□二级□三级</w:t>
      </w:r>
    </w:p>
    <w:tbl>
      <w:tblPr>
        <w:tblStyle w:val="33"/>
        <w:tblW w:w="8596" w:type="dxa"/>
        <w:tblInd w:w="42"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27"/>
        <w:gridCol w:w="3098"/>
        <w:gridCol w:w="553"/>
        <w:gridCol w:w="1198"/>
        <w:gridCol w:w="1416"/>
        <w:gridCol w:w="1504"/>
      </w:tblGrid>
      <w:tr w14:paraId="273129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E8E2B38">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序号</w:t>
            </w:r>
          </w:p>
        </w:tc>
        <w:tc>
          <w:tcPr>
            <w:tcW w:w="30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A90FC2B">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项目内容/分值</w:t>
            </w:r>
          </w:p>
        </w:tc>
        <w:tc>
          <w:tcPr>
            <w:tcW w:w="55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7A72FAD">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得分</w:t>
            </w:r>
          </w:p>
        </w:tc>
        <w:tc>
          <w:tcPr>
            <w:tcW w:w="4118" w:type="dxa"/>
            <w:gridSpan w:val="3"/>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329B15A">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满意程度</w:t>
            </w:r>
          </w:p>
        </w:tc>
      </w:tr>
      <w:tr w14:paraId="53BBF3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1E5D40E">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w:t>
            </w:r>
          </w:p>
        </w:tc>
        <w:tc>
          <w:tcPr>
            <w:tcW w:w="30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6F882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当您入住“无陪护”病房时，</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是否着装整齐，热情接待?</w:t>
            </w:r>
          </w:p>
        </w:tc>
        <w:tc>
          <w:tcPr>
            <w:tcW w:w="55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C27AD0">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5</w:t>
            </w:r>
          </w:p>
        </w:tc>
        <w:tc>
          <w:tcPr>
            <w:tcW w:w="11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B46EF1">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□是(5分)</w:t>
            </w:r>
          </w:p>
        </w:tc>
        <w:tc>
          <w:tcPr>
            <w:tcW w:w="141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89CA5B5">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□否(0分)</w:t>
            </w:r>
          </w:p>
        </w:tc>
        <w:tc>
          <w:tcPr>
            <w:tcW w:w="150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B51F5E8">
            <w:pPr>
              <w:pStyle w:val="99"/>
              <w:jc w:val="left"/>
              <w:rPr>
                <w:color w:val="000000" w:themeColor="text1"/>
                <w:sz w:val="18"/>
                <w:szCs w:val="18"/>
                <w:highlight w:val="none"/>
                <w14:textFill>
                  <w14:solidFill>
                    <w14:schemeClr w14:val="tx1"/>
                  </w14:solidFill>
                </w14:textFill>
              </w:rPr>
            </w:pPr>
          </w:p>
        </w:tc>
      </w:tr>
      <w:tr w14:paraId="5C878C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0D5A8D1">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2</w:t>
            </w:r>
          </w:p>
        </w:tc>
        <w:tc>
          <w:tcPr>
            <w:tcW w:w="30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8C3BE8">
            <w:pPr>
              <w:pStyle w:val="99"/>
              <w:jc w:val="left"/>
              <w:rPr>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有无向您索要钱物等要挟行为?</w:t>
            </w:r>
          </w:p>
        </w:tc>
        <w:tc>
          <w:tcPr>
            <w:tcW w:w="55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D44291">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5</w:t>
            </w:r>
          </w:p>
        </w:tc>
        <w:tc>
          <w:tcPr>
            <w:tcW w:w="11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D8F6BF">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□无(5分)</w:t>
            </w:r>
          </w:p>
        </w:tc>
        <w:tc>
          <w:tcPr>
            <w:tcW w:w="141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2D7F6C">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□有(0分)</w:t>
            </w:r>
          </w:p>
        </w:tc>
        <w:tc>
          <w:tcPr>
            <w:tcW w:w="15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253A40">
            <w:pPr>
              <w:pStyle w:val="99"/>
              <w:jc w:val="left"/>
              <w:rPr>
                <w:color w:val="000000" w:themeColor="text1"/>
                <w:sz w:val="18"/>
                <w:szCs w:val="18"/>
                <w:highlight w:val="none"/>
                <w14:textFill>
                  <w14:solidFill>
                    <w14:schemeClr w14:val="tx1"/>
                  </w14:solidFill>
                </w14:textFill>
              </w:rPr>
            </w:pPr>
          </w:p>
        </w:tc>
      </w:tr>
      <w:tr w14:paraId="67DE95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A2633AD">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3</w:t>
            </w:r>
          </w:p>
        </w:tc>
        <w:tc>
          <w:tcPr>
            <w:tcW w:w="30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1657D8">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在您有任何疑问时，</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是否耐心解答，态度温和，语言文明?</w:t>
            </w:r>
          </w:p>
        </w:tc>
        <w:tc>
          <w:tcPr>
            <w:tcW w:w="55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276896">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11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C7FE9E">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□是(10分)</w:t>
            </w:r>
          </w:p>
        </w:tc>
        <w:tc>
          <w:tcPr>
            <w:tcW w:w="141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C76A9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口态度语气有时欠佳(6分)</w:t>
            </w:r>
          </w:p>
        </w:tc>
        <w:tc>
          <w:tcPr>
            <w:tcW w:w="15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9F928F">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□态度语气不好(0分)</w:t>
            </w:r>
          </w:p>
        </w:tc>
      </w:tr>
      <w:tr w14:paraId="6339A1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8DE6A41">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4</w:t>
            </w:r>
          </w:p>
        </w:tc>
        <w:tc>
          <w:tcPr>
            <w:tcW w:w="30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14D337">
            <w:pPr>
              <w:pStyle w:val="99"/>
              <w:jc w:val="left"/>
              <w:rPr>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上班期间是否会做无关的事情及长时间玩手机?</w:t>
            </w:r>
          </w:p>
        </w:tc>
        <w:tc>
          <w:tcPr>
            <w:tcW w:w="55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C47E85">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5</w:t>
            </w:r>
          </w:p>
        </w:tc>
        <w:tc>
          <w:tcPr>
            <w:tcW w:w="11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6D61D4">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□不会(5分)</w:t>
            </w:r>
          </w:p>
        </w:tc>
        <w:tc>
          <w:tcPr>
            <w:tcW w:w="141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E9545C">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□有时会，有时不会(3分)</w:t>
            </w:r>
          </w:p>
        </w:tc>
        <w:tc>
          <w:tcPr>
            <w:tcW w:w="15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E63CEA">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□经常会(0分)</w:t>
            </w:r>
          </w:p>
        </w:tc>
      </w:tr>
      <w:tr w14:paraId="3A0A15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B21D59">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5</w:t>
            </w:r>
          </w:p>
        </w:tc>
        <w:tc>
          <w:tcPr>
            <w:tcW w:w="30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CBEDD5">
            <w:pPr>
              <w:pStyle w:val="99"/>
              <w:jc w:val="left"/>
              <w:rPr>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是否每天有为您</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进行皮肤清洁</w:t>
            </w:r>
            <w:r>
              <w:rPr>
                <w:rFonts w:ascii="仿宋_GB2312" w:hAnsi="仿宋_GB2312" w:eastAsia="仿宋_GB2312" w:cs="仿宋_GB2312"/>
                <w:color w:val="000000" w:themeColor="text1"/>
                <w:sz w:val="18"/>
                <w:szCs w:val="18"/>
                <w:highlight w:val="none"/>
                <w14:textFill>
                  <w14:solidFill>
                    <w14:schemeClr w14:val="tx1"/>
                  </w14:solidFill>
                </w14:textFill>
              </w:rPr>
              <w:t>，每周洗头1-2次，保持六洁无异味(头发、口腔、指甲、皮肤、会阴部、床单位清洁)?</w:t>
            </w:r>
          </w:p>
        </w:tc>
        <w:tc>
          <w:tcPr>
            <w:tcW w:w="55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369387">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11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9B03E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□有(或不需要协助)(10分)</w:t>
            </w:r>
          </w:p>
        </w:tc>
        <w:tc>
          <w:tcPr>
            <w:tcW w:w="141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CC9DC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□有时会比较脏/有异味(6分)</w:t>
            </w:r>
          </w:p>
        </w:tc>
        <w:tc>
          <w:tcPr>
            <w:tcW w:w="15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659B93">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口脏/有异味(0分)</w:t>
            </w:r>
          </w:p>
        </w:tc>
      </w:tr>
      <w:tr w14:paraId="192B2C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trHeight w:val="923" w:hRule="atLeast"/>
        </w:trPr>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2DDC10">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6</w:t>
            </w:r>
          </w:p>
        </w:tc>
        <w:tc>
          <w:tcPr>
            <w:tcW w:w="30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B91499">
            <w:pPr>
              <w:pStyle w:val="99"/>
              <w:jc w:val="left"/>
              <w:rPr>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是否能及时取餐、取物，有需要时能协助您进食或喂食(取合适体位)?</w:t>
            </w:r>
          </w:p>
        </w:tc>
        <w:tc>
          <w:tcPr>
            <w:tcW w:w="55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F7ED07">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11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FEC1F9">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□是(或不需要)(10分)</w:t>
            </w:r>
          </w:p>
        </w:tc>
        <w:tc>
          <w:tcPr>
            <w:tcW w:w="141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BF6164">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□有时有，有时没有(6分)</w:t>
            </w:r>
          </w:p>
        </w:tc>
        <w:tc>
          <w:tcPr>
            <w:tcW w:w="15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663834">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□完全没有(2分)</w:t>
            </w:r>
          </w:p>
        </w:tc>
      </w:tr>
      <w:tr w14:paraId="11F873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35937B">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7</w:t>
            </w:r>
          </w:p>
        </w:tc>
        <w:tc>
          <w:tcPr>
            <w:tcW w:w="30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FE8AB4">
            <w:pPr>
              <w:pStyle w:val="99"/>
              <w:jc w:val="left"/>
              <w:rPr>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是否经常到您床边巡视，定时协助翻身拍背；是否做到“四轻”(说话轻、关门轻、动作轻、走路轻)?</w:t>
            </w:r>
          </w:p>
        </w:tc>
        <w:tc>
          <w:tcPr>
            <w:tcW w:w="55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6E5788">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11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D184AC">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□是(或不需要协助翻身)(10分)</w:t>
            </w:r>
          </w:p>
        </w:tc>
        <w:tc>
          <w:tcPr>
            <w:tcW w:w="141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5DEF7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□有时有，有时没有(6分)</w:t>
            </w:r>
          </w:p>
        </w:tc>
        <w:tc>
          <w:tcPr>
            <w:tcW w:w="15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13016E">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□没有(0分)</w:t>
            </w:r>
          </w:p>
        </w:tc>
      </w:tr>
      <w:tr w14:paraId="46B8B9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7AEE52B">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8</w:t>
            </w:r>
          </w:p>
        </w:tc>
        <w:tc>
          <w:tcPr>
            <w:tcW w:w="30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EE5447">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呼叫</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时是否能及时到床边解决问题，特殊情况未能及时到位时是否有做好解释?</w:t>
            </w:r>
          </w:p>
        </w:tc>
        <w:tc>
          <w:tcPr>
            <w:tcW w:w="55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4A8D53">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11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563348">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□有(10分)</w:t>
            </w:r>
          </w:p>
        </w:tc>
        <w:tc>
          <w:tcPr>
            <w:tcW w:w="141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698FD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□有时有，有时没有(6分)</w:t>
            </w:r>
          </w:p>
        </w:tc>
        <w:tc>
          <w:tcPr>
            <w:tcW w:w="15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75214A">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□完全没有(0分)</w:t>
            </w:r>
          </w:p>
        </w:tc>
      </w:tr>
      <w:tr w14:paraId="1E15C4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492029D">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9</w:t>
            </w:r>
          </w:p>
        </w:tc>
        <w:tc>
          <w:tcPr>
            <w:tcW w:w="30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FD8EE0">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协助处理</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大小便</w:t>
            </w:r>
            <w:r>
              <w:rPr>
                <w:rFonts w:ascii="仿宋_GB2312" w:hAnsi="仿宋_GB2312" w:eastAsia="仿宋_GB2312" w:cs="仿宋_GB2312"/>
                <w:color w:val="000000" w:themeColor="text1"/>
                <w:sz w:val="18"/>
                <w:szCs w:val="18"/>
                <w:highlight w:val="none"/>
                <w14:textFill>
                  <w14:solidFill>
                    <w14:schemeClr w14:val="tx1"/>
                  </w14:solidFill>
                </w14:textFill>
              </w:rPr>
              <w:t>是否满意?</w:t>
            </w:r>
          </w:p>
        </w:tc>
        <w:tc>
          <w:tcPr>
            <w:tcW w:w="55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196569">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11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BD6E8F">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口满意(或不需要协助)(10分)</w:t>
            </w:r>
          </w:p>
        </w:tc>
        <w:tc>
          <w:tcPr>
            <w:tcW w:w="141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5A0CAE">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□还可以(6分)</w:t>
            </w:r>
          </w:p>
        </w:tc>
        <w:tc>
          <w:tcPr>
            <w:tcW w:w="15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D496E0">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□不满意(0分)</w:t>
            </w:r>
          </w:p>
        </w:tc>
      </w:tr>
      <w:tr w14:paraId="06021D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178AD96">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30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E3E93C">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对输液看护及陪检是否满意?</w:t>
            </w:r>
          </w:p>
        </w:tc>
        <w:tc>
          <w:tcPr>
            <w:tcW w:w="55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B8B39E">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5</w:t>
            </w:r>
          </w:p>
        </w:tc>
        <w:tc>
          <w:tcPr>
            <w:tcW w:w="11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41C837">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口满意(5分)</w:t>
            </w:r>
          </w:p>
        </w:tc>
        <w:tc>
          <w:tcPr>
            <w:tcW w:w="141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CDCF1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□还可以(3分)</w:t>
            </w:r>
          </w:p>
        </w:tc>
        <w:tc>
          <w:tcPr>
            <w:tcW w:w="15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54F545">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□不满意(0分)</w:t>
            </w:r>
          </w:p>
        </w:tc>
      </w:tr>
      <w:tr w14:paraId="32B7CC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C7553B4">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11</w:t>
            </w:r>
          </w:p>
        </w:tc>
        <w:tc>
          <w:tcPr>
            <w:tcW w:w="30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F7F6C4">
            <w:pPr>
              <w:pStyle w:val="99"/>
              <w:jc w:val="left"/>
              <w:rPr>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各项操作是否熟练并能确保安全?</w:t>
            </w:r>
          </w:p>
        </w:tc>
        <w:tc>
          <w:tcPr>
            <w:tcW w:w="55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3FA3DE">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10</w:t>
            </w:r>
          </w:p>
        </w:tc>
        <w:tc>
          <w:tcPr>
            <w:tcW w:w="11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7F7690">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□熟练(10分)</w:t>
            </w:r>
          </w:p>
        </w:tc>
        <w:tc>
          <w:tcPr>
            <w:tcW w:w="141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95A4BC">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□还可以(6分)</w:t>
            </w:r>
          </w:p>
        </w:tc>
        <w:tc>
          <w:tcPr>
            <w:tcW w:w="15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6954A1">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□不熟练(0分)</w:t>
            </w:r>
          </w:p>
        </w:tc>
      </w:tr>
      <w:tr w14:paraId="42C84A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118D093">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12</w:t>
            </w:r>
          </w:p>
        </w:tc>
        <w:tc>
          <w:tcPr>
            <w:tcW w:w="30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0B2703">
            <w:pPr>
              <w:pStyle w:val="99"/>
              <w:jc w:val="left"/>
              <w:rPr>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是否能体谅您的病情，让您尽量舒适?</w:t>
            </w:r>
          </w:p>
        </w:tc>
        <w:tc>
          <w:tcPr>
            <w:tcW w:w="55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EBD130">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5</w:t>
            </w:r>
          </w:p>
        </w:tc>
        <w:tc>
          <w:tcPr>
            <w:tcW w:w="11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27ECE2">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口能(5分)</w:t>
            </w:r>
          </w:p>
        </w:tc>
        <w:tc>
          <w:tcPr>
            <w:tcW w:w="141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6D0AEA">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□有时有，有时没有(3分)</w:t>
            </w:r>
          </w:p>
        </w:tc>
        <w:tc>
          <w:tcPr>
            <w:tcW w:w="15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4426A8">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口完全没有(0分)</w:t>
            </w:r>
          </w:p>
        </w:tc>
      </w:tr>
      <w:tr w14:paraId="7167C4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24C96B">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13</w:t>
            </w:r>
          </w:p>
        </w:tc>
        <w:tc>
          <w:tcPr>
            <w:tcW w:w="30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3C8A51">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在进行暴露身体操作时，</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18"/>
                <w:szCs w:val="18"/>
                <w:highlight w:val="none"/>
                <w14:textFill>
                  <w14:solidFill>
                    <w14:schemeClr w14:val="tx1"/>
                  </w14:solidFill>
                </w14:textFill>
              </w:rPr>
              <w:t>是否有注意用拉帘、遮挡等方式保护您的隐私?</w:t>
            </w:r>
          </w:p>
        </w:tc>
        <w:tc>
          <w:tcPr>
            <w:tcW w:w="55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72DB8E">
            <w:pPr>
              <w:pStyle w:val="99"/>
              <w:jc w:val="center"/>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5</w:t>
            </w:r>
          </w:p>
        </w:tc>
        <w:tc>
          <w:tcPr>
            <w:tcW w:w="119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5BC0FB">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□有(5分)</w:t>
            </w:r>
          </w:p>
        </w:tc>
        <w:tc>
          <w:tcPr>
            <w:tcW w:w="141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9979D4">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□有时有，有时没有(3分)</w:t>
            </w:r>
          </w:p>
        </w:tc>
        <w:tc>
          <w:tcPr>
            <w:tcW w:w="15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CB4ED6">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□完全没有(0分)</w:t>
            </w:r>
          </w:p>
        </w:tc>
      </w:tr>
      <w:tr w14:paraId="14F075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92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CB43A41">
            <w:pPr>
              <w:pStyle w:val="99"/>
              <w:jc w:val="left"/>
              <w:rPr>
                <w:color w:val="000000" w:themeColor="text1"/>
                <w:sz w:val="18"/>
                <w:szCs w:val="18"/>
                <w:highlight w:val="none"/>
                <w14:textFill>
                  <w14:solidFill>
                    <w14:schemeClr w14:val="tx1"/>
                  </w14:solidFill>
                </w14:textFill>
              </w:rPr>
            </w:pPr>
            <w:r>
              <w:rPr>
                <w:rFonts w:ascii="仿宋_GB2312" w:hAnsi="仿宋_GB2312" w:eastAsia="仿宋_GB2312" w:cs="仿宋_GB2312"/>
                <w:color w:val="000000" w:themeColor="text1"/>
                <w:sz w:val="18"/>
                <w:szCs w:val="18"/>
                <w:highlight w:val="none"/>
                <w14:textFill>
                  <w14:solidFill>
                    <w14:schemeClr w14:val="tx1"/>
                  </w14:solidFill>
                </w14:textFill>
              </w:rPr>
              <w:t>总得分</w:t>
            </w:r>
          </w:p>
        </w:tc>
        <w:tc>
          <w:tcPr>
            <w:tcW w:w="4671" w:type="dxa"/>
            <w:gridSpan w:val="4"/>
            <w:tcBorders>
              <w:top w:val="nil"/>
              <w:left w:val="nil"/>
              <w:bottom w:val="single" w:color="000000" w:sz="4" w:space="0"/>
              <w:right w:val="single" w:color="000000" w:sz="4" w:space="0"/>
            </w:tcBorders>
            <w:tcMar>
              <w:top w:w="0" w:type="dxa"/>
              <w:left w:w="105" w:type="dxa"/>
              <w:bottom w:w="0" w:type="dxa"/>
              <w:right w:w="105" w:type="dxa"/>
            </w:tcMar>
            <w:vAlign w:val="center"/>
          </w:tcPr>
          <w:p w14:paraId="329F54AC">
            <w:pPr>
              <w:pStyle w:val="99"/>
              <w:jc w:val="left"/>
              <w:rPr>
                <w:color w:val="000000" w:themeColor="text1"/>
                <w:sz w:val="18"/>
                <w:szCs w:val="18"/>
                <w:highlight w:val="none"/>
                <w14:textFill>
                  <w14:solidFill>
                    <w14:schemeClr w14:val="tx1"/>
                  </w14:solidFill>
                </w14:textFill>
              </w:rPr>
            </w:pPr>
          </w:p>
        </w:tc>
      </w:tr>
    </w:tbl>
    <w:p w14:paraId="422C6C9C">
      <w:pPr>
        <w:pStyle w:val="99"/>
        <w:jc w:val="both"/>
        <w:rPr>
          <w:rFonts w:hint="default" w:ascii="仿宋_GB2312" w:hAnsi="仿宋_GB2312" w:eastAsia="仿宋_GB2312" w:cs="仿宋_GB2312"/>
          <w:color w:val="000000" w:themeColor="text1"/>
          <w:sz w:val="32"/>
          <w:szCs w:val="32"/>
          <w:highlight w:val="none"/>
          <w:shd w:val="clear" w:fill="FFFFFF"/>
          <w:lang w:val="en-US" w:eastAsia="zh-CN"/>
          <w14:textFill>
            <w14:solidFill>
              <w14:schemeClr w14:val="tx1"/>
            </w14:solidFill>
          </w14:textFill>
        </w:rPr>
      </w:pPr>
      <w:r>
        <w:rPr>
          <w:rFonts w:ascii="仿宋_GB2312" w:hAnsi="仿宋_GB2312" w:eastAsia="仿宋_GB2312" w:cs="仿宋_GB2312"/>
          <w:color w:val="000000" w:themeColor="text1"/>
          <w:sz w:val="22"/>
          <w:szCs w:val="22"/>
          <w:highlight w:val="none"/>
          <w14:textFill>
            <w14:solidFill>
              <w14:schemeClr w14:val="tx1"/>
            </w14:solidFill>
          </w14:textFill>
        </w:rPr>
        <w:t>您对</w:t>
      </w:r>
      <w:r>
        <w:rPr>
          <w:rFonts w:hint="eastAsia" w:ascii="仿宋_GB2312" w:hAnsi="仿宋_GB2312" w:eastAsia="仿宋_GB2312" w:cs="仿宋_GB2312"/>
          <w:color w:val="000000" w:themeColor="text1"/>
          <w:sz w:val="22"/>
          <w:szCs w:val="22"/>
          <w:highlight w:val="none"/>
          <w:lang w:eastAsia="zh-CN"/>
          <w14:textFill>
            <w14:solidFill>
              <w14:schemeClr w14:val="tx1"/>
            </w14:solidFill>
          </w14:textFill>
        </w:rPr>
        <w:t>医疗护理员</w:t>
      </w:r>
      <w:r>
        <w:rPr>
          <w:rFonts w:ascii="仿宋_GB2312" w:hAnsi="仿宋_GB2312" w:eastAsia="仿宋_GB2312" w:cs="仿宋_GB2312"/>
          <w:color w:val="000000" w:themeColor="text1"/>
          <w:sz w:val="22"/>
          <w:szCs w:val="22"/>
          <w:highlight w:val="none"/>
          <w14:textFill>
            <w14:solidFill>
              <w14:schemeClr w14:val="tx1"/>
            </w14:solidFill>
          </w14:textFill>
        </w:rPr>
        <w:t>工作的意见建议：</w:t>
      </w:r>
      <w:r>
        <w:rPr>
          <w:rFonts w:ascii="仿宋_GB2312" w:hAnsi="仿宋_GB2312" w:eastAsia="仿宋_GB2312" w:cs="仿宋_GB2312"/>
          <w:color w:val="000000" w:themeColor="text1"/>
          <w:sz w:val="22"/>
          <w:szCs w:val="2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2"/>
          <w:szCs w:val="22"/>
          <w:highlight w:val="none"/>
          <w:u w:val="single"/>
          <w:lang w:val="en-US" w:eastAsia="zh-CN"/>
          <w14:textFill>
            <w14:solidFill>
              <w14:schemeClr w14:val="tx1"/>
            </w14:solidFill>
          </w14:textFill>
        </w:rPr>
        <w:t xml:space="preserve">           </w:t>
      </w:r>
    </w:p>
    <w:p w14:paraId="58670D60">
      <w:pPr>
        <w:rPr>
          <w:rFonts w:hint="eastAsia"/>
          <w:highlight w:val="none"/>
          <w:lang w:val="en-US" w:eastAsia="zh-CN"/>
        </w:rPr>
      </w:pPr>
      <w:r>
        <w:rPr>
          <w:rFonts w:hint="eastAsia"/>
          <w:highlight w:val="none"/>
          <w:lang w:val="en-US" w:eastAsia="zh-CN"/>
        </w:rPr>
        <w:br w:type="page"/>
      </w:r>
    </w:p>
    <w:p w14:paraId="3B9DDAA0">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宋体" w:hAnsi="宋体" w:eastAsia="宋体" w:cs="宋体"/>
          <w:b w:val="0"/>
          <w:bCs w:val="0"/>
          <w:color w:val="auto"/>
          <w:kern w:val="2"/>
          <w:sz w:val="21"/>
          <w:szCs w:val="24"/>
          <w:highlight w:val="none"/>
          <w:lang w:val="en-US" w:eastAsia="zh-CN" w:bidi="ar-SA"/>
        </w:rPr>
      </w:pPr>
    </w:p>
    <w:p w14:paraId="37811001">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3F13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6D22B6">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37F6659">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48BD1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8B0E0C6">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sz w:val="21"/>
                <w:szCs w:val="21"/>
                <w:highlight w:val="none"/>
              </w:rPr>
            </w:pPr>
            <w:r>
              <w:rPr>
                <w:rFonts w:hint="eastAsia" w:cs="宋体"/>
                <w:color w:val="auto"/>
                <w:sz w:val="21"/>
                <w:szCs w:val="21"/>
                <w:highlight w:val="none"/>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6DE8508">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highlight w:val="none"/>
                <w:lang w:val="en-US" w:eastAsia="zh-CN"/>
              </w:rPr>
              <w:t>采购人指定地点。</w:t>
            </w:r>
          </w:p>
        </w:tc>
      </w:tr>
      <w:tr w14:paraId="3978C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5990170">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0DC0BCB4">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一年</w:t>
            </w:r>
          </w:p>
        </w:tc>
      </w:tr>
      <w:tr w14:paraId="09C64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1143A2D">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743A001">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cs="宋体"/>
                <w:sz w:val="21"/>
                <w:szCs w:val="21"/>
                <w:highlight w:val="none"/>
                <w:shd w:val="clear" w:color="auto" w:fill="FFFFFF"/>
                <w:lang w:eastAsia="zh-CN"/>
              </w:rPr>
            </w:pPr>
            <w:r>
              <w:rPr>
                <w:rFonts w:hint="eastAsia" w:cs="宋体"/>
                <w:color w:val="auto"/>
                <w:sz w:val="21"/>
                <w:szCs w:val="21"/>
                <w:highlight w:val="none"/>
                <w:lang w:val="en-US" w:eastAsia="zh-CN"/>
              </w:rPr>
              <w:t>符合现行国家、省、市地方相关规范和标准，满足磋商文件规定标准</w:t>
            </w:r>
            <w:r>
              <w:rPr>
                <w:rFonts w:hint="eastAsia" w:ascii="宋体" w:hAnsi="宋体" w:eastAsia="宋体" w:cs="宋体"/>
                <w:color w:val="auto"/>
                <w:sz w:val="21"/>
                <w:szCs w:val="21"/>
                <w:highlight w:val="none"/>
                <w:lang w:val="en-US" w:eastAsia="zh-CN"/>
              </w:rPr>
              <w:t>。</w:t>
            </w:r>
          </w:p>
        </w:tc>
      </w:tr>
      <w:tr w14:paraId="480AE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1AE1E4A">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570992AC">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按月据实结算</w:t>
            </w:r>
            <w:r>
              <w:rPr>
                <w:rFonts w:hint="eastAsia" w:cs="宋体"/>
                <w:color w:val="auto"/>
                <w:sz w:val="21"/>
                <w:szCs w:val="21"/>
                <w:highlight w:val="none"/>
                <w:lang w:val="en-US" w:eastAsia="zh-CN"/>
              </w:rPr>
              <w:t>。</w:t>
            </w:r>
          </w:p>
        </w:tc>
      </w:tr>
    </w:tbl>
    <w:p w14:paraId="13AD6AF8">
      <w:pPr>
        <w:pStyle w:val="21"/>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highlight w:val="none"/>
        </w:rPr>
      </w:pPr>
    </w:p>
    <w:p w14:paraId="729AF539">
      <w:pPr>
        <w:pStyle w:val="21"/>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highlight w:val="none"/>
        </w:rPr>
      </w:pPr>
    </w:p>
    <w:p w14:paraId="10C272D3">
      <w:pPr>
        <w:pStyle w:val="21"/>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highlight w:val="none"/>
        </w:rPr>
      </w:pPr>
    </w:p>
    <w:p w14:paraId="7168E5F4">
      <w:pPr>
        <w:pStyle w:val="21"/>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highlight w:val="none"/>
        </w:rPr>
      </w:pPr>
    </w:p>
    <w:p w14:paraId="27FA5E7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6A6E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EB72B6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E5AB001">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不接受联合体投标，不允许转包和分包。</w:t>
            </w:r>
          </w:p>
          <w:p w14:paraId="57EC2AE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w:t>
            </w:r>
            <w:r>
              <w:rPr>
                <w:rFonts w:hint="eastAsia" w:ascii="宋体" w:hAnsi="宋体" w:cs="宋体"/>
                <w:color w:val="auto"/>
                <w:highlight w:val="none"/>
                <w:lang w:val="en-US" w:eastAsia="zh-CN"/>
              </w:rPr>
              <w:t>三</w:t>
            </w:r>
            <w:r>
              <w:rPr>
                <w:rFonts w:hint="eastAsia" w:ascii="宋体" w:hAnsi="宋体" w:eastAsia="宋体" w:cs="宋体"/>
                <w:color w:val="auto"/>
                <w:highlight w:val="none"/>
                <w:lang w:val="en-US" w:eastAsia="zh-CN"/>
              </w:rPr>
              <w:t>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1BC547F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cs="Times New Roman"/>
                <w:highlight w:val="none"/>
                <w:lang w:val="en-US" w:eastAsia="zh-CN"/>
              </w:rPr>
              <w:t>采购人使用成交人中标的货物、技术、资料、服务或其他任何一部分时，享有无偿使用权。免受第三方提出的侵犯其专利权、著作权、商标权或其它知识产权的起诉。如果第三方提出侵权指控，成交人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823"/>
        <w:gridCol w:w="9017"/>
      </w:tblGrid>
      <w:tr w14:paraId="7152AC17">
        <w:tblPrEx>
          <w:tblCellMar>
            <w:top w:w="0" w:type="dxa"/>
            <w:left w:w="0" w:type="dxa"/>
            <w:bottom w:w="0" w:type="dxa"/>
            <w:right w:w="0" w:type="dxa"/>
          </w:tblCellMar>
        </w:tblPrEx>
        <w:trPr>
          <w:trHeight w:val="450" w:hRule="atLeast"/>
          <w:jc w:val="center"/>
        </w:trPr>
        <w:tc>
          <w:tcPr>
            <w:tcW w:w="823"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901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9566"/>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驻马店市中心医院免陪照护服务采购项目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940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3148"/>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35"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282"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8A4D49">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采购预算：</w:t>
            </w:r>
            <w:r>
              <w:rPr>
                <w:rFonts w:hint="eastAsia" w:ascii="宋体" w:hAnsi="宋体" w:cs="宋体"/>
                <w:color w:val="auto"/>
                <w:highlight w:val="none"/>
                <w:lang w:val="en-US" w:eastAsia="zh-CN"/>
              </w:rPr>
              <w:t>480000元</w:t>
            </w:r>
            <w:r>
              <w:rPr>
                <w:rFonts w:hint="default" w:ascii="宋体" w:hAnsi="宋体" w:eastAsia="宋体" w:cs="宋体"/>
                <w:color w:val="auto"/>
                <w:highlight w:val="none"/>
                <w:lang w:val="en-US" w:eastAsia="zh-CN"/>
              </w:rPr>
              <w:t>；最高投标限价</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综合</w:t>
            </w:r>
            <w:r>
              <w:rPr>
                <w:rFonts w:hint="eastAsia" w:ascii="宋体" w:hAnsi="宋体" w:cs="宋体"/>
                <w:color w:val="auto"/>
                <w:kern w:val="0"/>
                <w:szCs w:val="21"/>
                <w:highlight w:val="none"/>
                <w:lang w:val="en-US" w:eastAsia="zh-CN"/>
              </w:rPr>
              <w:t>折扣率：</w:t>
            </w:r>
            <w:r>
              <w:rPr>
                <w:rFonts w:hint="eastAsia" w:ascii="宋体" w:hAnsi="宋体" w:cs="宋体"/>
                <w:color w:val="auto"/>
                <w:highlight w:val="none"/>
                <w:lang w:val="en-US" w:eastAsia="zh-CN"/>
              </w:rPr>
              <w:t>100%</w:t>
            </w:r>
          </w:p>
          <w:p w14:paraId="1E14FE2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w:t>
            </w:r>
            <w:r>
              <w:rPr>
                <w:rFonts w:hint="eastAsia" w:ascii="宋体" w:hAnsi="宋体" w:cs="宋体"/>
                <w:color w:val="auto"/>
                <w:kern w:val="0"/>
                <w:szCs w:val="21"/>
                <w:highlight w:val="none"/>
                <w:lang w:val="en-US" w:eastAsia="zh-CN"/>
              </w:rPr>
              <w:t>综合折扣率</w:t>
            </w:r>
            <w:r>
              <w:rPr>
                <w:rFonts w:hint="eastAsia" w:ascii="宋体" w:hAnsi="宋体" w:cs="宋体"/>
                <w:color w:val="auto"/>
                <w:kern w:val="0"/>
                <w:szCs w:val="21"/>
                <w:highlight w:val="none"/>
              </w:rPr>
              <w:t>报价。</w:t>
            </w:r>
            <w:r>
              <w:rPr>
                <w:rFonts w:hint="eastAsia" w:ascii="宋体" w:hAnsi="宋体" w:cs="宋体"/>
                <w:color w:val="auto"/>
                <w:kern w:val="0"/>
                <w:szCs w:val="21"/>
                <w:highlight w:val="none"/>
                <w:lang w:val="en-US" w:eastAsia="zh-CN"/>
              </w:rPr>
              <w:t>供应商在磋商文件规定的服务收费标准的基础上，分别</w:t>
            </w:r>
            <w:r>
              <w:rPr>
                <w:rFonts w:hint="eastAsia" w:ascii="宋体" w:hAnsi="宋体" w:cs="宋体"/>
                <w:b w:val="0"/>
                <w:bCs w:val="0"/>
                <w:color w:val="auto"/>
                <w:kern w:val="0"/>
                <w:szCs w:val="21"/>
                <w:highlight w:val="none"/>
                <w:lang w:val="en-US" w:eastAsia="zh-CN"/>
              </w:rPr>
              <w:t>对“一对一陪护”“一对多陪护”报出</w:t>
            </w:r>
            <w:r>
              <w:rPr>
                <w:rFonts w:hint="eastAsia" w:ascii="宋体" w:hAnsi="宋体" w:cs="宋体"/>
                <w:color w:val="auto"/>
                <w:kern w:val="0"/>
                <w:szCs w:val="21"/>
                <w:highlight w:val="none"/>
                <w:lang w:val="en-US" w:eastAsia="zh-CN"/>
              </w:rPr>
              <w:t>综合折扣率</w:t>
            </w:r>
            <w:r>
              <w:rPr>
                <w:rFonts w:hint="eastAsia" w:ascii="宋体" w:hAnsi="宋体" w:cs="宋体"/>
                <w:b w:val="0"/>
                <w:bCs w:val="0"/>
                <w:color w:val="auto"/>
                <w:kern w:val="0"/>
                <w:szCs w:val="21"/>
                <w:highlight w:val="none"/>
                <w:lang w:val="en-US" w:eastAsia="zh-CN"/>
              </w:rPr>
              <w:t xml:space="preserve">。服务收费标准如下： </w:t>
            </w:r>
          </w:p>
          <w:p w14:paraId="5DAC9E60">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3.1.</w:t>
            </w:r>
            <w:r>
              <w:rPr>
                <w:rFonts w:hint="default" w:ascii="宋体" w:hAnsi="宋体" w:eastAsia="宋体" w:cs="宋体"/>
                <w:color w:val="auto"/>
                <w:highlight w:val="none"/>
                <w:lang w:val="en-US" w:eastAsia="zh-CN"/>
              </w:rPr>
              <w:t>1.“免陪照护”服务收费方式及标准</w:t>
            </w:r>
          </w:p>
          <w:p w14:paraId="1187491A">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本项目允许磨合期三个月。每月费用据实结算。以《驻马店市医疗保障局驻马店市人力资源和社会保障局关于规范护理等3类医疗服务价格项目的通知》（驻医保办〔2025〕7号）免陪照护服务价格为基准，</w:t>
            </w:r>
          </w:p>
          <w:p w14:paraId="41B7EF91">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“一对一”提供服务：免陪照护服务价格×95%</w:t>
            </w:r>
          </w:p>
          <w:p w14:paraId="6410D5C9">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“一对二”提供服务：免陪照护服务价格×90%</w:t>
            </w:r>
          </w:p>
          <w:p w14:paraId="1D24C9C0">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“一对三”提供服务：免陪照护服务价格×80%</w:t>
            </w:r>
          </w:p>
          <w:p w14:paraId="30C8622F">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“一对四”提供服务：免陪照护服务价格×70%</w:t>
            </w:r>
          </w:p>
          <w:p w14:paraId="2BBB75E0">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计算公式：</w:t>
            </w:r>
          </w:p>
          <w:p w14:paraId="640529F9">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如：</w:t>
            </w:r>
            <w:r>
              <w:rPr>
                <w:rFonts w:hint="eastAsia" w:ascii="宋体" w:hAnsi="宋体" w:cs="宋体"/>
                <w:color w:val="auto"/>
                <w:highlight w:val="none"/>
                <w:lang w:val="en-US" w:eastAsia="zh-CN"/>
              </w:rPr>
              <w:t>目前</w:t>
            </w:r>
            <w:r>
              <w:rPr>
                <w:rFonts w:hint="default" w:ascii="宋体" w:hAnsi="宋体" w:eastAsia="宋体" w:cs="宋体"/>
                <w:color w:val="auto"/>
                <w:highlight w:val="none"/>
                <w:lang w:val="en-US" w:eastAsia="zh-CN"/>
              </w:rPr>
              <w:t>免陪照护服务价格为135元/床/日</w:t>
            </w:r>
          </w:p>
          <w:p w14:paraId="47EAA7B3">
            <w:pPr>
              <w:widowControl/>
              <w:tabs>
                <w:tab w:val="left" w:pos="1418"/>
              </w:tabs>
              <w:snapToGrid w:val="0"/>
              <w:spacing w:before="50" w:after="50" w:line="360" w:lineRule="exact"/>
              <w:jc w:val="left"/>
              <w:rPr>
                <w:rFonts w:hint="default"/>
                <w:sz w:val="21"/>
                <w:szCs w:val="21"/>
                <w:highlight w:val="none"/>
                <w:lang w:val="en-US" w:eastAsia="zh-CN"/>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则服务收费计算价格如下：</w:t>
            </w:r>
          </w:p>
          <w:tbl>
            <w:tblPr>
              <w:tblStyle w:val="34"/>
              <w:tblW w:w="8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753"/>
              <w:gridCol w:w="4594"/>
            </w:tblGrid>
            <w:tr w14:paraId="1CF8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2" w:type="dxa"/>
                  <w:gridSpan w:val="2"/>
                  <w:vAlign w:val="top"/>
                </w:tcPr>
                <w:p w14:paraId="3BF5DDFE">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服务类型</w:t>
                  </w:r>
                </w:p>
              </w:tc>
              <w:tc>
                <w:tcPr>
                  <w:tcW w:w="4594" w:type="dxa"/>
                  <w:vAlign w:val="top"/>
                </w:tcPr>
                <w:p w14:paraId="31608EE3">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免陪照护服务价格</w:t>
                  </w:r>
                </w:p>
              </w:tc>
            </w:tr>
            <w:tr w14:paraId="3591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05C4C0EA">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一对一陪护</w:t>
                  </w:r>
                </w:p>
              </w:tc>
              <w:tc>
                <w:tcPr>
                  <w:tcW w:w="2753" w:type="dxa"/>
                  <w:vAlign w:val="center"/>
                </w:tcPr>
                <w:p w14:paraId="0FE2BE42">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“一对一”提供服务</w:t>
                  </w:r>
                </w:p>
              </w:tc>
              <w:tc>
                <w:tcPr>
                  <w:tcW w:w="4594" w:type="dxa"/>
                  <w:vAlign w:val="center"/>
                </w:tcPr>
                <w:p w14:paraId="2FD070B5">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135×（1+60%）×95%=205.2元/日</w:t>
                  </w:r>
                </w:p>
              </w:tc>
            </w:tr>
            <w:tr w14:paraId="1105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79420368">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一对多陪护</w:t>
                  </w:r>
                </w:p>
              </w:tc>
              <w:tc>
                <w:tcPr>
                  <w:tcW w:w="2753" w:type="dxa"/>
                  <w:vAlign w:val="center"/>
                </w:tcPr>
                <w:p w14:paraId="27418DEB">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“一对二”提供服务</w:t>
                  </w:r>
                </w:p>
              </w:tc>
              <w:tc>
                <w:tcPr>
                  <w:tcW w:w="4594" w:type="dxa"/>
                  <w:vAlign w:val="center"/>
                </w:tcPr>
                <w:p w14:paraId="5D4C1D32">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135×90%×2=243元/日</w:t>
                  </w:r>
                </w:p>
              </w:tc>
            </w:tr>
            <w:tr w14:paraId="0D53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top"/>
                </w:tcPr>
                <w:p w14:paraId="55E643A4">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pPr>
                </w:p>
              </w:tc>
              <w:tc>
                <w:tcPr>
                  <w:tcW w:w="2753" w:type="dxa"/>
                  <w:vAlign w:val="center"/>
                </w:tcPr>
                <w:p w14:paraId="4315F171">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“一对三”提供服务</w:t>
                  </w:r>
                </w:p>
              </w:tc>
              <w:tc>
                <w:tcPr>
                  <w:tcW w:w="4594" w:type="dxa"/>
                  <w:vAlign w:val="center"/>
                </w:tcPr>
                <w:p w14:paraId="18079D6B">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14:textFill>
                        <w14:solidFill>
                          <w14:schemeClr w14:val="tx1"/>
                        </w14:solidFill>
                      </w14:textFill>
                    </w:rPr>
                    <w:t>135×80%×3=324元/日</w:t>
                  </w:r>
                </w:p>
              </w:tc>
            </w:tr>
            <w:tr w14:paraId="492D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top"/>
                </w:tcPr>
                <w:p w14:paraId="1CDC86D4">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pPr>
                </w:p>
              </w:tc>
              <w:tc>
                <w:tcPr>
                  <w:tcW w:w="2753" w:type="dxa"/>
                  <w:vAlign w:val="center"/>
                </w:tcPr>
                <w:p w14:paraId="7DF67BB2">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“一对四”提供服务</w:t>
                  </w:r>
                </w:p>
              </w:tc>
              <w:tc>
                <w:tcPr>
                  <w:tcW w:w="4594" w:type="dxa"/>
                  <w:vAlign w:val="center"/>
                </w:tcPr>
                <w:p w14:paraId="59292CA9">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135×70%×4=378元/日</w:t>
                  </w:r>
                </w:p>
              </w:tc>
            </w:tr>
          </w:tbl>
          <w:p w14:paraId="3AF15749">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3.1.2</w:t>
            </w:r>
            <w:r>
              <w:rPr>
                <w:rFonts w:hint="default" w:ascii="宋体" w:hAnsi="宋体" w:eastAsia="宋体" w:cs="宋体"/>
                <w:color w:val="auto"/>
                <w:highlight w:val="none"/>
                <w:lang w:val="en-US" w:eastAsia="zh-CN"/>
              </w:rPr>
              <w:t>.本项目报价包括但不限于工资、加班、福利、保险、工作服装费、装备费、材料、税费、专用工具费、培训费用、办公用品及办公相关支出的费用及利润等费用，潜在投标人还应考虑可能出现的索赔、变更等情况，若出现劳动纠纷、劳动违法现象，由供应商全部负责，医院不再承担任何费用。在服务期内，若遇政策性调整（如最低工资标准调整、“免陪照护”服务收费价格调整等），由供应商自行承担。</w:t>
            </w:r>
          </w:p>
          <w:p w14:paraId="6E36BB11">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3.1.</w:t>
            </w:r>
            <w:r>
              <w:rPr>
                <w:rFonts w:hint="eastAsia" w:ascii="宋体" w:hAnsi="宋体" w:eastAsia="宋体" w:cs="宋体"/>
                <w:color w:val="auto"/>
                <w:highlight w:val="none"/>
                <w:lang w:val="en-US" w:eastAsia="zh-CN"/>
              </w:rPr>
              <w:t>3</w:t>
            </w:r>
            <w:r>
              <w:rPr>
                <w:rFonts w:hint="default" w:ascii="宋体" w:hAnsi="宋体" w:eastAsia="宋体" w:cs="宋体"/>
                <w:color w:val="auto"/>
                <w:highlight w:val="none"/>
                <w:lang w:val="en-US" w:eastAsia="zh-CN"/>
              </w:rPr>
              <w:t>.综合折扣率说明，如：</w:t>
            </w: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一对一陪护</w:t>
            </w:r>
            <w:r>
              <w:rPr>
                <w:rFonts w:hint="default" w:ascii="宋体" w:hAnsi="宋体" w:eastAsia="宋体" w:cs="宋体"/>
                <w:color w:val="auto"/>
                <w:highlight w:val="none"/>
                <w:lang w:val="en-US" w:eastAsia="zh-CN"/>
              </w:rPr>
              <w:t>综合折扣率为80％，则目前“一对一”提供服务实收205.2元/日*80％=164.16元/日</w:t>
            </w:r>
            <w:r>
              <w:rPr>
                <w:rFonts w:hint="eastAsia" w:ascii="宋体" w:hAnsi="宋体" w:cs="宋体"/>
                <w:color w:val="auto"/>
                <w:highlight w:val="none"/>
                <w:lang w:val="en-US" w:eastAsia="zh-CN"/>
              </w:rPr>
              <w:t>；</w:t>
            </w: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一对多陪护</w:t>
            </w:r>
            <w:r>
              <w:rPr>
                <w:rFonts w:hint="default" w:ascii="宋体" w:hAnsi="宋体" w:eastAsia="宋体" w:cs="宋体"/>
                <w:color w:val="auto"/>
                <w:highlight w:val="none"/>
                <w:lang w:val="en-US" w:eastAsia="zh-CN"/>
              </w:rPr>
              <w:t>综合折扣率为80％，则目前“一对二”提供服务实收243元/日*80％=194.40元/日，“一对三”提供服务实收324元/日*80％=259.2元/日，“一对四”提供服务实收378元/日*80％=302.40元/日</w:t>
            </w:r>
            <w:r>
              <w:rPr>
                <w:rFonts w:hint="eastAsia" w:ascii="宋体" w:hAnsi="宋体" w:cs="宋体"/>
                <w:color w:val="auto"/>
                <w:highlight w:val="none"/>
                <w:lang w:val="en-US" w:eastAsia="zh-CN"/>
              </w:rPr>
              <w:t>；</w:t>
            </w:r>
            <w:r>
              <w:rPr>
                <w:rFonts w:hint="default" w:ascii="宋体" w:hAnsi="宋体" w:eastAsia="宋体" w:cs="宋体"/>
                <w:color w:val="auto"/>
                <w:highlight w:val="none"/>
                <w:lang w:val="en-US" w:eastAsia="zh-CN"/>
              </w:rPr>
              <w:t>四舍五入保留2位小数，以此类推。</w:t>
            </w:r>
          </w:p>
          <w:p w14:paraId="6DF1931B">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default" w:ascii="宋体" w:hAnsi="宋体" w:eastAsia="宋体" w:cs="宋体"/>
                <w:color w:val="auto"/>
                <w:highlight w:val="none"/>
                <w:lang w:val="en-US" w:eastAsia="zh-CN"/>
              </w:rPr>
              <w:t>2</w:t>
            </w:r>
            <w:r>
              <w:rPr>
                <w:rFonts w:hint="eastAsia" w:ascii="宋体" w:hAnsi="宋体" w:eastAsia="宋体" w:cs="宋体"/>
                <w:color w:val="auto"/>
                <w:highlight w:val="none"/>
                <w:lang w:val="en-US" w:eastAsia="zh-CN"/>
              </w:rPr>
              <w:t xml:space="preserve"> </w:t>
            </w:r>
            <w:r>
              <w:rPr>
                <w:rFonts w:hint="default" w:ascii="宋体" w:hAnsi="宋体" w:eastAsia="宋体" w:cs="宋体"/>
                <w:color w:val="auto"/>
                <w:highlight w:val="none"/>
                <w:lang w:val="en-US" w:eastAsia="zh-CN"/>
              </w:rPr>
              <w:t>收费模式：费用由我院按照《驻马店市医疗保障局驻马店市人力资源和社会保障局关于规范护理等3类医疗服务价格项目的通知》（驻医保办〔2025〕7号）免陪照护服务价格收取后，医院按照中标价按月向成交人据实支付费用。</w:t>
            </w:r>
          </w:p>
          <w:p w14:paraId="7E764007">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w:t>
            </w:r>
            <w:r>
              <w:rPr>
                <w:rFonts w:hint="eastAsia" w:ascii="宋体" w:hAnsi="宋体" w:cs="宋体"/>
                <w:color w:val="auto"/>
                <w:highlight w:val="none"/>
                <w:lang w:val="en-US" w:eastAsia="zh-CN"/>
              </w:rPr>
              <w:t>3</w:t>
            </w:r>
            <w:r>
              <w:rPr>
                <w:rFonts w:hint="default" w:ascii="宋体" w:hAnsi="宋体" w:eastAsia="宋体" w:cs="宋体"/>
                <w:color w:val="auto"/>
                <w:highlight w:val="none"/>
                <w:lang w:val="en-US" w:eastAsia="zh-CN"/>
              </w:rPr>
              <w:t xml:space="preserve"> 供应商的报价超过采购预算，采购人不能支付的，按废标处理。</w:t>
            </w:r>
          </w:p>
          <w:p w14:paraId="2834DD74">
            <w:pPr>
              <w:widowControl/>
              <w:snapToGrid w:val="0"/>
              <w:spacing w:line="440" w:lineRule="exact"/>
              <w:jc w:val="left"/>
              <w:outlineLvl w:val="0"/>
              <w:rPr>
                <w:rFonts w:hint="eastAsia"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w:t>
            </w:r>
            <w:r>
              <w:rPr>
                <w:rFonts w:hint="eastAsia" w:ascii="宋体" w:hAnsi="宋体" w:cs="宋体"/>
                <w:color w:val="auto"/>
                <w:highlight w:val="none"/>
                <w:lang w:val="en-US" w:eastAsia="zh-CN"/>
              </w:rPr>
              <w:t>4</w:t>
            </w:r>
            <w:r>
              <w:rPr>
                <w:rFonts w:hint="default" w:ascii="宋体" w:hAnsi="宋体" w:eastAsia="宋体" w:cs="宋体"/>
                <w:color w:val="auto"/>
                <w:highlight w:val="none"/>
                <w:lang w:val="en-US" w:eastAsia="zh-CN"/>
              </w:rPr>
              <w:t xml:space="preserve"> 本项目由成交供应商缴纳招标代理服务费。</w:t>
            </w:r>
            <w:r>
              <w:rPr>
                <w:rFonts w:hint="eastAsia" w:ascii="宋体" w:hAnsi="宋体" w:eastAsia="宋体" w:cs="宋体"/>
                <w:color w:val="auto"/>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440" w:lineRule="exact"/>
                    <w:jc w:val="left"/>
                    <w:outlineLvl w:val="0"/>
                    <mc:AlternateContent>
                      <mc:Choice Requires="wpsCustomData">
                        <wpsCustomData:diagonalParaType/>
                      </mc:Choice>
                    </mc:AlternateContent>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货物招标</w:t>
                  </w:r>
                </w:p>
              </w:tc>
              <w:tc>
                <w:tcPr>
                  <w:tcW w:w="1560" w:type="dxa"/>
                  <w:vAlign w:val="center"/>
                </w:tcPr>
                <w:p w14:paraId="5BE93A16">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服务招标</w:t>
                  </w:r>
                </w:p>
              </w:tc>
              <w:tc>
                <w:tcPr>
                  <w:tcW w:w="1380" w:type="dxa"/>
                  <w:vAlign w:val="center"/>
                </w:tcPr>
                <w:p w14:paraId="3ECB263F">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100万元以下</w:t>
                  </w:r>
                </w:p>
              </w:tc>
              <w:tc>
                <w:tcPr>
                  <w:tcW w:w="1605" w:type="dxa"/>
                  <w:vAlign w:val="center"/>
                </w:tcPr>
                <w:p w14:paraId="0F8F8092">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560" w:type="dxa"/>
                  <w:vAlign w:val="center"/>
                </w:tcPr>
                <w:p w14:paraId="64DFB595">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380" w:type="dxa"/>
                  <w:vAlign w:val="center"/>
                </w:tcPr>
                <w:p w14:paraId="6E9F31B9">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r>
          </w:tbl>
          <w:p w14:paraId="30591CBC">
            <w:pPr>
              <w:widowControl/>
              <w:snapToGrid w:val="0"/>
              <w:spacing w:line="440" w:lineRule="exact"/>
              <w:jc w:val="left"/>
              <w:outlineLvl w:val="0"/>
              <w:rPr>
                <w:rFonts w:hint="default" w:ascii="宋体" w:hAnsi="宋体" w:eastAsia="宋体" w:cs="宋体"/>
                <w:color w:val="auto"/>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由采购人代表和</w:t>
            </w:r>
            <w:r>
              <w:rPr>
                <w:rFonts w:hint="eastAsia" w:ascii="宋体" w:hAnsi="宋体" w:eastAsia="宋体" w:cs="宋体"/>
                <w:color w:val="auto"/>
                <w:kern w:val="0"/>
                <w:szCs w:val="21"/>
                <w:highlight w:val="none"/>
                <w:lang w:val="en-US" w:eastAsia="zh-CN"/>
              </w:rPr>
              <w:t>抽取的相关</w:t>
            </w:r>
            <w:r>
              <w:rPr>
                <w:rFonts w:hint="eastAsia" w:ascii="宋体" w:hAnsi="宋体" w:eastAsia="宋体" w:cs="宋体"/>
                <w:color w:val="auto"/>
                <w:kern w:val="0"/>
                <w:szCs w:val="21"/>
                <w:highlight w:val="none"/>
              </w:rPr>
              <w:t>评审专家</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44"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w:t>
            </w:r>
            <w:r>
              <w:rPr>
                <w:rFonts w:hint="eastAsia" w:ascii="宋体" w:hAnsi="宋体" w:cs="宋体"/>
                <w:color w:val="auto"/>
                <w:kern w:val="0"/>
                <w:szCs w:val="21"/>
                <w:highlight w:val="none"/>
                <w:lang w:val="en-US" w:eastAsia="zh-CN"/>
              </w:rPr>
              <w:t>三</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BCEFD36">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1CCF3A52">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251DC0F7">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cs="宋体"/>
          <w:color w:val="auto"/>
          <w:kern w:val="0"/>
          <w:szCs w:val="21"/>
          <w:highlight w:val="none"/>
          <w:lang w:eastAsia="zh-CN"/>
        </w:rPr>
        <w:t>服务</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0044BCD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采购预算：</w:t>
      </w:r>
      <w:r>
        <w:rPr>
          <w:rFonts w:hint="eastAsia" w:ascii="宋体" w:hAnsi="宋体" w:cs="宋体"/>
          <w:b/>
          <w:bCs/>
          <w:color w:val="auto"/>
          <w:kern w:val="0"/>
          <w:szCs w:val="21"/>
          <w:highlight w:val="none"/>
          <w:lang w:val="en-US" w:eastAsia="zh-CN"/>
        </w:rPr>
        <w:t>480000元</w:t>
      </w:r>
      <w:r>
        <w:rPr>
          <w:rFonts w:hint="eastAsia" w:ascii="宋体" w:hAnsi="宋体" w:eastAsia="宋体" w:cs="宋体"/>
          <w:b/>
          <w:bCs/>
          <w:color w:val="auto"/>
          <w:kern w:val="0"/>
          <w:szCs w:val="21"/>
          <w:highlight w:val="none"/>
          <w:lang w:val="en-US" w:eastAsia="zh-CN"/>
        </w:rPr>
        <w:t>；最高投标限价：综合折扣率：</w:t>
      </w:r>
      <w:r>
        <w:rPr>
          <w:rFonts w:hint="eastAsia" w:ascii="宋体" w:hAnsi="宋体" w:cs="宋体"/>
          <w:b/>
          <w:bCs/>
          <w:color w:val="auto"/>
          <w:kern w:val="0"/>
          <w:szCs w:val="21"/>
          <w:highlight w:val="none"/>
          <w:lang w:val="en-US" w:eastAsia="zh-CN"/>
        </w:rPr>
        <w:t>100%</w:t>
      </w:r>
      <w:r>
        <w:rPr>
          <w:rFonts w:hint="eastAsia" w:ascii="宋体" w:hAnsi="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CD23C0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重大违法记录是指供应商因违法经营受到刑事处罚或者责令停产停业、吊销许可证或者执照、较大数额罚款等行政处罚。</w:t>
      </w:r>
      <w:r>
        <w:rPr>
          <w:rFonts w:hint="eastAsia" w:ascii="宋体" w:hAnsi="宋体" w:eastAsia="宋体" w:cs="宋体"/>
          <w:color w:val="auto"/>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eastAsia="宋体" w:cs="宋体"/>
          <w:color w:val="auto"/>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评标办法及评分标准</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12.5 采购合同</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5"/>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折扣率</w:t>
      </w:r>
      <w:r>
        <w:rPr>
          <w:rFonts w:hint="eastAsia" w:ascii="宋体" w:hAnsi="宋体" w:eastAsia="宋体" w:cs="宋体"/>
          <w:color w:val="auto"/>
          <w:kern w:val="0"/>
          <w:szCs w:val="21"/>
          <w:highlight w:val="none"/>
        </w:rPr>
        <w:t>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eastAsia="zh-CN"/>
        </w:rPr>
        <w:t>质量</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5DDF4E3">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w:t>
      </w:r>
      <w:r>
        <w:rPr>
          <w:rFonts w:hint="eastAsia" w:ascii="宋体" w:hAnsi="宋体" w:cs="宋体"/>
          <w:bCs/>
          <w:color w:val="auto"/>
          <w:kern w:val="0"/>
          <w:szCs w:val="21"/>
          <w:highlight w:val="none"/>
          <w:lang w:val="en-US" w:eastAsia="zh-CN"/>
        </w:rPr>
        <w:t>三</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w:t>
      </w:r>
      <w:r>
        <w:rPr>
          <w:rFonts w:hint="eastAsia" w:ascii="宋体" w:hAnsi="宋体" w:cs="宋体"/>
          <w:color w:val="auto"/>
          <w:szCs w:val="21"/>
          <w:highlight w:val="none"/>
          <w:lang w:val="en-US" w:eastAsia="zh-CN"/>
        </w:rPr>
        <w:t>改</w:t>
      </w:r>
      <w:r>
        <w:rPr>
          <w:rFonts w:hint="eastAsia" w:ascii="宋体" w:hAnsi="宋体" w:eastAsia="宋体" w:cs="宋体"/>
          <w:color w:val="auto"/>
          <w:szCs w:val="21"/>
          <w:highlight w:val="none"/>
        </w:rPr>
        <w:t>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cs="宋体"/>
          <w:b w:val="0"/>
          <w:bCs w:val="0"/>
          <w:color w:val="auto"/>
          <w:sz w:val="21"/>
          <w:szCs w:val="21"/>
          <w:highlight w:val="none"/>
          <w:lang w:val="en-US" w:eastAsia="zh-CN"/>
        </w:rPr>
        <w:t>前三名</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widowControl w:val="0"/>
        <w:numPr>
          <w:ilvl w:val="0"/>
          <w:numId w:val="0"/>
        </w:numPr>
        <w:kinsoku/>
        <w:wordWrap/>
        <w:overflowPunct/>
        <w:topLinePunct w:val="0"/>
        <w:autoSpaceDE/>
        <w:autoSpaceDN/>
        <w:bidi w:val="0"/>
        <w:adjustRightInd/>
        <w:snapToGrid w:val="0"/>
        <w:spacing w:after="161" w:afterLines="50"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B82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01B7B7DA">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3091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vMerge w:val="restart"/>
            <w:noWrap w:val="0"/>
            <w:vAlign w:val="center"/>
          </w:tcPr>
          <w:p w14:paraId="752968B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0D071895">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针对一对一</w:t>
            </w:r>
            <w:r>
              <w:rPr>
                <w:rFonts w:hint="eastAsia" w:hAnsi="宋体" w:cs="宋体"/>
                <w:b w:val="0"/>
                <w:bCs w:val="0"/>
                <w:color w:val="auto"/>
                <w:sz w:val="21"/>
                <w:szCs w:val="21"/>
                <w:highlight w:val="none"/>
                <w:lang w:val="en-US" w:eastAsia="zh-CN"/>
              </w:rPr>
              <w:t>陪护</w:t>
            </w:r>
            <w:r>
              <w:rPr>
                <w:rFonts w:hint="eastAsia" w:ascii="宋体" w:hAnsi="宋体" w:eastAsia="宋体" w:cs="宋体"/>
                <w:b w:val="0"/>
                <w:bCs w:val="0"/>
                <w:color w:val="auto"/>
                <w:sz w:val="21"/>
                <w:szCs w:val="21"/>
                <w:highlight w:val="none"/>
                <w:lang w:val="en-US" w:eastAsia="zh-CN"/>
              </w:rPr>
              <w:t>进行报价，在</w:t>
            </w:r>
            <w:r>
              <w:rPr>
                <w:rFonts w:hint="eastAsia" w:hAnsi="宋体" w:cs="宋体"/>
                <w:b w:val="0"/>
                <w:bCs w:val="0"/>
                <w:color w:val="auto"/>
                <w:sz w:val="21"/>
                <w:szCs w:val="21"/>
                <w:highlight w:val="none"/>
                <w:lang w:val="en-US" w:eastAsia="zh-CN"/>
              </w:rPr>
              <w:t>磋商文件</w:t>
            </w:r>
            <w:r>
              <w:rPr>
                <w:rFonts w:hint="eastAsia" w:ascii="宋体" w:hAnsi="宋体" w:eastAsia="宋体" w:cs="宋体"/>
                <w:b w:val="0"/>
                <w:bCs w:val="0"/>
                <w:color w:val="auto"/>
                <w:sz w:val="21"/>
                <w:szCs w:val="21"/>
                <w:highlight w:val="none"/>
                <w:lang w:val="en-US" w:eastAsia="zh-CN"/>
              </w:rPr>
              <w:t>规定的服务收费标准的基础上，报出综合折扣率，</w:t>
            </w:r>
            <w:r>
              <w:rPr>
                <w:rFonts w:hint="eastAsia"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所报综合折扣率不得大于100%，否则将被作为无效投标。</w:t>
            </w:r>
          </w:p>
          <w:p w14:paraId="1E4BE0DE">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3AF77654">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5656969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一对一（</w:t>
            </w:r>
            <w:r>
              <w:rPr>
                <w:rFonts w:hint="eastAsia" w:ascii="宋体" w:hAnsi="宋体" w:eastAsia="宋体" w:cs="宋体"/>
                <w:b w:val="0"/>
                <w:bCs w:val="0"/>
                <w:color w:val="auto"/>
                <w:sz w:val="21"/>
                <w:szCs w:val="21"/>
                <w:highlight w:val="none"/>
                <w:lang w:val="en-US" w:eastAsia="zh-CN"/>
              </w:rPr>
              <w:t>5分）</w:t>
            </w:r>
          </w:p>
          <w:p w14:paraId="4C38525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r>
      <w:tr w14:paraId="2572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239" w:type="dxa"/>
            <w:vMerge w:val="continue"/>
            <w:noWrap w:val="0"/>
            <w:vAlign w:val="center"/>
          </w:tcPr>
          <w:p w14:paraId="508ABB3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8243" w:type="dxa"/>
            <w:gridSpan w:val="2"/>
            <w:noWrap w:val="0"/>
            <w:vAlign w:val="center"/>
          </w:tcPr>
          <w:p w14:paraId="3F05B0E0">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针对一对多</w:t>
            </w:r>
            <w:r>
              <w:rPr>
                <w:rFonts w:hint="eastAsia" w:hAnsi="宋体" w:cs="宋体"/>
                <w:b w:val="0"/>
                <w:bCs w:val="0"/>
                <w:color w:val="auto"/>
                <w:sz w:val="21"/>
                <w:szCs w:val="21"/>
                <w:highlight w:val="none"/>
                <w:lang w:val="en-US" w:eastAsia="zh-CN"/>
              </w:rPr>
              <w:t>陪护</w:t>
            </w:r>
            <w:r>
              <w:rPr>
                <w:rFonts w:hint="eastAsia" w:ascii="宋体" w:hAnsi="宋体" w:eastAsia="宋体" w:cs="宋体"/>
                <w:b w:val="0"/>
                <w:bCs w:val="0"/>
                <w:color w:val="auto"/>
                <w:sz w:val="21"/>
                <w:szCs w:val="21"/>
                <w:highlight w:val="none"/>
                <w:lang w:val="en-US" w:eastAsia="zh-CN"/>
              </w:rPr>
              <w:t>进行报价，在</w:t>
            </w:r>
            <w:r>
              <w:rPr>
                <w:rFonts w:hint="eastAsia" w:hAnsi="宋体" w:cs="宋体"/>
                <w:b w:val="0"/>
                <w:bCs w:val="0"/>
                <w:color w:val="auto"/>
                <w:sz w:val="21"/>
                <w:szCs w:val="21"/>
                <w:highlight w:val="none"/>
                <w:lang w:val="en-US" w:eastAsia="zh-CN"/>
              </w:rPr>
              <w:t>磋商文件</w:t>
            </w:r>
            <w:r>
              <w:rPr>
                <w:rFonts w:hint="eastAsia" w:ascii="宋体" w:hAnsi="宋体" w:eastAsia="宋体" w:cs="宋体"/>
                <w:b w:val="0"/>
                <w:bCs w:val="0"/>
                <w:color w:val="auto"/>
                <w:sz w:val="21"/>
                <w:szCs w:val="21"/>
                <w:highlight w:val="none"/>
                <w:lang w:val="en-US" w:eastAsia="zh-CN"/>
              </w:rPr>
              <w:t>规定的服务收费标准的基础上，整体报出综合折扣率，</w:t>
            </w:r>
            <w:r>
              <w:rPr>
                <w:rFonts w:hint="eastAsia"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所报综合折扣率不得大于100%，否则将被作为无效投标。</w:t>
            </w:r>
          </w:p>
          <w:p w14:paraId="3B3750E2">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1F709728">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78A3BA7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一对多（10分）</w:t>
            </w:r>
          </w:p>
          <w:p w14:paraId="48C06D8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r>
      <w:tr w14:paraId="6E3C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239" w:type="dxa"/>
            <w:vMerge w:val="continue"/>
            <w:noWrap w:val="0"/>
            <w:vAlign w:val="center"/>
          </w:tcPr>
          <w:p w14:paraId="2470ED1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8243" w:type="dxa"/>
            <w:gridSpan w:val="2"/>
            <w:noWrap w:val="0"/>
            <w:vAlign w:val="center"/>
          </w:tcPr>
          <w:p w14:paraId="650574F9">
            <w:pPr>
              <w:pStyle w:val="49"/>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tc>
      </w:tr>
      <w:tr w14:paraId="3871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346E539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63</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3E9029C7">
            <w:pPr>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auto"/>
                <w:sz w:val="21"/>
                <w:szCs w:val="21"/>
                <w:highlight w:val="none"/>
                <w:lang w:val="en-US" w:eastAsia="zh-CN"/>
              </w:rPr>
              <w:t>服务能力的响应程度</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5E19D35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三、技术</w:t>
            </w:r>
            <w:r>
              <w:rPr>
                <w:rFonts w:hint="eastAsia" w:ascii="宋体" w:hAnsi="宋体" w:cs="宋体"/>
                <w:b w:val="0"/>
                <w:bCs w:val="0"/>
                <w:color w:val="auto"/>
                <w:sz w:val="21"/>
                <w:szCs w:val="21"/>
                <w:highlight w:val="none"/>
                <w:lang w:val="en-US" w:eastAsia="zh-CN"/>
              </w:rPr>
              <w:t>要求</w:t>
            </w:r>
            <w:r>
              <w:rPr>
                <w:rFonts w:hint="eastAsia" w:ascii="宋体" w:hAnsi="宋体" w:eastAsia="宋体" w:cs="宋体"/>
                <w:b w:val="0"/>
                <w:bCs w:val="0"/>
                <w:color w:val="auto"/>
                <w:sz w:val="21"/>
                <w:szCs w:val="21"/>
                <w:highlight w:val="none"/>
              </w:rPr>
              <w:t>”的响应，全部满足磋商文件要求</w:t>
            </w:r>
            <w:r>
              <w:rPr>
                <w:rFonts w:hint="eastAsia" w:ascii="宋体" w:hAnsi="宋体" w:eastAsia="宋体" w:cs="宋体"/>
                <w:b w:val="0"/>
                <w:bCs w:val="0"/>
                <w:color w:val="auto"/>
                <w:sz w:val="21"/>
                <w:szCs w:val="21"/>
                <w:highlight w:val="none"/>
                <w:lang w:eastAsia="zh-CN"/>
              </w:rPr>
              <w:t>的</w:t>
            </w:r>
            <w:r>
              <w:rPr>
                <w:rFonts w:hint="eastAsia" w:ascii="宋体" w:hAnsi="宋体" w:eastAsia="宋体" w:cs="宋体"/>
                <w:b w:val="0"/>
                <w:bCs w:val="0"/>
                <w:color w:val="auto"/>
                <w:sz w:val="21"/>
                <w:szCs w:val="21"/>
                <w:highlight w:val="none"/>
              </w:rPr>
              <w:t>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其中标</w:t>
            </w:r>
            <w:r>
              <w:rPr>
                <w:rFonts w:hint="eastAsia" w:ascii="宋体" w:hAnsi="宋体"/>
                <w:sz w:val="24"/>
                <w:szCs w:val="24"/>
                <w:highlight w:val="none"/>
              </w:rPr>
              <w:t>★</w:t>
            </w:r>
            <w:r>
              <w:rPr>
                <w:rFonts w:hint="eastAsia" w:ascii="宋体" w:hAnsi="宋体" w:cs="宋体"/>
                <w:b w:val="0"/>
                <w:bCs w:val="0"/>
                <w:color w:val="auto"/>
                <w:sz w:val="21"/>
                <w:szCs w:val="21"/>
                <w:highlight w:val="none"/>
                <w:lang w:val="en-US" w:eastAsia="zh-CN"/>
              </w:rPr>
              <w:t>为实质性要求，必须全部满足，否则为无效投标；“（四）免陪照护线上管理系统”未标注</w:t>
            </w:r>
            <w:r>
              <w:rPr>
                <w:rFonts w:hint="eastAsia" w:ascii="宋体" w:hAnsi="宋体"/>
                <w:sz w:val="24"/>
                <w:szCs w:val="24"/>
                <w:highlight w:val="none"/>
              </w:rPr>
              <w:t>★</w:t>
            </w:r>
            <w:r>
              <w:rPr>
                <w:rFonts w:hint="eastAsia" w:ascii="宋体" w:hAnsi="宋体"/>
                <w:sz w:val="24"/>
                <w:szCs w:val="24"/>
                <w:highlight w:val="none"/>
                <w:lang w:val="en-US" w:eastAsia="zh-CN"/>
              </w:rPr>
              <w:t>为一般性参数，</w:t>
            </w:r>
            <w:r>
              <w:rPr>
                <w:rFonts w:hint="eastAsia" w:ascii="宋体" w:hAnsi="宋体" w:eastAsia="宋体" w:cs="宋体"/>
                <w:b w:val="0"/>
                <w:bCs w:val="0"/>
                <w:color w:val="auto"/>
                <w:sz w:val="21"/>
                <w:szCs w:val="21"/>
                <w:highlight w:val="none"/>
              </w:rPr>
              <w:t>一项不满足扣</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189034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供应商需如实填写技术</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表，并标注偏离情况。</w:t>
            </w:r>
          </w:p>
          <w:p w14:paraId="02EA8353">
            <w:pPr>
              <w:numPr>
                <w:ilvl w:val="-1"/>
                <w:numId w:val="0"/>
              </w:numPr>
              <w:spacing w:line="276"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2.提供相关证明文件，未提供不得分。</w:t>
            </w:r>
          </w:p>
        </w:tc>
      </w:tr>
      <w:tr w14:paraId="4777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39" w:type="dxa"/>
            <w:vMerge w:val="continue"/>
            <w:noWrap w:val="0"/>
            <w:vAlign w:val="center"/>
          </w:tcPr>
          <w:p w14:paraId="7DBB3BC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64E0B33">
            <w:pPr>
              <w:spacing w:line="36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整体服务方案（</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p>
        </w:tc>
        <w:tc>
          <w:tcPr>
            <w:tcW w:w="6770" w:type="dxa"/>
            <w:noWrap w:val="0"/>
            <w:vAlign w:val="center"/>
          </w:tcPr>
          <w:p w14:paraId="2F8BB322">
            <w:pPr>
              <w:numPr>
                <w:ilvl w:val="-1"/>
                <w:numId w:val="0"/>
              </w:numPr>
              <w:spacing w:line="276" w:lineRule="auto"/>
              <w:rPr>
                <w:rFonts w:hint="eastAsia" w:ascii="宋体" w:hAnsi="宋体" w:eastAsia="宋体" w:cs="宋体"/>
                <w:highlight w:val="none"/>
                <w:lang w:val="zh-CN" w:eastAsia="zh-CN"/>
              </w:rPr>
            </w:pPr>
            <w:r>
              <w:rPr>
                <w:rFonts w:hint="eastAsia" w:ascii="宋体" w:hAnsi="宋体" w:cs="宋体"/>
                <w:color w:val="auto"/>
                <w:sz w:val="21"/>
                <w:szCs w:val="21"/>
                <w:highlight w:val="none"/>
                <w:lang w:val="en-US" w:eastAsia="zh-CN"/>
              </w:rPr>
              <w:t>根据供应</w:t>
            </w:r>
            <w:r>
              <w:rPr>
                <w:rFonts w:hint="eastAsia" w:ascii="宋体" w:hAnsi="宋体" w:eastAsia="宋体" w:cs="宋体"/>
                <w:highlight w:val="none"/>
                <w:lang w:val="en-US" w:eastAsia="zh-CN"/>
              </w:rPr>
              <w:t>商提供的整体服务方案进行评分，整体方案至少包含结合本项目拟开展“免陪照护</w:t>
            </w:r>
            <w:r>
              <w:rPr>
                <w:rFonts w:hint="default" w:ascii="宋体" w:hAnsi="宋体" w:eastAsia="宋体" w:cs="宋体"/>
                <w:highlight w:val="none"/>
                <w:lang w:val="en-US" w:eastAsia="zh-CN"/>
              </w:rPr>
              <w:t>”</w:t>
            </w:r>
            <w:r>
              <w:rPr>
                <w:rFonts w:hint="eastAsia" w:ascii="宋体" w:hAnsi="宋体" w:eastAsia="宋体" w:cs="宋体"/>
                <w:highlight w:val="none"/>
                <w:lang w:val="en-US" w:eastAsia="zh-CN"/>
              </w:rPr>
              <w:t>试点病房陪护现状制定各科个性化可行的运作流程、工作方案、</w:t>
            </w:r>
            <w:r>
              <w:rPr>
                <w:rFonts w:hint="eastAsia" w:ascii="宋体" w:hAnsi="宋体" w:cs="宋体"/>
                <w:highlight w:val="none"/>
                <w:lang w:val="en-US" w:eastAsia="zh-CN"/>
              </w:rPr>
              <w:t>标准化服务流程等</w:t>
            </w:r>
            <w:r>
              <w:rPr>
                <w:rFonts w:hint="eastAsia" w:ascii="宋体" w:hAnsi="宋体" w:eastAsia="宋体" w:cs="宋体"/>
                <w:highlight w:val="none"/>
                <w:lang w:val="en-US" w:eastAsia="zh-CN"/>
              </w:rPr>
              <w:t>。</w:t>
            </w:r>
          </w:p>
          <w:p w14:paraId="3CA2E061">
            <w:pPr>
              <w:numPr>
                <w:ilvl w:val="-1"/>
                <w:numId w:val="0"/>
              </w:numPr>
              <w:spacing w:line="276" w:lineRule="auto"/>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方案要点齐全、内容与要点相符，可实施性强，完全满足采购需</w:t>
            </w:r>
            <w:r>
              <w:rPr>
                <w:rFonts w:hint="eastAsia" w:ascii="宋体" w:hAnsi="宋体" w:eastAsia="宋体" w:cs="宋体"/>
                <w:highlight w:val="none"/>
                <w:lang w:val="zh-CN" w:eastAsia="zh-CN"/>
              </w:rPr>
              <w:t>求的</w:t>
            </w:r>
            <w:r>
              <w:rPr>
                <w:rFonts w:hint="eastAsia" w:ascii="宋体" w:hAnsi="宋体" w:cs="宋体"/>
                <w:highlight w:val="none"/>
                <w:lang w:val="en-US" w:eastAsia="zh-CN"/>
              </w:rPr>
              <w:t>7</w:t>
            </w:r>
            <w:r>
              <w:rPr>
                <w:rFonts w:hint="eastAsia" w:ascii="宋体" w:hAnsi="宋体" w:eastAsia="宋体" w:cs="宋体"/>
                <w:highlight w:val="none"/>
                <w:lang w:val="zh-CN" w:eastAsia="zh-CN"/>
              </w:rPr>
              <w:t>分；</w:t>
            </w:r>
            <w:r>
              <w:rPr>
                <w:rFonts w:hint="eastAsia" w:ascii="宋体" w:hAnsi="宋体" w:eastAsia="宋体" w:cs="宋体"/>
                <w:highlight w:val="none"/>
                <w:lang w:val="en-US" w:eastAsia="zh-CN"/>
              </w:rPr>
              <w:t>方案要点较齐全、内容与要点较相符，可实施性较强，基本满足采购需</w:t>
            </w:r>
            <w:r>
              <w:rPr>
                <w:rFonts w:hint="eastAsia" w:ascii="宋体" w:hAnsi="宋体" w:eastAsia="宋体" w:cs="宋体"/>
                <w:highlight w:val="none"/>
                <w:lang w:val="zh-CN" w:eastAsia="zh-CN"/>
              </w:rPr>
              <w:t>求的</w:t>
            </w:r>
            <w:r>
              <w:rPr>
                <w:rFonts w:hint="eastAsia" w:ascii="宋体" w:hAnsi="宋体" w:cs="宋体"/>
                <w:highlight w:val="none"/>
                <w:lang w:val="en-US" w:eastAsia="zh-CN"/>
              </w:rPr>
              <w:t>4</w:t>
            </w:r>
            <w:r>
              <w:rPr>
                <w:rFonts w:hint="eastAsia" w:ascii="宋体" w:hAnsi="宋体" w:eastAsia="宋体" w:cs="宋体"/>
                <w:highlight w:val="none"/>
                <w:lang w:val="zh-CN" w:eastAsia="zh-CN"/>
              </w:rPr>
              <w:t>分；</w:t>
            </w:r>
            <w:r>
              <w:rPr>
                <w:rFonts w:hint="eastAsia" w:ascii="宋体" w:hAnsi="宋体" w:eastAsia="宋体" w:cs="宋体"/>
                <w:highlight w:val="none"/>
                <w:lang w:val="en-US" w:eastAsia="zh-CN"/>
              </w:rPr>
              <w:t>方案有待进一步完善的得1分；</w:t>
            </w:r>
            <w:r>
              <w:rPr>
                <w:rFonts w:hint="eastAsia" w:ascii="宋体" w:hAnsi="宋体" w:cs="宋体"/>
                <w:highlight w:val="none"/>
                <w:lang w:val="en-US" w:eastAsia="zh-CN"/>
              </w:rPr>
              <w:t>未提供</w:t>
            </w:r>
            <w:r>
              <w:rPr>
                <w:rFonts w:hint="eastAsia" w:ascii="宋体" w:hAnsi="宋体" w:cs="宋体"/>
                <w:highlight w:val="none"/>
              </w:rPr>
              <w:t>的</w:t>
            </w:r>
            <w:r>
              <w:rPr>
                <w:rFonts w:hint="eastAsia" w:ascii="宋体" w:hAnsi="宋体" w:cs="宋体"/>
                <w:highlight w:val="none"/>
                <w:lang w:val="en-US" w:eastAsia="zh-CN"/>
              </w:rPr>
              <w:t>0</w:t>
            </w:r>
            <w:r>
              <w:rPr>
                <w:rFonts w:hint="eastAsia" w:ascii="宋体" w:hAnsi="宋体" w:cs="宋体"/>
                <w:highlight w:val="none"/>
              </w:rPr>
              <w:t>分</w:t>
            </w:r>
            <w:r>
              <w:rPr>
                <w:rFonts w:hint="eastAsia" w:ascii="宋体" w:hAnsi="宋体" w:cs="宋体"/>
                <w:highlight w:val="none"/>
                <w:lang w:eastAsia="zh-CN"/>
              </w:rPr>
              <w:t>。</w:t>
            </w:r>
          </w:p>
        </w:tc>
      </w:tr>
      <w:tr w14:paraId="7524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39" w:type="dxa"/>
            <w:vMerge w:val="continue"/>
            <w:noWrap w:val="0"/>
            <w:vAlign w:val="center"/>
          </w:tcPr>
          <w:p w14:paraId="0883ADD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3739451D">
            <w:pPr>
              <w:spacing w:line="36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3.护理员管理方案（20分）</w:t>
            </w:r>
          </w:p>
        </w:tc>
        <w:tc>
          <w:tcPr>
            <w:tcW w:w="6770" w:type="dxa"/>
            <w:noWrap w:val="0"/>
            <w:vAlign w:val="center"/>
          </w:tcPr>
          <w:p w14:paraId="7B484A5B">
            <w:pPr>
              <w:numPr>
                <w:ilvl w:val="-1"/>
                <w:numId w:val="0"/>
              </w:numPr>
              <w:spacing w:line="276" w:lineRule="auto"/>
              <w:rPr>
                <w:rFonts w:hint="eastAsia" w:ascii="宋体" w:hAnsi="宋体" w:eastAsia="宋体" w:cs="宋体"/>
                <w:highlight w:val="none"/>
                <w:lang w:val="en-US" w:eastAsia="zh-CN"/>
              </w:rPr>
            </w:pPr>
            <w:r>
              <w:rPr>
                <w:rFonts w:hint="eastAsia" w:ascii="宋体" w:hAnsi="宋体" w:eastAsia="宋体" w:cs="宋体"/>
                <w:color w:val="auto"/>
                <w:sz w:val="21"/>
                <w:szCs w:val="21"/>
                <w:highlight w:val="none"/>
                <w:lang w:val="en-US" w:eastAsia="zh-CN"/>
              </w:rPr>
              <w:t>根据供应商提供的护理员管理方案进行评分，方案至少包括：①护理员招聘管理制度：包括但不限于准入机制、设立独立的护理员招聘专员岗位；②服务质量保障方案及持续改进方案；</w:t>
            </w:r>
            <w:r>
              <w:rPr>
                <w:rFonts w:hint="default"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lang w:val="en-US" w:eastAsia="zh-CN"/>
              </w:rPr>
              <w:t>对护理员考核及奖惩制度；④人性关怀制度和人员稳定措施方案；⑤患者</w:t>
            </w:r>
            <w:r>
              <w:rPr>
                <w:rFonts w:hint="eastAsia" w:ascii="宋体" w:hAnsi="宋体" w:eastAsia="宋体" w:cs="宋体"/>
                <w:highlight w:val="none"/>
                <w:lang w:val="en-US" w:eastAsia="zh-CN"/>
              </w:rPr>
              <w:t>隐私</w:t>
            </w:r>
            <w:r>
              <w:rPr>
                <w:rFonts w:hint="eastAsia" w:ascii="宋体" w:hAnsi="宋体" w:cs="宋体"/>
                <w:highlight w:val="none"/>
                <w:lang w:val="en-US" w:eastAsia="zh-CN"/>
              </w:rPr>
              <w:t>、医疗数据保密措施</w:t>
            </w:r>
            <w:r>
              <w:rPr>
                <w:rFonts w:hint="eastAsia" w:ascii="宋体" w:hAnsi="宋体" w:eastAsia="宋体" w:cs="宋体"/>
                <w:highlight w:val="none"/>
                <w:lang w:val="en-US" w:eastAsia="zh-CN"/>
              </w:rPr>
              <w:t>。</w:t>
            </w:r>
          </w:p>
          <w:p w14:paraId="5394B39A">
            <w:pPr>
              <w:numPr>
                <w:ilvl w:val="-1"/>
                <w:numId w:val="0"/>
              </w:numPr>
              <w:spacing w:line="276"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以上方案</w:t>
            </w:r>
            <w:r>
              <w:rPr>
                <w:rFonts w:hint="eastAsia" w:ascii="宋体" w:hAnsi="宋体" w:eastAsia="宋体" w:cs="宋体"/>
                <w:highlight w:val="none"/>
                <w:lang w:val="zh-CN" w:eastAsia="zh-CN"/>
              </w:rPr>
              <w:t>每提供一项得</w:t>
            </w:r>
            <w:r>
              <w:rPr>
                <w:rFonts w:hint="eastAsia" w:ascii="宋体" w:hAnsi="宋体" w:cs="宋体"/>
                <w:highlight w:val="none"/>
                <w:lang w:val="en-US" w:eastAsia="zh-CN"/>
              </w:rPr>
              <w:t>4</w:t>
            </w:r>
            <w:r>
              <w:rPr>
                <w:rFonts w:hint="eastAsia" w:ascii="宋体" w:hAnsi="宋体" w:eastAsia="宋体" w:cs="宋体"/>
                <w:highlight w:val="none"/>
                <w:lang w:val="zh-CN" w:eastAsia="zh-CN"/>
              </w:rPr>
              <w:t>分，最多得</w:t>
            </w:r>
            <w:r>
              <w:rPr>
                <w:rFonts w:hint="eastAsia" w:ascii="宋体" w:hAnsi="宋体" w:cs="宋体"/>
                <w:highlight w:val="none"/>
                <w:lang w:val="en-US" w:eastAsia="zh-CN"/>
              </w:rPr>
              <w:t>20</w:t>
            </w:r>
            <w:r>
              <w:rPr>
                <w:rFonts w:hint="eastAsia" w:ascii="宋体" w:hAnsi="宋体" w:eastAsia="宋体" w:cs="宋体"/>
                <w:highlight w:val="none"/>
                <w:lang w:val="zh-CN" w:eastAsia="zh-CN"/>
              </w:rPr>
              <w:t>分。</w:t>
            </w:r>
            <w:r>
              <w:rPr>
                <w:rFonts w:hint="eastAsia" w:ascii="宋体" w:hAnsi="宋体" w:cs="宋体"/>
                <w:highlight w:val="none"/>
                <w:lang w:val="zh-CN" w:eastAsia="zh-CN"/>
              </w:rPr>
              <w:t>（</w:t>
            </w:r>
            <w:r>
              <w:rPr>
                <w:rFonts w:hint="eastAsia" w:ascii="宋体" w:hAnsi="宋体" w:eastAsia="宋体" w:cs="宋体"/>
                <w:highlight w:val="none"/>
                <w:lang w:val="en-US" w:eastAsia="zh-CN"/>
              </w:rPr>
              <w:t>每项</w:t>
            </w:r>
            <w:r>
              <w:rPr>
                <w:rFonts w:hint="eastAsia" w:ascii="宋体" w:hAnsi="宋体" w:eastAsia="宋体" w:cs="宋体"/>
                <w:color w:val="auto"/>
                <w:sz w:val="21"/>
                <w:szCs w:val="21"/>
                <w:highlight w:val="none"/>
                <w:lang w:val="en-US" w:eastAsia="zh-CN"/>
              </w:rPr>
              <w:t>措施要点齐全、</w:t>
            </w:r>
            <w:r>
              <w:rPr>
                <w:rFonts w:hint="eastAsia" w:ascii="宋体" w:hAnsi="宋体" w:eastAsia="宋体" w:cs="宋体"/>
                <w:highlight w:val="none"/>
                <w:lang w:val="en-US" w:eastAsia="zh-CN"/>
              </w:rPr>
              <w:t>可实施性强，完全满足采购需</w:t>
            </w:r>
            <w:r>
              <w:rPr>
                <w:rFonts w:hint="eastAsia" w:ascii="宋体" w:hAnsi="宋体" w:cs="宋体"/>
                <w:highlight w:val="none"/>
              </w:rPr>
              <w:t>求的</w:t>
            </w:r>
            <w:r>
              <w:rPr>
                <w:rFonts w:hint="eastAsia" w:ascii="宋体" w:hAnsi="宋体" w:cs="宋体"/>
                <w:highlight w:val="none"/>
                <w:lang w:val="en-US" w:eastAsia="zh-CN"/>
              </w:rPr>
              <w:t>4</w:t>
            </w:r>
            <w:r>
              <w:rPr>
                <w:rFonts w:hint="eastAsia" w:ascii="宋体" w:hAnsi="宋体" w:cs="宋体"/>
                <w:highlight w:val="none"/>
              </w:rPr>
              <w:t>分；</w:t>
            </w:r>
            <w:r>
              <w:rPr>
                <w:rFonts w:hint="eastAsia" w:ascii="宋体" w:hAnsi="宋体" w:eastAsia="宋体" w:cs="宋体"/>
                <w:highlight w:val="none"/>
                <w:lang w:val="en-US" w:eastAsia="zh-CN"/>
              </w:rPr>
              <w:t>每项措施要点</w:t>
            </w:r>
            <w:r>
              <w:rPr>
                <w:rFonts w:hint="eastAsia" w:ascii="宋体" w:hAnsi="宋体" w:cs="宋体"/>
                <w:szCs w:val="21"/>
                <w:highlight w:val="none"/>
                <w:lang w:val="en-US" w:eastAsia="zh-CN"/>
              </w:rPr>
              <w:t>较齐全、可实施性较强</w:t>
            </w:r>
            <w:r>
              <w:rPr>
                <w:rFonts w:hint="eastAsia" w:ascii="宋体" w:hAnsi="宋体" w:cs="宋体"/>
                <w:highlight w:val="none"/>
                <w:lang w:eastAsia="zh-CN"/>
              </w:rPr>
              <w:t>，</w:t>
            </w:r>
            <w:r>
              <w:rPr>
                <w:rFonts w:hint="eastAsia" w:ascii="宋体" w:hAnsi="宋体" w:cs="宋体"/>
                <w:highlight w:val="none"/>
                <w:lang w:val="en-US" w:eastAsia="zh-CN"/>
              </w:rPr>
              <w:t>基本</w:t>
            </w:r>
            <w:r>
              <w:rPr>
                <w:rFonts w:hint="eastAsia" w:ascii="宋体" w:hAnsi="宋体" w:cs="宋体"/>
                <w:highlight w:val="none"/>
              </w:rPr>
              <w:t>满足采购需求的</w:t>
            </w:r>
            <w:r>
              <w:rPr>
                <w:rFonts w:hint="eastAsia" w:ascii="宋体" w:hAnsi="宋体" w:cs="宋体"/>
                <w:highlight w:val="none"/>
                <w:lang w:val="en-US" w:eastAsia="zh-CN"/>
              </w:rPr>
              <w:t>2</w:t>
            </w:r>
            <w:r>
              <w:rPr>
                <w:rFonts w:hint="eastAsia" w:ascii="宋体" w:hAnsi="宋体" w:cs="宋体"/>
                <w:highlight w:val="none"/>
              </w:rPr>
              <w:t>分；</w:t>
            </w:r>
            <w:r>
              <w:rPr>
                <w:rFonts w:hint="eastAsia" w:ascii="宋体" w:hAnsi="宋体" w:eastAsia="宋体" w:cs="宋体"/>
                <w:highlight w:val="none"/>
                <w:lang w:val="en-US" w:eastAsia="zh-CN"/>
              </w:rPr>
              <w:t>每项</w:t>
            </w:r>
            <w:r>
              <w:rPr>
                <w:rFonts w:hint="eastAsia" w:ascii="宋体" w:hAnsi="宋体" w:eastAsia="宋体" w:cs="宋体"/>
                <w:color w:val="auto"/>
                <w:sz w:val="21"/>
                <w:szCs w:val="21"/>
                <w:highlight w:val="none"/>
                <w:lang w:val="en-US" w:eastAsia="zh-CN"/>
              </w:rPr>
              <w:t>措施</w:t>
            </w:r>
            <w:r>
              <w:rPr>
                <w:rFonts w:hint="eastAsia" w:ascii="宋体" w:hAnsi="宋体" w:cs="宋体"/>
                <w:szCs w:val="21"/>
                <w:highlight w:val="none"/>
                <w:lang w:val="en-US" w:eastAsia="zh-CN"/>
              </w:rPr>
              <w:t>待完善的1分；</w:t>
            </w:r>
            <w:r>
              <w:rPr>
                <w:rFonts w:hint="eastAsia" w:ascii="宋体" w:hAnsi="宋体" w:cs="宋体"/>
                <w:highlight w:val="none"/>
                <w:lang w:val="en-US" w:eastAsia="zh-CN"/>
              </w:rPr>
              <w:t>未提供</w:t>
            </w:r>
            <w:r>
              <w:rPr>
                <w:rFonts w:hint="eastAsia" w:ascii="宋体" w:hAnsi="宋体" w:cs="宋体"/>
                <w:highlight w:val="none"/>
              </w:rPr>
              <w:t>的</w:t>
            </w:r>
            <w:r>
              <w:rPr>
                <w:rFonts w:hint="eastAsia" w:ascii="宋体" w:hAnsi="宋体" w:cs="宋体"/>
                <w:highlight w:val="none"/>
                <w:lang w:val="en-US" w:eastAsia="zh-CN"/>
              </w:rPr>
              <w:t>0</w:t>
            </w:r>
            <w:r>
              <w:rPr>
                <w:rFonts w:hint="eastAsia" w:ascii="宋体" w:hAnsi="宋体" w:cs="宋体"/>
                <w:highlight w:val="none"/>
              </w:rPr>
              <w:t>分</w:t>
            </w:r>
            <w:r>
              <w:rPr>
                <w:rFonts w:hint="eastAsia" w:ascii="宋体" w:hAnsi="宋体" w:cs="宋体"/>
                <w:highlight w:val="none"/>
                <w:lang w:eastAsia="zh-CN"/>
              </w:rPr>
              <w:t>。</w:t>
            </w:r>
            <w:r>
              <w:rPr>
                <w:rFonts w:hint="eastAsia" w:ascii="宋体" w:hAnsi="宋体" w:cs="宋体"/>
                <w:highlight w:val="none"/>
                <w:lang w:val="zh-CN" w:eastAsia="zh-CN"/>
              </w:rPr>
              <w:t>）</w:t>
            </w:r>
          </w:p>
        </w:tc>
      </w:tr>
      <w:tr w14:paraId="75BD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1239" w:type="dxa"/>
            <w:vMerge w:val="continue"/>
            <w:noWrap w:val="0"/>
            <w:vAlign w:val="center"/>
          </w:tcPr>
          <w:p w14:paraId="4C2883C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20A3D11">
            <w:pPr>
              <w:spacing w:line="36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4.培训制度（12分）</w:t>
            </w:r>
          </w:p>
        </w:tc>
        <w:tc>
          <w:tcPr>
            <w:tcW w:w="6770" w:type="dxa"/>
            <w:noWrap w:val="0"/>
            <w:vAlign w:val="center"/>
          </w:tcPr>
          <w:p w14:paraId="0023830E">
            <w:pPr>
              <w:numPr>
                <w:ilvl w:val="-1"/>
                <w:numId w:val="0"/>
              </w:numPr>
              <w:spacing w:line="276"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具有完善的内部培训制度和培训记录台账，包括但不限于：①证书培训；②岗前培训；</w:t>
            </w:r>
            <w:r>
              <w:rPr>
                <w:rFonts w:hint="default"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lang w:val="en-US" w:eastAsia="zh-CN"/>
              </w:rPr>
              <w:t>上岗培训</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④</w:t>
            </w:r>
            <w:r>
              <w:rPr>
                <w:rFonts w:hint="eastAsia" w:ascii="宋体" w:hAnsi="宋体" w:cs="宋体"/>
                <w:color w:val="auto"/>
                <w:sz w:val="21"/>
                <w:szCs w:val="21"/>
                <w:highlight w:val="none"/>
                <w:lang w:val="en-US" w:eastAsia="zh-CN"/>
              </w:rPr>
              <w:t>培训台账记录</w:t>
            </w:r>
          </w:p>
          <w:p w14:paraId="7152ED1A">
            <w:pPr>
              <w:numPr>
                <w:ilvl w:val="-1"/>
                <w:numId w:val="0"/>
              </w:numPr>
              <w:spacing w:line="276" w:lineRule="auto"/>
              <w:rPr>
                <w:rFonts w:hint="default" w:ascii="宋体" w:hAnsi="宋体" w:eastAsia="宋体" w:cs="宋体"/>
                <w:color w:val="auto"/>
                <w:sz w:val="21"/>
                <w:szCs w:val="21"/>
                <w:highlight w:val="none"/>
                <w:lang w:val="en-US" w:eastAsia="zh-CN"/>
              </w:rPr>
            </w:pPr>
            <w:r>
              <w:rPr>
                <w:rFonts w:hint="eastAsia" w:ascii="宋体" w:hAnsi="宋体" w:eastAsia="宋体" w:cs="宋体"/>
                <w:highlight w:val="none"/>
                <w:lang w:val="en-US" w:eastAsia="zh-CN"/>
              </w:rPr>
              <w:t>以上方案</w:t>
            </w:r>
            <w:r>
              <w:rPr>
                <w:rFonts w:hint="eastAsia" w:ascii="宋体" w:hAnsi="宋体" w:eastAsia="宋体" w:cs="宋体"/>
                <w:highlight w:val="none"/>
                <w:lang w:val="zh-CN" w:eastAsia="zh-CN"/>
              </w:rPr>
              <w:t>每提供一项得</w:t>
            </w:r>
            <w:r>
              <w:rPr>
                <w:rFonts w:hint="eastAsia" w:ascii="宋体" w:hAnsi="宋体" w:cs="宋体"/>
                <w:highlight w:val="none"/>
                <w:lang w:val="en-US" w:eastAsia="zh-CN"/>
              </w:rPr>
              <w:t>3</w:t>
            </w:r>
            <w:r>
              <w:rPr>
                <w:rFonts w:hint="eastAsia" w:ascii="宋体" w:hAnsi="宋体" w:eastAsia="宋体" w:cs="宋体"/>
                <w:highlight w:val="none"/>
                <w:lang w:val="zh-CN" w:eastAsia="zh-CN"/>
              </w:rPr>
              <w:t>分，最多得</w:t>
            </w:r>
            <w:r>
              <w:rPr>
                <w:rFonts w:hint="eastAsia" w:ascii="宋体" w:hAnsi="宋体" w:cs="宋体"/>
                <w:highlight w:val="none"/>
                <w:lang w:val="en-US" w:eastAsia="zh-CN"/>
              </w:rPr>
              <w:t>12</w:t>
            </w:r>
            <w:r>
              <w:rPr>
                <w:rFonts w:hint="eastAsia" w:ascii="宋体" w:hAnsi="宋体" w:eastAsia="宋体" w:cs="宋体"/>
                <w:highlight w:val="none"/>
                <w:lang w:val="zh-CN" w:eastAsia="zh-CN"/>
              </w:rPr>
              <w:t>分。</w:t>
            </w:r>
            <w:r>
              <w:rPr>
                <w:rFonts w:hint="eastAsia" w:ascii="宋体" w:hAnsi="宋体" w:cs="宋体"/>
                <w:highlight w:val="none"/>
                <w:lang w:val="zh-CN" w:eastAsia="zh-CN"/>
              </w:rPr>
              <w:t>（</w:t>
            </w:r>
            <w:r>
              <w:rPr>
                <w:rFonts w:hint="eastAsia" w:ascii="宋体" w:hAnsi="宋体" w:cs="宋体"/>
                <w:highlight w:val="none"/>
                <w:lang w:val="en-US" w:eastAsia="zh-CN"/>
              </w:rPr>
              <w:t>培训内容实用性强</w:t>
            </w:r>
            <w:r>
              <w:rPr>
                <w:rFonts w:hint="eastAsia" w:ascii="宋体" w:hAnsi="宋体" w:eastAsia="宋体" w:cs="宋体"/>
                <w:highlight w:val="none"/>
                <w:lang w:val="en-US" w:eastAsia="zh-CN"/>
              </w:rPr>
              <w:t>，</w:t>
            </w:r>
            <w:r>
              <w:rPr>
                <w:rFonts w:hint="eastAsia" w:ascii="宋体" w:hAnsi="宋体" w:cs="宋体"/>
                <w:highlight w:val="none"/>
                <w:lang w:val="en-US" w:eastAsia="zh-CN"/>
              </w:rPr>
              <w:t>形式多样且新颖，培训人员专业性强，台账记录完整，</w:t>
            </w:r>
            <w:r>
              <w:rPr>
                <w:rFonts w:hint="eastAsia" w:ascii="宋体" w:hAnsi="宋体" w:eastAsia="宋体" w:cs="宋体"/>
                <w:highlight w:val="none"/>
                <w:lang w:val="en-US" w:eastAsia="zh-CN"/>
              </w:rPr>
              <w:t>完全满足采购需</w:t>
            </w:r>
            <w:r>
              <w:rPr>
                <w:rFonts w:hint="eastAsia" w:ascii="宋体" w:hAnsi="宋体" w:cs="宋体"/>
                <w:highlight w:val="none"/>
              </w:rPr>
              <w:t>求的</w:t>
            </w:r>
            <w:r>
              <w:rPr>
                <w:rFonts w:hint="eastAsia" w:ascii="宋体" w:hAnsi="宋体" w:cs="宋体"/>
                <w:highlight w:val="none"/>
                <w:lang w:val="en-US" w:eastAsia="zh-CN"/>
              </w:rPr>
              <w:t>3</w:t>
            </w:r>
            <w:r>
              <w:rPr>
                <w:rFonts w:hint="eastAsia" w:ascii="宋体" w:hAnsi="宋体" w:cs="宋体"/>
                <w:highlight w:val="none"/>
              </w:rPr>
              <w:t>分；</w:t>
            </w:r>
            <w:r>
              <w:rPr>
                <w:rFonts w:hint="eastAsia" w:ascii="宋体" w:hAnsi="宋体" w:cs="宋体"/>
                <w:highlight w:val="none"/>
                <w:lang w:val="en-US" w:eastAsia="zh-CN"/>
              </w:rPr>
              <w:t>培训内容实用性较强</w:t>
            </w:r>
            <w:r>
              <w:rPr>
                <w:rFonts w:hint="eastAsia" w:ascii="宋体" w:hAnsi="宋体" w:eastAsia="宋体" w:cs="宋体"/>
                <w:highlight w:val="none"/>
                <w:lang w:val="en-US" w:eastAsia="zh-CN"/>
              </w:rPr>
              <w:t>，</w:t>
            </w:r>
            <w:r>
              <w:rPr>
                <w:rFonts w:hint="eastAsia" w:ascii="宋体" w:hAnsi="宋体" w:cs="宋体"/>
                <w:highlight w:val="none"/>
                <w:lang w:val="en-US" w:eastAsia="zh-CN"/>
              </w:rPr>
              <w:t>形式多样且较新颖，培训人员专业性较强，台账记录较完整，基本</w:t>
            </w:r>
            <w:r>
              <w:rPr>
                <w:rFonts w:hint="eastAsia" w:ascii="宋体" w:hAnsi="宋体" w:cs="宋体"/>
                <w:highlight w:val="none"/>
              </w:rPr>
              <w:t>满足采购需求的</w:t>
            </w:r>
            <w:r>
              <w:rPr>
                <w:rFonts w:hint="eastAsia" w:ascii="宋体" w:hAnsi="宋体" w:cs="宋体"/>
                <w:highlight w:val="none"/>
                <w:lang w:val="en-US" w:eastAsia="zh-CN"/>
              </w:rPr>
              <w:t>2</w:t>
            </w:r>
            <w:r>
              <w:rPr>
                <w:rFonts w:hint="eastAsia" w:ascii="宋体" w:hAnsi="宋体" w:cs="宋体"/>
                <w:highlight w:val="none"/>
              </w:rPr>
              <w:t>分；</w:t>
            </w:r>
            <w:r>
              <w:rPr>
                <w:rFonts w:hint="eastAsia" w:ascii="宋体" w:hAnsi="宋体" w:cs="宋体"/>
                <w:highlight w:val="none"/>
                <w:lang w:val="en-US" w:eastAsia="zh-CN"/>
              </w:rPr>
              <w:t>培训制度及台账需进一步完善得</w:t>
            </w:r>
            <w:r>
              <w:rPr>
                <w:rFonts w:hint="eastAsia" w:ascii="宋体" w:hAnsi="宋体" w:cs="宋体"/>
                <w:szCs w:val="21"/>
                <w:highlight w:val="none"/>
                <w:lang w:val="en-US" w:eastAsia="zh-CN"/>
              </w:rPr>
              <w:t>1分；</w:t>
            </w:r>
            <w:r>
              <w:rPr>
                <w:rFonts w:hint="eastAsia" w:ascii="宋体" w:hAnsi="宋体" w:cs="宋体"/>
                <w:highlight w:val="none"/>
                <w:lang w:val="en-US" w:eastAsia="zh-CN"/>
              </w:rPr>
              <w:t>未提供</w:t>
            </w:r>
            <w:r>
              <w:rPr>
                <w:rFonts w:hint="eastAsia" w:ascii="宋体" w:hAnsi="宋体" w:cs="宋体"/>
                <w:highlight w:val="none"/>
              </w:rPr>
              <w:t>的</w:t>
            </w:r>
            <w:r>
              <w:rPr>
                <w:rFonts w:hint="eastAsia" w:ascii="宋体" w:hAnsi="宋体" w:cs="宋体"/>
                <w:highlight w:val="none"/>
                <w:lang w:val="en-US" w:eastAsia="zh-CN"/>
              </w:rPr>
              <w:t>0</w:t>
            </w:r>
            <w:r>
              <w:rPr>
                <w:rFonts w:hint="eastAsia" w:ascii="宋体" w:hAnsi="宋体" w:cs="宋体"/>
                <w:highlight w:val="none"/>
              </w:rPr>
              <w:t>分</w:t>
            </w:r>
            <w:r>
              <w:rPr>
                <w:rFonts w:hint="eastAsia" w:ascii="宋体" w:hAnsi="宋体" w:cs="宋体"/>
                <w:highlight w:val="none"/>
                <w:lang w:eastAsia="zh-CN"/>
              </w:rPr>
              <w:t>。</w:t>
            </w:r>
            <w:r>
              <w:rPr>
                <w:rFonts w:hint="eastAsia" w:ascii="宋体" w:hAnsi="宋体" w:cs="宋体"/>
                <w:highlight w:val="none"/>
                <w:lang w:val="zh-CN" w:eastAsia="zh-CN"/>
              </w:rPr>
              <w:t>）</w:t>
            </w:r>
          </w:p>
        </w:tc>
      </w:tr>
      <w:tr w14:paraId="3CB8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1239" w:type="dxa"/>
            <w:vMerge w:val="continue"/>
            <w:noWrap w:val="0"/>
            <w:vAlign w:val="center"/>
          </w:tcPr>
          <w:p w14:paraId="1C0DF31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9698171">
            <w:pPr>
              <w:spacing w:line="36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5.安全保障措施（8分）</w:t>
            </w:r>
          </w:p>
        </w:tc>
        <w:tc>
          <w:tcPr>
            <w:tcW w:w="6770" w:type="dxa"/>
            <w:noWrap w:val="0"/>
            <w:vAlign w:val="center"/>
          </w:tcPr>
          <w:p w14:paraId="7BB72E34">
            <w:pPr>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根据供应商响应文件中的安全保障措施进行评审，包括</w:t>
            </w:r>
            <w:r>
              <w:rPr>
                <w:rFonts w:hint="eastAsia" w:ascii="宋体" w:hAnsi="宋体" w:cs="宋体"/>
                <w:color w:val="auto"/>
                <w:sz w:val="21"/>
                <w:szCs w:val="21"/>
                <w:highlight w:val="none"/>
                <w:lang w:val="en-US" w:eastAsia="zh-CN"/>
              </w:rPr>
              <w:t>但不限于：</w:t>
            </w:r>
            <w:r>
              <w:rPr>
                <w:rFonts w:hint="default"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lang w:val="en-US" w:eastAsia="zh-CN"/>
              </w:rPr>
              <w:t>护理员的工资</w:t>
            </w:r>
            <w:r>
              <w:rPr>
                <w:rFonts w:hint="eastAsia" w:ascii="宋体" w:hAnsi="宋体" w:cs="宋体"/>
                <w:color w:val="auto"/>
                <w:sz w:val="21"/>
                <w:szCs w:val="21"/>
                <w:highlight w:val="none"/>
                <w:lang w:val="en-US" w:eastAsia="zh-CN"/>
              </w:rPr>
              <w:t>保障；</w:t>
            </w:r>
            <w:r>
              <w:rPr>
                <w:rFonts w:hint="eastAsia" w:ascii="宋体" w:hAnsi="宋体" w:eastAsia="宋体" w:cs="宋体"/>
                <w:color w:val="auto"/>
                <w:sz w:val="21"/>
                <w:szCs w:val="21"/>
                <w:highlight w:val="none"/>
                <w:lang w:val="en-US" w:eastAsia="zh-CN"/>
              </w:rPr>
              <w:t>②工伤</w:t>
            </w:r>
            <w:r>
              <w:rPr>
                <w:rFonts w:hint="eastAsia" w:ascii="宋体" w:hAnsi="宋体" w:cs="宋体"/>
                <w:color w:val="auto"/>
                <w:sz w:val="21"/>
                <w:szCs w:val="21"/>
                <w:highlight w:val="none"/>
                <w:lang w:val="en-US" w:eastAsia="zh-CN"/>
              </w:rPr>
              <w:t>保险；</w:t>
            </w:r>
            <w:r>
              <w:rPr>
                <w:rFonts w:hint="default"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lang w:val="en-US" w:eastAsia="zh-CN"/>
              </w:rPr>
              <w:t>意外保险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④劳动争议处置方案等内容</w:t>
            </w:r>
            <w:r>
              <w:rPr>
                <w:rFonts w:hint="eastAsia" w:ascii="宋体" w:hAnsi="宋体" w:cs="宋体"/>
                <w:color w:val="auto"/>
                <w:sz w:val="21"/>
                <w:szCs w:val="21"/>
                <w:highlight w:val="none"/>
                <w:lang w:val="en-US" w:eastAsia="zh-CN"/>
              </w:rPr>
              <w:t>。</w:t>
            </w:r>
          </w:p>
          <w:p w14:paraId="76862F36">
            <w:pPr>
              <w:rPr>
                <w:rFonts w:hint="eastAsia" w:ascii="宋体" w:hAnsi="宋体" w:cs="宋体"/>
                <w:color w:val="auto"/>
                <w:sz w:val="21"/>
                <w:szCs w:val="21"/>
                <w:highlight w:val="none"/>
                <w:lang w:val="en-US" w:eastAsia="zh-CN"/>
              </w:rPr>
            </w:pPr>
            <w:r>
              <w:rPr>
                <w:rFonts w:hint="eastAsia" w:ascii="宋体" w:hAnsi="宋体" w:eastAsia="宋体" w:cs="宋体"/>
                <w:highlight w:val="none"/>
                <w:lang w:val="en-US" w:eastAsia="zh-CN"/>
              </w:rPr>
              <w:t>以上方案</w:t>
            </w:r>
            <w:r>
              <w:rPr>
                <w:rFonts w:hint="eastAsia" w:ascii="宋体" w:hAnsi="宋体" w:eastAsia="宋体" w:cs="宋体"/>
                <w:highlight w:val="none"/>
                <w:lang w:val="zh-CN" w:eastAsia="zh-CN"/>
              </w:rPr>
              <w:t>每提供一项得</w:t>
            </w:r>
            <w:r>
              <w:rPr>
                <w:rFonts w:hint="eastAsia" w:ascii="宋体" w:hAnsi="宋体" w:cs="宋体"/>
                <w:highlight w:val="none"/>
                <w:lang w:val="en-US" w:eastAsia="zh-CN"/>
              </w:rPr>
              <w:t>2</w:t>
            </w:r>
            <w:r>
              <w:rPr>
                <w:rFonts w:hint="eastAsia" w:ascii="宋体" w:hAnsi="宋体" w:eastAsia="宋体" w:cs="宋体"/>
                <w:highlight w:val="none"/>
                <w:lang w:val="zh-CN" w:eastAsia="zh-CN"/>
              </w:rPr>
              <w:t>分，最多得</w:t>
            </w:r>
            <w:r>
              <w:rPr>
                <w:rFonts w:hint="eastAsia" w:ascii="宋体" w:hAnsi="宋体" w:cs="宋体"/>
                <w:highlight w:val="none"/>
                <w:lang w:val="en-US" w:eastAsia="zh-CN"/>
              </w:rPr>
              <w:t>8</w:t>
            </w:r>
            <w:r>
              <w:rPr>
                <w:rFonts w:hint="eastAsia" w:ascii="宋体" w:hAnsi="宋体" w:eastAsia="宋体" w:cs="宋体"/>
                <w:highlight w:val="none"/>
                <w:lang w:val="zh-CN" w:eastAsia="zh-CN"/>
              </w:rPr>
              <w:t>分。</w:t>
            </w:r>
            <w:r>
              <w:rPr>
                <w:rFonts w:hint="eastAsia" w:ascii="宋体" w:hAnsi="宋体" w:cs="宋体"/>
                <w:highlight w:val="none"/>
                <w:lang w:val="zh-CN" w:eastAsia="zh-CN"/>
              </w:rPr>
              <w:t>（</w:t>
            </w:r>
            <w:r>
              <w:rPr>
                <w:rFonts w:hint="eastAsia" w:ascii="宋体" w:hAnsi="宋体" w:eastAsia="宋体" w:cs="宋体"/>
                <w:highlight w:val="none"/>
                <w:lang w:val="en-US" w:eastAsia="zh-CN"/>
              </w:rPr>
              <w:t>每项</w:t>
            </w:r>
            <w:r>
              <w:rPr>
                <w:rFonts w:hint="eastAsia" w:ascii="宋体" w:hAnsi="宋体" w:eastAsia="宋体" w:cs="宋体"/>
                <w:color w:val="auto"/>
                <w:sz w:val="21"/>
                <w:szCs w:val="21"/>
                <w:highlight w:val="none"/>
                <w:lang w:val="en-US" w:eastAsia="zh-CN"/>
              </w:rPr>
              <w:t>措施要点齐全、</w:t>
            </w:r>
            <w:r>
              <w:rPr>
                <w:rFonts w:hint="eastAsia" w:ascii="宋体" w:hAnsi="宋体" w:eastAsia="宋体" w:cs="宋体"/>
                <w:highlight w:val="none"/>
                <w:lang w:val="en-US" w:eastAsia="zh-CN"/>
              </w:rPr>
              <w:t>可实施性强，</w:t>
            </w:r>
            <w:r>
              <w:rPr>
                <w:rFonts w:hint="eastAsia" w:ascii="宋体" w:hAnsi="宋体" w:cs="宋体"/>
                <w:highlight w:val="none"/>
                <w:lang w:val="en-US" w:eastAsia="zh-CN"/>
              </w:rPr>
              <w:t>缴纳应有的保险，</w:t>
            </w:r>
            <w:r>
              <w:rPr>
                <w:rFonts w:hint="eastAsia" w:ascii="宋体" w:hAnsi="宋体" w:eastAsia="宋体" w:cs="宋体"/>
                <w:highlight w:val="none"/>
                <w:lang w:val="en-US" w:eastAsia="zh-CN"/>
              </w:rPr>
              <w:t>完全满足采购需</w:t>
            </w:r>
            <w:r>
              <w:rPr>
                <w:rFonts w:hint="eastAsia" w:ascii="宋体" w:hAnsi="宋体" w:cs="宋体"/>
                <w:highlight w:val="none"/>
              </w:rPr>
              <w:t>求的</w:t>
            </w:r>
            <w:r>
              <w:rPr>
                <w:rFonts w:hint="eastAsia" w:ascii="宋体" w:hAnsi="宋体" w:cs="宋体"/>
                <w:highlight w:val="none"/>
                <w:lang w:val="en-US" w:eastAsia="zh-CN"/>
              </w:rPr>
              <w:t>2</w:t>
            </w:r>
            <w:r>
              <w:rPr>
                <w:rFonts w:hint="eastAsia" w:ascii="宋体" w:hAnsi="宋体" w:cs="宋体"/>
                <w:highlight w:val="none"/>
              </w:rPr>
              <w:t>分；</w:t>
            </w:r>
            <w:r>
              <w:rPr>
                <w:rFonts w:hint="eastAsia" w:ascii="宋体" w:hAnsi="宋体" w:eastAsia="宋体" w:cs="宋体"/>
                <w:highlight w:val="none"/>
                <w:lang w:val="en-US" w:eastAsia="zh-CN"/>
              </w:rPr>
              <w:t>每项</w:t>
            </w:r>
            <w:r>
              <w:rPr>
                <w:rFonts w:hint="eastAsia" w:ascii="宋体" w:hAnsi="宋体" w:eastAsia="宋体" w:cs="宋体"/>
                <w:color w:val="auto"/>
                <w:sz w:val="21"/>
                <w:szCs w:val="21"/>
                <w:highlight w:val="none"/>
                <w:lang w:val="en-US" w:eastAsia="zh-CN"/>
              </w:rPr>
              <w:t>措施</w:t>
            </w:r>
            <w:r>
              <w:rPr>
                <w:rFonts w:hint="eastAsia" w:ascii="宋体" w:hAnsi="宋体" w:cs="宋体"/>
                <w:szCs w:val="21"/>
                <w:highlight w:val="none"/>
                <w:lang w:val="en-US" w:eastAsia="zh-CN"/>
              </w:rPr>
              <w:t>待完善的1分；</w:t>
            </w:r>
            <w:r>
              <w:rPr>
                <w:rFonts w:hint="eastAsia" w:ascii="宋体" w:hAnsi="宋体" w:cs="宋体"/>
                <w:highlight w:val="none"/>
                <w:lang w:val="en-US" w:eastAsia="zh-CN"/>
              </w:rPr>
              <w:t>未提供</w:t>
            </w:r>
            <w:r>
              <w:rPr>
                <w:rFonts w:hint="eastAsia" w:ascii="宋体" w:hAnsi="宋体" w:cs="宋体"/>
                <w:highlight w:val="none"/>
              </w:rPr>
              <w:t>的</w:t>
            </w:r>
            <w:r>
              <w:rPr>
                <w:rFonts w:hint="eastAsia" w:ascii="宋体" w:hAnsi="宋体" w:cs="宋体"/>
                <w:highlight w:val="none"/>
                <w:lang w:val="en-US" w:eastAsia="zh-CN"/>
              </w:rPr>
              <w:t>0</w:t>
            </w:r>
            <w:r>
              <w:rPr>
                <w:rFonts w:hint="eastAsia" w:ascii="宋体" w:hAnsi="宋体" w:cs="宋体"/>
                <w:highlight w:val="none"/>
              </w:rPr>
              <w:t>分</w:t>
            </w:r>
            <w:r>
              <w:rPr>
                <w:rFonts w:hint="eastAsia" w:ascii="宋体" w:hAnsi="宋体" w:cs="宋体"/>
                <w:highlight w:val="none"/>
                <w:lang w:eastAsia="zh-CN"/>
              </w:rPr>
              <w:t>。</w:t>
            </w:r>
            <w:r>
              <w:rPr>
                <w:rFonts w:hint="eastAsia" w:ascii="宋体" w:hAnsi="宋体" w:cs="宋体"/>
                <w:highlight w:val="none"/>
                <w:lang w:val="zh-CN" w:eastAsia="zh-CN"/>
              </w:rPr>
              <w:t>）</w:t>
            </w:r>
          </w:p>
        </w:tc>
      </w:tr>
      <w:tr w14:paraId="1B2C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F9BCDE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3B55D020">
            <w:pPr>
              <w:spacing w:line="36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应对护理事故、纠纷处理能力（</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6770" w:type="dxa"/>
            <w:noWrap w:val="0"/>
            <w:vAlign w:val="center"/>
          </w:tcPr>
          <w:p w14:paraId="4CC83CC4">
            <w:pPr>
              <w:spacing w:line="3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投标人有法务服务保障能力，负责处理派遣人员的工伤理赔、劳动仲裁、劳动诉讼事件及法律咨询，避免妨碍采购人的正常工作或给采购人带来不利的社会影响的，得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18A82837">
            <w:pPr>
              <w:spacing w:line="3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自有的提供相关人员执业资格证书及投标人为其缴纳的投标截止时间近半年任一个月的社保证明材料；合作的提供法律顾问合作协议复印件或提供与相关专业法务公司合作合同复印件及投标截止时间前一年合同相对应金额银行转账记录，并加盖投标人公章，否则不得分。</w:t>
            </w:r>
          </w:p>
        </w:tc>
      </w:tr>
      <w:tr w14:paraId="7868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239" w:type="dxa"/>
            <w:vMerge w:val="continue"/>
            <w:noWrap w:val="0"/>
            <w:vAlign w:val="center"/>
          </w:tcPr>
          <w:p w14:paraId="58A4E4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D937CD1">
            <w:pPr>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突发事件和投诉处置方案（</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6770" w:type="dxa"/>
            <w:noWrap w:val="0"/>
            <w:vAlign w:val="center"/>
          </w:tcPr>
          <w:p w14:paraId="2C862422">
            <w:pPr>
              <w:spacing w:line="36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应提供具体的突发事件应急处置预案，内容包括但不限于火灾、跌倒、走失、突发疾病、纠纷投诉</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突发公共卫生事件等内容的应对方案、应急组织机构与职责、应急响应</w:t>
            </w:r>
            <w:r>
              <w:rPr>
                <w:rFonts w:hint="eastAsia" w:ascii="宋体" w:hAnsi="宋体" w:cs="宋体"/>
                <w:color w:val="auto"/>
                <w:sz w:val="21"/>
                <w:szCs w:val="21"/>
                <w:highlight w:val="none"/>
                <w:lang w:val="en-US" w:eastAsia="zh-CN"/>
              </w:rPr>
              <w:t>时间</w:t>
            </w:r>
            <w:r>
              <w:rPr>
                <w:rFonts w:hint="eastAsia" w:ascii="宋体" w:hAnsi="宋体" w:eastAsia="宋体" w:cs="宋体"/>
                <w:color w:val="auto"/>
                <w:sz w:val="21"/>
                <w:szCs w:val="21"/>
                <w:highlight w:val="none"/>
                <w:lang w:val="en-US" w:eastAsia="zh-CN"/>
              </w:rPr>
              <w:t xml:space="preserve">、应急故障处理措施等。 </w:t>
            </w:r>
          </w:p>
          <w:p w14:paraId="70CBD950">
            <w:pPr>
              <w:spacing w:line="3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（1）制定全面的突发事件应急预案，有较强的制止事态发展的应急措施和能力，措施有效、反应迅速，预案合理性、可操作性强，完全满足项目需求，得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分； </w:t>
            </w:r>
          </w:p>
          <w:p w14:paraId="276378CA">
            <w:pPr>
              <w:spacing w:line="3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（2）应急预案有个别缺失，突发事件处理与管理方案不够健全，合理性、可操作性较强，基本满足项目需求，得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 </w:t>
            </w:r>
          </w:p>
          <w:p w14:paraId="12A85C8E">
            <w:pPr>
              <w:spacing w:line="3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（3）应急预案有大量缺失，不能有效满足项目需求</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 xml:space="preserve">分； </w:t>
            </w:r>
          </w:p>
          <w:p w14:paraId="7694C7DB">
            <w:pPr>
              <w:spacing w:line="36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（4）未提供的不得分。</w:t>
            </w:r>
          </w:p>
        </w:tc>
      </w:tr>
      <w:tr w14:paraId="57CA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239" w:type="dxa"/>
            <w:vMerge w:val="restart"/>
            <w:noWrap w:val="0"/>
            <w:vAlign w:val="center"/>
          </w:tcPr>
          <w:p w14:paraId="6DEDC35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189C7D9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0F93E7A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.类似业绩（</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50C8E2B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lang w:val="en-US" w:eastAsia="zh-CN"/>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年1月1日具有的类似</w:t>
            </w:r>
            <w:r>
              <w:rPr>
                <w:rFonts w:hint="eastAsia" w:ascii="宋体" w:hAnsi="宋体" w:cs="宋体"/>
                <w:color w:val="000000" w:themeColor="text1"/>
                <w:highlight w:val="none"/>
                <w:lang w:val="en-US" w:eastAsia="zh-CN"/>
                <w14:textFill>
                  <w14:solidFill>
                    <w14:schemeClr w14:val="tx1"/>
                  </w14:solidFill>
                </w14:textFill>
              </w:rPr>
              <w:t>项目</w:t>
            </w:r>
            <w:r>
              <w:rPr>
                <w:rFonts w:hint="eastAsia" w:ascii="宋体" w:hAnsi="宋体" w:eastAsia="宋体" w:cs="宋体"/>
                <w:color w:val="000000" w:themeColor="text1"/>
                <w:highlight w:val="none"/>
                <w:lang w:val="en-US" w:eastAsia="zh-CN"/>
                <w14:textFill>
                  <w14:solidFill>
                    <w14:schemeClr w14:val="tx1"/>
                  </w14:solidFill>
                </w14:textFill>
              </w:rPr>
              <w:t>业绩(以合同文件为准），每提供一份得2分，最多得</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分。</w:t>
            </w:r>
          </w:p>
        </w:tc>
      </w:tr>
      <w:tr w14:paraId="3E0E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39" w:type="dxa"/>
            <w:vMerge w:val="continue"/>
            <w:noWrap w:val="0"/>
            <w:vAlign w:val="center"/>
          </w:tcPr>
          <w:p w14:paraId="1049844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tcBorders>
              <w:top w:val="single" w:color="auto" w:sz="4" w:space="0"/>
            </w:tcBorders>
            <w:shd w:val="clear" w:color="auto" w:fill="auto"/>
            <w:noWrap w:val="0"/>
            <w:vAlign w:val="center"/>
          </w:tcPr>
          <w:p w14:paraId="21F91DF3">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2.人员配备（1</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c>
          <w:tcPr>
            <w:tcW w:w="6770" w:type="dxa"/>
            <w:shd w:val="clear" w:color="auto" w:fill="auto"/>
            <w:noWrap w:val="0"/>
            <w:vAlign w:val="center"/>
          </w:tcPr>
          <w:p w14:paraId="018E86D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项目经理具有医院患者日常生活护理相关楼层主管及以上岗位管理经验，基础要求为3年，</w:t>
            </w:r>
            <w:r>
              <w:rPr>
                <w:rFonts w:hint="eastAsia" w:ascii="宋体" w:hAnsi="宋体" w:cs="宋体"/>
                <w:color w:val="auto"/>
                <w:sz w:val="21"/>
                <w:szCs w:val="21"/>
                <w:highlight w:val="none"/>
                <w:lang w:val="en-US" w:eastAsia="zh-CN"/>
              </w:rPr>
              <w:t>在此</w:t>
            </w:r>
            <w:r>
              <w:rPr>
                <w:rFonts w:hint="eastAsia" w:ascii="宋体" w:hAnsi="宋体" w:eastAsia="宋体" w:cs="宋体"/>
                <w:color w:val="auto"/>
                <w:sz w:val="21"/>
                <w:szCs w:val="21"/>
                <w:highlight w:val="none"/>
                <w:lang w:val="en-US" w:eastAsia="zh-CN"/>
              </w:rPr>
              <w:t>基础上，每增加1年加</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分，本项最多得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p w14:paraId="40E40D5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lang w:val="en-US" w:eastAsia="zh-CN"/>
              </w:rPr>
              <w:t>须提供项目经理近六个月任意一个月社保证明、管理经验的相关证明文件。</w:t>
            </w:r>
          </w:p>
        </w:tc>
      </w:tr>
      <w:tr w14:paraId="538F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39" w:type="dxa"/>
            <w:vMerge w:val="continue"/>
            <w:noWrap w:val="0"/>
            <w:vAlign w:val="center"/>
          </w:tcPr>
          <w:p w14:paraId="71A5181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shd w:val="clear" w:color="auto" w:fill="auto"/>
            <w:noWrap w:val="0"/>
            <w:vAlign w:val="center"/>
          </w:tcPr>
          <w:p w14:paraId="7E422428">
            <w:pPr>
              <w:spacing w:line="360" w:lineRule="exact"/>
              <w:jc w:val="center"/>
              <w:rPr>
                <w:rFonts w:hint="eastAsia" w:ascii="宋体" w:hAnsi="宋体" w:eastAsia="宋体" w:cs="宋体"/>
                <w:color w:val="auto"/>
                <w:sz w:val="21"/>
                <w:szCs w:val="21"/>
                <w:highlight w:val="none"/>
                <w:lang w:val="en-US" w:eastAsia="zh-CN"/>
              </w:rPr>
            </w:pPr>
          </w:p>
        </w:tc>
        <w:tc>
          <w:tcPr>
            <w:tcW w:w="6770" w:type="dxa"/>
            <w:shd w:val="clear" w:color="auto" w:fill="auto"/>
            <w:noWrap w:val="0"/>
            <w:vAlign w:val="center"/>
          </w:tcPr>
          <w:p w14:paraId="733466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储备拟派医疗护理员达到15人的并且能随时根据医院需求增加人员的得基本分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分；储备拟派医疗护理员</w:t>
            </w:r>
            <w:r>
              <w:rPr>
                <w:rFonts w:hint="eastAsia" w:ascii="宋体" w:hAnsi="宋体" w:cs="宋体"/>
                <w:color w:val="auto"/>
                <w:sz w:val="21"/>
                <w:szCs w:val="21"/>
                <w:highlight w:val="none"/>
                <w:lang w:val="en-US" w:eastAsia="zh-CN"/>
              </w:rPr>
              <w:t>在</w:t>
            </w:r>
            <w:r>
              <w:rPr>
                <w:rFonts w:hint="eastAsia" w:ascii="宋体" w:hAnsi="宋体" w:eastAsia="宋体" w:cs="宋体"/>
                <w:color w:val="auto"/>
                <w:sz w:val="21"/>
                <w:szCs w:val="21"/>
                <w:highlight w:val="none"/>
                <w:lang w:val="en-US" w:eastAsia="zh-CN"/>
              </w:rPr>
              <w:t>15人的</w:t>
            </w:r>
            <w:r>
              <w:rPr>
                <w:rFonts w:hint="eastAsia" w:ascii="宋体" w:hAnsi="宋体" w:cs="宋体"/>
                <w:color w:val="auto"/>
                <w:sz w:val="21"/>
                <w:szCs w:val="21"/>
                <w:highlight w:val="none"/>
                <w:lang w:val="en-US" w:eastAsia="zh-CN"/>
              </w:rPr>
              <w:t>基础上</w:t>
            </w:r>
            <w:r>
              <w:rPr>
                <w:rFonts w:hint="eastAsia" w:ascii="宋体" w:hAnsi="宋体" w:eastAsia="宋体" w:cs="宋体"/>
                <w:color w:val="auto"/>
                <w:sz w:val="21"/>
                <w:szCs w:val="21"/>
                <w:highlight w:val="none"/>
                <w:lang w:val="en-US" w:eastAsia="zh-CN"/>
              </w:rPr>
              <w:t>，每多</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人，在基本分基础上加</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分，最多加</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本项最多得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分。（须提供花名册</w:t>
            </w:r>
            <w:r>
              <w:rPr>
                <w:rFonts w:hint="eastAsia" w:ascii="宋体" w:hAnsi="宋体" w:cs="宋体"/>
                <w:color w:val="auto"/>
                <w:sz w:val="21"/>
                <w:szCs w:val="21"/>
                <w:highlight w:val="none"/>
                <w:lang w:val="en-US" w:eastAsia="zh-CN"/>
              </w:rPr>
              <w:t>以及</w:t>
            </w:r>
            <w:r>
              <w:rPr>
                <w:rFonts w:hint="eastAsia" w:ascii="宋体" w:hAnsi="宋体" w:eastAsia="宋体" w:cs="宋体"/>
                <w:color w:val="auto"/>
                <w:sz w:val="21"/>
                <w:szCs w:val="21"/>
                <w:highlight w:val="none"/>
                <w:lang w:val="en-US" w:eastAsia="zh-CN"/>
              </w:rPr>
              <w:t>花名册对应的身份证</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劳动合同、无违法犯罪记录的证明材料、健康检查合格证明、医疗护理员证书或护理院校毕业证书）。</w:t>
            </w:r>
          </w:p>
          <w:p w14:paraId="5953957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注：响应文件中需附人员相关资料扫描件或复印件并加盖供应商公章。</w:t>
            </w:r>
          </w:p>
        </w:tc>
      </w:tr>
      <w:tr w14:paraId="2B16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39" w:type="dxa"/>
            <w:vMerge w:val="continue"/>
            <w:noWrap w:val="0"/>
            <w:vAlign w:val="center"/>
          </w:tcPr>
          <w:p w14:paraId="20DBA43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shd w:val="clear" w:color="auto" w:fill="auto"/>
            <w:noWrap w:val="0"/>
            <w:vAlign w:val="center"/>
          </w:tcPr>
          <w:p w14:paraId="032C0C1F">
            <w:pPr>
              <w:spacing w:line="360" w:lineRule="exact"/>
              <w:jc w:val="center"/>
              <w:rPr>
                <w:rFonts w:hint="eastAsia" w:ascii="宋体" w:hAnsi="宋体" w:eastAsia="宋体" w:cs="宋体"/>
                <w:color w:val="auto"/>
                <w:kern w:val="2"/>
                <w:sz w:val="21"/>
                <w:szCs w:val="21"/>
                <w:highlight w:val="none"/>
                <w:lang w:val="en-US" w:eastAsia="zh-CN" w:bidi="ar-SA"/>
              </w:rPr>
            </w:pPr>
          </w:p>
        </w:tc>
        <w:tc>
          <w:tcPr>
            <w:tcW w:w="6770" w:type="dxa"/>
            <w:shd w:val="clear" w:color="auto" w:fill="auto"/>
            <w:noWrap w:val="0"/>
            <w:vAlign w:val="center"/>
          </w:tcPr>
          <w:p w14:paraId="63C1F16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根据供应商拟投入管理团队（除医疗护理员外）、医疗护理员情况进行评审，包括团队人员的结构组成、</w:t>
            </w:r>
            <w:r>
              <w:rPr>
                <w:rFonts w:hint="eastAsia" w:hAnsi="宋体" w:cs="宋体"/>
                <w:b w:val="0"/>
                <w:bCs w:val="0"/>
                <w:color w:val="auto"/>
                <w:sz w:val="21"/>
                <w:szCs w:val="21"/>
                <w:highlight w:val="none"/>
                <w:u w:val="none"/>
                <w:lang w:val="en-US" w:eastAsia="zh-CN"/>
              </w:rPr>
              <w:t>人员</w:t>
            </w:r>
            <w:r>
              <w:rPr>
                <w:rFonts w:hint="eastAsia" w:ascii="宋体" w:hAnsi="宋体" w:eastAsia="宋体" w:cs="宋体"/>
                <w:b w:val="0"/>
                <w:bCs w:val="0"/>
                <w:color w:val="auto"/>
                <w:sz w:val="21"/>
                <w:szCs w:val="21"/>
                <w:highlight w:val="none"/>
                <w:u w:val="none"/>
                <w:lang w:val="en-US" w:eastAsia="zh-CN"/>
              </w:rPr>
              <w:t>分工与岗位职责</w:t>
            </w:r>
            <w:r>
              <w:rPr>
                <w:rFonts w:hint="eastAsia" w:ascii="宋体" w:hAnsi="宋体" w:cs="宋体"/>
                <w:b w:val="0"/>
                <w:bCs w:val="0"/>
                <w:color w:val="auto"/>
                <w:sz w:val="21"/>
                <w:szCs w:val="21"/>
                <w:highlight w:val="none"/>
                <w:u w:val="none"/>
                <w:lang w:val="en-US" w:eastAsia="zh-CN"/>
              </w:rPr>
              <w:t>、</w:t>
            </w:r>
            <w:r>
              <w:rPr>
                <w:rFonts w:hint="eastAsia" w:ascii="宋体" w:hAnsi="宋体" w:cs="宋体"/>
                <w:color w:val="auto"/>
                <w:sz w:val="21"/>
                <w:szCs w:val="21"/>
                <w:highlight w:val="none"/>
                <w:lang w:val="en-US" w:eastAsia="zh-CN"/>
              </w:rPr>
              <w:t>工作经验、资质证书等。</w:t>
            </w:r>
          </w:p>
          <w:p w14:paraId="2B2D8A0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团队人员组织结构合理、清晰，工作经验丰富且专业技术能力过硬，持证上岗，完全满足采购需求的得5分；</w:t>
            </w:r>
          </w:p>
          <w:p w14:paraId="4EC765A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服务团队组织结构基本合理，岗位职责明确，专业技术能力一般，持证上岗，基本满足采购需求的得3分；</w:t>
            </w:r>
          </w:p>
          <w:p w14:paraId="6A07E45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服务团队组织结构不合理，岗位职责不明确，专业技术能力差，不满足采购需求的得1分；</w:t>
            </w:r>
          </w:p>
          <w:p w14:paraId="7A63699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缺项得0分。 </w:t>
            </w:r>
          </w:p>
        </w:tc>
      </w:tr>
      <w:tr w14:paraId="1FFA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5F769C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012534D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613DB9C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9"/>
        <w:rPr>
          <w:rFonts w:hint="eastAsia" w:ascii="宋体" w:hAnsi="宋体" w:eastAsia="宋体" w:cs="宋体"/>
          <w:b/>
          <w:bCs/>
          <w:color w:val="auto"/>
          <w:highlight w:val="none"/>
        </w:rPr>
      </w:pPr>
    </w:p>
    <w:p w14:paraId="7C048156">
      <w:pPr>
        <w:pStyle w:val="49"/>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4"/>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9"/>
        <w:spacing w:line="360" w:lineRule="auto"/>
        <w:rPr>
          <w:rFonts w:hint="eastAsia" w:ascii="宋体" w:hAnsi="宋体" w:eastAsia="宋体" w:cs="宋体"/>
          <w:color w:val="auto"/>
          <w:highlight w:val="none"/>
        </w:rPr>
      </w:pPr>
    </w:p>
    <w:p w14:paraId="51E48B65">
      <w:pPr>
        <w:pStyle w:val="49"/>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eastAsia="zh-CN"/>
        </w:rPr>
        <w:t>日期：</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4"/>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840" w:firstLineChars="4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tbl>
      <w:tblPr>
        <w:tblStyle w:val="33"/>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1941"/>
        <w:gridCol w:w="5449"/>
      </w:tblGrid>
      <w:tr w14:paraId="0EC1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CDBE5B4">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90" w:type="dxa"/>
            <w:gridSpan w:val="2"/>
            <w:noWrap/>
            <w:vAlign w:val="center"/>
          </w:tcPr>
          <w:p w14:paraId="1FDD0C9B">
            <w:pPr>
              <w:rPr>
                <w:rFonts w:hint="eastAsia" w:ascii="宋体" w:hAnsi="宋体" w:eastAsia="宋体" w:cs="宋体"/>
                <w:bCs/>
                <w:color w:val="auto"/>
                <w:szCs w:val="21"/>
                <w:highlight w:val="none"/>
              </w:rPr>
            </w:pPr>
          </w:p>
        </w:tc>
      </w:tr>
      <w:tr w14:paraId="01A89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21A310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90" w:type="dxa"/>
            <w:gridSpan w:val="2"/>
            <w:noWrap/>
            <w:vAlign w:val="center"/>
          </w:tcPr>
          <w:p w14:paraId="4A882E24">
            <w:pPr>
              <w:rPr>
                <w:rFonts w:hint="eastAsia" w:ascii="宋体" w:hAnsi="宋体" w:eastAsia="宋体" w:cs="宋体"/>
                <w:color w:val="auto"/>
                <w:szCs w:val="21"/>
                <w:highlight w:val="none"/>
              </w:rPr>
            </w:pPr>
          </w:p>
        </w:tc>
      </w:tr>
      <w:tr w14:paraId="7E1D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vMerge w:val="restart"/>
            <w:noWrap/>
            <w:vAlign w:val="center"/>
          </w:tcPr>
          <w:p w14:paraId="086641A9">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1941" w:type="dxa"/>
            <w:noWrap/>
            <w:vAlign w:val="center"/>
          </w:tcPr>
          <w:p w14:paraId="09541BE4">
            <w:pPr>
              <w:jc w:val="cente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一对一陪护</w:t>
            </w:r>
          </w:p>
          <w:p w14:paraId="16EA10C4">
            <w:pPr>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（综合折扣率）</w:t>
            </w:r>
          </w:p>
        </w:tc>
        <w:tc>
          <w:tcPr>
            <w:tcW w:w="5449" w:type="dxa"/>
            <w:noWrap/>
            <w:vAlign w:val="center"/>
          </w:tcPr>
          <w:p w14:paraId="4B01D343">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lang w:val="en-US" w:eastAsia="zh-CN"/>
              </w:rPr>
              <w:t>百分之</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5F3950B9">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（详见报价明细表）</w:t>
            </w:r>
          </w:p>
        </w:tc>
      </w:tr>
      <w:tr w14:paraId="275D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vMerge w:val="continue"/>
            <w:noWrap/>
            <w:vAlign w:val="center"/>
          </w:tcPr>
          <w:p w14:paraId="3BECC256">
            <w:pPr>
              <w:jc w:val="center"/>
              <w:rPr>
                <w:rFonts w:hint="eastAsia" w:ascii="宋体" w:hAnsi="宋体" w:eastAsia="宋体" w:cs="宋体"/>
                <w:color w:val="auto"/>
                <w:szCs w:val="21"/>
                <w:highlight w:val="none"/>
                <w:lang w:val="en-US" w:eastAsia="zh-CN"/>
              </w:rPr>
            </w:pPr>
          </w:p>
        </w:tc>
        <w:tc>
          <w:tcPr>
            <w:tcW w:w="1941" w:type="dxa"/>
            <w:noWrap/>
            <w:vAlign w:val="center"/>
          </w:tcPr>
          <w:p w14:paraId="4436698B">
            <w:pPr>
              <w:jc w:val="cente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一对多陪护</w:t>
            </w:r>
          </w:p>
          <w:p w14:paraId="37B60622">
            <w:pPr>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（综合折扣率）</w:t>
            </w:r>
          </w:p>
        </w:tc>
        <w:tc>
          <w:tcPr>
            <w:tcW w:w="5449" w:type="dxa"/>
            <w:noWrap/>
            <w:vAlign w:val="center"/>
          </w:tcPr>
          <w:p w14:paraId="5E3C011A">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lang w:val="en-US" w:eastAsia="zh-CN"/>
              </w:rPr>
              <w:t>百分之</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241FBE2E">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（详见报价明细表）</w:t>
            </w:r>
          </w:p>
        </w:tc>
      </w:tr>
      <w:tr w14:paraId="63F1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5FCEC8B">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90" w:type="dxa"/>
            <w:gridSpan w:val="2"/>
            <w:noWrap/>
            <w:vAlign w:val="center"/>
          </w:tcPr>
          <w:p w14:paraId="32FAEA79">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7DF2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C2B21B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90" w:type="dxa"/>
            <w:gridSpan w:val="2"/>
            <w:noWrap/>
            <w:vAlign w:val="center"/>
          </w:tcPr>
          <w:p w14:paraId="06A9AD07">
            <w:pPr>
              <w:pStyle w:val="20"/>
              <w:ind w:left="0" w:leftChars="0"/>
              <w:rPr>
                <w:rFonts w:hint="eastAsia" w:ascii="宋体" w:hAnsi="宋体" w:eastAsia="宋体" w:cs="宋体"/>
                <w:color w:val="auto"/>
                <w:sz w:val="21"/>
                <w:szCs w:val="21"/>
                <w:highlight w:val="none"/>
              </w:rPr>
            </w:pPr>
          </w:p>
        </w:tc>
      </w:tr>
    </w:tbl>
    <w:p w14:paraId="66ED5C22">
      <w:pPr>
        <w:spacing w:line="360" w:lineRule="auto"/>
        <w:rPr>
          <w:rFonts w:hint="eastAsia" w:ascii="宋体" w:hAnsi="宋体" w:eastAsia="宋体" w:cs="宋体"/>
          <w:color w:val="auto"/>
          <w:kern w:val="0"/>
          <w:szCs w:val="21"/>
          <w:highlight w:val="none"/>
        </w:rPr>
      </w:pPr>
    </w:p>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100D7E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2、以上报价应与“报价明细表”中的报价相一致。</w:t>
      </w:r>
    </w:p>
    <w:p w14:paraId="174968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按格式填列，不得自行更改。否则引起的不利后果由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承担。</w:t>
      </w:r>
    </w:p>
    <w:p w14:paraId="7B6C3FAE">
      <w:pPr>
        <w:spacing w:line="360" w:lineRule="auto"/>
        <w:ind w:firstLine="420" w:firstLineChars="200"/>
        <w:rPr>
          <w:rFonts w:hint="eastAsia" w:ascii="宋体" w:hAnsi="宋体" w:eastAsia="宋体" w:cs="宋体"/>
          <w:color w:val="auto"/>
          <w:highlight w:val="none"/>
        </w:rPr>
      </w:pP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bookmarkEnd w:id="72"/>
    <w:bookmarkEnd w:id="73"/>
    <w:p w14:paraId="18ED382E">
      <w:pPr>
        <w:keepNext w:val="0"/>
        <w:pageBreakBefore w:val="0"/>
        <w:widowControl w:val="0"/>
        <w:wordWrap w:val="0"/>
        <w:overflowPunct/>
        <w:topLinePunct w:val="0"/>
        <w:bidi w:val="0"/>
        <w:spacing w:line="460" w:lineRule="exact"/>
        <w:ind w:firstLine="2730" w:firstLineChars="1300"/>
        <w:jc w:val="left"/>
        <w:rPr>
          <w:rFonts w:hint="eastAsia" w:ascii="宋体" w:hAnsi="宋体" w:eastAsia="宋体" w:cs="宋体"/>
          <w:color w:val="auto"/>
          <w:kern w:val="0"/>
          <w:szCs w:val="21"/>
          <w:highlight w:val="none"/>
          <w:lang w:eastAsia="zh-CN"/>
        </w:rPr>
      </w:pPr>
      <w:bookmarkStart w:id="74" w:name="_Toc12222"/>
      <w:bookmarkStart w:id="75"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9950"/>
      <w:bookmarkStart w:id="77" w:name="_Toc1330"/>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Cs w:val="21"/>
          <w:highlight w:val="none"/>
        </w:rPr>
        <w:t>年  月  日</w:t>
      </w:r>
      <w:bookmarkEnd w:id="76"/>
      <w:bookmarkEnd w:id="77"/>
    </w:p>
    <w:bookmarkEnd w:id="52"/>
    <w:bookmarkEnd w:id="53"/>
    <w:p w14:paraId="35B35CE5">
      <w:pPr>
        <w:outlineLvl w:val="9"/>
        <w:rPr>
          <w:rFonts w:hint="eastAsia" w:ascii="宋体" w:hAnsi="宋体" w:eastAsia="宋体" w:cs="宋体"/>
          <w:color w:val="auto"/>
          <w:highlight w:val="none"/>
          <w:lang w:eastAsia="zh-CN"/>
        </w:rPr>
      </w:pPr>
      <w:bookmarkStart w:id="78" w:name="_Toc22004"/>
      <w:bookmarkStart w:id="79" w:name="_Toc24984"/>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67812447">
      <w:pPr>
        <w:widowControl/>
        <w:wordWrap w:val="0"/>
        <w:snapToGrid w:val="0"/>
        <w:spacing w:before="50" w:after="50"/>
        <w:ind w:right="-817" w:rightChars="-389"/>
        <w:jc w:val="right"/>
        <w:rPr>
          <w:rFonts w:ascii="宋体" w:hAnsi="宋体" w:cs="宋体"/>
          <w:color w:val="000000" w:themeColor="text1"/>
          <w:kern w:val="0"/>
          <w:sz w:val="24"/>
          <w:highlight w:val="none"/>
          <w14:textFill>
            <w14:solidFill>
              <w14:schemeClr w14:val="tx1"/>
            </w14:solidFill>
          </w14:textFill>
        </w:rPr>
      </w:pPr>
    </w:p>
    <w:tbl>
      <w:tblPr>
        <w:tblStyle w:val="33"/>
        <w:tblW w:w="85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529"/>
        <w:gridCol w:w="2248"/>
        <w:gridCol w:w="2799"/>
      </w:tblGrid>
      <w:tr w14:paraId="51DAD6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3529" w:type="dxa"/>
            <w:vMerge w:val="restart"/>
            <w:tcBorders>
              <w:top w:val="single" w:color="auto" w:sz="4" w:space="0"/>
              <w:left w:val="single" w:color="auto" w:sz="4" w:space="0"/>
              <w:right w:val="single" w:color="auto" w:sz="4" w:space="0"/>
            </w:tcBorders>
            <w:vAlign w:val="center"/>
          </w:tcPr>
          <w:p w14:paraId="128BA6CA">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val="en-US" w:eastAsia="zh-CN"/>
              </w:rPr>
              <w:t>磋商</w:t>
            </w:r>
            <w:r>
              <w:rPr>
                <w:rFonts w:hint="eastAsia" w:ascii="宋体" w:hAnsi="宋体" w:eastAsia="宋体" w:cs="宋体"/>
                <w:b/>
                <w:bCs/>
                <w:color w:val="auto"/>
                <w:sz w:val="24"/>
                <w:szCs w:val="24"/>
                <w:highlight w:val="none"/>
                <w:vertAlign w:val="baseline"/>
                <w:lang w:eastAsia="zh-CN"/>
              </w:rPr>
              <w:t>报价</w:t>
            </w:r>
          </w:p>
          <w:p w14:paraId="6EE3E7D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eastAsia="宋体" w:cs="宋体"/>
                <w:b/>
                <w:bCs/>
                <w:color w:val="auto"/>
                <w:sz w:val="24"/>
                <w:szCs w:val="24"/>
                <w:highlight w:val="none"/>
                <w:vertAlign w:val="baseline"/>
                <w:lang w:eastAsia="zh-CN"/>
              </w:rPr>
              <w:t>（在</w:t>
            </w:r>
            <w:r>
              <w:rPr>
                <w:rFonts w:hint="eastAsia" w:ascii="宋体" w:hAnsi="宋体" w:eastAsia="宋体" w:cs="宋体"/>
                <w:b/>
                <w:bCs/>
                <w:color w:val="auto"/>
                <w:sz w:val="24"/>
                <w:szCs w:val="24"/>
                <w:highlight w:val="none"/>
                <w:vertAlign w:val="baseline"/>
                <w:lang w:val="en-US" w:eastAsia="zh-CN"/>
              </w:rPr>
              <w:t>服务收费标准的基础上，报出综合折扣率</w:t>
            </w:r>
            <w:r>
              <w:rPr>
                <w:rFonts w:hint="eastAsia" w:ascii="宋体" w:hAnsi="宋体" w:eastAsia="宋体" w:cs="宋体"/>
                <w:b/>
                <w:bCs/>
                <w:color w:val="auto"/>
                <w:sz w:val="24"/>
                <w:szCs w:val="24"/>
                <w:highlight w:val="none"/>
                <w:vertAlign w:val="baseline"/>
                <w:lang w:eastAsia="zh-CN"/>
              </w:rPr>
              <w:t>）</w:t>
            </w:r>
          </w:p>
        </w:tc>
        <w:tc>
          <w:tcPr>
            <w:tcW w:w="2248" w:type="dxa"/>
            <w:tcBorders>
              <w:top w:val="single" w:color="auto" w:sz="4" w:space="0"/>
              <w:left w:val="single" w:color="auto" w:sz="4" w:space="0"/>
              <w:bottom w:val="nil"/>
              <w:right w:val="single" w:color="auto" w:sz="4" w:space="0"/>
            </w:tcBorders>
            <w:vAlign w:val="center"/>
          </w:tcPr>
          <w:p w14:paraId="552E2418">
            <w:pPr>
              <w:jc w:val="center"/>
              <w:rPr>
                <w:rFonts w:hint="eastAsia" w:ascii="宋体" w:hAnsi="宋体" w:cs="宋体"/>
                <w:b/>
                <w:bCs/>
                <w:color w:val="000000" w:themeColor="text1"/>
                <w:spacing w:val="20"/>
                <w:kern w:val="0"/>
                <w:sz w:val="24"/>
                <w:szCs w:val="24"/>
                <w:highlight w:val="none"/>
                <w:lang w:val="en-US" w:eastAsia="zh-CN"/>
                <w14:textFill>
                  <w14:solidFill>
                    <w14:schemeClr w14:val="tx1"/>
                  </w14:solidFill>
                </w14:textFill>
              </w:rPr>
            </w:pPr>
            <w:r>
              <w:rPr>
                <w:rFonts w:hint="eastAsia" w:ascii="宋体" w:hAnsi="宋体" w:cs="宋体"/>
                <w:b/>
                <w:bCs/>
                <w:color w:val="000000" w:themeColor="text1"/>
                <w:spacing w:val="20"/>
                <w:kern w:val="0"/>
                <w:sz w:val="24"/>
                <w:szCs w:val="24"/>
                <w:highlight w:val="none"/>
                <w:lang w:val="en-US" w:eastAsia="zh-CN"/>
                <w14:textFill>
                  <w14:solidFill>
                    <w14:schemeClr w14:val="tx1"/>
                  </w14:solidFill>
                </w14:textFill>
              </w:rPr>
              <w:t>一对一陪护</w:t>
            </w:r>
          </w:p>
          <w:p w14:paraId="30E238D3">
            <w:pPr>
              <w:jc w:val="center"/>
              <w:rPr>
                <w:rFonts w:hint="default" w:ascii="宋体" w:hAnsi="宋体" w:eastAsia="宋体" w:cs="宋体"/>
                <w:b/>
                <w:bCs/>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b/>
                <w:bCs/>
                <w:color w:val="000000" w:themeColor="text1"/>
                <w:spacing w:val="20"/>
                <w:kern w:val="0"/>
                <w:sz w:val="24"/>
                <w:szCs w:val="24"/>
                <w:highlight w:val="none"/>
                <w:lang w:val="en-US" w:eastAsia="zh-CN"/>
                <w14:textFill>
                  <w14:solidFill>
                    <w14:schemeClr w14:val="tx1"/>
                  </w14:solidFill>
                </w14:textFill>
              </w:rPr>
              <w:t>（综合折扣率）</w:t>
            </w:r>
          </w:p>
        </w:tc>
        <w:tc>
          <w:tcPr>
            <w:tcW w:w="2799" w:type="dxa"/>
            <w:tcBorders>
              <w:top w:val="single" w:color="auto" w:sz="4" w:space="0"/>
              <w:left w:val="single" w:color="auto" w:sz="4" w:space="0"/>
              <w:bottom w:val="nil"/>
              <w:right w:val="single" w:color="auto" w:sz="4" w:space="0"/>
            </w:tcBorders>
            <w:vAlign w:val="center"/>
          </w:tcPr>
          <w:p w14:paraId="5662BD3D">
            <w:pPr>
              <w:pageBreakBefore w:val="0"/>
              <w:widowControl/>
              <w:wordWrap/>
              <w:overflowPunct/>
              <w:topLinePunct w:val="0"/>
              <w:bidi w:val="0"/>
              <w:spacing w:line="360" w:lineRule="auto"/>
              <w:jc w:val="both"/>
              <w:textAlignment w:val="baseline"/>
              <w:rPr>
                <w:rFonts w:hint="default" w:ascii="宋体" w:hAnsi="宋体" w:eastAsia="宋体" w:cs="宋体"/>
                <w:b/>
                <w:bCs/>
                <w:color w:val="auto"/>
                <w:sz w:val="24"/>
                <w:szCs w:val="24"/>
                <w:highlight w:val="none"/>
                <w:u w:val="single"/>
                <w:vertAlign w:val="baseline"/>
                <w:lang w:val="en-US" w:eastAsia="zh-CN"/>
              </w:rPr>
            </w:pPr>
            <w:r>
              <w:rPr>
                <w:rFonts w:hint="eastAsia" w:ascii="宋体" w:hAnsi="宋体" w:eastAsia="宋体" w:cs="宋体"/>
                <w:b/>
                <w:bCs/>
                <w:color w:val="auto"/>
                <w:sz w:val="24"/>
                <w:szCs w:val="24"/>
                <w:highlight w:val="none"/>
                <w:vertAlign w:val="baseline"/>
                <w:lang w:eastAsia="zh-CN"/>
              </w:rPr>
              <w:t>大写：百分之</w:t>
            </w:r>
            <w:r>
              <w:rPr>
                <w:rFonts w:hint="eastAsia" w:ascii="宋体" w:hAnsi="宋体" w:eastAsia="宋体" w:cs="宋体"/>
                <w:b/>
                <w:bCs/>
                <w:color w:val="auto"/>
                <w:sz w:val="24"/>
                <w:szCs w:val="24"/>
                <w:highlight w:val="none"/>
                <w:u w:val="single"/>
                <w:vertAlign w:val="baseline"/>
                <w:lang w:val="en-US" w:eastAsia="zh-CN"/>
              </w:rPr>
              <w:t xml:space="preserve">      </w:t>
            </w:r>
          </w:p>
          <w:p w14:paraId="4C4209C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both"/>
              <w:textAlignment w:val="auto"/>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eastAsia="zh-CN"/>
              </w:rPr>
              <w:t>小写：</w:t>
            </w:r>
            <w:r>
              <w:rPr>
                <w:rFonts w:hint="eastAsia" w:ascii="宋体" w:hAnsi="宋体" w:eastAsia="宋体" w:cs="宋体"/>
                <w:b/>
                <w:bCs/>
                <w:color w:val="auto"/>
                <w:sz w:val="24"/>
                <w:szCs w:val="24"/>
                <w:highlight w:val="none"/>
                <w:u w:val="single"/>
                <w:vertAlign w:val="baseline"/>
                <w:lang w:val="en-US" w:eastAsia="zh-CN"/>
              </w:rPr>
              <w:t xml:space="preserve">      </w:t>
            </w:r>
            <w:r>
              <w:rPr>
                <w:rFonts w:hint="eastAsia" w:ascii="宋体" w:hAnsi="宋体" w:eastAsia="宋体" w:cs="宋体"/>
                <w:b/>
                <w:bCs/>
                <w:color w:val="auto"/>
                <w:sz w:val="24"/>
                <w:szCs w:val="24"/>
                <w:highlight w:val="none"/>
                <w:u w:val="none"/>
                <w:vertAlign w:val="baseline"/>
                <w:lang w:val="en-US" w:eastAsia="zh-CN"/>
              </w:rPr>
              <w:t>%</w:t>
            </w:r>
          </w:p>
        </w:tc>
      </w:tr>
      <w:tr w14:paraId="0058A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3529" w:type="dxa"/>
            <w:vMerge w:val="continue"/>
            <w:tcBorders>
              <w:left w:val="single" w:color="auto" w:sz="4" w:space="0"/>
              <w:bottom w:val="nil"/>
              <w:right w:val="single" w:color="auto" w:sz="4" w:space="0"/>
            </w:tcBorders>
            <w:vAlign w:val="top"/>
          </w:tcPr>
          <w:p w14:paraId="04CB23E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b/>
                <w:bCs/>
                <w:color w:val="auto"/>
                <w:sz w:val="24"/>
                <w:szCs w:val="24"/>
                <w:highlight w:val="none"/>
                <w:vertAlign w:val="baseline"/>
                <w:lang w:eastAsia="zh-CN"/>
              </w:rPr>
            </w:pPr>
          </w:p>
        </w:tc>
        <w:tc>
          <w:tcPr>
            <w:tcW w:w="2248" w:type="dxa"/>
            <w:tcBorders>
              <w:top w:val="single" w:color="auto" w:sz="4" w:space="0"/>
              <w:left w:val="single" w:color="auto" w:sz="4" w:space="0"/>
              <w:bottom w:val="nil"/>
              <w:right w:val="single" w:color="auto" w:sz="4" w:space="0"/>
            </w:tcBorders>
            <w:vAlign w:val="center"/>
          </w:tcPr>
          <w:p w14:paraId="36D5A8E2">
            <w:pPr>
              <w:jc w:val="center"/>
              <w:rPr>
                <w:rFonts w:hint="eastAsia" w:ascii="宋体" w:hAnsi="宋体" w:cs="宋体"/>
                <w:b/>
                <w:bCs/>
                <w:color w:val="000000" w:themeColor="text1"/>
                <w:spacing w:val="20"/>
                <w:kern w:val="0"/>
                <w:sz w:val="24"/>
                <w:szCs w:val="24"/>
                <w:highlight w:val="none"/>
                <w:lang w:val="en-US" w:eastAsia="zh-CN"/>
                <w14:textFill>
                  <w14:solidFill>
                    <w14:schemeClr w14:val="tx1"/>
                  </w14:solidFill>
                </w14:textFill>
              </w:rPr>
            </w:pPr>
            <w:r>
              <w:rPr>
                <w:rFonts w:hint="eastAsia" w:ascii="宋体" w:hAnsi="宋体" w:cs="宋体"/>
                <w:b/>
                <w:bCs/>
                <w:color w:val="000000" w:themeColor="text1"/>
                <w:spacing w:val="20"/>
                <w:kern w:val="0"/>
                <w:sz w:val="24"/>
                <w:szCs w:val="24"/>
                <w:highlight w:val="none"/>
                <w:lang w:val="en-US" w:eastAsia="zh-CN"/>
                <w14:textFill>
                  <w14:solidFill>
                    <w14:schemeClr w14:val="tx1"/>
                  </w14:solidFill>
                </w14:textFill>
              </w:rPr>
              <w:t>一对多陪护</w:t>
            </w:r>
          </w:p>
          <w:p w14:paraId="2FFD1405">
            <w:pPr>
              <w:jc w:val="center"/>
              <w:rPr>
                <w:rFonts w:hint="eastAsia" w:ascii="宋体" w:hAnsi="宋体" w:eastAsia="宋体" w:cs="宋体"/>
                <w:b/>
                <w:bCs/>
                <w:color w:val="auto"/>
                <w:sz w:val="24"/>
                <w:szCs w:val="24"/>
                <w:highlight w:val="none"/>
                <w:vertAlign w:val="baseline"/>
                <w:lang w:eastAsia="zh-CN"/>
              </w:rPr>
            </w:pPr>
            <w:r>
              <w:rPr>
                <w:rFonts w:hint="eastAsia" w:ascii="宋体" w:hAnsi="宋体" w:cs="宋体"/>
                <w:b/>
                <w:bCs/>
                <w:color w:val="000000" w:themeColor="text1"/>
                <w:spacing w:val="20"/>
                <w:kern w:val="0"/>
                <w:sz w:val="24"/>
                <w:szCs w:val="24"/>
                <w:highlight w:val="none"/>
                <w:lang w:val="en-US" w:eastAsia="zh-CN"/>
                <w14:textFill>
                  <w14:solidFill>
                    <w14:schemeClr w14:val="tx1"/>
                  </w14:solidFill>
                </w14:textFill>
              </w:rPr>
              <w:t>（综合折扣率）</w:t>
            </w:r>
          </w:p>
        </w:tc>
        <w:tc>
          <w:tcPr>
            <w:tcW w:w="2799" w:type="dxa"/>
            <w:tcBorders>
              <w:top w:val="single" w:color="auto" w:sz="4" w:space="0"/>
              <w:left w:val="single" w:color="auto" w:sz="4" w:space="0"/>
              <w:bottom w:val="nil"/>
              <w:right w:val="single" w:color="auto" w:sz="4" w:space="0"/>
            </w:tcBorders>
            <w:vAlign w:val="center"/>
          </w:tcPr>
          <w:p w14:paraId="61261303">
            <w:pPr>
              <w:pageBreakBefore w:val="0"/>
              <w:widowControl/>
              <w:wordWrap/>
              <w:overflowPunct/>
              <w:topLinePunct w:val="0"/>
              <w:bidi w:val="0"/>
              <w:spacing w:line="360" w:lineRule="auto"/>
              <w:jc w:val="both"/>
              <w:textAlignment w:val="baseline"/>
              <w:rPr>
                <w:rFonts w:hint="default" w:ascii="宋体" w:hAnsi="宋体" w:eastAsia="宋体" w:cs="宋体"/>
                <w:b/>
                <w:bCs/>
                <w:color w:val="auto"/>
                <w:sz w:val="24"/>
                <w:szCs w:val="24"/>
                <w:highlight w:val="none"/>
                <w:u w:val="single"/>
                <w:vertAlign w:val="baseline"/>
                <w:lang w:val="en-US" w:eastAsia="zh-CN"/>
              </w:rPr>
            </w:pPr>
            <w:r>
              <w:rPr>
                <w:rFonts w:hint="eastAsia" w:ascii="宋体" w:hAnsi="宋体" w:eastAsia="宋体" w:cs="宋体"/>
                <w:b/>
                <w:bCs/>
                <w:color w:val="auto"/>
                <w:sz w:val="24"/>
                <w:szCs w:val="24"/>
                <w:highlight w:val="none"/>
                <w:vertAlign w:val="baseline"/>
                <w:lang w:eastAsia="zh-CN"/>
              </w:rPr>
              <w:t>大写：百分之</w:t>
            </w:r>
            <w:r>
              <w:rPr>
                <w:rFonts w:hint="eastAsia" w:ascii="宋体" w:hAnsi="宋体" w:eastAsia="宋体" w:cs="宋体"/>
                <w:b/>
                <w:bCs/>
                <w:color w:val="auto"/>
                <w:sz w:val="24"/>
                <w:szCs w:val="24"/>
                <w:highlight w:val="none"/>
                <w:u w:val="single"/>
                <w:vertAlign w:val="baseline"/>
                <w:lang w:val="en-US" w:eastAsia="zh-CN"/>
              </w:rPr>
              <w:t xml:space="preserve">      </w:t>
            </w:r>
          </w:p>
          <w:p w14:paraId="11AC4B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both"/>
              <w:textAlignment w:val="auto"/>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eastAsia="zh-CN"/>
              </w:rPr>
              <w:t>小写：</w:t>
            </w:r>
            <w:r>
              <w:rPr>
                <w:rFonts w:hint="eastAsia" w:ascii="宋体" w:hAnsi="宋体" w:eastAsia="宋体" w:cs="宋体"/>
                <w:b/>
                <w:bCs/>
                <w:color w:val="auto"/>
                <w:sz w:val="24"/>
                <w:szCs w:val="24"/>
                <w:highlight w:val="none"/>
                <w:u w:val="single"/>
                <w:vertAlign w:val="baseline"/>
                <w:lang w:val="en-US" w:eastAsia="zh-CN"/>
              </w:rPr>
              <w:t xml:space="preserve">      </w:t>
            </w:r>
            <w:r>
              <w:rPr>
                <w:rFonts w:hint="eastAsia" w:ascii="宋体" w:hAnsi="宋体" w:eastAsia="宋体" w:cs="宋体"/>
                <w:b/>
                <w:bCs/>
                <w:color w:val="auto"/>
                <w:sz w:val="24"/>
                <w:szCs w:val="24"/>
                <w:highlight w:val="none"/>
                <w:u w:val="none"/>
                <w:vertAlign w:val="baseline"/>
                <w:lang w:val="en-US" w:eastAsia="zh-CN"/>
              </w:rPr>
              <w:t>%</w:t>
            </w:r>
          </w:p>
        </w:tc>
      </w:tr>
      <w:tr w14:paraId="20BBB4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8576" w:type="dxa"/>
            <w:gridSpan w:val="3"/>
            <w:tcBorders>
              <w:top w:val="single" w:color="auto" w:sz="4" w:space="0"/>
              <w:left w:val="single" w:color="auto" w:sz="4" w:space="0"/>
              <w:bottom w:val="single" w:color="auto" w:sz="4" w:space="0"/>
              <w:right w:val="single" w:color="auto" w:sz="4" w:space="0"/>
            </w:tcBorders>
          </w:tcPr>
          <w:p w14:paraId="5DE211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eastAsia="宋体" w:cs="宋体"/>
                <w:b/>
                <w:bCs/>
                <w:color w:val="auto"/>
                <w:sz w:val="24"/>
                <w:szCs w:val="24"/>
                <w:highlight w:val="none"/>
                <w:vertAlign w:val="baseline"/>
                <w:lang w:val="en-US" w:eastAsia="zh-CN"/>
              </w:rPr>
              <w:t>服务收费标准</w:t>
            </w:r>
          </w:p>
        </w:tc>
      </w:tr>
      <w:tr w14:paraId="3B1BE9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1" w:hRule="atLeast"/>
          <w:jc w:val="center"/>
        </w:trPr>
        <w:tc>
          <w:tcPr>
            <w:tcW w:w="8576" w:type="dxa"/>
            <w:gridSpan w:val="3"/>
            <w:tcBorders>
              <w:top w:val="single" w:color="auto" w:sz="4" w:space="0"/>
              <w:left w:val="single" w:color="auto" w:sz="4" w:space="0"/>
              <w:bottom w:val="single" w:color="auto" w:sz="4" w:space="0"/>
              <w:right w:val="single" w:color="auto" w:sz="4" w:space="0"/>
            </w:tcBorders>
          </w:tcPr>
          <w:p w14:paraId="39A61460">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“免陪照护”服务收费方式及标准：</w:t>
            </w:r>
          </w:p>
          <w:p w14:paraId="7FD079C1">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本项目允许磨合期三个月。每月费用据实结算。以《驻马店市医疗保障局驻马店市人力资源和社会保障局关于规范护理等3类医疗服务价格项目的通知》（驻医保办〔2025〕7号）免陪照护服务价格为基准，</w:t>
            </w:r>
          </w:p>
          <w:p w14:paraId="75A54201">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“一对一”提供服务：免陪照护服务价格×95%</w:t>
            </w:r>
          </w:p>
          <w:p w14:paraId="46B61B7C">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“一对二”提供服务：免陪照护服务价格×90%</w:t>
            </w:r>
          </w:p>
          <w:p w14:paraId="70EBE83D">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“一对三”提供服务：免陪照护服务价格×80%</w:t>
            </w:r>
          </w:p>
          <w:p w14:paraId="7F544FB6">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“一对四”提供服务：免陪照护服务价格×70%</w:t>
            </w:r>
          </w:p>
          <w:p w14:paraId="1A106A9F">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计算公式：</w:t>
            </w:r>
          </w:p>
          <w:p w14:paraId="0E6B6468">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如：目前免陪照护服务价格为135元/床/日</w:t>
            </w:r>
          </w:p>
          <w:p w14:paraId="7FDF0DB0">
            <w:pPr>
              <w:widowControl/>
              <w:tabs>
                <w:tab w:val="left" w:pos="1418"/>
              </w:tabs>
              <w:snapToGrid w:val="0"/>
              <w:spacing w:before="50" w:after="50" w:line="360" w:lineRule="exact"/>
              <w:jc w:val="left"/>
              <w:rPr>
                <w:rFonts w:hint="default"/>
                <w:highlight w:val="none"/>
                <w:lang w:val="en-US" w:eastAsia="zh-CN"/>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则服务收费计算价格如下：</w:t>
            </w:r>
          </w:p>
          <w:tbl>
            <w:tblPr>
              <w:tblStyle w:val="34"/>
              <w:tblW w:w="82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471"/>
              <w:gridCol w:w="4594"/>
            </w:tblGrid>
            <w:tr w14:paraId="47E5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8" w:type="dxa"/>
                  <w:gridSpan w:val="2"/>
                  <w:vAlign w:val="top"/>
                </w:tcPr>
                <w:p w14:paraId="18C30A7E">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服务类型</w:t>
                  </w:r>
                </w:p>
              </w:tc>
              <w:tc>
                <w:tcPr>
                  <w:tcW w:w="4594" w:type="dxa"/>
                  <w:vAlign w:val="top"/>
                </w:tcPr>
                <w:p w14:paraId="6D4251CC">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免陪照护服务价格</w:t>
                  </w:r>
                </w:p>
              </w:tc>
            </w:tr>
            <w:tr w14:paraId="5683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14:paraId="5FDFFF48">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一对一陪护</w:t>
                  </w:r>
                </w:p>
              </w:tc>
              <w:tc>
                <w:tcPr>
                  <w:tcW w:w="2471" w:type="dxa"/>
                  <w:vAlign w:val="center"/>
                </w:tcPr>
                <w:p w14:paraId="45944950">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“一对一”提供服务</w:t>
                  </w:r>
                </w:p>
              </w:tc>
              <w:tc>
                <w:tcPr>
                  <w:tcW w:w="4594" w:type="dxa"/>
                  <w:vAlign w:val="center"/>
                </w:tcPr>
                <w:p w14:paraId="1544206E">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135×（1+60%）×95%=205.2元/日</w:t>
                  </w:r>
                </w:p>
              </w:tc>
            </w:tr>
            <w:tr w14:paraId="5DAD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Merge w:val="restart"/>
                  <w:vAlign w:val="center"/>
                </w:tcPr>
                <w:p w14:paraId="7D87D13E">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一对多陪护</w:t>
                  </w:r>
                </w:p>
              </w:tc>
              <w:tc>
                <w:tcPr>
                  <w:tcW w:w="2471" w:type="dxa"/>
                  <w:vAlign w:val="center"/>
                </w:tcPr>
                <w:p w14:paraId="4D01F745">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“一对二”提供服务</w:t>
                  </w:r>
                </w:p>
              </w:tc>
              <w:tc>
                <w:tcPr>
                  <w:tcW w:w="4594" w:type="dxa"/>
                  <w:vAlign w:val="center"/>
                </w:tcPr>
                <w:p w14:paraId="354B4932">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135×90%×2=243元/日</w:t>
                  </w:r>
                </w:p>
              </w:tc>
            </w:tr>
            <w:tr w14:paraId="0679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Merge w:val="continue"/>
                  <w:vAlign w:val="top"/>
                </w:tcPr>
                <w:p w14:paraId="174BFEFF">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pPr>
                </w:p>
              </w:tc>
              <w:tc>
                <w:tcPr>
                  <w:tcW w:w="2471" w:type="dxa"/>
                  <w:vAlign w:val="center"/>
                </w:tcPr>
                <w:p w14:paraId="4BB69FE1">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“一对三”提供服务</w:t>
                  </w:r>
                </w:p>
              </w:tc>
              <w:tc>
                <w:tcPr>
                  <w:tcW w:w="4594" w:type="dxa"/>
                  <w:vAlign w:val="center"/>
                </w:tcPr>
                <w:p w14:paraId="0EE90F2C">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14:textFill>
                        <w14:solidFill>
                          <w14:schemeClr w14:val="tx1"/>
                        </w14:solidFill>
                      </w14:textFill>
                    </w:rPr>
                    <w:t>135×80%×3=324元/日</w:t>
                  </w:r>
                </w:p>
              </w:tc>
            </w:tr>
            <w:tr w14:paraId="1156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Merge w:val="continue"/>
                  <w:vAlign w:val="top"/>
                </w:tcPr>
                <w:p w14:paraId="771FC92D">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pPr>
                </w:p>
              </w:tc>
              <w:tc>
                <w:tcPr>
                  <w:tcW w:w="2471" w:type="dxa"/>
                  <w:vAlign w:val="center"/>
                </w:tcPr>
                <w:p w14:paraId="7C126AD4">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“一对四”提供服务</w:t>
                  </w:r>
                </w:p>
              </w:tc>
              <w:tc>
                <w:tcPr>
                  <w:tcW w:w="4594" w:type="dxa"/>
                  <w:vAlign w:val="center"/>
                </w:tcPr>
                <w:p w14:paraId="4CF7CEBC">
                  <w:pPr>
                    <w:widowControl/>
                    <w:tabs>
                      <w:tab w:val="left" w:pos="1418"/>
                    </w:tabs>
                    <w:snapToGrid w:val="0"/>
                    <w:spacing w:before="50" w:after="50" w:line="360" w:lineRule="exact"/>
                    <w:jc w:val="center"/>
                    <w:rPr>
                      <w:rFonts w:hint="eastAsia" w:ascii="宋体" w:hAnsi="宋体" w:cs="宋体"/>
                      <w:color w:val="000000" w:themeColor="text1"/>
                      <w:spacing w:val="20"/>
                      <w:kern w:val="0"/>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135×70%×4=378元/日</w:t>
                  </w:r>
                </w:p>
              </w:tc>
            </w:tr>
          </w:tbl>
          <w:p w14:paraId="4518B08F">
            <w:pPr>
              <w:rPr>
                <w:rFonts w:hint="eastAsia"/>
                <w:highlight w:val="none"/>
                <w:lang w:val="en-US" w:eastAsia="zh-CN"/>
              </w:rPr>
            </w:pPr>
          </w:p>
        </w:tc>
      </w:tr>
    </w:tbl>
    <w:p w14:paraId="21ED29C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注：1、供应商根据以上服务收费标准报出综合折扣率，综合折扣率不能大于100%，否则做废标处理。</w:t>
      </w:r>
    </w:p>
    <w:p w14:paraId="2C6D8D5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本项目报价包括但不限于工资、加班、福利、保险、工作服装费、装备费、材料、税费、专用工具费、培训费用、办公用品及办公相关支出的费用及利润等费用，供应商还应考虑可能出现的索赔、变更等情况，若出现劳动纠纷、劳动违法现象，由供应商全部负责，医院不再承担任何费用。在服务期内，若遇政策性调整（如最低工资标准调整、“免陪照护”服务收费价格调整等），由供应商自行承担。</w:t>
      </w:r>
    </w:p>
    <w:p w14:paraId="07A75A6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3、综合折扣率说明，</w:t>
      </w:r>
      <w:r>
        <w:rPr>
          <w:rFonts w:hint="default" w:ascii="宋体" w:hAnsi="宋体" w:eastAsia="宋体" w:cs="宋体"/>
          <w:color w:val="auto"/>
          <w:highlight w:val="none"/>
          <w:lang w:val="en-US" w:eastAsia="zh-CN"/>
        </w:rPr>
        <w:t>如：</w:t>
      </w: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一对一陪护</w:t>
      </w:r>
      <w:r>
        <w:rPr>
          <w:rFonts w:hint="default" w:ascii="宋体" w:hAnsi="宋体" w:eastAsia="宋体" w:cs="宋体"/>
          <w:color w:val="auto"/>
          <w:highlight w:val="none"/>
          <w:lang w:val="en-US" w:eastAsia="zh-CN"/>
        </w:rPr>
        <w:t>综合折扣率为80％，则目前“一对一”提供服务实收205.2元/日*80％=164.16元/日</w:t>
      </w:r>
      <w:r>
        <w:rPr>
          <w:rFonts w:hint="eastAsia" w:ascii="宋体" w:hAnsi="宋体" w:cs="宋体"/>
          <w:color w:val="auto"/>
          <w:highlight w:val="none"/>
          <w:lang w:val="en-US" w:eastAsia="zh-CN"/>
        </w:rPr>
        <w:t>；</w:t>
      </w: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一对多陪护</w:t>
      </w:r>
      <w:r>
        <w:rPr>
          <w:rFonts w:hint="default" w:ascii="宋体" w:hAnsi="宋体" w:eastAsia="宋体" w:cs="宋体"/>
          <w:color w:val="auto"/>
          <w:highlight w:val="none"/>
          <w:lang w:val="en-US" w:eastAsia="zh-CN"/>
        </w:rPr>
        <w:t>综合折扣率为80％，则目前“一对二”提供服务实收243元/日*80％=194.40元/日，“一对三”提供服务实收324元/日*80％=259.2元/日，“一对四”提供服务实收378元/日*80％=302.40元/日</w:t>
      </w:r>
      <w:r>
        <w:rPr>
          <w:rFonts w:hint="eastAsia" w:ascii="宋体" w:hAnsi="宋体" w:cs="宋体"/>
          <w:color w:val="auto"/>
          <w:highlight w:val="none"/>
          <w:lang w:val="en-US" w:eastAsia="zh-CN"/>
        </w:rPr>
        <w:t>；</w:t>
      </w:r>
      <w:r>
        <w:rPr>
          <w:rFonts w:hint="default" w:ascii="宋体" w:hAnsi="宋体" w:eastAsia="宋体" w:cs="宋体"/>
          <w:color w:val="auto"/>
          <w:highlight w:val="none"/>
          <w:lang w:val="en-US" w:eastAsia="zh-CN"/>
        </w:rPr>
        <w:t>四舍五入保留2位小数，以此类推。</w:t>
      </w:r>
    </w:p>
    <w:p w14:paraId="4D1DD08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cs="宋体"/>
          <w:color w:val="auto"/>
          <w:sz w:val="21"/>
          <w:szCs w:val="21"/>
          <w:highlight w:val="none"/>
          <w:lang w:val="en-US" w:eastAsia="zh-CN"/>
        </w:rPr>
      </w:pPr>
    </w:p>
    <w:p w14:paraId="48F290DC">
      <w:pPr>
        <w:pStyle w:val="32"/>
        <w:ind w:firstLine="3990" w:firstLineChars="1900"/>
        <w:rPr>
          <w:rFonts w:hint="eastAsia" w:ascii="宋体" w:hAnsi="宋体" w:eastAsia="宋体" w:cs="宋体"/>
          <w:color w:val="auto"/>
          <w:sz w:val="21"/>
          <w:szCs w:val="21"/>
          <w:highlight w:val="none"/>
          <w:lang w:eastAsia="zh-CN"/>
        </w:rPr>
      </w:pPr>
    </w:p>
    <w:p w14:paraId="196D2C38">
      <w:pPr>
        <w:keepNext w:val="0"/>
        <w:pageBreakBefore w:val="0"/>
        <w:widowControl w:val="0"/>
        <w:wordWrap w:val="0"/>
        <w:overflowPunct/>
        <w:topLinePunct w:val="0"/>
        <w:bidi w:val="0"/>
        <w:spacing w:line="460" w:lineRule="exact"/>
        <w:ind w:firstLine="3150" w:firstLineChars="15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7F6A148">
      <w:pPr>
        <w:widowControl/>
        <w:wordWrap w:val="0"/>
        <w:spacing w:line="460" w:lineRule="exact"/>
        <w:ind w:firstLine="4410" w:firstLineChars="2100"/>
        <w:jc w:val="left"/>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 w:val="21"/>
          <w:szCs w:val="21"/>
          <w:highlight w:val="none"/>
        </w:rPr>
        <w:t>年    月    日</w:t>
      </w:r>
    </w:p>
    <w:p w14:paraId="3603295E">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p>
    <w:p w14:paraId="7DCBE5B5">
      <w:pPr>
        <w:pStyle w:val="4"/>
        <w:rPr>
          <w:rFonts w:hint="eastAsia"/>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68848E2">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26"/>
      <w:bookmarkStart w:id="81" w:name="_Toc15804"/>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3"/>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4DAF514B">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bookmarkStart w:id="82" w:name="_Toc29960"/>
      <w:bookmarkStart w:id="83" w:name="_Toc24168"/>
      <w:bookmarkStart w:id="84" w:name="_Toc20420"/>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highlight w:val="none"/>
          <w:lang w:val="en-US" w:eastAsia="zh-CN"/>
        </w:rPr>
      </w:pPr>
    </w:p>
    <w:p w14:paraId="47176292">
      <w:pPr>
        <w:bidi w:val="0"/>
        <w:rPr>
          <w:rFonts w:hint="eastAsia"/>
          <w:color w:val="auto"/>
          <w:highlight w:val="none"/>
          <w:lang w:val="en-US" w:eastAsia="zh-CN"/>
        </w:rPr>
      </w:pPr>
    </w:p>
    <w:p w14:paraId="04543762">
      <w:pPr>
        <w:bidi w:val="0"/>
        <w:rPr>
          <w:rFonts w:hint="default"/>
          <w:color w:val="auto"/>
          <w:highlight w:val="none"/>
          <w:lang w:val="en-US" w:eastAsia="zh-CN"/>
        </w:rPr>
      </w:pPr>
      <w:r>
        <w:rPr>
          <w:rFonts w:hint="eastAsia"/>
          <w:color w:val="auto"/>
          <w:highlight w:val="none"/>
          <w:lang w:val="en-US" w:eastAsia="zh-CN"/>
        </w:rPr>
        <w:t>按照磋商文件“第二章 采购需求 三、技术要求”提供证明文件</w:t>
      </w:r>
    </w:p>
    <w:p w14:paraId="2BCA5DC8">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1ECA96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89D534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E34F7B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7181370">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3"/>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34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34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73DDB08">
            <w:pPr>
              <w:widowControl/>
              <w:spacing w:line="360" w:lineRule="auto"/>
              <w:jc w:val="center"/>
              <w:textAlignment w:val="baseline"/>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w:t>
            </w:r>
          </w:p>
        </w:tc>
        <w:tc>
          <w:tcPr>
            <w:tcW w:w="2301" w:type="dxa"/>
            <w:shd w:val="clear" w:color="auto" w:fill="auto"/>
            <w:noWrap w:val="0"/>
            <w:vAlign w:val="center"/>
          </w:tcPr>
          <w:p w14:paraId="6DC2849E">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合同签订时间</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40B5BCD3">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2</w:t>
            </w:r>
          </w:p>
        </w:tc>
        <w:tc>
          <w:tcPr>
            <w:tcW w:w="2301" w:type="dxa"/>
            <w:shd w:val="clear" w:color="auto" w:fill="auto"/>
            <w:noWrap w:val="0"/>
            <w:vAlign w:val="center"/>
          </w:tcPr>
          <w:p w14:paraId="0472149B">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0"/>
                <w:sz w:val="21"/>
                <w:szCs w:val="21"/>
                <w:highlight w:val="none"/>
                <w:lang w:val="en-US" w:eastAsia="zh-CN" w:bidi="ar-SA"/>
              </w:rPr>
            </w:pPr>
            <w:r>
              <w:rPr>
                <w:rFonts w:hint="eastAsia" w:cs="宋体"/>
                <w:color w:val="auto"/>
                <w:sz w:val="21"/>
                <w:szCs w:val="21"/>
                <w:highlight w:val="none"/>
                <w:lang w:val="en-US" w:eastAsia="zh-CN"/>
              </w:rPr>
              <w:t>服务地点</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31D51C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3</w:t>
            </w:r>
          </w:p>
        </w:tc>
        <w:tc>
          <w:tcPr>
            <w:tcW w:w="2301" w:type="dxa"/>
            <w:shd w:val="clear" w:color="auto" w:fill="auto"/>
            <w:noWrap w:val="0"/>
            <w:vAlign w:val="center"/>
          </w:tcPr>
          <w:p w14:paraId="6182A3E4">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服务期限</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15D97B2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4</w:t>
            </w:r>
          </w:p>
        </w:tc>
        <w:tc>
          <w:tcPr>
            <w:tcW w:w="2301" w:type="dxa"/>
            <w:shd w:val="clear" w:color="auto" w:fill="auto"/>
            <w:noWrap w:val="0"/>
            <w:vAlign w:val="center"/>
          </w:tcPr>
          <w:p w14:paraId="5C43BD33">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质量要求</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shd w:val="clear" w:color="auto" w:fill="auto"/>
            <w:noWrap w:val="0"/>
            <w:vAlign w:val="center"/>
          </w:tcPr>
          <w:p w14:paraId="348FA7D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5</w:t>
            </w:r>
          </w:p>
        </w:tc>
        <w:tc>
          <w:tcPr>
            <w:tcW w:w="2301" w:type="dxa"/>
            <w:shd w:val="clear" w:color="auto" w:fill="auto"/>
            <w:noWrap w:val="0"/>
            <w:vAlign w:val="center"/>
          </w:tcPr>
          <w:p w14:paraId="56FFBDC6">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付款方式</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CF68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5A7AF8F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0" w:type="auto"/>
            <w:shd w:val="clear" w:color="auto" w:fill="auto"/>
            <w:vAlign w:val="center"/>
          </w:tcPr>
          <w:p w14:paraId="55C91CE4">
            <w:pPr>
              <w:pStyle w:val="14"/>
              <w:ind w:left="0" w:leftChars="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w:t>
            </w:r>
          </w:p>
        </w:tc>
        <w:tc>
          <w:tcPr>
            <w:tcW w:w="0" w:type="auto"/>
          </w:tcPr>
          <w:p w14:paraId="40A4C3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73AF2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4F211F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07894F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AFECD96">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4"/>
          <w:szCs w:val="24"/>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40257B96">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firstLine="2880" w:firstLineChars="1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日期：</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2939"/>
      <w:bookmarkStart w:id="89" w:name="_Toc30519"/>
      <w:bookmarkStart w:id="90" w:name="_Toc13976"/>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2160" w:firstLineChars="9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lang w:eastAsia="zh-CN"/>
        </w:rPr>
        <w:t>日期：</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18105"/>
      <w:bookmarkStart w:id="92" w:name="_Toc24693"/>
      <w:bookmarkStart w:id="93" w:name="_Toc3342"/>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2CB25B4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C718807">
      <w:pPr>
        <w:pStyle w:val="9"/>
        <w:spacing w:beforeAutospacing="0" w:afterAutospacing="0" w:line="480" w:lineRule="auto"/>
        <w:jc w:val="both"/>
        <w:rPr>
          <w:rFonts w:hint="eastAsia" w:ascii="宋体" w:hAnsi="宋体" w:eastAsia="宋体" w:cs="宋体"/>
          <w:bCs/>
          <w:color w:val="auto"/>
          <w:sz w:val="21"/>
          <w:szCs w:val="21"/>
          <w:highlight w:val="none"/>
        </w:rPr>
      </w:pPr>
    </w:p>
    <w:p w14:paraId="00828F39">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17186213">
      <w:pPr>
        <w:rPr>
          <w:rFonts w:hint="eastAsia" w:ascii="宋体" w:hAnsi="宋体" w:eastAsia="宋体" w:cs="宋体"/>
          <w:color w:val="auto"/>
          <w:sz w:val="28"/>
          <w:szCs w:val="28"/>
          <w:highlight w:val="none"/>
          <w:lang w:val="en-US" w:eastAsia="zh-CN"/>
        </w:rPr>
      </w:pPr>
      <w:bookmarkStart w:id="95" w:name="_Toc12888"/>
      <w:bookmarkStart w:id="96" w:name="_Toc16083"/>
      <w:bookmarkStart w:id="97" w:name="_Toc13726"/>
      <w:r>
        <w:rPr>
          <w:rFonts w:hint="eastAsia" w:ascii="宋体" w:hAnsi="宋体" w:eastAsia="宋体" w:cs="宋体"/>
          <w:color w:val="auto"/>
          <w:sz w:val="28"/>
          <w:szCs w:val="28"/>
          <w:highlight w:val="none"/>
          <w:lang w:val="en-US" w:eastAsia="zh-CN"/>
        </w:rPr>
        <w:br w:type="page"/>
      </w:r>
    </w:p>
    <w:p w14:paraId="3BB81C1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6972BAA3">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27470865">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642E6553">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D3468EE">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29E18BE1">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36A4EC91">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6FA3854A">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3408D52B">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5793D31E">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7EEFB010">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lang w:eastAsia="zh-CN"/>
        </w:rPr>
        <w:t>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5"/>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0B9F216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（全称并加盖公章）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9"/>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5094"/>
      <w:bookmarkStart w:id="99" w:name="_Toc23394"/>
      <w:bookmarkStart w:id="100" w:name="_Toc31685"/>
    </w:p>
    <w:p w14:paraId="24DE6E54">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w:t>
      </w:r>
      <w:r>
        <w:rPr>
          <w:rFonts w:hint="eastAsia" w:ascii="宋体" w:hAnsi="宋体" w:cs="宋体"/>
          <w:color w:val="auto"/>
          <w:kern w:val="0"/>
          <w:szCs w:val="21"/>
          <w:highlight w:val="none"/>
          <w:lang w:eastAsia="zh-CN"/>
        </w:rPr>
        <w:t>评审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w:t>
      </w:r>
      <w:r>
        <w:rPr>
          <w:rFonts w:hint="eastAsia" w:ascii="宋体" w:hAnsi="宋体" w:cs="宋体"/>
          <w:color w:val="auto"/>
          <w:kern w:val="0"/>
          <w:szCs w:val="21"/>
          <w:highlight w:val="none"/>
          <w:lang w:eastAsia="zh-CN"/>
        </w:rPr>
        <w:t>评审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9F2AC46">
      <w:pPr>
        <w:pStyle w:val="9"/>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驻马店市中心医院免陪照护服务采购项目竞争性磋商文件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54F4"/>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47F"/>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479E5"/>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94FFB"/>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41FB"/>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4F54"/>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025F9"/>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4124E"/>
    <w:rsid w:val="02FA082F"/>
    <w:rsid w:val="031126C4"/>
    <w:rsid w:val="03463A74"/>
    <w:rsid w:val="034733B8"/>
    <w:rsid w:val="03475E56"/>
    <w:rsid w:val="034D70AF"/>
    <w:rsid w:val="0353518A"/>
    <w:rsid w:val="035E4919"/>
    <w:rsid w:val="03675F31"/>
    <w:rsid w:val="036A009A"/>
    <w:rsid w:val="036C1B50"/>
    <w:rsid w:val="037A734D"/>
    <w:rsid w:val="03844805"/>
    <w:rsid w:val="03845791"/>
    <w:rsid w:val="038D6174"/>
    <w:rsid w:val="03A011E9"/>
    <w:rsid w:val="03AE7F27"/>
    <w:rsid w:val="03BD2BCD"/>
    <w:rsid w:val="03CC058D"/>
    <w:rsid w:val="03DA63F1"/>
    <w:rsid w:val="03E017D2"/>
    <w:rsid w:val="03F447E2"/>
    <w:rsid w:val="03F77068"/>
    <w:rsid w:val="03FB660C"/>
    <w:rsid w:val="042E37DB"/>
    <w:rsid w:val="04416C20"/>
    <w:rsid w:val="04732647"/>
    <w:rsid w:val="047968B1"/>
    <w:rsid w:val="04870542"/>
    <w:rsid w:val="04B30F7A"/>
    <w:rsid w:val="04FC34D8"/>
    <w:rsid w:val="050E236F"/>
    <w:rsid w:val="05212F61"/>
    <w:rsid w:val="053C6EDC"/>
    <w:rsid w:val="05421D44"/>
    <w:rsid w:val="054C0111"/>
    <w:rsid w:val="05545DD3"/>
    <w:rsid w:val="056326BB"/>
    <w:rsid w:val="056565B3"/>
    <w:rsid w:val="056E2AD6"/>
    <w:rsid w:val="05720B50"/>
    <w:rsid w:val="05806815"/>
    <w:rsid w:val="058251D3"/>
    <w:rsid w:val="058C28F1"/>
    <w:rsid w:val="05945CCE"/>
    <w:rsid w:val="059D05A4"/>
    <w:rsid w:val="059D5E17"/>
    <w:rsid w:val="059E1E1A"/>
    <w:rsid w:val="05AB0A28"/>
    <w:rsid w:val="05AB0F81"/>
    <w:rsid w:val="05B80C59"/>
    <w:rsid w:val="05B93D6B"/>
    <w:rsid w:val="05C23EEE"/>
    <w:rsid w:val="05CA4074"/>
    <w:rsid w:val="05CF31A3"/>
    <w:rsid w:val="05D53002"/>
    <w:rsid w:val="05D75738"/>
    <w:rsid w:val="05EB110D"/>
    <w:rsid w:val="05EB4481"/>
    <w:rsid w:val="05F17CC7"/>
    <w:rsid w:val="061E7D14"/>
    <w:rsid w:val="06446B44"/>
    <w:rsid w:val="06560AED"/>
    <w:rsid w:val="066469C9"/>
    <w:rsid w:val="066646A1"/>
    <w:rsid w:val="066E164D"/>
    <w:rsid w:val="06741984"/>
    <w:rsid w:val="067E71F5"/>
    <w:rsid w:val="068E7B23"/>
    <w:rsid w:val="06983B20"/>
    <w:rsid w:val="069A3B66"/>
    <w:rsid w:val="06A869D6"/>
    <w:rsid w:val="06A9264E"/>
    <w:rsid w:val="06AD6562"/>
    <w:rsid w:val="06B31420"/>
    <w:rsid w:val="06B91765"/>
    <w:rsid w:val="06CA2AD2"/>
    <w:rsid w:val="06CB0D68"/>
    <w:rsid w:val="06CE3071"/>
    <w:rsid w:val="06D33DBA"/>
    <w:rsid w:val="06D73361"/>
    <w:rsid w:val="06E13F9F"/>
    <w:rsid w:val="06FB0AC5"/>
    <w:rsid w:val="06FE7278"/>
    <w:rsid w:val="070D2D5D"/>
    <w:rsid w:val="07104A12"/>
    <w:rsid w:val="07111B8D"/>
    <w:rsid w:val="071A3AFD"/>
    <w:rsid w:val="072916E2"/>
    <w:rsid w:val="072C5514"/>
    <w:rsid w:val="0737768A"/>
    <w:rsid w:val="074A5B92"/>
    <w:rsid w:val="075D0147"/>
    <w:rsid w:val="075E3193"/>
    <w:rsid w:val="078801B7"/>
    <w:rsid w:val="078E18EB"/>
    <w:rsid w:val="0791743C"/>
    <w:rsid w:val="07AA2823"/>
    <w:rsid w:val="07B02D9F"/>
    <w:rsid w:val="07B10EA5"/>
    <w:rsid w:val="07C510CB"/>
    <w:rsid w:val="07CD6512"/>
    <w:rsid w:val="07CE3FA1"/>
    <w:rsid w:val="07EC2ECB"/>
    <w:rsid w:val="07FE66CB"/>
    <w:rsid w:val="080B4D47"/>
    <w:rsid w:val="081303C8"/>
    <w:rsid w:val="081B727D"/>
    <w:rsid w:val="081D2FF5"/>
    <w:rsid w:val="08321601"/>
    <w:rsid w:val="08326375"/>
    <w:rsid w:val="083D5C91"/>
    <w:rsid w:val="0847191F"/>
    <w:rsid w:val="084F5152"/>
    <w:rsid w:val="08591DC3"/>
    <w:rsid w:val="085B58CB"/>
    <w:rsid w:val="086105BC"/>
    <w:rsid w:val="08672793"/>
    <w:rsid w:val="08695E80"/>
    <w:rsid w:val="087370B9"/>
    <w:rsid w:val="087C4541"/>
    <w:rsid w:val="087E5595"/>
    <w:rsid w:val="089A5D8F"/>
    <w:rsid w:val="08A94889"/>
    <w:rsid w:val="08BC0A60"/>
    <w:rsid w:val="08C52D6F"/>
    <w:rsid w:val="08E42BE4"/>
    <w:rsid w:val="08EF0201"/>
    <w:rsid w:val="08F41DE8"/>
    <w:rsid w:val="093A6304"/>
    <w:rsid w:val="093D1475"/>
    <w:rsid w:val="094840A2"/>
    <w:rsid w:val="09630EDC"/>
    <w:rsid w:val="09644C54"/>
    <w:rsid w:val="09737462"/>
    <w:rsid w:val="099156C3"/>
    <w:rsid w:val="09A33F5B"/>
    <w:rsid w:val="09A53F39"/>
    <w:rsid w:val="09A60E13"/>
    <w:rsid w:val="09A82D92"/>
    <w:rsid w:val="09AB2883"/>
    <w:rsid w:val="09C35E1E"/>
    <w:rsid w:val="09CD0A4B"/>
    <w:rsid w:val="09D206F0"/>
    <w:rsid w:val="0A0A6645"/>
    <w:rsid w:val="0A321AC2"/>
    <w:rsid w:val="0A343D4E"/>
    <w:rsid w:val="0A344626"/>
    <w:rsid w:val="0A3E6D2E"/>
    <w:rsid w:val="0A4232E4"/>
    <w:rsid w:val="0A4F145F"/>
    <w:rsid w:val="0A544CC8"/>
    <w:rsid w:val="0A8455AD"/>
    <w:rsid w:val="0A8729A8"/>
    <w:rsid w:val="0ABA2D7D"/>
    <w:rsid w:val="0AD13A85"/>
    <w:rsid w:val="0AE0655C"/>
    <w:rsid w:val="0AF977AF"/>
    <w:rsid w:val="0B091954"/>
    <w:rsid w:val="0B195776"/>
    <w:rsid w:val="0B1A7CC0"/>
    <w:rsid w:val="0B34773E"/>
    <w:rsid w:val="0B3B7D65"/>
    <w:rsid w:val="0B3C6DA8"/>
    <w:rsid w:val="0B434C20"/>
    <w:rsid w:val="0B5F0822"/>
    <w:rsid w:val="0B637D77"/>
    <w:rsid w:val="0B7006C4"/>
    <w:rsid w:val="0B726646"/>
    <w:rsid w:val="0B7606E8"/>
    <w:rsid w:val="0B8B471A"/>
    <w:rsid w:val="0B923CFA"/>
    <w:rsid w:val="0B924545"/>
    <w:rsid w:val="0BAC324F"/>
    <w:rsid w:val="0BB40DF1"/>
    <w:rsid w:val="0BC11EE9"/>
    <w:rsid w:val="0BD807DD"/>
    <w:rsid w:val="0BEC237C"/>
    <w:rsid w:val="0BF16C73"/>
    <w:rsid w:val="0BF72F1E"/>
    <w:rsid w:val="0C01346C"/>
    <w:rsid w:val="0C0A7D34"/>
    <w:rsid w:val="0C230DF6"/>
    <w:rsid w:val="0C3152C1"/>
    <w:rsid w:val="0C3957A5"/>
    <w:rsid w:val="0C507E2F"/>
    <w:rsid w:val="0C600D66"/>
    <w:rsid w:val="0C626DA7"/>
    <w:rsid w:val="0C6876AE"/>
    <w:rsid w:val="0C71390F"/>
    <w:rsid w:val="0C720EC8"/>
    <w:rsid w:val="0C873133"/>
    <w:rsid w:val="0C942042"/>
    <w:rsid w:val="0C9D50DC"/>
    <w:rsid w:val="0CA5271D"/>
    <w:rsid w:val="0CAC4D10"/>
    <w:rsid w:val="0CC53C5B"/>
    <w:rsid w:val="0CC72121"/>
    <w:rsid w:val="0CEE5A21"/>
    <w:rsid w:val="0CF462EF"/>
    <w:rsid w:val="0D05268E"/>
    <w:rsid w:val="0D0646E7"/>
    <w:rsid w:val="0D0C38CA"/>
    <w:rsid w:val="0D1F07B3"/>
    <w:rsid w:val="0D206810"/>
    <w:rsid w:val="0D4861FD"/>
    <w:rsid w:val="0D735465"/>
    <w:rsid w:val="0D9C49BC"/>
    <w:rsid w:val="0DC577E0"/>
    <w:rsid w:val="0DDC6319"/>
    <w:rsid w:val="0DE1181F"/>
    <w:rsid w:val="0DFA5B87"/>
    <w:rsid w:val="0DFE4F67"/>
    <w:rsid w:val="0E0C0D4C"/>
    <w:rsid w:val="0E115DA1"/>
    <w:rsid w:val="0E1409F6"/>
    <w:rsid w:val="0E162D6D"/>
    <w:rsid w:val="0E460DCC"/>
    <w:rsid w:val="0E541CA2"/>
    <w:rsid w:val="0E562C4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B0AEA"/>
    <w:rsid w:val="0F6E2388"/>
    <w:rsid w:val="0F821E7D"/>
    <w:rsid w:val="0FAE4DC5"/>
    <w:rsid w:val="0FB82671"/>
    <w:rsid w:val="0FC91CB4"/>
    <w:rsid w:val="0FCA42ED"/>
    <w:rsid w:val="0FDB5F4F"/>
    <w:rsid w:val="0FE7592C"/>
    <w:rsid w:val="0FFC17A5"/>
    <w:rsid w:val="0FFD20F0"/>
    <w:rsid w:val="1006283E"/>
    <w:rsid w:val="10142F30"/>
    <w:rsid w:val="10352857"/>
    <w:rsid w:val="103E6E57"/>
    <w:rsid w:val="1041497B"/>
    <w:rsid w:val="10425FF6"/>
    <w:rsid w:val="1053332C"/>
    <w:rsid w:val="106612B1"/>
    <w:rsid w:val="109010E6"/>
    <w:rsid w:val="10986FB0"/>
    <w:rsid w:val="10AC760C"/>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67C1F"/>
    <w:rsid w:val="1178125A"/>
    <w:rsid w:val="118441E0"/>
    <w:rsid w:val="1196056D"/>
    <w:rsid w:val="11A402E3"/>
    <w:rsid w:val="11B85B3D"/>
    <w:rsid w:val="11CD20A0"/>
    <w:rsid w:val="11D34654"/>
    <w:rsid w:val="12010480"/>
    <w:rsid w:val="120E707F"/>
    <w:rsid w:val="121D0051"/>
    <w:rsid w:val="12211934"/>
    <w:rsid w:val="12413D84"/>
    <w:rsid w:val="124D2289"/>
    <w:rsid w:val="127A7D1C"/>
    <w:rsid w:val="12836D8B"/>
    <w:rsid w:val="12993BC0"/>
    <w:rsid w:val="12AB0349"/>
    <w:rsid w:val="12B66520"/>
    <w:rsid w:val="12CD57F1"/>
    <w:rsid w:val="12CE5941"/>
    <w:rsid w:val="12CE7AFA"/>
    <w:rsid w:val="12D469A6"/>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BF7F2D"/>
    <w:rsid w:val="13C72B3A"/>
    <w:rsid w:val="13CF716E"/>
    <w:rsid w:val="13D12EE6"/>
    <w:rsid w:val="13DF575E"/>
    <w:rsid w:val="13E470BD"/>
    <w:rsid w:val="13EE3A98"/>
    <w:rsid w:val="13F3280A"/>
    <w:rsid w:val="13F63E7B"/>
    <w:rsid w:val="14005579"/>
    <w:rsid w:val="142123F7"/>
    <w:rsid w:val="14254242"/>
    <w:rsid w:val="142A11D8"/>
    <w:rsid w:val="142C636E"/>
    <w:rsid w:val="144B544C"/>
    <w:rsid w:val="145B7B45"/>
    <w:rsid w:val="14627FE2"/>
    <w:rsid w:val="14717443"/>
    <w:rsid w:val="147E4E1C"/>
    <w:rsid w:val="14825F8A"/>
    <w:rsid w:val="148C70AD"/>
    <w:rsid w:val="148D52E3"/>
    <w:rsid w:val="14992B90"/>
    <w:rsid w:val="149F10C7"/>
    <w:rsid w:val="14A5619C"/>
    <w:rsid w:val="14A65549"/>
    <w:rsid w:val="14AF1856"/>
    <w:rsid w:val="14AF19A3"/>
    <w:rsid w:val="14B22D17"/>
    <w:rsid w:val="14B53957"/>
    <w:rsid w:val="14C53ECE"/>
    <w:rsid w:val="14CF6CB0"/>
    <w:rsid w:val="14D10E8D"/>
    <w:rsid w:val="14DB04C0"/>
    <w:rsid w:val="14DC5FE6"/>
    <w:rsid w:val="14E002E6"/>
    <w:rsid w:val="14F25809"/>
    <w:rsid w:val="14FC36BD"/>
    <w:rsid w:val="14FF5EA7"/>
    <w:rsid w:val="15127C5A"/>
    <w:rsid w:val="151E3A0F"/>
    <w:rsid w:val="152534E9"/>
    <w:rsid w:val="152A4FA3"/>
    <w:rsid w:val="153A36AA"/>
    <w:rsid w:val="15477903"/>
    <w:rsid w:val="15516E89"/>
    <w:rsid w:val="1557566D"/>
    <w:rsid w:val="1565422D"/>
    <w:rsid w:val="156E0971"/>
    <w:rsid w:val="15785B3E"/>
    <w:rsid w:val="15811F1B"/>
    <w:rsid w:val="15A30135"/>
    <w:rsid w:val="15A34015"/>
    <w:rsid w:val="15BB487B"/>
    <w:rsid w:val="15CE086D"/>
    <w:rsid w:val="15E2236F"/>
    <w:rsid w:val="16005D04"/>
    <w:rsid w:val="161B669A"/>
    <w:rsid w:val="161D09ED"/>
    <w:rsid w:val="162323A3"/>
    <w:rsid w:val="162F30B1"/>
    <w:rsid w:val="163C3060"/>
    <w:rsid w:val="163C6D3C"/>
    <w:rsid w:val="163F02DB"/>
    <w:rsid w:val="164976AB"/>
    <w:rsid w:val="1650762F"/>
    <w:rsid w:val="16510F12"/>
    <w:rsid w:val="166448F9"/>
    <w:rsid w:val="16761EDF"/>
    <w:rsid w:val="1677211D"/>
    <w:rsid w:val="16774218"/>
    <w:rsid w:val="167954F9"/>
    <w:rsid w:val="169311EC"/>
    <w:rsid w:val="169C5A2D"/>
    <w:rsid w:val="169F7296"/>
    <w:rsid w:val="16A060BA"/>
    <w:rsid w:val="16A57EAF"/>
    <w:rsid w:val="16A918E4"/>
    <w:rsid w:val="16AC4287"/>
    <w:rsid w:val="16AC6E3F"/>
    <w:rsid w:val="16AE652A"/>
    <w:rsid w:val="16B56AEF"/>
    <w:rsid w:val="16B733A9"/>
    <w:rsid w:val="16BF171B"/>
    <w:rsid w:val="16C61609"/>
    <w:rsid w:val="16C872D5"/>
    <w:rsid w:val="16D54FA3"/>
    <w:rsid w:val="16D84D9F"/>
    <w:rsid w:val="16E06FD4"/>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344900"/>
    <w:rsid w:val="18380FB2"/>
    <w:rsid w:val="184055B9"/>
    <w:rsid w:val="184A2082"/>
    <w:rsid w:val="185A16FC"/>
    <w:rsid w:val="185D3C42"/>
    <w:rsid w:val="185D6550"/>
    <w:rsid w:val="185F38AF"/>
    <w:rsid w:val="188F0211"/>
    <w:rsid w:val="18AD1BEB"/>
    <w:rsid w:val="18B3004A"/>
    <w:rsid w:val="18B31B6D"/>
    <w:rsid w:val="18B83CF9"/>
    <w:rsid w:val="18B96080"/>
    <w:rsid w:val="18CB43A7"/>
    <w:rsid w:val="18CE20EA"/>
    <w:rsid w:val="18DB2CD8"/>
    <w:rsid w:val="18F67868"/>
    <w:rsid w:val="18FA2EDF"/>
    <w:rsid w:val="190B2D88"/>
    <w:rsid w:val="190E6B63"/>
    <w:rsid w:val="19123928"/>
    <w:rsid w:val="19194264"/>
    <w:rsid w:val="19283048"/>
    <w:rsid w:val="1932277F"/>
    <w:rsid w:val="19420786"/>
    <w:rsid w:val="19427EC0"/>
    <w:rsid w:val="195711D7"/>
    <w:rsid w:val="195D2A3F"/>
    <w:rsid w:val="198310E9"/>
    <w:rsid w:val="198D747A"/>
    <w:rsid w:val="19A15638"/>
    <w:rsid w:val="19A74DFE"/>
    <w:rsid w:val="19A753EF"/>
    <w:rsid w:val="19B117EF"/>
    <w:rsid w:val="19C91ECA"/>
    <w:rsid w:val="1A125525"/>
    <w:rsid w:val="1A1C0B8F"/>
    <w:rsid w:val="1A364C38"/>
    <w:rsid w:val="1A524411"/>
    <w:rsid w:val="1A5F4342"/>
    <w:rsid w:val="1A616E2C"/>
    <w:rsid w:val="1A6B1D75"/>
    <w:rsid w:val="1A715D02"/>
    <w:rsid w:val="1A7F369B"/>
    <w:rsid w:val="1A8C5D82"/>
    <w:rsid w:val="1A994988"/>
    <w:rsid w:val="1A9B546C"/>
    <w:rsid w:val="1A9E141F"/>
    <w:rsid w:val="1AA3511F"/>
    <w:rsid w:val="1AA50C28"/>
    <w:rsid w:val="1AAE3B54"/>
    <w:rsid w:val="1AC10987"/>
    <w:rsid w:val="1AC50DC4"/>
    <w:rsid w:val="1AEB6F83"/>
    <w:rsid w:val="1AF423FA"/>
    <w:rsid w:val="1B0C5B32"/>
    <w:rsid w:val="1B0D3E82"/>
    <w:rsid w:val="1B1464DA"/>
    <w:rsid w:val="1B1652AB"/>
    <w:rsid w:val="1B181CD5"/>
    <w:rsid w:val="1B265306"/>
    <w:rsid w:val="1B4346C9"/>
    <w:rsid w:val="1B486183"/>
    <w:rsid w:val="1B4909F4"/>
    <w:rsid w:val="1B4F2450"/>
    <w:rsid w:val="1B50619C"/>
    <w:rsid w:val="1B530868"/>
    <w:rsid w:val="1B6573E8"/>
    <w:rsid w:val="1B6922A5"/>
    <w:rsid w:val="1B6C54BA"/>
    <w:rsid w:val="1B721452"/>
    <w:rsid w:val="1B8C18B7"/>
    <w:rsid w:val="1BB73AE1"/>
    <w:rsid w:val="1BBF4F9A"/>
    <w:rsid w:val="1BC82E20"/>
    <w:rsid w:val="1BDA6D68"/>
    <w:rsid w:val="1BF14125"/>
    <w:rsid w:val="1C002CEE"/>
    <w:rsid w:val="1C4032FE"/>
    <w:rsid w:val="1C4E77C9"/>
    <w:rsid w:val="1C4F52EF"/>
    <w:rsid w:val="1C555978"/>
    <w:rsid w:val="1C5D17BA"/>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413DDA"/>
    <w:rsid w:val="1D5144F7"/>
    <w:rsid w:val="1D5B3CDE"/>
    <w:rsid w:val="1D5D0701"/>
    <w:rsid w:val="1D686669"/>
    <w:rsid w:val="1D6E2950"/>
    <w:rsid w:val="1D750D86"/>
    <w:rsid w:val="1D79298C"/>
    <w:rsid w:val="1D98209B"/>
    <w:rsid w:val="1DA23746"/>
    <w:rsid w:val="1DAA14B9"/>
    <w:rsid w:val="1DD04513"/>
    <w:rsid w:val="1DD8524D"/>
    <w:rsid w:val="1DDD2BCB"/>
    <w:rsid w:val="1DDF1B3A"/>
    <w:rsid w:val="1E0345E3"/>
    <w:rsid w:val="1E1B7B7F"/>
    <w:rsid w:val="1E443370"/>
    <w:rsid w:val="1E5D1F46"/>
    <w:rsid w:val="1E656063"/>
    <w:rsid w:val="1E6B06A5"/>
    <w:rsid w:val="1E7554E1"/>
    <w:rsid w:val="1E7F7D9E"/>
    <w:rsid w:val="1E840DA4"/>
    <w:rsid w:val="1EA5444C"/>
    <w:rsid w:val="1EA5569B"/>
    <w:rsid w:val="1EB350EF"/>
    <w:rsid w:val="1EC21749"/>
    <w:rsid w:val="1EC80AFE"/>
    <w:rsid w:val="1EEB7C4E"/>
    <w:rsid w:val="1F072441"/>
    <w:rsid w:val="1F171B83"/>
    <w:rsid w:val="1F2D4691"/>
    <w:rsid w:val="1F2D491A"/>
    <w:rsid w:val="1F3F789D"/>
    <w:rsid w:val="1F4E5D32"/>
    <w:rsid w:val="1F66355F"/>
    <w:rsid w:val="1F7369C7"/>
    <w:rsid w:val="1F796A28"/>
    <w:rsid w:val="1F8B4890"/>
    <w:rsid w:val="1F8D685B"/>
    <w:rsid w:val="1F9113A9"/>
    <w:rsid w:val="1F94547B"/>
    <w:rsid w:val="1FA47700"/>
    <w:rsid w:val="1FAA740D"/>
    <w:rsid w:val="1FAF308C"/>
    <w:rsid w:val="1FB64FF9"/>
    <w:rsid w:val="1FBE4C66"/>
    <w:rsid w:val="1FC11109"/>
    <w:rsid w:val="1FDA3223"/>
    <w:rsid w:val="1FDE2C12"/>
    <w:rsid w:val="1FEF08C8"/>
    <w:rsid w:val="1FEF4E1F"/>
    <w:rsid w:val="1FF72E6A"/>
    <w:rsid w:val="1FFB6F12"/>
    <w:rsid w:val="201B3ED4"/>
    <w:rsid w:val="20230F6D"/>
    <w:rsid w:val="20310B02"/>
    <w:rsid w:val="20344F28"/>
    <w:rsid w:val="206F0406"/>
    <w:rsid w:val="207417C9"/>
    <w:rsid w:val="20784063"/>
    <w:rsid w:val="207E346A"/>
    <w:rsid w:val="208E12C3"/>
    <w:rsid w:val="209502A3"/>
    <w:rsid w:val="20E71F9A"/>
    <w:rsid w:val="20EA3839"/>
    <w:rsid w:val="2100305C"/>
    <w:rsid w:val="210466A8"/>
    <w:rsid w:val="210F579E"/>
    <w:rsid w:val="21163FF0"/>
    <w:rsid w:val="211B39F2"/>
    <w:rsid w:val="212550B5"/>
    <w:rsid w:val="21592B62"/>
    <w:rsid w:val="2160559C"/>
    <w:rsid w:val="2172049B"/>
    <w:rsid w:val="21747CD2"/>
    <w:rsid w:val="219263AA"/>
    <w:rsid w:val="219E5782"/>
    <w:rsid w:val="21C85169"/>
    <w:rsid w:val="21D10545"/>
    <w:rsid w:val="21E72B0B"/>
    <w:rsid w:val="21E76A4A"/>
    <w:rsid w:val="21EE607E"/>
    <w:rsid w:val="21F229A5"/>
    <w:rsid w:val="21F66F4C"/>
    <w:rsid w:val="221F2D96"/>
    <w:rsid w:val="22246DB1"/>
    <w:rsid w:val="223631D9"/>
    <w:rsid w:val="22440067"/>
    <w:rsid w:val="225A6017"/>
    <w:rsid w:val="22631AF5"/>
    <w:rsid w:val="227A5532"/>
    <w:rsid w:val="22843A03"/>
    <w:rsid w:val="228E5C2C"/>
    <w:rsid w:val="22A338AB"/>
    <w:rsid w:val="22AD37A2"/>
    <w:rsid w:val="22B31E8A"/>
    <w:rsid w:val="22C05285"/>
    <w:rsid w:val="22C735BD"/>
    <w:rsid w:val="22CF0F38"/>
    <w:rsid w:val="22D729A8"/>
    <w:rsid w:val="22E76282"/>
    <w:rsid w:val="22F06957"/>
    <w:rsid w:val="2302130E"/>
    <w:rsid w:val="230218D6"/>
    <w:rsid w:val="23057681"/>
    <w:rsid w:val="23122833"/>
    <w:rsid w:val="231D4917"/>
    <w:rsid w:val="23223458"/>
    <w:rsid w:val="23225D32"/>
    <w:rsid w:val="232C638A"/>
    <w:rsid w:val="23357BE6"/>
    <w:rsid w:val="2342574E"/>
    <w:rsid w:val="2355143D"/>
    <w:rsid w:val="236D1BFA"/>
    <w:rsid w:val="236D331D"/>
    <w:rsid w:val="23700025"/>
    <w:rsid w:val="2377331D"/>
    <w:rsid w:val="237D43DE"/>
    <w:rsid w:val="238166D6"/>
    <w:rsid w:val="23940114"/>
    <w:rsid w:val="239A1546"/>
    <w:rsid w:val="23B57016"/>
    <w:rsid w:val="23C4797E"/>
    <w:rsid w:val="23CD5478"/>
    <w:rsid w:val="23D4764B"/>
    <w:rsid w:val="23EC3718"/>
    <w:rsid w:val="23EE304F"/>
    <w:rsid w:val="23F635E7"/>
    <w:rsid w:val="23FD7010"/>
    <w:rsid w:val="240243FC"/>
    <w:rsid w:val="24044EF2"/>
    <w:rsid w:val="2407139D"/>
    <w:rsid w:val="2407563F"/>
    <w:rsid w:val="240B04F4"/>
    <w:rsid w:val="240E369A"/>
    <w:rsid w:val="241511D6"/>
    <w:rsid w:val="241E2177"/>
    <w:rsid w:val="242A0646"/>
    <w:rsid w:val="2435301D"/>
    <w:rsid w:val="243A0633"/>
    <w:rsid w:val="243D6E1A"/>
    <w:rsid w:val="24453D05"/>
    <w:rsid w:val="244860B9"/>
    <w:rsid w:val="244A2F6C"/>
    <w:rsid w:val="24607F91"/>
    <w:rsid w:val="246C581B"/>
    <w:rsid w:val="247C52A2"/>
    <w:rsid w:val="24942917"/>
    <w:rsid w:val="24AE34FB"/>
    <w:rsid w:val="24CC106B"/>
    <w:rsid w:val="24D00598"/>
    <w:rsid w:val="24D725E9"/>
    <w:rsid w:val="24EC31CF"/>
    <w:rsid w:val="25045F70"/>
    <w:rsid w:val="250474F1"/>
    <w:rsid w:val="25056E93"/>
    <w:rsid w:val="25072C0B"/>
    <w:rsid w:val="25092EBA"/>
    <w:rsid w:val="250E5D48"/>
    <w:rsid w:val="25241020"/>
    <w:rsid w:val="25302410"/>
    <w:rsid w:val="255B6AB3"/>
    <w:rsid w:val="25740D5E"/>
    <w:rsid w:val="257572C3"/>
    <w:rsid w:val="25790E85"/>
    <w:rsid w:val="25965D3D"/>
    <w:rsid w:val="25972C60"/>
    <w:rsid w:val="25974C6F"/>
    <w:rsid w:val="259D1676"/>
    <w:rsid w:val="25A353EB"/>
    <w:rsid w:val="25A37AD9"/>
    <w:rsid w:val="25B87B65"/>
    <w:rsid w:val="25CB78C3"/>
    <w:rsid w:val="25D54390"/>
    <w:rsid w:val="25D6438C"/>
    <w:rsid w:val="25E371D4"/>
    <w:rsid w:val="261879A7"/>
    <w:rsid w:val="261A071C"/>
    <w:rsid w:val="262275D1"/>
    <w:rsid w:val="262625C1"/>
    <w:rsid w:val="26395046"/>
    <w:rsid w:val="264B0BA4"/>
    <w:rsid w:val="264F4111"/>
    <w:rsid w:val="265E0AEC"/>
    <w:rsid w:val="2661459D"/>
    <w:rsid w:val="268C5256"/>
    <w:rsid w:val="268E455B"/>
    <w:rsid w:val="26912B30"/>
    <w:rsid w:val="269728B5"/>
    <w:rsid w:val="269772F0"/>
    <w:rsid w:val="26997893"/>
    <w:rsid w:val="26A30712"/>
    <w:rsid w:val="26AC0C27"/>
    <w:rsid w:val="26B446CD"/>
    <w:rsid w:val="26C807A6"/>
    <w:rsid w:val="26D1527F"/>
    <w:rsid w:val="26D23F28"/>
    <w:rsid w:val="26DB67BA"/>
    <w:rsid w:val="26DE3298"/>
    <w:rsid w:val="26E311CD"/>
    <w:rsid w:val="26EF24ED"/>
    <w:rsid w:val="26F1408A"/>
    <w:rsid w:val="26F86CAF"/>
    <w:rsid w:val="26F96584"/>
    <w:rsid w:val="26FC4FA5"/>
    <w:rsid w:val="27015370"/>
    <w:rsid w:val="270B421F"/>
    <w:rsid w:val="270F3FF9"/>
    <w:rsid w:val="271F6B87"/>
    <w:rsid w:val="274E2228"/>
    <w:rsid w:val="27517A93"/>
    <w:rsid w:val="27565784"/>
    <w:rsid w:val="275E53AF"/>
    <w:rsid w:val="27606603"/>
    <w:rsid w:val="276658E8"/>
    <w:rsid w:val="276F6846"/>
    <w:rsid w:val="277E30D2"/>
    <w:rsid w:val="27803F2A"/>
    <w:rsid w:val="27856069"/>
    <w:rsid w:val="278A18D2"/>
    <w:rsid w:val="27983FEE"/>
    <w:rsid w:val="27985582"/>
    <w:rsid w:val="27A34941"/>
    <w:rsid w:val="27A97FAA"/>
    <w:rsid w:val="27B7780D"/>
    <w:rsid w:val="27EE3A7B"/>
    <w:rsid w:val="27FA25B3"/>
    <w:rsid w:val="27FC7BC5"/>
    <w:rsid w:val="28033B5E"/>
    <w:rsid w:val="28072D06"/>
    <w:rsid w:val="280D678A"/>
    <w:rsid w:val="28100029"/>
    <w:rsid w:val="281178FD"/>
    <w:rsid w:val="282B09BF"/>
    <w:rsid w:val="282E4F00"/>
    <w:rsid w:val="283C23DF"/>
    <w:rsid w:val="283D69F1"/>
    <w:rsid w:val="283F090E"/>
    <w:rsid w:val="284C16F5"/>
    <w:rsid w:val="28570AB5"/>
    <w:rsid w:val="285F2CDC"/>
    <w:rsid w:val="28622C36"/>
    <w:rsid w:val="2869172C"/>
    <w:rsid w:val="287F6F5C"/>
    <w:rsid w:val="288C2D07"/>
    <w:rsid w:val="289E7E22"/>
    <w:rsid w:val="28A457F1"/>
    <w:rsid w:val="28B44E58"/>
    <w:rsid w:val="28C2534B"/>
    <w:rsid w:val="28C5525A"/>
    <w:rsid w:val="28D14B96"/>
    <w:rsid w:val="28E2238D"/>
    <w:rsid w:val="29020C46"/>
    <w:rsid w:val="290240C7"/>
    <w:rsid w:val="291713AF"/>
    <w:rsid w:val="291A2B97"/>
    <w:rsid w:val="29274EE0"/>
    <w:rsid w:val="294F692F"/>
    <w:rsid w:val="295029E3"/>
    <w:rsid w:val="29543A59"/>
    <w:rsid w:val="29670ED3"/>
    <w:rsid w:val="2969197F"/>
    <w:rsid w:val="29746E87"/>
    <w:rsid w:val="297939AC"/>
    <w:rsid w:val="297C03C2"/>
    <w:rsid w:val="297C3C21"/>
    <w:rsid w:val="299573AB"/>
    <w:rsid w:val="29B05804"/>
    <w:rsid w:val="29BD1AEA"/>
    <w:rsid w:val="29BE5BD0"/>
    <w:rsid w:val="29C01572"/>
    <w:rsid w:val="29C25353"/>
    <w:rsid w:val="29CA4207"/>
    <w:rsid w:val="29D56BC2"/>
    <w:rsid w:val="29D82DC8"/>
    <w:rsid w:val="29DA08EE"/>
    <w:rsid w:val="29DB6414"/>
    <w:rsid w:val="29E74CE2"/>
    <w:rsid w:val="2A133E00"/>
    <w:rsid w:val="2A241B69"/>
    <w:rsid w:val="2A306A36"/>
    <w:rsid w:val="2A3A7D8C"/>
    <w:rsid w:val="2A457300"/>
    <w:rsid w:val="2A5372C6"/>
    <w:rsid w:val="2A5A558B"/>
    <w:rsid w:val="2A5B03D8"/>
    <w:rsid w:val="2A6F6D07"/>
    <w:rsid w:val="2A7A5C2D"/>
    <w:rsid w:val="2A852253"/>
    <w:rsid w:val="2A882500"/>
    <w:rsid w:val="2A92025A"/>
    <w:rsid w:val="2AA35184"/>
    <w:rsid w:val="2AAB4E76"/>
    <w:rsid w:val="2AB63ABC"/>
    <w:rsid w:val="2AB63D0A"/>
    <w:rsid w:val="2AC31382"/>
    <w:rsid w:val="2AD0584D"/>
    <w:rsid w:val="2AD549F8"/>
    <w:rsid w:val="2AE5754B"/>
    <w:rsid w:val="2AEA74E5"/>
    <w:rsid w:val="2AFB4FC0"/>
    <w:rsid w:val="2B003D00"/>
    <w:rsid w:val="2B074D5E"/>
    <w:rsid w:val="2B0A6991"/>
    <w:rsid w:val="2B100BA9"/>
    <w:rsid w:val="2B1B5825"/>
    <w:rsid w:val="2B1E3AFC"/>
    <w:rsid w:val="2B3043E2"/>
    <w:rsid w:val="2B4A5600"/>
    <w:rsid w:val="2B574FD9"/>
    <w:rsid w:val="2B642979"/>
    <w:rsid w:val="2B681F2A"/>
    <w:rsid w:val="2B8A6344"/>
    <w:rsid w:val="2B8D373E"/>
    <w:rsid w:val="2B9E4F56"/>
    <w:rsid w:val="2BC20BE2"/>
    <w:rsid w:val="2BD575BF"/>
    <w:rsid w:val="2BD96984"/>
    <w:rsid w:val="2BDB5A88"/>
    <w:rsid w:val="2BDB6BA0"/>
    <w:rsid w:val="2BE91C37"/>
    <w:rsid w:val="2BEC3F72"/>
    <w:rsid w:val="2C083572"/>
    <w:rsid w:val="2C185F94"/>
    <w:rsid w:val="2C1F1AC4"/>
    <w:rsid w:val="2C273B93"/>
    <w:rsid w:val="2C2945BA"/>
    <w:rsid w:val="2C2E71FC"/>
    <w:rsid w:val="2C3F3A41"/>
    <w:rsid w:val="2C4431C4"/>
    <w:rsid w:val="2C55747C"/>
    <w:rsid w:val="2C62059F"/>
    <w:rsid w:val="2C6634FA"/>
    <w:rsid w:val="2C696A9D"/>
    <w:rsid w:val="2C7566AC"/>
    <w:rsid w:val="2C7843EE"/>
    <w:rsid w:val="2CA25191"/>
    <w:rsid w:val="2CAC022C"/>
    <w:rsid w:val="2CC11807"/>
    <w:rsid w:val="2CC66CD6"/>
    <w:rsid w:val="2CDE6947"/>
    <w:rsid w:val="2CE327BC"/>
    <w:rsid w:val="2CF16074"/>
    <w:rsid w:val="2CF81D1B"/>
    <w:rsid w:val="2D3F2453"/>
    <w:rsid w:val="2D5F6A87"/>
    <w:rsid w:val="2D6F134E"/>
    <w:rsid w:val="2D835174"/>
    <w:rsid w:val="2D9331F9"/>
    <w:rsid w:val="2D99461C"/>
    <w:rsid w:val="2DA82AB1"/>
    <w:rsid w:val="2DD90B7B"/>
    <w:rsid w:val="2DD92C6B"/>
    <w:rsid w:val="2DDD3FC1"/>
    <w:rsid w:val="2DE2072E"/>
    <w:rsid w:val="2DE531B8"/>
    <w:rsid w:val="2DEA131C"/>
    <w:rsid w:val="2DF701D8"/>
    <w:rsid w:val="2DF970A1"/>
    <w:rsid w:val="2E0665A9"/>
    <w:rsid w:val="2E085834"/>
    <w:rsid w:val="2E1034F8"/>
    <w:rsid w:val="2E110657"/>
    <w:rsid w:val="2E112405"/>
    <w:rsid w:val="2E120D8E"/>
    <w:rsid w:val="2E310CF9"/>
    <w:rsid w:val="2E443652"/>
    <w:rsid w:val="2E505773"/>
    <w:rsid w:val="2E5C0A3D"/>
    <w:rsid w:val="2E6703FE"/>
    <w:rsid w:val="2E742F70"/>
    <w:rsid w:val="2E9077CD"/>
    <w:rsid w:val="2E9574DA"/>
    <w:rsid w:val="2E9A689E"/>
    <w:rsid w:val="2ED61D9E"/>
    <w:rsid w:val="2EDC2A13"/>
    <w:rsid w:val="2EFD7DB9"/>
    <w:rsid w:val="2F0106CB"/>
    <w:rsid w:val="2F1A081D"/>
    <w:rsid w:val="2F1C72B3"/>
    <w:rsid w:val="2F1E1306"/>
    <w:rsid w:val="2F1E3DC0"/>
    <w:rsid w:val="2F2D326E"/>
    <w:rsid w:val="2F2D4982"/>
    <w:rsid w:val="2F3112DE"/>
    <w:rsid w:val="2F340AA1"/>
    <w:rsid w:val="2F3B6922"/>
    <w:rsid w:val="2F3D7B25"/>
    <w:rsid w:val="2F480119"/>
    <w:rsid w:val="2F506C6D"/>
    <w:rsid w:val="2F512253"/>
    <w:rsid w:val="2F51291F"/>
    <w:rsid w:val="2F55758A"/>
    <w:rsid w:val="2F68074A"/>
    <w:rsid w:val="2F7964B4"/>
    <w:rsid w:val="2F7F15AE"/>
    <w:rsid w:val="2F912594"/>
    <w:rsid w:val="2FA54796"/>
    <w:rsid w:val="2FA674E2"/>
    <w:rsid w:val="2FD04318"/>
    <w:rsid w:val="2FD11BCC"/>
    <w:rsid w:val="2FEE6EA1"/>
    <w:rsid w:val="2FFE7D49"/>
    <w:rsid w:val="3002294D"/>
    <w:rsid w:val="30073BA1"/>
    <w:rsid w:val="3011153D"/>
    <w:rsid w:val="30142680"/>
    <w:rsid w:val="30240B15"/>
    <w:rsid w:val="302567CF"/>
    <w:rsid w:val="302A11B1"/>
    <w:rsid w:val="302A5C42"/>
    <w:rsid w:val="30340091"/>
    <w:rsid w:val="30485997"/>
    <w:rsid w:val="30662043"/>
    <w:rsid w:val="306D3B35"/>
    <w:rsid w:val="307153DD"/>
    <w:rsid w:val="30744ECD"/>
    <w:rsid w:val="3083092C"/>
    <w:rsid w:val="30930D2E"/>
    <w:rsid w:val="30A77050"/>
    <w:rsid w:val="30B632EC"/>
    <w:rsid w:val="30B8125D"/>
    <w:rsid w:val="30B87D63"/>
    <w:rsid w:val="30BF439A"/>
    <w:rsid w:val="30CF6A37"/>
    <w:rsid w:val="30D250CF"/>
    <w:rsid w:val="30D3355A"/>
    <w:rsid w:val="30DA11D4"/>
    <w:rsid w:val="30E7260A"/>
    <w:rsid w:val="30ED24C4"/>
    <w:rsid w:val="30F229C1"/>
    <w:rsid w:val="31002970"/>
    <w:rsid w:val="311016AD"/>
    <w:rsid w:val="31220DA0"/>
    <w:rsid w:val="31253A1B"/>
    <w:rsid w:val="3136622A"/>
    <w:rsid w:val="31393501"/>
    <w:rsid w:val="3139422E"/>
    <w:rsid w:val="31496359"/>
    <w:rsid w:val="314D19A6"/>
    <w:rsid w:val="31580A38"/>
    <w:rsid w:val="316177A4"/>
    <w:rsid w:val="31700E4B"/>
    <w:rsid w:val="3172683C"/>
    <w:rsid w:val="318D41A0"/>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1E109C"/>
    <w:rsid w:val="33240E2C"/>
    <w:rsid w:val="33274478"/>
    <w:rsid w:val="334045BE"/>
    <w:rsid w:val="334A3B2A"/>
    <w:rsid w:val="3365592E"/>
    <w:rsid w:val="336A31F3"/>
    <w:rsid w:val="336F6533"/>
    <w:rsid w:val="33727DEA"/>
    <w:rsid w:val="337E5E2F"/>
    <w:rsid w:val="3384610D"/>
    <w:rsid w:val="33886F33"/>
    <w:rsid w:val="33AA5979"/>
    <w:rsid w:val="33AF6948"/>
    <w:rsid w:val="33C03E90"/>
    <w:rsid w:val="33C96649"/>
    <w:rsid w:val="33CC3D88"/>
    <w:rsid w:val="33D45236"/>
    <w:rsid w:val="33D939C5"/>
    <w:rsid w:val="33DD0306"/>
    <w:rsid w:val="33E86E49"/>
    <w:rsid w:val="33F22ACC"/>
    <w:rsid w:val="33FD722F"/>
    <w:rsid w:val="33FE062C"/>
    <w:rsid w:val="3400362D"/>
    <w:rsid w:val="34032EB3"/>
    <w:rsid w:val="340B09C5"/>
    <w:rsid w:val="3416085D"/>
    <w:rsid w:val="341E4CAB"/>
    <w:rsid w:val="34555CF1"/>
    <w:rsid w:val="34584EE2"/>
    <w:rsid w:val="347A1C51"/>
    <w:rsid w:val="347D373F"/>
    <w:rsid w:val="347E631A"/>
    <w:rsid w:val="34922A93"/>
    <w:rsid w:val="34956481"/>
    <w:rsid w:val="34A35871"/>
    <w:rsid w:val="34C06C9D"/>
    <w:rsid w:val="34CC737F"/>
    <w:rsid w:val="34DF24AE"/>
    <w:rsid w:val="35143766"/>
    <w:rsid w:val="351A7555"/>
    <w:rsid w:val="351C4931"/>
    <w:rsid w:val="351C4EAC"/>
    <w:rsid w:val="351D4C26"/>
    <w:rsid w:val="352B46F4"/>
    <w:rsid w:val="352E7D40"/>
    <w:rsid w:val="35361A77"/>
    <w:rsid w:val="353E07CB"/>
    <w:rsid w:val="35461A22"/>
    <w:rsid w:val="35483CC9"/>
    <w:rsid w:val="354B08F2"/>
    <w:rsid w:val="35571045"/>
    <w:rsid w:val="356E46AA"/>
    <w:rsid w:val="357235B0"/>
    <w:rsid w:val="3578502D"/>
    <w:rsid w:val="3586192A"/>
    <w:rsid w:val="358625C7"/>
    <w:rsid w:val="35A815CB"/>
    <w:rsid w:val="35A85BD0"/>
    <w:rsid w:val="35AA1B9C"/>
    <w:rsid w:val="35D501BC"/>
    <w:rsid w:val="35DB09A6"/>
    <w:rsid w:val="35DF5DB4"/>
    <w:rsid w:val="35F1149A"/>
    <w:rsid w:val="36080591"/>
    <w:rsid w:val="3609472F"/>
    <w:rsid w:val="3619454C"/>
    <w:rsid w:val="36203B2D"/>
    <w:rsid w:val="363E0457"/>
    <w:rsid w:val="365B4B65"/>
    <w:rsid w:val="3660230D"/>
    <w:rsid w:val="366F1648"/>
    <w:rsid w:val="366F6704"/>
    <w:rsid w:val="36751D82"/>
    <w:rsid w:val="367F5397"/>
    <w:rsid w:val="36910587"/>
    <w:rsid w:val="369B4CF0"/>
    <w:rsid w:val="369F477A"/>
    <w:rsid w:val="36D62629"/>
    <w:rsid w:val="36D76172"/>
    <w:rsid w:val="36D84407"/>
    <w:rsid w:val="36E833BB"/>
    <w:rsid w:val="36EB1E1B"/>
    <w:rsid w:val="36F17F0D"/>
    <w:rsid w:val="36FB00F6"/>
    <w:rsid w:val="36FB1EA4"/>
    <w:rsid w:val="37103BA1"/>
    <w:rsid w:val="37191D4D"/>
    <w:rsid w:val="37224581"/>
    <w:rsid w:val="3735197D"/>
    <w:rsid w:val="373756A2"/>
    <w:rsid w:val="374A416C"/>
    <w:rsid w:val="375E0DA6"/>
    <w:rsid w:val="377639AE"/>
    <w:rsid w:val="377D0B0B"/>
    <w:rsid w:val="378142CB"/>
    <w:rsid w:val="378B61A6"/>
    <w:rsid w:val="3793032E"/>
    <w:rsid w:val="37B90F0B"/>
    <w:rsid w:val="37C75A47"/>
    <w:rsid w:val="37CD3F98"/>
    <w:rsid w:val="37D93CBA"/>
    <w:rsid w:val="37DF75BA"/>
    <w:rsid w:val="37E148E2"/>
    <w:rsid w:val="37EE4FBF"/>
    <w:rsid w:val="37F848EE"/>
    <w:rsid w:val="37F912FC"/>
    <w:rsid w:val="37FB65FF"/>
    <w:rsid w:val="380D59EE"/>
    <w:rsid w:val="38304889"/>
    <w:rsid w:val="38305B3C"/>
    <w:rsid w:val="3836588A"/>
    <w:rsid w:val="38382675"/>
    <w:rsid w:val="383B7B0D"/>
    <w:rsid w:val="38417D8A"/>
    <w:rsid w:val="3848553B"/>
    <w:rsid w:val="3851700B"/>
    <w:rsid w:val="385246B6"/>
    <w:rsid w:val="385E6B8E"/>
    <w:rsid w:val="3876113B"/>
    <w:rsid w:val="38A53DB7"/>
    <w:rsid w:val="38BF3388"/>
    <w:rsid w:val="38CC268D"/>
    <w:rsid w:val="38DF1FDA"/>
    <w:rsid w:val="38EC2960"/>
    <w:rsid w:val="38FD1EE1"/>
    <w:rsid w:val="390069DD"/>
    <w:rsid w:val="39030CF9"/>
    <w:rsid w:val="39085DF7"/>
    <w:rsid w:val="39091F35"/>
    <w:rsid w:val="392536E2"/>
    <w:rsid w:val="39465F15"/>
    <w:rsid w:val="39505209"/>
    <w:rsid w:val="396453C5"/>
    <w:rsid w:val="397D3044"/>
    <w:rsid w:val="39922CCF"/>
    <w:rsid w:val="39A24859"/>
    <w:rsid w:val="39A65327"/>
    <w:rsid w:val="39A65C9B"/>
    <w:rsid w:val="39AE31FE"/>
    <w:rsid w:val="39BC5ED6"/>
    <w:rsid w:val="39D27231"/>
    <w:rsid w:val="39E82BB3"/>
    <w:rsid w:val="39EB39E0"/>
    <w:rsid w:val="39EE17A8"/>
    <w:rsid w:val="39EE7A9E"/>
    <w:rsid w:val="39EF02D4"/>
    <w:rsid w:val="3A0D6176"/>
    <w:rsid w:val="3A11342A"/>
    <w:rsid w:val="3A153110"/>
    <w:rsid w:val="3A2149EA"/>
    <w:rsid w:val="3A2507C0"/>
    <w:rsid w:val="3A285AD8"/>
    <w:rsid w:val="3A393FA7"/>
    <w:rsid w:val="3A3A5A22"/>
    <w:rsid w:val="3A524858"/>
    <w:rsid w:val="3A59585F"/>
    <w:rsid w:val="3A5B3385"/>
    <w:rsid w:val="3A64203E"/>
    <w:rsid w:val="3A663D00"/>
    <w:rsid w:val="3A7428D0"/>
    <w:rsid w:val="3A747EDD"/>
    <w:rsid w:val="3A8F302F"/>
    <w:rsid w:val="3A923AE4"/>
    <w:rsid w:val="3A9248CD"/>
    <w:rsid w:val="3AA50E25"/>
    <w:rsid w:val="3AC566E3"/>
    <w:rsid w:val="3ACD1DA9"/>
    <w:rsid w:val="3AD6747A"/>
    <w:rsid w:val="3AD95C48"/>
    <w:rsid w:val="3ADF5D0A"/>
    <w:rsid w:val="3B0F23C2"/>
    <w:rsid w:val="3B312338"/>
    <w:rsid w:val="3B3C5B77"/>
    <w:rsid w:val="3B3D0FF2"/>
    <w:rsid w:val="3B501351"/>
    <w:rsid w:val="3B521A18"/>
    <w:rsid w:val="3B8D2B96"/>
    <w:rsid w:val="3B8D51D7"/>
    <w:rsid w:val="3B923660"/>
    <w:rsid w:val="3BCA44BE"/>
    <w:rsid w:val="3C061F3A"/>
    <w:rsid w:val="3C0A04F9"/>
    <w:rsid w:val="3C495480"/>
    <w:rsid w:val="3C4C3A42"/>
    <w:rsid w:val="3C557EA4"/>
    <w:rsid w:val="3C6F0167"/>
    <w:rsid w:val="3C71667B"/>
    <w:rsid w:val="3C7C75E3"/>
    <w:rsid w:val="3C914F3B"/>
    <w:rsid w:val="3CA52FDE"/>
    <w:rsid w:val="3CC17F13"/>
    <w:rsid w:val="3CD15B81"/>
    <w:rsid w:val="3CD50B40"/>
    <w:rsid w:val="3CE320A3"/>
    <w:rsid w:val="3CE9196C"/>
    <w:rsid w:val="3CF15105"/>
    <w:rsid w:val="3D0C04B9"/>
    <w:rsid w:val="3D1141CF"/>
    <w:rsid w:val="3D1414C5"/>
    <w:rsid w:val="3D1C763E"/>
    <w:rsid w:val="3D201AA5"/>
    <w:rsid w:val="3D2B37EA"/>
    <w:rsid w:val="3D2F7FF3"/>
    <w:rsid w:val="3D3B56F0"/>
    <w:rsid w:val="3D3D1507"/>
    <w:rsid w:val="3D421ADA"/>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42365"/>
    <w:rsid w:val="3E5C591E"/>
    <w:rsid w:val="3E6C2B3A"/>
    <w:rsid w:val="3E834C59"/>
    <w:rsid w:val="3E8C5311"/>
    <w:rsid w:val="3E8E7E55"/>
    <w:rsid w:val="3EA370A9"/>
    <w:rsid w:val="3EB61473"/>
    <w:rsid w:val="3EC66011"/>
    <w:rsid w:val="3ED25BE0"/>
    <w:rsid w:val="3ED75B7F"/>
    <w:rsid w:val="3EF9316D"/>
    <w:rsid w:val="3F13633D"/>
    <w:rsid w:val="3F315E6B"/>
    <w:rsid w:val="3F5175E2"/>
    <w:rsid w:val="3F56276A"/>
    <w:rsid w:val="3F6C10E0"/>
    <w:rsid w:val="3F79605C"/>
    <w:rsid w:val="3F963015"/>
    <w:rsid w:val="3F964D35"/>
    <w:rsid w:val="3F9D145B"/>
    <w:rsid w:val="3FA327ED"/>
    <w:rsid w:val="3FB11738"/>
    <w:rsid w:val="3FB5581B"/>
    <w:rsid w:val="3FC33D05"/>
    <w:rsid w:val="3FD140EA"/>
    <w:rsid w:val="3FF46B18"/>
    <w:rsid w:val="3FF74A2E"/>
    <w:rsid w:val="3FFC36E2"/>
    <w:rsid w:val="3FFF0C57"/>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87B49"/>
    <w:rsid w:val="40991379"/>
    <w:rsid w:val="409B3C3D"/>
    <w:rsid w:val="409F1D81"/>
    <w:rsid w:val="40A45A04"/>
    <w:rsid w:val="40F701DF"/>
    <w:rsid w:val="40FD480A"/>
    <w:rsid w:val="411B59C4"/>
    <w:rsid w:val="412A32F8"/>
    <w:rsid w:val="417F433E"/>
    <w:rsid w:val="418264AC"/>
    <w:rsid w:val="4185570A"/>
    <w:rsid w:val="418A1D66"/>
    <w:rsid w:val="419C4043"/>
    <w:rsid w:val="41B7239D"/>
    <w:rsid w:val="41C95079"/>
    <w:rsid w:val="41D852BC"/>
    <w:rsid w:val="41DB6C24"/>
    <w:rsid w:val="41F50C1B"/>
    <w:rsid w:val="41FF3845"/>
    <w:rsid w:val="420E33D3"/>
    <w:rsid w:val="42101488"/>
    <w:rsid w:val="421104A9"/>
    <w:rsid w:val="42143B88"/>
    <w:rsid w:val="42164586"/>
    <w:rsid w:val="422363B0"/>
    <w:rsid w:val="42277FAA"/>
    <w:rsid w:val="422E75D1"/>
    <w:rsid w:val="423C1CEE"/>
    <w:rsid w:val="42475850"/>
    <w:rsid w:val="424C7A58"/>
    <w:rsid w:val="424E1A22"/>
    <w:rsid w:val="425B5DD1"/>
    <w:rsid w:val="4260300C"/>
    <w:rsid w:val="42755200"/>
    <w:rsid w:val="42772802"/>
    <w:rsid w:val="427C799E"/>
    <w:rsid w:val="427F607F"/>
    <w:rsid w:val="42800B9B"/>
    <w:rsid w:val="4281223D"/>
    <w:rsid w:val="42820D0C"/>
    <w:rsid w:val="428E62C2"/>
    <w:rsid w:val="42A06B6C"/>
    <w:rsid w:val="42A27996"/>
    <w:rsid w:val="42A45E72"/>
    <w:rsid w:val="42AA04E2"/>
    <w:rsid w:val="42EA5650"/>
    <w:rsid w:val="42F1438D"/>
    <w:rsid w:val="42F648E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06BF4"/>
    <w:rsid w:val="444946CA"/>
    <w:rsid w:val="444B3F54"/>
    <w:rsid w:val="4476661F"/>
    <w:rsid w:val="447E3AC5"/>
    <w:rsid w:val="44805ED4"/>
    <w:rsid w:val="448743EA"/>
    <w:rsid w:val="448E5DEE"/>
    <w:rsid w:val="449E4142"/>
    <w:rsid w:val="44A90BAA"/>
    <w:rsid w:val="44B24A20"/>
    <w:rsid w:val="44BC0BEE"/>
    <w:rsid w:val="44BF6C07"/>
    <w:rsid w:val="44C24001"/>
    <w:rsid w:val="44C55A88"/>
    <w:rsid w:val="44FB1C9C"/>
    <w:rsid w:val="452D5742"/>
    <w:rsid w:val="45321187"/>
    <w:rsid w:val="45392A13"/>
    <w:rsid w:val="453E3FCF"/>
    <w:rsid w:val="45490F07"/>
    <w:rsid w:val="454F1836"/>
    <w:rsid w:val="457479F1"/>
    <w:rsid w:val="45887B45"/>
    <w:rsid w:val="458B66DF"/>
    <w:rsid w:val="45940F0E"/>
    <w:rsid w:val="45AC5DBA"/>
    <w:rsid w:val="45C3243A"/>
    <w:rsid w:val="45C647AF"/>
    <w:rsid w:val="45CA7611"/>
    <w:rsid w:val="45DD529D"/>
    <w:rsid w:val="45E57886"/>
    <w:rsid w:val="45E945CC"/>
    <w:rsid w:val="46003076"/>
    <w:rsid w:val="46026F63"/>
    <w:rsid w:val="46113492"/>
    <w:rsid w:val="46177E29"/>
    <w:rsid w:val="46205B7F"/>
    <w:rsid w:val="46250CEB"/>
    <w:rsid w:val="462A4554"/>
    <w:rsid w:val="462A6010"/>
    <w:rsid w:val="465D501C"/>
    <w:rsid w:val="466367DB"/>
    <w:rsid w:val="46686D18"/>
    <w:rsid w:val="466D15DA"/>
    <w:rsid w:val="46A208D4"/>
    <w:rsid w:val="46B83779"/>
    <w:rsid w:val="46BF7E28"/>
    <w:rsid w:val="46C3037C"/>
    <w:rsid w:val="46CB4058"/>
    <w:rsid w:val="46DC3AA0"/>
    <w:rsid w:val="46EF26BD"/>
    <w:rsid w:val="46FF15E0"/>
    <w:rsid w:val="4700581C"/>
    <w:rsid w:val="4702516A"/>
    <w:rsid w:val="470923BB"/>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C50446"/>
    <w:rsid w:val="47ED7BCA"/>
    <w:rsid w:val="47F46BC7"/>
    <w:rsid w:val="48016F34"/>
    <w:rsid w:val="480556DB"/>
    <w:rsid w:val="48185C56"/>
    <w:rsid w:val="48254C34"/>
    <w:rsid w:val="48450F81"/>
    <w:rsid w:val="48455675"/>
    <w:rsid w:val="484E729D"/>
    <w:rsid w:val="485458B8"/>
    <w:rsid w:val="48566773"/>
    <w:rsid w:val="485A23C2"/>
    <w:rsid w:val="48623B31"/>
    <w:rsid w:val="48691107"/>
    <w:rsid w:val="48895289"/>
    <w:rsid w:val="48A16B62"/>
    <w:rsid w:val="48A6795E"/>
    <w:rsid w:val="48AE0D54"/>
    <w:rsid w:val="48BA4B58"/>
    <w:rsid w:val="48BC6222"/>
    <w:rsid w:val="48C22822"/>
    <w:rsid w:val="48C245E9"/>
    <w:rsid w:val="48DB312A"/>
    <w:rsid w:val="48DF49D9"/>
    <w:rsid w:val="491F7C74"/>
    <w:rsid w:val="492108CC"/>
    <w:rsid w:val="492C082F"/>
    <w:rsid w:val="49413F52"/>
    <w:rsid w:val="49483D67"/>
    <w:rsid w:val="494F6304"/>
    <w:rsid w:val="49792B95"/>
    <w:rsid w:val="49DF6603"/>
    <w:rsid w:val="49F11610"/>
    <w:rsid w:val="4A05334F"/>
    <w:rsid w:val="4A060864"/>
    <w:rsid w:val="4A1C51FA"/>
    <w:rsid w:val="4A244932"/>
    <w:rsid w:val="4A2922C8"/>
    <w:rsid w:val="4A4117B2"/>
    <w:rsid w:val="4A4A6F73"/>
    <w:rsid w:val="4A78588E"/>
    <w:rsid w:val="4A7A4350"/>
    <w:rsid w:val="4A7B1703"/>
    <w:rsid w:val="4A7E2497"/>
    <w:rsid w:val="4A896826"/>
    <w:rsid w:val="4A93046E"/>
    <w:rsid w:val="4AB77AC9"/>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447E66"/>
    <w:rsid w:val="4B520DF4"/>
    <w:rsid w:val="4B603107"/>
    <w:rsid w:val="4B7A5635"/>
    <w:rsid w:val="4B8E10E1"/>
    <w:rsid w:val="4B9802B0"/>
    <w:rsid w:val="4B9E65BE"/>
    <w:rsid w:val="4B9F33A8"/>
    <w:rsid w:val="4BA80AFD"/>
    <w:rsid w:val="4BB033BA"/>
    <w:rsid w:val="4BB469AD"/>
    <w:rsid w:val="4BBA2F9C"/>
    <w:rsid w:val="4BC06040"/>
    <w:rsid w:val="4BC66ACD"/>
    <w:rsid w:val="4BCA6CE0"/>
    <w:rsid w:val="4BCF5981"/>
    <w:rsid w:val="4BD846DB"/>
    <w:rsid w:val="4BF441D2"/>
    <w:rsid w:val="4C1142B7"/>
    <w:rsid w:val="4C1C2A09"/>
    <w:rsid w:val="4C284AD9"/>
    <w:rsid w:val="4C423098"/>
    <w:rsid w:val="4C694192"/>
    <w:rsid w:val="4C771B75"/>
    <w:rsid w:val="4C791976"/>
    <w:rsid w:val="4C7964D9"/>
    <w:rsid w:val="4C8C5620"/>
    <w:rsid w:val="4C9269F6"/>
    <w:rsid w:val="4CB75F07"/>
    <w:rsid w:val="4CC84335"/>
    <w:rsid w:val="4CCA437D"/>
    <w:rsid w:val="4CD22B0F"/>
    <w:rsid w:val="4CDA3E72"/>
    <w:rsid w:val="4CE4545C"/>
    <w:rsid w:val="4CE9350A"/>
    <w:rsid w:val="4D014937"/>
    <w:rsid w:val="4D1E2466"/>
    <w:rsid w:val="4D225F85"/>
    <w:rsid w:val="4D297BF3"/>
    <w:rsid w:val="4D2D0EAF"/>
    <w:rsid w:val="4D7677FB"/>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819F8"/>
    <w:rsid w:val="4DFC14EA"/>
    <w:rsid w:val="4DFF6815"/>
    <w:rsid w:val="4E035DB6"/>
    <w:rsid w:val="4E0A3427"/>
    <w:rsid w:val="4E2423AC"/>
    <w:rsid w:val="4E261AA5"/>
    <w:rsid w:val="4E287F63"/>
    <w:rsid w:val="4E304B5D"/>
    <w:rsid w:val="4E3F66C2"/>
    <w:rsid w:val="4E4A5793"/>
    <w:rsid w:val="4E611B8B"/>
    <w:rsid w:val="4E6279D7"/>
    <w:rsid w:val="4E682F8C"/>
    <w:rsid w:val="4E6879C7"/>
    <w:rsid w:val="4E6A7BB7"/>
    <w:rsid w:val="4E6C5D89"/>
    <w:rsid w:val="4E9133C2"/>
    <w:rsid w:val="4E9F4951"/>
    <w:rsid w:val="4EB23220"/>
    <w:rsid w:val="4ED17C62"/>
    <w:rsid w:val="4EE661F8"/>
    <w:rsid w:val="4EF27A04"/>
    <w:rsid w:val="4F0773B4"/>
    <w:rsid w:val="4F0A6CD0"/>
    <w:rsid w:val="4F241019"/>
    <w:rsid w:val="4F307BB1"/>
    <w:rsid w:val="4F336227"/>
    <w:rsid w:val="4F3C3EF2"/>
    <w:rsid w:val="4F3D562D"/>
    <w:rsid w:val="4F5C4EE0"/>
    <w:rsid w:val="4F681AF1"/>
    <w:rsid w:val="4F6E1972"/>
    <w:rsid w:val="4F943166"/>
    <w:rsid w:val="4F9C19A5"/>
    <w:rsid w:val="4FA107F2"/>
    <w:rsid w:val="4FBA02A1"/>
    <w:rsid w:val="4FE7106E"/>
    <w:rsid w:val="4FF82FCD"/>
    <w:rsid w:val="50053943"/>
    <w:rsid w:val="50260569"/>
    <w:rsid w:val="50374A3C"/>
    <w:rsid w:val="50487AB0"/>
    <w:rsid w:val="505223C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1508A"/>
    <w:rsid w:val="515B06D0"/>
    <w:rsid w:val="51764AF1"/>
    <w:rsid w:val="51996737"/>
    <w:rsid w:val="51A34DC2"/>
    <w:rsid w:val="51B408B8"/>
    <w:rsid w:val="51B80848"/>
    <w:rsid w:val="51CC0868"/>
    <w:rsid w:val="51D5340F"/>
    <w:rsid w:val="5224454D"/>
    <w:rsid w:val="52287B99"/>
    <w:rsid w:val="52382F2A"/>
    <w:rsid w:val="52386E3D"/>
    <w:rsid w:val="523A7DD1"/>
    <w:rsid w:val="523B7711"/>
    <w:rsid w:val="5271774C"/>
    <w:rsid w:val="527A416D"/>
    <w:rsid w:val="528D5323"/>
    <w:rsid w:val="528D7B65"/>
    <w:rsid w:val="52976ACD"/>
    <w:rsid w:val="52A116FA"/>
    <w:rsid w:val="52AA11D3"/>
    <w:rsid w:val="52DE008D"/>
    <w:rsid w:val="52EE341E"/>
    <w:rsid w:val="52F37FE6"/>
    <w:rsid w:val="52FC1CAF"/>
    <w:rsid w:val="52FE08FA"/>
    <w:rsid w:val="52FF22FE"/>
    <w:rsid w:val="53004672"/>
    <w:rsid w:val="530B071F"/>
    <w:rsid w:val="531A330F"/>
    <w:rsid w:val="532B6CAF"/>
    <w:rsid w:val="533227E5"/>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339"/>
    <w:rsid w:val="53AC6F7B"/>
    <w:rsid w:val="53C01F4F"/>
    <w:rsid w:val="53EB297B"/>
    <w:rsid w:val="53EC4BF7"/>
    <w:rsid w:val="53F20E5E"/>
    <w:rsid w:val="53F671DE"/>
    <w:rsid w:val="53F758A1"/>
    <w:rsid w:val="540D5A7F"/>
    <w:rsid w:val="542E2BC2"/>
    <w:rsid w:val="54310657"/>
    <w:rsid w:val="54352A96"/>
    <w:rsid w:val="54447390"/>
    <w:rsid w:val="544B514D"/>
    <w:rsid w:val="545E1D01"/>
    <w:rsid w:val="54674051"/>
    <w:rsid w:val="546E1AAF"/>
    <w:rsid w:val="5472334E"/>
    <w:rsid w:val="54935B8F"/>
    <w:rsid w:val="549D3677"/>
    <w:rsid w:val="54B03E76"/>
    <w:rsid w:val="54BF230B"/>
    <w:rsid w:val="54CC6227"/>
    <w:rsid w:val="54CE0935"/>
    <w:rsid w:val="54CF536D"/>
    <w:rsid w:val="54D10F9B"/>
    <w:rsid w:val="54D97871"/>
    <w:rsid w:val="54DC4C6B"/>
    <w:rsid w:val="550B5550"/>
    <w:rsid w:val="551D586C"/>
    <w:rsid w:val="55200298"/>
    <w:rsid w:val="55335E1B"/>
    <w:rsid w:val="55342CF9"/>
    <w:rsid w:val="5536079B"/>
    <w:rsid w:val="554B7EF0"/>
    <w:rsid w:val="554F7B33"/>
    <w:rsid w:val="556F3D99"/>
    <w:rsid w:val="55720837"/>
    <w:rsid w:val="55735C18"/>
    <w:rsid w:val="55860894"/>
    <w:rsid w:val="558A0B6B"/>
    <w:rsid w:val="558F6181"/>
    <w:rsid w:val="55B02DF1"/>
    <w:rsid w:val="55D47A00"/>
    <w:rsid w:val="55D5456D"/>
    <w:rsid w:val="55DC290C"/>
    <w:rsid w:val="55E71B19"/>
    <w:rsid w:val="55EA5D64"/>
    <w:rsid w:val="55F01FA1"/>
    <w:rsid w:val="55FC19B9"/>
    <w:rsid w:val="56130B60"/>
    <w:rsid w:val="56234F28"/>
    <w:rsid w:val="5626082A"/>
    <w:rsid w:val="562C1C22"/>
    <w:rsid w:val="565023B2"/>
    <w:rsid w:val="56666B5B"/>
    <w:rsid w:val="56717635"/>
    <w:rsid w:val="567E25C8"/>
    <w:rsid w:val="56990B7C"/>
    <w:rsid w:val="569E1126"/>
    <w:rsid w:val="56A8690E"/>
    <w:rsid w:val="56B679AB"/>
    <w:rsid w:val="56B80DEB"/>
    <w:rsid w:val="56E0560F"/>
    <w:rsid w:val="56E06E61"/>
    <w:rsid w:val="56EF3C74"/>
    <w:rsid w:val="56F653FE"/>
    <w:rsid w:val="57007337"/>
    <w:rsid w:val="57295209"/>
    <w:rsid w:val="574448FC"/>
    <w:rsid w:val="57561D39"/>
    <w:rsid w:val="575B7AFD"/>
    <w:rsid w:val="57660D3F"/>
    <w:rsid w:val="5785783C"/>
    <w:rsid w:val="578F06BB"/>
    <w:rsid w:val="579F0CAA"/>
    <w:rsid w:val="57A469A0"/>
    <w:rsid w:val="57BE5BA6"/>
    <w:rsid w:val="57CC4BC2"/>
    <w:rsid w:val="57D10760"/>
    <w:rsid w:val="57D1153D"/>
    <w:rsid w:val="57D77297"/>
    <w:rsid w:val="57E04A72"/>
    <w:rsid w:val="57FA3774"/>
    <w:rsid w:val="58084A3C"/>
    <w:rsid w:val="58276B45"/>
    <w:rsid w:val="582772A7"/>
    <w:rsid w:val="5847689F"/>
    <w:rsid w:val="58531B77"/>
    <w:rsid w:val="585D2975"/>
    <w:rsid w:val="585E3492"/>
    <w:rsid w:val="585F64F9"/>
    <w:rsid w:val="587E3341"/>
    <w:rsid w:val="587F428B"/>
    <w:rsid w:val="58843A9C"/>
    <w:rsid w:val="58B31855"/>
    <w:rsid w:val="58C1051A"/>
    <w:rsid w:val="58CF56D8"/>
    <w:rsid w:val="58D31010"/>
    <w:rsid w:val="58D63E23"/>
    <w:rsid w:val="58D6741E"/>
    <w:rsid w:val="58DB0535"/>
    <w:rsid w:val="58E467E4"/>
    <w:rsid w:val="58E62E0E"/>
    <w:rsid w:val="58E71239"/>
    <w:rsid w:val="58EA3D0E"/>
    <w:rsid w:val="58F24A5D"/>
    <w:rsid w:val="58F71269"/>
    <w:rsid w:val="58FE045E"/>
    <w:rsid w:val="58FE78A6"/>
    <w:rsid w:val="59014CEF"/>
    <w:rsid w:val="59017396"/>
    <w:rsid w:val="59070080"/>
    <w:rsid w:val="59442D7E"/>
    <w:rsid w:val="59561946"/>
    <w:rsid w:val="59670F51"/>
    <w:rsid w:val="596A44F9"/>
    <w:rsid w:val="596C19BB"/>
    <w:rsid w:val="59790BDB"/>
    <w:rsid w:val="597E3F42"/>
    <w:rsid w:val="598653AC"/>
    <w:rsid w:val="59AC3C86"/>
    <w:rsid w:val="59B817D3"/>
    <w:rsid w:val="59C11856"/>
    <w:rsid w:val="59C153AB"/>
    <w:rsid w:val="59CF2FF0"/>
    <w:rsid w:val="59D42FDA"/>
    <w:rsid w:val="59DA4E01"/>
    <w:rsid w:val="59F64E82"/>
    <w:rsid w:val="59F842F5"/>
    <w:rsid w:val="5A0A5DD6"/>
    <w:rsid w:val="5A10435C"/>
    <w:rsid w:val="5A2654CC"/>
    <w:rsid w:val="5A323A44"/>
    <w:rsid w:val="5A395E66"/>
    <w:rsid w:val="5A476FBE"/>
    <w:rsid w:val="5A484352"/>
    <w:rsid w:val="5A5321A5"/>
    <w:rsid w:val="5A783688"/>
    <w:rsid w:val="5A845B89"/>
    <w:rsid w:val="5A8734AF"/>
    <w:rsid w:val="5A955FE8"/>
    <w:rsid w:val="5A9A53AC"/>
    <w:rsid w:val="5A9C1D5C"/>
    <w:rsid w:val="5A9D3E45"/>
    <w:rsid w:val="5AA4101D"/>
    <w:rsid w:val="5AB17576"/>
    <w:rsid w:val="5ABA59C8"/>
    <w:rsid w:val="5ABD68E6"/>
    <w:rsid w:val="5ABF73D2"/>
    <w:rsid w:val="5ACB3D8A"/>
    <w:rsid w:val="5ACE32A8"/>
    <w:rsid w:val="5AD32401"/>
    <w:rsid w:val="5AE12FDB"/>
    <w:rsid w:val="5AE1508F"/>
    <w:rsid w:val="5AF80256"/>
    <w:rsid w:val="5B110CC9"/>
    <w:rsid w:val="5B136165"/>
    <w:rsid w:val="5B1851F5"/>
    <w:rsid w:val="5B1F7B5D"/>
    <w:rsid w:val="5B2555BE"/>
    <w:rsid w:val="5B4859CC"/>
    <w:rsid w:val="5B585171"/>
    <w:rsid w:val="5B585B78"/>
    <w:rsid w:val="5B6360E6"/>
    <w:rsid w:val="5B6D62B9"/>
    <w:rsid w:val="5B746CFA"/>
    <w:rsid w:val="5B9A2B59"/>
    <w:rsid w:val="5BA652E6"/>
    <w:rsid w:val="5BC0085A"/>
    <w:rsid w:val="5BC052E6"/>
    <w:rsid w:val="5BE03293"/>
    <w:rsid w:val="5BF03D58"/>
    <w:rsid w:val="5BF20AFB"/>
    <w:rsid w:val="5C1A6BB2"/>
    <w:rsid w:val="5C294C3A"/>
    <w:rsid w:val="5C306D31"/>
    <w:rsid w:val="5C37233A"/>
    <w:rsid w:val="5C5355FE"/>
    <w:rsid w:val="5C5A49A5"/>
    <w:rsid w:val="5C6519EA"/>
    <w:rsid w:val="5C6715FE"/>
    <w:rsid w:val="5C6F4105"/>
    <w:rsid w:val="5C700ABB"/>
    <w:rsid w:val="5C841E70"/>
    <w:rsid w:val="5CAF45D9"/>
    <w:rsid w:val="5CBB7F6F"/>
    <w:rsid w:val="5CC248CE"/>
    <w:rsid w:val="5CC826A5"/>
    <w:rsid w:val="5CF1327E"/>
    <w:rsid w:val="5D042FB1"/>
    <w:rsid w:val="5D2D2508"/>
    <w:rsid w:val="5D442CB4"/>
    <w:rsid w:val="5D7C3F11"/>
    <w:rsid w:val="5D971C5A"/>
    <w:rsid w:val="5D9D49E0"/>
    <w:rsid w:val="5DA01E9E"/>
    <w:rsid w:val="5DAD3649"/>
    <w:rsid w:val="5DC310BE"/>
    <w:rsid w:val="5DC32E6C"/>
    <w:rsid w:val="5DDC27FF"/>
    <w:rsid w:val="5DDF1821"/>
    <w:rsid w:val="5DE2656A"/>
    <w:rsid w:val="5DEA2F91"/>
    <w:rsid w:val="5DF94AE0"/>
    <w:rsid w:val="5DFA5883"/>
    <w:rsid w:val="5E224037"/>
    <w:rsid w:val="5E31411E"/>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082D81"/>
    <w:rsid w:val="5F1544E7"/>
    <w:rsid w:val="5F197EE8"/>
    <w:rsid w:val="5F1C6CD8"/>
    <w:rsid w:val="5F312D8D"/>
    <w:rsid w:val="5F3C4923"/>
    <w:rsid w:val="5F4160B0"/>
    <w:rsid w:val="5F5A7800"/>
    <w:rsid w:val="5F6368E9"/>
    <w:rsid w:val="5F7811D3"/>
    <w:rsid w:val="5F781A34"/>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B5C6A"/>
    <w:rsid w:val="60501264"/>
    <w:rsid w:val="605D2617"/>
    <w:rsid w:val="60616CDC"/>
    <w:rsid w:val="60624E53"/>
    <w:rsid w:val="606319E5"/>
    <w:rsid w:val="607A77D8"/>
    <w:rsid w:val="607B3C50"/>
    <w:rsid w:val="608B6567"/>
    <w:rsid w:val="60902A4E"/>
    <w:rsid w:val="60AA3E6F"/>
    <w:rsid w:val="60FB0B6F"/>
    <w:rsid w:val="60FF21D9"/>
    <w:rsid w:val="610C0686"/>
    <w:rsid w:val="611E37D0"/>
    <w:rsid w:val="613021B3"/>
    <w:rsid w:val="61306A6A"/>
    <w:rsid w:val="613253FD"/>
    <w:rsid w:val="61421F29"/>
    <w:rsid w:val="61637D56"/>
    <w:rsid w:val="61712185"/>
    <w:rsid w:val="618B7207"/>
    <w:rsid w:val="61907E69"/>
    <w:rsid w:val="619D5782"/>
    <w:rsid w:val="61A43EC1"/>
    <w:rsid w:val="61A90D68"/>
    <w:rsid w:val="61B43A15"/>
    <w:rsid w:val="61D92C5E"/>
    <w:rsid w:val="61DA0425"/>
    <w:rsid w:val="61E241E7"/>
    <w:rsid w:val="62065A1D"/>
    <w:rsid w:val="6213792C"/>
    <w:rsid w:val="621775E2"/>
    <w:rsid w:val="621C0D9D"/>
    <w:rsid w:val="62257C51"/>
    <w:rsid w:val="622F7552"/>
    <w:rsid w:val="623052EC"/>
    <w:rsid w:val="6250406E"/>
    <w:rsid w:val="6254757F"/>
    <w:rsid w:val="6267666C"/>
    <w:rsid w:val="62707B03"/>
    <w:rsid w:val="62745086"/>
    <w:rsid w:val="627D6831"/>
    <w:rsid w:val="62811B1C"/>
    <w:rsid w:val="62A20409"/>
    <w:rsid w:val="62AC0373"/>
    <w:rsid w:val="62B54B44"/>
    <w:rsid w:val="62C0797A"/>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1363E"/>
    <w:rsid w:val="6393508F"/>
    <w:rsid w:val="639A3568"/>
    <w:rsid w:val="63A75341"/>
    <w:rsid w:val="63A85E90"/>
    <w:rsid w:val="63A962DB"/>
    <w:rsid w:val="63AB1A91"/>
    <w:rsid w:val="63B75221"/>
    <w:rsid w:val="63B82D47"/>
    <w:rsid w:val="63C74D38"/>
    <w:rsid w:val="63D556A7"/>
    <w:rsid w:val="63EA73A4"/>
    <w:rsid w:val="63EE4692"/>
    <w:rsid w:val="63FD622D"/>
    <w:rsid w:val="64122457"/>
    <w:rsid w:val="64162907"/>
    <w:rsid w:val="64177A6E"/>
    <w:rsid w:val="643F32F9"/>
    <w:rsid w:val="64464CA2"/>
    <w:rsid w:val="64582686"/>
    <w:rsid w:val="64654DEB"/>
    <w:rsid w:val="64673C87"/>
    <w:rsid w:val="646C1BB9"/>
    <w:rsid w:val="6486074F"/>
    <w:rsid w:val="64877733"/>
    <w:rsid w:val="64925346"/>
    <w:rsid w:val="64A170D2"/>
    <w:rsid w:val="64A251DD"/>
    <w:rsid w:val="64BC182A"/>
    <w:rsid w:val="64F8164D"/>
    <w:rsid w:val="650109C9"/>
    <w:rsid w:val="650242F0"/>
    <w:rsid w:val="65365B2B"/>
    <w:rsid w:val="653F447E"/>
    <w:rsid w:val="65470082"/>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DC3999"/>
    <w:rsid w:val="66E362F9"/>
    <w:rsid w:val="66E47FD9"/>
    <w:rsid w:val="66E520A5"/>
    <w:rsid w:val="66F04175"/>
    <w:rsid w:val="66F127F8"/>
    <w:rsid w:val="67071922"/>
    <w:rsid w:val="673B73C0"/>
    <w:rsid w:val="674743C8"/>
    <w:rsid w:val="675608B6"/>
    <w:rsid w:val="67754402"/>
    <w:rsid w:val="677D54ED"/>
    <w:rsid w:val="678B726C"/>
    <w:rsid w:val="67955AC1"/>
    <w:rsid w:val="67A21D44"/>
    <w:rsid w:val="67B25E27"/>
    <w:rsid w:val="67B4646D"/>
    <w:rsid w:val="67B464CA"/>
    <w:rsid w:val="67C4383B"/>
    <w:rsid w:val="67CE2B39"/>
    <w:rsid w:val="67D35E1A"/>
    <w:rsid w:val="67D839B8"/>
    <w:rsid w:val="67E81E4D"/>
    <w:rsid w:val="67ED1853"/>
    <w:rsid w:val="67F35317"/>
    <w:rsid w:val="67F73E3E"/>
    <w:rsid w:val="68016A6B"/>
    <w:rsid w:val="680201B7"/>
    <w:rsid w:val="68040309"/>
    <w:rsid w:val="68060525"/>
    <w:rsid w:val="68362BFB"/>
    <w:rsid w:val="683D085A"/>
    <w:rsid w:val="683F1130"/>
    <w:rsid w:val="684456A1"/>
    <w:rsid w:val="684C2838"/>
    <w:rsid w:val="685E1363"/>
    <w:rsid w:val="686C71AF"/>
    <w:rsid w:val="687731D1"/>
    <w:rsid w:val="6878475E"/>
    <w:rsid w:val="688B4E68"/>
    <w:rsid w:val="688E1089"/>
    <w:rsid w:val="68907DEF"/>
    <w:rsid w:val="68941085"/>
    <w:rsid w:val="68993219"/>
    <w:rsid w:val="689E42BA"/>
    <w:rsid w:val="68A026F3"/>
    <w:rsid w:val="68AF6C13"/>
    <w:rsid w:val="68E22922"/>
    <w:rsid w:val="68F25680"/>
    <w:rsid w:val="69074555"/>
    <w:rsid w:val="690E07C7"/>
    <w:rsid w:val="69140A20"/>
    <w:rsid w:val="69236A65"/>
    <w:rsid w:val="692622A5"/>
    <w:rsid w:val="692E469B"/>
    <w:rsid w:val="69315C48"/>
    <w:rsid w:val="694019EC"/>
    <w:rsid w:val="694841AF"/>
    <w:rsid w:val="69584DB4"/>
    <w:rsid w:val="695B5B89"/>
    <w:rsid w:val="695C3AB5"/>
    <w:rsid w:val="695F296E"/>
    <w:rsid w:val="696C3D80"/>
    <w:rsid w:val="696D7E94"/>
    <w:rsid w:val="698A5EE4"/>
    <w:rsid w:val="69C811ED"/>
    <w:rsid w:val="69D33070"/>
    <w:rsid w:val="69E25A91"/>
    <w:rsid w:val="69E97E75"/>
    <w:rsid w:val="69FB5D9E"/>
    <w:rsid w:val="69FF6FDA"/>
    <w:rsid w:val="6A09542B"/>
    <w:rsid w:val="6A1A3007"/>
    <w:rsid w:val="6A1E645E"/>
    <w:rsid w:val="6A3C6480"/>
    <w:rsid w:val="6A3D7B02"/>
    <w:rsid w:val="6A417049"/>
    <w:rsid w:val="6A576E16"/>
    <w:rsid w:val="6A7903E5"/>
    <w:rsid w:val="6A7A07DA"/>
    <w:rsid w:val="6A8219B9"/>
    <w:rsid w:val="6A8641F2"/>
    <w:rsid w:val="6A9701A5"/>
    <w:rsid w:val="6AA03032"/>
    <w:rsid w:val="6AA86FEC"/>
    <w:rsid w:val="6ACB20F7"/>
    <w:rsid w:val="6ADA6AC4"/>
    <w:rsid w:val="6ADB11D6"/>
    <w:rsid w:val="6B1A2C3C"/>
    <w:rsid w:val="6B221F4E"/>
    <w:rsid w:val="6B31644D"/>
    <w:rsid w:val="6B486C86"/>
    <w:rsid w:val="6B554C72"/>
    <w:rsid w:val="6B623CC4"/>
    <w:rsid w:val="6B680BAF"/>
    <w:rsid w:val="6B774DF2"/>
    <w:rsid w:val="6B847AD7"/>
    <w:rsid w:val="6B8B7888"/>
    <w:rsid w:val="6B961F07"/>
    <w:rsid w:val="6B9A2DF9"/>
    <w:rsid w:val="6BA56BC7"/>
    <w:rsid w:val="6BAA566B"/>
    <w:rsid w:val="6BAC4619"/>
    <w:rsid w:val="6BB118FD"/>
    <w:rsid w:val="6BC60150"/>
    <w:rsid w:val="6BCD2823"/>
    <w:rsid w:val="6BDD15DD"/>
    <w:rsid w:val="6BDF2966"/>
    <w:rsid w:val="6BE86A5F"/>
    <w:rsid w:val="6BFB7C75"/>
    <w:rsid w:val="6C053C7D"/>
    <w:rsid w:val="6C0D357A"/>
    <w:rsid w:val="6C2076DB"/>
    <w:rsid w:val="6C234DED"/>
    <w:rsid w:val="6C29198B"/>
    <w:rsid w:val="6C3A67D1"/>
    <w:rsid w:val="6C3D2157"/>
    <w:rsid w:val="6C3D2D5C"/>
    <w:rsid w:val="6C4800AA"/>
    <w:rsid w:val="6C4B4758"/>
    <w:rsid w:val="6C4D28F8"/>
    <w:rsid w:val="6C573E9C"/>
    <w:rsid w:val="6C5A499B"/>
    <w:rsid w:val="6C5C23DC"/>
    <w:rsid w:val="6C6D1126"/>
    <w:rsid w:val="6C8E1FC4"/>
    <w:rsid w:val="6C97174C"/>
    <w:rsid w:val="6C986334"/>
    <w:rsid w:val="6CA35B3A"/>
    <w:rsid w:val="6CA41A5D"/>
    <w:rsid w:val="6CA479DF"/>
    <w:rsid w:val="6CAF588C"/>
    <w:rsid w:val="6CB4638E"/>
    <w:rsid w:val="6CBF3C6A"/>
    <w:rsid w:val="6CBF5306"/>
    <w:rsid w:val="6CD6338A"/>
    <w:rsid w:val="6CD7423E"/>
    <w:rsid w:val="6CD930DF"/>
    <w:rsid w:val="6CDC1854"/>
    <w:rsid w:val="6CE36548"/>
    <w:rsid w:val="6CE70FA1"/>
    <w:rsid w:val="6CF05300"/>
    <w:rsid w:val="6CFA6351"/>
    <w:rsid w:val="6CFC3C40"/>
    <w:rsid w:val="6D2F6F7D"/>
    <w:rsid w:val="6D480984"/>
    <w:rsid w:val="6D8079F9"/>
    <w:rsid w:val="6D982645"/>
    <w:rsid w:val="6D9C0B83"/>
    <w:rsid w:val="6DB13E57"/>
    <w:rsid w:val="6DC245A2"/>
    <w:rsid w:val="6DC71662"/>
    <w:rsid w:val="6DCD5126"/>
    <w:rsid w:val="6DDB6CB0"/>
    <w:rsid w:val="6DE21877"/>
    <w:rsid w:val="6DE52ACD"/>
    <w:rsid w:val="6DEE183F"/>
    <w:rsid w:val="6DF36E56"/>
    <w:rsid w:val="6DFC0B44"/>
    <w:rsid w:val="6E0458E7"/>
    <w:rsid w:val="6E125659"/>
    <w:rsid w:val="6E212037"/>
    <w:rsid w:val="6E2234B8"/>
    <w:rsid w:val="6E263D90"/>
    <w:rsid w:val="6E3B221B"/>
    <w:rsid w:val="6E475779"/>
    <w:rsid w:val="6E4C2A0A"/>
    <w:rsid w:val="6E51424D"/>
    <w:rsid w:val="6E663C68"/>
    <w:rsid w:val="6E753A49"/>
    <w:rsid w:val="6E7764EF"/>
    <w:rsid w:val="6E8403F6"/>
    <w:rsid w:val="6E98530F"/>
    <w:rsid w:val="6EAD447C"/>
    <w:rsid w:val="6EAE5472"/>
    <w:rsid w:val="6EBC069A"/>
    <w:rsid w:val="6EC42CD2"/>
    <w:rsid w:val="6EC627BC"/>
    <w:rsid w:val="6ECD7F59"/>
    <w:rsid w:val="6ECF2622"/>
    <w:rsid w:val="6ECF449B"/>
    <w:rsid w:val="6ED975CA"/>
    <w:rsid w:val="6EED67AB"/>
    <w:rsid w:val="6EED7C80"/>
    <w:rsid w:val="6EF03395"/>
    <w:rsid w:val="6EF72E99"/>
    <w:rsid w:val="6EF773A4"/>
    <w:rsid w:val="6EFB1D7B"/>
    <w:rsid w:val="6F174DC6"/>
    <w:rsid w:val="6F1E2E65"/>
    <w:rsid w:val="6F2F2D9E"/>
    <w:rsid w:val="6F4147D9"/>
    <w:rsid w:val="6F561247"/>
    <w:rsid w:val="6F581F47"/>
    <w:rsid w:val="6F5B0D5A"/>
    <w:rsid w:val="6F5C35EA"/>
    <w:rsid w:val="6F63625D"/>
    <w:rsid w:val="6F6B6A15"/>
    <w:rsid w:val="6F947E4B"/>
    <w:rsid w:val="6FA30BDA"/>
    <w:rsid w:val="6FB21D4C"/>
    <w:rsid w:val="6FB80698"/>
    <w:rsid w:val="6FF60E7F"/>
    <w:rsid w:val="6FFD5E0F"/>
    <w:rsid w:val="701021F4"/>
    <w:rsid w:val="70196232"/>
    <w:rsid w:val="701C29A6"/>
    <w:rsid w:val="7024611F"/>
    <w:rsid w:val="7030295B"/>
    <w:rsid w:val="7038498C"/>
    <w:rsid w:val="70637B96"/>
    <w:rsid w:val="70797317"/>
    <w:rsid w:val="707E201F"/>
    <w:rsid w:val="70912956"/>
    <w:rsid w:val="7099044B"/>
    <w:rsid w:val="709A06E1"/>
    <w:rsid w:val="709D518F"/>
    <w:rsid w:val="709D782C"/>
    <w:rsid w:val="70B76860"/>
    <w:rsid w:val="70C759D3"/>
    <w:rsid w:val="70CD7E32"/>
    <w:rsid w:val="70CF2B23"/>
    <w:rsid w:val="70D70CB1"/>
    <w:rsid w:val="70D80585"/>
    <w:rsid w:val="70E909E4"/>
    <w:rsid w:val="70FA674D"/>
    <w:rsid w:val="710952C1"/>
    <w:rsid w:val="713954C7"/>
    <w:rsid w:val="713F70AB"/>
    <w:rsid w:val="71452CD8"/>
    <w:rsid w:val="71525E28"/>
    <w:rsid w:val="71583F2D"/>
    <w:rsid w:val="7158683A"/>
    <w:rsid w:val="715B2F52"/>
    <w:rsid w:val="7167680B"/>
    <w:rsid w:val="71764F23"/>
    <w:rsid w:val="71881188"/>
    <w:rsid w:val="71927A5F"/>
    <w:rsid w:val="71946576"/>
    <w:rsid w:val="71967E84"/>
    <w:rsid w:val="7197629F"/>
    <w:rsid w:val="71A61873"/>
    <w:rsid w:val="71AF4936"/>
    <w:rsid w:val="71B12351"/>
    <w:rsid w:val="71BB4E1E"/>
    <w:rsid w:val="71C25DB7"/>
    <w:rsid w:val="71C4751B"/>
    <w:rsid w:val="71CF00A9"/>
    <w:rsid w:val="71D07496"/>
    <w:rsid w:val="71D75D0F"/>
    <w:rsid w:val="71F437A4"/>
    <w:rsid w:val="721919B3"/>
    <w:rsid w:val="721A6098"/>
    <w:rsid w:val="721D18D3"/>
    <w:rsid w:val="72310D1A"/>
    <w:rsid w:val="723659A2"/>
    <w:rsid w:val="724A7260"/>
    <w:rsid w:val="725D6B54"/>
    <w:rsid w:val="72986FA0"/>
    <w:rsid w:val="72A17C99"/>
    <w:rsid w:val="72A2709C"/>
    <w:rsid w:val="72A5093A"/>
    <w:rsid w:val="72AD7197"/>
    <w:rsid w:val="72AE7BE7"/>
    <w:rsid w:val="72AF6F7E"/>
    <w:rsid w:val="72BD2C86"/>
    <w:rsid w:val="72C664D9"/>
    <w:rsid w:val="72CD226C"/>
    <w:rsid w:val="72D27981"/>
    <w:rsid w:val="72F71196"/>
    <w:rsid w:val="72FD74B4"/>
    <w:rsid w:val="73047407"/>
    <w:rsid w:val="73047904"/>
    <w:rsid w:val="730F2712"/>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54C22"/>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B53949"/>
    <w:rsid w:val="75DF5F11"/>
    <w:rsid w:val="75E8633A"/>
    <w:rsid w:val="7621652A"/>
    <w:rsid w:val="76360227"/>
    <w:rsid w:val="76393874"/>
    <w:rsid w:val="763F09AA"/>
    <w:rsid w:val="764F3FCC"/>
    <w:rsid w:val="7650339F"/>
    <w:rsid w:val="76603C9A"/>
    <w:rsid w:val="76665C30"/>
    <w:rsid w:val="76692382"/>
    <w:rsid w:val="766B00E5"/>
    <w:rsid w:val="76832D41"/>
    <w:rsid w:val="768B2C28"/>
    <w:rsid w:val="76BB1CAB"/>
    <w:rsid w:val="76C04050"/>
    <w:rsid w:val="76C536F1"/>
    <w:rsid w:val="76D67314"/>
    <w:rsid w:val="76E00193"/>
    <w:rsid w:val="76E65049"/>
    <w:rsid w:val="76FA74A7"/>
    <w:rsid w:val="77076007"/>
    <w:rsid w:val="771A36A5"/>
    <w:rsid w:val="772049CA"/>
    <w:rsid w:val="77413F7E"/>
    <w:rsid w:val="77464076"/>
    <w:rsid w:val="7758241F"/>
    <w:rsid w:val="777A7D22"/>
    <w:rsid w:val="777E28EC"/>
    <w:rsid w:val="77835654"/>
    <w:rsid w:val="77903967"/>
    <w:rsid w:val="7797109C"/>
    <w:rsid w:val="779A2A38"/>
    <w:rsid w:val="77B4450A"/>
    <w:rsid w:val="77B46E73"/>
    <w:rsid w:val="77D067C7"/>
    <w:rsid w:val="77E37A12"/>
    <w:rsid w:val="77F42148"/>
    <w:rsid w:val="77FE3468"/>
    <w:rsid w:val="78232A2D"/>
    <w:rsid w:val="78250553"/>
    <w:rsid w:val="783B17B1"/>
    <w:rsid w:val="784E2046"/>
    <w:rsid w:val="78546F0C"/>
    <w:rsid w:val="786778FE"/>
    <w:rsid w:val="789D588A"/>
    <w:rsid w:val="78B65E3A"/>
    <w:rsid w:val="78D15CC9"/>
    <w:rsid w:val="78E0091E"/>
    <w:rsid w:val="78EE1C79"/>
    <w:rsid w:val="78F85605"/>
    <w:rsid w:val="78FA66FA"/>
    <w:rsid w:val="79112886"/>
    <w:rsid w:val="79345B6A"/>
    <w:rsid w:val="793F5645"/>
    <w:rsid w:val="79424F6E"/>
    <w:rsid w:val="795F3706"/>
    <w:rsid w:val="797239CC"/>
    <w:rsid w:val="797F54AB"/>
    <w:rsid w:val="79831473"/>
    <w:rsid w:val="798365B5"/>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B4796D"/>
    <w:rsid w:val="7AC9692A"/>
    <w:rsid w:val="7AD60EB8"/>
    <w:rsid w:val="7ADA73A4"/>
    <w:rsid w:val="7AE66B99"/>
    <w:rsid w:val="7AF34646"/>
    <w:rsid w:val="7AFE508C"/>
    <w:rsid w:val="7B0A3BCA"/>
    <w:rsid w:val="7B1C0EF4"/>
    <w:rsid w:val="7B212805"/>
    <w:rsid w:val="7B250B62"/>
    <w:rsid w:val="7B2528D6"/>
    <w:rsid w:val="7B345AA9"/>
    <w:rsid w:val="7B4048C1"/>
    <w:rsid w:val="7B4C5DF7"/>
    <w:rsid w:val="7B4F29D4"/>
    <w:rsid w:val="7B73082F"/>
    <w:rsid w:val="7B7B492E"/>
    <w:rsid w:val="7B9A3D1D"/>
    <w:rsid w:val="7BB46FBD"/>
    <w:rsid w:val="7BC62E00"/>
    <w:rsid w:val="7BC73B55"/>
    <w:rsid w:val="7BE35E2A"/>
    <w:rsid w:val="7BEF4658"/>
    <w:rsid w:val="7BF538C2"/>
    <w:rsid w:val="7BF66C24"/>
    <w:rsid w:val="7BFA1CC7"/>
    <w:rsid w:val="7BFB70B3"/>
    <w:rsid w:val="7C0251DA"/>
    <w:rsid w:val="7C0C0E4A"/>
    <w:rsid w:val="7C0E41D1"/>
    <w:rsid w:val="7C1052F2"/>
    <w:rsid w:val="7C21292C"/>
    <w:rsid w:val="7C2668D9"/>
    <w:rsid w:val="7C32497F"/>
    <w:rsid w:val="7C3C69AE"/>
    <w:rsid w:val="7C691974"/>
    <w:rsid w:val="7C6931B5"/>
    <w:rsid w:val="7C8A6570"/>
    <w:rsid w:val="7C8B7390"/>
    <w:rsid w:val="7C9B0D0E"/>
    <w:rsid w:val="7CA42B03"/>
    <w:rsid w:val="7CAF663E"/>
    <w:rsid w:val="7CB24380"/>
    <w:rsid w:val="7CC55E61"/>
    <w:rsid w:val="7CCC5441"/>
    <w:rsid w:val="7CD2318A"/>
    <w:rsid w:val="7CD2702A"/>
    <w:rsid w:val="7CD34C42"/>
    <w:rsid w:val="7CD46B29"/>
    <w:rsid w:val="7CDE3FF9"/>
    <w:rsid w:val="7CE26EBF"/>
    <w:rsid w:val="7CE617A9"/>
    <w:rsid w:val="7CEE3130"/>
    <w:rsid w:val="7CFC08E8"/>
    <w:rsid w:val="7D1E1A15"/>
    <w:rsid w:val="7D1F6674"/>
    <w:rsid w:val="7D475E29"/>
    <w:rsid w:val="7D480B34"/>
    <w:rsid w:val="7D777A3E"/>
    <w:rsid w:val="7D9005BC"/>
    <w:rsid w:val="7D9F0AD0"/>
    <w:rsid w:val="7DB22BDF"/>
    <w:rsid w:val="7DCD59DA"/>
    <w:rsid w:val="7DD12BB7"/>
    <w:rsid w:val="7DF223A2"/>
    <w:rsid w:val="7DFA5FDE"/>
    <w:rsid w:val="7DFC4DFB"/>
    <w:rsid w:val="7DFF0955"/>
    <w:rsid w:val="7E0B750E"/>
    <w:rsid w:val="7E1939E8"/>
    <w:rsid w:val="7E2400E7"/>
    <w:rsid w:val="7E2822EA"/>
    <w:rsid w:val="7E2A20CE"/>
    <w:rsid w:val="7E355A7B"/>
    <w:rsid w:val="7E455322"/>
    <w:rsid w:val="7E4963B9"/>
    <w:rsid w:val="7E682F48"/>
    <w:rsid w:val="7E6E3E85"/>
    <w:rsid w:val="7E991353"/>
    <w:rsid w:val="7E9C184B"/>
    <w:rsid w:val="7EA72948"/>
    <w:rsid w:val="7EAD0204"/>
    <w:rsid w:val="7EB31EDB"/>
    <w:rsid w:val="7ED61132"/>
    <w:rsid w:val="7EE70CC0"/>
    <w:rsid w:val="7EEB48DB"/>
    <w:rsid w:val="7EF27444"/>
    <w:rsid w:val="7F0F1615"/>
    <w:rsid w:val="7F185A04"/>
    <w:rsid w:val="7F265C58"/>
    <w:rsid w:val="7F3B240A"/>
    <w:rsid w:val="7F4C4618"/>
    <w:rsid w:val="7F4D13A6"/>
    <w:rsid w:val="7F582CF2"/>
    <w:rsid w:val="7F7D6E02"/>
    <w:rsid w:val="7F951B40"/>
    <w:rsid w:val="7FA501CC"/>
    <w:rsid w:val="7FA820A8"/>
    <w:rsid w:val="7FAF2DF8"/>
    <w:rsid w:val="7FB90D50"/>
    <w:rsid w:val="7FBE053E"/>
    <w:rsid w:val="7FBE4DEA"/>
    <w:rsid w:val="7FBF10B0"/>
    <w:rsid w:val="7FDC1E3F"/>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link w:val="77"/>
    <w:autoRedefine/>
    <w:qFormat/>
    <w:uiPriority w:val="0"/>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Document Map"/>
    <w:basedOn w:val="1"/>
    <w:link w:val="79"/>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Default"/>
    <w:next w:val="24"/>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5"/>
    <w:autoRedefine/>
    <w:qFormat/>
    <w:uiPriority w:val="0"/>
    <w:pPr>
      <w:jc w:val="center"/>
    </w:pPr>
    <w:rPr>
      <w:rFonts w:ascii="Arial" w:hAnsi="Arial"/>
      <w:b/>
      <w:sz w:val="28"/>
    </w:rPr>
  </w:style>
  <w:style w:type="paragraph" w:customStyle="1" w:styleId="51">
    <w:name w:val="无间隔1"/>
    <w:basedOn w:val="52"/>
    <w:next w:val="10"/>
    <w:autoRedefine/>
    <w:qFormat/>
    <w:uiPriority w:val="1"/>
    <w:pPr>
      <w:spacing w:line="400" w:lineRule="exact"/>
    </w:pPr>
    <w:rPr>
      <w:sz w:val="24"/>
    </w:rPr>
  </w:style>
  <w:style w:type="paragraph" w:customStyle="1" w:styleId="52">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正文文本缩进 21"/>
    <w:basedOn w:val="1"/>
    <w:autoRedefine/>
    <w:qFormat/>
    <w:uiPriority w:val="0"/>
    <w:pPr>
      <w:ind w:firstLine="570"/>
    </w:pPr>
    <w:rPr>
      <w:sz w:val="32"/>
    </w:rPr>
  </w:style>
  <w:style w:type="paragraph" w:customStyle="1" w:styleId="54">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6">
    <w:name w:val="No Spacing1"/>
    <w:basedOn w:val="1"/>
    <w:autoRedefine/>
    <w:qFormat/>
    <w:uiPriority w:val="0"/>
    <w:pPr>
      <w:spacing w:line="400" w:lineRule="exact"/>
    </w:pPr>
    <w:rPr>
      <w:sz w:val="24"/>
    </w:rPr>
  </w:style>
  <w:style w:type="paragraph" w:customStyle="1" w:styleId="57">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8">
    <w:name w:val="Char"/>
    <w:basedOn w:val="1"/>
    <w:autoRedefine/>
    <w:qFormat/>
    <w:uiPriority w:val="0"/>
  </w:style>
  <w:style w:type="paragraph" w:customStyle="1" w:styleId="59">
    <w:name w:val="正文缩进1"/>
    <w:basedOn w:val="1"/>
    <w:autoRedefine/>
    <w:qFormat/>
    <w:uiPriority w:val="0"/>
    <w:pPr>
      <w:widowControl/>
      <w:ind w:firstLine="420"/>
      <w:jc w:val="left"/>
    </w:pPr>
    <w:rPr>
      <w:kern w:val="0"/>
      <w:szCs w:val="20"/>
    </w:rPr>
  </w:style>
  <w:style w:type="paragraph" w:customStyle="1" w:styleId="60">
    <w:name w:val="列出段落2"/>
    <w:basedOn w:val="1"/>
    <w:autoRedefine/>
    <w:qFormat/>
    <w:uiPriority w:val="34"/>
    <w:pPr>
      <w:ind w:firstLine="420" w:firstLineChars="200"/>
    </w:pPr>
  </w:style>
  <w:style w:type="paragraph" w:customStyle="1" w:styleId="61">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1"/>
    <w:basedOn w:val="1"/>
    <w:autoRedefine/>
    <w:qFormat/>
    <w:uiPriority w:val="0"/>
    <w:pPr>
      <w:widowControl/>
      <w:spacing w:beforeAutospacing="1" w:afterAutospacing="1"/>
      <w:jc w:val="left"/>
    </w:pPr>
    <w:rPr>
      <w:rFonts w:ascii="宋体" w:hAnsi="宋体" w:cs="宋体"/>
      <w:kern w:val="0"/>
      <w:sz w:val="24"/>
    </w:rPr>
  </w:style>
  <w:style w:type="paragraph" w:styleId="63">
    <w:name w:val="No Spacing"/>
    <w:autoRedefine/>
    <w:qFormat/>
    <w:uiPriority w:val="1"/>
    <w:rPr>
      <w:rFonts w:ascii="Calibri" w:hAnsi="Calibri" w:eastAsia="宋体" w:cs="Times New Roman"/>
      <w:sz w:val="22"/>
      <w:szCs w:val="22"/>
      <w:lang w:val="en-US" w:eastAsia="zh-CN" w:bidi="ar-SA"/>
    </w:rPr>
  </w:style>
  <w:style w:type="paragraph" w:customStyle="1" w:styleId="64">
    <w:name w:val="_Style 2"/>
    <w:basedOn w:val="1"/>
    <w:autoRedefine/>
    <w:qFormat/>
    <w:uiPriority w:val="34"/>
    <w:pPr>
      <w:ind w:firstLine="420" w:firstLineChars="200"/>
    </w:pPr>
    <w:rPr>
      <w:rFonts w:ascii="Calibri" w:hAnsi="Calibri"/>
    </w:rPr>
  </w:style>
  <w:style w:type="paragraph" w:customStyle="1" w:styleId="65">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6">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7">
    <w:name w:val="Char1"/>
    <w:basedOn w:val="1"/>
    <w:autoRedefine/>
    <w:qFormat/>
    <w:uiPriority w:val="0"/>
  </w:style>
  <w:style w:type="paragraph" w:customStyle="1" w:styleId="68">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
    <w:name w:val="Table Paragraph"/>
    <w:basedOn w:val="1"/>
    <w:autoRedefine/>
    <w:qFormat/>
    <w:uiPriority w:val="1"/>
    <w:pPr>
      <w:jc w:val="left"/>
    </w:pPr>
    <w:rPr>
      <w:rFonts w:ascii="宋体" w:hAnsi="宋体" w:cs="宋体"/>
      <w:kern w:val="0"/>
      <w:sz w:val="22"/>
      <w:szCs w:val="22"/>
      <w:lang w:eastAsia="en-US"/>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5"/>
    <w:link w:val="3"/>
    <w:autoRedefine/>
    <w:qFormat/>
    <w:uiPriority w:val="0"/>
  </w:style>
  <w:style w:type="character" w:customStyle="1" w:styleId="78">
    <w:name w:val="apple-converted-space"/>
    <w:basedOn w:val="35"/>
    <w:autoRedefine/>
    <w:qFormat/>
    <w:uiPriority w:val="0"/>
  </w:style>
  <w:style w:type="character" w:customStyle="1" w:styleId="79">
    <w:name w:val="文档结构图 Char"/>
    <w:link w:val="11"/>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5"/>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5"/>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eastAsia="宋体" w:cs="宋体"/>
      <w:sz w:val="45"/>
      <w:szCs w:val="45"/>
      <w:lang w:val="en-US" w:eastAsia="en-US" w:bidi="ar-SA"/>
    </w:rPr>
  </w:style>
  <w:style w:type="character" w:customStyle="1" w:styleId="95">
    <w:name w:val="font11"/>
    <w:basedOn w:val="35"/>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5"/>
    <w:qFormat/>
    <w:uiPriority w:val="0"/>
    <w:rPr>
      <w:rFonts w:ascii="宋体" w:hAnsi="宋体" w:eastAsia="宋体" w:cs="宋体"/>
      <w:color w:val="000000"/>
      <w:sz w:val="24"/>
      <w:szCs w:val="24"/>
      <w:u w:val="none"/>
    </w:rPr>
  </w:style>
  <w:style w:type="character" w:customStyle="1" w:styleId="98">
    <w:name w:val="font81"/>
    <w:basedOn w:val="35"/>
    <w:qFormat/>
    <w:uiPriority w:val="0"/>
    <w:rPr>
      <w:rFonts w:hint="default" w:ascii="Times New Roman" w:hAnsi="Times New Roman" w:cs="Times New Roman"/>
      <w:color w:val="000000"/>
      <w:sz w:val="18"/>
      <w:szCs w:val="18"/>
      <w:u w:val="none"/>
    </w:rPr>
  </w:style>
  <w:style w:type="paragraph" w:customStyle="1" w:styleId="9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55</Pages>
  <Words>10724</Words>
  <Characters>11041</Characters>
  <Lines>50</Lines>
  <Paragraphs>68</Paragraphs>
  <TotalTime>0</TotalTime>
  <ScaleCrop>false</ScaleCrop>
  <LinksUpToDate>false</LinksUpToDate>
  <CharactersWithSpaces>11224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2026-01-06T06:56:24Z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