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5EF9C66">
      <w:pPr>
        <w:pStyle w:val="20"/>
        <w:bidi w:val="0"/>
        <w:jc w:val="center"/>
        <w:rPr>
          <w:rFonts w:hint="default" w:ascii="宋体" w:hAnsi="宋体" w:eastAsia="宋体" w:cs="宋体"/>
          <w:b/>
          <w:bCs/>
          <w:color w:val="auto"/>
          <w:sz w:val="44"/>
          <w:szCs w:val="44"/>
          <w:highlight w:val="none"/>
          <w:lang w:val="en-US" w:eastAsia="zh-CN"/>
        </w:rPr>
      </w:pPr>
      <w:bookmarkStart w:id="0" w:name="_Toc22953395"/>
      <w:bookmarkEnd w:id="0"/>
      <w:bookmarkStart w:id="1" w:name="_Toc22804073"/>
      <w:bookmarkEnd w:id="1"/>
      <w:r>
        <w:rPr>
          <w:rFonts w:hint="eastAsia" w:cs="宋体"/>
          <w:b/>
          <w:bCs/>
          <w:color w:val="auto"/>
          <w:sz w:val="44"/>
          <w:szCs w:val="44"/>
          <w:highlight w:val="none"/>
          <w:lang w:val="en-US" w:eastAsia="zh-CN"/>
        </w:rPr>
        <w:t>驻马店市中心医院双通道注射泵、输液泵采购项目二次</w:t>
      </w:r>
      <w:bookmarkStart w:id="143" w:name="_GoBack"/>
      <w:bookmarkEnd w:id="143"/>
    </w:p>
    <w:p w14:paraId="514A342E">
      <w:pPr>
        <w:pStyle w:val="20"/>
        <w:bidi w:val="0"/>
        <w:jc w:val="center"/>
        <w:rPr>
          <w:rStyle w:val="44"/>
          <w:rFonts w:hint="eastAsia" w:ascii="宋体" w:hAnsi="宋体" w:eastAsia="宋体" w:cs="宋体"/>
          <w:b/>
          <w:bCs/>
          <w:color w:val="auto"/>
          <w:sz w:val="44"/>
          <w:szCs w:val="44"/>
          <w:highlight w:val="none"/>
          <w:lang w:val="en-US" w:eastAsia="zh-CN"/>
        </w:rPr>
      </w:pPr>
    </w:p>
    <w:p w14:paraId="72164425">
      <w:pPr>
        <w:pStyle w:val="20"/>
        <w:bidi w:val="0"/>
        <w:jc w:val="center"/>
        <w:rPr>
          <w:rStyle w:val="44"/>
          <w:rFonts w:hint="eastAsia" w:ascii="宋体" w:hAnsi="宋体" w:eastAsia="宋体" w:cs="宋体"/>
          <w:b/>
          <w:bCs/>
          <w:color w:val="auto"/>
          <w:sz w:val="44"/>
          <w:szCs w:val="44"/>
          <w:highlight w:val="none"/>
        </w:rPr>
      </w:pPr>
      <w:r>
        <w:rPr>
          <w:rStyle w:val="44"/>
          <w:rFonts w:hint="eastAsia" w:ascii="宋体" w:hAnsi="宋体" w:eastAsia="宋体" w:cs="宋体"/>
          <w:b/>
          <w:bCs/>
          <w:color w:val="auto"/>
          <w:sz w:val="44"/>
          <w:szCs w:val="44"/>
          <w:highlight w:val="none"/>
          <w:lang w:val="en-US" w:eastAsia="zh-CN"/>
        </w:rPr>
        <w:t>竞争性磋商</w:t>
      </w:r>
      <w:r>
        <w:rPr>
          <w:rStyle w:val="44"/>
          <w:rFonts w:hint="eastAsia" w:ascii="宋体" w:hAnsi="宋体" w:eastAsia="宋体" w:cs="宋体"/>
          <w:b/>
          <w:bCs/>
          <w:color w:val="auto"/>
          <w:sz w:val="44"/>
          <w:szCs w:val="44"/>
          <w:highlight w:val="none"/>
        </w:rPr>
        <w:t>文件</w:t>
      </w:r>
    </w:p>
    <w:p w14:paraId="44E388B3">
      <w:pPr>
        <w:pStyle w:val="20"/>
        <w:bidi w:val="0"/>
        <w:jc w:val="center"/>
        <w:rPr>
          <w:rStyle w:val="44"/>
          <w:rFonts w:hint="eastAsia" w:ascii="宋体" w:hAnsi="宋体" w:eastAsia="宋体" w:cs="宋体"/>
          <w:b/>
          <w:bCs/>
          <w:color w:val="auto"/>
          <w:sz w:val="48"/>
          <w:szCs w:val="48"/>
          <w:highlight w:val="none"/>
        </w:rPr>
      </w:pPr>
    </w:p>
    <w:p w14:paraId="158E927F">
      <w:pPr>
        <w:pStyle w:val="20"/>
        <w:bidi w:val="0"/>
        <w:jc w:val="center"/>
        <w:rPr>
          <w:rStyle w:val="44"/>
          <w:rFonts w:hint="eastAsia" w:ascii="宋体" w:hAnsi="宋体" w:eastAsia="宋体" w:cs="宋体"/>
          <w:b/>
          <w:bCs/>
          <w:color w:val="auto"/>
          <w:sz w:val="48"/>
          <w:szCs w:val="48"/>
          <w:highlight w:val="none"/>
        </w:rPr>
      </w:pPr>
    </w:p>
    <w:p w14:paraId="5ABC8E99">
      <w:pPr>
        <w:pStyle w:val="20"/>
        <w:bidi w:val="0"/>
        <w:jc w:val="center"/>
        <w:rPr>
          <w:rStyle w:val="44"/>
          <w:rFonts w:hint="eastAsia" w:ascii="宋体" w:hAnsi="宋体" w:eastAsia="宋体" w:cs="宋体"/>
          <w:b/>
          <w:bCs/>
          <w:color w:val="auto"/>
          <w:sz w:val="48"/>
          <w:szCs w:val="48"/>
          <w:highlight w:val="none"/>
        </w:rPr>
      </w:pPr>
    </w:p>
    <w:p w14:paraId="20826E73">
      <w:pPr>
        <w:pStyle w:val="20"/>
        <w:bidi w:val="0"/>
        <w:jc w:val="center"/>
        <w:rPr>
          <w:rStyle w:val="44"/>
          <w:rFonts w:hint="eastAsia" w:ascii="宋体" w:hAnsi="宋体" w:eastAsia="宋体" w:cs="宋体"/>
          <w:b/>
          <w:bCs/>
          <w:color w:val="auto"/>
          <w:sz w:val="48"/>
          <w:szCs w:val="48"/>
          <w:highlight w:val="none"/>
        </w:rPr>
      </w:pPr>
    </w:p>
    <w:p w14:paraId="76626E87">
      <w:pPr>
        <w:tabs>
          <w:tab w:val="left" w:pos="2700"/>
          <w:tab w:val="left" w:pos="2880"/>
          <w:tab w:val="left" w:pos="3060"/>
          <w:tab w:val="left" w:pos="7560"/>
        </w:tabs>
        <w:snapToGrid w:val="0"/>
        <w:spacing w:line="360" w:lineRule="auto"/>
        <w:ind w:firstLine="1928" w:firstLineChars="600"/>
        <w:jc w:val="both"/>
        <w:rPr>
          <w:rFonts w:hint="eastAsia" w:ascii="宋体" w:hAnsi="宋体" w:eastAsia="宋体" w:cs="宋体"/>
          <w:b/>
          <w:bCs/>
          <w:color w:val="auto"/>
          <w:spacing w:val="-10"/>
          <w:sz w:val="34"/>
          <w:szCs w:val="34"/>
          <w:highlight w:val="none"/>
          <w:lang w:val="en-US" w:eastAsia="zh-CN"/>
        </w:rPr>
      </w:pPr>
    </w:p>
    <w:p w14:paraId="30933B8F">
      <w:pPr>
        <w:snapToGrid w:val="0"/>
        <w:spacing w:line="380" w:lineRule="exact"/>
        <w:jc w:val="center"/>
        <w:rPr>
          <w:rFonts w:hint="eastAsia" w:ascii="宋体" w:hAnsi="宋体" w:eastAsia="宋体" w:cs="宋体"/>
          <w:b/>
          <w:color w:val="auto"/>
          <w:sz w:val="32"/>
          <w:szCs w:val="32"/>
          <w:highlight w:val="none"/>
        </w:rPr>
      </w:pPr>
    </w:p>
    <w:p w14:paraId="41A0088B">
      <w:pPr>
        <w:pStyle w:val="32"/>
        <w:rPr>
          <w:rFonts w:hint="eastAsia" w:ascii="宋体" w:hAnsi="宋体" w:eastAsia="宋体" w:cs="宋体"/>
          <w:color w:val="auto"/>
          <w:highlight w:val="none"/>
        </w:rPr>
      </w:pPr>
    </w:p>
    <w:p w14:paraId="1478C157">
      <w:pPr>
        <w:pStyle w:val="60"/>
        <w:rPr>
          <w:rFonts w:hint="eastAsia" w:ascii="宋体" w:hAnsi="宋体" w:eastAsia="宋体" w:cs="宋体"/>
          <w:bCs/>
          <w:color w:val="auto"/>
          <w:sz w:val="2"/>
          <w:szCs w:val="2"/>
          <w:highlight w:val="none"/>
        </w:rPr>
      </w:pPr>
    </w:p>
    <w:p w14:paraId="6F43A5E5">
      <w:pPr>
        <w:rPr>
          <w:rFonts w:hint="eastAsia" w:ascii="宋体" w:hAnsi="宋体" w:eastAsia="宋体" w:cs="宋体"/>
          <w:bCs/>
          <w:color w:val="auto"/>
          <w:sz w:val="2"/>
          <w:szCs w:val="2"/>
          <w:highlight w:val="none"/>
        </w:rPr>
      </w:pPr>
    </w:p>
    <w:p w14:paraId="21FDF0F3">
      <w:pPr>
        <w:spacing w:line="20" w:lineRule="exact"/>
        <w:rPr>
          <w:rFonts w:hint="eastAsia" w:ascii="宋体" w:hAnsi="宋体" w:eastAsia="宋体" w:cs="宋体"/>
          <w:bCs/>
          <w:color w:val="auto"/>
          <w:sz w:val="2"/>
          <w:szCs w:val="2"/>
          <w:highlight w:val="none"/>
        </w:rPr>
      </w:pPr>
    </w:p>
    <w:p w14:paraId="658E6190">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10"/>
          <w:sz w:val="34"/>
          <w:szCs w:val="34"/>
          <w:highlight w:val="none"/>
          <w:lang w:val="en-US" w:eastAsia="zh-CN"/>
        </w:rPr>
        <w:t>采   购   人：驻马店市中心医院</w:t>
      </w:r>
    </w:p>
    <w:p w14:paraId="52889C6C">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10"/>
          <w:sz w:val="34"/>
          <w:szCs w:val="34"/>
          <w:highlight w:val="none"/>
          <w:lang w:val="en-US" w:eastAsia="zh-CN"/>
        </w:rPr>
        <w:t>采购代理机构：</w:t>
      </w:r>
      <w:r>
        <w:rPr>
          <w:rFonts w:hint="eastAsia" w:ascii="宋体" w:hAnsi="宋体" w:cs="宋体"/>
          <w:b/>
          <w:bCs/>
          <w:color w:val="auto"/>
          <w:spacing w:val="-10"/>
          <w:sz w:val="34"/>
          <w:szCs w:val="34"/>
          <w:highlight w:val="none"/>
          <w:lang w:val="en-US" w:eastAsia="zh-CN"/>
        </w:rPr>
        <w:t>中岐能工程项目管理有限公司</w:t>
      </w:r>
    </w:p>
    <w:p w14:paraId="4FCBE59C">
      <w:pPr>
        <w:tabs>
          <w:tab w:val="left" w:pos="2700"/>
          <w:tab w:val="left" w:pos="2880"/>
          <w:tab w:val="left" w:pos="3060"/>
          <w:tab w:val="left" w:pos="7560"/>
        </w:tabs>
        <w:snapToGrid w:val="0"/>
        <w:spacing w:line="480" w:lineRule="auto"/>
        <w:ind w:firstLine="1928" w:firstLineChars="600"/>
        <w:jc w:val="both"/>
        <w:rPr>
          <w:rFonts w:hint="eastAsia"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10"/>
          <w:sz w:val="34"/>
          <w:szCs w:val="34"/>
          <w:highlight w:val="none"/>
          <w:lang w:val="en-US" w:eastAsia="zh-CN"/>
        </w:rPr>
        <w:t>日         期：2025年</w:t>
      </w:r>
      <w:r>
        <w:rPr>
          <w:rFonts w:hint="eastAsia" w:ascii="宋体" w:hAnsi="宋体" w:cs="宋体"/>
          <w:b/>
          <w:bCs/>
          <w:color w:val="auto"/>
          <w:spacing w:val="-10"/>
          <w:sz w:val="34"/>
          <w:szCs w:val="34"/>
          <w:highlight w:val="none"/>
          <w:lang w:val="en-US" w:eastAsia="zh-CN"/>
        </w:rPr>
        <w:t>12</w:t>
      </w:r>
      <w:r>
        <w:rPr>
          <w:rFonts w:hint="eastAsia" w:ascii="宋体" w:hAnsi="宋体" w:eastAsia="宋体" w:cs="宋体"/>
          <w:b/>
          <w:bCs/>
          <w:color w:val="auto"/>
          <w:spacing w:val="-10"/>
          <w:sz w:val="34"/>
          <w:szCs w:val="34"/>
          <w:highlight w:val="none"/>
          <w:lang w:val="en-US" w:eastAsia="zh-CN"/>
        </w:rPr>
        <w:t>月</w:t>
      </w:r>
    </w:p>
    <w:p w14:paraId="11E7A050">
      <w:pPr>
        <w:tabs>
          <w:tab w:val="left" w:pos="2505"/>
          <w:tab w:val="center" w:pos="4535"/>
        </w:tabs>
        <w:snapToGrid w:val="0"/>
        <w:spacing w:line="480" w:lineRule="auto"/>
        <w:jc w:val="center"/>
        <w:rPr>
          <w:rFonts w:hint="eastAsia" w:ascii="宋体" w:hAnsi="宋体" w:eastAsia="宋体" w:cs="宋体"/>
          <w:b/>
          <w:color w:val="auto"/>
          <w:sz w:val="36"/>
          <w:szCs w:val="36"/>
          <w:highlight w:val="none"/>
        </w:rPr>
        <w:sectPr>
          <w:pgSz w:w="11923" w:h="16838"/>
          <w:pgMar w:top="1304" w:right="1417" w:bottom="992" w:left="1417" w:header="720" w:footer="720" w:gutter="0"/>
          <w:pgNumType w:fmt="decimal" w:start="1"/>
          <w:cols w:space="720" w:num="1"/>
          <w:docGrid w:type="lines" w:linePitch="312" w:charSpace="0"/>
        </w:sectPr>
      </w:pPr>
    </w:p>
    <w:p w14:paraId="5FE7AB9D">
      <w:pPr>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目录</w:t>
      </w:r>
    </w:p>
    <w:p w14:paraId="267D5DE6">
      <w:pPr>
        <w:pStyle w:val="25"/>
        <w:tabs>
          <w:tab w:val="right" w:leader="dot" w:pos="8958"/>
        </w:tabs>
        <w:spacing w:line="360" w:lineRule="auto"/>
        <w:rPr>
          <w:rFonts w:hint="eastAsia" w:ascii="宋体" w:hAnsi="宋体" w:eastAsia="宋体" w:cs="宋体"/>
        </w:rPr>
      </w:pP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TOC \o "1-1" \h \u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_Toc23350 </w:instrText>
      </w:r>
      <w:r>
        <w:rPr>
          <w:rFonts w:hint="eastAsia" w:ascii="宋体" w:hAnsi="宋体" w:eastAsia="宋体" w:cs="宋体"/>
          <w:bCs/>
          <w:szCs w:val="32"/>
          <w:highlight w:val="none"/>
        </w:rPr>
        <w:fldChar w:fldCharType="separate"/>
      </w:r>
      <w:r>
        <w:rPr>
          <w:rFonts w:hint="eastAsia" w:ascii="宋体" w:hAnsi="宋体" w:eastAsia="宋体" w:cs="宋体"/>
          <w:szCs w:val="32"/>
          <w:highlight w:val="none"/>
        </w:rPr>
        <w:t xml:space="preserve">第一章  </w:t>
      </w:r>
      <w:r>
        <w:rPr>
          <w:rFonts w:hint="eastAsia" w:ascii="宋体" w:hAnsi="宋体" w:eastAsia="宋体" w:cs="宋体"/>
          <w:szCs w:val="32"/>
          <w:highlight w:val="none"/>
          <w:lang w:val="en-US" w:eastAsia="zh-CN"/>
        </w:rPr>
        <w:t>竞争性磋商采购</w:t>
      </w:r>
      <w:r>
        <w:rPr>
          <w:rFonts w:hint="eastAsia" w:ascii="宋体" w:hAnsi="宋体" w:eastAsia="宋体" w:cs="宋体"/>
          <w:szCs w:val="32"/>
          <w:highlight w:val="none"/>
        </w:rPr>
        <w:t>公告</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_Toc23350 \h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5B88C0A6">
      <w:pPr>
        <w:pStyle w:val="25"/>
        <w:tabs>
          <w:tab w:val="right" w:leader="dot" w:pos="8958"/>
        </w:tabs>
        <w:spacing w:line="360" w:lineRule="auto"/>
        <w:rPr>
          <w:rFonts w:hint="eastAsia" w:ascii="宋体" w:hAnsi="宋体" w:eastAsia="宋体" w:cs="宋体"/>
        </w:rPr>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_Toc7602 </w:instrText>
      </w:r>
      <w:r>
        <w:rPr>
          <w:rFonts w:hint="eastAsia" w:ascii="宋体" w:hAnsi="宋体" w:eastAsia="宋体" w:cs="宋体"/>
          <w:bCs/>
          <w:szCs w:val="32"/>
          <w:highlight w:val="none"/>
        </w:rPr>
        <w:fldChar w:fldCharType="separate"/>
      </w:r>
      <w:r>
        <w:rPr>
          <w:rFonts w:hint="eastAsia" w:ascii="宋体" w:hAnsi="宋体" w:eastAsia="宋体" w:cs="宋体"/>
          <w:szCs w:val="32"/>
          <w:highlight w:val="none"/>
        </w:rPr>
        <w:t xml:space="preserve">第二章  </w:t>
      </w:r>
      <w:r>
        <w:rPr>
          <w:rFonts w:hint="eastAsia" w:ascii="宋体" w:hAnsi="宋体" w:eastAsia="宋体" w:cs="宋体"/>
          <w:szCs w:val="32"/>
          <w:highlight w:val="none"/>
          <w:lang w:eastAsia="zh-CN"/>
        </w:rPr>
        <w:t>采购</w:t>
      </w:r>
      <w:r>
        <w:rPr>
          <w:rFonts w:hint="eastAsia" w:ascii="宋体" w:hAnsi="宋体" w:eastAsia="宋体" w:cs="宋体"/>
          <w:szCs w:val="32"/>
          <w:highlight w:val="none"/>
        </w:rPr>
        <w:t>需求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_Toc7602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24AE25C0">
      <w:pPr>
        <w:pStyle w:val="25"/>
        <w:tabs>
          <w:tab w:val="right" w:leader="dot" w:pos="8958"/>
        </w:tabs>
        <w:spacing w:line="360" w:lineRule="auto"/>
        <w:rPr>
          <w:rFonts w:hint="eastAsia" w:ascii="宋体" w:hAnsi="宋体" w:eastAsia="宋体" w:cs="宋体"/>
        </w:rPr>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_Toc3942 </w:instrText>
      </w:r>
      <w:r>
        <w:rPr>
          <w:rFonts w:hint="eastAsia" w:ascii="宋体" w:hAnsi="宋体" w:eastAsia="宋体" w:cs="宋体"/>
          <w:bCs/>
          <w:szCs w:val="32"/>
          <w:highlight w:val="none"/>
        </w:rPr>
        <w:fldChar w:fldCharType="separate"/>
      </w:r>
      <w:r>
        <w:rPr>
          <w:rFonts w:hint="eastAsia" w:ascii="宋体" w:hAnsi="宋体" w:eastAsia="宋体" w:cs="宋体"/>
          <w:bCs/>
          <w:szCs w:val="32"/>
          <w:highlight w:val="none"/>
        </w:rPr>
        <w:t xml:space="preserve">第三章  </w:t>
      </w:r>
      <w:r>
        <w:rPr>
          <w:rFonts w:hint="eastAsia" w:ascii="宋体" w:hAnsi="宋体" w:eastAsia="宋体" w:cs="宋体"/>
          <w:bCs/>
          <w:szCs w:val="32"/>
          <w:highlight w:val="none"/>
          <w:lang w:eastAsia="zh-CN"/>
        </w:rPr>
        <w:t>供应商</w:t>
      </w:r>
      <w:r>
        <w:rPr>
          <w:rFonts w:hint="eastAsia" w:ascii="宋体" w:hAnsi="宋体" w:eastAsia="宋体" w:cs="宋体"/>
          <w:bCs/>
          <w:szCs w:val="32"/>
          <w:highlight w:val="none"/>
        </w:rPr>
        <w:t>须知</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_Toc3942 \h </w:instrText>
      </w:r>
      <w:r>
        <w:rPr>
          <w:rFonts w:hint="eastAsia" w:ascii="宋体" w:hAnsi="宋体" w:eastAsia="宋体" w:cs="宋体"/>
        </w:rPr>
        <w:fldChar w:fldCharType="separate"/>
      </w:r>
      <w:r>
        <w:rPr>
          <w:rFonts w:hint="eastAsia" w:ascii="宋体" w:hAnsi="宋体" w:eastAsia="宋体" w:cs="宋体"/>
        </w:rPr>
        <w:t>8</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35325F23">
      <w:pPr>
        <w:pStyle w:val="25"/>
        <w:tabs>
          <w:tab w:val="right" w:leader="dot" w:pos="8958"/>
        </w:tabs>
        <w:spacing w:line="360" w:lineRule="auto"/>
        <w:rPr>
          <w:rFonts w:hint="eastAsia" w:ascii="宋体" w:hAnsi="宋体" w:eastAsia="宋体" w:cs="宋体"/>
        </w:rPr>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_Toc11849 </w:instrText>
      </w:r>
      <w:r>
        <w:rPr>
          <w:rFonts w:hint="eastAsia" w:ascii="宋体" w:hAnsi="宋体" w:eastAsia="宋体" w:cs="宋体"/>
          <w:bCs/>
          <w:szCs w:val="32"/>
          <w:highlight w:val="none"/>
        </w:rPr>
        <w:fldChar w:fldCharType="separate"/>
      </w:r>
      <w:r>
        <w:rPr>
          <w:rFonts w:hint="eastAsia" w:ascii="宋体" w:hAnsi="宋体" w:eastAsia="宋体" w:cs="宋体"/>
          <w:bCs/>
          <w:kern w:val="0"/>
          <w:szCs w:val="32"/>
          <w:highlight w:val="none"/>
        </w:rPr>
        <w:t>第四章  评标办法及评分标准</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_Toc11849 \h </w:instrText>
      </w:r>
      <w:r>
        <w:rPr>
          <w:rFonts w:hint="eastAsia" w:ascii="宋体" w:hAnsi="宋体" w:eastAsia="宋体" w:cs="宋体"/>
        </w:rPr>
        <w:fldChar w:fldCharType="separate"/>
      </w:r>
      <w:r>
        <w:rPr>
          <w:rFonts w:hint="eastAsia" w:ascii="宋体" w:hAnsi="宋体" w:eastAsia="宋体" w:cs="宋体"/>
        </w:rPr>
        <w:t>19</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216080CB">
      <w:pPr>
        <w:pStyle w:val="25"/>
        <w:tabs>
          <w:tab w:val="right" w:leader="dot" w:pos="8958"/>
        </w:tabs>
        <w:spacing w:line="360" w:lineRule="auto"/>
        <w:rPr>
          <w:rFonts w:hint="eastAsia" w:ascii="宋体" w:hAnsi="宋体" w:eastAsia="宋体" w:cs="宋体"/>
        </w:rPr>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_Toc16728 </w:instrText>
      </w:r>
      <w:r>
        <w:rPr>
          <w:rFonts w:hint="eastAsia" w:ascii="宋体" w:hAnsi="宋体" w:eastAsia="宋体" w:cs="宋体"/>
          <w:bCs/>
          <w:szCs w:val="32"/>
          <w:highlight w:val="none"/>
        </w:rPr>
        <w:fldChar w:fldCharType="separate"/>
      </w:r>
      <w:r>
        <w:rPr>
          <w:rFonts w:hint="eastAsia" w:ascii="宋体" w:hAnsi="宋体" w:eastAsia="宋体" w:cs="宋体"/>
          <w:szCs w:val="28"/>
          <w:highlight w:val="none"/>
        </w:rPr>
        <w:t>第五章  采购合同</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_Toc16728 \h </w:instrText>
      </w:r>
      <w:r>
        <w:rPr>
          <w:rFonts w:hint="eastAsia" w:ascii="宋体" w:hAnsi="宋体" w:eastAsia="宋体" w:cs="宋体"/>
        </w:rPr>
        <w:fldChar w:fldCharType="separate"/>
      </w:r>
      <w:r>
        <w:rPr>
          <w:rFonts w:hint="eastAsia" w:ascii="宋体" w:hAnsi="宋体" w:eastAsia="宋体" w:cs="宋体"/>
        </w:rPr>
        <w:t>21</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2087EF96">
      <w:pPr>
        <w:pStyle w:val="25"/>
        <w:tabs>
          <w:tab w:val="right" w:leader="dot" w:pos="8958"/>
        </w:tabs>
        <w:spacing w:line="360" w:lineRule="auto"/>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_Toc13879 </w:instrText>
      </w:r>
      <w:r>
        <w:rPr>
          <w:rFonts w:hint="eastAsia" w:ascii="宋体" w:hAnsi="宋体" w:eastAsia="宋体" w:cs="宋体"/>
          <w:bCs/>
          <w:szCs w:val="32"/>
          <w:highlight w:val="none"/>
        </w:rPr>
        <w:fldChar w:fldCharType="separate"/>
      </w:r>
      <w:r>
        <w:rPr>
          <w:rFonts w:hint="eastAsia" w:ascii="宋体" w:hAnsi="宋体" w:eastAsia="宋体" w:cs="宋体"/>
          <w:szCs w:val="32"/>
          <w:highlight w:val="none"/>
        </w:rPr>
        <w:t xml:space="preserve">第六章  </w:t>
      </w:r>
      <w:r>
        <w:rPr>
          <w:rFonts w:hint="eastAsia" w:ascii="宋体" w:hAnsi="宋体" w:eastAsia="宋体" w:cs="宋体"/>
          <w:szCs w:val="32"/>
          <w:highlight w:val="none"/>
          <w:lang w:val="en-US" w:eastAsia="zh-CN"/>
        </w:rPr>
        <w:t>响应</w:t>
      </w:r>
      <w:r>
        <w:rPr>
          <w:rFonts w:hint="eastAsia" w:ascii="宋体" w:hAnsi="宋体" w:eastAsia="宋体" w:cs="宋体"/>
          <w:szCs w:val="32"/>
          <w:highlight w:val="none"/>
        </w:rPr>
        <w:t>文件格式</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_Toc13879 \h </w:instrText>
      </w:r>
      <w:r>
        <w:rPr>
          <w:rFonts w:hint="eastAsia" w:ascii="宋体" w:hAnsi="宋体" w:eastAsia="宋体" w:cs="宋体"/>
        </w:rPr>
        <w:fldChar w:fldCharType="separate"/>
      </w:r>
      <w:r>
        <w:rPr>
          <w:rFonts w:hint="eastAsia" w:ascii="宋体" w:hAnsi="宋体" w:eastAsia="宋体" w:cs="宋体"/>
        </w:rPr>
        <w:t>22</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4A0CCEB8">
      <w:pPr>
        <w:pStyle w:val="25"/>
        <w:tabs>
          <w:tab w:val="right" w:leader="dot" w:pos="8958"/>
        </w:tabs>
      </w:pPr>
    </w:p>
    <w:p w14:paraId="583C03D8">
      <w:pPr>
        <w:pStyle w:val="84"/>
        <w:keepNext w:val="0"/>
        <w:keepLines w:val="0"/>
        <w:pageBreakBefore w:val="0"/>
        <w:tabs>
          <w:tab w:val="right" w:leader="dot" w:pos="8300"/>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32"/>
          <w:szCs w:val="32"/>
          <w:highlight w:val="none"/>
        </w:rPr>
      </w:pPr>
      <w:r>
        <w:rPr>
          <w:rFonts w:hint="eastAsia" w:ascii="宋体" w:hAnsi="宋体" w:eastAsia="宋体" w:cs="宋体"/>
          <w:bCs/>
          <w:color w:val="auto"/>
          <w:szCs w:val="32"/>
          <w:highlight w:val="none"/>
        </w:rPr>
        <w:fldChar w:fldCharType="end"/>
      </w:r>
    </w:p>
    <w:p w14:paraId="2DB3124A">
      <w:pPr>
        <w:spacing w:line="440" w:lineRule="exact"/>
        <w:rPr>
          <w:rFonts w:hint="eastAsia" w:ascii="宋体" w:hAnsi="宋体" w:eastAsia="宋体" w:cs="宋体"/>
          <w:b/>
          <w:color w:val="auto"/>
          <w:sz w:val="32"/>
          <w:szCs w:val="32"/>
          <w:highlight w:val="none"/>
        </w:rPr>
      </w:pPr>
    </w:p>
    <w:p w14:paraId="1EB37B1F">
      <w:pPr>
        <w:spacing w:line="360" w:lineRule="auto"/>
        <w:ind w:firstLine="2409" w:firstLineChars="600"/>
        <w:rPr>
          <w:rFonts w:hint="eastAsia" w:ascii="宋体" w:hAnsi="宋体" w:eastAsia="宋体" w:cs="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14:paraId="507E5BEB">
      <w:pPr>
        <w:keepNext w:val="0"/>
        <w:keepLines w:val="0"/>
        <w:pageBreakBefore w:val="0"/>
        <w:kinsoku/>
        <w:overflowPunct/>
        <w:topLinePunct w:val="0"/>
        <w:autoSpaceDE/>
        <w:autoSpaceDN/>
        <w:bidi w:val="0"/>
        <w:spacing w:line="440" w:lineRule="exact"/>
        <w:jc w:val="center"/>
        <w:textAlignment w:val="auto"/>
        <w:outlineLvl w:val="0"/>
        <w:rPr>
          <w:rFonts w:hint="eastAsia" w:ascii="宋体" w:hAnsi="宋体" w:eastAsia="宋体" w:cs="宋体"/>
          <w:b/>
          <w:color w:val="auto"/>
          <w:sz w:val="32"/>
          <w:szCs w:val="32"/>
          <w:highlight w:val="none"/>
        </w:rPr>
      </w:pPr>
      <w:bookmarkStart w:id="2" w:name="_Toc23350"/>
      <w:r>
        <w:rPr>
          <w:rFonts w:hint="eastAsia" w:ascii="宋体" w:hAnsi="宋体" w:eastAsia="宋体" w:cs="宋体"/>
          <w:b/>
          <w:color w:val="auto"/>
          <w:sz w:val="32"/>
          <w:szCs w:val="32"/>
          <w:highlight w:val="none"/>
        </w:rPr>
        <w:t xml:space="preserve">第一章  </w:t>
      </w:r>
      <w:r>
        <w:rPr>
          <w:rFonts w:hint="eastAsia" w:ascii="宋体" w:hAnsi="宋体" w:eastAsia="宋体" w:cs="宋体"/>
          <w:b/>
          <w:color w:val="auto"/>
          <w:sz w:val="32"/>
          <w:szCs w:val="32"/>
          <w:highlight w:val="none"/>
          <w:lang w:val="en-US" w:eastAsia="zh-CN"/>
        </w:rPr>
        <w:t>竞争性磋商采购</w:t>
      </w:r>
      <w:r>
        <w:rPr>
          <w:rFonts w:hint="eastAsia" w:ascii="宋体" w:hAnsi="宋体" w:eastAsia="宋体" w:cs="宋体"/>
          <w:b/>
          <w:color w:val="auto"/>
          <w:sz w:val="32"/>
          <w:szCs w:val="32"/>
          <w:highlight w:val="none"/>
        </w:rPr>
        <w:t>公告</w:t>
      </w:r>
      <w:bookmarkEnd w:id="2"/>
    </w:p>
    <w:p w14:paraId="5971FF07">
      <w:pPr>
        <w:keepNext w:val="0"/>
        <w:keepLines w:val="0"/>
        <w:pageBreakBefore w:val="0"/>
        <w:widowControl/>
        <w:kinsoku/>
        <w:wordWrap/>
        <w:overflowPunct/>
        <w:topLinePunct w:val="0"/>
        <w:autoSpaceDE/>
        <w:autoSpaceDN/>
        <w:bidi w:val="0"/>
        <w:adjustRightInd w:val="0"/>
        <w:snapToGrid w:val="0"/>
        <w:spacing w:afterAutospacing="0" w:line="440" w:lineRule="exact"/>
        <w:jc w:val="center"/>
        <w:textAlignment w:val="auto"/>
        <w:rPr>
          <w:rFonts w:hint="eastAsia" w:ascii="宋体" w:hAnsi="宋体" w:cs="宋体"/>
          <w:b/>
          <w:bCs w:val="0"/>
          <w:color w:val="auto"/>
          <w:kern w:val="0"/>
          <w:sz w:val="28"/>
          <w:szCs w:val="28"/>
          <w:highlight w:val="none"/>
          <w:u w:val="none"/>
          <w:lang w:val="en-US" w:eastAsia="zh-CN"/>
        </w:rPr>
      </w:pPr>
      <w:r>
        <w:rPr>
          <w:rFonts w:hint="eastAsia" w:ascii="宋体" w:hAnsi="宋体" w:cs="宋体"/>
          <w:b/>
          <w:bCs w:val="0"/>
          <w:color w:val="auto"/>
          <w:kern w:val="0"/>
          <w:sz w:val="28"/>
          <w:szCs w:val="28"/>
          <w:highlight w:val="none"/>
          <w:u w:val="none"/>
          <w:lang w:val="en-US" w:eastAsia="zh-CN"/>
        </w:rPr>
        <w:t>驻马店市中心医院双通道注射泵、输液泵采购项目</w:t>
      </w:r>
    </w:p>
    <w:p w14:paraId="6C730A6D">
      <w:pPr>
        <w:keepNext w:val="0"/>
        <w:keepLines w:val="0"/>
        <w:pageBreakBefore w:val="0"/>
        <w:widowControl/>
        <w:kinsoku/>
        <w:wordWrap/>
        <w:overflowPunct/>
        <w:topLinePunct w:val="0"/>
        <w:autoSpaceDE/>
        <w:autoSpaceDN/>
        <w:bidi w:val="0"/>
        <w:adjustRightInd w:val="0"/>
        <w:snapToGrid w:val="0"/>
        <w:spacing w:afterAutospacing="0" w:line="440" w:lineRule="exact"/>
        <w:jc w:val="center"/>
        <w:textAlignment w:val="auto"/>
        <w:rPr>
          <w:rFonts w:hint="eastAsia" w:ascii="宋体" w:hAnsi="宋体" w:eastAsia="宋体" w:cs="宋体"/>
          <w:b/>
          <w:bCs w:val="0"/>
          <w:color w:val="auto"/>
          <w:kern w:val="0"/>
          <w:sz w:val="28"/>
          <w:szCs w:val="28"/>
          <w:highlight w:val="none"/>
          <w:lang w:val="en-US" w:eastAsia="zh-CN"/>
        </w:rPr>
      </w:pPr>
      <w:r>
        <w:rPr>
          <w:rFonts w:hint="eastAsia" w:ascii="宋体" w:hAnsi="宋体" w:eastAsia="宋体" w:cs="宋体"/>
          <w:b/>
          <w:bCs w:val="0"/>
          <w:color w:val="auto"/>
          <w:kern w:val="0"/>
          <w:sz w:val="28"/>
          <w:szCs w:val="28"/>
          <w:highlight w:val="none"/>
          <w:u w:val="none"/>
          <w:lang w:val="en-US" w:eastAsia="zh-CN"/>
        </w:rPr>
        <w:t>竞争性磋商</w:t>
      </w:r>
      <w:r>
        <w:rPr>
          <w:rFonts w:hint="eastAsia" w:ascii="宋体" w:hAnsi="宋体" w:eastAsia="宋体" w:cs="宋体"/>
          <w:b/>
          <w:bCs w:val="0"/>
          <w:color w:val="auto"/>
          <w:kern w:val="0"/>
          <w:sz w:val="28"/>
          <w:szCs w:val="28"/>
          <w:highlight w:val="none"/>
        </w:rPr>
        <w:t>公告</w:t>
      </w:r>
      <w:r>
        <w:rPr>
          <w:rFonts w:hint="eastAsia" w:ascii="宋体" w:hAnsi="宋体" w:cs="宋体"/>
          <w:b/>
          <w:bCs w:val="0"/>
          <w:color w:val="auto"/>
          <w:kern w:val="0"/>
          <w:sz w:val="28"/>
          <w:szCs w:val="28"/>
          <w:highlight w:val="none"/>
          <w:lang w:val="en-US" w:eastAsia="zh-CN"/>
        </w:rPr>
        <w:t>二次</w:t>
      </w:r>
    </w:p>
    <w:p w14:paraId="0FE28867">
      <w:pPr>
        <w:keepNext w:val="0"/>
        <w:keepLines w:val="0"/>
        <w:pageBreakBefore w:val="0"/>
        <w:kinsoku/>
        <w:overflowPunct/>
        <w:topLinePunct w:val="0"/>
        <w:autoSpaceDE/>
        <w:autoSpaceDN/>
        <w:bidi w:val="0"/>
        <w:snapToGrid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highlight w:val="none"/>
        </w:rPr>
        <w:t>驻马店市中心医院现对</w:t>
      </w:r>
      <w:r>
        <w:rPr>
          <w:rFonts w:hint="eastAsia" w:ascii="宋体" w:hAnsi="宋体" w:eastAsia="宋体" w:cs="宋体"/>
          <w:color w:val="auto"/>
          <w:highlight w:val="none"/>
          <w:u w:val="single"/>
          <w:lang w:val="en-US" w:eastAsia="zh-CN"/>
        </w:rPr>
        <w:t>双通道注射泵、输液泵采购项目</w:t>
      </w:r>
      <w:r>
        <w:rPr>
          <w:rFonts w:hint="eastAsia" w:ascii="宋体" w:hAnsi="宋体" w:cs="宋体"/>
          <w:color w:val="auto"/>
          <w:highlight w:val="none"/>
          <w:u w:val="single"/>
          <w:lang w:val="en-US" w:eastAsia="zh-CN"/>
        </w:rPr>
        <w:t>二次</w:t>
      </w:r>
      <w:r>
        <w:rPr>
          <w:rFonts w:hint="eastAsia" w:ascii="宋体" w:hAnsi="宋体" w:eastAsia="宋体" w:cs="宋体"/>
          <w:color w:val="auto"/>
          <w:highlight w:val="none"/>
        </w:rPr>
        <w:t>进行院内</w:t>
      </w:r>
      <w:r>
        <w:rPr>
          <w:rFonts w:hint="eastAsia" w:ascii="宋体" w:hAnsi="宋体" w:eastAsia="宋体" w:cs="宋体"/>
          <w:color w:val="auto"/>
          <w:highlight w:val="none"/>
          <w:lang w:val="en-US" w:eastAsia="zh-CN"/>
        </w:rPr>
        <w:t>竞争性磋商</w:t>
      </w:r>
      <w:r>
        <w:rPr>
          <w:rFonts w:hint="eastAsia" w:ascii="宋体" w:hAnsi="宋体" w:eastAsia="宋体" w:cs="宋体"/>
          <w:color w:val="auto"/>
          <w:highlight w:val="none"/>
        </w:rPr>
        <w:t>采购，欢迎符合资格条件的供应商前来</w:t>
      </w:r>
      <w:r>
        <w:rPr>
          <w:rFonts w:hint="eastAsia" w:ascii="宋体" w:hAnsi="宋体" w:eastAsia="宋体" w:cs="宋体"/>
          <w:color w:val="auto"/>
          <w:highlight w:val="none"/>
          <w:lang w:val="en-US" w:eastAsia="zh-CN"/>
        </w:rPr>
        <w:t>报名并</w:t>
      </w:r>
      <w:r>
        <w:rPr>
          <w:rFonts w:hint="eastAsia" w:ascii="宋体" w:hAnsi="宋体" w:eastAsia="宋体" w:cs="宋体"/>
          <w:color w:val="auto"/>
          <w:szCs w:val="21"/>
          <w:highlight w:val="none"/>
        </w:rPr>
        <w:t>获取</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w:t>
      </w:r>
    </w:p>
    <w:p w14:paraId="1CE5C737">
      <w:pPr>
        <w:keepNext w:val="0"/>
        <w:keepLines w:val="0"/>
        <w:pageBreakBefore w:val="0"/>
        <w:widowControl/>
        <w:kinsoku/>
        <w:overflowPunct/>
        <w:topLinePunct w:val="0"/>
        <w:autoSpaceDE/>
        <w:autoSpaceDN/>
        <w:bidi w:val="0"/>
        <w:snapToGrid w:val="0"/>
        <w:spacing w:before="0" w:after="0" w:line="440" w:lineRule="exact"/>
        <w:jc w:val="left"/>
        <w:textAlignment w:val="auto"/>
        <w:outlineLvl w:val="1"/>
        <w:rPr>
          <w:rFonts w:hint="eastAsia" w:ascii="宋体" w:hAnsi="宋体" w:eastAsia="宋体" w:cs="宋体"/>
          <w:b/>
          <w:bCs/>
          <w:color w:val="auto"/>
          <w:kern w:val="2"/>
          <w:sz w:val="21"/>
          <w:szCs w:val="21"/>
          <w:highlight w:val="none"/>
          <w:shd w:val="clear" w:color="auto" w:fill="FFFFFF"/>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一、项目基本情况</w:t>
      </w:r>
    </w:p>
    <w:p w14:paraId="440F3ACB">
      <w:pPr>
        <w:keepNext w:val="0"/>
        <w:keepLines w:val="0"/>
        <w:pageBreakBefore w:val="0"/>
        <w:widowControl/>
        <w:tabs>
          <w:tab w:val="left" w:pos="840"/>
        </w:tabs>
        <w:kinsoku/>
        <w:overflowPunct/>
        <w:topLinePunct w:val="0"/>
        <w:autoSpaceDE/>
        <w:autoSpaceDN/>
        <w:bidi w:val="0"/>
        <w:snapToGrid w:val="0"/>
        <w:spacing w:line="440" w:lineRule="exact"/>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采购</w:t>
      </w:r>
      <w:r>
        <w:rPr>
          <w:rFonts w:hint="eastAsia" w:ascii="宋体" w:hAnsi="宋体" w:eastAsia="宋体" w:cs="宋体"/>
          <w:color w:val="auto"/>
          <w:szCs w:val="21"/>
          <w:highlight w:val="none"/>
          <w:shd w:val="clear" w:color="auto" w:fill="FFFFFF"/>
        </w:rPr>
        <w:t>项目名称：</w:t>
      </w:r>
      <w:r>
        <w:rPr>
          <w:rFonts w:hint="eastAsia" w:ascii="宋体" w:hAnsi="宋体" w:cs="宋体"/>
          <w:color w:val="auto"/>
          <w:szCs w:val="21"/>
          <w:highlight w:val="none"/>
          <w:shd w:val="clear" w:color="auto" w:fill="FFFFFF"/>
          <w:lang w:val="en-US" w:eastAsia="zh-CN"/>
        </w:rPr>
        <w:t>驻马店市中心医院双通道注射泵、输液泵采购项目</w:t>
      </w:r>
      <w:r>
        <w:rPr>
          <w:rFonts w:hint="eastAsia" w:ascii="宋体" w:hAnsi="宋体" w:eastAsia="宋体" w:cs="宋体"/>
          <w:color w:val="auto"/>
          <w:szCs w:val="21"/>
          <w:highlight w:val="none"/>
          <w:shd w:val="clear" w:color="auto" w:fill="FFFFFF"/>
          <w:lang w:eastAsia="zh-CN"/>
        </w:rPr>
        <w:t>；</w:t>
      </w:r>
    </w:p>
    <w:p w14:paraId="642E45D6">
      <w:pPr>
        <w:keepNext w:val="0"/>
        <w:keepLines w:val="0"/>
        <w:pageBreakBefore w:val="0"/>
        <w:widowControl/>
        <w:tabs>
          <w:tab w:val="left" w:pos="840"/>
        </w:tabs>
        <w:kinsoku/>
        <w:overflowPunct/>
        <w:topLinePunct w:val="0"/>
        <w:autoSpaceDE/>
        <w:autoSpaceDN/>
        <w:bidi w:val="0"/>
        <w:snapToGrid w:val="0"/>
        <w:spacing w:line="440" w:lineRule="exact"/>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2、采购需求</w:t>
      </w:r>
      <w:r>
        <w:rPr>
          <w:rFonts w:hint="eastAsia" w:ascii="宋体" w:hAnsi="宋体" w:eastAsia="宋体" w:cs="宋体"/>
          <w:color w:val="auto"/>
          <w:szCs w:val="21"/>
          <w:highlight w:val="none"/>
          <w:shd w:val="clear" w:color="auto" w:fill="FFFFFF"/>
          <w:lang w:eastAsia="zh-CN"/>
        </w:rPr>
        <w:t>：具体详见磋商文件第二章采购需求；</w:t>
      </w:r>
    </w:p>
    <w:p w14:paraId="2EC00F35">
      <w:pPr>
        <w:keepNext w:val="0"/>
        <w:keepLines w:val="0"/>
        <w:pageBreakBefore w:val="0"/>
        <w:widowControl/>
        <w:tabs>
          <w:tab w:val="left" w:pos="840"/>
        </w:tabs>
        <w:kinsoku/>
        <w:overflowPunct/>
        <w:topLinePunct w:val="0"/>
        <w:autoSpaceDE/>
        <w:autoSpaceDN/>
        <w:bidi w:val="0"/>
        <w:snapToGrid w:val="0"/>
        <w:spacing w:line="44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3</w:t>
      </w:r>
      <w:bookmarkStart w:id="3" w:name="_Toc26725"/>
      <w:r>
        <w:rPr>
          <w:rFonts w:hint="eastAsia" w:ascii="宋体" w:hAnsi="宋体" w:eastAsia="宋体" w:cs="宋体"/>
          <w:color w:val="auto"/>
          <w:szCs w:val="21"/>
          <w:highlight w:val="none"/>
          <w:shd w:val="clear" w:color="auto" w:fill="FFFFFF"/>
        </w:rPr>
        <w:t>、预算金额：</w:t>
      </w:r>
      <w:r>
        <w:rPr>
          <w:rFonts w:hint="eastAsia" w:ascii="宋体" w:hAnsi="宋体" w:cs="宋体"/>
          <w:color w:val="auto"/>
          <w:szCs w:val="21"/>
          <w:highlight w:val="none"/>
          <w:shd w:val="clear" w:color="auto" w:fill="FFFFFF"/>
          <w:lang w:val="en-US" w:eastAsia="zh-CN"/>
        </w:rPr>
        <w:t>33</w:t>
      </w:r>
      <w:r>
        <w:rPr>
          <w:rFonts w:hint="eastAsia" w:ascii="宋体" w:hAnsi="宋体" w:eastAsia="宋体" w:cs="宋体"/>
          <w:color w:val="auto"/>
          <w:szCs w:val="21"/>
          <w:highlight w:val="none"/>
          <w:shd w:val="clear" w:color="auto" w:fill="FFFFFF"/>
          <w:lang w:val="en-US" w:eastAsia="zh-CN"/>
        </w:rPr>
        <w:t>万元</w:t>
      </w:r>
      <w:r>
        <w:rPr>
          <w:rFonts w:hint="eastAsia" w:ascii="宋体" w:hAnsi="宋体" w:cs="宋体"/>
          <w:color w:val="auto"/>
          <w:szCs w:val="21"/>
          <w:highlight w:val="none"/>
          <w:shd w:val="clear" w:color="auto" w:fill="FFFFFF"/>
          <w:lang w:val="en-US" w:eastAsia="zh-CN"/>
        </w:rPr>
        <w:t>（据实结算）</w:t>
      </w:r>
      <w:r>
        <w:rPr>
          <w:rFonts w:hint="eastAsia" w:ascii="宋体" w:hAnsi="宋体" w:eastAsia="宋体" w:cs="宋体"/>
          <w:color w:val="auto"/>
          <w:szCs w:val="21"/>
          <w:highlight w:val="none"/>
          <w:shd w:val="clear" w:color="auto" w:fill="FFFFFF"/>
          <w:lang w:val="en-US" w:eastAsia="zh-CN"/>
        </w:rPr>
        <w:t>；其中：</w:t>
      </w:r>
    </w:p>
    <w:tbl>
      <w:tblPr>
        <w:tblStyle w:val="34"/>
        <w:tblW w:w="90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0"/>
        <w:gridCol w:w="2565"/>
        <w:gridCol w:w="2339"/>
        <w:gridCol w:w="2665"/>
      </w:tblGrid>
      <w:tr w14:paraId="26712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trPr>
        <w:tc>
          <w:tcPr>
            <w:tcW w:w="1490" w:type="dxa"/>
            <w:vAlign w:val="center"/>
          </w:tcPr>
          <w:p w14:paraId="09490581">
            <w:pPr>
              <w:keepNext w:val="0"/>
              <w:keepLines w:val="0"/>
              <w:pageBreakBefore w:val="0"/>
              <w:widowControl/>
              <w:tabs>
                <w:tab w:val="left" w:pos="840"/>
              </w:tabs>
              <w:kinsoku/>
              <w:overflowPunct/>
              <w:topLinePunct w:val="0"/>
              <w:autoSpaceDE/>
              <w:autoSpaceDN/>
              <w:bidi w:val="0"/>
              <w:snapToGrid w:val="0"/>
              <w:spacing w:line="440" w:lineRule="exact"/>
              <w:jc w:val="center"/>
              <w:textAlignment w:val="auto"/>
              <w:rPr>
                <w:rFonts w:hint="eastAsia" w:ascii="宋体" w:hAnsi="宋体" w:eastAsia="宋体" w:cs="宋体"/>
                <w:color w:val="auto"/>
                <w:szCs w:val="21"/>
                <w:highlight w:val="none"/>
                <w:shd w:val="clear" w:color="auto" w:fill="FFFFFF"/>
                <w:vertAlign w:val="baseline"/>
                <w:lang w:val="en-US" w:eastAsia="zh-CN"/>
              </w:rPr>
            </w:pPr>
            <w:r>
              <w:rPr>
                <w:rFonts w:hint="eastAsia" w:ascii="宋体" w:hAnsi="宋体" w:eastAsia="宋体" w:cs="宋体"/>
                <w:color w:val="auto"/>
                <w:szCs w:val="21"/>
                <w:highlight w:val="none"/>
                <w:shd w:val="clear" w:color="auto" w:fill="FFFFFF"/>
                <w:vertAlign w:val="baseline"/>
                <w:lang w:val="en-US" w:eastAsia="zh-CN"/>
              </w:rPr>
              <w:t>包号</w:t>
            </w:r>
          </w:p>
        </w:tc>
        <w:tc>
          <w:tcPr>
            <w:tcW w:w="2565" w:type="dxa"/>
            <w:vAlign w:val="center"/>
          </w:tcPr>
          <w:p w14:paraId="4015A74B">
            <w:pPr>
              <w:keepNext w:val="0"/>
              <w:keepLines w:val="0"/>
              <w:pageBreakBefore w:val="0"/>
              <w:widowControl/>
              <w:tabs>
                <w:tab w:val="left" w:pos="840"/>
              </w:tabs>
              <w:kinsoku/>
              <w:overflowPunct/>
              <w:topLinePunct w:val="0"/>
              <w:autoSpaceDE/>
              <w:autoSpaceDN/>
              <w:bidi w:val="0"/>
              <w:snapToGrid w:val="0"/>
              <w:spacing w:line="440" w:lineRule="exact"/>
              <w:jc w:val="center"/>
              <w:textAlignment w:val="auto"/>
              <w:rPr>
                <w:rFonts w:hint="eastAsia" w:ascii="宋体" w:hAnsi="宋体" w:eastAsia="宋体" w:cs="宋体"/>
                <w:color w:val="auto"/>
                <w:szCs w:val="21"/>
                <w:highlight w:val="none"/>
                <w:shd w:val="clear" w:color="auto" w:fill="FFFFFF"/>
                <w:vertAlign w:val="baseline"/>
                <w:lang w:val="en-US" w:eastAsia="zh-CN"/>
              </w:rPr>
            </w:pPr>
            <w:r>
              <w:rPr>
                <w:rFonts w:hint="eastAsia" w:ascii="宋体" w:hAnsi="宋体" w:eastAsia="宋体" w:cs="宋体"/>
                <w:color w:val="auto"/>
                <w:szCs w:val="21"/>
                <w:highlight w:val="none"/>
                <w:shd w:val="clear" w:color="auto" w:fill="FFFFFF"/>
                <w:vertAlign w:val="baseline"/>
                <w:lang w:val="en-US" w:eastAsia="zh-CN"/>
              </w:rPr>
              <w:t>包名称</w:t>
            </w:r>
          </w:p>
        </w:tc>
        <w:tc>
          <w:tcPr>
            <w:tcW w:w="2339" w:type="dxa"/>
            <w:vAlign w:val="center"/>
          </w:tcPr>
          <w:p w14:paraId="49EA0FA7">
            <w:pPr>
              <w:keepNext w:val="0"/>
              <w:keepLines w:val="0"/>
              <w:pageBreakBefore w:val="0"/>
              <w:widowControl/>
              <w:tabs>
                <w:tab w:val="left" w:pos="840"/>
              </w:tabs>
              <w:kinsoku/>
              <w:overflowPunct/>
              <w:topLinePunct w:val="0"/>
              <w:autoSpaceDE/>
              <w:autoSpaceDN/>
              <w:bidi w:val="0"/>
              <w:snapToGrid w:val="0"/>
              <w:spacing w:line="440" w:lineRule="exact"/>
              <w:jc w:val="center"/>
              <w:textAlignment w:val="auto"/>
              <w:rPr>
                <w:rFonts w:hint="eastAsia" w:ascii="宋体" w:hAnsi="宋体" w:eastAsia="宋体" w:cs="宋体"/>
                <w:color w:val="auto"/>
                <w:szCs w:val="21"/>
                <w:highlight w:val="none"/>
                <w:shd w:val="clear" w:color="auto" w:fill="FFFFFF"/>
                <w:vertAlign w:val="baseline"/>
                <w:lang w:val="en-US" w:eastAsia="zh-CN"/>
              </w:rPr>
            </w:pPr>
            <w:r>
              <w:rPr>
                <w:rFonts w:hint="eastAsia" w:ascii="宋体" w:hAnsi="宋体" w:eastAsia="宋体" w:cs="宋体"/>
                <w:color w:val="auto"/>
                <w:szCs w:val="21"/>
                <w:highlight w:val="none"/>
                <w:shd w:val="clear" w:color="auto" w:fill="FFFFFF"/>
                <w:vertAlign w:val="baseline"/>
                <w:lang w:val="en-US" w:eastAsia="zh-CN"/>
              </w:rPr>
              <w:t>包预算金额（万元）</w:t>
            </w:r>
          </w:p>
        </w:tc>
        <w:tc>
          <w:tcPr>
            <w:tcW w:w="2665" w:type="dxa"/>
            <w:vAlign w:val="center"/>
          </w:tcPr>
          <w:p w14:paraId="1F70654D">
            <w:pPr>
              <w:keepNext w:val="0"/>
              <w:keepLines w:val="0"/>
              <w:pageBreakBefore w:val="0"/>
              <w:widowControl/>
              <w:tabs>
                <w:tab w:val="left" w:pos="840"/>
              </w:tabs>
              <w:kinsoku/>
              <w:overflowPunct/>
              <w:topLinePunct w:val="0"/>
              <w:autoSpaceDE/>
              <w:autoSpaceDN/>
              <w:bidi w:val="0"/>
              <w:snapToGrid w:val="0"/>
              <w:spacing w:line="440" w:lineRule="exact"/>
              <w:jc w:val="center"/>
              <w:textAlignment w:val="auto"/>
              <w:rPr>
                <w:rFonts w:hint="eastAsia" w:ascii="宋体" w:hAnsi="宋体" w:eastAsia="宋体" w:cs="宋体"/>
                <w:color w:val="auto"/>
                <w:szCs w:val="21"/>
                <w:highlight w:val="none"/>
                <w:shd w:val="clear" w:color="auto" w:fill="FFFFFF"/>
                <w:vertAlign w:val="baseline"/>
                <w:lang w:val="en-US" w:eastAsia="zh-CN"/>
              </w:rPr>
            </w:pPr>
            <w:r>
              <w:rPr>
                <w:rFonts w:hint="eastAsia" w:ascii="宋体" w:hAnsi="宋体" w:eastAsia="宋体" w:cs="宋体"/>
                <w:color w:val="auto"/>
                <w:szCs w:val="21"/>
                <w:highlight w:val="none"/>
                <w:shd w:val="clear" w:color="auto" w:fill="FFFFFF"/>
                <w:vertAlign w:val="baseline"/>
                <w:lang w:val="en-US" w:eastAsia="zh-CN"/>
              </w:rPr>
              <w:t>包最高限价（</w:t>
            </w:r>
            <w:r>
              <w:rPr>
                <w:rFonts w:hint="eastAsia" w:ascii="宋体" w:hAnsi="宋体" w:cs="宋体"/>
                <w:color w:val="auto"/>
                <w:szCs w:val="21"/>
                <w:highlight w:val="none"/>
                <w:shd w:val="clear" w:color="auto" w:fill="FFFFFF"/>
                <w:vertAlign w:val="baseline"/>
                <w:lang w:val="en-US" w:eastAsia="zh-CN"/>
              </w:rPr>
              <w:t>元/台</w:t>
            </w:r>
            <w:r>
              <w:rPr>
                <w:rFonts w:hint="eastAsia" w:ascii="宋体" w:hAnsi="宋体" w:eastAsia="宋体" w:cs="宋体"/>
                <w:color w:val="auto"/>
                <w:szCs w:val="21"/>
                <w:highlight w:val="none"/>
                <w:shd w:val="clear" w:color="auto" w:fill="FFFFFF"/>
                <w:vertAlign w:val="baseline"/>
                <w:lang w:val="en-US" w:eastAsia="zh-CN"/>
              </w:rPr>
              <w:t>）</w:t>
            </w:r>
          </w:p>
        </w:tc>
      </w:tr>
      <w:tr w14:paraId="2BCCF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trPr>
        <w:tc>
          <w:tcPr>
            <w:tcW w:w="1490" w:type="dxa"/>
            <w:vAlign w:val="center"/>
          </w:tcPr>
          <w:p w14:paraId="496EA588">
            <w:pPr>
              <w:keepNext w:val="0"/>
              <w:keepLines w:val="0"/>
              <w:pageBreakBefore w:val="0"/>
              <w:widowControl/>
              <w:tabs>
                <w:tab w:val="left" w:pos="840"/>
              </w:tabs>
              <w:kinsoku/>
              <w:overflowPunct/>
              <w:topLinePunct w:val="0"/>
              <w:autoSpaceDE/>
              <w:autoSpaceDN/>
              <w:bidi w:val="0"/>
              <w:snapToGrid w:val="0"/>
              <w:spacing w:line="440" w:lineRule="exact"/>
              <w:jc w:val="center"/>
              <w:textAlignment w:val="auto"/>
              <w:rPr>
                <w:rFonts w:hint="eastAsia" w:ascii="宋体" w:hAnsi="宋体" w:eastAsia="宋体" w:cs="宋体"/>
                <w:color w:val="auto"/>
                <w:szCs w:val="21"/>
                <w:highlight w:val="none"/>
                <w:shd w:val="clear" w:color="auto" w:fill="FFFFFF"/>
                <w:vertAlign w:val="baseline"/>
                <w:lang w:val="en-US" w:eastAsia="zh-CN"/>
              </w:rPr>
            </w:pPr>
            <w:r>
              <w:rPr>
                <w:rFonts w:hint="eastAsia" w:ascii="宋体" w:hAnsi="宋体" w:eastAsia="宋体" w:cs="宋体"/>
                <w:color w:val="auto"/>
                <w:szCs w:val="21"/>
                <w:highlight w:val="none"/>
                <w:shd w:val="clear" w:color="auto" w:fill="FFFFFF"/>
                <w:vertAlign w:val="baseline"/>
                <w:lang w:val="en-US" w:eastAsia="zh-CN"/>
              </w:rPr>
              <w:t>包1</w:t>
            </w:r>
          </w:p>
        </w:tc>
        <w:tc>
          <w:tcPr>
            <w:tcW w:w="2565" w:type="dxa"/>
            <w:vAlign w:val="center"/>
          </w:tcPr>
          <w:p w14:paraId="7772C382">
            <w:pPr>
              <w:keepNext w:val="0"/>
              <w:keepLines w:val="0"/>
              <w:pageBreakBefore w:val="0"/>
              <w:widowControl w:val="0"/>
              <w:numPr>
                <w:ilvl w:val="0"/>
                <w:numId w:val="0"/>
              </w:numPr>
              <w:kinsoku/>
              <w:wordWrap/>
              <w:overflowPunct/>
              <w:topLinePunct w:val="0"/>
              <w:autoSpaceDE/>
              <w:autoSpaceDN/>
              <w:bidi w:val="0"/>
              <w:adjustRightInd/>
              <w:snapToGrid/>
              <w:spacing w:beforeAutospacing="0" w:line="440" w:lineRule="exact"/>
              <w:ind w:left="0" w:leftChars="0"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双通道注射泵</w:t>
            </w:r>
          </w:p>
        </w:tc>
        <w:tc>
          <w:tcPr>
            <w:tcW w:w="2339" w:type="dxa"/>
            <w:vAlign w:val="center"/>
          </w:tcPr>
          <w:p w14:paraId="32D1B754">
            <w:pPr>
              <w:keepNext w:val="0"/>
              <w:keepLines w:val="0"/>
              <w:pageBreakBefore w:val="0"/>
              <w:widowControl/>
              <w:tabs>
                <w:tab w:val="left" w:pos="840"/>
              </w:tabs>
              <w:kinsoku/>
              <w:overflowPunct/>
              <w:topLinePunct w:val="0"/>
              <w:autoSpaceDE/>
              <w:autoSpaceDN/>
              <w:bidi w:val="0"/>
              <w:snapToGrid w:val="0"/>
              <w:spacing w:line="440" w:lineRule="exact"/>
              <w:jc w:val="center"/>
              <w:textAlignment w:val="auto"/>
              <w:rPr>
                <w:rFonts w:hint="eastAsia" w:ascii="宋体" w:hAnsi="宋体" w:eastAsia="宋体" w:cs="宋体"/>
                <w:color w:val="auto"/>
                <w:szCs w:val="21"/>
                <w:highlight w:val="none"/>
                <w:shd w:val="clear" w:color="auto" w:fill="FFFFFF"/>
                <w:vertAlign w:val="baseline"/>
                <w:lang w:val="en-US" w:eastAsia="zh-CN"/>
              </w:rPr>
            </w:pPr>
            <w:r>
              <w:rPr>
                <w:rFonts w:hint="eastAsia" w:ascii="宋体" w:hAnsi="宋体" w:eastAsia="宋体" w:cs="宋体"/>
                <w:color w:val="auto"/>
                <w:szCs w:val="21"/>
                <w:highlight w:val="none"/>
                <w:shd w:val="clear" w:color="auto" w:fill="FFFFFF"/>
                <w:vertAlign w:val="baseline"/>
                <w:lang w:val="en-US" w:eastAsia="zh-CN"/>
              </w:rPr>
              <w:t>20</w:t>
            </w:r>
          </w:p>
        </w:tc>
        <w:tc>
          <w:tcPr>
            <w:tcW w:w="2665" w:type="dxa"/>
            <w:vAlign w:val="center"/>
          </w:tcPr>
          <w:p w14:paraId="1E24B9CC">
            <w:pPr>
              <w:keepNext w:val="0"/>
              <w:keepLines w:val="0"/>
              <w:pageBreakBefore w:val="0"/>
              <w:widowControl/>
              <w:tabs>
                <w:tab w:val="left" w:pos="840"/>
              </w:tabs>
              <w:kinsoku/>
              <w:overflowPunct/>
              <w:topLinePunct w:val="0"/>
              <w:autoSpaceDE/>
              <w:autoSpaceDN/>
              <w:bidi w:val="0"/>
              <w:snapToGrid w:val="0"/>
              <w:spacing w:line="440" w:lineRule="exact"/>
              <w:jc w:val="center"/>
              <w:textAlignment w:val="auto"/>
              <w:rPr>
                <w:rFonts w:hint="eastAsia" w:ascii="宋体" w:hAnsi="宋体" w:eastAsia="宋体" w:cs="宋体"/>
                <w:color w:val="auto"/>
                <w:szCs w:val="21"/>
                <w:highlight w:val="none"/>
                <w:shd w:val="clear" w:color="auto" w:fill="FFFFFF"/>
                <w:vertAlign w:val="baseline"/>
                <w:lang w:val="en-US" w:eastAsia="zh-CN"/>
              </w:rPr>
            </w:pPr>
            <w:r>
              <w:rPr>
                <w:rFonts w:hint="eastAsia" w:ascii="宋体" w:hAnsi="宋体" w:eastAsia="宋体" w:cs="宋体"/>
                <w:color w:val="auto"/>
                <w:szCs w:val="21"/>
                <w:highlight w:val="none"/>
                <w:shd w:val="clear" w:color="auto" w:fill="FFFFFF"/>
                <w:vertAlign w:val="baseline"/>
                <w:lang w:val="en-US" w:eastAsia="zh-CN"/>
              </w:rPr>
              <w:t>3800</w:t>
            </w:r>
          </w:p>
        </w:tc>
      </w:tr>
      <w:tr w14:paraId="7D1DD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490" w:type="dxa"/>
            <w:vAlign w:val="center"/>
          </w:tcPr>
          <w:p w14:paraId="617E8AE6">
            <w:pPr>
              <w:keepNext w:val="0"/>
              <w:keepLines w:val="0"/>
              <w:pageBreakBefore w:val="0"/>
              <w:widowControl/>
              <w:tabs>
                <w:tab w:val="left" w:pos="840"/>
              </w:tabs>
              <w:kinsoku/>
              <w:overflowPunct/>
              <w:topLinePunct w:val="0"/>
              <w:autoSpaceDE/>
              <w:autoSpaceDN/>
              <w:bidi w:val="0"/>
              <w:snapToGrid w:val="0"/>
              <w:spacing w:line="440" w:lineRule="exact"/>
              <w:jc w:val="center"/>
              <w:textAlignment w:val="auto"/>
              <w:rPr>
                <w:rFonts w:hint="eastAsia" w:ascii="宋体" w:hAnsi="宋体" w:eastAsia="宋体" w:cs="宋体"/>
                <w:color w:val="auto"/>
                <w:szCs w:val="21"/>
                <w:highlight w:val="none"/>
                <w:shd w:val="clear" w:color="auto" w:fill="FFFFFF"/>
                <w:vertAlign w:val="baseline"/>
                <w:lang w:val="en-US" w:eastAsia="zh-CN"/>
              </w:rPr>
            </w:pPr>
            <w:r>
              <w:rPr>
                <w:rFonts w:hint="eastAsia" w:ascii="宋体" w:hAnsi="宋体" w:eastAsia="宋体" w:cs="宋体"/>
                <w:color w:val="auto"/>
                <w:szCs w:val="21"/>
                <w:highlight w:val="none"/>
                <w:shd w:val="clear" w:color="auto" w:fill="FFFFFF"/>
                <w:vertAlign w:val="baseline"/>
                <w:lang w:val="en-US" w:eastAsia="zh-CN"/>
              </w:rPr>
              <w:t>包2</w:t>
            </w:r>
          </w:p>
        </w:tc>
        <w:tc>
          <w:tcPr>
            <w:tcW w:w="2565" w:type="dxa"/>
            <w:vAlign w:val="center"/>
          </w:tcPr>
          <w:p w14:paraId="5728E439">
            <w:pPr>
              <w:keepNext w:val="0"/>
              <w:keepLines w:val="0"/>
              <w:pageBreakBefore w:val="0"/>
              <w:widowControl w:val="0"/>
              <w:numPr>
                <w:ilvl w:val="0"/>
                <w:numId w:val="0"/>
              </w:numPr>
              <w:kinsoku/>
              <w:wordWrap/>
              <w:overflowPunct/>
              <w:topLinePunct w:val="0"/>
              <w:autoSpaceDE/>
              <w:autoSpaceDN/>
              <w:bidi w:val="0"/>
              <w:adjustRightInd/>
              <w:snapToGrid/>
              <w:spacing w:beforeAutospacing="0" w:line="440" w:lineRule="exact"/>
              <w:ind w:left="0" w:leftChars="0"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输液泵</w:t>
            </w:r>
          </w:p>
        </w:tc>
        <w:tc>
          <w:tcPr>
            <w:tcW w:w="2339" w:type="dxa"/>
            <w:vAlign w:val="center"/>
          </w:tcPr>
          <w:p w14:paraId="351B9719">
            <w:pPr>
              <w:keepNext w:val="0"/>
              <w:keepLines w:val="0"/>
              <w:pageBreakBefore w:val="0"/>
              <w:widowControl/>
              <w:tabs>
                <w:tab w:val="left" w:pos="840"/>
              </w:tabs>
              <w:kinsoku/>
              <w:overflowPunct/>
              <w:topLinePunct w:val="0"/>
              <w:autoSpaceDE/>
              <w:autoSpaceDN/>
              <w:bidi w:val="0"/>
              <w:snapToGrid w:val="0"/>
              <w:spacing w:line="440" w:lineRule="exact"/>
              <w:jc w:val="center"/>
              <w:textAlignment w:val="auto"/>
              <w:rPr>
                <w:rFonts w:hint="eastAsia" w:ascii="宋体" w:hAnsi="宋体" w:eastAsia="宋体" w:cs="宋体"/>
                <w:color w:val="auto"/>
                <w:szCs w:val="21"/>
                <w:highlight w:val="none"/>
                <w:shd w:val="clear" w:color="auto" w:fill="FFFFFF"/>
                <w:vertAlign w:val="baseline"/>
                <w:lang w:val="en-US" w:eastAsia="zh-CN"/>
              </w:rPr>
            </w:pPr>
            <w:r>
              <w:rPr>
                <w:rFonts w:hint="eastAsia" w:ascii="宋体" w:hAnsi="宋体" w:cs="宋体"/>
                <w:color w:val="auto"/>
                <w:szCs w:val="21"/>
                <w:highlight w:val="none"/>
                <w:shd w:val="clear" w:color="auto" w:fill="FFFFFF"/>
                <w:vertAlign w:val="baseline"/>
                <w:lang w:val="en-US" w:eastAsia="zh-CN"/>
              </w:rPr>
              <w:t>13</w:t>
            </w:r>
          </w:p>
        </w:tc>
        <w:tc>
          <w:tcPr>
            <w:tcW w:w="2665" w:type="dxa"/>
            <w:vAlign w:val="center"/>
          </w:tcPr>
          <w:p w14:paraId="26B03499">
            <w:pPr>
              <w:keepNext w:val="0"/>
              <w:keepLines w:val="0"/>
              <w:pageBreakBefore w:val="0"/>
              <w:widowControl/>
              <w:tabs>
                <w:tab w:val="left" w:pos="840"/>
              </w:tabs>
              <w:kinsoku/>
              <w:overflowPunct/>
              <w:topLinePunct w:val="0"/>
              <w:autoSpaceDE/>
              <w:autoSpaceDN/>
              <w:bidi w:val="0"/>
              <w:snapToGrid w:val="0"/>
              <w:spacing w:line="440" w:lineRule="exact"/>
              <w:jc w:val="center"/>
              <w:textAlignment w:val="auto"/>
              <w:rPr>
                <w:rFonts w:hint="eastAsia" w:ascii="宋体" w:hAnsi="宋体" w:eastAsia="宋体" w:cs="宋体"/>
                <w:color w:val="auto"/>
                <w:szCs w:val="21"/>
                <w:highlight w:val="none"/>
                <w:shd w:val="clear" w:color="auto" w:fill="FFFFFF"/>
                <w:vertAlign w:val="baseline"/>
                <w:lang w:val="en-US" w:eastAsia="zh-CN"/>
              </w:rPr>
            </w:pPr>
            <w:r>
              <w:rPr>
                <w:rFonts w:hint="eastAsia" w:ascii="宋体" w:hAnsi="宋体" w:eastAsia="宋体" w:cs="宋体"/>
                <w:color w:val="auto"/>
                <w:szCs w:val="21"/>
                <w:highlight w:val="none"/>
                <w:shd w:val="clear" w:color="auto" w:fill="FFFFFF"/>
                <w:vertAlign w:val="baseline"/>
                <w:lang w:val="en-US" w:eastAsia="zh-CN"/>
              </w:rPr>
              <w:t>3500</w:t>
            </w:r>
          </w:p>
        </w:tc>
      </w:tr>
    </w:tbl>
    <w:p w14:paraId="79DE638C">
      <w:pPr>
        <w:keepNext w:val="0"/>
        <w:keepLines w:val="0"/>
        <w:pageBreakBefore w:val="0"/>
        <w:widowControl/>
        <w:tabs>
          <w:tab w:val="left" w:pos="840"/>
        </w:tabs>
        <w:kinsoku/>
        <w:overflowPunct/>
        <w:topLinePunct w:val="0"/>
        <w:autoSpaceDE/>
        <w:autoSpaceDN/>
        <w:bidi w:val="0"/>
        <w:snapToGrid w:val="0"/>
        <w:spacing w:line="44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4、</w:t>
      </w:r>
      <w:r>
        <w:rPr>
          <w:rFonts w:hint="eastAsia" w:ascii="宋体" w:hAnsi="宋体" w:eastAsia="宋体" w:cs="宋体"/>
          <w:color w:val="auto"/>
          <w:szCs w:val="21"/>
          <w:highlight w:val="none"/>
          <w:shd w:val="clear" w:color="auto" w:fill="FFFFFF"/>
          <w:lang w:val="en-US" w:eastAsia="zh-CN"/>
        </w:rPr>
        <w:t>交货期：合同签订后30日内交货；</w:t>
      </w:r>
    </w:p>
    <w:p w14:paraId="02142839">
      <w:pPr>
        <w:keepNext w:val="0"/>
        <w:keepLines w:val="0"/>
        <w:pageBreakBefore w:val="0"/>
        <w:widowControl/>
        <w:tabs>
          <w:tab w:val="left" w:pos="840"/>
        </w:tabs>
        <w:kinsoku/>
        <w:overflowPunct/>
        <w:topLinePunct w:val="0"/>
        <w:autoSpaceDE/>
        <w:autoSpaceDN/>
        <w:bidi w:val="0"/>
        <w:snapToGrid w:val="0"/>
        <w:spacing w:line="440" w:lineRule="exact"/>
        <w:ind w:firstLine="420" w:firstLineChars="200"/>
        <w:jc w:val="left"/>
        <w:textAlignment w:val="auto"/>
        <w:rPr>
          <w:rFonts w:hint="default"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5、</w:t>
      </w:r>
      <w:r>
        <w:rPr>
          <w:rFonts w:hint="eastAsia" w:ascii="宋体" w:hAnsi="宋体" w:cs="宋体"/>
          <w:color w:val="auto"/>
          <w:szCs w:val="21"/>
          <w:highlight w:val="none"/>
          <w:shd w:val="clear" w:color="auto" w:fill="FFFFFF"/>
          <w:lang w:val="en-US" w:eastAsia="zh-CN"/>
        </w:rPr>
        <w:t>供货期：一年；</w:t>
      </w:r>
    </w:p>
    <w:p w14:paraId="3E64BF75">
      <w:pPr>
        <w:keepNext w:val="0"/>
        <w:keepLines w:val="0"/>
        <w:pageBreakBefore w:val="0"/>
        <w:widowControl/>
        <w:tabs>
          <w:tab w:val="left" w:pos="840"/>
        </w:tabs>
        <w:kinsoku/>
        <w:overflowPunct/>
        <w:topLinePunct w:val="0"/>
        <w:autoSpaceDE/>
        <w:autoSpaceDN/>
        <w:bidi w:val="0"/>
        <w:snapToGrid w:val="0"/>
        <w:spacing w:line="440" w:lineRule="exact"/>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cs="宋体"/>
          <w:color w:val="auto"/>
          <w:szCs w:val="21"/>
          <w:highlight w:val="none"/>
          <w:shd w:val="clear" w:color="auto" w:fill="FFFFFF"/>
          <w:lang w:val="en-US" w:eastAsia="zh-CN"/>
        </w:rPr>
        <w:t>6、</w:t>
      </w:r>
      <w:r>
        <w:rPr>
          <w:rFonts w:hint="eastAsia" w:ascii="宋体" w:hAnsi="宋体" w:eastAsia="宋体" w:cs="宋体"/>
          <w:color w:val="auto"/>
          <w:szCs w:val="21"/>
          <w:highlight w:val="none"/>
          <w:shd w:val="clear" w:color="auto" w:fill="FFFFFF"/>
        </w:rPr>
        <w:t>质量要求：</w:t>
      </w:r>
      <w:r>
        <w:rPr>
          <w:rFonts w:hint="eastAsia" w:ascii="宋体" w:hAnsi="宋体" w:eastAsia="宋体" w:cs="宋体"/>
          <w:color w:val="auto"/>
          <w:szCs w:val="21"/>
          <w:highlight w:val="none"/>
          <w:shd w:val="clear" w:color="auto" w:fill="FFFFFF"/>
          <w:lang w:val="zh-CN"/>
        </w:rPr>
        <w:t>符合国家有关法律、法规，以及行业质量标</w:t>
      </w:r>
      <w:r>
        <w:rPr>
          <w:rFonts w:hint="eastAsia" w:ascii="宋体" w:hAnsi="宋体" w:eastAsia="宋体" w:cs="宋体"/>
          <w:color w:val="auto"/>
          <w:szCs w:val="21"/>
          <w:highlight w:val="none"/>
          <w:shd w:val="clear" w:color="auto" w:fill="FFFFFF"/>
        </w:rPr>
        <w:t>准</w:t>
      </w:r>
      <w:r>
        <w:rPr>
          <w:rFonts w:hint="eastAsia" w:ascii="宋体" w:hAnsi="宋体" w:eastAsia="宋体" w:cs="宋体"/>
          <w:color w:val="auto"/>
          <w:szCs w:val="21"/>
          <w:highlight w:val="none"/>
          <w:shd w:val="clear" w:color="auto" w:fill="FFFFFF"/>
          <w:lang w:val="zh-CN"/>
        </w:rPr>
        <w:t>的要求</w:t>
      </w:r>
      <w:r>
        <w:rPr>
          <w:rFonts w:hint="eastAsia" w:ascii="宋体" w:hAnsi="宋体" w:eastAsia="宋体" w:cs="宋体"/>
          <w:color w:val="auto"/>
          <w:szCs w:val="21"/>
          <w:highlight w:val="none"/>
          <w:shd w:val="clear" w:color="auto" w:fill="FFFFFF"/>
          <w:lang w:eastAsia="zh-CN"/>
        </w:rPr>
        <w:t>，</w:t>
      </w:r>
      <w:r>
        <w:rPr>
          <w:rFonts w:hint="eastAsia" w:ascii="宋体" w:hAnsi="宋体" w:eastAsia="宋体" w:cs="宋体"/>
          <w:color w:val="auto"/>
          <w:szCs w:val="21"/>
          <w:highlight w:val="none"/>
          <w:shd w:val="clear" w:color="auto" w:fill="FFFFFF"/>
          <w:lang w:val="en-US" w:eastAsia="zh-CN"/>
        </w:rPr>
        <w:t>满足磋商文件</w:t>
      </w:r>
      <w:r>
        <w:rPr>
          <w:rFonts w:hint="eastAsia" w:ascii="宋体" w:hAnsi="宋体" w:eastAsia="宋体" w:cs="宋体"/>
          <w:color w:val="auto"/>
          <w:szCs w:val="21"/>
          <w:highlight w:val="none"/>
          <w:shd w:val="clear" w:color="auto" w:fill="FFFFFF"/>
        </w:rPr>
        <w:t>规定标准</w:t>
      </w:r>
      <w:r>
        <w:rPr>
          <w:rFonts w:hint="eastAsia" w:ascii="宋体" w:hAnsi="宋体" w:eastAsia="宋体" w:cs="宋体"/>
          <w:color w:val="auto"/>
          <w:szCs w:val="21"/>
          <w:highlight w:val="none"/>
          <w:shd w:val="clear" w:color="auto" w:fill="FFFFFF"/>
          <w:lang w:eastAsia="zh-CN"/>
        </w:rPr>
        <w:t>。</w:t>
      </w:r>
    </w:p>
    <w:p w14:paraId="03CB2157">
      <w:pPr>
        <w:keepNext w:val="0"/>
        <w:keepLines w:val="0"/>
        <w:pageBreakBefore w:val="0"/>
        <w:widowControl/>
        <w:kinsoku/>
        <w:overflowPunct/>
        <w:topLinePunct w:val="0"/>
        <w:autoSpaceDE/>
        <w:autoSpaceDN/>
        <w:bidi w:val="0"/>
        <w:snapToGrid w:val="0"/>
        <w:spacing w:before="0" w:after="0" w:line="440" w:lineRule="exact"/>
        <w:jc w:val="left"/>
        <w:textAlignment w:val="auto"/>
        <w:outlineLvl w:val="1"/>
        <w:rPr>
          <w:rFonts w:hint="eastAsia" w:ascii="宋体" w:hAnsi="宋体" w:eastAsia="宋体" w:cs="宋体"/>
          <w:b/>
          <w:bCs/>
          <w:color w:val="auto"/>
          <w:kern w:val="2"/>
          <w:sz w:val="21"/>
          <w:szCs w:val="21"/>
          <w:highlight w:val="none"/>
          <w:shd w:val="clear" w:color="auto" w:fill="FFFFFF"/>
          <w:lang w:val="en-US" w:eastAsia="zh-CN" w:bidi="ar-SA"/>
        </w:rPr>
      </w:pPr>
      <w:bookmarkStart w:id="4" w:name="_Toc16639"/>
      <w:bookmarkStart w:id="5" w:name="_Toc23626"/>
      <w:bookmarkStart w:id="6" w:name="_Toc18607"/>
      <w:bookmarkStart w:id="7" w:name="_Toc27704"/>
      <w:r>
        <w:rPr>
          <w:rFonts w:hint="eastAsia" w:ascii="宋体" w:hAnsi="宋体" w:eastAsia="宋体" w:cs="宋体"/>
          <w:b/>
          <w:bCs/>
          <w:color w:val="auto"/>
          <w:kern w:val="2"/>
          <w:sz w:val="21"/>
          <w:szCs w:val="21"/>
          <w:highlight w:val="none"/>
          <w:shd w:val="clear" w:color="auto" w:fill="FFFFFF"/>
          <w:lang w:val="en-US" w:eastAsia="zh-CN" w:bidi="ar-SA"/>
        </w:rPr>
        <w:t>二、</w:t>
      </w:r>
      <w:bookmarkEnd w:id="3"/>
      <w:bookmarkEnd w:id="4"/>
      <w:bookmarkEnd w:id="5"/>
      <w:bookmarkEnd w:id="6"/>
      <w:bookmarkEnd w:id="7"/>
      <w:r>
        <w:rPr>
          <w:rFonts w:hint="eastAsia" w:ascii="宋体" w:hAnsi="宋体" w:eastAsia="宋体" w:cs="宋体"/>
          <w:b/>
          <w:bCs/>
          <w:color w:val="auto"/>
          <w:kern w:val="2"/>
          <w:sz w:val="21"/>
          <w:szCs w:val="21"/>
          <w:highlight w:val="none"/>
          <w:shd w:val="clear" w:color="auto" w:fill="FFFFFF"/>
          <w:lang w:val="en-US" w:eastAsia="zh-CN" w:bidi="ar-SA"/>
        </w:rPr>
        <w:t>供应商资格要求：</w:t>
      </w:r>
    </w:p>
    <w:p w14:paraId="740DCAF2">
      <w:pPr>
        <w:keepNext w:val="0"/>
        <w:keepLines w:val="0"/>
        <w:pageBreakBefore w:val="0"/>
        <w:widowControl/>
        <w:tabs>
          <w:tab w:val="left" w:pos="840"/>
        </w:tabs>
        <w:kinsoku/>
        <w:wordWrap/>
        <w:overflowPunct/>
        <w:topLinePunct w:val="0"/>
        <w:autoSpaceDE/>
        <w:autoSpaceDN/>
        <w:bidi w:val="0"/>
        <w:adjustRightInd/>
        <w:snapToGrid w:val="0"/>
        <w:spacing w:line="44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bookmarkStart w:id="8" w:name="_Toc30971"/>
      <w:bookmarkStart w:id="9" w:name="_Toc23395"/>
      <w:bookmarkStart w:id="10" w:name="_Toc30643"/>
      <w:bookmarkStart w:id="11" w:name="_Toc9562"/>
      <w:bookmarkStart w:id="12" w:name="_Toc7823"/>
      <w:r>
        <w:rPr>
          <w:rFonts w:hint="eastAsia" w:ascii="宋体" w:hAnsi="宋体" w:eastAsia="宋体" w:cs="宋体"/>
          <w:color w:val="auto"/>
          <w:szCs w:val="21"/>
          <w:highlight w:val="none"/>
          <w:shd w:val="clear" w:color="auto" w:fill="FFFFFF"/>
          <w:lang w:val="en-US" w:eastAsia="zh-CN"/>
        </w:rPr>
        <w:t>1、具有独立承担民事责任的能力（提供营业执照或其他证明材料）；</w:t>
      </w:r>
    </w:p>
    <w:p w14:paraId="6722F338">
      <w:pPr>
        <w:keepNext w:val="0"/>
        <w:keepLines w:val="0"/>
        <w:pageBreakBefore w:val="0"/>
        <w:widowControl/>
        <w:tabs>
          <w:tab w:val="left" w:pos="840"/>
        </w:tabs>
        <w:kinsoku/>
        <w:wordWrap/>
        <w:overflowPunct/>
        <w:topLinePunct w:val="0"/>
        <w:autoSpaceDE/>
        <w:autoSpaceDN/>
        <w:bidi w:val="0"/>
        <w:adjustRightInd/>
        <w:snapToGrid w:val="0"/>
        <w:spacing w:line="44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2、具有良好的商业信誉和健全的财务会计制度（提供经审计的2024年度财务报告或者其基本开户银行出具的资信证明）；</w:t>
      </w:r>
    </w:p>
    <w:p w14:paraId="65E6AB11">
      <w:pPr>
        <w:keepNext w:val="0"/>
        <w:keepLines w:val="0"/>
        <w:pageBreakBefore w:val="0"/>
        <w:widowControl/>
        <w:tabs>
          <w:tab w:val="left" w:pos="840"/>
        </w:tabs>
        <w:kinsoku/>
        <w:wordWrap/>
        <w:overflowPunct/>
        <w:topLinePunct w:val="0"/>
        <w:autoSpaceDE/>
        <w:autoSpaceDN/>
        <w:bidi w:val="0"/>
        <w:adjustRightInd/>
        <w:snapToGrid w:val="0"/>
        <w:spacing w:line="44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3、具有依法缴纳税收和社会保障资金的良好记录（提供采购活动近六个月任意一个月的依法缴纳税收和缴纳社保的证明；依法免税或不需要缴纳社会保障资金的，应提供相应文件证明其依法免税或不需要缴纳社会保障资金）；</w:t>
      </w:r>
    </w:p>
    <w:p w14:paraId="011E7EC9">
      <w:pPr>
        <w:keepNext w:val="0"/>
        <w:keepLines w:val="0"/>
        <w:pageBreakBefore w:val="0"/>
        <w:widowControl/>
        <w:tabs>
          <w:tab w:val="left" w:pos="840"/>
        </w:tabs>
        <w:kinsoku/>
        <w:wordWrap/>
        <w:overflowPunct/>
        <w:topLinePunct w:val="0"/>
        <w:autoSpaceDE/>
        <w:autoSpaceDN/>
        <w:bidi w:val="0"/>
        <w:adjustRightInd/>
        <w:snapToGrid w:val="0"/>
        <w:spacing w:line="44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4、具有履行合同所必需的设备和专业技术能力（提供书面承诺函）；</w:t>
      </w:r>
    </w:p>
    <w:p w14:paraId="218C98F6">
      <w:pPr>
        <w:keepNext w:val="0"/>
        <w:keepLines w:val="0"/>
        <w:pageBreakBefore w:val="0"/>
        <w:widowControl/>
        <w:tabs>
          <w:tab w:val="left" w:pos="840"/>
        </w:tabs>
        <w:kinsoku/>
        <w:wordWrap/>
        <w:overflowPunct/>
        <w:topLinePunct w:val="0"/>
        <w:autoSpaceDE/>
        <w:autoSpaceDN/>
        <w:bidi w:val="0"/>
        <w:adjustRightInd/>
        <w:snapToGrid w:val="0"/>
        <w:spacing w:line="440" w:lineRule="exact"/>
        <w:ind w:firstLine="420" w:firstLineChars="200"/>
        <w:jc w:val="left"/>
        <w:textAlignment w:val="auto"/>
        <w:rPr>
          <w:rFonts w:hint="eastAsia" w:ascii="宋体" w:hAnsi="宋体" w:eastAsia="宋体" w:cs="宋体"/>
          <w:color w:val="auto"/>
          <w:highlight w:val="none"/>
          <w:lang w:val="en-US" w:eastAsia="zh-CN"/>
        </w:rPr>
      </w:pPr>
      <w:r>
        <w:rPr>
          <w:rFonts w:hint="eastAsia" w:ascii="宋体" w:hAnsi="宋体" w:eastAsia="宋体" w:cs="宋体"/>
          <w:color w:val="auto"/>
          <w:szCs w:val="21"/>
          <w:highlight w:val="none"/>
          <w:shd w:val="clear" w:color="auto" w:fill="FFFFFF"/>
          <w:lang w:val="en-US" w:eastAsia="zh-CN"/>
        </w:rPr>
        <w:t>5、参加本采购活动前三年内，在经营活动中没有重大违法记录（提供书面承诺函）；</w:t>
      </w:r>
    </w:p>
    <w:p w14:paraId="566A63CA">
      <w:pPr>
        <w:keepNext w:val="0"/>
        <w:keepLines w:val="0"/>
        <w:pageBreakBefore w:val="0"/>
        <w:widowControl/>
        <w:tabs>
          <w:tab w:val="left" w:pos="840"/>
        </w:tabs>
        <w:kinsoku/>
        <w:wordWrap/>
        <w:overflowPunct/>
        <w:topLinePunct w:val="0"/>
        <w:autoSpaceDE/>
        <w:autoSpaceDN/>
        <w:bidi w:val="0"/>
        <w:adjustRightInd/>
        <w:snapToGrid w:val="0"/>
        <w:spacing w:line="44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6、根据《关于在政府采购活动中查询及使用信用记录有关问题的通知》（财库【2016】125号）的规定，对列入失信被执行人、重大税收违法失信主体、政府采购严重违法失信行为记录名单的供应商，拒绝参与本项目政府采购活动（提供在“信用中国”、“中国政府采购网”等网站查询的相关材料并加盖公章，供应商提供的仅做为信用参考，以采购人或采购代理机构查询结果为准）；</w:t>
      </w:r>
    </w:p>
    <w:p w14:paraId="18218AED">
      <w:pPr>
        <w:keepNext w:val="0"/>
        <w:keepLines w:val="0"/>
        <w:pageBreakBefore w:val="0"/>
        <w:widowControl/>
        <w:tabs>
          <w:tab w:val="left" w:pos="840"/>
        </w:tabs>
        <w:kinsoku/>
        <w:wordWrap/>
        <w:overflowPunct/>
        <w:topLinePunct w:val="0"/>
        <w:autoSpaceDE/>
        <w:autoSpaceDN/>
        <w:bidi w:val="0"/>
        <w:adjustRightInd/>
        <w:snapToGrid w:val="0"/>
        <w:spacing w:line="44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7、单位负责人为同一人或者存在直接控股、管理关系的不同供应商，不得参加同一合同项下的磋商（</w:t>
      </w:r>
      <w:r>
        <w:rPr>
          <w:rFonts w:hint="eastAsia" w:ascii="宋体" w:hAnsi="宋体" w:eastAsia="宋体" w:cs="宋体"/>
          <w:color w:val="auto"/>
          <w:kern w:val="0"/>
          <w:szCs w:val="21"/>
          <w:highlight w:val="none"/>
          <w:lang w:val="en-US" w:eastAsia="zh-CN"/>
        </w:rPr>
        <w:t>提供在“国家企业信用信息公示系统”中查询的相关材料并加盖公章（需包含公司基本信息、股东信息及股权变更信息）或提供承诺函</w:t>
      </w:r>
      <w:r>
        <w:rPr>
          <w:rFonts w:hint="eastAsia" w:ascii="宋体" w:hAnsi="宋体" w:eastAsia="宋体" w:cs="宋体"/>
          <w:color w:val="auto"/>
          <w:szCs w:val="21"/>
          <w:highlight w:val="none"/>
          <w:shd w:val="clear" w:color="auto" w:fill="FFFFFF"/>
          <w:lang w:val="en-US" w:eastAsia="zh-CN"/>
        </w:rPr>
        <w:t>）。一经发现，将导致投标同时被拒绝；</w:t>
      </w:r>
    </w:p>
    <w:p w14:paraId="0B7A0211">
      <w:pPr>
        <w:keepNext w:val="0"/>
        <w:keepLines w:val="0"/>
        <w:pageBreakBefore w:val="0"/>
        <w:widowControl/>
        <w:tabs>
          <w:tab w:val="left" w:pos="840"/>
        </w:tabs>
        <w:kinsoku/>
        <w:wordWrap/>
        <w:overflowPunct/>
        <w:topLinePunct w:val="0"/>
        <w:autoSpaceDE/>
        <w:autoSpaceDN/>
        <w:bidi w:val="0"/>
        <w:adjustRightInd/>
        <w:snapToGrid w:val="0"/>
        <w:spacing w:line="44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8、本项目特定资格要求：供应商为代理商（经销商）时，须具有医疗器械经营许可证或医疗器械经营备案凭证（从事第一类医疗器械经营活动的除外）；供应商为境内生产企业时，须具有医疗器械生产许可证（从事第一类医疗器械生产的须具有备案凭证）。(医疗器械注册人、备案人经营其注册备案的医疗器械，无需办理医疗器械经营许可或者备案，应当符合《医疗器械监督管理条例》规定的经营条件（提供相关证明材料）；</w:t>
      </w:r>
    </w:p>
    <w:p w14:paraId="4B831597">
      <w:pPr>
        <w:keepNext w:val="0"/>
        <w:keepLines w:val="0"/>
        <w:pageBreakBefore w:val="0"/>
        <w:widowControl/>
        <w:numPr>
          <w:ilvl w:val="0"/>
          <w:numId w:val="0"/>
        </w:numPr>
        <w:kinsoku/>
        <w:wordWrap/>
        <w:overflowPunct/>
        <w:topLinePunct w:val="0"/>
        <w:autoSpaceDE/>
        <w:autoSpaceDN/>
        <w:bidi w:val="0"/>
        <w:adjustRightInd/>
        <w:snapToGrid w:val="0"/>
        <w:spacing w:before="0" w:after="0" w:line="440" w:lineRule="exact"/>
        <w:ind w:firstLine="420" w:firstLineChars="200"/>
        <w:jc w:val="left"/>
        <w:textAlignment w:val="auto"/>
        <w:outlineLvl w:val="1"/>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9、不接受联合体磋商。</w:t>
      </w:r>
    </w:p>
    <w:p w14:paraId="784D075B">
      <w:pPr>
        <w:keepNext w:val="0"/>
        <w:keepLines w:val="0"/>
        <w:pageBreakBefore w:val="0"/>
        <w:widowControl/>
        <w:numPr>
          <w:ilvl w:val="0"/>
          <w:numId w:val="0"/>
        </w:numPr>
        <w:kinsoku/>
        <w:overflowPunct/>
        <w:topLinePunct w:val="0"/>
        <w:autoSpaceDE/>
        <w:autoSpaceDN/>
        <w:bidi w:val="0"/>
        <w:snapToGrid w:val="0"/>
        <w:spacing w:before="0" w:after="0" w:line="440" w:lineRule="exact"/>
        <w:jc w:val="left"/>
        <w:textAlignment w:val="auto"/>
        <w:outlineLvl w:val="1"/>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三、获取采购文件</w:t>
      </w:r>
      <w:bookmarkEnd w:id="8"/>
      <w:bookmarkEnd w:id="9"/>
      <w:bookmarkEnd w:id="10"/>
      <w:bookmarkEnd w:id="11"/>
      <w:bookmarkEnd w:id="12"/>
    </w:p>
    <w:p w14:paraId="638A410B">
      <w:pPr>
        <w:keepNext w:val="0"/>
        <w:keepLines w:val="0"/>
        <w:pageBreakBefore w:val="0"/>
        <w:widowControl/>
        <w:kinsoku/>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Cs w:val="21"/>
          <w:highlight w:val="none"/>
          <w:shd w:val="clear" w:color="auto" w:fill="FFFFFF"/>
          <w:lang w:val="en-US"/>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.报名</w:t>
      </w:r>
      <w:r>
        <w:rPr>
          <w:rFonts w:hint="eastAsia" w:ascii="宋体" w:hAnsi="宋体" w:eastAsia="宋体" w:cs="宋体"/>
          <w:color w:val="auto"/>
          <w:szCs w:val="21"/>
          <w:highlight w:val="none"/>
          <w:shd w:val="clear" w:color="auto" w:fill="FFFFFF"/>
        </w:rPr>
        <w:t>时间：202</w:t>
      </w:r>
      <w:r>
        <w:rPr>
          <w:rFonts w:hint="eastAsia" w:ascii="宋体" w:hAnsi="宋体" w:cs="宋体"/>
          <w:color w:val="auto"/>
          <w:szCs w:val="21"/>
          <w:highlight w:val="none"/>
          <w:shd w:val="clear" w:color="auto" w:fill="FFFFFF"/>
          <w:lang w:val="en-US" w:eastAsia="zh-CN"/>
        </w:rPr>
        <w:t>6</w:t>
      </w:r>
      <w:r>
        <w:rPr>
          <w:rFonts w:hint="eastAsia" w:ascii="宋体" w:hAnsi="宋体" w:eastAsia="宋体" w:cs="宋体"/>
          <w:color w:val="auto"/>
          <w:szCs w:val="21"/>
          <w:highlight w:val="none"/>
          <w:shd w:val="clear" w:color="auto" w:fill="FFFFFF"/>
        </w:rPr>
        <w:t>年</w:t>
      </w:r>
      <w:r>
        <w:rPr>
          <w:rFonts w:hint="eastAsia" w:ascii="宋体" w:hAnsi="宋体" w:cs="宋体"/>
          <w:color w:val="auto"/>
          <w:szCs w:val="21"/>
          <w:highlight w:val="none"/>
          <w:shd w:val="clear" w:color="auto" w:fill="FFFFFF"/>
          <w:lang w:val="en-US" w:eastAsia="zh-CN"/>
        </w:rPr>
        <w:t>1</w:t>
      </w:r>
      <w:r>
        <w:rPr>
          <w:rFonts w:hint="eastAsia" w:ascii="宋体" w:hAnsi="宋体" w:eastAsia="宋体" w:cs="宋体"/>
          <w:color w:val="auto"/>
          <w:szCs w:val="21"/>
          <w:highlight w:val="none"/>
          <w:shd w:val="clear" w:color="auto" w:fill="FFFFFF"/>
        </w:rPr>
        <w:t>月</w:t>
      </w:r>
      <w:r>
        <w:rPr>
          <w:rFonts w:hint="eastAsia" w:ascii="宋体" w:hAnsi="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日-202</w:t>
      </w:r>
      <w:r>
        <w:rPr>
          <w:rFonts w:hint="eastAsia" w:ascii="宋体" w:hAnsi="宋体" w:cs="宋体"/>
          <w:color w:val="auto"/>
          <w:szCs w:val="21"/>
          <w:highlight w:val="none"/>
          <w:shd w:val="clear" w:color="auto" w:fill="FFFFFF"/>
          <w:lang w:val="en-US" w:eastAsia="zh-CN"/>
        </w:rPr>
        <w:t>6</w:t>
      </w:r>
      <w:r>
        <w:rPr>
          <w:rFonts w:hint="eastAsia" w:ascii="宋体" w:hAnsi="宋体" w:eastAsia="宋体" w:cs="宋体"/>
          <w:color w:val="auto"/>
          <w:szCs w:val="21"/>
          <w:highlight w:val="none"/>
          <w:shd w:val="clear" w:color="auto" w:fill="FFFFFF"/>
        </w:rPr>
        <w:t>年</w:t>
      </w:r>
      <w:r>
        <w:rPr>
          <w:rFonts w:hint="eastAsia" w:ascii="宋体" w:hAnsi="宋体" w:cs="宋体"/>
          <w:color w:val="auto"/>
          <w:szCs w:val="21"/>
          <w:highlight w:val="none"/>
          <w:shd w:val="clear" w:color="auto" w:fill="FFFFFF"/>
          <w:lang w:val="en-US" w:eastAsia="zh-CN"/>
        </w:rPr>
        <w:t>1</w:t>
      </w:r>
      <w:r>
        <w:rPr>
          <w:rFonts w:hint="eastAsia" w:ascii="宋体" w:hAnsi="宋体" w:eastAsia="宋体" w:cs="宋体"/>
          <w:color w:val="auto"/>
          <w:szCs w:val="21"/>
          <w:highlight w:val="none"/>
          <w:shd w:val="clear" w:color="auto" w:fill="FFFFFF"/>
        </w:rPr>
        <w:t>月</w:t>
      </w:r>
      <w:r>
        <w:rPr>
          <w:rFonts w:hint="eastAsia" w:ascii="宋体" w:hAnsi="宋体" w:cs="宋体"/>
          <w:color w:val="auto"/>
          <w:szCs w:val="21"/>
          <w:highlight w:val="none"/>
          <w:shd w:val="clear" w:color="auto" w:fill="FFFFFF"/>
          <w:lang w:val="en-US" w:eastAsia="zh-CN"/>
        </w:rPr>
        <w:t>7</w:t>
      </w:r>
      <w:r>
        <w:rPr>
          <w:rFonts w:hint="eastAsia" w:ascii="宋体" w:hAnsi="宋体" w:eastAsia="宋体" w:cs="宋体"/>
          <w:color w:val="auto"/>
          <w:szCs w:val="21"/>
          <w:highlight w:val="none"/>
          <w:shd w:val="clear" w:color="auto" w:fill="FFFFFF"/>
        </w:rPr>
        <w:t>日，上午</w:t>
      </w:r>
      <w:r>
        <w:rPr>
          <w:rFonts w:hint="eastAsia" w:ascii="宋体" w:hAnsi="宋体" w:eastAsia="宋体" w:cs="宋体"/>
          <w:color w:val="auto"/>
          <w:szCs w:val="21"/>
          <w:highlight w:val="none"/>
          <w:shd w:val="clear" w:color="auto" w:fill="FFFFFF"/>
          <w:lang w:val="en-US" w:eastAsia="zh-CN"/>
        </w:rPr>
        <w:t>0</w:t>
      </w:r>
      <w:r>
        <w:rPr>
          <w:rFonts w:hint="eastAsia" w:ascii="宋体" w:hAnsi="宋体" w:eastAsia="宋体" w:cs="宋体"/>
          <w:color w:val="auto"/>
          <w:szCs w:val="21"/>
          <w:highlight w:val="none"/>
          <w:shd w:val="clear" w:color="auto" w:fill="FFFFFF"/>
        </w:rPr>
        <w:t>8：</w:t>
      </w:r>
      <w:r>
        <w:rPr>
          <w:rFonts w:hint="eastAsia" w:ascii="宋体" w:hAnsi="宋体" w:eastAsia="宋体" w:cs="宋体"/>
          <w:color w:val="auto"/>
          <w:szCs w:val="21"/>
          <w:highlight w:val="none"/>
          <w:shd w:val="clear" w:color="auto" w:fill="FFFFFF"/>
          <w:lang w:val="en-US" w:eastAsia="zh-CN"/>
        </w:rPr>
        <w:t>00</w:t>
      </w:r>
      <w:r>
        <w:rPr>
          <w:rFonts w:hint="eastAsia" w:ascii="宋体" w:hAnsi="宋体" w:eastAsia="宋体" w:cs="宋体"/>
          <w:color w:val="auto"/>
          <w:szCs w:val="21"/>
          <w:highlight w:val="none"/>
          <w:shd w:val="clear" w:color="auto" w:fill="FFFFFF"/>
        </w:rPr>
        <w:t>-</w:t>
      </w:r>
      <w:r>
        <w:rPr>
          <w:rFonts w:hint="eastAsia" w:ascii="宋体" w:hAnsi="宋体" w:eastAsia="宋体" w:cs="宋体"/>
          <w:color w:val="auto"/>
          <w:szCs w:val="21"/>
          <w:highlight w:val="none"/>
          <w:shd w:val="clear" w:color="auto" w:fill="FFFFFF"/>
          <w:lang w:val="en-US" w:eastAsia="zh-CN"/>
        </w:rPr>
        <w:t>下午</w:t>
      </w: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7</w:t>
      </w:r>
      <w:r>
        <w:rPr>
          <w:rFonts w:hint="eastAsia" w:ascii="宋体" w:hAnsi="宋体" w:eastAsia="宋体" w:cs="宋体"/>
          <w:color w:val="auto"/>
          <w:szCs w:val="21"/>
          <w:highlight w:val="none"/>
          <w:shd w:val="clear" w:color="auto" w:fill="FFFFFF"/>
        </w:rPr>
        <w:t>:</w:t>
      </w:r>
      <w:r>
        <w:rPr>
          <w:rFonts w:hint="eastAsia" w:ascii="宋体" w:hAnsi="宋体" w:eastAsia="宋体" w:cs="宋体"/>
          <w:color w:val="auto"/>
          <w:szCs w:val="21"/>
          <w:highlight w:val="none"/>
          <w:shd w:val="clear" w:color="auto" w:fill="FFFFFF"/>
          <w:lang w:val="en-US" w:eastAsia="zh-CN"/>
        </w:rPr>
        <w:t>30</w:t>
      </w:r>
      <w:r>
        <w:rPr>
          <w:rFonts w:hint="eastAsia" w:ascii="宋体" w:hAnsi="宋体" w:eastAsia="宋体" w:cs="宋体"/>
          <w:color w:val="auto"/>
          <w:szCs w:val="21"/>
          <w:highlight w:val="none"/>
          <w:shd w:val="clear" w:color="auto" w:fill="FFFFFF"/>
        </w:rPr>
        <w:t>（北京时间，法定节假日除外）</w:t>
      </w:r>
      <w:r>
        <w:rPr>
          <w:rFonts w:hint="eastAsia" w:ascii="宋体" w:hAnsi="宋体" w:eastAsia="宋体" w:cs="宋体"/>
          <w:color w:val="auto"/>
          <w:szCs w:val="21"/>
          <w:highlight w:val="none"/>
          <w:shd w:val="clear" w:color="auto" w:fill="FFFFFF"/>
          <w:lang w:val="en-US" w:eastAsia="zh-CN"/>
        </w:rPr>
        <w:t>。</w:t>
      </w:r>
    </w:p>
    <w:p w14:paraId="035BF3FE">
      <w:pPr>
        <w:keepNext w:val="0"/>
        <w:keepLines w:val="0"/>
        <w:pageBreakBefore w:val="0"/>
        <w:widowControl/>
        <w:kinsoku/>
        <w:overflowPunct/>
        <w:topLinePunct w:val="0"/>
        <w:autoSpaceDE/>
        <w:autoSpaceDN/>
        <w:bidi w:val="0"/>
        <w:snapToGrid w:val="0"/>
        <w:spacing w:before="0" w:beforeAutospacing="0" w:after="0" w:afterAutospacing="0" w:line="440" w:lineRule="exact"/>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2.凡报名成功的供应商无故不来参与投标的，列入我院黑名单，一年内不得参与我院任何采购活动。</w:t>
      </w:r>
    </w:p>
    <w:p w14:paraId="547E72C6">
      <w:pPr>
        <w:keepNext w:val="0"/>
        <w:keepLines w:val="0"/>
        <w:pageBreakBefore w:val="0"/>
        <w:widowControl/>
        <w:kinsoku/>
        <w:wordWrap w:val="0"/>
        <w:overflowPunct/>
        <w:topLinePunct w:val="0"/>
        <w:autoSpaceDE/>
        <w:autoSpaceDN/>
        <w:bidi w:val="0"/>
        <w:snapToGrid w:val="0"/>
        <w:spacing w:before="0" w:beforeAutospacing="0" w:after="0" w:afterAutospacing="0" w:line="440" w:lineRule="exact"/>
        <w:ind w:left="0" w:leftChars="0" w:firstLine="420" w:firstLineChars="200"/>
        <w:jc w:val="left"/>
        <w:textAlignment w:val="auto"/>
        <w:rPr>
          <w:rFonts w:hint="eastAsia" w:ascii="宋体" w:hAnsi="宋体" w:eastAsia="宋体" w:cs="宋体"/>
          <w:color w:val="auto"/>
          <w:kern w:val="0"/>
          <w:sz w:val="21"/>
          <w:szCs w:val="21"/>
          <w:highlight w:val="none"/>
          <w:u w:val="singl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3.采购文件获取方式：供应商须把填写完整的报名登记表及本磋商公告第二项供应商资格要求中需提供加盖单位公章的相关资料扫描件按序排版为PDF格式文件，发送至以下邮箱：</w:t>
      </w:r>
      <w:r>
        <w:rPr>
          <w:rFonts w:hint="eastAsia" w:ascii="宋体" w:hAnsi="宋体" w:eastAsia="宋体" w:cs="宋体"/>
          <w:color w:val="auto"/>
          <w:kern w:val="0"/>
          <w:sz w:val="21"/>
          <w:szCs w:val="21"/>
          <w:highlight w:val="none"/>
          <w:shd w:val="clear" w:color="auto" w:fill="FFFFFF"/>
          <w:lang w:val="en-US" w:eastAsia="zh-CN" w:bidi="ar-SA"/>
        </w:rPr>
        <w:fldChar w:fldCharType="begin"/>
      </w:r>
      <w:r>
        <w:rPr>
          <w:rFonts w:hint="eastAsia" w:ascii="宋体" w:hAnsi="宋体" w:eastAsia="宋体" w:cs="宋体"/>
          <w:color w:val="auto"/>
          <w:kern w:val="0"/>
          <w:sz w:val="21"/>
          <w:szCs w:val="21"/>
          <w:highlight w:val="none"/>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1"/>
          <w:szCs w:val="21"/>
          <w:highlight w:val="none"/>
          <w:shd w:val="clear" w:color="auto" w:fill="FFFFFF"/>
          <w:lang w:val="en-US" w:eastAsia="zh-CN" w:bidi="ar-SA"/>
        </w:rPr>
        <w:fldChar w:fldCharType="separate"/>
      </w:r>
      <w:r>
        <w:rPr>
          <w:rFonts w:hint="eastAsia" w:ascii="宋体" w:hAnsi="宋体" w:eastAsia="宋体" w:cs="宋体"/>
          <w:color w:val="auto"/>
          <w:kern w:val="0"/>
          <w:sz w:val="21"/>
          <w:szCs w:val="21"/>
          <w:highlight w:val="none"/>
          <w:shd w:val="clear" w:color="auto" w:fill="FFFFFF"/>
          <w:lang w:val="en-US" w:eastAsia="zh-CN" w:bidi="ar-SA"/>
        </w:rPr>
        <w:t>zz200209206019@163.com,并标明XX公司XX</w:t>
      </w:r>
      <w:r>
        <w:rPr>
          <w:rFonts w:hint="eastAsia" w:ascii="宋体" w:hAnsi="宋体" w:eastAsia="宋体" w:cs="宋体"/>
          <w:color w:val="auto"/>
          <w:kern w:val="0"/>
          <w:sz w:val="21"/>
          <w:szCs w:val="21"/>
          <w:highlight w:val="none"/>
          <w:shd w:val="clear" w:color="auto" w:fill="FFFFFF"/>
          <w:lang w:val="en-US" w:eastAsia="zh-CN" w:bidi="ar-SA"/>
        </w:rPr>
        <w:fldChar w:fldCharType="end"/>
      </w:r>
      <w:r>
        <w:rPr>
          <w:rFonts w:hint="eastAsia" w:ascii="宋体" w:hAnsi="宋体" w:eastAsia="宋体" w:cs="宋体"/>
          <w:color w:val="auto"/>
          <w:kern w:val="0"/>
          <w:sz w:val="21"/>
          <w:szCs w:val="21"/>
          <w:highlight w:val="none"/>
          <w:shd w:val="clear" w:color="auto" w:fill="FFFFFF"/>
          <w:lang w:val="en-US" w:eastAsia="zh-CN" w:bidi="ar-SA"/>
        </w:rPr>
        <w:t>项目报名资料。</w:t>
      </w:r>
    </w:p>
    <w:p w14:paraId="2BF4F091">
      <w:pPr>
        <w:keepNext w:val="0"/>
        <w:keepLines w:val="0"/>
        <w:pageBreakBefore w:val="0"/>
        <w:widowControl/>
        <w:kinsoku/>
        <w:wordWrap w:val="0"/>
        <w:overflowPunct/>
        <w:topLinePunct w:val="0"/>
        <w:autoSpaceDE/>
        <w:autoSpaceDN/>
        <w:bidi w:val="0"/>
        <w:snapToGrid w:val="0"/>
        <w:spacing w:before="0" w:beforeAutospacing="0" w:after="0" w:afterAutospacing="0" w:line="440" w:lineRule="exact"/>
        <w:ind w:left="420" w:left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4.报名登记表：请从附件中下载。</w:t>
      </w:r>
    </w:p>
    <w:p w14:paraId="2B7675CF">
      <w:pPr>
        <w:keepNext w:val="0"/>
        <w:keepLines w:val="0"/>
        <w:pageBreakBefore w:val="0"/>
        <w:widowControl/>
        <w:kinsoku/>
        <w:overflowPunct/>
        <w:topLinePunct w:val="0"/>
        <w:autoSpaceDE/>
        <w:autoSpaceDN/>
        <w:bidi w:val="0"/>
        <w:snapToGrid w:val="0"/>
        <w:spacing w:before="0" w:after="0" w:line="440" w:lineRule="exact"/>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13" w:name="_Toc25869"/>
      <w:bookmarkStart w:id="14" w:name="_Toc15111"/>
      <w:bookmarkStart w:id="15" w:name="_Toc15135"/>
      <w:bookmarkStart w:id="16" w:name="_Toc27480"/>
      <w:bookmarkStart w:id="17" w:name="_Toc10738"/>
      <w:r>
        <w:rPr>
          <w:rFonts w:hint="eastAsia" w:ascii="宋体" w:hAnsi="宋体" w:eastAsia="宋体" w:cs="宋体"/>
          <w:b/>
          <w:bCs/>
          <w:color w:val="auto"/>
          <w:kern w:val="2"/>
          <w:sz w:val="21"/>
          <w:szCs w:val="21"/>
          <w:highlight w:val="none"/>
          <w:shd w:val="clear" w:color="auto" w:fill="FFFFFF"/>
          <w:lang w:val="en-US" w:eastAsia="zh-CN" w:bidi="ar-SA"/>
        </w:rPr>
        <w:t>四、磋商截止时间及地点</w:t>
      </w:r>
      <w:bookmarkEnd w:id="13"/>
      <w:bookmarkEnd w:id="14"/>
      <w:bookmarkEnd w:id="15"/>
      <w:bookmarkEnd w:id="16"/>
      <w:bookmarkEnd w:id="17"/>
    </w:p>
    <w:p w14:paraId="7D796AB0">
      <w:pPr>
        <w:keepNext w:val="0"/>
        <w:keepLines w:val="0"/>
        <w:pageBreakBefore w:val="0"/>
        <w:widowControl/>
        <w:kinsoku/>
        <w:overflowPunct/>
        <w:topLinePunct w:val="0"/>
        <w:autoSpaceDE/>
        <w:autoSpaceDN/>
        <w:bidi w:val="0"/>
        <w:snapToGrid w:val="0"/>
        <w:spacing w:before="0" w:beforeAutospacing="0" w:after="0" w:afterAutospacing="0" w:line="440" w:lineRule="exact"/>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1.时间：</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3D8C4AFF">
      <w:pPr>
        <w:keepNext w:val="0"/>
        <w:keepLines w:val="0"/>
        <w:pageBreakBefore w:val="0"/>
        <w:widowControl/>
        <w:kinsoku/>
        <w:overflowPunct/>
        <w:topLinePunct w:val="0"/>
        <w:autoSpaceDE/>
        <w:autoSpaceDN/>
        <w:bidi w:val="0"/>
        <w:snapToGrid w:val="0"/>
        <w:spacing w:before="0" w:beforeAutospacing="0" w:after="0" w:afterAutospacing="0" w:line="44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2.地点：</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51BE6284">
      <w:pPr>
        <w:keepNext w:val="0"/>
        <w:keepLines w:val="0"/>
        <w:pageBreakBefore w:val="0"/>
        <w:widowControl/>
        <w:kinsoku/>
        <w:overflowPunct/>
        <w:topLinePunct w:val="0"/>
        <w:autoSpaceDE/>
        <w:autoSpaceDN/>
        <w:bidi w:val="0"/>
        <w:snapToGrid w:val="0"/>
        <w:spacing w:before="0" w:after="0" w:line="440" w:lineRule="exact"/>
        <w:jc w:val="left"/>
        <w:textAlignment w:val="auto"/>
        <w:outlineLvl w:val="1"/>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五、磋商时间及地点</w:t>
      </w:r>
    </w:p>
    <w:p w14:paraId="52FEDFC3">
      <w:pPr>
        <w:keepNext w:val="0"/>
        <w:keepLines w:val="0"/>
        <w:pageBreakBefore w:val="0"/>
        <w:widowControl/>
        <w:kinsoku/>
        <w:overflowPunct/>
        <w:topLinePunct w:val="0"/>
        <w:autoSpaceDE/>
        <w:autoSpaceDN/>
        <w:bidi w:val="0"/>
        <w:snapToGrid w:val="0"/>
        <w:spacing w:before="0" w:beforeAutospacing="0" w:after="0" w:afterAutospacing="0" w:line="440" w:lineRule="exact"/>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1.时间：</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4454039B">
      <w:pPr>
        <w:keepNext w:val="0"/>
        <w:keepLines w:val="0"/>
        <w:pageBreakBefore w:val="0"/>
        <w:widowControl/>
        <w:kinsoku/>
        <w:overflowPunct/>
        <w:topLinePunct w:val="0"/>
        <w:autoSpaceDE/>
        <w:autoSpaceDN/>
        <w:bidi w:val="0"/>
        <w:snapToGrid w:val="0"/>
        <w:spacing w:before="0" w:beforeAutospacing="0" w:after="0" w:afterAutospacing="0" w:line="44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2.地点：</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3D456729">
      <w:pPr>
        <w:keepNext w:val="0"/>
        <w:keepLines w:val="0"/>
        <w:pageBreakBefore w:val="0"/>
        <w:widowControl/>
        <w:kinsoku/>
        <w:overflowPunct/>
        <w:topLinePunct w:val="0"/>
        <w:autoSpaceDE/>
        <w:autoSpaceDN/>
        <w:bidi w:val="0"/>
        <w:snapToGrid w:val="0"/>
        <w:spacing w:before="0" w:after="0" w:line="440" w:lineRule="exact"/>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18" w:name="_Toc20287"/>
      <w:bookmarkStart w:id="19" w:name="_Toc6523"/>
      <w:bookmarkStart w:id="20" w:name="_Toc29784"/>
      <w:bookmarkStart w:id="21" w:name="_Toc30918"/>
      <w:r>
        <w:rPr>
          <w:rFonts w:hint="eastAsia" w:ascii="宋体" w:hAnsi="宋体" w:eastAsia="宋体" w:cs="宋体"/>
          <w:b/>
          <w:bCs/>
          <w:color w:val="auto"/>
          <w:kern w:val="2"/>
          <w:sz w:val="21"/>
          <w:szCs w:val="21"/>
          <w:highlight w:val="none"/>
          <w:shd w:val="clear" w:color="auto" w:fill="FFFFFF"/>
          <w:lang w:val="en-US" w:eastAsia="zh-CN" w:bidi="ar-SA"/>
        </w:rPr>
        <w:t>六、发布公告的媒介及</w:t>
      </w:r>
      <w:r>
        <w:rPr>
          <w:rFonts w:hint="eastAsia" w:ascii="宋体" w:hAnsi="宋体" w:eastAsia="宋体" w:cs="宋体"/>
          <w:b/>
          <w:bCs/>
          <w:color w:val="auto"/>
          <w:sz w:val="21"/>
          <w:szCs w:val="21"/>
          <w:highlight w:val="none"/>
          <w:shd w:val="clear" w:color="auto" w:fill="auto"/>
          <w:lang w:val="en-US" w:eastAsia="zh-CN"/>
        </w:rPr>
        <w:t>采购</w:t>
      </w:r>
      <w:r>
        <w:rPr>
          <w:rFonts w:hint="eastAsia" w:ascii="宋体" w:hAnsi="宋体" w:eastAsia="宋体" w:cs="宋体"/>
          <w:b/>
          <w:bCs/>
          <w:color w:val="auto"/>
          <w:kern w:val="2"/>
          <w:sz w:val="21"/>
          <w:szCs w:val="21"/>
          <w:highlight w:val="none"/>
          <w:shd w:val="clear" w:color="auto" w:fill="FFFFFF"/>
          <w:lang w:val="en-US" w:eastAsia="zh-CN" w:bidi="ar-SA"/>
        </w:rPr>
        <w:t>公告期限</w:t>
      </w:r>
      <w:bookmarkEnd w:id="18"/>
      <w:bookmarkEnd w:id="19"/>
      <w:bookmarkEnd w:id="20"/>
      <w:bookmarkEnd w:id="21"/>
    </w:p>
    <w:p w14:paraId="33415FE6">
      <w:pPr>
        <w:keepNext w:val="0"/>
        <w:keepLines w:val="0"/>
        <w:pageBreakBefore w:val="0"/>
        <w:widowControl/>
        <w:kinsoku/>
        <w:overflowPunct/>
        <w:topLinePunct w:val="0"/>
        <w:autoSpaceDE/>
        <w:autoSpaceDN/>
        <w:bidi w:val="0"/>
        <w:snapToGrid w:val="0"/>
        <w:spacing w:before="0" w:beforeAutospacing="0" w:after="0" w:afterAutospacing="0" w:line="44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本次</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kern w:val="0"/>
          <w:sz w:val="21"/>
          <w:szCs w:val="21"/>
          <w:highlight w:val="none"/>
          <w:shd w:val="clear" w:color="auto" w:fill="FFFFFF"/>
          <w:lang w:val="en-US" w:eastAsia="zh-CN" w:bidi="ar-SA"/>
        </w:rPr>
        <w:t>公告在《驻马店市中心医院》院内网</w:t>
      </w:r>
      <w:r>
        <w:rPr>
          <w:rFonts w:hint="eastAsia" w:ascii="宋体" w:hAnsi="宋体" w:eastAsia="宋体" w:cs="宋体"/>
          <w:color w:val="auto"/>
          <w:sz w:val="21"/>
          <w:szCs w:val="21"/>
          <w:highlight w:val="none"/>
          <w:shd w:val="clear" w:color="auto" w:fill="auto"/>
        </w:rPr>
        <w:t>上发布</w:t>
      </w:r>
      <w:r>
        <w:rPr>
          <w:rFonts w:hint="eastAsia" w:ascii="宋体" w:hAnsi="宋体" w:eastAsia="宋体" w:cs="宋体"/>
          <w:color w:val="auto"/>
          <w:sz w:val="21"/>
          <w:szCs w:val="21"/>
          <w:highlight w:val="none"/>
          <w:shd w:val="clear" w:color="auto" w:fill="auto"/>
          <w:lang w:eastAsia="zh-CN"/>
        </w:rPr>
        <w:t>，</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sz w:val="21"/>
          <w:szCs w:val="21"/>
          <w:highlight w:val="none"/>
          <w:shd w:val="clear" w:color="auto" w:fill="auto"/>
          <w:lang w:eastAsia="zh-CN"/>
        </w:rPr>
        <w:t>公告期限为</w:t>
      </w:r>
      <w:r>
        <w:rPr>
          <w:rFonts w:hint="eastAsia" w:ascii="宋体" w:hAnsi="宋体" w:eastAsia="宋体" w:cs="宋体"/>
          <w:color w:val="auto"/>
          <w:sz w:val="21"/>
          <w:szCs w:val="21"/>
          <w:highlight w:val="none"/>
          <w:shd w:val="clear" w:color="auto" w:fill="auto"/>
          <w:lang w:val="en-US" w:eastAsia="zh-CN"/>
        </w:rPr>
        <w:t>三</w:t>
      </w:r>
      <w:r>
        <w:rPr>
          <w:rFonts w:hint="eastAsia" w:ascii="宋体" w:hAnsi="宋体" w:eastAsia="宋体" w:cs="宋体"/>
          <w:color w:val="auto"/>
          <w:sz w:val="21"/>
          <w:szCs w:val="21"/>
          <w:highlight w:val="none"/>
          <w:shd w:val="clear" w:color="auto" w:fill="auto"/>
          <w:lang w:eastAsia="zh-CN"/>
        </w:rPr>
        <w:t>个工作日</w:t>
      </w:r>
      <w:r>
        <w:rPr>
          <w:rFonts w:hint="eastAsia" w:ascii="宋体" w:hAnsi="宋体" w:eastAsia="宋体" w:cs="宋体"/>
          <w:color w:val="auto"/>
          <w:kern w:val="0"/>
          <w:sz w:val="21"/>
          <w:szCs w:val="21"/>
          <w:highlight w:val="none"/>
          <w:shd w:val="clear" w:color="auto" w:fill="FFFFFF"/>
          <w:lang w:val="en-US" w:eastAsia="zh-CN" w:bidi="ar-SA"/>
        </w:rPr>
        <w:t>。</w:t>
      </w:r>
      <w:bookmarkStart w:id="22" w:name="_Toc35393626"/>
      <w:bookmarkStart w:id="23" w:name="_Toc35393795"/>
    </w:p>
    <w:bookmarkEnd w:id="22"/>
    <w:bookmarkEnd w:id="23"/>
    <w:p w14:paraId="5E12EA47">
      <w:pPr>
        <w:keepNext w:val="0"/>
        <w:keepLines w:val="0"/>
        <w:pageBreakBefore w:val="0"/>
        <w:widowControl/>
        <w:kinsoku/>
        <w:overflowPunct/>
        <w:topLinePunct w:val="0"/>
        <w:autoSpaceDE/>
        <w:autoSpaceDN/>
        <w:bidi w:val="0"/>
        <w:snapToGrid w:val="0"/>
        <w:spacing w:before="0" w:after="0" w:line="440" w:lineRule="exact"/>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24" w:name="_Toc24274"/>
      <w:bookmarkStart w:id="25" w:name="_Toc31928"/>
      <w:bookmarkStart w:id="26" w:name="_Toc27370"/>
      <w:bookmarkStart w:id="27" w:name="_Toc3604"/>
      <w:bookmarkStart w:id="28" w:name="_Toc16291"/>
      <w:r>
        <w:rPr>
          <w:rFonts w:hint="eastAsia" w:ascii="宋体" w:hAnsi="宋体" w:eastAsia="宋体" w:cs="宋体"/>
          <w:b/>
          <w:bCs/>
          <w:color w:val="auto"/>
          <w:kern w:val="2"/>
          <w:sz w:val="21"/>
          <w:szCs w:val="21"/>
          <w:highlight w:val="none"/>
          <w:shd w:val="clear" w:color="auto" w:fill="FFFFFF"/>
          <w:lang w:val="en-US" w:eastAsia="zh-CN" w:bidi="ar-SA"/>
        </w:rPr>
        <w:t>七、</w:t>
      </w:r>
      <w:bookmarkEnd w:id="24"/>
      <w:bookmarkEnd w:id="25"/>
      <w:bookmarkEnd w:id="26"/>
      <w:bookmarkEnd w:id="27"/>
      <w:bookmarkEnd w:id="28"/>
      <w:r>
        <w:rPr>
          <w:rFonts w:hint="eastAsia" w:ascii="宋体" w:hAnsi="宋体" w:eastAsia="宋体" w:cs="宋体"/>
          <w:b/>
          <w:bCs/>
          <w:color w:val="auto"/>
          <w:kern w:val="2"/>
          <w:sz w:val="21"/>
          <w:szCs w:val="21"/>
          <w:highlight w:val="none"/>
          <w:shd w:val="clear" w:color="auto" w:fill="FFFFFF"/>
          <w:lang w:val="en-US" w:eastAsia="zh-CN" w:bidi="ar-SA"/>
        </w:rPr>
        <w:t>凡对本次招标提出询问，请按照以下方式联系</w:t>
      </w:r>
    </w:p>
    <w:p w14:paraId="54693400">
      <w:pPr>
        <w:keepNext w:val="0"/>
        <w:keepLines w:val="0"/>
        <w:pageBreakBefore w:val="0"/>
        <w:widowControl/>
        <w:kinsoku/>
        <w:overflowPunct/>
        <w:topLinePunct w:val="0"/>
        <w:autoSpaceDE/>
        <w:autoSpaceDN/>
        <w:bidi w:val="0"/>
        <w:snapToGrid w:val="0"/>
        <w:spacing w:before="0" w:beforeAutospacing="0" w:after="0" w:afterAutospacing="0" w:line="44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1.采购人：驻马店市中心医院</w:t>
      </w:r>
    </w:p>
    <w:p w14:paraId="2F4837D3">
      <w:pPr>
        <w:keepNext w:val="0"/>
        <w:keepLines w:val="0"/>
        <w:pageBreakBefore w:val="0"/>
        <w:widowControl/>
        <w:kinsoku/>
        <w:overflowPunct/>
        <w:topLinePunct w:val="0"/>
        <w:autoSpaceDE/>
        <w:autoSpaceDN/>
        <w:bidi w:val="0"/>
        <w:snapToGrid w:val="0"/>
        <w:spacing w:before="0" w:beforeAutospacing="0" w:after="0" w:afterAutospacing="0" w:line="44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地址：驻马店市中华大道747号</w:t>
      </w:r>
    </w:p>
    <w:p w14:paraId="0A7546E7">
      <w:pPr>
        <w:keepNext w:val="0"/>
        <w:keepLines w:val="0"/>
        <w:pageBreakBefore w:val="0"/>
        <w:widowControl/>
        <w:kinsoku/>
        <w:overflowPunct/>
        <w:topLinePunct w:val="0"/>
        <w:autoSpaceDE/>
        <w:autoSpaceDN/>
        <w:bidi w:val="0"/>
        <w:snapToGrid w:val="0"/>
        <w:spacing w:before="0" w:beforeAutospacing="0" w:after="0" w:afterAutospacing="0" w:line="44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联系人：陈先生</w:t>
      </w:r>
    </w:p>
    <w:p w14:paraId="20A058F6">
      <w:pPr>
        <w:keepNext w:val="0"/>
        <w:keepLines w:val="0"/>
        <w:pageBreakBefore w:val="0"/>
        <w:widowControl/>
        <w:kinsoku/>
        <w:overflowPunct/>
        <w:topLinePunct w:val="0"/>
        <w:autoSpaceDE/>
        <w:autoSpaceDN/>
        <w:bidi w:val="0"/>
        <w:snapToGrid w:val="0"/>
        <w:spacing w:before="0" w:beforeAutospacing="0" w:after="0" w:afterAutospacing="0" w:line="44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电话：0396-2726379</w:t>
      </w:r>
    </w:p>
    <w:p w14:paraId="77BDB4E9">
      <w:pPr>
        <w:keepNext w:val="0"/>
        <w:keepLines w:val="0"/>
        <w:pageBreakBefore w:val="0"/>
        <w:widowControl/>
        <w:kinsoku/>
        <w:overflowPunct/>
        <w:topLinePunct w:val="0"/>
        <w:autoSpaceDE/>
        <w:autoSpaceDN/>
        <w:bidi w:val="0"/>
        <w:snapToGrid w:val="0"/>
        <w:spacing w:before="0" w:beforeAutospacing="0" w:after="0" w:afterAutospacing="0" w:line="40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2.采购代理机构：中岐能工程项目管理有限公司</w:t>
      </w:r>
    </w:p>
    <w:p w14:paraId="5B26158A">
      <w:pPr>
        <w:keepNext w:val="0"/>
        <w:keepLines w:val="0"/>
        <w:pageBreakBefore w:val="0"/>
        <w:widowControl/>
        <w:kinsoku/>
        <w:overflowPunct/>
        <w:topLinePunct w:val="0"/>
        <w:autoSpaceDE/>
        <w:autoSpaceDN/>
        <w:bidi w:val="0"/>
        <w:snapToGrid w:val="0"/>
        <w:spacing w:before="0" w:beforeAutospacing="0" w:after="0" w:afterAutospacing="0" w:line="40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地址：驻马店市泰山路与骏马路交叉口广泰大厦22楼</w:t>
      </w:r>
    </w:p>
    <w:p w14:paraId="248B5D9A">
      <w:pPr>
        <w:keepNext w:val="0"/>
        <w:keepLines w:val="0"/>
        <w:pageBreakBefore w:val="0"/>
        <w:widowControl/>
        <w:kinsoku/>
        <w:overflowPunct/>
        <w:topLinePunct w:val="0"/>
        <w:autoSpaceDE/>
        <w:autoSpaceDN/>
        <w:bidi w:val="0"/>
        <w:snapToGrid w:val="0"/>
        <w:spacing w:before="0" w:beforeAutospacing="0" w:after="0" w:afterAutospacing="0" w:line="40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联系人：张先生</w:t>
      </w:r>
    </w:p>
    <w:p w14:paraId="387371A2">
      <w:pPr>
        <w:keepNext w:val="0"/>
        <w:keepLines w:val="0"/>
        <w:pageBreakBefore w:val="0"/>
        <w:widowControl/>
        <w:kinsoku/>
        <w:overflowPunct/>
        <w:topLinePunct w:val="0"/>
        <w:autoSpaceDE/>
        <w:autoSpaceDN/>
        <w:bidi w:val="0"/>
        <w:snapToGrid w:val="0"/>
        <w:spacing w:before="0" w:beforeAutospacing="0" w:after="0" w:afterAutospacing="0" w:line="40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联系方式：15518315656</w:t>
      </w:r>
    </w:p>
    <w:p w14:paraId="185212DC">
      <w:pPr>
        <w:keepNext w:val="0"/>
        <w:keepLines w:val="0"/>
        <w:pageBreakBefore w:val="0"/>
        <w:widowControl/>
        <w:kinsoku/>
        <w:overflowPunct/>
        <w:topLinePunct w:val="0"/>
        <w:autoSpaceDE/>
        <w:autoSpaceDN/>
        <w:bidi w:val="0"/>
        <w:snapToGrid w:val="0"/>
        <w:spacing w:before="0" w:beforeAutospacing="0" w:after="0" w:afterAutospacing="0" w:line="40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3.监督部门：驻马店市中心医院纪检监察室</w:t>
      </w:r>
    </w:p>
    <w:p w14:paraId="6900D60C">
      <w:pPr>
        <w:keepNext w:val="0"/>
        <w:keepLines w:val="0"/>
        <w:pageBreakBefore w:val="0"/>
        <w:widowControl/>
        <w:kinsoku/>
        <w:overflowPunct/>
        <w:topLinePunct w:val="0"/>
        <w:autoSpaceDE/>
        <w:autoSpaceDN/>
        <w:bidi w:val="0"/>
        <w:snapToGrid w:val="0"/>
        <w:spacing w:before="0" w:beforeAutospacing="0" w:after="0" w:afterAutospacing="0" w:line="40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监督电话：0396-2726678</w:t>
      </w:r>
    </w:p>
    <w:p w14:paraId="11DF715E">
      <w:pPr>
        <w:keepNext w:val="0"/>
        <w:keepLines w:val="0"/>
        <w:pageBreakBefore w:val="0"/>
        <w:widowControl/>
        <w:kinsoku/>
        <w:overflowPunct/>
        <w:topLinePunct w:val="0"/>
        <w:autoSpaceDE/>
        <w:autoSpaceDN/>
        <w:bidi w:val="0"/>
        <w:snapToGrid w:val="0"/>
        <w:spacing w:before="0" w:beforeAutospacing="0" w:after="0" w:afterAutospacing="0" w:line="40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p>
    <w:p w14:paraId="572F2BDF">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right"/>
        <w:textAlignment w:val="auto"/>
        <w:rPr>
          <w:rFonts w:hint="eastAsia" w:ascii="宋体" w:hAnsi="宋体" w:eastAsia="宋体" w:cs="宋体"/>
          <w:color w:val="auto"/>
          <w:kern w:val="0"/>
          <w:sz w:val="21"/>
          <w:szCs w:val="21"/>
          <w:highlight w:val="none"/>
          <w:shd w:val="clear" w:color="auto" w:fill="FFFFFF"/>
          <w:lang w:val="en-US" w:eastAsia="zh-CN" w:bidi="ar-SA"/>
        </w:rPr>
      </w:pPr>
    </w:p>
    <w:p w14:paraId="5D75D884">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right"/>
        <w:textAlignment w:val="auto"/>
        <w:rPr>
          <w:rFonts w:hint="eastAsia" w:ascii="宋体" w:hAnsi="宋体" w:eastAsia="宋体" w:cs="宋体"/>
          <w:color w:val="auto"/>
          <w:kern w:val="0"/>
          <w:sz w:val="21"/>
          <w:szCs w:val="21"/>
          <w:highlight w:val="none"/>
          <w:shd w:val="clear" w:color="auto" w:fill="FFFFFF"/>
          <w:lang w:val="en-US" w:eastAsia="zh-CN" w:bidi="ar-SA"/>
        </w:rPr>
      </w:pPr>
    </w:p>
    <w:p w14:paraId="189E596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righ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驻马店市中心医院采购科</w:t>
      </w:r>
    </w:p>
    <w:p w14:paraId="2B5979AB">
      <w:pPr>
        <w:pStyle w:val="30"/>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center"/>
        <w:textAlignment w:val="auto"/>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kern w:val="0"/>
          <w:sz w:val="21"/>
          <w:szCs w:val="21"/>
          <w:highlight w:val="none"/>
          <w:shd w:val="clear" w:color="auto" w:fill="FFFFFF"/>
          <w:lang w:val="en-US" w:eastAsia="zh-CN" w:bidi="ar-SA"/>
        </w:rPr>
        <w:t xml:space="preserve">                                                         </w:t>
      </w:r>
      <w:r>
        <w:rPr>
          <w:rFonts w:hint="eastAsia" w:ascii="宋体" w:hAnsi="宋体" w:eastAsia="宋体" w:cs="宋体"/>
          <w:color w:val="auto"/>
          <w:sz w:val="21"/>
          <w:szCs w:val="21"/>
          <w:highlight w:val="none"/>
          <w:shd w:val="clear" w:color="auto" w:fill="FFFFFF"/>
        </w:rPr>
        <w:t>202</w:t>
      </w:r>
      <w:r>
        <w:rPr>
          <w:rFonts w:hint="eastAsia" w:ascii="宋体" w:hAnsi="宋体" w:cs="宋体"/>
          <w:color w:val="auto"/>
          <w:sz w:val="21"/>
          <w:szCs w:val="21"/>
          <w:highlight w:val="none"/>
          <w:shd w:val="clear" w:color="auto" w:fill="FFFFFF"/>
          <w:lang w:val="en-US" w:eastAsia="zh-CN"/>
        </w:rPr>
        <w:t>6</w:t>
      </w:r>
      <w:r>
        <w:rPr>
          <w:rFonts w:hint="eastAsia" w:ascii="宋体" w:hAnsi="宋体" w:eastAsia="宋体" w:cs="宋体"/>
          <w:color w:val="auto"/>
          <w:sz w:val="21"/>
          <w:szCs w:val="21"/>
          <w:highlight w:val="none"/>
          <w:shd w:val="clear" w:color="auto" w:fill="FFFFFF"/>
        </w:rPr>
        <w:t>年</w:t>
      </w:r>
      <w:r>
        <w:rPr>
          <w:rFonts w:hint="eastAsia" w:ascii="宋体" w:hAnsi="宋体" w:cs="宋体"/>
          <w:color w:val="auto"/>
          <w:sz w:val="21"/>
          <w:szCs w:val="21"/>
          <w:highlight w:val="none"/>
          <w:shd w:val="clear" w:color="auto" w:fill="FFFFFF"/>
          <w:lang w:val="en-US" w:eastAsia="zh-CN"/>
        </w:rPr>
        <w:t>1</w:t>
      </w:r>
      <w:r>
        <w:rPr>
          <w:rFonts w:hint="eastAsia" w:ascii="宋体" w:hAnsi="宋体" w:eastAsia="宋体" w:cs="宋体"/>
          <w:color w:val="auto"/>
          <w:sz w:val="21"/>
          <w:szCs w:val="21"/>
          <w:highlight w:val="none"/>
          <w:shd w:val="clear" w:color="auto" w:fill="FFFFFF"/>
        </w:rPr>
        <w:t>月</w:t>
      </w:r>
      <w:r>
        <w:rPr>
          <w:rFonts w:hint="eastAsia" w:ascii="宋体" w:hAnsi="宋体" w:cs="宋体"/>
          <w:color w:val="auto"/>
          <w:sz w:val="21"/>
          <w:szCs w:val="21"/>
          <w:highlight w:val="none"/>
          <w:shd w:val="clear" w:color="auto" w:fill="FFFFFF"/>
          <w:lang w:val="en-US" w:eastAsia="zh-CN"/>
        </w:rPr>
        <w:t>4</w:t>
      </w:r>
      <w:r>
        <w:rPr>
          <w:rFonts w:hint="eastAsia" w:ascii="宋体" w:hAnsi="宋体" w:eastAsia="宋体" w:cs="宋体"/>
          <w:color w:val="auto"/>
          <w:sz w:val="21"/>
          <w:szCs w:val="21"/>
          <w:highlight w:val="none"/>
          <w:shd w:val="clear" w:color="auto" w:fill="FFFFFF"/>
        </w:rPr>
        <w:t>日</w:t>
      </w:r>
    </w:p>
    <w:p w14:paraId="1C0E0222">
      <w:pPr>
        <w:rPr>
          <w:rFonts w:hint="eastAsia" w:ascii="宋体" w:hAnsi="宋体" w:eastAsia="宋体" w:cs="宋体"/>
          <w:b/>
          <w:color w:val="auto"/>
          <w:sz w:val="32"/>
          <w:szCs w:val="32"/>
          <w:highlight w:val="none"/>
        </w:rPr>
      </w:pPr>
      <w:bookmarkStart w:id="29" w:name="_Toc29890"/>
      <w:bookmarkStart w:id="30" w:name="_Toc23793"/>
      <w:r>
        <w:rPr>
          <w:rFonts w:hint="eastAsia" w:ascii="宋体" w:hAnsi="宋体" w:eastAsia="宋体" w:cs="宋体"/>
          <w:b/>
          <w:color w:val="auto"/>
          <w:sz w:val="32"/>
          <w:szCs w:val="32"/>
          <w:highlight w:val="none"/>
        </w:rPr>
        <w:br w:type="page"/>
      </w:r>
    </w:p>
    <w:p w14:paraId="32464726">
      <w:pPr>
        <w:widowControl/>
        <w:spacing w:line="360" w:lineRule="auto"/>
        <w:jc w:val="center"/>
        <w:outlineLvl w:val="0"/>
        <w:rPr>
          <w:rFonts w:hint="eastAsia" w:ascii="宋体" w:hAnsi="宋体" w:eastAsia="宋体" w:cs="宋体"/>
          <w:b/>
          <w:color w:val="auto"/>
          <w:sz w:val="32"/>
          <w:szCs w:val="32"/>
          <w:highlight w:val="none"/>
        </w:rPr>
      </w:pPr>
      <w:bookmarkStart w:id="31" w:name="_Toc7602"/>
      <w:r>
        <w:rPr>
          <w:rFonts w:hint="eastAsia" w:ascii="宋体" w:hAnsi="宋体" w:eastAsia="宋体" w:cs="宋体"/>
          <w:b/>
          <w:color w:val="auto"/>
          <w:sz w:val="32"/>
          <w:szCs w:val="32"/>
          <w:highlight w:val="none"/>
        </w:rPr>
        <w:t xml:space="preserve">第二章  </w:t>
      </w:r>
      <w:r>
        <w:rPr>
          <w:rFonts w:hint="eastAsia" w:ascii="宋体" w:hAnsi="宋体" w:eastAsia="宋体" w:cs="宋体"/>
          <w:b/>
          <w:color w:val="auto"/>
          <w:sz w:val="32"/>
          <w:szCs w:val="32"/>
          <w:highlight w:val="none"/>
          <w:lang w:eastAsia="zh-CN"/>
        </w:rPr>
        <w:t>采购</w:t>
      </w:r>
      <w:r>
        <w:rPr>
          <w:rFonts w:hint="eastAsia" w:ascii="宋体" w:hAnsi="宋体" w:eastAsia="宋体" w:cs="宋体"/>
          <w:b/>
          <w:color w:val="auto"/>
          <w:sz w:val="32"/>
          <w:szCs w:val="32"/>
          <w:highlight w:val="none"/>
        </w:rPr>
        <w:t>需求</w:t>
      </w:r>
      <w:bookmarkEnd w:id="31"/>
      <w:bookmarkStart w:id="32" w:name="_Toc23610"/>
      <w:bookmarkStart w:id="33" w:name="_Toc9989"/>
      <w:bookmarkStart w:id="34" w:name="_Toc31536"/>
    </w:p>
    <w:bookmarkEnd w:id="29"/>
    <w:bookmarkEnd w:id="30"/>
    <w:bookmarkEnd w:id="32"/>
    <w:bookmarkEnd w:id="33"/>
    <w:bookmarkEnd w:id="34"/>
    <w:p w14:paraId="6295320D">
      <w:pPr>
        <w:pStyle w:val="15"/>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560" w:lineRule="exact"/>
        <w:jc w:val="both"/>
        <w:textAlignment w:val="auto"/>
        <w:rPr>
          <w:rFonts w:hint="default" w:ascii="宋体" w:hAnsi="宋体" w:eastAsia="宋体" w:cs="宋体"/>
          <w:b w:val="0"/>
          <w:bCs w:val="0"/>
          <w:i w:val="0"/>
          <w:iCs/>
          <w:color w:val="auto"/>
          <w:sz w:val="21"/>
          <w:szCs w:val="21"/>
          <w:highlight w:val="none"/>
          <w:u w:val="none"/>
          <w:lang w:val="en-US" w:eastAsia="zh-CN"/>
        </w:rPr>
      </w:pPr>
      <w:r>
        <w:rPr>
          <w:rFonts w:hint="eastAsia" w:ascii="宋体" w:hAnsi="宋体" w:eastAsia="宋体" w:cs="宋体"/>
          <w:b/>
          <w:bCs/>
          <w:i w:val="0"/>
          <w:iCs/>
          <w:color w:val="auto"/>
          <w:sz w:val="21"/>
          <w:szCs w:val="21"/>
          <w:highlight w:val="none"/>
          <w:u w:val="none"/>
          <w:lang w:val="en-US" w:eastAsia="zh-CN"/>
        </w:rPr>
        <w:t>一、项目名称：</w:t>
      </w:r>
      <w:r>
        <w:rPr>
          <w:rFonts w:hint="eastAsia" w:cs="宋体"/>
          <w:b w:val="0"/>
          <w:bCs w:val="0"/>
          <w:i w:val="0"/>
          <w:iCs/>
          <w:color w:val="auto"/>
          <w:sz w:val="21"/>
          <w:szCs w:val="21"/>
          <w:highlight w:val="none"/>
          <w:u w:val="none"/>
          <w:lang w:val="en-US" w:eastAsia="zh-CN"/>
        </w:rPr>
        <w:t>驻马店市中心医院双通道注射泵、输液泵采购项目二次</w:t>
      </w:r>
    </w:p>
    <w:p w14:paraId="774013EF">
      <w:pPr>
        <w:pStyle w:val="15"/>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560" w:lineRule="exact"/>
        <w:jc w:val="both"/>
        <w:textAlignment w:val="auto"/>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i w:val="0"/>
          <w:iCs/>
          <w:color w:val="auto"/>
          <w:sz w:val="21"/>
          <w:szCs w:val="21"/>
          <w:highlight w:val="none"/>
          <w:u w:val="none"/>
          <w:lang w:val="en-US" w:eastAsia="zh-CN"/>
        </w:rPr>
        <w:t>二、</w:t>
      </w:r>
      <w:r>
        <w:rPr>
          <w:rFonts w:hint="eastAsia" w:ascii="宋体" w:hAnsi="宋体" w:eastAsia="宋体" w:cs="宋体"/>
          <w:b/>
          <w:bCs/>
          <w:color w:val="auto"/>
          <w:kern w:val="2"/>
          <w:sz w:val="21"/>
          <w:szCs w:val="24"/>
          <w:highlight w:val="none"/>
          <w:lang w:val="en-US" w:eastAsia="zh-CN" w:bidi="ar-SA"/>
        </w:rPr>
        <w:t>采购标的清单：</w:t>
      </w:r>
    </w:p>
    <w:tbl>
      <w:tblPr>
        <w:tblStyle w:val="34"/>
        <w:tblW w:w="9585" w:type="dxa"/>
        <w:tblInd w:w="-5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1"/>
        <w:gridCol w:w="900"/>
        <w:gridCol w:w="2100"/>
        <w:gridCol w:w="1050"/>
        <w:gridCol w:w="1035"/>
        <w:gridCol w:w="1297"/>
        <w:gridCol w:w="1227"/>
        <w:gridCol w:w="1245"/>
      </w:tblGrid>
      <w:tr w14:paraId="1B366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731" w:type="dxa"/>
            <w:vAlign w:val="center"/>
          </w:tcPr>
          <w:p w14:paraId="3F52256E">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lang w:val="en-US" w:eastAsia="zh-CN"/>
              </w:rPr>
              <w:t>包号</w:t>
            </w:r>
          </w:p>
        </w:tc>
        <w:tc>
          <w:tcPr>
            <w:tcW w:w="900" w:type="dxa"/>
            <w:vAlign w:val="center"/>
          </w:tcPr>
          <w:p w14:paraId="7BB03108">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rPr>
              <w:t>序号</w:t>
            </w:r>
          </w:p>
        </w:tc>
        <w:tc>
          <w:tcPr>
            <w:tcW w:w="2100" w:type="dxa"/>
            <w:vAlign w:val="center"/>
          </w:tcPr>
          <w:p w14:paraId="1C818719">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rPr>
              <w:t>标的名称</w:t>
            </w:r>
          </w:p>
        </w:tc>
        <w:tc>
          <w:tcPr>
            <w:tcW w:w="1050" w:type="dxa"/>
            <w:vAlign w:val="center"/>
          </w:tcPr>
          <w:p w14:paraId="2AF52A7A">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lang w:val="en-US" w:eastAsia="zh-CN"/>
              </w:rPr>
              <w:t>单位</w:t>
            </w:r>
          </w:p>
        </w:tc>
        <w:tc>
          <w:tcPr>
            <w:tcW w:w="1035" w:type="dxa"/>
            <w:vAlign w:val="center"/>
          </w:tcPr>
          <w:p w14:paraId="78A9F1D6">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rPr>
              <w:t>数量</w:t>
            </w:r>
          </w:p>
        </w:tc>
        <w:tc>
          <w:tcPr>
            <w:tcW w:w="1297" w:type="dxa"/>
            <w:vAlign w:val="center"/>
          </w:tcPr>
          <w:p w14:paraId="2259F43F">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rPr>
              <w:t>资金预算</w:t>
            </w:r>
          </w:p>
        </w:tc>
        <w:tc>
          <w:tcPr>
            <w:tcW w:w="1227" w:type="dxa"/>
            <w:vAlign w:val="center"/>
          </w:tcPr>
          <w:p w14:paraId="0F2FBFFE">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lang w:val="en-US" w:eastAsia="zh-CN"/>
              </w:rPr>
              <w:t>资金性质</w:t>
            </w:r>
          </w:p>
        </w:tc>
        <w:tc>
          <w:tcPr>
            <w:tcW w:w="1245" w:type="dxa"/>
            <w:vAlign w:val="center"/>
          </w:tcPr>
          <w:p w14:paraId="5E8880A2">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lang w:val="en-US" w:eastAsia="zh-CN"/>
              </w:rPr>
              <w:t>国产/进口</w:t>
            </w:r>
          </w:p>
        </w:tc>
      </w:tr>
      <w:tr w14:paraId="6C669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731" w:type="dxa"/>
            <w:vAlign w:val="center"/>
          </w:tcPr>
          <w:p w14:paraId="3FA5EC0F">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包1</w:t>
            </w:r>
          </w:p>
        </w:tc>
        <w:tc>
          <w:tcPr>
            <w:tcW w:w="900" w:type="dxa"/>
            <w:shd w:val="clear" w:color="auto" w:fill="auto"/>
            <w:vAlign w:val="center"/>
          </w:tcPr>
          <w:p w14:paraId="7E2267B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1</w:t>
            </w:r>
          </w:p>
        </w:tc>
        <w:tc>
          <w:tcPr>
            <w:tcW w:w="2100" w:type="dxa"/>
            <w:shd w:val="clear" w:color="auto" w:fill="auto"/>
            <w:vAlign w:val="center"/>
          </w:tcPr>
          <w:p w14:paraId="32751584">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双通道注射泵</w:t>
            </w:r>
          </w:p>
        </w:tc>
        <w:tc>
          <w:tcPr>
            <w:tcW w:w="1050" w:type="dxa"/>
            <w:shd w:val="clear" w:color="auto" w:fill="auto"/>
            <w:vAlign w:val="center"/>
          </w:tcPr>
          <w:p w14:paraId="2D610A1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台</w:t>
            </w:r>
          </w:p>
        </w:tc>
        <w:tc>
          <w:tcPr>
            <w:tcW w:w="1035" w:type="dxa"/>
            <w:shd w:val="clear" w:color="auto" w:fill="auto"/>
            <w:vAlign w:val="center"/>
          </w:tcPr>
          <w:p w14:paraId="6E5A7B3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据实</w:t>
            </w:r>
          </w:p>
        </w:tc>
        <w:tc>
          <w:tcPr>
            <w:tcW w:w="1297" w:type="dxa"/>
            <w:shd w:val="clear" w:color="auto" w:fill="auto"/>
            <w:vAlign w:val="center"/>
          </w:tcPr>
          <w:p w14:paraId="3326862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3800元</w:t>
            </w:r>
          </w:p>
        </w:tc>
        <w:tc>
          <w:tcPr>
            <w:tcW w:w="1227" w:type="dxa"/>
            <w:shd w:val="clear" w:color="auto" w:fill="auto"/>
            <w:vAlign w:val="center"/>
          </w:tcPr>
          <w:p w14:paraId="18BFE3E9">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自筹</w:t>
            </w:r>
          </w:p>
        </w:tc>
        <w:tc>
          <w:tcPr>
            <w:tcW w:w="1245" w:type="dxa"/>
            <w:shd w:val="clear" w:color="auto" w:fill="auto"/>
            <w:vAlign w:val="center"/>
          </w:tcPr>
          <w:p w14:paraId="1F5FAC60">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国产</w:t>
            </w:r>
          </w:p>
        </w:tc>
      </w:tr>
      <w:tr w14:paraId="3C32C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731" w:type="dxa"/>
            <w:vAlign w:val="center"/>
          </w:tcPr>
          <w:p w14:paraId="128A8237">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包2</w:t>
            </w:r>
          </w:p>
        </w:tc>
        <w:tc>
          <w:tcPr>
            <w:tcW w:w="900" w:type="dxa"/>
            <w:shd w:val="clear" w:color="auto" w:fill="auto"/>
            <w:vAlign w:val="center"/>
          </w:tcPr>
          <w:p w14:paraId="0CA94103">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cs="宋体"/>
                <w:sz w:val="21"/>
                <w:szCs w:val="21"/>
                <w:highlight w:val="none"/>
                <w:vertAlign w:val="baseline"/>
                <w:lang w:val="en-US" w:eastAsia="zh-CN"/>
              </w:rPr>
              <w:t>1</w:t>
            </w:r>
          </w:p>
        </w:tc>
        <w:tc>
          <w:tcPr>
            <w:tcW w:w="2100" w:type="dxa"/>
            <w:shd w:val="clear" w:color="auto" w:fill="auto"/>
            <w:vAlign w:val="center"/>
          </w:tcPr>
          <w:p w14:paraId="5CAF46C4">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输液泵</w:t>
            </w:r>
          </w:p>
        </w:tc>
        <w:tc>
          <w:tcPr>
            <w:tcW w:w="1050" w:type="dxa"/>
            <w:shd w:val="clear" w:color="auto" w:fill="auto"/>
            <w:vAlign w:val="center"/>
          </w:tcPr>
          <w:p w14:paraId="07417FBA">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台</w:t>
            </w:r>
          </w:p>
        </w:tc>
        <w:tc>
          <w:tcPr>
            <w:tcW w:w="1035" w:type="dxa"/>
            <w:shd w:val="clear" w:color="auto" w:fill="auto"/>
            <w:vAlign w:val="center"/>
          </w:tcPr>
          <w:p w14:paraId="710CEACF">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据实</w:t>
            </w:r>
          </w:p>
        </w:tc>
        <w:tc>
          <w:tcPr>
            <w:tcW w:w="1297" w:type="dxa"/>
            <w:shd w:val="clear" w:color="auto" w:fill="auto"/>
            <w:vAlign w:val="center"/>
          </w:tcPr>
          <w:p w14:paraId="7D3609A8">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3500元</w:t>
            </w:r>
          </w:p>
        </w:tc>
        <w:tc>
          <w:tcPr>
            <w:tcW w:w="1227" w:type="dxa"/>
            <w:shd w:val="clear" w:color="auto" w:fill="auto"/>
            <w:vAlign w:val="center"/>
          </w:tcPr>
          <w:p w14:paraId="312933BF">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自筹</w:t>
            </w:r>
          </w:p>
        </w:tc>
        <w:tc>
          <w:tcPr>
            <w:tcW w:w="1245" w:type="dxa"/>
            <w:shd w:val="clear" w:color="auto" w:fill="auto"/>
            <w:vAlign w:val="center"/>
          </w:tcPr>
          <w:p w14:paraId="4FC1BE2A">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国产</w:t>
            </w:r>
          </w:p>
        </w:tc>
      </w:tr>
      <w:tr w14:paraId="5970C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1" w:type="dxa"/>
            <w:gridSpan w:val="2"/>
            <w:vAlign w:val="center"/>
          </w:tcPr>
          <w:p w14:paraId="0463C0C9">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合计</w:t>
            </w:r>
          </w:p>
        </w:tc>
        <w:tc>
          <w:tcPr>
            <w:tcW w:w="7954" w:type="dxa"/>
            <w:gridSpan w:val="6"/>
            <w:vAlign w:val="center"/>
          </w:tcPr>
          <w:p w14:paraId="2CCAB447">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color w:val="auto"/>
                <w:sz w:val="21"/>
                <w:szCs w:val="21"/>
                <w:highlight w:val="none"/>
                <w:vertAlign w:val="baseline"/>
                <w:lang w:val="en-US" w:eastAsia="zh-CN"/>
              </w:rPr>
            </w:pPr>
          </w:p>
        </w:tc>
      </w:tr>
      <w:tr w14:paraId="3A523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2" w:hRule="atLeast"/>
        </w:trPr>
        <w:tc>
          <w:tcPr>
            <w:tcW w:w="1631" w:type="dxa"/>
            <w:gridSpan w:val="2"/>
            <w:vAlign w:val="center"/>
          </w:tcPr>
          <w:p w14:paraId="62331FB6">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备注</w:t>
            </w:r>
          </w:p>
        </w:tc>
        <w:tc>
          <w:tcPr>
            <w:tcW w:w="7954" w:type="dxa"/>
            <w:gridSpan w:val="6"/>
            <w:vAlign w:val="center"/>
          </w:tcPr>
          <w:p w14:paraId="4F1CEB2D">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both"/>
              <w:textAlignment w:val="auto"/>
              <w:rPr>
                <w:rFonts w:hint="eastAsia" w:ascii="宋体" w:hAnsi="宋体" w:eastAsia="宋体" w:cs="宋体"/>
                <w:b/>
                <w:bCs/>
                <w:color w:val="auto"/>
                <w:sz w:val="21"/>
                <w:szCs w:val="21"/>
                <w:highlight w:val="none"/>
                <w:vertAlign w:val="baseline"/>
                <w:lang w:val="en-US" w:eastAsia="zh-CN"/>
              </w:rPr>
            </w:pPr>
            <w:r>
              <w:rPr>
                <w:rFonts w:hint="eastAsia" w:ascii="宋体" w:hAnsi="宋体" w:cs="宋体"/>
                <w:b/>
                <w:bCs/>
                <w:color w:val="auto"/>
                <w:sz w:val="21"/>
                <w:szCs w:val="21"/>
                <w:highlight w:val="none"/>
                <w:vertAlign w:val="baseline"/>
                <w:lang w:val="en-US" w:eastAsia="zh-CN"/>
              </w:rPr>
              <w:t>1.</w:t>
            </w:r>
            <w:r>
              <w:rPr>
                <w:rFonts w:hint="eastAsia" w:ascii="宋体" w:hAnsi="宋体" w:eastAsia="宋体" w:cs="宋体"/>
                <w:b/>
                <w:bCs/>
                <w:color w:val="auto"/>
                <w:sz w:val="21"/>
                <w:szCs w:val="21"/>
                <w:highlight w:val="none"/>
                <w:vertAlign w:val="baseline"/>
                <w:lang w:val="en-US" w:eastAsia="zh-CN"/>
              </w:rPr>
              <w:t>招供货商，</w:t>
            </w:r>
            <w:r>
              <w:rPr>
                <w:rFonts w:hint="eastAsia" w:ascii="宋体" w:hAnsi="宋体" w:cs="宋体"/>
                <w:b/>
                <w:bCs/>
                <w:color w:val="auto"/>
                <w:sz w:val="21"/>
                <w:szCs w:val="21"/>
                <w:highlight w:val="none"/>
                <w:vertAlign w:val="baseline"/>
                <w:lang w:val="en-US" w:eastAsia="zh-CN"/>
              </w:rPr>
              <w:t>供货期为</w:t>
            </w:r>
            <w:r>
              <w:rPr>
                <w:rFonts w:hint="eastAsia" w:ascii="宋体" w:hAnsi="宋体" w:eastAsia="宋体" w:cs="宋体"/>
                <w:b/>
                <w:bCs/>
                <w:color w:val="auto"/>
                <w:sz w:val="21"/>
                <w:szCs w:val="21"/>
                <w:highlight w:val="none"/>
                <w:vertAlign w:val="baseline"/>
                <w:lang w:val="en-US" w:eastAsia="zh-CN"/>
              </w:rPr>
              <w:t>一年，实际用量据实结算</w:t>
            </w:r>
          </w:p>
          <w:p w14:paraId="15D2CA93">
            <w:pPr>
              <w:pStyle w:val="2"/>
              <w:pageBreakBefore w:val="0"/>
              <w:widowControl w:val="0"/>
              <w:kinsoku/>
              <w:wordWrap/>
              <w:overflowPunct/>
              <w:topLinePunct w:val="0"/>
              <w:autoSpaceDE/>
              <w:autoSpaceDN/>
              <w:bidi w:val="0"/>
              <w:adjustRightInd/>
              <w:snapToGrid/>
              <w:spacing w:before="0" w:after="0"/>
              <w:textAlignment w:val="auto"/>
              <w:rPr>
                <w:rFonts w:hint="eastAsia"/>
                <w:lang w:val="en-US" w:eastAsia="zh-CN"/>
              </w:rPr>
            </w:pPr>
            <w:r>
              <w:rPr>
                <w:rFonts w:hint="eastAsia" w:ascii="宋体" w:hAnsi="宋体" w:eastAsia="宋体" w:cs="宋体"/>
                <w:b/>
                <w:bCs/>
                <w:color w:val="FF0000"/>
                <w:sz w:val="21"/>
                <w:szCs w:val="21"/>
                <w:highlight w:val="none"/>
                <w:lang w:val="en-US" w:eastAsia="zh-CN"/>
              </w:rPr>
              <w:t>2.带样机。</w:t>
            </w:r>
          </w:p>
        </w:tc>
      </w:tr>
    </w:tbl>
    <w:p w14:paraId="365E731E">
      <w:pPr>
        <w:numPr>
          <w:ilvl w:val="0"/>
          <w:numId w:val="0"/>
        </w:numPr>
        <w:spacing w:line="192" w:lineRule="auto"/>
        <w:rPr>
          <w:rFonts w:hint="eastAsia" w:ascii="宋体" w:hAnsi="宋体" w:eastAsia="宋体" w:cs="宋体"/>
          <w:b/>
          <w:bCs/>
          <w:color w:val="auto"/>
          <w:kern w:val="2"/>
          <w:sz w:val="21"/>
          <w:szCs w:val="24"/>
          <w:highlight w:val="none"/>
          <w:lang w:val="en-US" w:eastAsia="zh-CN" w:bidi="ar-SA"/>
        </w:rPr>
      </w:pPr>
    </w:p>
    <w:p w14:paraId="10E84755">
      <w:pPr>
        <w:numPr>
          <w:ilvl w:val="0"/>
          <w:numId w:val="0"/>
        </w:numPr>
        <w:spacing w:line="360" w:lineRule="auto"/>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三、技术要求：</w:t>
      </w:r>
    </w:p>
    <w:p w14:paraId="2A995CD0">
      <w:pPr>
        <w:pStyle w:val="22"/>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包1：双通道注射泵技术参数</w:t>
      </w:r>
    </w:p>
    <w:p w14:paraId="18EC4C41">
      <w:pPr>
        <w:pStyle w:val="22"/>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1.★使用年限：8年；</w:t>
      </w:r>
    </w:p>
    <w:p w14:paraId="0E803BEE">
      <w:pPr>
        <w:pStyle w:val="22"/>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2.双通道为主机一体化，无需额外配件，每个通道具备独立电源开关；</w:t>
      </w:r>
    </w:p>
    <w:p w14:paraId="2F9775D2">
      <w:pPr>
        <w:pStyle w:val="22"/>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3.精度误差：≤±2%；</w:t>
      </w:r>
    </w:p>
    <w:p w14:paraId="57CD81A0">
      <w:pPr>
        <w:pStyle w:val="22"/>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4.输注速率最大支持≥2000ml/h；</w:t>
      </w:r>
    </w:p>
    <w:p w14:paraId="6E94F51A">
      <w:pPr>
        <w:pStyle w:val="22"/>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宋体" w:hAnsi="宋体" w:eastAsia="宋体" w:cs="宋体"/>
          <w:highlight w:val="none"/>
          <w:lang w:val="en-US" w:eastAsia="zh-CN"/>
        </w:rPr>
      </w:pPr>
      <w:r>
        <w:rPr>
          <w:rFonts w:hint="eastAsia" w:ascii="宋体" w:hAnsi="宋体" w:eastAsia="宋体" w:cs="宋体"/>
          <w:highlight w:val="none"/>
          <w:lang w:val="en-US" w:eastAsia="zh-CN"/>
        </w:rPr>
        <w:t>5.自动识别注射器：规格为5ml、10ml、20ml、30ml、50（60）ml；</w:t>
      </w:r>
    </w:p>
    <w:p w14:paraId="5E32276D">
      <w:pPr>
        <w:pStyle w:val="22"/>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6.≥7种注射模式；</w:t>
      </w:r>
    </w:p>
    <w:p w14:paraId="0542248B">
      <w:pPr>
        <w:pStyle w:val="22"/>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7.≥3.5英寸彩色显示屏；</w:t>
      </w:r>
    </w:p>
    <w:p w14:paraId="68DC6257">
      <w:pPr>
        <w:pStyle w:val="22"/>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8.防护等级≥IP34；</w:t>
      </w:r>
    </w:p>
    <w:p w14:paraId="1CBF2BD6">
      <w:pPr>
        <w:pStyle w:val="22"/>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9.全中文操作界面；</w:t>
      </w:r>
    </w:p>
    <w:p w14:paraId="0E0430C0">
      <w:pPr>
        <w:pStyle w:val="22"/>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10.内置锂电池，以5ml/h速度注射，可实现工作时间≥5h；</w:t>
      </w:r>
    </w:p>
    <w:p w14:paraId="448B23A8">
      <w:pPr>
        <w:pStyle w:val="22"/>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11.具备开机自检功能；</w:t>
      </w:r>
    </w:p>
    <w:p w14:paraId="28CBBDE7">
      <w:pPr>
        <w:pStyle w:val="22"/>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12.具备声光报警功能，具备药物将尽、注射完毕、推空、阻塞、暂停超时、速度异常、压杆错误、推杆错误、推柄夹错误、供电异常、交流掉电、电池欠压、压力传感器脱落等安全监控报警功能；</w:t>
      </w:r>
    </w:p>
    <w:p w14:paraId="2ADDEEF6">
      <w:pPr>
        <w:pStyle w:val="22"/>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b/>
          <w:bCs/>
          <w:sz w:val="21"/>
          <w:szCs w:val="21"/>
          <w:highlight w:val="none"/>
          <w:lang w:val="en-US" w:eastAsia="zh-CN"/>
        </w:rPr>
      </w:pPr>
    </w:p>
    <w:p w14:paraId="199A0097">
      <w:pPr>
        <w:pStyle w:val="22"/>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包2：输液泵技术参数</w:t>
      </w:r>
    </w:p>
    <w:p w14:paraId="2A23475D">
      <w:pPr>
        <w:pStyle w:val="22"/>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1.★使用年限：8年；</w:t>
      </w:r>
    </w:p>
    <w:p w14:paraId="3E46C5DA">
      <w:pPr>
        <w:pStyle w:val="22"/>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2.输液模式：≥8种；</w:t>
      </w:r>
    </w:p>
    <w:p w14:paraId="48F1B919">
      <w:pPr>
        <w:pStyle w:val="22"/>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3.具备单个气泡和累积气泡报警功能；</w:t>
      </w:r>
    </w:p>
    <w:p w14:paraId="0CF1BC91">
      <w:pPr>
        <w:pStyle w:val="22"/>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宋体" w:hAnsi="宋体" w:eastAsia="宋体" w:cs="宋体"/>
          <w:highlight w:val="none"/>
          <w:lang w:val="en-US" w:eastAsia="zh-CN"/>
        </w:rPr>
      </w:pPr>
      <w:r>
        <w:rPr>
          <w:rFonts w:hint="eastAsia" w:ascii="宋体" w:hAnsi="宋体" w:eastAsia="宋体" w:cs="宋体"/>
          <w:highlight w:val="none"/>
          <w:lang w:val="en-US" w:eastAsia="zh-CN"/>
        </w:rPr>
        <w:t>4.输液精度：≤±5%；</w:t>
      </w:r>
    </w:p>
    <w:p w14:paraId="29CFF95D">
      <w:pPr>
        <w:pStyle w:val="22"/>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5.预置量：1-9999ml；</w:t>
      </w:r>
    </w:p>
    <w:p w14:paraId="390C9511">
      <w:pPr>
        <w:pStyle w:val="22"/>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宋体" w:hAnsi="宋体" w:eastAsia="宋体" w:cs="宋体"/>
          <w:highlight w:val="none"/>
          <w:lang w:val="en-US" w:eastAsia="zh-CN"/>
        </w:rPr>
      </w:pPr>
      <w:r>
        <w:rPr>
          <w:rFonts w:hint="eastAsia" w:ascii="宋体" w:hAnsi="宋体" w:eastAsia="宋体" w:cs="宋体"/>
          <w:highlight w:val="none"/>
          <w:lang w:val="en-US" w:eastAsia="zh-CN"/>
        </w:rPr>
        <w:t>6.内置锂电池：工作时间≥5小时；</w:t>
      </w:r>
    </w:p>
    <w:p w14:paraId="463CADC3">
      <w:pPr>
        <w:pStyle w:val="22"/>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宋体" w:hAnsi="宋体" w:eastAsia="宋体" w:cs="宋体"/>
          <w:highlight w:val="none"/>
          <w:lang w:val="en-US" w:eastAsia="zh-CN"/>
        </w:rPr>
      </w:pPr>
      <w:r>
        <w:rPr>
          <w:rFonts w:hint="eastAsia" w:ascii="宋体" w:hAnsi="宋体" w:eastAsia="宋体" w:cs="宋体"/>
          <w:highlight w:val="none"/>
          <w:lang w:val="en-US" w:eastAsia="zh-CN"/>
        </w:rPr>
        <w:t>7.具备声光报警功能；具备开门、气泡、漏液、空瓶、上端阻塞、下端阻塞、暂时超时、输液完成、压力传感器脱落、滴速传感器脱落、滴速异常、交流掉电、电池欠压、电池故障等安全监控报警；</w:t>
      </w:r>
    </w:p>
    <w:p w14:paraId="3B0DB6A1">
      <w:pPr>
        <w:pStyle w:val="22"/>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8.具有电动止液夹和电动泵门控制；</w:t>
      </w:r>
    </w:p>
    <w:p w14:paraId="671B77AC">
      <w:pPr>
        <w:pStyle w:val="22"/>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宋体" w:hAnsi="宋体" w:eastAsia="宋体" w:cs="宋体"/>
          <w:highlight w:val="none"/>
          <w:lang w:val="en-US" w:eastAsia="zh-CN"/>
        </w:rPr>
      </w:pPr>
      <w:r>
        <w:rPr>
          <w:rFonts w:hint="eastAsia" w:ascii="宋体" w:hAnsi="宋体" w:eastAsia="宋体" w:cs="宋体"/>
          <w:highlight w:val="none"/>
          <w:lang w:val="en-US" w:eastAsia="zh-CN"/>
        </w:rPr>
        <w:t>9.具有开机自检功能；</w:t>
      </w:r>
    </w:p>
    <w:p w14:paraId="0EC7410F">
      <w:pPr>
        <w:pStyle w:val="22"/>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10.中文操作界面；</w:t>
      </w:r>
    </w:p>
    <w:p w14:paraId="56429903">
      <w:pPr>
        <w:pStyle w:val="24"/>
        <w:numPr>
          <w:ilvl w:val="0"/>
          <w:numId w:val="0"/>
        </w:numPr>
        <w:rPr>
          <w:rFonts w:hint="eastAsia"/>
          <w:b/>
          <w:bCs/>
          <w:sz w:val="21"/>
          <w:szCs w:val="21"/>
          <w:highlight w:val="none"/>
          <w:lang w:val="en-US" w:eastAsia="zh-CN"/>
        </w:rPr>
      </w:pPr>
    </w:p>
    <w:p w14:paraId="34C964BF">
      <w:pPr>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sz w:val="21"/>
          <w:szCs w:val="21"/>
          <w:highlight w:val="none"/>
          <w:lang w:val="en-US" w:eastAsia="zh-CN"/>
        </w:rPr>
        <w:sectPr>
          <w:footerReference r:id="rId5" w:type="default"/>
          <w:pgSz w:w="11906" w:h="16838"/>
          <w:pgMar w:top="1417" w:right="1474" w:bottom="1417" w:left="1474" w:header="851" w:footer="624" w:gutter="0"/>
          <w:pgNumType w:fmt="decimal" w:start="1"/>
          <w:cols w:space="720" w:num="1"/>
          <w:docGrid w:type="lines" w:linePitch="319" w:charSpace="0"/>
        </w:sectPr>
      </w:pPr>
    </w:p>
    <w:p w14:paraId="106ADFC5">
      <w:pPr>
        <w:tabs>
          <w:tab w:val="left" w:pos="557"/>
        </w:tabs>
        <w:bidi w:val="0"/>
        <w:jc w:val="left"/>
        <w:rPr>
          <w:rFonts w:hint="eastAsia" w:ascii="宋体" w:hAnsi="宋体" w:eastAsia="宋体" w:cs="宋体"/>
          <w:b/>
          <w:bCs/>
          <w:color w:val="auto"/>
          <w:sz w:val="21"/>
          <w:szCs w:val="21"/>
          <w:highlight w:val="none"/>
          <w:lang w:eastAsia="zh-CN"/>
        </w:rPr>
      </w:pPr>
      <w:r>
        <w:rPr>
          <w:rFonts w:hint="eastAsia" w:ascii="宋体" w:hAnsi="宋体" w:cs="宋体"/>
          <w:b/>
          <w:bCs/>
          <w:color w:val="auto"/>
          <w:sz w:val="21"/>
          <w:szCs w:val="21"/>
          <w:highlight w:val="none"/>
          <w:lang w:val="en-US" w:eastAsia="zh-CN"/>
        </w:rPr>
        <w:t>四</w:t>
      </w:r>
      <w:r>
        <w:rPr>
          <w:rFonts w:hint="eastAsia" w:ascii="宋体" w:hAnsi="宋体" w:eastAsia="宋体" w:cs="宋体"/>
          <w:b/>
          <w:bCs/>
          <w:color w:val="auto"/>
          <w:sz w:val="21"/>
          <w:szCs w:val="21"/>
          <w:highlight w:val="none"/>
          <w:lang w:val="en-US" w:eastAsia="zh-CN"/>
        </w:rPr>
        <w:t>、</w:t>
      </w:r>
      <w:r>
        <w:rPr>
          <w:rFonts w:hint="eastAsia" w:ascii="宋体" w:hAnsi="宋体" w:eastAsia="宋体" w:cs="宋体"/>
          <w:b/>
          <w:bCs/>
          <w:color w:val="auto"/>
          <w:sz w:val="21"/>
          <w:szCs w:val="21"/>
          <w:highlight w:val="none"/>
        </w:rPr>
        <w:t>商务要求</w:t>
      </w:r>
      <w:r>
        <w:rPr>
          <w:rFonts w:hint="eastAsia" w:ascii="宋体" w:hAnsi="宋体" w:cs="宋体"/>
          <w:b/>
          <w:bCs/>
          <w:color w:val="auto"/>
          <w:sz w:val="21"/>
          <w:szCs w:val="21"/>
          <w:highlight w:val="none"/>
          <w:lang w:eastAsia="zh-CN"/>
        </w:rPr>
        <w:t>（</w:t>
      </w:r>
      <w:r>
        <w:rPr>
          <w:rFonts w:hint="eastAsia" w:ascii="宋体" w:hAnsi="宋体" w:cs="宋体"/>
          <w:b/>
          <w:bCs/>
          <w:color w:val="auto"/>
          <w:sz w:val="21"/>
          <w:szCs w:val="21"/>
          <w:highlight w:val="none"/>
          <w:lang w:val="en-US" w:eastAsia="zh-CN"/>
        </w:rPr>
        <w:t>包1、包2</w:t>
      </w:r>
      <w:r>
        <w:rPr>
          <w:rFonts w:hint="eastAsia" w:ascii="宋体" w:hAnsi="宋体" w:cs="宋体"/>
          <w:b/>
          <w:bCs/>
          <w:color w:val="auto"/>
          <w:sz w:val="21"/>
          <w:szCs w:val="21"/>
          <w:highlight w:val="none"/>
          <w:lang w:eastAsia="zh-CN"/>
        </w:rPr>
        <w:t>）</w:t>
      </w:r>
    </w:p>
    <w:tbl>
      <w:tblPr>
        <w:tblStyle w:val="33"/>
        <w:tblW w:w="8964" w:type="dxa"/>
        <w:tblInd w:w="11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860"/>
        <w:gridCol w:w="7104"/>
      </w:tblGrid>
      <w:tr w14:paraId="5B389E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8" w:hRule="atLeast"/>
        </w:trPr>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C3416">
            <w:pPr>
              <w:pStyle w:val="15"/>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交货期</w:t>
            </w:r>
          </w:p>
        </w:tc>
        <w:tc>
          <w:tcPr>
            <w:tcW w:w="7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89822">
            <w:pPr>
              <w:pStyle w:val="15"/>
              <w:ind w:left="0" w:leftChars="0"/>
              <w:jc w:val="left"/>
              <w:rPr>
                <w:rFonts w:hint="eastAsia" w:ascii="宋体" w:hAnsi="宋体" w:eastAsia="宋体" w:cs="宋体"/>
                <w:sz w:val="21"/>
                <w:szCs w:val="21"/>
                <w:highlight w:val="none"/>
                <w:lang w:val="en-US" w:eastAsia="zh-CN"/>
              </w:rPr>
            </w:pPr>
            <w:r>
              <w:rPr>
                <w:rFonts w:hint="eastAsia" w:ascii="宋体" w:hAnsi="宋体" w:eastAsia="宋体" w:cs="宋体"/>
                <w:color w:val="auto"/>
                <w:sz w:val="21"/>
                <w:szCs w:val="21"/>
                <w:highlight w:val="none"/>
                <w:lang w:val="en-US" w:eastAsia="zh-CN"/>
              </w:rPr>
              <w:t>合同签订后30日内交货。</w:t>
            </w:r>
          </w:p>
        </w:tc>
      </w:tr>
      <w:tr w14:paraId="6E1FB6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8" w:hRule="atLeast"/>
        </w:trPr>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4B5E2">
            <w:pPr>
              <w:pStyle w:val="15"/>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供货期</w:t>
            </w:r>
          </w:p>
        </w:tc>
        <w:tc>
          <w:tcPr>
            <w:tcW w:w="7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1C002">
            <w:pPr>
              <w:pStyle w:val="15"/>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一年</w:t>
            </w:r>
            <w:r>
              <w:rPr>
                <w:rFonts w:hint="eastAsia" w:cs="宋体"/>
                <w:color w:val="auto"/>
                <w:sz w:val="21"/>
                <w:szCs w:val="21"/>
                <w:highlight w:val="none"/>
                <w:lang w:val="en-US" w:eastAsia="zh-CN"/>
              </w:rPr>
              <w:t>。</w:t>
            </w:r>
          </w:p>
        </w:tc>
      </w:tr>
      <w:tr w14:paraId="130939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8" w:hRule="atLeast"/>
        </w:trPr>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AA95C">
            <w:pPr>
              <w:pStyle w:val="15"/>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质保期</w:t>
            </w:r>
          </w:p>
        </w:tc>
        <w:tc>
          <w:tcPr>
            <w:tcW w:w="7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7A694">
            <w:pPr>
              <w:pStyle w:val="15"/>
              <w:ind w:left="0" w:leftChars="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从产品入库之日起，整机保修五年，出具相关服务承诺书。</w:t>
            </w:r>
          </w:p>
        </w:tc>
      </w:tr>
      <w:tr w14:paraId="7ED123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8" w:hRule="atLeast"/>
        </w:trPr>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92E52">
            <w:pPr>
              <w:pStyle w:val="15"/>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质量要求</w:t>
            </w:r>
          </w:p>
        </w:tc>
        <w:tc>
          <w:tcPr>
            <w:tcW w:w="7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7D695">
            <w:pPr>
              <w:pStyle w:val="15"/>
              <w:ind w:left="0" w:leftChars="0"/>
              <w:jc w:val="left"/>
              <w:rPr>
                <w:rFonts w:hint="eastAsia" w:ascii="宋体" w:hAnsi="宋体" w:eastAsia="宋体" w:cs="宋体"/>
                <w:sz w:val="21"/>
                <w:szCs w:val="21"/>
                <w:highlight w:val="none"/>
                <w:lang w:val="en-US" w:eastAsia="zh-CN"/>
              </w:rPr>
            </w:pPr>
            <w:r>
              <w:rPr>
                <w:rFonts w:hint="eastAsia" w:ascii="宋体" w:hAnsi="宋体" w:eastAsia="宋体" w:cs="宋体"/>
                <w:color w:val="auto"/>
                <w:sz w:val="21"/>
                <w:szCs w:val="21"/>
                <w:highlight w:val="none"/>
                <w:lang w:val="en-US" w:eastAsia="zh-CN"/>
              </w:rPr>
              <w:t>符合国家有关法律、法规，以及行业质量标准的要求，满足磋商文件规定标准。</w:t>
            </w:r>
          </w:p>
        </w:tc>
      </w:tr>
      <w:tr w14:paraId="13E4E4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8" w:hRule="atLeast"/>
        </w:trPr>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FAABE">
            <w:pPr>
              <w:pStyle w:val="15"/>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付款方式</w:t>
            </w:r>
          </w:p>
        </w:tc>
        <w:tc>
          <w:tcPr>
            <w:tcW w:w="7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408AF">
            <w:pPr>
              <w:pStyle w:val="15"/>
              <w:ind w:left="0" w:leftChars="0"/>
              <w:jc w:val="left"/>
              <w:rPr>
                <w:rFonts w:hint="eastAsia" w:ascii="宋体" w:hAnsi="宋体" w:eastAsia="宋体" w:cs="宋体"/>
                <w:sz w:val="21"/>
                <w:szCs w:val="21"/>
                <w:highlight w:val="none"/>
                <w:lang w:val="en-US" w:eastAsia="zh-CN"/>
              </w:rPr>
            </w:pPr>
            <w:r>
              <w:rPr>
                <w:rFonts w:hint="eastAsia" w:ascii="宋体" w:hAnsi="宋体" w:eastAsia="宋体" w:cs="宋体"/>
                <w:color w:val="auto"/>
                <w:sz w:val="21"/>
                <w:szCs w:val="21"/>
                <w:highlight w:val="none"/>
                <w:lang w:val="en-US" w:eastAsia="zh-CN"/>
              </w:rPr>
              <w:t>以合同签订为准。</w:t>
            </w:r>
          </w:p>
        </w:tc>
      </w:tr>
      <w:tr w14:paraId="5ADF8F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8" w:hRule="atLeast"/>
        </w:trPr>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E5D95">
            <w:pPr>
              <w:pStyle w:val="15"/>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交货地点</w:t>
            </w:r>
          </w:p>
        </w:tc>
        <w:tc>
          <w:tcPr>
            <w:tcW w:w="7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8F26C">
            <w:pPr>
              <w:pStyle w:val="15"/>
              <w:ind w:left="0" w:leftChars="0"/>
              <w:jc w:val="left"/>
              <w:rPr>
                <w:rFonts w:hint="eastAsia" w:ascii="宋体" w:hAnsi="宋体" w:eastAsia="宋体" w:cs="宋体"/>
                <w:sz w:val="21"/>
                <w:szCs w:val="21"/>
                <w:highlight w:val="none"/>
                <w:lang w:val="en-US" w:eastAsia="zh-CN"/>
              </w:rPr>
            </w:pPr>
            <w:r>
              <w:rPr>
                <w:rFonts w:hint="eastAsia" w:ascii="宋体" w:hAnsi="宋体" w:eastAsia="宋体" w:cs="宋体"/>
                <w:color w:val="auto"/>
                <w:sz w:val="21"/>
                <w:szCs w:val="21"/>
                <w:highlight w:val="none"/>
                <w:lang w:val="en-US" w:eastAsia="zh-CN"/>
              </w:rPr>
              <w:t>采购人指定地点。</w:t>
            </w:r>
          </w:p>
        </w:tc>
      </w:tr>
      <w:tr w14:paraId="2748A1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8" w:hRule="atLeast"/>
        </w:trPr>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E44EF">
            <w:pPr>
              <w:pStyle w:val="15"/>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合同签订时间</w:t>
            </w:r>
          </w:p>
        </w:tc>
        <w:tc>
          <w:tcPr>
            <w:tcW w:w="7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344B5">
            <w:pPr>
              <w:pStyle w:val="15"/>
              <w:ind w:left="0" w:leftChars="0"/>
              <w:jc w:val="left"/>
              <w:rPr>
                <w:rFonts w:hint="eastAsia" w:ascii="宋体" w:hAnsi="宋体" w:eastAsia="宋体" w:cs="宋体"/>
                <w:sz w:val="21"/>
                <w:szCs w:val="21"/>
                <w:highlight w:val="none"/>
                <w:lang w:val="en-US" w:eastAsia="zh-CN"/>
              </w:rPr>
            </w:pPr>
            <w:r>
              <w:rPr>
                <w:rFonts w:hint="eastAsia" w:ascii="宋体" w:hAnsi="宋体" w:eastAsia="宋体" w:cs="宋体"/>
                <w:color w:val="auto"/>
                <w:sz w:val="21"/>
                <w:szCs w:val="21"/>
                <w:highlight w:val="none"/>
                <w:lang w:val="en-US" w:eastAsia="zh-CN"/>
              </w:rPr>
              <w:t>自成交通知书发出之日起30日内。</w:t>
            </w:r>
          </w:p>
        </w:tc>
      </w:tr>
      <w:tr w14:paraId="33C0BA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8" w:hRule="atLeast"/>
        </w:trPr>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5E29E">
            <w:pPr>
              <w:pStyle w:val="15"/>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售后服务</w:t>
            </w:r>
          </w:p>
        </w:tc>
        <w:tc>
          <w:tcPr>
            <w:tcW w:w="7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FE925">
            <w:pPr>
              <w:pStyle w:val="15"/>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1.质保期内应当为采购人提供以下技术支持和服务：</w:t>
            </w:r>
          </w:p>
          <w:p w14:paraId="6C0CF89E">
            <w:pPr>
              <w:pStyle w:val="15"/>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a、现场响应：供应商应保证在12小时内对用户提出的问题或故障予以响应及处理。可提供备用设备或核心部件应急使用。</w:t>
            </w:r>
          </w:p>
          <w:p w14:paraId="10DC494C">
            <w:pPr>
              <w:pStyle w:val="15"/>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b、成交供应商应应当应每季度对该设备进行保养不少于一次,并出具保养报告，具体保养内容见合同。</w:t>
            </w:r>
          </w:p>
          <w:p w14:paraId="6E2BDAF2">
            <w:pPr>
              <w:pStyle w:val="15"/>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c、质保期内该设备应保证大于95%（含）的开机率，如达不到要求，每少于一天质保期顺延7天，如造成严重损失需赔偿用户经济损失或换货或退货。</w:t>
            </w:r>
          </w:p>
          <w:p w14:paraId="23EF0B22">
            <w:pPr>
              <w:pStyle w:val="15"/>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d、技术升级，如果制造商的产品技术升级，</w:t>
            </w:r>
            <w:r>
              <w:rPr>
                <w:rFonts w:hint="eastAsia" w:cs="宋体"/>
                <w:color w:val="auto"/>
                <w:sz w:val="21"/>
                <w:szCs w:val="21"/>
                <w:highlight w:val="none"/>
                <w:lang w:val="en-US" w:eastAsia="zh-CN"/>
              </w:rPr>
              <w:t>成交供应商</w:t>
            </w:r>
            <w:r>
              <w:rPr>
                <w:rFonts w:hint="eastAsia" w:ascii="宋体" w:hAnsi="宋体" w:eastAsia="宋体" w:cs="宋体"/>
                <w:color w:val="auto"/>
                <w:sz w:val="21"/>
                <w:szCs w:val="21"/>
                <w:highlight w:val="none"/>
                <w:lang w:val="en-US" w:eastAsia="zh-CN"/>
              </w:rPr>
              <w:t>应及时通知采购人，如采购人有相应要求，</w:t>
            </w:r>
            <w:r>
              <w:rPr>
                <w:rFonts w:hint="eastAsia" w:cs="宋体"/>
                <w:color w:val="auto"/>
                <w:sz w:val="21"/>
                <w:szCs w:val="21"/>
                <w:highlight w:val="none"/>
                <w:lang w:val="en-US" w:eastAsia="zh-CN"/>
              </w:rPr>
              <w:t>成交供应商</w:t>
            </w:r>
            <w:r>
              <w:rPr>
                <w:rFonts w:hint="eastAsia" w:ascii="宋体" w:hAnsi="宋体" w:eastAsia="宋体" w:cs="宋体"/>
                <w:color w:val="auto"/>
                <w:sz w:val="21"/>
                <w:szCs w:val="21"/>
                <w:highlight w:val="none"/>
                <w:lang w:val="en-US" w:eastAsia="zh-CN"/>
              </w:rPr>
              <w:t>和制造商应对采购人购买的产品进行免费升级服务。</w:t>
            </w:r>
          </w:p>
          <w:p w14:paraId="20E2999E">
            <w:pPr>
              <w:pStyle w:val="15"/>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e、成交供应商交付设备时，应按照《国家食品药品监督管理总局》第18号令第17条的要求提供相应的维护手册、维修手册、软件备份、故障代码表、备件清单、零部件、维修密码等维护维修必需的材料和信息。</w:t>
            </w:r>
          </w:p>
          <w:p w14:paraId="1D8666FE">
            <w:pPr>
              <w:pStyle w:val="15"/>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f、除火灾、洪水、地震等天灾外，在保修期内，由于货物故障所产生的所有费用均由</w:t>
            </w:r>
            <w:r>
              <w:rPr>
                <w:rFonts w:hint="eastAsia" w:cs="宋体"/>
                <w:color w:val="auto"/>
                <w:sz w:val="21"/>
                <w:szCs w:val="21"/>
                <w:highlight w:val="none"/>
                <w:lang w:val="en-US" w:eastAsia="zh-CN"/>
              </w:rPr>
              <w:t>成交</w:t>
            </w:r>
            <w:r>
              <w:rPr>
                <w:rFonts w:hint="eastAsia" w:ascii="宋体" w:hAnsi="宋体" w:eastAsia="宋体" w:cs="宋体"/>
                <w:color w:val="auto"/>
                <w:sz w:val="21"/>
                <w:szCs w:val="21"/>
                <w:highlight w:val="none"/>
                <w:lang w:val="en-US" w:eastAsia="zh-CN"/>
              </w:rPr>
              <w:t xml:space="preserve">供应商负责。 </w:t>
            </w:r>
          </w:p>
          <w:p w14:paraId="0D839BF9">
            <w:pPr>
              <w:pStyle w:val="15"/>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2.培训：免费提供操作培训和维修培训。</w:t>
            </w:r>
          </w:p>
          <w:p w14:paraId="6E344CAF">
            <w:pPr>
              <w:pStyle w:val="15"/>
              <w:keepNext w:val="0"/>
              <w:keepLines w:val="0"/>
              <w:pageBreakBefore w:val="0"/>
              <w:widowControl/>
              <w:kinsoku/>
              <w:wordWrap w:val="0"/>
              <w:overflowPunct/>
              <w:topLinePunct w:val="0"/>
              <w:autoSpaceDE/>
              <w:autoSpaceDN/>
              <w:bidi w:val="0"/>
              <w:adjustRightInd/>
              <w:snapToGrid/>
              <w:spacing w:beforeAutospacing="0" w:afterAutospacing="0" w:line="400" w:lineRule="exact"/>
              <w:ind w:left="0" w:leftChars="0"/>
              <w:jc w:val="left"/>
              <w:textAlignment w:val="auto"/>
              <w:rPr>
                <w:rFonts w:hint="eastAsia" w:ascii="宋体" w:hAnsi="宋体" w:eastAsia="宋体" w:cs="宋体"/>
                <w:highlight w:val="none"/>
                <w:lang w:val="en-US" w:eastAsia="zh-CN"/>
              </w:rPr>
            </w:pPr>
            <w:r>
              <w:rPr>
                <w:rFonts w:hint="eastAsia" w:ascii="宋体" w:hAnsi="宋体" w:eastAsia="宋体" w:cs="宋体"/>
                <w:color w:val="auto"/>
                <w:sz w:val="21"/>
                <w:szCs w:val="21"/>
                <w:highlight w:val="none"/>
                <w:lang w:val="en-US" w:eastAsia="zh-CN"/>
              </w:rPr>
              <w:t>3.所有设备按照医院实际要求免费开放端口，免费为医院对接院内信息系统。质保期内免费进行软件升级。</w:t>
            </w:r>
          </w:p>
        </w:tc>
      </w:tr>
      <w:tr w14:paraId="288308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6933F">
            <w:pPr>
              <w:pStyle w:val="15"/>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其他要求</w:t>
            </w:r>
          </w:p>
        </w:tc>
        <w:tc>
          <w:tcPr>
            <w:tcW w:w="7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1FFB7">
            <w:pPr>
              <w:pStyle w:val="15"/>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jc w:val="left"/>
              <w:textAlignment w:val="auto"/>
              <w:rPr>
                <w:rFonts w:hint="default"/>
                <w:lang w:val="en-US" w:eastAsia="zh-CN"/>
              </w:rPr>
            </w:pPr>
            <w:r>
              <w:rPr>
                <w:rFonts w:hint="eastAsia" w:ascii="宋体" w:hAnsi="宋体" w:eastAsia="宋体" w:cs="宋体"/>
                <w:color w:val="auto"/>
                <w:sz w:val="21"/>
                <w:szCs w:val="21"/>
                <w:highlight w:val="none"/>
                <w:lang w:val="en-US" w:eastAsia="zh-CN"/>
              </w:rPr>
              <w:t>要求设备为最新出厂设备，出厂日期不得早于招标日期6个月；</w:t>
            </w:r>
          </w:p>
        </w:tc>
      </w:tr>
    </w:tbl>
    <w:p w14:paraId="09D46B38">
      <w:pPr>
        <w:keepNext w:val="0"/>
        <w:keepLines w:val="0"/>
        <w:pageBreakBefore w:val="0"/>
        <w:widowControl w:val="0"/>
        <w:kinsoku/>
        <w:wordWrap/>
        <w:overflowPunct/>
        <w:topLinePunct w:val="0"/>
        <w:autoSpaceDE/>
        <w:autoSpaceDN/>
        <w:bidi w:val="0"/>
        <w:adjustRightInd/>
        <w:snapToGrid w:val="0"/>
        <w:spacing w:before="161" w:beforeLines="50" w:line="360" w:lineRule="auto"/>
        <w:jc w:val="both"/>
        <w:textAlignment w:val="auto"/>
        <w:rPr>
          <w:rFonts w:hint="eastAsia" w:ascii="宋体" w:hAnsi="宋体" w:cs="宋体"/>
          <w:b/>
          <w:bCs/>
          <w:color w:val="auto"/>
          <w:sz w:val="21"/>
          <w:szCs w:val="21"/>
          <w:highlight w:val="none"/>
          <w:lang w:val="en-US" w:eastAsia="zh-CN"/>
        </w:rPr>
      </w:pPr>
    </w:p>
    <w:p w14:paraId="305C81CD">
      <w:pPr>
        <w:keepNext w:val="0"/>
        <w:keepLines w:val="0"/>
        <w:pageBreakBefore w:val="0"/>
        <w:widowControl w:val="0"/>
        <w:kinsoku/>
        <w:wordWrap/>
        <w:overflowPunct/>
        <w:topLinePunct w:val="0"/>
        <w:autoSpaceDE/>
        <w:autoSpaceDN/>
        <w:bidi w:val="0"/>
        <w:adjustRightInd/>
        <w:snapToGrid w:val="0"/>
        <w:spacing w:before="161" w:beforeLines="50" w:line="360" w:lineRule="auto"/>
        <w:jc w:val="both"/>
        <w:textAlignment w:val="auto"/>
        <w:rPr>
          <w:rFonts w:hint="eastAsia" w:ascii="宋体" w:hAnsi="宋体" w:cs="宋体"/>
          <w:b/>
          <w:bCs/>
          <w:color w:val="auto"/>
          <w:sz w:val="21"/>
          <w:szCs w:val="21"/>
          <w:highlight w:val="none"/>
          <w:lang w:val="en-US" w:eastAsia="zh-CN"/>
        </w:rPr>
        <w:sectPr>
          <w:footerReference r:id="rId6" w:type="default"/>
          <w:pgSz w:w="11906" w:h="16838"/>
          <w:pgMar w:top="1417" w:right="1474" w:bottom="1417" w:left="1474" w:header="851" w:footer="624" w:gutter="0"/>
          <w:pgNumType w:fmt="decimal"/>
          <w:cols w:space="720" w:num="1"/>
          <w:docGrid w:type="lines" w:linePitch="319" w:charSpace="0"/>
        </w:sectPr>
      </w:pPr>
    </w:p>
    <w:p w14:paraId="043827F2">
      <w:pPr>
        <w:keepNext w:val="0"/>
        <w:keepLines w:val="0"/>
        <w:pageBreakBefore w:val="0"/>
        <w:widowControl w:val="0"/>
        <w:kinsoku/>
        <w:wordWrap/>
        <w:overflowPunct/>
        <w:topLinePunct w:val="0"/>
        <w:autoSpaceDE/>
        <w:autoSpaceDN/>
        <w:bidi w:val="0"/>
        <w:adjustRightInd/>
        <w:snapToGrid w:val="0"/>
        <w:spacing w:before="161" w:beforeLines="50" w:line="360" w:lineRule="auto"/>
        <w:jc w:val="both"/>
        <w:textAlignment w:val="auto"/>
        <w:rPr>
          <w:rFonts w:hint="eastAsia" w:ascii="宋体" w:hAnsi="宋体" w:eastAsia="宋体" w:cs="宋体"/>
          <w:b/>
          <w:bCs/>
          <w:color w:val="auto"/>
          <w:sz w:val="21"/>
          <w:szCs w:val="21"/>
          <w:highlight w:val="none"/>
        </w:rPr>
      </w:pPr>
      <w:r>
        <w:rPr>
          <w:rFonts w:hint="eastAsia" w:ascii="宋体" w:hAnsi="宋体" w:cs="宋体"/>
          <w:b/>
          <w:bCs/>
          <w:color w:val="auto"/>
          <w:sz w:val="21"/>
          <w:szCs w:val="21"/>
          <w:highlight w:val="none"/>
          <w:lang w:val="en-US" w:eastAsia="zh-CN"/>
        </w:rPr>
        <w:t>五</w:t>
      </w:r>
      <w:r>
        <w:rPr>
          <w:rFonts w:hint="eastAsia" w:ascii="宋体" w:hAnsi="宋体" w:eastAsia="宋体" w:cs="宋体"/>
          <w:b/>
          <w:bCs/>
          <w:color w:val="auto"/>
          <w:sz w:val="21"/>
          <w:szCs w:val="21"/>
          <w:highlight w:val="none"/>
          <w:lang w:val="en-US" w:eastAsia="zh-CN"/>
        </w:rPr>
        <w:t>、</w:t>
      </w:r>
      <w:r>
        <w:rPr>
          <w:rFonts w:hint="eastAsia" w:ascii="宋体" w:hAnsi="宋体" w:eastAsia="宋体" w:cs="宋体"/>
          <w:b/>
          <w:bCs/>
          <w:color w:val="auto"/>
          <w:sz w:val="21"/>
          <w:szCs w:val="21"/>
          <w:highlight w:val="none"/>
        </w:rPr>
        <w:t>采购人对项目的特殊要求及说明</w:t>
      </w:r>
      <w:r>
        <w:rPr>
          <w:rFonts w:hint="eastAsia" w:ascii="宋体" w:hAnsi="宋体" w:cs="宋体"/>
          <w:b/>
          <w:bCs/>
          <w:color w:val="auto"/>
          <w:sz w:val="21"/>
          <w:szCs w:val="21"/>
          <w:highlight w:val="none"/>
          <w:lang w:eastAsia="zh-CN"/>
        </w:rPr>
        <w:t>（</w:t>
      </w:r>
      <w:r>
        <w:rPr>
          <w:rFonts w:hint="eastAsia" w:ascii="宋体" w:hAnsi="宋体" w:cs="宋体"/>
          <w:b/>
          <w:bCs/>
          <w:color w:val="auto"/>
          <w:sz w:val="21"/>
          <w:szCs w:val="21"/>
          <w:highlight w:val="none"/>
          <w:lang w:val="en-US" w:eastAsia="zh-CN"/>
        </w:rPr>
        <w:t>包1、包2</w:t>
      </w:r>
      <w:r>
        <w:rPr>
          <w:rFonts w:hint="eastAsia" w:ascii="宋体" w:hAnsi="宋体" w:cs="宋体"/>
          <w:b/>
          <w:bCs/>
          <w:color w:val="auto"/>
          <w:sz w:val="21"/>
          <w:szCs w:val="21"/>
          <w:highlight w:val="none"/>
          <w:lang w:eastAsia="zh-CN"/>
        </w:rPr>
        <w:t>）</w:t>
      </w:r>
    </w:p>
    <w:tbl>
      <w:tblPr>
        <w:tblStyle w:val="33"/>
        <w:tblW w:w="8955" w:type="dxa"/>
        <w:tblInd w:w="12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565"/>
        <w:gridCol w:w="6390"/>
      </w:tblGrid>
      <w:tr w14:paraId="15D63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58" w:hRule="atLeast"/>
        </w:trPr>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3E582">
            <w:pPr>
              <w:pStyle w:val="15"/>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rPr>
              <w:t>采购人的特殊要求及说明理由</w:t>
            </w:r>
          </w:p>
        </w:tc>
        <w:tc>
          <w:tcPr>
            <w:tcW w:w="6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08DBA">
            <w:pPr>
              <w:widowControl/>
              <w:numPr>
                <w:ilvl w:val="0"/>
                <w:numId w:val="1"/>
              </w:num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不接受联合体投标，不允许转包和分包。</w:t>
            </w:r>
          </w:p>
          <w:p w14:paraId="271EE8F5">
            <w:pPr>
              <w:widowControl/>
              <w:numPr>
                <w:ilvl w:val="0"/>
                <w:numId w:val="0"/>
              </w:numPr>
              <w:snapToGrid w:val="0"/>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2、授权磋商小组确定一名成交供应商并推荐一名成交候选供应商。</w:t>
            </w:r>
          </w:p>
          <w:p w14:paraId="0F212746">
            <w:pPr>
              <w:widowControl/>
              <w:numPr>
                <w:ilvl w:val="0"/>
                <w:numId w:val="0"/>
              </w:numPr>
              <w:snapToGrid w:val="0"/>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3、采购人使用</w:t>
            </w:r>
            <w:r>
              <w:rPr>
                <w:rFonts w:hint="eastAsia" w:ascii="宋体" w:hAnsi="宋体" w:cs="宋体"/>
                <w:color w:val="auto"/>
                <w:sz w:val="21"/>
                <w:szCs w:val="21"/>
                <w:highlight w:val="none"/>
                <w:lang w:val="en-US" w:eastAsia="zh-CN"/>
              </w:rPr>
              <w:t>成交供应商成交</w:t>
            </w:r>
            <w:r>
              <w:rPr>
                <w:rFonts w:hint="eastAsia" w:ascii="宋体" w:hAnsi="宋体" w:eastAsia="宋体" w:cs="宋体"/>
                <w:color w:val="auto"/>
                <w:sz w:val="21"/>
                <w:szCs w:val="21"/>
                <w:highlight w:val="none"/>
                <w:lang w:val="en-US" w:eastAsia="zh-CN"/>
              </w:rPr>
              <w:t>的货物、技术、资料、服务或其他任何一部分时，享有无偿使用权。免受第三方提出的侵犯其专利权、著作权、商标权或其它知识产权的起诉。如果第三方提出侵权指控，</w:t>
            </w:r>
            <w:r>
              <w:rPr>
                <w:rFonts w:hint="eastAsia" w:ascii="宋体" w:hAnsi="宋体" w:cs="宋体"/>
                <w:color w:val="auto"/>
                <w:sz w:val="21"/>
                <w:szCs w:val="21"/>
                <w:highlight w:val="none"/>
                <w:lang w:val="en-US" w:eastAsia="zh-CN"/>
              </w:rPr>
              <w:t>成交供应商</w:t>
            </w:r>
            <w:r>
              <w:rPr>
                <w:rFonts w:hint="eastAsia" w:ascii="宋体" w:hAnsi="宋体" w:eastAsia="宋体" w:cs="宋体"/>
                <w:color w:val="auto"/>
                <w:sz w:val="21"/>
                <w:szCs w:val="21"/>
                <w:highlight w:val="none"/>
                <w:lang w:val="en-US" w:eastAsia="zh-CN"/>
              </w:rPr>
              <w:t>应承担由此而引起的一切法律责任和费用。</w:t>
            </w:r>
          </w:p>
          <w:p w14:paraId="7D4EACBE">
            <w:pPr>
              <w:widowControl/>
              <w:numPr>
                <w:ilvl w:val="0"/>
                <w:numId w:val="0"/>
              </w:numPr>
              <w:snapToGrid w:val="0"/>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所投产品均应提供配置明细表并且配置明细表中的所有配件必须是唯一的，不得有选择性配置，所提供配件需是正规厂家生产的原装正品。如果对投标产品的标准配置或配件有更换或调整的，需提供原生产厂家的变更和调整确认材料,提供的产品配件应单独列出其技术性能、标准、产地、生产厂家及享受何种保修服务。</w:t>
            </w:r>
          </w:p>
          <w:p w14:paraId="763D5878">
            <w:pPr>
              <w:widowControl/>
              <w:numPr>
                <w:ilvl w:val="0"/>
                <w:numId w:val="0"/>
              </w:numPr>
              <w:snapToGrid w:val="0"/>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r>
              <w:rPr>
                <w:rFonts w:hint="eastAsia" w:ascii="宋体" w:hAnsi="宋体" w:cs="宋体"/>
                <w:color w:val="auto"/>
                <w:sz w:val="21"/>
                <w:szCs w:val="21"/>
                <w:highlight w:val="none"/>
                <w:lang w:val="en-US" w:eastAsia="zh-CN"/>
              </w:rPr>
              <w:t>供应商</w:t>
            </w:r>
            <w:r>
              <w:rPr>
                <w:rFonts w:hint="eastAsia" w:ascii="宋体" w:hAnsi="宋体" w:eastAsia="宋体" w:cs="宋体"/>
                <w:color w:val="auto"/>
                <w:sz w:val="21"/>
                <w:szCs w:val="21"/>
                <w:highlight w:val="none"/>
                <w:lang w:val="en-US" w:eastAsia="zh-CN"/>
              </w:rPr>
              <w:t>须提供符合国家质量标准、部颁标准、行业标准或本招标文件规定标准的、供货渠道合法的全新原装合格正品（包括零部件），如安装或配置软件的，须为正版软件。所提供的货物应当同时符合国家有关安全、卫生、环保规定。本项目中所投产品涉及纳入国家认证认可监督管理委员会现行《强制性产品认证目录描述与界定表》管理的强制性认证产品（简称 3C 认证产品）的，该产品应具有由认证机构颁发给制造商的该产品强制性认证证书。</w:t>
            </w:r>
          </w:p>
        </w:tc>
      </w:tr>
    </w:tbl>
    <w:p w14:paraId="2C7275F5">
      <w:pPr>
        <w:keepNext w:val="0"/>
        <w:keepLines w:val="0"/>
        <w:pageBreakBefore w:val="0"/>
        <w:widowControl w:val="0"/>
        <w:kinsoku/>
        <w:wordWrap/>
        <w:overflowPunct/>
        <w:topLinePunct w:val="0"/>
        <w:autoSpaceDE/>
        <w:autoSpaceDN/>
        <w:bidi w:val="0"/>
        <w:adjustRightInd/>
        <w:snapToGrid w:val="0"/>
        <w:spacing w:before="161" w:beforeLines="50" w:line="360" w:lineRule="auto"/>
        <w:jc w:val="both"/>
        <w:textAlignment w:val="auto"/>
        <w:rPr>
          <w:rFonts w:hint="eastAsia" w:ascii="宋体" w:hAnsi="宋体" w:eastAsia="宋体" w:cs="宋体"/>
          <w:b/>
          <w:bCs/>
          <w:color w:val="auto"/>
          <w:sz w:val="21"/>
          <w:szCs w:val="21"/>
          <w:highlight w:val="none"/>
        </w:rPr>
      </w:pPr>
    </w:p>
    <w:p w14:paraId="606E7B06">
      <w:p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5850CAA7">
      <w:pPr>
        <w:spacing w:afterAutospacing="0"/>
        <w:jc w:val="center"/>
        <w:outlineLvl w:val="0"/>
        <w:rPr>
          <w:rFonts w:hint="eastAsia" w:ascii="宋体" w:hAnsi="宋体" w:eastAsia="宋体" w:cs="宋体"/>
          <w:b/>
          <w:bCs/>
          <w:color w:val="auto"/>
          <w:sz w:val="32"/>
          <w:szCs w:val="32"/>
          <w:highlight w:val="none"/>
        </w:rPr>
      </w:pPr>
      <w:bookmarkStart w:id="35" w:name="_Toc3942"/>
      <w:r>
        <w:rPr>
          <w:rFonts w:hint="eastAsia" w:ascii="宋体" w:hAnsi="宋体" w:eastAsia="宋体" w:cs="宋体"/>
          <w:b/>
          <w:bCs/>
          <w:color w:val="auto"/>
          <w:sz w:val="32"/>
          <w:szCs w:val="32"/>
          <w:highlight w:val="none"/>
        </w:rPr>
        <w:t xml:space="preserve">第三章  </w:t>
      </w:r>
      <w:r>
        <w:rPr>
          <w:rFonts w:hint="eastAsia" w:ascii="宋体" w:hAnsi="宋体" w:eastAsia="宋体" w:cs="宋体"/>
          <w:b/>
          <w:bCs/>
          <w:color w:val="auto"/>
          <w:sz w:val="32"/>
          <w:szCs w:val="32"/>
          <w:highlight w:val="none"/>
          <w:lang w:eastAsia="zh-CN"/>
        </w:rPr>
        <w:t>供应商</w:t>
      </w:r>
      <w:r>
        <w:rPr>
          <w:rFonts w:hint="eastAsia" w:ascii="宋体" w:hAnsi="宋体" w:eastAsia="宋体" w:cs="宋体"/>
          <w:b/>
          <w:bCs/>
          <w:color w:val="auto"/>
          <w:sz w:val="32"/>
          <w:szCs w:val="32"/>
          <w:highlight w:val="none"/>
        </w:rPr>
        <w:t>须知</w:t>
      </w:r>
      <w:bookmarkEnd w:id="35"/>
    </w:p>
    <w:p w14:paraId="6CB10D3F">
      <w:pPr>
        <w:snapToGrid w:val="0"/>
        <w:spacing w:beforeAutospacing="0" w:line="360" w:lineRule="auto"/>
        <w:jc w:val="center"/>
        <w:outlineLvl w:val="1"/>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须知前附表</w:t>
      </w:r>
    </w:p>
    <w:tbl>
      <w:tblPr>
        <w:tblStyle w:val="33"/>
        <w:tblW w:w="9840" w:type="dxa"/>
        <w:jc w:val="center"/>
        <w:tblLayout w:type="fixed"/>
        <w:tblCellMar>
          <w:top w:w="0" w:type="dxa"/>
          <w:left w:w="0" w:type="dxa"/>
          <w:bottom w:w="0" w:type="dxa"/>
          <w:right w:w="0" w:type="dxa"/>
        </w:tblCellMar>
      </w:tblPr>
      <w:tblGrid>
        <w:gridCol w:w="926"/>
        <w:gridCol w:w="8914"/>
      </w:tblGrid>
      <w:tr w14:paraId="7152AC17">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B1F5D00">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341175A">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内容、要求</w:t>
            </w:r>
          </w:p>
        </w:tc>
      </w:tr>
      <w:tr w14:paraId="6874865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7B2DD48">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A060B7E">
            <w:pPr>
              <w:widowControl/>
              <w:snapToGrid w:val="0"/>
              <w:spacing w:line="440" w:lineRule="exact"/>
              <w:jc w:val="left"/>
              <w:outlineLvl w:val="0"/>
              <w:rPr>
                <w:rFonts w:hint="eastAsia" w:ascii="宋体" w:hAnsi="宋体" w:eastAsia="宋体" w:cs="宋体"/>
                <w:color w:val="auto"/>
                <w:highlight w:val="none"/>
                <w:lang w:val="en-US" w:eastAsia="zh-CN"/>
              </w:rPr>
            </w:pPr>
            <w:bookmarkStart w:id="36" w:name="_Toc21125"/>
            <w:bookmarkStart w:id="37" w:name="_Toc31122"/>
            <w:bookmarkStart w:id="38" w:name="_Toc30169"/>
            <w:bookmarkStart w:id="39" w:name="_Toc24968"/>
            <w:bookmarkStart w:id="40" w:name="_Toc9566"/>
            <w:bookmarkStart w:id="41" w:name="_Toc21994"/>
            <w:bookmarkStart w:id="42" w:name="_Toc31727"/>
            <w:bookmarkStart w:id="43" w:name="_Toc21083"/>
            <w:bookmarkStart w:id="44" w:name="_Toc27740"/>
            <w:bookmarkStart w:id="45" w:name="_Toc22577"/>
            <w:bookmarkStart w:id="46" w:name="_Toc27817"/>
            <w:bookmarkStart w:id="47" w:name="_Toc23361"/>
            <w:r>
              <w:rPr>
                <w:rFonts w:hint="eastAsia" w:ascii="宋体" w:hAnsi="宋体" w:eastAsia="宋体" w:cs="宋体"/>
                <w:color w:val="auto"/>
                <w:highlight w:val="none"/>
              </w:rPr>
              <w:t>1.1项目名称：</w:t>
            </w:r>
            <w:bookmarkEnd w:id="36"/>
            <w:bookmarkEnd w:id="37"/>
            <w:bookmarkEnd w:id="38"/>
            <w:bookmarkEnd w:id="39"/>
            <w:bookmarkEnd w:id="40"/>
            <w:bookmarkEnd w:id="41"/>
            <w:bookmarkEnd w:id="42"/>
            <w:bookmarkEnd w:id="43"/>
            <w:bookmarkEnd w:id="44"/>
            <w:bookmarkEnd w:id="45"/>
            <w:bookmarkEnd w:id="46"/>
            <w:bookmarkStart w:id="48" w:name="_Toc29400"/>
            <w:bookmarkStart w:id="49" w:name="_Toc28320"/>
            <w:bookmarkStart w:id="50" w:name="_Toc23424"/>
            <w:r>
              <w:rPr>
                <w:rFonts w:hint="eastAsia" w:ascii="宋体" w:hAnsi="宋体" w:cs="宋体"/>
                <w:color w:val="auto"/>
                <w:highlight w:val="none"/>
                <w:lang w:val="en-US" w:eastAsia="zh-CN"/>
              </w:rPr>
              <w:t>驻马店市中心医院双通道注射泵、输液泵采购项目</w:t>
            </w:r>
            <w:bookmarkEnd w:id="47"/>
          </w:p>
          <w:p w14:paraId="710A5111">
            <w:pPr>
              <w:widowControl/>
              <w:snapToGrid w:val="0"/>
              <w:spacing w:line="440" w:lineRule="exact"/>
              <w:jc w:val="left"/>
              <w:outlineLvl w:val="0"/>
              <w:rPr>
                <w:rFonts w:hint="eastAsia" w:ascii="宋体" w:hAnsi="宋体" w:eastAsia="宋体" w:cs="宋体"/>
                <w:color w:val="auto"/>
                <w:highlight w:val="none"/>
              </w:rPr>
            </w:pPr>
            <w:bookmarkStart w:id="51" w:name="_Toc29895"/>
            <w:bookmarkStart w:id="52" w:name="_Toc21372"/>
            <w:bookmarkStart w:id="53" w:name="_Toc17489"/>
            <w:bookmarkStart w:id="54" w:name="_Toc32551"/>
            <w:bookmarkStart w:id="55" w:name="_Toc28540"/>
            <w:bookmarkStart w:id="56" w:name="_Toc9342"/>
            <w:bookmarkStart w:id="57" w:name="_Toc16110"/>
            <w:bookmarkStart w:id="58" w:name="_Toc13960"/>
            <w:bookmarkStart w:id="59" w:name="_Toc31384"/>
            <w:r>
              <w:rPr>
                <w:rFonts w:hint="eastAsia" w:ascii="宋体" w:hAnsi="宋体" w:eastAsia="宋体" w:cs="宋体"/>
                <w:color w:val="auto"/>
                <w:highlight w:val="none"/>
              </w:rPr>
              <w:t>1.2采购人名称：</w:t>
            </w:r>
            <w:bookmarkEnd w:id="48"/>
            <w:bookmarkEnd w:id="49"/>
            <w:bookmarkEnd w:id="50"/>
            <w:r>
              <w:rPr>
                <w:rFonts w:hint="eastAsia" w:ascii="宋体" w:hAnsi="宋体" w:eastAsia="宋体" w:cs="宋体"/>
                <w:color w:val="auto"/>
                <w:highlight w:val="none"/>
              </w:rPr>
              <w:t>驻马店市中心医院</w:t>
            </w:r>
            <w:bookmarkEnd w:id="51"/>
            <w:bookmarkEnd w:id="52"/>
            <w:bookmarkEnd w:id="53"/>
            <w:bookmarkEnd w:id="54"/>
            <w:bookmarkEnd w:id="55"/>
            <w:bookmarkEnd w:id="56"/>
            <w:bookmarkEnd w:id="57"/>
            <w:bookmarkEnd w:id="58"/>
            <w:bookmarkEnd w:id="59"/>
          </w:p>
          <w:p w14:paraId="0043921C">
            <w:pPr>
              <w:widowControl/>
              <w:snapToGrid w:val="0"/>
              <w:spacing w:line="440" w:lineRule="exact"/>
              <w:jc w:val="left"/>
              <w:outlineLvl w:val="0"/>
              <w:rPr>
                <w:rFonts w:hint="eastAsia" w:ascii="宋体" w:hAnsi="宋体" w:eastAsia="宋体" w:cs="宋体"/>
                <w:color w:val="auto"/>
                <w:kern w:val="2"/>
                <w:sz w:val="21"/>
                <w:szCs w:val="24"/>
                <w:highlight w:val="none"/>
                <w:lang w:val="en-US" w:eastAsia="zh-CN" w:bidi="ar-SA"/>
              </w:rPr>
            </w:pPr>
            <w:bookmarkStart w:id="60" w:name="_Toc22834"/>
            <w:bookmarkStart w:id="61" w:name="_Toc1096"/>
            <w:bookmarkStart w:id="62" w:name="_Toc27606"/>
            <w:bookmarkStart w:id="63" w:name="_Toc29780"/>
            <w:bookmarkStart w:id="64" w:name="_Toc3148"/>
            <w:bookmarkStart w:id="65" w:name="_Toc26199"/>
            <w:bookmarkStart w:id="66" w:name="_Toc5153"/>
            <w:bookmarkStart w:id="67" w:name="_Toc12440"/>
            <w:bookmarkStart w:id="68" w:name="_Toc24541"/>
            <w:bookmarkStart w:id="69" w:name="_Toc2368"/>
            <w:bookmarkStart w:id="70" w:name="_Toc11639"/>
            <w:bookmarkStart w:id="71" w:name="_Toc31576"/>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采购范围：详</w:t>
            </w:r>
            <w:r>
              <w:rPr>
                <w:rFonts w:hint="eastAsia" w:ascii="宋体" w:hAnsi="宋体" w:eastAsia="宋体" w:cs="宋体"/>
                <w:color w:val="auto"/>
                <w:highlight w:val="none"/>
                <w:lang w:val="en-US" w:eastAsia="zh-CN"/>
              </w:rPr>
              <w:t>见第二章采购</w:t>
            </w:r>
            <w:r>
              <w:rPr>
                <w:rFonts w:hint="eastAsia" w:ascii="宋体" w:hAnsi="宋体" w:eastAsia="宋体" w:cs="宋体"/>
                <w:color w:val="auto"/>
                <w:highlight w:val="none"/>
              </w:rPr>
              <w:t>需求</w:t>
            </w:r>
            <w:bookmarkEnd w:id="60"/>
            <w:bookmarkEnd w:id="61"/>
            <w:bookmarkEnd w:id="62"/>
            <w:bookmarkEnd w:id="63"/>
            <w:bookmarkEnd w:id="64"/>
            <w:bookmarkEnd w:id="65"/>
            <w:bookmarkEnd w:id="66"/>
            <w:bookmarkEnd w:id="67"/>
            <w:bookmarkEnd w:id="68"/>
            <w:bookmarkEnd w:id="69"/>
            <w:bookmarkEnd w:id="70"/>
            <w:bookmarkEnd w:id="71"/>
          </w:p>
        </w:tc>
      </w:tr>
      <w:tr w14:paraId="1A0A6ACB">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3B86117">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29F9D1B">
            <w:pPr>
              <w:widowControl/>
              <w:spacing w:line="44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合格</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公告第二项规定的条件。</w:t>
            </w:r>
          </w:p>
        </w:tc>
      </w:tr>
      <w:tr w14:paraId="165CED55">
        <w:tblPrEx>
          <w:tblCellMar>
            <w:top w:w="0" w:type="dxa"/>
            <w:left w:w="0" w:type="dxa"/>
            <w:bottom w:w="0" w:type="dxa"/>
            <w:right w:w="0" w:type="dxa"/>
          </w:tblCellMar>
        </w:tblPrEx>
        <w:trPr>
          <w:trHeight w:val="5214"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4AD2EA3">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E3185A3">
            <w:pPr>
              <w:widowControl/>
              <w:snapToGrid w:val="0"/>
              <w:spacing w:line="440" w:lineRule="exact"/>
              <w:jc w:val="left"/>
              <w:rPr>
                <w:rFonts w:hint="eastAsia" w:ascii="宋体" w:hAnsi="宋体" w:eastAsia="宋体" w:cs="宋体"/>
                <w:color w:val="auto"/>
                <w:kern w:val="0"/>
                <w:szCs w:val="21"/>
                <w:highlight w:val="none"/>
                <w:lang w:val="en-US" w:eastAsia="zh-CN"/>
              </w:rPr>
            </w:pPr>
            <w:r>
              <w:rPr>
                <w:rFonts w:hint="eastAsia" w:ascii="宋体" w:hAnsi="宋体" w:eastAsia="宋体" w:cs="宋体"/>
                <w:b/>
                <w:bCs/>
                <w:color w:val="auto"/>
                <w:highlight w:val="none"/>
                <w:lang w:val="en-US" w:eastAsia="zh-CN"/>
              </w:rPr>
              <w:t>预算金额：</w:t>
            </w:r>
            <w:r>
              <w:rPr>
                <w:rFonts w:hint="eastAsia" w:ascii="宋体" w:hAnsi="宋体" w:cs="宋体"/>
                <w:b/>
                <w:bCs/>
                <w:color w:val="auto"/>
                <w:highlight w:val="none"/>
                <w:lang w:val="en-US" w:eastAsia="zh-CN"/>
              </w:rPr>
              <w:t>33</w:t>
            </w:r>
            <w:r>
              <w:rPr>
                <w:rFonts w:hint="eastAsia" w:ascii="宋体" w:hAnsi="宋体" w:eastAsia="宋体" w:cs="宋体"/>
                <w:b/>
                <w:bCs/>
                <w:color w:val="auto"/>
                <w:highlight w:val="none"/>
                <w:lang w:val="en-US" w:eastAsia="zh-CN"/>
              </w:rPr>
              <w:t>万元</w:t>
            </w:r>
            <w:r>
              <w:rPr>
                <w:rFonts w:hint="eastAsia" w:ascii="宋体" w:hAnsi="宋体" w:cs="宋体"/>
                <w:b/>
                <w:bCs/>
                <w:color w:val="auto"/>
                <w:szCs w:val="21"/>
                <w:highlight w:val="none"/>
                <w:shd w:val="clear" w:color="auto" w:fill="FFFFFF"/>
                <w:lang w:val="en-US" w:eastAsia="zh-CN"/>
              </w:rPr>
              <w:t>（据实结算）</w:t>
            </w:r>
            <w:r>
              <w:rPr>
                <w:rFonts w:hint="eastAsia" w:ascii="宋体" w:hAnsi="宋体" w:eastAsia="宋体" w:cs="宋体"/>
                <w:b/>
                <w:bCs/>
                <w:color w:val="auto"/>
                <w:highlight w:val="none"/>
                <w:lang w:val="en-US" w:eastAsia="zh-CN"/>
              </w:rPr>
              <w:t>；其中：</w:t>
            </w:r>
          </w:p>
          <w:p w14:paraId="605A6F3A">
            <w:pPr>
              <w:widowControl/>
              <w:snapToGrid w:val="0"/>
              <w:spacing w:line="440" w:lineRule="exact"/>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包1：预算金额：</w:t>
            </w:r>
            <w:r>
              <w:rPr>
                <w:rFonts w:hint="eastAsia" w:ascii="宋体" w:hAnsi="宋体" w:eastAsia="宋体" w:cs="宋体"/>
                <w:color w:val="auto"/>
                <w:szCs w:val="21"/>
                <w:highlight w:val="none"/>
                <w:shd w:val="clear" w:color="auto" w:fill="FFFFFF"/>
                <w:vertAlign w:val="baseline"/>
                <w:lang w:val="en-US" w:eastAsia="zh-CN"/>
              </w:rPr>
              <w:t>20万元</w:t>
            </w:r>
            <w:r>
              <w:rPr>
                <w:rFonts w:hint="eastAsia" w:ascii="宋体" w:hAnsi="宋体" w:eastAsia="宋体" w:cs="宋体"/>
                <w:color w:val="auto"/>
                <w:kern w:val="0"/>
                <w:szCs w:val="21"/>
                <w:highlight w:val="none"/>
                <w:lang w:val="en-US" w:eastAsia="zh-CN"/>
              </w:rPr>
              <w:t>；最高限价：3800</w:t>
            </w:r>
            <w:r>
              <w:rPr>
                <w:rFonts w:hint="eastAsia" w:ascii="宋体" w:hAnsi="宋体" w:cs="宋体"/>
                <w:color w:val="auto"/>
                <w:szCs w:val="21"/>
                <w:highlight w:val="none"/>
                <w:shd w:val="clear" w:color="auto" w:fill="FFFFFF"/>
                <w:vertAlign w:val="baseline"/>
                <w:lang w:val="en-US" w:eastAsia="zh-CN"/>
              </w:rPr>
              <w:t>元/台</w:t>
            </w:r>
            <w:r>
              <w:rPr>
                <w:rFonts w:hint="eastAsia" w:ascii="宋体" w:hAnsi="宋体" w:eastAsia="宋体" w:cs="宋体"/>
                <w:color w:val="auto"/>
                <w:kern w:val="0"/>
                <w:szCs w:val="21"/>
                <w:highlight w:val="none"/>
                <w:lang w:val="en-US" w:eastAsia="zh-CN"/>
              </w:rPr>
              <w:t>。</w:t>
            </w:r>
          </w:p>
          <w:p w14:paraId="3AC64668">
            <w:pPr>
              <w:widowControl/>
              <w:snapToGrid w:val="0"/>
              <w:spacing w:line="440" w:lineRule="exact"/>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包2：预算金额：</w:t>
            </w:r>
            <w:r>
              <w:rPr>
                <w:rFonts w:hint="eastAsia" w:ascii="宋体" w:hAnsi="宋体" w:cs="宋体"/>
                <w:color w:val="auto"/>
                <w:szCs w:val="21"/>
                <w:highlight w:val="none"/>
                <w:shd w:val="clear" w:color="auto" w:fill="FFFFFF"/>
                <w:vertAlign w:val="baseline"/>
                <w:lang w:val="en-US" w:eastAsia="zh-CN"/>
              </w:rPr>
              <w:t>13</w:t>
            </w:r>
            <w:r>
              <w:rPr>
                <w:rFonts w:hint="eastAsia" w:ascii="宋体" w:hAnsi="宋体" w:eastAsia="宋体" w:cs="宋体"/>
                <w:color w:val="auto"/>
                <w:szCs w:val="21"/>
                <w:highlight w:val="none"/>
                <w:shd w:val="clear" w:color="auto" w:fill="FFFFFF"/>
                <w:vertAlign w:val="baseline"/>
                <w:lang w:val="en-US" w:eastAsia="zh-CN"/>
              </w:rPr>
              <w:t>万元</w:t>
            </w:r>
            <w:r>
              <w:rPr>
                <w:rFonts w:hint="eastAsia" w:ascii="宋体" w:hAnsi="宋体" w:eastAsia="宋体" w:cs="宋体"/>
                <w:color w:val="auto"/>
                <w:kern w:val="0"/>
                <w:szCs w:val="21"/>
                <w:highlight w:val="none"/>
                <w:lang w:val="en-US" w:eastAsia="zh-CN"/>
              </w:rPr>
              <w:t>；最高限价：3500</w:t>
            </w:r>
            <w:r>
              <w:rPr>
                <w:rFonts w:hint="eastAsia" w:ascii="宋体" w:hAnsi="宋体" w:cs="宋体"/>
                <w:color w:val="auto"/>
                <w:szCs w:val="21"/>
                <w:highlight w:val="none"/>
                <w:shd w:val="clear" w:color="auto" w:fill="FFFFFF"/>
                <w:vertAlign w:val="baseline"/>
                <w:lang w:val="en-US" w:eastAsia="zh-CN"/>
              </w:rPr>
              <w:t>元/台</w:t>
            </w:r>
            <w:r>
              <w:rPr>
                <w:rFonts w:hint="eastAsia" w:ascii="宋体" w:hAnsi="宋体" w:eastAsia="宋体" w:cs="宋体"/>
                <w:color w:val="auto"/>
                <w:kern w:val="0"/>
                <w:szCs w:val="21"/>
                <w:highlight w:val="none"/>
                <w:lang w:val="en-US" w:eastAsia="zh-CN"/>
              </w:rPr>
              <w:t>。</w:t>
            </w:r>
          </w:p>
          <w:p w14:paraId="3DE666F3">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3.1 本项目</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以人民币报价。</w:t>
            </w:r>
          </w:p>
          <w:p w14:paraId="25F0BC31">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 供应商的报价超过采购预算，采购人不能支付的，按废标处理。</w:t>
            </w:r>
          </w:p>
          <w:p w14:paraId="2834DD74">
            <w:pPr>
              <w:widowControl/>
              <w:snapToGrid w:val="0"/>
              <w:spacing w:line="440" w:lineRule="exact"/>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3.3 本项目</w:t>
            </w:r>
            <w:r>
              <w:rPr>
                <w:rFonts w:hint="eastAsia" w:ascii="宋体" w:hAnsi="宋体" w:eastAsia="宋体" w:cs="宋体"/>
                <w:color w:val="auto"/>
                <w:kern w:val="0"/>
                <w:szCs w:val="21"/>
                <w:highlight w:val="none"/>
                <w:lang w:val="en-US" w:eastAsia="zh-CN"/>
              </w:rPr>
              <w:t>由成交供应商缴纳</w:t>
            </w:r>
            <w:r>
              <w:rPr>
                <w:rFonts w:hint="eastAsia" w:ascii="宋体" w:hAnsi="宋体" w:eastAsia="宋体" w:cs="宋体"/>
                <w:color w:val="auto"/>
                <w:kern w:val="0"/>
                <w:szCs w:val="21"/>
                <w:highlight w:val="none"/>
              </w:rPr>
              <w:t>招标代理服务费。</w:t>
            </w:r>
            <w:r>
              <w:rPr>
                <w:rFonts w:hint="eastAsia" w:ascii="宋体" w:hAnsi="宋体" w:eastAsia="宋体" w:cs="宋体"/>
                <w:color w:val="auto"/>
                <w:kern w:val="0"/>
                <w:szCs w:val="21"/>
                <w:highlight w:val="none"/>
                <w:lang w:val="en-US" w:eastAsia="zh-CN"/>
              </w:rPr>
              <w:t>代理服务费不得高于《招代理机构服务管理暂行办法》（计价格[2002]1980号）相应标准：</w:t>
            </w:r>
          </w:p>
          <w:tbl>
            <w:tblPr>
              <w:tblStyle w:val="34"/>
              <w:tblW w:w="8914"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60"/>
              <w:gridCol w:w="1734"/>
              <w:gridCol w:w="1686"/>
              <w:gridCol w:w="1534"/>
            </w:tblGrid>
            <w:tr w14:paraId="59D4F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960" w:type="dxa"/>
                  <mc:AlternateContent>
                    <mc:Choice Requires="wpsCustomData">
                      <wpsCustomData:diagonals>
                        <wpsCustomData:diagonal from="10000" to="30000">
                          <wpsCustomData:border w:val="single" w:color="auto" w:sz="4" w:space="0"/>
                        </wpsCustomData:diagonal>
                      </wpsCustomData:diagonals>
                    </mc:Choice>
                  </mc:AlternateContent>
                </w:tcPr>
                <w:p w14:paraId="4F740B48">
                  <w:pPr>
                    <w:widowControl/>
                    <w:snapToGrid w:val="0"/>
                    <w:spacing w:line="240" w:lineRule="auto"/>
                    <w:jc w:val="both"/>
                    <mc:AlternateContent>
                      <mc:Choice Requires="wpsCustomData">
                        <wpsCustomData:diagonalParaType/>
                      </mc:Choice>
                    </mc:AlternateContent>
                    <w:rPr>
                      <w:rFonts w:hint="eastAsia" w:ascii="宋体" w:hAnsi="宋体" w:eastAsia="宋体" w:cs="宋体"/>
                      <w:b/>
                      <w:bCs/>
                      <w:color w:val="auto"/>
                      <w:kern w:val="0"/>
                      <w:szCs w:val="21"/>
                      <w:highlight w:val="none"/>
                      <w:vertAlign w:val="baseline"/>
                      <w:lang w:val="en-US" w:eastAsia="zh-CN"/>
                    </w:rPr>
                  </w:pPr>
                  <w:r>
                    <w:rPr>
                      <w:rFonts w:hint="eastAsia" w:ascii="宋体" w:hAnsi="宋体" w:eastAsia="宋体" w:cs="宋体"/>
                      <w:b/>
                      <w:bCs/>
                      <w:sz w:val="21"/>
                      <w:highlight w:val="none"/>
                    </w:rPr>
                    <mc:AlternateContent>
                      <mc:Choice Requires="wps">
                        <w:drawing>
                          <wp:anchor distT="0" distB="0" distL="114300" distR="114300" simplePos="0" relativeHeight="251660288" behindDoc="0" locked="0" layoutInCell="1" allowOverlap="1">
                            <wp:simplePos x="0" y="0"/>
                            <wp:positionH relativeFrom="column">
                              <wp:posOffset>50800</wp:posOffset>
                            </wp:positionH>
                            <wp:positionV relativeFrom="paragraph">
                              <wp:posOffset>314960</wp:posOffset>
                            </wp:positionV>
                            <wp:extent cx="846455" cy="285750"/>
                            <wp:effectExtent l="0" t="0" r="10795" b="0"/>
                            <wp:wrapNone/>
                            <wp:docPr id="4" name="文本框 4"/>
                            <wp:cNvGraphicFramePr/>
                            <a:graphic xmlns:a="http://schemas.openxmlformats.org/drawingml/2006/main">
                              <a:graphicData uri="http://schemas.microsoft.com/office/word/2010/wordprocessingShape">
                                <wps:wsp>
                                  <wps:cNvSpPr txBox="1"/>
                                  <wps:spPr>
                                    <a:xfrm>
                                      <a:off x="1397000" y="5120640"/>
                                      <a:ext cx="846455" cy="2857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677D337A">
                                        <w:pPr>
                                          <w:rPr>
                                            <w:rFonts w:hint="default" w:eastAsia="宋体"/>
                                            <w:b/>
                                            <w:bCs/>
                                            <w:lang w:val="en-US" w:eastAsia="zh-CN"/>
                                          </w:rPr>
                                        </w:pPr>
                                        <w:r>
                                          <w:rPr>
                                            <w:rFonts w:hint="eastAsia"/>
                                            <w:b/>
                                            <w:bCs/>
                                            <w:lang w:val="en-US" w:eastAsia="zh-CN"/>
                                          </w:rPr>
                                          <w:t>中标金额</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pt;margin-top:24.8pt;height:22.5pt;width:66.65pt;z-index:251660288;mso-width-relative:page;mso-height-relative:page;" fillcolor="#FFFFFF [3201]" filled="t" stroked="f" coordsize="21600,21600" o:gfxdata="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Il2kevTAAAA&#10;BwEAAA8AAAAAAAAAAQAgAAAAIgAAAGRycy9kb3ducmV2LnhtbFBLAQIUABQAAAAIAIdO4kDeJiF7&#10;WwIAAJoEAAAOAAAAAAAAAAEAIAAAACIBAABkcnMvZTJvRG9jLnhtbFBLBQYAAAAABgAGAFkBAADv&#10;BQAAAAA=&#10;">
                            <v:fill on="t" focussize="0,0"/>
                            <v:stroke on="f" weight="0.5pt"/>
                            <v:imagedata o:title=""/>
                            <o:lock v:ext="edit" aspectratio="f"/>
                            <v:textbox>
                              <w:txbxContent>
                                <w:p w14:paraId="677D337A">
                                  <w:pPr>
                                    <w:rPr>
                                      <w:rFonts w:hint="default" w:eastAsia="宋体"/>
                                      <w:b/>
                                      <w:bCs/>
                                      <w:lang w:val="en-US" w:eastAsia="zh-CN"/>
                                    </w:rPr>
                                  </w:pPr>
                                  <w:r>
                                    <w:rPr>
                                      <w:rFonts w:hint="eastAsia"/>
                                      <w:b/>
                                      <w:bCs/>
                                      <w:lang w:val="en-US" w:eastAsia="zh-CN"/>
                                    </w:rPr>
                                    <w:t>中标金额</w:t>
                                  </w:r>
                                </w:p>
                              </w:txbxContent>
                            </v:textbox>
                          </v:shape>
                        </w:pict>
                      </mc:Fallback>
                    </mc:AlternateContent>
                  </w:r>
                </w:p>
                <w:p w14:paraId="6CE85D4B">
                  <w:pPr>
                    <w:widowControl/>
                    <w:snapToGrid w:val="0"/>
                    <w:spacing w:line="440" w:lineRule="exact"/>
                    <w:jc w:val="center"/>
                    <w:rPr>
                      <w:rFonts w:hint="eastAsia" w:ascii="宋体" w:hAnsi="宋体" w:eastAsia="宋体" w:cs="宋体"/>
                      <w:b/>
                      <w:bCs/>
                      <w:color w:val="auto"/>
                      <w:kern w:val="0"/>
                      <w:szCs w:val="21"/>
                      <w:highlight w:val="none"/>
                      <w:vertAlign w:val="baseline"/>
                      <w:lang w:val="en-US" w:eastAsia="zh-CN"/>
                    </w:rPr>
                  </w:pPr>
                  <w:r>
                    <w:rPr>
                      <w:rFonts w:hint="eastAsia" w:ascii="宋体" w:hAnsi="宋体" w:eastAsia="宋体" w:cs="宋体"/>
                      <w:b/>
                      <w:bCs/>
                      <w:sz w:val="21"/>
                      <w:highlight w:val="none"/>
                    </w:rPr>
                    <mc:AlternateContent>
                      <mc:Choice Requires="wps">
                        <w:drawing>
                          <wp:anchor distT="0" distB="0" distL="114300" distR="114300" simplePos="0" relativeHeight="251659264" behindDoc="0" locked="0" layoutInCell="1" allowOverlap="1">
                            <wp:simplePos x="0" y="0"/>
                            <wp:positionH relativeFrom="column">
                              <wp:posOffset>353060</wp:posOffset>
                            </wp:positionH>
                            <wp:positionV relativeFrom="paragraph">
                              <wp:posOffset>21590</wp:posOffset>
                            </wp:positionV>
                            <wp:extent cx="970280" cy="305435"/>
                            <wp:effectExtent l="0" t="0" r="1270" b="18415"/>
                            <wp:wrapNone/>
                            <wp:docPr id="3" name="文本框 3"/>
                            <wp:cNvGraphicFramePr/>
                            <a:graphic xmlns:a="http://schemas.openxmlformats.org/drawingml/2006/main">
                              <a:graphicData uri="http://schemas.microsoft.com/office/word/2010/wordprocessingShape">
                                <wps:wsp>
                                  <wps:cNvSpPr txBox="1"/>
                                  <wps:spPr>
                                    <a:xfrm>
                                      <a:off x="1673225" y="4735830"/>
                                      <a:ext cx="970280" cy="30543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8pt;margin-top:1.7pt;height:24.05pt;width:76.4pt;z-index:251659264;mso-width-relative:page;mso-height-relative:page;" fillcolor="#FFFFFF [3201]" filled="t" stroked="f" coordsize="21600,21600" o:gfxdata="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Cw+HPtIAAAAH&#10;AQAADwAAAAAAAAABACAAAAAiAAAAZHJzL2Rvd25yZXYueG1sUEsBAhQAFAAAAAgAh07iQF8vVZxb&#10;AgAAmgQAAA4AAAAAAAAAAQAgAAAAIQEAAGRycy9lMm9Eb2MueG1sUEsFBgAAAAAGAAYAWQEAAO4F&#10;AAAAAA==&#10;">
                            <v:fill on="t" focussize="0,0"/>
                            <v:stroke on="f" weight="0.5pt"/>
                            <v:imagedata o:title=""/>
                            <o:lock v:ext="edit" aspectratio="f"/>
                            <v:textbo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v:textbox>
                          </v:shape>
                        </w:pict>
                      </mc:Fallback>
                    </mc:AlternateContent>
                  </w:r>
                </w:p>
              </w:tc>
              <w:tc>
                <w:tcPr>
                  <w:tcW w:w="1734" w:type="dxa"/>
                  <w:vAlign w:val="center"/>
                </w:tcPr>
                <w:p w14:paraId="1BA1962A">
                  <w:pPr>
                    <w:widowControl/>
                    <w:snapToGrid w:val="0"/>
                    <w:spacing w:line="440" w:lineRule="exact"/>
                    <w:jc w:val="center"/>
                    <w:rPr>
                      <w:rFonts w:hint="eastAsia" w:ascii="宋体" w:hAnsi="宋体" w:eastAsia="宋体" w:cs="宋体"/>
                      <w:b/>
                      <w:bCs/>
                      <w:color w:val="auto"/>
                      <w:kern w:val="0"/>
                      <w:szCs w:val="21"/>
                      <w:highlight w:val="none"/>
                      <w:vertAlign w:val="baseline"/>
                      <w:lang w:val="en-US" w:eastAsia="zh-CN"/>
                    </w:rPr>
                  </w:pPr>
                  <w:r>
                    <w:rPr>
                      <w:rFonts w:hint="eastAsia" w:ascii="宋体" w:hAnsi="宋体" w:eastAsia="宋体" w:cs="宋体"/>
                      <w:b/>
                      <w:bCs/>
                      <w:color w:val="auto"/>
                      <w:kern w:val="0"/>
                      <w:szCs w:val="21"/>
                      <w:highlight w:val="none"/>
                      <w:vertAlign w:val="baseline"/>
                      <w:lang w:val="en-US" w:eastAsia="zh-CN"/>
                    </w:rPr>
                    <w:t>货物招标</w:t>
                  </w:r>
                </w:p>
              </w:tc>
              <w:tc>
                <w:tcPr>
                  <w:tcW w:w="1686" w:type="dxa"/>
                  <w:vAlign w:val="center"/>
                </w:tcPr>
                <w:p w14:paraId="5BE93A16">
                  <w:pPr>
                    <w:widowControl/>
                    <w:snapToGrid w:val="0"/>
                    <w:spacing w:line="440" w:lineRule="exact"/>
                    <w:jc w:val="center"/>
                    <w:rPr>
                      <w:rFonts w:hint="eastAsia" w:ascii="宋体" w:hAnsi="宋体" w:eastAsia="宋体" w:cs="宋体"/>
                      <w:b/>
                      <w:bCs/>
                      <w:color w:val="auto"/>
                      <w:kern w:val="0"/>
                      <w:szCs w:val="21"/>
                      <w:highlight w:val="none"/>
                      <w:vertAlign w:val="baseline"/>
                      <w:lang w:val="en-US" w:eastAsia="zh-CN"/>
                    </w:rPr>
                  </w:pPr>
                  <w:r>
                    <w:rPr>
                      <w:rFonts w:hint="eastAsia" w:ascii="宋体" w:hAnsi="宋体" w:eastAsia="宋体" w:cs="宋体"/>
                      <w:b/>
                      <w:bCs/>
                      <w:color w:val="auto"/>
                      <w:kern w:val="0"/>
                      <w:szCs w:val="21"/>
                      <w:highlight w:val="none"/>
                      <w:vertAlign w:val="baseline"/>
                      <w:lang w:val="en-US" w:eastAsia="zh-CN"/>
                    </w:rPr>
                    <w:t>服务招标</w:t>
                  </w:r>
                </w:p>
              </w:tc>
              <w:tc>
                <w:tcPr>
                  <w:tcW w:w="1534" w:type="dxa"/>
                  <w:vAlign w:val="center"/>
                </w:tcPr>
                <w:p w14:paraId="3ECB263F">
                  <w:pPr>
                    <w:widowControl/>
                    <w:snapToGrid w:val="0"/>
                    <w:spacing w:line="440" w:lineRule="exact"/>
                    <w:jc w:val="center"/>
                    <w:rPr>
                      <w:rFonts w:hint="eastAsia" w:ascii="宋体" w:hAnsi="宋体" w:eastAsia="宋体" w:cs="宋体"/>
                      <w:b/>
                      <w:bCs/>
                      <w:color w:val="auto"/>
                      <w:kern w:val="0"/>
                      <w:szCs w:val="21"/>
                      <w:highlight w:val="none"/>
                      <w:vertAlign w:val="baseline"/>
                      <w:lang w:val="en-US" w:eastAsia="zh-CN"/>
                    </w:rPr>
                  </w:pPr>
                  <w:r>
                    <w:rPr>
                      <w:rFonts w:hint="eastAsia" w:ascii="宋体" w:hAnsi="宋体" w:eastAsia="宋体" w:cs="宋体"/>
                      <w:b/>
                      <w:bCs/>
                      <w:color w:val="auto"/>
                      <w:kern w:val="0"/>
                      <w:szCs w:val="21"/>
                      <w:highlight w:val="none"/>
                      <w:vertAlign w:val="baseline"/>
                      <w:lang w:val="en-US" w:eastAsia="zh-CN"/>
                    </w:rPr>
                    <w:t>工程招标</w:t>
                  </w:r>
                </w:p>
              </w:tc>
            </w:tr>
            <w:tr w14:paraId="626EC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3960" w:type="dxa"/>
                  <w:vAlign w:val="center"/>
                </w:tcPr>
                <w:p w14:paraId="0EF43D2E">
                  <w:pPr>
                    <w:widowControl/>
                    <w:snapToGrid w:val="0"/>
                    <w:spacing w:line="440" w:lineRule="exact"/>
                    <w:jc w:val="center"/>
                    <w:rPr>
                      <w:rFonts w:hint="eastAsia" w:ascii="宋体" w:hAnsi="宋体" w:eastAsia="宋体" w:cs="宋体"/>
                      <w:color w:val="auto"/>
                      <w:kern w:val="0"/>
                      <w:szCs w:val="21"/>
                      <w:highlight w:val="none"/>
                      <w:vertAlign w:val="baseline"/>
                      <w:lang w:val="en-US" w:eastAsia="zh-CN"/>
                    </w:rPr>
                  </w:pPr>
                  <w:r>
                    <w:rPr>
                      <w:rFonts w:hint="eastAsia" w:ascii="宋体" w:hAnsi="宋体" w:eastAsia="宋体" w:cs="宋体"/>
                      <w:color w:val="auto"/>
                      <w:kern w:val="0"/>
                      <w:szCs w:val="21"/>
                      <w:highlight w:val="none"/>
                      <w:vertAlign w:val="baseline"/>
                      <w:lang w:val="en-US" w:eastAsia="zh-CN"/>
                    </w:rPr>
                    <w:t>100万元以下</w:t>
                  </w:r>
                </w:p>
              </w:tc>
              <w:tc>
                <w:tcPr>
                  <w:tcW w:w="1734" w:type="dxa"/>
                  <w:vAlign w:val="center"/>
                </w:tcPr>
                <w:p w14:paraId="0F8F8092">
                  <w:pPr>
                    <w:widowControl/>
                    <w:snapToGrid w:val="0"/>
                    <w:spacing w:line="440" w:lineRule="exact"/>
                    <w:jc w:val="center"/>
                    <w:rPr>
                      <w:rFonts w:hint="eastAsia" w:ascii="宋体" w:hAnsi="宋体" w:eastAsia="宋体" w:cs="宋体"/>
                      <w:color w:val="auto"/>
                      <w:kern w:val="0"/>
                      <w:szCs w:val="21"/>
                      <w:highlight w:val="none"/>
                      <w:vertAlign w:val="baseline"/>
                      <w:lang w:val="en-US" w:eastAsia="zh-CN"/>
                    </w:rPr>
                  </w:pPr>
                  <w:r>
                    <w:rPr>
                      <w:rFonts w:hint="eastAsia" w:ascii="宋体" w:hAnsi="宋体" w:eastAsia="宋体" w:cs="宋体"/>
                      <w:color w:val="auto"/>
                      <w:kern w:val="0"/>
                      <w:szCs w:val="21"/>
                      <w:highlight w:val="none"/>
                      <w:vertAlign w:val="baseline"/>
                      <w:lang w:val="en-US" w:eastAsia="zh-CN"/>
                    </w:rPr>
                    <w:t>1.5%</w:t>
                  </w:r>
                </w:p>
              </w:tc>
              <w:tc>
                <w:tcPr>
                  <w:tcW w:w="1686" w:type="dxa"/>
                  <w:vAlign w:val="center"/>
                </w:tcPr>
                <w:p w14:paraId="64DFB595">
                  <w:pPr>
                    <w:widowControl/>
                    <w:snapToGrid w:val="0"/>
                    <w:spacing w:line="440" w:lineRule="exact"/>
                    <w:jc w:val="center"/>
                    <w:rPr>
                      <w:rFonts w:hint="eastAsia" w:ascii="宋体" w:hAnsi="宋体" w:eastAsia="宋体" w:cs="宋体"/>
                      <w:color w:val="auto"/>
                      <w:kern w:val="0"/>
                      <w:szCs w:val="21"/>
                      <w:highlight w:val="none"/>
                      <w:vertAlign w:val="baseline"/>
                      <w:lang w:val="en-US" w:eastAsia="zh-CN"/>
                    </w:rPr>
                  </w:pPr>
                  <w:r>
                    <w:rPr>
                      <w:rFonts w:hint="eastAsia" w:ascii="宋体" w:hAnsi="宋体" w:eastAsia="宋体" w:cs="宋体"/>
                      <w:color w:val="auto"/>
                      <w:kern w:val="0"/>
                      <w:szCs w:val="21"/>
                      <w:highlight w:val="none"/>
                      <w:vertAlign w:val="baseline"/>
                      <w:lang w:val="en-US" w:eastAsia="zh-CN"/>
                    </w:rPr>
                    <w:t>1.5%</w:t>
                  </w:r>
                </w:p>
              </w:tc>
              <w:tc>
                <w:tcPr>
                  <w:tcW w:w="1534" w:type="dxa"/>
                  <w:vAlign w:val="center"/>
                </w:tcPr>
                <w:p w14:paraId="6E9F31B9">
                  <w:pPr>
                    <w:widowControl/>
                    <w:snapToGrid w:val="0"/>
                    <w:spacing w:line="440" w:lineRule="exact"/>
                    <w:jc w:val="center"/>
                    <w:rPr>
                      <w:rFonts w:hint="eastAsia" w:ascii="宋体" w:hAnsi="宋体" w:eastAsia="宋体" w:cs="宋体"/>
                      <w:color w:val="auto"/>
                      <w:kern w:val="0"/>
                      <w:szCs w:val="21"/>
                      <w:highlight w:val="none"/>
                      <w:vertAlign w:val="baseline"/>
                      <w:lang w:val="en-US" w:eastAsia="zh-CN"/>
                    </w:rPr>
                  </w:pPr>
                  <w:r>
                    <w:rPr>
                      <w:rFonts w:hint="eastAsia" w:ascii="宋体" w:hAnsi="宋体" w:eastAsia="宋体" w:cs="宋体"/>
                      <w:color w:val="auto"/>
                      <w:kern w:val="0"/>
                      <w:szCs w:val="21"/>
                      <w:highlight w:val="none"/>
                      <w:vertAlign w:val="baseline"/>
                      <w:lang w:val="en-US" w:eastAsia="zh-CN"/>
                    </w:rPr>
                    <w:t>1.0%</w:t>
                  </w:r>
                </w:p>
              </w:tc>
            </w:tr>
          </w:tbl>
          <w:p w14:paraId="1B44AAE4">
            <w:pPr>
              <w:widowControl/>
              <w:snapToGrid w:val="0"/>
              <w:spacing w:line="440" w:lineRule="exact"/>
              <w:jc w:val="left"/>
              <w:rPr>
                <w:rFonts w:hint="eastAsia" w:ascii="宋体" w:hAnsi="宋体" w:eastAsia="宋体" w:cs="宋体"/>
                <w:color w:val="auto"/>
                <w:kern w:val="0"/>
                <w:szCs w:val="21"/>
                <w:highlight w:val="none"/>
                <w:lang w:val="en-US" w:eastAsia="zh-CN"/>
              </w:rPr>
            </w:pPr>
          </w:p>
        </w:tc>
      </w:tr>
      <w:tr w14:paraId="3EE741B2">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C1B12A3">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9E33BBE">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现场踏勘或标前答疑：本项目不组织现场踏勘或标前答疑会。</w:t>
            </w:r>
          </w:p>
        </w:tc>
      </w:tr>
      <w:tr w14:paraId="143D1BA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9A5FFD2">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2F7215E">
            <w:pPr>
              <w:widowControl/>
              <w:snapToGrid w:val="0"/>
              <w:spacing w:line="440" w:lineRule="exact"/>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文件组成：纸质</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文件正本1份</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副本2份</w:t>
            </w:r>
            <w:r>
              <w:rPr>
                <w:rFonts w:hint="eastAsia" w:ascii="宋体" w:hAnsi="宋体" w:eastAsia="宋体" w:cs="宋体"/>
                <w:color w:val="auto"/>
                <w:highlight w:val="none"/>
              </w:rPr>
              <w:t>。</w:t>
            </w:r>
          </w:p>
        </w:tc>
      </w:tr>
      <w:tr w14:paraId="752FAAC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CD2BA7A">
            <w:pPr>
              <w:widowControl/>
              <w:snapToGrid w:val="0"/>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6A15F0A">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w:t>
            </w:r>
            <w:r>
              <w:rPr>
                <w:rFonts w:hint="eastAsia" w:ascii="宋体" w:hAnsi="宋体" w:eastAsia="宋体" w:cs="宋体"/>
                <w:color w:val="auto"/>
                <w:kern w:val="0"/>
                <w:szCs w:val="21"/>
                <w:highlight w:val="none"/>
                <w:lang w:val="en-US" w:eastAsia="zh-CN"/>
              </w:rPr>
              <w:t>及开标时间</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r>
              <w:rPr>
                <w:rFonts w:hint="eastAsia" w:ascii="宋体" w:hAnsi="宋体" w:cs="宋体"/>
                <w:color w:val="auto"/>
                <w:szCs w:val="21"/>
                <w:highlight w:val="none"/>
                <w:lang w:val="en-US" w:eastAsia="zh-CN"/>
              </w:rPr>
              <w:t>。</w:t>
            </w:r>
          </w:p>
          <w:p w14:paraId="2952A193">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文件递交地点</w:t>
            </w:r>
            <w:r>
              <w:rPr>
                <w:rFonts w:hint="eastAsia" w:ascii="宋体" w:hAnsi="宋体" w:eastAsia="宋体" w:cs="宋体"/>
                <w:color w:val="auto"/>
                <w:kern w:val="0"/>
                <w:szCs w:val="21"/>
                <w:highlight w:val="none"/>
                <w:lang w:val="en-US" w:eastAsia="zh-CN"/>
              </w:rPr>
              <w:t>及开标地点</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r>
              <w:rPr>
                <w:rFonts w:hint="eastAsia" w:ascii="宋体" w:hAnsi="宋体" w:eastAsia="宋体" w:cs="宋体"/>
                <w:color w:val="auto"/>
                <w:kern w:val="0"/>
                <w:szCs w:val="21"/>
                <w:highlight w:val="none"/>
              </w:rPr>
              <w:t>。</w:t>
            </w:r>
          </w:p>
        </w:tc>
      </w:tr>
      <w:tr w14:paraId="5E101D7D">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3FC9EA6">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AB1A796">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w:t>
            </w:r>
            <w:r>
              <w:rPr>
                <w:rFonts w:hint="eastAsia" w:ascii="宋体" w:hAnsi="宋体" w:eastAsia="宋体" w:cs="宋体"/>
                <w:color w:val="auto"/>
                <w:kern w:val="0"/>
                <w:szCs w:val="21"/>
                <w:highlight w:val="none"/>
              </w:rPr>
              <w:t>员：</w:t>
            </w:r>
            <w:r>
              <w:rPr>
                <w:rFonts w:hint="eastAsia" w:ascii="宋体" w:hAnsi="宋体" w:eastAsia="宋体" w:cs="宋体"/>
                <w:color w:val="auto"/>
                <w:szCs w:val="21"/>
                <w:highlight w:val="none"/>
                <w:lang w:val="en-US" w:eastAsia="zh-CN"/>
              </w:rPr>
              <w:t>3</w:t>
            </w:r>
            <w:r>
              <w:rPr>
                <w:rFonts w:hint="eastAsia" w:ascii="宋体" w:hAnsi="宋体" w:eastAsia="宋体" w:cs="宋体"/>
                <w:color w:val="auto"/>
                <w:highlight w:val="none"/>
              </w:rPr>
              <w:t>人</w:t>
            </w:r>
            <w:r>
              <w:rPr>
                <w:rFonts w:hint="eastAsia" w:ascii="宋体" w:hAnsi="宋体" w:eastAsia="宋体" w:cs="宋体"/>
                <w:color w:val="auto"/>
                <w:highlight w:val="none"/>
                <w:lang w:val="en-US" w:eastAsia="zh-CN"/>
              </w:rPr>
              <w:t>及以上单数</w:t>
            </w:r>
            <w:r>
              <w:rPr>
                <w:rFonts w:hint="eastAsia" w:ascii="宋体" w:hAnsi="宋体" w:eastAsia="宋体" w:cs="宋体"/>
                <w:color w:val="auto"/>
                <w:kern w:val="0"/>
                <w:szCs w:val="21"/>
                <w:highlight w:val="none"/>
              </w:rPr>
              <w:t>。</w:t>
            </w:r>
          </w:p>
          <w:p w14:paraId="05D582FC">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专家确定方式：</w:t>
            </w:r>
            <w:r>
              <w:rPr>
                <w:rFonts w:hint="eastAsia" w:ascii="宋体" w:hAnsi="宋体" w:eastAsia="宋体" w:cs="宋体"/>
                <w:color w:val="auto"/>
                <w:kern w:val="0"/>
                <w:szCs w:val="21"/>
                <w:highlight w:val="none"/>
              </w:rPr>
              <w:t>由评审专家、采购人代表</w:t>
            </w:r>
            <w:r>
              <w:rPr>
                <w:rFonts w:hint="eastAsia" w:ascii="宋体" w:hAnsi="宋体" w:eastAsia="宋体" w:cs="宋体"/>
                <w:color w:val="auto"/>
                <w:kern w:val="0"/>
                <w:szCs w:val="21"/>
                <w:highlight w:val="none"/>
                <w:lang w:val="en-US" w:eastAsia="zh-CN"/>
              </w:rPr>
              <w:t>组成</w:t>
            </w:r>
            <w:r>
              <w:rPr>
                <w:rFonts w:hint="eastAsia" w:ascii="宋体" w:hAnsi="宋体" w:cs="宋体"/>
                <w:color w:val="auto"/>
                <w:kern w:val="0"/>
                <w:szCs w:val="21"/>
                <w:highlight w:val="none"/>
                <w:lang w:val="en-US" w:eastAsia="zh-CN"/>
              </w:rPr>
              <w:t>。</w:t>
            </w:r>
          </w:p>
        </w:tc>
      </w:tr>
      <w:tr w14:paraId="0A1264A6">
        <w:tblPrEx>
          <w:tblCellMar>
            <w:top w:w="0" w:type="dxa"/>
            <w:left w:w="0" w:type="dxa"/>
            <w:bottom w:w="0" w:type="dxa"/>
            <w:right w:w="0" w:type="dxa"/>
          </w:tblCellMar>
        </w:tblPrEx>
        <w:trPr>
          <w:trHeight w:val="4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DCE24EC">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57DBE17">
            <w:pPr>
              <w:spacing w:line="240" w:lineRule="auto"/>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评标办法：</w:t>
            </w:r>
            <w:r>
              <w:rPr>
                <w:rFonts w:hint="eastAsia" w:ascii="宋体" w:hAnsi="宋体" w:eastAsia="宋体" w:cs="宋体"/>
                <w:color w:val="auto"/>
                <w:kern w:val="0"/>
                <w:szCs w:val="21"/>
                <w:highlight w:val="none"/>
              </w:rPr>
              <w:t>本项目采用</w:t>
            </w:r>
            <w:r>
              <w:rPr>
                <w:rFonts w:hint="eastAsia" w:ascii="宋体" w:hAnsi="宋体" w:eastAsia="宋体" w:cs="宋体"/>
                <w:color w:val="auto"/>
                <w:szCs w:val="21"/>
                <w:highlight w:val="none"/>
              </w:rPr>
              <w:t>综合评分法</w:t>
            </w:r>
            <w:r>
              <w:rPr>
                <w:rFonts w:hint="eastAsia" w:ascii="宋体" w:hAnsi="宋体" w:eastAsia="宋体" w:cs="宋体"/>
                <w:color w:val="auto"/>
                <w:kern w:val="0"/>
                <w:szCs w:val="21"/>
                <w:highlight w:val="none"/>
              </w:rPr>
              <w:t>。</w:t>
            </w:r>
          </w:p>
        </w:tc>
      </w:tr>
      <w:tr w14:paraId="12DC5000">
        <w:tblPrEx>
          <w:tblCellMar>
            <w:top w:w="0" w:type="dxa"/>
            <w:left w:w="0" w:type="dxa"/>
            <w:bottom w:w="0" w:type="dxa"/>
            <w:right w:w="0" w:type="dxa"/>
          </w:tblCellMar>
        </w:tblPrEx>
        <w:trPr>
          <w:trHeight w:val="46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C16E639">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6305EFB">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公告及</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通知书：由采购人授权磋商小组确定一名</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并推荐</w:t>
            </w:r>
            <w:r>
              <w:rPr>
                <w:rFonts w:hint="eastAsia" w:ascii="宋体" w:hAnsi="宋体" w:eastAsia="宋体" w:cs="宋体"/>
                <w:color w:val="auto"/>
                <w:kern w:val="0"/>
                <w:szCs w:val="21"/>
                <w:highlight w:val="none"/>
                <w:lang w:val="en-US" w:eastAsia="zh-CN"/>
              </w:rPr>
              <w:t>一</w:t>
            </w:r>
            <w:r>
              <w:rPr>
                <w:rFonts w:hint="eastAsia" w:ascii="宋体" w:hAnsi="宋体" w:eastAsia="宋体" w:cs="宋体"/>
                <w:color w:val="auto"/>
                <w:kern w:val="0"/>
                <w:szCs w:val="21"/>
                <w:highlight w:val="none"/>
              </w:rPr>
              <w:t>名</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。评审结束后在《驻马店市中心医院》官网上发布成交公告，公示期结束后向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发出成交通知书。</w:t>
            </w:r>
          </w:p>
        </w:tc>
      </w:tr>
      <w:tr w14:paraId="3BF8FBD5">
        <w:tblPrEx>
          <w:tblCellMar>
            <w:top w:w="0" w:type="dxa"/>
            <w:left w:w="0" w:type="dxa"/>
            <w:bottom w:w="0" w:type="dxa"/>
            <w:right w:w="0" w:type="dxa"/>
          </w:tblCellMar>
        </w:tblPrEx>
        <w:trPr>
          <w:trHeight w:val="535"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3462E95">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A36C95F">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签订合同：自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w:t>
            </w:r>
            <w:r>
              <w:rPr>
                <w:rFonts w:hint="eastAsia" w:ascii="宋体" w:hAnsi="宋体" w:eastAsia="宋体" w:cs="宋体"/>
                <w:color w:val="auto"/>
                <w:kern w:val="0"/>
                <w:szCs w:val="21"/>
                <w:highlight w:val="none"/>
                <w:lang w:val="en-US" w:eastAsia="zh-CN"/>
              </w:rPr>
              <w:t>30日</w:t>
            </w:r>
            <w:r>
              <w:rPr>
                <w:rFonts w:hint="eastAsia" w:ascii="宋体" w:hAnsi="宋体" w:eastAsia="宋体" w:cs="宋体"/>
                <w:color w:val="auto"/>
                <w:kern w:val="0"/>
                <w:szCs w:val="21"/>
                <w:highlight w:val="none"/>
              </w:rPr>
              <w:t>内。</w:t>
            </w:r>
          </w:p>
        </w:tc>
      </w:tr>
      <w:tr w14:paraId="7394CB78">
        <w:tblPrEx>
          <w:tblCellMar>
            <w:top w:w="0" w:type="dxa"/>
            <w:left w:w="0" w:type="dxa"/>
            <w:bottom w:w="0" w:type="dxa"/>
            <w:right w:w="0" w:type="dxa"/>
          </w:tblCellMar>
        </w:tblPrEx>
        <w:trPr>
          <w:trHeight w:val="55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3C34022">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F40002">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采购资金来源：</w:t>
            </w:r>
            <w:r>
              <w:rPr>
                <w:rFonts w:hint="eastAsia" w:ascii="宋体" w:hAnsi="宋体" w:eastAsia="宋体" w:cs="宋体"/>
                <w:color w:val="auto"/>
                <w:kern w:val="0"/>
                <w:szCs w:val="21"/>
                <w:highlight w:val="none"/>
                <w:lang w:val="en-US" w:eastAsia="zh-CN"/>
              </w:rPr>
              <w:t>自筹资金</w:t>
            </w:r>
            <w:r>
              <w:rPr>
                <w:rFonts w:hint="eastAsia" w:ascii="宋体" w:hAnsi="宋体" w:eastAsia="宋体" w:cs="宋体"/>
                <w:color w:val="auto"/>
                <w:kern w:val="0"/>
                <w:szCs w:val="21"/>
                <w:highlight w:val="none"/>
              </w:rPr>
              <w:t>。</w:t>
            </w:r>
          </w:p>
        </w:tc>
      </w:tr>
      <w:tr w14:paraId="193D7C4F">
        <w:tblPrEx>
          <w:tblCellMar>
            <w:top w:w="0" w:type="dxa"/>
            <w:left w:w="0" w:type="dxa"/>
            <w:bottom w:w="0" w:type="dxa"/>
            <w:right w:w="0" w:type="dxa"/>
          </w:tblCellMar>
        </w:tblPrEx>
        <w:trPr>
          <w:trHeight w:val="5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E928E72">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FAB95A3">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付款方式：详见第二章</w:t>
            </w:r>
            <w:r>
              <w:rPr>
                <w:rFonts w:hint="eastAsia" w:ascii="宋体" w:hAnsi="宋体" w:eastAsia="宋体" w:cs="宋体"/>
                <w:color w:val="auto"/>
                <w:kern w:val="0"/>
                <w:szCs w:val="21"/>
                <w:highlight w:val="none"/>
                <w:lang w:val="en-US" w:eastAsia="zh-CN"/>
              </w:rPr>
              <w:t>采购需求</w:t>
            </w:r>
            <w:r>
              <w:rPr>
                <w:rFonts w:hint="eastAsia" w:ascii="宋体" w:hAnsi="宋体" w:cs="宋体"/>
                <w:color w:val="auto"/>
                <w:kern w:val="0"/>
                <w:szCs w:val="21"/>
                <w:highlight w:val="none"/>
                <w:lang w:val="en-US" w:eastAsia="zh-CN"/>
              </w:rPr>
              <w:t>四</w:t>
            </w:r>
            <w:r>
              <w:rPr>
                <w:rFonts w:hint="eastAsia" w:ascii="宋体" w:hAnsi="宋体" w:eastAsia="宋体" w:cs="宋体"/>
                <w:color w:val="auto"/>
                <w:kern w:val="0"/>
                <w:szCs w:val="21"/>
                <w:highlight w:val="none"/>
                <w:lang w:val="en-US" w:eastAsia="zh-CN"/>
              </w:rPr>
              <w:t>、商务要求</w:t>
            </w:r>
            <w:r>
              <w:rPr>
                <w:rFonts w:hint="eastAsia" w:ascii="宋体" w:hAnsi="宋体" w:eastAsia="宋体" w:cs="宋体"/>
                <w:color w:val="auto"/>
                <w:kern w:val="0"/>
                <w:szCs w:val="21"/>
                <w:highlight w:val="none"/>
              </w:rPr>
              <w:t>。</w:t>
            </w:r>
          </w:p>
        </w:tc>
      </w:tr>
      <w:tr w14:paraId="469CA73C">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4D23B4C">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F0B1EE1">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Cs w:val="21"/>
                <w:highlight w:val="none"/>
                <w:lang w:val="en-US" w:eastAsia="zh-CN"/>
              </w:rPr>
              <w:t>响应文件递交</w:t>
            </w:r>
            <w:r>
              <w:rPr>
                <w:rFonts w:hint="eastAsia" w:ascii="宋体" w:hAnsi="宋体" w:eastAsia="宋体" w:cs="宋体"/>
                <w:color w:val="auto"/>
                <w:kern w:val="0"/>
                <w:szCs w:val="21"/>
                <w:highlight w:val="none"/>
              </w:rPr>
              <w:t>截止期结束后</w:t>
            </w:r>
            <w:r>
              <w:rPr>
                <w:rFonts w:hint="eastAsia" w:ascii="宋体" w:hAnsi="宋体" w:eastAsia="宋体" w:cs="宋体"/>
                <w:color w:val="auto"/>
                <w:kern w:val="0"/>
                <w:szCs w:val="21"/>
                <w:highlight w:val="none"/>
                <w:lang w:val="en-US" w:eastAsia="zh-CN"/>
              </w:rPr>
              <w:t>60</w:t>
            </w:r>
            <w:r>
              <w:rPr>
                <w:rFonts w:hint="eastAsia" w:ascii="宋体" w:hAnsi="宋体" w:eastAsia="宋体" w:cs="宋体"/>
                <w:color w:val="auto"/>
                <w:kern w:val="0"/>
                <w:szCs w:val="21"/>
                <w:highlight w:val="none"/>
              </w:rPr>
              <w:t>日。</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文件是合同的组成部分,有效期至合同完全履行止。 </w:t>
            </w:r>
          </w:p>
        </w:tc>
      </w:tr>
      <w:tr w14:paraId="7BAD5911">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DDFDC3E">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CF5E78">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磋商开始后,采购人或采购代理机构将通过信用中国网站（www.creditchina.gov.cn）、中国政府采购网网站（www.ccgp.gov.cn）查询供应商是否被列入失信被执行人、重大税收违法失信主体、政府采购严重违法失信行为记录名单，并将查询结果存档。查询之后，网站信息发生的任何变化不再作为评审依据；供应商自行提供的与网站信息不一致的其他证明材料不作为评审依据。</w:t>
            </w:r>
          </w:p>
        </w:tc>
      </w:tr>
      <w:tr w14:paraId="559C11DA">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FE1F339">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AAB57BF">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en-US" w:eastAsia="zh-CN"/>
              </w:rPr>
              <w:t>商品包装和快递包装应符合《商品包装政府采购需求标准（试行）》和《快递包装政府采购需求标准（试行）》规定，并提供相关的检测报告</w:t>
            </w:r>
            <w:r>
              <w:rPr>
                <w:rFonts w:hint="eastAsia" w:ascii="宋体" w:hAnsi="宋体" w:eastAsia="宋体" w:cs="宋体"/>
                <w:color w:val="auto"/>
                <w:szCs w:val="21"/>
                <w:highlight w:val="none"/>
              </w:rPr>
              <w:t>。</w:t>
            </w:r>
          </w:p>
        </w:tc>
      </w:tr>
      <w:tr w14:paraId="73ADF773">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BE073D7">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DC2F5E6">
            <w:pPr>
              <w:spacing w:line="360" w:lineRule="auto"/>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质疑和投诉：供应商认为</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bCs/>
                <w:color w:val="auto"/>
                <w:kern w:val="0"/>
                <w:szCs w:val="21"/>
                <w:highlight w:val="none"/>
                <w:lang w:eastAsia="zh-CN"/>
              </w:rPr>
              <w:t>。</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tc>
      </w:tr>
      <w:tr w14:paraId="71A0F8B1">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2C15D76">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8B02A47">
            <w:pPr>
              <w:widowControl/>
              <w:spacing w:line="360" w:lineRule="auto"/>
              <w:jc w:val="left"/>
              <w:textAlignment w:val="bottom"/>
              <w:rPr>
                <w:rFonts w:hint="eastAsia" w:ascii="宋体" w:hAnsi="宋体" w:eastAsia="宋体" w:cs="宋体"/>
                <w:color w:val="auto"/>
                <w:highlight w:val="none"/>
              </w:rPr>
            </w:pPr>
            <w:r>
              <w:rPr>
                <w:rFonts w:hint="eastAsia" w:ascii="宋体" w:hAnsi="宋体" w:eastAsia="宋体" w:cs="宋体"/>
                <w:color w:val="auto"/>
                <w:highlight w:val="none"/>
              </w:rPr>
              <w:t>解释：1、构成本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文件的各个组成文件应互为解释，互为说明；如有不明确或不一致，构成合同文件组成内容的，以合同文件约定内容为准；除</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文件中有特殊规定外，仅适用于招标投标阶段的规定，按</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公告、供应商须知、评标办法、</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文件格式的先后顺序解释；同一组成文件中就同一事项的规定或约定不一致的，以编排顺序在后者为准；当</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文件与</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文件的澄清、修改或补充通知就同一内容的表述不一致时，以最后发出的书面文件为准。合同文件约定或后者明显错误的除外。</w:t>
            </w:r>
          </w:p>
          <w:p w14:paraId="7E99CCE5">
            <w:pPr>
              <w:widowControl/>
              <w:spacing w:line="360" w:lineRule="auto"/>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highlight w:val="none"/>
              </w:rPr>
              <w:t>2、本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文件解释权归采购人。</w:t>
            </w:r>
          </w:p>
        </w:tc>
      </w:tr>
    </w:tbl>
    <w:p w14:paraId="6735C477">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sectPr>
          <w:pgSz w:w="11906" w:h="16838"/>
          <w:pgMar w:top="1417" w:right="1474" w:bottom="1417" w:left="1474" w:header="851" w:footer="624" w:gutter="0"/>
          <w:pgNumType w:fmt="decimal"/>
          <w:cols w:space="720" w:num="1"/>
          <w:docGrid w:type="lines" w:linePitch="319" w:charSpace="0"/>
        </w:sectPr>
      </w:pPr>
      <w:bookmarkStart w:id="72" w:name="_Toc4700"/>
      <w:bookmarkStart w:id="73" w:name="_Toc16669"/>
    </w:p>
    <w:p w14:paraId="1DF831AE">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color w:val="auto"/>
          <w:kern w:val="0"/>
          <w:sz w:val="24"/>
          <w:highlight w:val="none"/>
        </w:rPr>
      </w:pPr>
      <w:r>
        <w:rPr>
          <w:rFonts w:hint="eastAsia" w:ascii="宋体" w:hAnsi="宋体" w:eastAsia="宋体" w:cs="宋体"/>
          <w:b/>
          <w:bCs/>
          <w:color w:val="auto"/>
          <w:kern w:val="0"/>
          <w:sz w:val="28"/>
          <w:szCs w:val="28"/>
          <w:highlight w:val="none"/>
        </w:rPr>
        <w:t>一 、说 明</w:t>
      </w:r>
    </w:p>
    <w:p w14:paraId="63351082">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1.适用范围</w:t>
      </w:r>
    </w:p>
    <w:p w14:paraId="7C54D00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文件仅适用于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公告中所叙述项目的</w:t>
      </w:r>
      <w:r>
        <w:rPr>
          <w:rFonts w:hint="eastAsia" w:ascii="宋体" w:hAnsi="宋体" w:eastAsia="宋体" w:cs="宋体"/>
          <w:color w:val="auto"/>
          <w:kern w:val="0"/>
          <w:szCs w:val="21"/>
          <w:highlight w:val="none"/>
          <w:lang w:eastAsia="zh-CN"/>
        </w:rPr>
        <w:t>货物</w:t>
      </w:r>
      <w:r>
        <w:rPr>
          <w:rFonts w:hint="eastAsia" w:ascii="宋体" w:hAnsi="宋体" w:eastAsia="宋体" w:cs="宋体"/>
          <w:color w:val="auto"/>
          <w:kern w:val="0"/>
          <w:szCs w:val="21"/>
          <w:highlight w:val="none"/>
        </w:rPr>
        <w:t>采购。</w:t>
      </w:r>
    </w:p>
    <w:p w14:paraId="4427324A">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2.定义</w:t>
      </w:r>
    </w:p>
    <w:p w14:paraId="6F00ED5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 “采购人”系指各级国家机关、事业单位、团体组织。</w:t>
      </w:r>
    </w:p>
    <w:p w14:paraId="4EB832A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”系指</w:t>
      </w:r>
      <w:r>
        <w:rPr>
          <w:rFonts w:hint="eastAsia" w:ascii="宋体" w:hAnsi="宋体" w:eastAsia="宋体" w:cs="宋体"/>
          <w:color w:val="auto"/>
          <w:kern w:val="0"/>
          <w:szCs w:val="21"/>
          <w:highlight w:val="none"/>
          <w:lang w:val="en-US" w:eastAsia="zh-CN"/>
        </w:rPr>
        <w:t>领取</w:t>
      </w:r>
      <w:r>
        <w:rPr>
          <w:rFonts w:hint="eastAsia" w:ascii="宋体" w:hAnsi="宋体" w:eastAsia="宋体" w:cs="宋体"/>
          <w:color w:val="auto"/>
          <w:kern w:val="0"/>
          <w:szCs w:val="21"/>
          <w:highlight w:val="none"/>
        </w:rPr>
        <w:t>了本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文件，且已经提交本次</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w:t>
      </w:r>
    </w:p>
    <w:p w14:paraId="77F757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代表”系指代表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参加本次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的法定代表人或其委托代理人。</w:t>
      </w:r>
    </w:p>
    <w:p w14:paraId="784FE4B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2.4 “货物”系指供应商按采购文件规定向采购人提供的一切设备、机械、仪器仪表、备品备件、工具、手册及其它有关技术资料和材料。</w:t>
      </w:r>
    </w:p>
    <w:p w14:paraId="7E5046D4">
      <w:pPr>
        <w:keepNext w:val="0"/>
        <w:keepLines w:val="0"/>
        <w:pageBreakBefore w:val="0"/>
        <w:widowControl w:val="0"/>
        <w:kinsoku/>
        <w:wordWrap/>
        <w:overflowPunct/>
        <w:topLinePunct w:val="0"/>
        <w:autoSpaceDE/>
        <w:autoSpaceDN/>
        <w:bidi w:val="0"/>
        <w:adjustRightInd/>
        <w:snapToGrid w:val="0"/>
        <w:spacing w:line="400" w:lineRule="exact"/>
        <w:ind w:firstLine="420"/>
        <w:jc w:val="left"/>
        <w:textAlignment w:val="auto"/>
        <w:rPr>
          <w:rFonts w:hint="eastAsia" w:ascii="宋体" w:hAnsi="宋体" w:eastAsia="宋体" w:cs="宋体"/>
          <w:b/>
          <w:bCs/>
          <w:color w:val="auto"/>
          <w:kern w:val="0"/>
          <w:szCs w:val="21"/>
          <w:highlight w:val="none"/>
          <w:lang w:val="en-US" w:eastAsia="zh-CN"/>
        </w:rPr>
      </w:pPr>
      <w:r>
        <w:rPr>
          <w:rFonts w:hint="eastAsia" w:ascii="宋体" w:hAnsi="宋体" w:eastAsia="宋体" w:cs="宋体"/>
          <w:b/>
          <w:bCs/>
          <w:color w:val="auto"/>
          <w:kern w:val="0"/>
          <w:szCs w:val="21"/>
          <w:highlight w:val="none"/>
          <w:lang w:val="en-US" w:eastAsia="zh-CN"/>
        </w:rPr>
        <w:t>3.预算金额：33万元（据实结算）；其中：</w:t>
      </w:r>
    </w:p>
    <w:p w14:paraId="69A4BFE3">
      <w:pPr>
        <w:keepNext w:val="0"/>
        <w:keepLines w:val="0"/>
        <w:pageBreakBefore w:val="0"/>
        <w:widowControl w:val="0"/>
        <w:kinsoku/>
        <w:wordWrap/>
        <w:overflowPunct/>
        <w:topLinePunct w:val="0"/>
        <w:autoSpaceDE/>
        <w:autoSpaceDN/>
        <w:bidi w:val="0"/>
        <w:adjustRightInd/>
        <w:snapToGrid w:val="0"/>
        <w:spacing w:line="400" w:lineRule="exact"/>
        <w:ind w:firstLine="420"/>
        <w:jc w:val="left"/>
        <w:textAlignment w:val="auto"/>
        <w:rPr>
          <w:rFonts w:hint="eastAsia" w:ascii="宋体" w:hAnsi="宋体" w:eastAsia="宋体" w:cs="宋体"/>
          <w:b w:val="0"/>
          <w:bCs w:val="0"/>
          <w:color w:val="auto"/>
          <w:kern w:val="0"/>
          <w:szCs w:val="21"/>
          <w:highlight w:val="none"/>
          <w:lang w:val="en-US" w:eastAsia="zh-CN"/>
        </w:rPr>
      </w:pPr>
      <w:r>
        <w:rPr>
          <w:rFonts w:hint="eastAsia" w:ascii="宋体" w:hAnsi="宋体" w:eastAsia="宋体" w:cs="宋体"/>
          <w:b w:val="0"/>
          <w:bCs w:val="0"/>
          <w:color w:val="auto"/>
          <w:kern w:val="0"/>
          <w:szCs w:val="21"/>
          <w:highlight w:val="none"/>
          <w:lang w:val="en-US" w:eastAsia="zh-CN"/>
        </w:rPr>
        <w:t>包1：预算金额：20万元；最高限价：3800元/台。</w:t>
      </w:r>
    </w:p>
    <w:p w14:paraId="6A25B464">
      <w:pPr>
        <w:keepNext w:val="0"/>
        <w:keepLines w:val="0"/>
        <w:pageBreakBefore w:val="0"/>
        <w:widowControl w:val="0"/>
        <w:kinsoku/>
        <w:wordWrap/>
        <w:overflowPunct/>
        <w:topLinePunct w:val="0"/>
        <w:autoSpaceDE/>
        <w:autoSpaceDN/>
        <w:bidi w:val="0"/>
        <w:adjustRightInd/>
        <w:snapToGrid w:val="0"/>
        <w:spacing w:line="400" w:lineRule="exact"/>
        <w:ind w:firstLine="420"/>
        <w:jc w:val="left"/>
        <w:textAlignment w:val="auto"/>
        <w:rPr>
          <w:rFonts w:hint="eastAsia" w:ascii="宋体" w:hAnsi="宋体" w:eastAsia="宋体" w:cs="宋体"/>
          <w:b w:val="0"/>
          <w:bCs w:val="0"/>
          <w:color w:val="auto"/>
          <w:kern w:val="0"/>
          <w:szCs w:val="21"/>
          <w:highlight w:val="none"/>
          <w:lang w:val="en-US" w:eastAsia="zh-CN"/>
        </w:rPr>
      </w:pPr>
      <w:r>
        <w:rPr>
          <w:rFonts w:hint="eastAsia" w:ascii="宋体" w:hAnsi="宋体" w:eastAsia="宋体" w:cs="宋体"/>
          <w:b w:val="0"/>
          <w:bCs w:val="0"/>
          <w:color w:val="auto"/>
          <w:kern w:val="0"/>
          <w:szCs w:val="21"/>
          <w:highlight w:val="none"/>
          <w:lang w:val="en-US" w:eastAsia="zh-CN"/>
        </w:rPr>
        <w:t>包2：预算金额：13万元；最高限价：3500元/台。</w:t>
      </w:r>
    </w:p>
    <w:p w14:paraId="1BC87C67">
      <w:pPr>
        <w:keepNext w:val="0"/>
        <w:keepLines w:val="0"/>
        <w:pageBreakBefore w:val="0"/>
        <w:widowControl w:val="0"/>
        <w:kinsoku/>
        <w:wordWrap/>
        <w:overflowPunct/>
        <w:topLinePunct w:val="0"/>
        <w:autoSpaceDE/>
        <w:autoSpaceDN/>
        <w:bidi w:val="0"/>
        <w:adjustRightInd/>
        <w:snapToGrid w:val="0"/>
        <w:spacing w:line="400" w:lineRule="exact"/>
        <w:ind w:firstLine="420"/>
        <w:jc w:val="left"/>
        <w:textAlignment w:val="auto"/>
        <w:rPr>
          <w:rFonts w:hint="eastAsia" w:ascii="宋体" w:hAnsi="宋体" w:eastAsia="宋体" w:cs="宋体"/>
          <w:color w:val="auto"/>
          <w:szCs w:val="21"/>
          <w:highlight w:val="none"/>
        </w:rPr>
      </w:pPr>
      <w:r>
        <w:rPr>
          <w:rFonts w:hint="eastAsia" w:ascii="宋体" w:hAnsi="宋体" w:eastAsia="宋体" w:cs="宋体"/>
          <w:b/>
          <w:bCs/>
          <w:color w:val="auto"/>
          <w:kern w:val="0"/>
          <w:szCs w:val="21"/>
          <w:highlight w:val="none"/>
        </w:rPr>
        <w:t>4.</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应提交的证明文件</w:t>
      </w:r>
    </w:p>
    <w:p w14:paraId="0D4D56EB">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4.1、具有独立承担民事责任的能力（提供营业执照或其他证明材料）；</w:t>
      </w:r>
    </w:p>
    <w:p w14:paraId="4A45E94A">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4.2、具有良好的商业信誉和健全的财务会计制度（提供经审计的2024年度财务报告或者其基本开户银行出具的资信证明）；</w:t>
      </w:r>
    </w:p>
    <w:p w14:paraId="6C33BA0C">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4.3、具有依法缴纳税收和社会保障资金的良好记录（提供采购活动近六个月任意一个月的依法缴纳税收和缴纳社保的证明；依法免税或不需要缴纳社会保障资金的，应提供相应文件证明其依法免税或不需要缴纳社会保障资金）。</w:t>
      </w:r>
    </w:p>
    <w:p w14:paraId="6CF3F1E5">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4.4、具有履行合同所必需的设备和专业技术能力（提供书面承诺函）；</w:t>
      </w:r>
    </w:p>
    <w:p w14:paraId="73C434C7">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highlight w:val="none"/>
          <w:lang w:val="en-US" w:eastAsia="zh-CN"/>
        </w:rPr>
      </w:pPr>
      <w:r>
        <w:rPr>
          <w:rFonts w:hint="eastAsia" w:ascii="宋体" w:hAnsi="宋体" w:eastAsia="宋体" w:cs="宋体"/>
          <w:color w:val="auto"/>
          <w:szCs w:val="21"/>
          <w:highlight w:val="none"/>
          <w:shd w:val="clear" w:color="auto" w:fill="FFFFFF"/>
          <w:lang w:val="en-US" w:eastAsia="zh-CN"/>
        </w:rPr>
        <w:t>4.5、参加本采购活动前三年内，在经营活动中没有重大违法记录（提供书面承诺函）；</w:t>
      </w:r>
    </w:p>
    <w:p w14:paraId="7858BEE4">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4.6、根据《关于在政府采购活动中查询及使用信用记录有关问题的通知》（财库【2016】125号）的规定，对列入失信被执行人、重大税收违法失信主体、政府采购严重违法失信行为记录名单的供应商，拒绝参与本项目政府采购活动（提供在“信用中国”、“中国政府采购网”等网站查询的相关材料并加盖公章，供应商提供的仅做为信用参考，以采购人或采购代理机构查询结果为准）；</w:t>
      </w:r>
    </w:p>
    <w:p w14:paraId="7C584BE8">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4.7、单位负责人为同一人或者存在直接控股、管理关系的不同供应商，不得参加同一合同项下的磋商（</w:t>
      </w:r>
      <w:r>
        <w:rPr>
          <w:rFonts w:hint="eastAsia" w:ascii="宋体" w:hAnsi="宋体" w:eastAsia="宋体" w:cs="宋体"/>
          <w:color w:val="auto"/>
          <w:kern w:val="0"/>
          <w:szCs w:val="21"/>
          <w:highlight w:val="none"/>
          <w:lang w:val="en-US" w:eastAsia="zh-CN"/>
        </w:rPr>
        <w:t>提供在“国家企业信用信息公示系统”中查询的相关材料并加盖公章（需包含公司基本信息、股东信息及股权变更信息）或提供承诺函</w:t>
      </w:r>
      <w:r>
        <w:rPr>
          <w:rFonts w:hint="eastAsia" w:ascii="宋体" w:hAnsi="宋体" w:eastAsia="宋体" w:cs="宋体"/>
          <w:color w:val="auto"/>
          <w:szCs w:val="21"/>
          <w:highlight w:val="none"/>
          <w:shd w:val="clear" w:color="auto" w:fill="FFFFFF"/>
          <w:lang w:val="en-US" w:eastAsia="zh-CN"/>
        </w:rPr>
        <w:t>）。一经发现，将导致投标同时被拒绝；</w:t>
      </w:r>
    </w:p>
    <w:p w14:paraId="1F9487D0">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4.8、本项目特定资格要求：</w:t>
      </w:r>
    </w:p>
    <w:p w14:paraId="0B5CFA2B">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供应商为代理商（经销商）时，须具有医疗器械经营许可证或医疗器械经营备案凭证（从事第一类医疗器械经营活动的除外）；供应商为境内生产企业时，须具有医疗器械生产许可证（从事第一类医疗器械生产的须具有备案凭证）。(医疗器械注册人、备案人经营其注册备案的医疗器械，无需办理医疗器械经营许可或者备案，应当符合《医疗器械监督管理条例》规定的经营条件（提供相关证明材料）。</w:t>
      </w:r>
    </w:p>
    <w:p w14:paraId="13292A9E">
      <w:pPr>
        <w:keepNext w:val="0"/>
        <w:keepLines w:val="0"/>
        <w:pageBreakBefore w:val="0"/>
        <w:widowControl w:val="0"/>
        <w:kinsoku/>
        <w:wordWrap/>
        <w:overflowPunct/>
        <w:topLinePunct w:val="0"/>
        <w:autoSpaceDE/>
        <w:autoSpaceDN/>
        <w:bidi w:val="0"/>
        <w:adjustRightInd/>
        <w:snapToGrid w:val="0"/>
        <w:spacing w:line="400" w:lineRule="exact"/>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5.投标费用</w:t>
      </w:r>
    </w:p>
    <w:p w14:paraId="209E8546">
      <w:pPr>
        <w:keepNext w:val="0"/>
        <w:keepLines w:val="0"/>
        <w:pageBreakBefore w:val="0"/>
        <w:widowControl w:val="0"/>
        <w:kinsoku/>
        <w:wordWrap/>
        <w:overflowPunct/>
        <w:topLinePunct w:val="0"/>
        <w:autoSpaceDE/>
        <w:autoSpaceDN/>
        <w:bidi w:val="0"/>
        <w:adjustRightInd/>
        <w:snapToGrid w:val="0"/>
        <w:spacing w:line="400" w:lineRule="exact"/>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不论投标结果如何，</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均应自行承担所有与投标有关的全部费用。</w:t>
      </w:r>
    </w:p>
    <w:p w14:paraId="46EC2A9D">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6.联合体投标：本项目不接受联合体投标。</w:t>
      </w:r>
    </w:p>
    <w:p w14:paraId="4B7BBEAF">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7.关联企业投标</w:t>
      </w:r>
    </w:p>
    <w:p w14:paraId="511BE38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7.1 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文件所称关联企业,是指存在关联关系的企业。“关联关系”的界定适用《中华人民共和国公司法》第二百一十六条、《中华人民共和国政府采购法实施条例》第十八条之规定。</w:t>
      </w:r>
    </w:p>
    <w:p w14:paraId="43287587">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w:t>
      </w:r>
      <w:r>
        <w:rPr>
          <w:rFonts w:hint="eastAsia" w:ascii="宋体" w:hAnsi="宋体" w:eastAsia="宋体" w:cs="宋体"/>
          <w:color w:val="auto"/>
          <w:kern w:val="0"/>
          <w:szCs w:val="21"/>
          <w:highlight w:val="none"/>
          <w:lang w:eastAsia="zh-CN"/>
        </w:rPr>
        <w:t>。</w:t>
      </w:r>
    </w:p>
    <w:p w14:paraId="2980A7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7.3 为采购项目提供整体设计、规范编制或者项目管理、监理、检测等服务的供应商，不得再参加该采购项目的投标活动。</w:t>
      </w:r>
    </w:p>
    <w:p w14:paraId="2CC2F98E">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8.转包与分包</w:t>
      </w:r>
    </w:p>
    <w:p w14:paraId="1B379BF6">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8.1本项目不允许采取转包方式履行合同。</w:t>
      </w:r>
    </w:p>
    <w:p w14:paraId="2FB26A5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8.2本项目不允许采取分包方式履行合同。</w:t>
      </w:r>
    </w:p>
    <w:p w14:paraId="136411C3">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9.特别说明：</w:t>
      </w:r>
    </w:p>
    <w:p w14:paraId="71C9CA3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9.1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投标所使用的资格、信誉、荣誉、业绩与企业认证必须为本法人所拥有。  </w:t>
      </w:r>
    </w:p>
    <w:p w14:paraId="55FFFC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代表只能接受一个</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的委托参加投标。</w:t>
      </w:r>
    </w:p>
    <w:p w14:paraId="6AC317FA">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9.3</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《政府采购法》第二十二条第五款“参加政府采购活动前三年内，在经营活动中没有重大违法记录”，“重大违法记录”包括</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或者其法定代表人、董事、监事、高级管理人员因经营活动中的违法行为受到行政处罚，但警告和罚款额在人民币3万元以下的行政处罚除外；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或其法定代表人、董事、监事、高级管理人员因经营活动中的违法行为受到刑事处罚。</w:t>
      </w:r>
    </w:p>
    <w:p w14:paraId="2827C54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9.4</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在投标活动中提供虚假材料或从事其他违法活动的,其投标无效，由相关部门查处。</w:t>
      </w:r>
    </w:p>
    <w:p w14:paraId="48BACE8D">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10.质疑和投诉</w:t>
      </w:r>
    </w:p>
    <w:p w14:paraId="0C544B71">
      <w:pPr>
        <w:keepNext w:val="0"/>
        <w:keepLines w:val="0"/>
        <w:pageBreakBefore w:val="0"/>
        <w:widowControl w:val="0"/>
        <w:kinsoku/>
        <w:wordWrap/>
        <w:overflowPunct/>
        <w:topLinePunct w:val="0"/>
        <w:bidi w:val="0"/>
        <w:snapToGrid w:val="0"/>
        <w:spacing w:line="360" w:lineRule="auto"/>
        <w:ind w:firstLine="411" w:firstLineChars="196"/>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10.1</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供应商认为</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eastAsia="宋体" w:cs="宋体"/>
          <w:bCs/>
          <w:color w:val="auto"/>
          <w:kern w:val="0"/>
          <w:szCs w:val="21"/>
          <w:highlight w:val="none"/>
          <w:lang w:eastAsia="zh-CN"/>
        </w:rPr>
        <w:t>成交</w:t>
      </w:r>
      <w:r>
        <w:rPr>
          <w:rFonts w:hint="eastAsia" w:ascii="宋体" w:hAnsi="宋体" w:eastAsia="宋体" w:cs="宋体"/>
          <w:bCs/>
          <w:color w:val="auto"/>
          <w:kern w:val="0"/>
          <w:szCs w:val="21"/>
          <w:highlight w:val="none"/>
        </w:rPr>
        <w:t>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p w14:paraId="3B893C68">
      <w:pPr>
        <w:keepNext w:val="0"/>
        <w:keepLines w:val="0"/>
        <w:pageBreakBefore w:val="0"/>
        <w:widowControl w:val="0"/>
        <w:shd w:val="clear" w:color="auto" w:fill="FFFFFF"/>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质疑、投诉应当采用书面形式，质疑书、投诉书均应明确阐述</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eastAsia="宋体" w:cs="宋体"/>
          <w:bCs/>
          <w:color w:val="auto"/>
          <w:kern w:val="0"/>
          <w:szCs w:val="21"/>
          <w:highlight w:val="none"/>
          <w:lang w:eastAsia="zh-CN"/>
        </w:rPr>
        <w:t>成交</w:t>
      </w:r>
      <w:r>
        <w:rPr>
          <w:rFonts w:hint="eastAsia" w:ascii="宋体" w:hAnsi="宋体" w:eastAsia="宋体" w:cs="宋体"/>
          <w:bCs/>
          <w:color w:val="auto"/>
          <w:kern w:val="0"/>
          <w:szCs w:val="21"/>
          <w:highlight w:val="none"/>
        </w:rPr>
        <w:t>结果中使自己合法权益受到损害的实质性内容，提供相关事实、依据和证据及其来源或线索，便于有关单位调查、答复和处理。</w:t>
      </w:r>
    </w:p>
    <w:p w14:paraId="5B8EABB8">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11.</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的风险</w:t>
      </w:r>
    </w:p>
    <w:p w14:paraId="1034A8CB">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文件要求提供全部资料，或者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文件在各方面都作出实质性响应是</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的风险，并可能导致其投标被拒绝。</w:t>
      </w:r>
    </w:p>
    <w:p w14:paraId="6670C581">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二、</w:t>
      </w:r>
      <w:r>
        <w:rPr>
          <w:rFonts w:hint="eastAsia" w:ascii="宋体" w:hAnsi="宋体" w:eastAsia="宋体" w:cs="宋体"/>
          <w:b/>
          <w:bCs/>
          <w:color w:val="auto"/>
          <w:kern w:val="0"/>
          <w:sz w:val="28"/>
          <w:szCs w:val="28"/>
          <w:highlight w:val="none"/>
          <w:lang w:val="en-US" w:eastAsia="zh-CN"/>
        </w:rPr>
        <w:t>采购</w:t>
      </w:r>
      <w:r>
        <w:rPr>
          <w:rFonts w:hint="eastAsia" w:ascii="宋体" w:hAnsi="宋体" w:eastAsia="宋体" w:cs="宋体"/>
          <w:b/>
          <w:bCs/>
          <w:color w:val="auto"/>
          <w:kern w:val="0"/>
          <w:sz w:val="28"/>
          <w:szCs w:val="28"/>
          <w:highlight w:val="none"/>
        </w:rPr>
        <w:t>文件</w:t>
      </w:r>
    </w:p>
    <w:p w14:paraId="141B3217">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12.</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文件的构成。本</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文件由以下部分组成：</w:t>
      </w:r>
    </w:p>
    <w:p w14:paraId="53295F2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12.1 </w:t>
      </w:r>
      <w:r>
        <w:rPr>
          <w:rFonts w:hint="eastAsia" w:ascii="宋体" w:hAnsi="宋体" w:eastAsia="宋体" w:cs="宋体"/>
          <w:color w:val="auto"/>
          <w:kern w:val="0"/>
          <w:szCs w:val="21"/>
          <w:highlight w:val="none"/>
          <w:lang w:val="en-US" w:eastAsia="zh-CN"/>
        </w:rPr>
        <w:t>竞争性磋商</w:t>
      </w:r>
      <w:r>
        <w:rPr>
          <w:rFonts w:hint="eastAsia" w:ascii="宋体" w:hAnsi="宋体" w:eastAsia="宋体" w:cs="宋体"/>
          <w:color w:val="auto"/>
          <w:kern w:val="0"/>
          <w:szCs w:val="21"/>
          <w:highlight w:val="none"/>
        </w:rPr>
        <w:t>公告</w:t>
      </w:r>
    </w:p>
    <w:p w14:paraId="4CCDB6F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需求</w:t>
      </w:r>
    </w:p>
    <w:p w14:paraId="3864CDD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w:t>
      </w:r>
    </w:p>
    <w:p w14:paraId="04E3F94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12.4 评标办法</w:t>
      </w:r>
    </w:p>
    <w:p w14:paraId="17F6216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12.5 合同主要条款</w:t>
      </w:r>
    </w:p>
    <w:p w14:paraId="104D084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12.6 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w:t>
      </w:r>
    </w:p>
    <w:p w14:paraId="073B3FE2">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13.</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文件的澄清与修改</w:t>
      </w:r>
    </w:p>
    <w:p w14:paraId="7443463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13.1 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对已发出的</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文件进行必要澄清、修改或补充的，应当在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文件截止时间</w:t>
      </w:r>
      <w:r>
        <w:rPr>
          <w:rFonts w:hint="eastAsia" w:ascii="宋体" w:hAnsi="宋体" w:eastAsia="宋体" w:cs="宋体"/>
          <w:color w:val="auto"/>
          <w:kern w:val="0"/>
          <w:szCs w:val="21"/>
          <w:highlight w:val="none"/>
          <w:lang w:val="en-US" w:eastAsia="zh-CN"/>
        </w:rPr>
        <w:t>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前，在</w:t>
      </w:r>
      <w:r>
        <w:rPr>
          <w:rFonts w:hint="eastAsia" w:ascii="宋体" w:hAnsi="宋体" w:eastAsia="宋体" w:cs="宋体"/>
          <w:color w:val="auto"/>
          <w:kern w:val="0"/>
          <w:szCs w:val="21"/>
          <w:highlight w:val="none"/>
          <w:lang w:val="en-US" w:eastAsia="zh-CN"/>
        </w:rPr>
        <w:t>原采购公告发布</w:t>
      </w:r>
      <w:r>
        <w:rPr>
          <w:rFonts w:hint="eastAsia" w:ascii="宋体" w:hAnsi="宋体" w:eastAsia="宋体" w:cs="宋体"/>
          <w:color w:val="auto"/>
          <w:kern w:val="0"/>
          <w:szCs w:val="21"/>
          <w:highlight w:val="none"/>
        </w:rPr>
        <w:t>相关媒体上发布更正公告或变更公告。</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文件公示期间对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文件进行的澄清、修改或补充不受上述限制。</w:t>
      </w:r>
    </w:p>
    <w:p w14:paraId="672DF54F">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文件澄清、修改或补充的内容为</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文件的组成部分。</w:t>
      </w:r>
    </w:p>
    <w:p w14:paraId="66DD997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13.3 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文件的澄清、修改或补充都应以法定形式发布。采购人未对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文件进行的澄清、修改或补充无效，评标时不予认可。</w:t>
      </w:r>
    </w:p>
    <w:p w14:paraId="21EB5A6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13.4 </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可以视</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具体情况延长</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截止时间和</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时间，但至少应当在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文件的截止时间3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前，将变更时间</w:t>
      </w:r>
      <w:r>
        <w:rPr>
          <w:rFonts w:hint="eastAsia" w:ascii="宋体" w:hAnsi="宋体" w:eastAsia="宋体" w:cs="宋体"/>
          <w:color w:val="auto"/>
          <w:kern w:val="0"/>
          <w:szCs w:val="21"/>
          <w:highlight w:val="none"/>
          <w:lang w:val="en-US" w:eastAsia="zh-CN"/>
        </w:rPr>
        <w:t>通知所有潜在供应商</w:t>
      </w:r>
      <w:r>
        <w:rPr>
          <w:rFonts w:hint="eastAsia" w:ascii="宋体" w:hAnsi="宋体" w:eastAsia="宋体" w:cs="宋体"/>
          <w:color w:val="auto"/>
          <w:kern w:val="0"/>
          <w:szCs w:val="21"/>
          <w:highlight w:val="none"/>
        </w:rPr>
        <w:t>。</w:t>
      </w:r>
    </w:p>
    <w:p w14:paraId="28FD75DD">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三、</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文件的编制</w:t>
      </w:r>
    </w:p>
    <w:p w14:paraId="4E193EDA">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14.要求</w:t>
      </w:r>
    </w:p>
    <w:p w14:paraId="7F4EF23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应仔细阅读</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文件的所有内容，按照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文件提供的格式编写</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文件，不得缺少或留空任何</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文件要求填写的表格或提交的资料。</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文件提供格式的按格式填列，未提供格式的可自行拟定。</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文件的要求作出实质性响应（包括</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资格要求、技术要求、商务要求和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文件格式中对</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对所提供的全部资料的合法性、真实性负责。</w:t>
      </w:r>
    </w:p>
    <w:p w14:paraId="38A56E5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应完整签署</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文件格式附件中《</w:t>
      </w:r>
      <w:r>
        <w:rPr>
          <w:rFonts w:hint="eastAsia" w:ascii="宋体" w:hAnsi="宋体" w:eastAsia="宋体" w:cs="宋体"/>
          <w:color w:val="auto"/>
          <w:kern w:val="0"/>
          <w:szCs w:val="21"/>
          <w:highlight w:val="none"/>
          <w:lang w:eastAsia="zh-CN"/>
        </w:rPr>
        <w:t>竞争性磋商响应书</w:t>
      </w:r>
      <w:r>
        <w:rPr>
          <w:rFonts w:hint="eastAsia" w:ascii="宋体" w:hAnsi="宋体" w:eastAsia="宋体" w:cs="宋体"/>
          <w:color w:val="auto"/>
          <w:kern w:val="0"/>
          <w:szCs w:val="21"/>
          <w:highlight w:val="none"/>
        </w:rPr>
        <w:t>》，不得增减或修改内容。否则视为对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文件未作出实质性响应。</w:t>
      </w:r>
    </w:p>
    <w:p w14:paraId="417073B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15.</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文件的语言和计量单位</w:t>
      </w:r>
    </w:p>
    <w:p w14:paraId="3C0DDC7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15.1</w:t>
      </w:r>
      <w:r>
        <w:rPr>
          <w:rFonts w:hint="eastAsia" w:ascii="宋体" w:hAnsi="宋体" w:eastAsia="宋体" w:cs="宋体"/>
          <w:color w:val="auto"/>
          <w:kern w:val="0"/>
          <w:szCs w:val="21"/>
          <w:highlight w:val="none"/>
          <w:lang w:val="en-US" w:eastAsia="zh-CN"/>
        </w:rPr>
        <w:t xml:space="preserve"> 响应</w:t>
      </w:r>
      <w:r>
        <w:rPr>
          <w:rFonts w:hint="eastAsia" w:ascii="宋体" w:hAnsi="宋体" w:eastAsia="宋体" w:cs="宋体"/>
          <w:color w:val="auto"/>
          <w:kern w:val="0"/>
          <w:szCs w:val="21"/>
          <w:highlight w:val="none"/>
        </w:rPr>
        <w:t>文件以及</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与采购人就有关</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事宜的所有来往函电均应使用简体中文书写。</w:t>
      </w:r>
    </w:p>
    <w:p w14:paraId="1A6D7041">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关于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计量单位，</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文件已有明确规定的，使用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文件规定的计量单位；</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文件没有规定的，应采用中华人民共和国法定计量单位。否则视为对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文件未作出实质性响应。</w:t>
      </w:r>
    </w:p>
    <w:p w14:paraId="608220A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15.3</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原版为外文的证书类文件，以及由外国人做出的本人签名、外国公司的名称或外国印章等可以是外文，但应当提供中文翻译文件并加盖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公章。必要时</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提供附有公证书的中文翻译文件或者与原版文件签章相一致的中文翻译文件。</w:t>
      </w:r>
    </w:p>
    <w:p w14:paraId="27843369">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16.</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文件的组成</w:t>
      </w:r>
      <w:r>
        <w:rPr>
          <w:rFonts w:hint="eastAsia" w:ascii="宋体" w:hAnsi="宋体" w:eastAsia="宋体" w:cs="宋体"/>
          <w:color w:val="auto"/>
          <w:kern w:val="0"/>
          <w:szCs w:val="21"/>
          <w:highlight w:val="none"/>
        </w:rPr>
        <w:t>。</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文件应包括下列部分：</w:t>
      </w:r>
    </w:p>
    <w:p w14:paraId="3ABFA3E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16.1、</w:t>
      </w:r>
      <w:r>
        <w:rPr>
          <w:rFonts w:hint="eastAsia" w:ascii="宋体" w:hAnsi="宋体" w:eastAsia="宋体" w:cs="宋体"/>
          <w:color w:val="auto"/>
          <w:kern w:val="0"/>
          <w:szCs w:val="21"/>
          <w:highlight w:val="none"/>
          <w:lang w:val="en-US" w:eastAsia="zh-CN"/>
        </w:rPr>
        <w:t>竞争性磋商响应书</w:t>
      </w:r>
    </w:p>
    <w:p w14:paraId="400CB9C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16.2、初次报价</w:t>
      </w:r>
      <w:r>
        <w:rPr>
          <w:rFonts w:hint="eastAsia" w:ascii="宋体" w:hAnsi="宋体" w:eastAsia="宋体" w:cs="宋体"/>
          <w:color w:val="auto"/>
          <w:kern w:val="0"/>
          <w:szCs w:val="21"/>
          <w:highlight w:val="none"/>
        </w:rPr>
        <w:t>一览表</w:t>
      </w:r>
    </w:p>
    <w:p w14:paraId="47976D3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16.3、</w:t>
      </w:r>
      <w:r>
        <w:rPr>
          <w:rFonts w:hint="eastAsia" w:ascii="宋体" w:hAnsi="宋体" w:eastAsia="宋体" w:cs="宋体"/>
          <w:color w:val="auto"/>
          <w:kern w:val="0"/>
          <w:szCs w:val="21"/>
          <w:highlight w:val="none"/>
        </w:rPr>
        <w:t>报价明细表</w:t>
      </w:r>
    </w:p>
    <w:p w14:paraId="2FB8160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、技术响应表</w:t>
      </w:r>
    </w:p>
    <w:p w14:paraId="0E744A4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、商务响应表</w:t>
      </w:r>
    </w:p>
    <w:p w14:paraId="6C92A00D">
      <w:pPr>
        <w:keepNext w:val="0"/>
        <w:keepLines w:val="0"/>
        <w:pageBreakBefore w:val="0"/>
        <w:widowControl w:val="0"/>
        <w:kinsoku/>
        <w:wordWrap/>
        <w:overflowPunct/>
        <w:topLinePunct w:val="0"/>
        <w:bidi w:val="0"/>
        <w:snapToGrid w:val="0"/>
        <w:spacing w:line="360" w:lineRule="auto"/>
        <w:ind w:left="208" w:leftChars="99" w:firstLine="210" w:firstLineChars="1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、法定代表人身份证明</w:t>
      </w:r>
    </w:p>
    <w:p w14:paraId="2979C96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、法定代表人授权书</w:t>
      </w:r>
    </w:p>
    <w:p w14:paraId="6E7D683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、证明文件</w:t>
      </w:r>
    </w:p>
    <w:p w14:paraId="4A0E6A75">
      <w:pPr>
        <w:keepNext w:val="0"/>
        <w:keepLines w:val="0"/>
        <w:pageBreakBefore w:val="0"/>
        <w:widowControl w:val="0"/>
        <w:kinsoku/>
        <w:wordWrap/>
        <w:overflowPunct/>
        <w:topLinePunct w:val="0"/>
        <w:bidi w:val="0"/>
        <w:snapToGrid w:val="0"/>
        <w:spacing w:line="360" w:lineRule="auto"/>
        <w:ind w:firstLine="420"/>
        <w:jc w:val="both"/>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9</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供应商承诺书</w:t>
      </w:r>
    </w:p>
    <w:p w14:paraId="664E58FE">
      <w:pPr>
        <w:pStyle w:val="16"/>
        <w:keepNext w:val="0"/>
        <w:keepLines w:val="0"/>
        <w:pageBreakBefore w:val="0"/>
        <w:widowControl w:val="0"/>
        <w:kinsoku/>
        <w:wordWrap/>
        <w:overflowPunct/>
        <w:topLinePunct w:val="0"/>
        <w:bidi w:val="0"/>
        <w:snapToGrid w:val="0"/>
        <w:spacing w:beforeAutospacing="0" w:afterAutospacing="0"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16.</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供应商信用承诺函</w:t>
      </w:r>
    </w:p>
    <w:p w14:paraId="3B3C118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17.</w:t>
      </w:r>
      <w:r>
        <w:rPr>
          <w:rFonts w:hint="eastAsia" w:ascii="宋体" w:hAnsi="宋体" w:eastAsia="宋体" w:cs="宋体"/>
          <w:b/>
          <w:color w:val="auto"/>
          <w:kern w:val="0"/>
          <w:szCs w:val="21"/>
          <w:highlight w:val="none"/>
          <w:lang w:val="en-US" w:eastAsia="zh-CN"/>
        </w:rPr>
        <w:t>响应文件</w:t>
      </w:r>
      <w:r>
        <w:rPr>
          <w:rFonts w:hint="eastAsia" w:ascii="宋体" w:hAnsi="宋体" w:eastAsia="宋体" w:cs="宋体"/>
          <w:b/>
          <w:color w:val="auto"/>
          <w:kern w:val="0"/>
          <w:szCs w:val="21"/>
          <w:highlight w:val="none"/>
        </w:rPr>
        <w:t>有效期</w:t>
      </w:r>
    </w:p>
    <w:p w14:paraId="44162229">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17.1 </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公告所规定的投标截止期之后开始生效，在</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须知前附表</w:t>
      </w:r>
      <w:r>
        <w:rPr>
          <w:rFonts w:hint="eastAsia" w:ascii="宋体" w:hAnsi="宋体" w:eastAsia="宋体" w:cs="宋体"/>
          <w:color w:val="auto"/>
          <w:kern w:val="0"/>
          <w:szCs w:val="21"/>
          <w:highlight w:val="none"/>
        </w:rPr>
        <w:t>第1</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项所规定的期限内保持有效。有效期不足将导致其</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文件被拒绝。</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有效期至合同完全履行止。</w:t>
      </w:r>
    </w:p>
    <w:p w14:paraId="7486668D">
      <w:pPr>
        <w:keepNext w:val="0"/>
        <w:keepLines w:val="0"/>
        <w:pageBreakBefore w:val="0"/>
        <w:widowControl w:val="0"/>
        <w:kinsoku/>
        <w:wordWrap/>
        <w:overflowPunct/>
        <w:topLinePunct w:val="0"/>
        <w:autoSpaceDE/>
        <w:autoSpaceDN/>
        <w:bidi w:val="0"/>
        <w:adjustRightInd/>
        <w:snapToGrid w:val="0"/>
        <w:spacing w:line="360" w:lineRule="auto"/>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17.2特殊情况下</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可于投标有效期满之前书面要求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同意延长有效期，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规定的期限内以书面形式予以答复。</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可以拒绝上述要求。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答复不明确或者逾期未答复的，均视为拒绝上述要求。对于接受该要求的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，既不要求也不允许其修改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4F8F7CF9">
      <w:pPr>
        <w:keepNext w:val="0"/>
        <w:keepLines w:val="0"/>
        <w:pageBreakBefore w:val="0"/>
        <w:widowControl w:val="0"/>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18.投标报价</w:t>
      </w:r>
    </w:p>
    <w:p w14:paraId="446754BC">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18.1 所有</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报价均以</w:t>
      </w:r>
      <w:r>
        <w:rPr>
          <w:rFonts w:hint="eastAsia" w:ascii="宋体" w:hAnsi="宋体" w:cs="宋体"/>
          <w:color w:val="auto"/>
          <w:kern w:val="0"/>
          <w:szCs w:val="21"/>
          <w:highlight w:val="none"/>
          <w:lang w:val="en-US" w:eastAsia="zh-CN"/>
        </w:rPr>
        <w:t>人民币</w:t>
      </w:r>
      <w:r>
        <w:rPr>
          <w:rFonts w:hint="eastAsia" w:ascii="宋体" w:hAnsi="宋体" w:eastAsia="宋体" w:cs="宋体"/>
          <w:color w:val="auto"/>
          <w:kern w:val="0"/>
          <w:szCs w:val="21"/>
          <w:highlight w:val="none"/>
          <w:lang w:val="en-US" w:eastAsia="zh-CN"/>
        </w:rPr>
        <w:t>报价</w:t>
      </w:r>
      <w:r>
        <w:rPr>
          <w:rFonts w:hint="eastAsia" w:ascii="宋体" w:hAnsi="宋体" w:eastAsia="宋体" w:cs="宋体"/>
          <w:color w:val="auto"/>
          <w:kern w:val="0"/>
          <w:szCs w:val="21"/>
          <w:highlight w:val="none"/>
        </w:rPr>
        <w:t>。</w:t>
      </w:r>
    </w:p>
    <w:p w14:paraId="680CBC8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要按</w:t>
      </w:r>
      <w:r>
        <w:rPr>
          <w:rFonts w:hint="eastAsia" w:ascii="宋体" w:hAnsi="宋体" w:eastAsia="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一览表的内容填写。</w:t>
      </w:r>
    </w:p>
    <w:p w14:paraId="49B4686B">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18.3 </w:t>
      </w:r>
      <w:r>
        <w:rPr>
          <w:rFonts w:hint="eastAsia" w:ascii="宋体" w:hAnsi="宋体" w:eastAsia="宋体" w:cs="宋体"/>
          <w:color w:val="auto"/>
          <w:spacing w:val="10"/>
          <w:kern w:val="0"/>
          <w:szCs w:val="21"/>
          <w:highlight w:val="none"/>
          <w:lang w:eastAsia="zh-CN"/>
        </w:rPr>
        <w:t>供应商</w:t>
      </w:r>
      <w:r>
        <w:rPr>
          <w:rFonts w:hint="eastAsia" w:ascii="宋体" w:hAnsi="宋体" w:eastAsia="宋体" w:cs="宋体"/>
          <w:color w:val="auto"/>
          <w:spacing w:val="10"/>
          <w:kern w:val="0"/>
          <w:szCs w:val="21"/>
          <w:highlight w:val="none"/>
        </w:rPr>
        <w:t>投报多标包的，应对每标包分别报价并分别填报</w:t>
      </w:r>
      <w:r>
        <w:rPr>
          <w:rFonts w:hint="eastAsia" w:ascii="宋体" w:hAnsi="宋体" w:eastAsia="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w:t>
      </w:r>
      <w:r>
        <w:rPr>
          <w:rFonts w:hint="eastAsia" w:ascii="宋体" w:hAnsi="宋体" w:eastAsia="宋体" w:cs="宋体"/>
          <w:color w:val="auto"/>
          <w:spacing w:val="10"/>
          <w:kern w:val="0"/>
          <w:szCs w:val="21"/>
          <w:highlight w:val="none"/>
        </w:rPr>
        <w:t>。</w:t>
      </w:r>
    </w:p>
    <w:p w14:paraId="4CE9644D">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18.4 </w:t>
      </w:r>
      <w:r>
        <w:rPr>
          <w:rFonts w:hint="eastAsia" w:ascii="宋体" w:hAnsi="宋体" w:eastAsia="宋体" w:cs="宋体"/>
          <w:color w:val="auto"/>
          <w:kern w:val="0"/>
          <w:szCs w:val="21"/>
          <w:highlight w:val="none"/>
          <w:lang w:eastAsia="zh-CN"/>
        </w:rPr>
        <w:t>初次报价一览表</w:t>
      </w:r>
      <w:r>
        <w:rPr>
          <w:rFonts w:hint="eastAsia" w:ascii="宋体" w:hAnsi="宋体" w:eastAsia="宋体" w:cs="宋体"/>
          <w:color w:val="auto"/>
          <w:kern w:val="0"/>
          <w:szCs w:val="21"/>
          <w:highlight w:val="none"/>
        </w:rPr>
        <w:t>中标明的价格在政府采购合同执行过程中是固定不变的，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不得以任何理由予以变更。以可调整的价格提交的投标将被作为无效投标处理。</w:t>
      </w:r>
    </w:p>
    <w:p w14:paraId="7D9F74C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18.5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不接受可选择的投标报价。</w:t>
      </w:r>
    </w:p>
    <w:p w14:paraId="05427D8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18.6 对于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eastAsia="宋体" w:cs="宋体"/>
          <w:color w:val="auto"/>
          <w:kern w:val="0"/>
          <w:szCs w:val="21"/>
          <w:highlight w:val="none"/>
          <w:lang w:eastAsia="zh-CN"/>
        </w:rPr>
        <w:t>初次报价一览表</w:t>
      </w:r>
      <w:r>
        <w:rPr>
          <w:rFonts w:hint="eastAsia" w:ascii="宋体" w:hAnsi="宋体" w:eastAsia="宋体" w:cs="宋体"/>
          <w:color w:val="auto"/>
          <w:kern w:val="0"/>
          <w:szCs w:val="21"/>
          <w:highlight w:val="none"/>
        </w:rPr>
        <w:t>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文件中列出的赠送条款，在评审时不得作为价格评分因素或者调整评标价格的依据。</w:t>
      </w:r>
    </w:p>
    <w:p w14:paraId="58850A8D">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eastAsia="zh-CN"/>
        </w:rPr>
      </w:pPr>
      <w:r>
        <w:rPr>
          <w:rFonts w:hint="eastAsia" w:ascii="宋体" w:hAnsi="宋体" w:eastAsia="宋体" w:cs="宋体"/>
          <w:b/>
          <w:color w:val="auto"/>
          <w:kern w:val="0"/>
          <w:szCs w:val="21"/>
          <w:highlight w:val="none"/>
        </w:rPr>
        <w:t>19.</w:t>
      </w:r>
      <w:r>
        <w:rPr>
          <w:rFonts w:hint="eastAsia" w:ascii="宋体" w:hAnsi="宋体" w:eastAsia="宋体" w:cs="宋体"/>
          <w:b/>
          <w:color w:val="auto"/>
          <w:kern w:val="0"/>
          <w:szCs w:val="21"/>
          <w:highlight w:val="none"/>
          <w:lang w:val="en-US" w:eastAsia="zh-CN"/>
        </w:rPr>
        <w:t>磋商</w:t>
      </w:r>
      <w:r>
        <w:rPr>
          <w:rFonts w:hint="eastAsia" w:ascii="宋体" w:hAnsi="宋体" w:eastAsia="宋体" w:cs="宋体"/>
          <w:b/>
          <w:color w:val="auto"/>
          <w:kern w:val="0"/>
          <w:szCs w:val="21"/>
          <w:highlight w:val="none"/>
        </w:rPr>
        <w:t>保证金</w:t>
      </w:r>
      <w:r>
        <w:rPr>
          <w:rFonts w:hint="eastAsia" w:ascii="宋体" w:hAnsi="宋体" w:eastAsia="宋体" w:cs="宋体"/>
          <w:b/>
          <w:color w:val="auto"/>
          <w:kern w:val="0"/>
          <w:szCs w:val="21"/>
          <w:highlight w:val="none"/>
          <w:lang w:eastAsia="zh-CN"/>
        </w:rPr>
        <w:t>（</w:t>
      </w:r>
      <w:r>
        <w:rPr>
          <w:rFonts w:hint="eastAsia" w:ascii="宋体" w:hAnsi="宋体" w:eastAsia="宋体" w:cs="宋体"/>
          <w:b/>
          <w:color w:val="auto"/>
          <w:kern w:val="0"/>
          <w:szCs w:val="21"/>
          <w:highlight w:val="none"/>
          <w:lang w:val="en-US" w:eastAsia="zh-CN"/>
        </w:rPr>
        <w:t>无</w:t>
      </w:r>
      <w:r>
        <w:rPr>
          <w:rFonts w:hint="eastAsia" w:ascii="宋体" w:hAnsi="宋体" w:eastAsia="宋体" w:cs="宋体"/>
          <w:b/>
          <w:color w:val="auto"/>
          <w:kern w:val="0"/>
          <w:szCs w:val="21"/>
          <w:highlight w:val="none"/>
          <w:lang w:eastAsia="zh-CN"/>
        </w:rPr>
        <w:t>）</w:t>
      </w:r>
    </w:p>
    <w:p w14:paraId="5BDEFEBB">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val="en-US" w:eastAsia="zh-CN"/>
        </w:rPr>
      </w:pPr>
      <w:r>
        <w:rPr>
          <w:rFonts w:hint="eastAsia" w:ascii="宋体" w:hAnsi="宋体" w:eastAsia="宋体" w:cs="宋体"/>
          <w:b/>
          <w:color w:val="auto"/>
          <w:kern w:val="0"/>
          <w:szCs w:val="21"/>
          <w:highlight w:val="none"/>
        </w:rPr>
        <w:t>20.</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color w:val="auto"/>
          <w:kern w:val="0"/>
          <w:szCs w:val="21"/>
          <w:highlight w:val="none"/>
        </w:rPr>
        <w:t>文件的签署</w:t>
      </w:r>
      <w:r>
        <w:rPr>
          <w:rFonts w:hint="eastAsia" w:ascii="宋体" w:hAnsi="宋体" w:eastAsia="宋体" w:cs="宋体"/>
          <w:b/>
          <w:color w:val="auto"/>
          <w:kern w:val="0"/>
          <w:szCs w:val="21"/>
          <w:highlight w:val="none"/>
          <w:lang w:val="en-US" w:eastAsia="zh-CN"/>
        </w:rPr>
        <w:t>及其他规定</w:t>
      </w:r>
    </w:p>
    <w:p w14:paraId="14F451FB">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文件应按第六章“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文件格式”进行编写，如有必要，可以增加附页，作为</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的组成部分。其中，</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报价一览表在满足</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文件实质性要求的基础上，可以提出比</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文件要求更有利于采购人的承诺。</w:t>
      </w:r>
    </w:p>
    <w:p w14:paraId="36EAD0C2">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文件应当对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文件有关</w:t>
      </w:r>
      <w:r>
        <w:rPr>
          <w:rFonts w:hint="eastAsia" w:ascii="宋体" w:hAnsi="宋体" w:eastAsia="宋体" w:cs="宋体"/>
          <w:color w:val="auto"/>
          <w:kern w:val="0"/>
          <w:szCs w:val="21"/>
          <w:highlight w:val="none"/>
          <w:lang w:val="en-US" w:eastAsia="zh-CN"/>
        </w:rPr>
        <w:t>交货期</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Cs w:val="21"/>
          <w:highlight w:val="none"/>
          <w:lang w:val="en-US" w:eastAsia="zh-CN"/>
        </w:rPr>
        <w:t>质量</w:t>
      </w:r>
      <w:r>
        <w:rPr>
          <w:rFonts w:hint="eastAsia" w:ascii="宋体" w:hAnsi="宋体" w:eastAsia="宋体" w:cs="宋体"/>
          <w:color w:val="auto"/>
          <w:kern w:val="0"/>
          <w:szCs w:val="21"/>
          <w:highlight w:val="none"/>
        </w:rPr>
        <w:t>要求等实质性内容作出响应。</w:t>
      </w:r>
    </w:p>
    <w:p w14:paraId="214B55FE">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文件应用不褪色的材料书写或打印，并由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的法定代表人盖章或盖单位公章；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文件应尽量避免涂改、行间插字或删除，如果出现上述情况，改动之处应加盖单位公章或由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的法定代表人盖章确认。签字或盖章的具体要求见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48E409E1">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.4</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文件份数见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文件正本和副本的封面上应清楚地标记“正本”或“副本”的字样。</w:t>
      </w:r>
    </w:p>
    <w:p w14:paraId="426609D8">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.5</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文件的具体装订要求见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w:t>
      </w:r>
    </w:p>
    <w:p w14:paraId="2473E976">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四、</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文件的递交</w:t>
      </w:r>
    </w:p>
    <w:p w14:paraId="06D1078F">
      <w:pPr>
        <w:keepNext w:val="0"/>
        <w:keepLines w:val="0"/>
        <w:pageBreakBefore w:val="0"/>
        <w:widowControl w:val="0"/>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21.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文件的密封、标记</w:t>
      </w:r>
    </w:p>
    <w:p w14:paraId="073ADB34">
      <w:pPr>
        <w:keepNext w:val="0"/>
        <w:keepLines w:val="0"/>
        <w:pageBreakBefore w:val="0"/>
        <w:widowControl w:val="0"/>
        <w:kinsoku/>
        <w:wordWrap/>
        <w:overflowPunct/>
        <w:topLinePunct w:val="0"/>
        <w:autoSpaceDE/>
        <w:autoSpaceDN/>
        <w:bidi w:val="0"/>
        <w:adjustRightInd/>
        <w:spacing w:line="360" w:lineRule="auto"/>
        <w:ind w:firstLine="424" w:firstLineChars="202"/>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21.1</w:t>
      </w:r>
      <w:r>
        <w:rPr>
          <w:rFonts w:hint="eastAsia" w:ascii="宋体" w:hAnsi="宋体" w:eastAsia="宋体" w:cs="宋体"/>
          <w:color w:val="auto"/>
          <w:highlight w:val="none"/>
        </w:rPr>
        <w:t>响应文件应密封包装，并在封套的封口处加盖供应商单位章或由供应商的法定代表人（单位负责人）或其授权的代理人签字。</w:t>
      </w:r>
    </w:p>
    <w:p w14:paraId="1073C9D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 xml:space="preserve"> 未按本章第2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.1项要求密封的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highlight w:val="none"/>
          <w:lang w:eastAsia="zh-CN"/>
        </w:rPr>
        <w:t>文件，采购人不予受理。</w:t>
      </w:r>
    </w:p>
    <w:p w14:paraId="56E32590">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bCs w:val="0"/>
          <w:color w:val="auto"/>
          <w:kern w:val="0"/>
          <w:szCs w:val="21"/>
          <w:highlight w:val="none"/>
        </w:rPr>
      </w:pPr>
      <w:r>
        <w:rPr>
          <w:rFonts w:hint="eastAsia" w:ascii="宋体" w:hAnsi="宋体" w:eastAsia="宋体" w:cs="宋体"/>
          <w:b/>
          <w:bCs w:val="0"/>
          <w:color w:val="auto"/>
          <w:kern w:val="0"/>
          <w:szCs w:val="21"/>
          <w:highlight w:val="none"/>
        </w:rPr>
        <w:t xml:space="preserve">22. </w:t>
      </w:r>
      <w:r>
        <w:rPr>
          <w:rFonts w:hint="eastAsia" w:ascii="宋体" w:hAnsi="宋体" w:eastAsia="宋体" w:cs="宋体"/>
          <w:b/>
          <w:bCs w:val="0"/>
          <w:color w:val="auto"/>
          <w:kern w:val="0"/>
          <w:szCs w:val="21"/>
          <w:highlight w:val="none"/>
          <w:lang w:val="en-US" w:eastAsia="zh-CN"/>
        </w:rPr>
        <w:t>响应</w:t>
      </w:r>
      <w:r>
        <w:rPr>
          <w:rFonts w:hint="eastAsia" w:ascii="宋体" w:hAnsi="宋体" w:eastAsia="宋体" w:cs="宋体"/>
          <w:b/>
          <w:bCs w:val="0"/>
          <w:color w:val="auto"/>
          <w:kern w:val="0"/>
          <w:szCs w:val="21"/>
          <w:highlight w:val="none"/>
        </w:rPr>
        <w:t>文件的递交</w:t>
      </w:r>
    </w:p>
    <w:p w14:paraId="315D50D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应在规定的</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截止时间前</w:t>
      </w:r>
      <w:r>
        <w:rPr>
          <w:rFonts w:hint="eastAsia" w:ascii="宋体" w:hAnsi="宋体" w:eastAsia="宋体" w:cs="宋体"/>
          <w:color w:val="auto"/>
          <w:kern w:val="0"/>
          <w:szCs w:val="21"/>
          <w:highlight w:val="none"/>
          <w:lang w:eastAsia="zh-CN"/>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7892D43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文件的地点：见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78719BAA">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 除</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须知前附表另有规定外，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所递交的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文件不予退还。</w:t>
      </w:r>
    </w:p>
    <w:p w14:paraId="333575B4">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.4 逾期送达的或者未送达指定地点的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文件，采购人不予受理。</w:t>
      </w:r>
    </w:p>
    <w:p w14:paraId="089256E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23.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文件的修改和撤回</w:t>
      </w:r>
    </w:p>
    <w:p w14:paraId="719856B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23.1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在投标截止时间前，可以对所提交的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文件进行补充、修改或者撤回，并书面通知</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。补充、修改的内容和撤回通知应当按本须知要求签署、盖章、密封，并作为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文件的组成部分。</w:t>
      </w:r>
    </w:p>
    <w:p w14:paraId="4FECB1E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23.2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截止期后不得修改、撤回</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在投标截止期后修改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文件的，其投标将被拒绝。</w:t>
      </w:r>
    </w:p>
    <w:p w14:paraId="4B6E8295">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五</w:t>
      </w:r>
      <w:r>
        <w:rPr>
          <w:rFonts w:hint="eastAsia" w:ascii="宋体" w:hAnsi="宋体" w:eastAsia="宋体" w:cs="宋体"/>
          <w:b/>
          <w:bCs/>
          <w:color w:val="auto"/>
          <w:kern w:val="0"/>
          <w:sz w:val="28"/>
          <w:szCs w:val="28"/>
          <w:highlight w:val="none"/>
        </w:rPr>
        <w:t>、评标</w:t>
      </w:r>
    </w:p>
    <w:p w14:paraId="520C5067">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 组建</w:t>
      </w:r>
      <w:r>
        <w:rPr>
          <w:rFonts w:hint="eastAsia" w:ascii="宋体" w:hAnsi="宋体" w:eastAsia="宋体" w:cs="宋体"/>
          <w:b/>
          <w:bCs/>
          <w:color w:val="auto"/>
          <w:kern w:val="0"/>
          <w:szCs w:val="21"/>
          <w:highlight w:val="none"/>
          <w:lang w:eastAsia="zh-CN"/>
        </w:rPr>
        <w:t>磋商小组</w:t>
      </w:r>
    </w:p>
    <w:p w14:paraId="20A8DC59">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由采购人代表和评审专家组成。成员由</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人以上单数组成。</w:t>
      </w:r>
      <w:r>
        <w:rPr>
          <w:rFonts w:hint="eastAsia" w:ascii="宋体" w:hAnsi="宋体" w:eastAsia="宋体" w:cs="宋体"/>
          <w:color w:val="auto"/>
          <w:szCs w:val="21"/>
          <w:highlight w:val="none"/>
        </w:rPr>
        <w:t>在开标后由</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szCs w:val="21"/>
          <w:highlight w:val="none"/>
        </w:rPr>
        <w:t>进行审查、质疑、评估和比较，并做合理的建议。</w:t>
      </w:r>
    </w:p>
    <w:p w14:paraId="784A123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成员要依法独立评审，并对评审意见承担个人责任。</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成员对需要共同认定的事项存在争议的，按照少数服从多数的原则</w:t>
      </w:r>
      <w:r>
        <w:rPr>
          <w:rFonts w:hint="eastAsia" w:ascii="宋体" w:hAnsi="宋体" w:eastAsia="宋体" w:cs="宋体"/>
          <w:color w:val="auto"/>
          <w:kern w:val="0"/>
          <w:szCs w:val="21"/>
          <w:highlight w:val="none"/>
        </w:rPr>
        <w:t>做</w:t>
      </w:r>
      <w:r>
        <w:rPr>
          <w:rFonts w:hint="eastAsia" w:ascii="宋体" w:hAnsi="宋体" w:eastAsia="宋体" w:cs="宋体"/>
          <w:color w:val="auto"/>
          <w:szCs w:val="21"/>
          <w:highlight w:val="none"/>
        </w:rPr>
        <w:t>出结论。持不同意见的</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成员应当在评</w:t>
      </w:r>
      <w:r>
        <w:rPr>
          <w:rFonts w:hint="eastAsia" w:ascii="宋体" w:hAnsi="宋体" w:eastAsia="宋体" w:cs="宋体"/>
          <w:color w:val="auto"/>
          <w:szCs w:val="21"/>
          <w:highlight w:val="none"/>
          <w:lang w:val="en-US" w:eastAsia="zh-CN"/>
        </w:rPr>
        <w:t>审</w:t>
      </w:r>
      <w:r>
        <w:rPr>
          <w:rFonts w:hint="eastAsia" w:ascii="宋体" w:hAnsi="宋体" w:eastAsia="宋体" w:cs="宋体"/>
          <w:color w:val="auto"/>
          <w:szCs w:val="21"/>
          <w:highlight w:val="none"/>
        </w:rPr>
        <w:t>报告上签署不同意见</w:t>
      </w:r>
      <w:r>
        <w:rPr>
          <w:rFonts w:hint="eastAsia" w:ascii="宋体" w:hAnsi="宋体" w:eastAsia="宋体" w:cs="宋体"/>
          <w:color w:val="auto"/>
          <w:kern w:val="0"/>
          <w:szCs w:val="21"/>
          <w:highlight w:val="none"/>
        </w:rPr>
        <w:t>并说明</w:t>
      </w:r>
      <w:r>
        <w:rPr>
          <w:rFonts w:hint="eastAsia" w:ascii="宋体" w:hAnsi="宋体" w:eastAsia="宋体" w:cs="宋体"/>
          <w:color w:val="auto"/>
          <w:szCs w:val="21"/>
          <w:highlight w:val="none"/>
        </w:rPr>
        <w:t>理由，否则视为同意。</w:t>
      </w:r>
    </w:p>
    <w:p w14:paraId="69F5B638">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w:t>
      </w:r>
      <w:r>
        <w:rPr>
          <w:rFonts w:hint="eastAsia" w:ascii="宋体" w:hAnsi="宋体" w:eastAsia="宋体" w:cs="宋体"/>
          <w:b/>
          <w:bCs/>
          <w:color w:val="auto"/>
          <w:szCs w:val="21"/>
          <w:highlight w:val="none"/>
          <w:lang w:val="en-US" w:eastAsia="zh-CN"/>
        </w:rPr>
        <w:t>5</w:t>
      </w:r>
      <w:r>
        <w:rPr>
          <w:rFonts w:hint="eastAsia" w:ascii="宋体" w:hAnsi="宋体" w:eastAsia="宋体" w:cs="宋体"/>
          <w:b/>
          <w:bCs/>
          <w:color w:val="auto"/>
          <w:szCs w:val="21"/>
          <w:highlight w:val="none"/>
        </w:rPr>
        <w:t xml:space="preserve">. </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szCs w:val="21"/>
          <w:highlight w:val="none"/>
        </w:rPr>
        <w:t>文件的初审</w:t>
      </w:r>
    </w:p>
    <w:p w14:paraId="2FF429BE">
      <w:pPr>
        <w:pStyle w:val="3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.1对所有</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的评估，都采用相同的程序和标准。评标过程将严格按照</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文件的要求和条件进行。</w:t>
      </w:r>
    </w:p>
    <w:p w14:paraId="598C4B0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.2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进行检查，以确定</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是否完整、有无计算上的错误、文件是否已正确签署等。</w:t>
      </w:r>
    </w:p>
    <w:p w14:paraId="0EA49C9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 </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报价出现前后不一致的，除</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文件另有规定外，修正错误的原则如下：</w:t>
      </w:r>
    </w:p>
    <w:p w14:paraId="4DF8A71E">
      <w:pPr>
        <w:pStyle w:val="30"/>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.3.1</w:t>
      </w:r>
      <w:r>
        <w:rPr>
          <w:rFonts w:hint="eastAsia" w:ascii="宋体" w:hAnsi="宋体" w:eastAsia="宋体" w:cs="宋体"/>
          <w:color w:val="auto"/>
          <w:sz w:val="21"/>
          <w:szCs w:val="21"/>
          <w:highlight w:val="none"/>
          <w:lang w:val="en-US" w:eastAsia="zh-CN"/>
        </w:rPr>
        <w:t>响应文件</w:t>
      </w:r>
      <w:r>
        <w:rPr>
          <w:rFonts w:hint="eastAsia" w:ascii="宋体" w:hAnsi="宋体" w:eastAsia="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（报价表）内容与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shd w:val="clear" w:color="auto" w:fill="FFFFFF"/>
        </w:rPr>
        <w:t>中相应内容不一致的，以</w:t>
      </w:r>
      <w:r>
        <w:rPr>
          <w:rFonts w:hint="eastAsia" w:ascii="宋体" w:hAnsi="宋体" w:eastAsia="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（报价表）为准；</w:t>
      </w:r>
    </w:p>
    <w:p w14:paraId="0AF4EB71">
      <w:pPr>
        <w:pStyle w:val="30"/>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.3.2</w:t>
      </w:r>
      <w:r>
        <w:rPr>
          <w:rFonts w:hint="eastAsia" w:ascii="宋体" w:hAnsi="宋体" w:eastAsia="宋体" w:cs="宋体"/>
          <w:color w:val="auto"/>
          <w:sz w:val="21"/>
          <w:szCs w:val="21"/>
          <w:highlight w:val="none"/>
          <w:shd w:val="clear" w:color="auto" w:fill="FFFFFF"/>
        </w:rPr>
        <w:t>大写金额</w:t>
      </w:r>
      <w:r>
        <w:rPr>
          <w:rFonts w:hint="eastAsia" w:ascii="宋体" w:hAnsi="宋体" w:eastAsia="宋体" w:cs="宋体"/>
          <w:color w:val="auto"/>
          <w:sz w:val="21"/>
          <w:szCs w:val="21"/>
          <w:highlight w:val="none"/>
        </w:rPr>
        <w:t>与</w:t>
      </w:r>
      <w:r>
        <w:rPr>
          <w:rFonts w:hint="eastAsia" w:ascii="宋体" w:hAnsi="宋体" w:eastAsia="宋体" w:cs="宋体"/>
          <w:color w:val="auto"/>
          <w:sz w:val="21"/>
          <w:szCs w:val="21"/>
          <w:highlight w:val="none"/>
          <w:shd w:val="clear" w:color="auto" w:fill="FFFFFF"/>
        </w:rPr>
        <w:t>小写金额不一致的，以大写金额为准；</w:t>
      </w:r>
    </w:p>
    <w:p w14:paraId="7AFACED1">
      <w:pPr>
        <w:pStyle w:val="30"/>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.3.3</w:t>
      </w:r>
      <w:r>
        <w:rPr>
          <w:rFonts w:hint="eastAsia" w:ascii="宋体" w:hAnsi="宋体" w:eastAsia="宋体" w:cs="宋体"/>
          <w:color w:val="auto"/>
          <w:sz w:val="21"/>
          <w:szCs w:val="21"/>
          <w:highlight w:val="none"/>
          <w:shd w:val="clear" w:color="auto" w:fill="FFFFFF"/>
        </w:rPr>
        <w:t>单价金额小数点或者百分比有明显错位的，以</w:t>
      </w:r>
      <w:r>
        <w:rPr>
          <w:rFonts w:hint="eastAsia" w:ascii="宋体" w:hAnsi="宋体" w:eastAsia="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的总价为准，并修改单价；</w:t>
      </w:r>
    </w:p>
    <w:p w14:paraId="4657271C">
      <w:pPr>
        <w:pStyle w:val="30"/>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.3.4</w:t>
      </w:r>
      <w:r>
        <w:rPr>
          <w:rFonts w:hint="eastAsia" w:ascii="宋体" w:hAnsi="宋体" w:eastAsia="宋体" w:cs="宋体"/>
          <w:color w:val="auto"/>
          <w:sz w:val="21"/>
          <w:szCs w:val="21"/>
          <w:highlight w:val="none"/>
          <w:shd w:val="clear" w:color="auto" w:fill="FFFFFF"/>
        </w:rPr>
        <w:t>总价金额与按单价汇总金额不一致的，以单价金额计算结果为准。</w:t>
      </w:r>
    </w:p>
    <w:p w14:paraId="279D2BF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.3.5对不同文字文本</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文件的解释发生异议的，以中文文本为准。</w:t>
      </w:r>
    </w:p>
    <w:p w14:paraId="4C5E5A1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.3.6同时出现两种以上不一致的，按照前款规定的顺序修正。修正后的报价按照财政部87号令第五十一条第二款的规定经</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确认后产生约束力，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不确认的，其投标无效。</w:t>
      </w:r>
    </w:p>
    <w:p w14:paraId="74D8E00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 资格性检查和符合性检查。</w:t>
      </w:r>
    </w:p>
    <w:p w14:paraId="4024825A">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w:t>
      </w:r>
      <w:r>
        <w:rPr>
          <w:rFonts w:hint="eastAsia" w:ascii="宋体" w:hAnsi="宋体" w:eastAsia="宋体" w:cs="宋体"/>
          <w:color w:val="auto"/>
          <w:szCs w:val="21"/>
          <w:highlight w:val="none"/>
        </w:rPr>
        <w:t>资格性检查。依据法规政策和</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文件的规定，在对</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详细评估之前，采购人将依据</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提交的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公告第二项和</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文件第三章4.</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应提交的证明文件所述的资格标准对</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进行资格审查,以确定其是否具备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资格。如果</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资格、不满足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文件所规定的资格标准或提供资格证明文件不全,其投标将被作为无效</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。在审查过程中，采购人有权要求</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文件的规定提供相关资格证明材料的原件以供审查。</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应在规定的时限内提供。</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拒不提供的，或者不能在规定时限内提供的，视为其不具备该资格条件。</w:t>
      </w:r>
    </w:p>
    <w:p w14:paraId="6A6B5FC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.4.2 资格审查后合格的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不足3家的，不得评标。</w:t>
      </w:r>
    </w:p>
    <w:p w14:paraId="49F8D8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 符合性检查。依据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的有效性、完整性和对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文件的响应程度进行审查，以确定是否符合对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文件的实质性要求作出响应。对没有实质性响应的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文件将不进行评估，其投标被作为无效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。凡有下列情况之一者，</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文件也将被视为未实质性响应</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w:t>
      </w:r>
    </w:p>
    <w:p w14:paraId="1C23A947">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未按规定签字、盖章的。</w:t>
      </w:r>
    </w:p>
    <w:p w14:paraId="6E4EF709">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未能出具有效身份证明，或与身份不符的。</w:t>
      </w:r>
    </w:p>
    <w:p w14:paraId="73022C2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（3）未按磋商文件规定报价，报价均超过采购预算或最高限价的。</w:t>
      </w:r>
    </w:p>
    <w:p w14:paraId="69099217">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有效期、</w:t>
      </w:r>
      <w:r>
        <w:rPr>
          <w:rFonts w:hint="eastAsia" w:ascii="宋体" w:hAnsi="宋体" w:eastAsia="宋体" w:cs="宋体"/>
          <w:color w:val="auto"/>
          <w:szCs w:val="21"/>
          <w:highlight w:val="none"/>
          <w:lang w:val="en-US" w:eastAsia="zh-CN"/>
        </w:rPr>
        <w:t>交货期</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供货期</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质保期</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lang w:eastAsia="zh-CN"/>
        </w:rPr>
        <w:t>质量</w:t>
      </w:r>
      <w:r>
        <w:rPr>
          <w:rFonts w:hint="eastAsia" w:ascii="宋体" w:hAnsi="宋体" w:eastAsia="宋体" w:cs="宋体"/>
          <w:color w:val="auto"/>
          <w:szCs w:val="21"/>
          <w:highlight w:val="none"/>
        </w:rPr>
        <w:t>等不满足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文件要求的。</w:t>
      </w:r>
    </w:p>
    <w:p w14:paraId="63695260">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szCs w:val="21"/>
          <w:highlight w:val="none"/>
        </w:rPr>
        <w:t>未按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文件提供的格式填列、项目不齐全或内容虚假的。</w:t>
      </w:r>
    </w:p>
    <w:p w14:paraId="49BC317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的实质性内容未使用中文表述，或意思表述不明确，或前后矛盾，或使用计量单位不符合</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文件要求的。</w:t>
      </w:r>
    </w:p>
    <w:p w14:paraId="5DD83C6C">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的关键内容字迹模糊、无法辨认,或</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szCs w:val="21"/>
          <w:highlight w:val="none"/>
        </w:rPr>
        <w:t>文件中经修正的内容字迹模糊无法辩认，或修改处未按规定签名盖章的。</w:t>
      </w:r>
    </w:p>
    <w:p w14:paraId="7DCFCB9C">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内容未按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文件响应的。</w:t>
      </w:r>
    </w:p>
    <w:p w14:paraId="01BAF513">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9</w:t>
      </w:r>
      <w:r>
        <w:rPr>
          <w:rFonts w:hint="eastAsia" w:ascii="宋体" w:hAnsi="宋体" w:eastAsia="宋体" w:cs="宋体"/>
          <w:color w:val="auto"/>
          <w:kern w:val="0"/>
          <w:szCs w:val="21"/>
          <w:highlight w:val="none"/>
        </w:rPr>
        <w:t>）不符合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文件中规定的其它实质性条款。</w:t>
      </w:r>
    </w:p>
    <w:p w14:paraId="679F4DE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决定投标的响应性只根据</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文件本身的内容，而不寻求其他的外部证据。</w:t>
      </w:r>
    </w:p>
    <w:p w14:paraId="1A62603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.4.4 对资格性检查和符合性检查不合格的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，将</w:t>
      </w:r>
      <w:r>
        <w:rPr>
          <w:rFonts w:hint="eastAsia" w:ascii="宋体" w:hAnsi="宋体" w:eastAsia="宋体" w:cs="宋体"/>
          <w:color w:val="auto"/>
          <w:kern w:val="0"/>
          <w:szCs w:val="21"/>
          <w:highlight w:val="none"/>
          <w:lang w:val="en-US" w:eastAsia="zh-CN"/>
        </w:rPr>
        <w:t>通过评标系统</w:t>
      </w:r>
      <w:r>
        <w:rPr>
          <w:rFonts w:hint="eastAsia" w:ascii="宋体" w:hAnsi="宋体" w:eastAsia="宋体" w:cs="宋体"/>
          <w:color w:val="auto"/>
          <w:kern w:val="0"/>
          <w:szCs w:val="21"/>
          <w:highlight w:val="none"/>
        </w:rPr>
        <w:t>告知其理由。</w:t>
      </w:r>
    </w:p>
    <w:p w14:paraId="74B995EB">
      <w:pPr>
        <w:pStyle w:val="3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5</w:t>
      </w:r>
      <w:r>
        <w:rPr>
          <w:rFonts w:hint="eastAsia" w:ascii="宋体" w:hAnsi="宋体" w:eastAsia="宋体" w:cs="宋体"/>
          <w:color w:val="auto"/>
          <w:sz w:val="21"/>
          <w:szCs w:val="21"/>
          <w:highlight w:val="none"/>
        </w:rPr>
        <w:t>.5 在评审过程中，</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发现</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有下列情形之一的，视为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串通投标，其</w:t>
      </w:r>
      <w:r>
        <w:rPr>
          <w:rFonts w:hint="eastAsia" w:ascii="宋体" w:hAnsi="宋体" w:eastAsia="宋体" w:cs="宋体"/>
          <w:color w:val="auto"/>
          <w:sz w:val="21"/>
          <w:szCs w:val="21"/>
          <w:highlight w:val="none"/>
          <w:lang w:val="en-US" w:eastAsia="zh-CN"/>
        </w:rPr>
        <w:t>磋商</w:t>
      </w:r>
      <w:r>
        <w:rPr>
          <w:rFonts w:hint="eastAsia" w:ascii="宋体" w:hAnsi="宋体" w:eastAsia="宋体" w:cs="宋体"/>
          <w:color w:val="auto"/>
          <w:sz w:val="21"/>
          <w:szCs w:val="21"/>
          <w:highlight w:val="none"/>
        </w:rPr>
        <w:t>无效：</w:t>
      </w:r>
    </w:p>
    <w:p w14:paraId="1ED89A2A">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.5.1不同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异常一致。</w:t>
      </w:r>
    </w:p>
    <w:p w14:paraId="274BE1EA">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.5.2不同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由同一单位或者个人编制；</w:t>
      </w:r>
    </w:p>
    <w:p w14:paraId="12AF613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.5.3不同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委托同一单位或者个人办理投标事宜；</w:t>
      </w:r>
    </w:p>
    <w:p w14:paraId="6BA5E29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.5.4不同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载明的项目管理成员或者联系人员为同一人；　　</w:t>
      </w:r>
    </w:p>
    <w:p w14:paraId="4F4717B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.5.5不同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相互混装；</w:t>
      </w:r>
    </w:p>
    <w:p w14:paraId="54339768">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.5.6不同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的投标保证金从同一单位或者个人的账户转出（若收取）。</w:t>
      </w:r>
    </w:p>
    <w:p w14:paraId="5987C29A">
      <w:pPr>
        <w:keepNext w:val="0"/>
        <w:keepLines w:val="0"/>
        <w:pageBreakBefore w:val="0"/>
        <w:widowControl w:val="0"/>
        <w:kinsoku/>
        <w:wordWrap/>
        <w:overflowPunct/>
        <w:topLinePunct w:val="0"/>
        <w:bidi w:val="0"/>
        <w:adjustRightInd w:val="0"/>
        <w:snapToGrid w:val="0"/>
        <w:spacing w:line="360" w:lineRule="auto"/>
        <w:ind w:left="19" w:leftChars="9" w:firstLine="399" w:firstLineChars="190"/>
        <w:jc w:val="left"/>
        <w:textAlignment w:val="baseline"/>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.5.7 有证据证明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串通投标的其他情形的；</w:t>
      </w:r>
    </w:p>
    <w:p w14:paraId="3F4238E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.5.8 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制作机器码一致；</w:t>
      </w:r>
    </w:p>
    <w:p w14:paraId="265D305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 xml:space="preserve">.5.9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认定的其他串通投标情形。</w:t>
      </w:r>
    </w:p>
    <w:p w14:paraId="42C3E08A">
      <w:pPr>
        <w:keepNext w:val="0"/>
        <w:keepLines w:val="0"/>
        <w:pageBreakBefore w:val="0"/>
        <w:widowControl w:val="0"/>
        <w:tabs>
          <w:tab w:val="left" w:pos="0"/>
        </w:tabs>
        <w:kinsoku/>
        <w:wordWrap/>
        <w:overflowPunct/>
        <w:topLinePunct w:val="0"/>
        <w:bidi w:val="0"/>
        <w:snapToGrid w:val="0"/>
        <w:spacing w:line="360" w:lineRule="auto"/>
        <w:ind w:left="105" w:leftChars="50" w:firstLine="316" w:firstLineChars="150"/>
        <w:contextualSpacing/>
        <w:jc w:val="left"/>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25.6 磋商</w:t>
      </w:r>
    </w:p>
    <w:p w14:paraId="64E8A3AB">
      <w:pPr>
        <w:keepNext w:val="0"/>
        <w:keepLines w:val="0"/>
        <w:pageBreakBefore w:val="0"/>
        <w:widowControl/>
        <w:kinsoku w:val="0"/>
        <w:wordWrap/>
        <w:overflowPunct/>
        <w:topLinePunct w:val="0"/>
        <w:autoSpaceDE w:val="0"/>
        <w:autoSpaceDN w:val="0"/>
        <w:bidi w:val="0"/>
        <w:adjustRightInd w:val="0"/>
        <w:snapToGrid w:val="0"/>
        <w:spacing w:line="360" w:lineRule="auto"/>
        <w:ind w:firstLine="422" w:firstLineChars="200"/>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对资格性检查和符合性检查合格的供应商，进入本次磋商程序。</w:t>
      </w:r>
    </w:p>
    <w:p w14:paraId="23E8D315">
      <w:pPr>
        <w:keepNext w:val="0"/>
        <w:keepLines w:val="0"/>
        <w:pageBreakBefore w:val="0"/>
        <w:widowControl/>
        <w:kinsoku w:val="0"/>
        <w:wordWrap/>
        <w:overflowPunct/>
        <w:topLinePunct w:val="0"/>
        <w:autoSpaceDE w:val="0"/>
        <w:autoSpaceDN w:val="0"/>
        <w:bidi w:val="0"/>
        <w:adjustRightInd w:val="0"/>
        <w:snapToGrid w:val="0"/>
        <w:spacing w:line="360" w:lineRule="auto"/>
        <w:ind w:firstLine="422" w:firstLineChars="200"/>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 xml:space="preserve">25.6.1 </w:t>
      </w:r>
      <w:r>
        <w:rPr>
          <w:rFonts w:hint="eastAsia" w:ascii="宋体" w:hAnsi="宋体" w:eastAsia="宋体" w:cs="宋体"/>
          <w:b/>
          <w:bCs/>
          <w:color w:val="auto"/>
          <w:sz w:val="21"/>
          <w:szCs w:val="21"/>
          <w:highlight w:val="none"/>
        </w:rPr>
        <w:t>磋商小组通过随机方式确定参加磋商供应商的磋商顺序，所有成员集中与供应商按照顺序分别单独进行磋商。在磋商中，磋商的任何一方不得透露与磋商有关的其他供应商的技术资料、价格和其他信息。在磋商过程中，磋商小组可以根据磋商文件和磋商情况实质性变动采购需求中的技术、服务要求及合同条款，但不得变动磋商文件的其他内容。实质性变动的内容须经采购人代表确认。磋商文件有实质性变动的，磋商小组应当以书面形式通知所有参加磋商供应商。</w:t>
      </w:r>
    </w:p>
    <w:p w14:paraId="4F91CA89">
      <w:pPr>
        <w:keepNext w:val="0"/>
        <w:keepLines w:val="0"/>
        <w:pageBreakBefore w:val="0"/>
        <w:widowControl/>
        <w:kinsoku w:val="0"/>
        <w:wordWrap/>
        <w:overflowPunct/>
        <w:topLinePunct w:val="0"/>
        <w:autoSpaceDE w:val="0"/>
        <w:autoSpaceDN w:val="0"/>
        <w:bidi w:val="0"/>
        <w:adjustRightInd w:val="0"/>
        <w:snapToGrid w:val="0"/>
        <w:spacing w:line="360" w:lineRule="auto"/>
        <w:ind w:firstLine="422" w:firstLineChars="200"/>
        <w:textAlignment w:val="baseline"/>
        <w:rPr>
          <w:rFonts w:hint="eastAsia" w:ascii="宋体" w:hAnsi="宋体" w:eastAsia="宋体" w:cs="宋体"/>
          <w:highlight w:val="none"/>
        </w:rPr>
      </w:pPr>
      <w:r>
        <w:rPr>
          <w:rFonts w:hint="eastAsia" w:ascii="宋体" w:hAnsi="宋体" w:eastAsia="宋体" w:cs="宋体"/>
          <w:b/>
          <w:bCs/>
          <w:color w:val="auto"/>
          <w:sz w:val="21"/>
          <w:szCs w:val="21"/>
          <w:highlight w:val="none"/>
          <w:lang w:val="en-US" w:eastAsia="zh-CN"/>
        </w:rPr>
        <w:t>25.6.2 本次竞争性磋商进行</w:t>
      </w:r>
      <w:r>
        <w:rPr>
          <w:rFonts w:hint="eastAsia" w:ascii="宋体" w:hAnsi="宋体" w:eastAsia="宋体" w:cs="宋体"/>
          <w:b/>
          <w:bCs/>
          <w:color w:val="auto"/>
          <w:sz w:val="21"/>
          <w:szCs w:val="21"/>
          <w:highlight w:val="none"/>
          <w:u w:val="single"/>
          <w:lang w:val="en-US" w:eastAsia="zh-CN"/>
        </w:rPr>
        <w:t xml:space="preserve"> 多 </w:t>
      </w:r>
      <w:r>
        <w:rPr>
          <w:rFonts w:hint="eastAsia" w:ascii="宋体" w:hAnsi="宋体" w:eastAsia="宋体" w:cs="宋体"/>
          <w:b/>
          <w:bCs/>
          <w:color w:val="auto"/>
          <w:sz w:val="21"/>
          <w:szCs w:val="21"/>
          <w:highlight w:val="none"/>
          <w:lang w:val="en-US" w:eastAsia="zh-CN"/>
        </w:rPr>
        <w:t>轮次报价（二次及以上），并给予每个供应商相同的机会。响应文件报价为第一轮报价，以后轮次报价不得高于上一轮次报价（除竞争性磋商文件有实质性变动外），否则将被视为未实质性响应竞争性磋商文件。磋商报价以供应商的最后一轮次报价为准。</w:t>
      </w:r>
    </w:p>
    <w:p w14:paraId="45E8A6B7">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6</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文件的澄清</w:t>
      </w:r>
    </w:p>
    <w:p w14:paraId="5137A68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文件中含义不明确、同类问题表述不一致或者有明显文字和计算错误的内容，</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可以书面形式要求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作出必要的澄清。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的澄清应当在</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规定的时间内以书面形式作出，由其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代表签字。但澄清事项不得超出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文件的范围，不得实质性改变</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文件的内容，不得通过澄清等方式对</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实行差别对待。</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不得接受</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主动提出的澄清和解释。</w:t>
      </w:r>
    </w:p>
    <w:p w14:paraId="0216F01B">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7</w:t>
      </w:r>
      <w:r>
        <w:rPr>
          <w:rFonts w:hint="eastAsia" w:ascii="宋体" w:hAnsi="宋体" w:eastAsia="宋体" w:cs="宋体"/>
          <w:b/>
          <w:bCs/>
          <w:color w:val="auto"/>
          <w:kern w:val="0"/>
          <w:szCs w:val="21"/>
          <w:highlight w:val="none"/>
        </w:rPr>
        <w:t>. 比较与评价</w:t>
      </w:r>
    </w:p>
    <w:p w14:paraId="29DCA187">
      <w:pPr>
        <w:pStyle w:val="3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 xml:space="preserve">.1 </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将按本</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文件规定的评标方法与标准，对资格性检查和符合性检查合格的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rPr>
        <w:t>进行商务和技术评估，综合比较与评价。</w:t>
      </w:r>
    </w:p>
    <w:p w14:paraId="31928D58">
      <w:pPr>
        <w:pStyle w:val="3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.2对漏（缺）报项的处理：</w:t>
      </w:r>
      <w:r>
        <w:rPr>
          <w:rFonts w:hint="eastAsia" w:ascii="宋体" w:hAnsi="宋体" w:eastAsia="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中要求列入报价的费用，漏（缺）报的视同已含在投标总价中。</w:t>
      </w:r>
    </w:p>
    <w:p w14:paraId="285A948F">
      <w:pPr>
        <w:pStyle w:val="3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认为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的报价明显低于其他通过符合性审查</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的报价，有可能影响</w:t>
      </w:r>
      <w:r>
        <w:rPr>
          <w:rFonts w:hint="eastAsia" w:ascii="宋体" w:hAnsi="宋体" w:eastAsia="宋体" w:cs="宋体"/>
          <w:color w:val="auto"/>
          <w:sz w:val="21"/>
          <w:szCs w:val="21"/>
          <w:highlight w:val="none"/>
          <w:lang w:val="en-US" w:eastAsia="zh-CN"/>
        </w:rPr>
        <w:t>服务</w:t>
      </w:r>
      <w:r>
        <w:rPr>
          <w:rFonts w:hint="eastAsia" w:ascii="宋体" w:hAnsi="宋体" w:eastAsia="宋体" w:cs="宋体"/>
          <w:color w:val="auto"/>
          <w:sz w:val="21"/>
          <w:szCs w:val="21"/>
          <w:highlight w:val="none"/>
        </w:rPr>
        <w:t>质量或者不能诚信履约的，应当要求其在评标现场合理的时间内提供书面说明，必要时提交相关证明材料；</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不能证明其报价合理性的，</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应当将其作为无效投标处理。</w:t>
      </w:r>
    </w:p>
    <w:p w14:paraId="3A86F42C">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8</w:t>
      </w:r>
      <w:r>
        <w:rPr>
          <w:rFonts w:hint="eastAsia" w:ascii="宋体" w:hAnsi="宋体" w:eastAsia="宋体" w:cs="宋体"/>
          <w:b/>
          <w:bCs/>
          <w:color w:val="auto"/>
          <w:kern w:val="0"/>
          <w:szCs w:val="21"/>
          <w:highlight w:val="none"/>
        </w:rPr>
        <w:t>. 评标过程及保密原则</w:t>
      </w:r>
    </w:p>
    <w:p w14:paraId="26B5CC7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.1 凡与本次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有关人员对属于审查、澄清、评价和比较</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的有关资料以及定标意向等，均不得向</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或其他人员透露。否则,将按有关规定追究相关人员的责任。</w:t>
      </w:r>
    </w:p>
    <w:p w14:paraId="098EE9D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.2 在评标期间，</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试图影响或干预评审的任何行为，将导致其</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，并承担相应的法律责任。</w:t>
      </w:r>
    </w:p>
    <w:p w14:paraId="0DC9F295">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val="en-US" w:eastAsia="zh-CN"/>
        </w:rPr>
        <w:t>29</w:t>
      </w:r>
      <w:r>
        <w:rPr>
          <w:rFonts w:hint="eastAsia" w:ascii="宋体" w:hAnsi="宋体" w:eastAsia="宋体" w:cs="宋体"/>
          <w:b/>
          <w:color w:val="auto"/>
          <w:kern w:val="0"/>
          <w:szCs w:val="21"/>
          <w:highlight w:val="none"/>
        </w:rPr>
        <w:t>.评标异议登记</w:t>
      </w:r>
    </w:p>
    <w:p w14:paraId="2F71D99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工作人员对评审专家等相关人员在评审过程中发现、提出的异议进行逐项登记。</w:t>
      </w:r>
    </w:p>
    <w:p w14:paraId="49E8DB03">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六</w:t>
      </w:r>
      <w:r>
        <w:rPr>
          <w:rFonts w:hint="eastAsia" w:ascii="宋体" w:hAnsi="宋体" w:eastAsia="宋体" w:cs="宋体"/>
          <w:b/>
          <w:bCs/>
          <w:color w:val="auto"/>
          <w:kern w:val="0"/>
          <w:sz w:val="28"/>
          <w:szCs w:val="28"/>
          <w:highlight w:val="none"/>
        </w:rPr>
        <w:t>、定标</w:t>
      </w:r>
    </w:p>
    <w:p w14:paraId="470BA4A0">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0</w:t>
      </w:r>
      <w:r>
        <w:rPr>
          <w:rFonts w:hint="eastAsia" w:ascii="宋体" w:hAnsi="宋体" w:eastAsia="宋体" w:cs="宋体"/>
          <w:b/>
          <w:bCs/>
          <w:color w:val="auto"/>
          <w:kern w:val="0"/>
          <w:szCs w:val="21"/>
          <w:highlight w:val="none"/>
        </w:rPr>
        <w:t>. 定标原则</w:t>
      </w:r>
    </w:p>
    <w:p w14:paraId="5AD0191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.1 最低投标价不作为</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的保证。</w:t>
      </w:r>
    </w:p>
    <w:p w14:paraId="4413FFB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 确定实质上响应</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文件且满足下列条件的为</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bCs/>
          <w:color w:val="auto"/>
          <w:kern w:val="0"/>
          <w:szCs w:val="21"/>
          <w:highlight w:val="none"/>
        </w:rPr>
        <w:t>（或</w:t>
      </w:r>
      <w:r>
        <w:rPr>
          <w:rFonts w:hint="eastAsia" w:ascii="宋体" w:hAnsi="宋体" w:eastAsia="宋体" w:cs="宋体"/>
          <w:bCs/>
          <w:color w:val="auto"/>
          <w:kern w:val="0"/>
          <w:szCs w:val="21"/>
          <w:highlight w:val="none"/>
          <w:lang w:eastAsia="zh-CN"/>
        </w:rPr>
        <w:t>成交供应商</w:t>
      </w:r>
      <w:r>
        <w:rPr>
          <w:rFonts w:hint="eastAsia" w:ascii="宋体" w:hAnsi="宋体" w:eastAsia="宋体" w:cs="宋体"/>
          <w:bCs/>
          <w:color w:val="auto"/>
          <w:kern w:val="0"/>
          <w:szCs w:val="21"/>
          <w:highlight w:val="none"/>
        </w:rPr>
        <w:t>）</w:t>
      </w:r>
    </w:p>
    <w:p w14:paraId="02E8C019">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bookmarkStart w:id="74" w:name="_Toc32200"/>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.2.1</w:t>
      </w:r>
      <w:bookmarkEnd w:id="74"/>
      <w:r>
        <w:rPr>
          <w:rFonts w:hint="eastAsia" w:ascii="宋体" w:hAnsi="宋体" w:eastAsia="宋体" w:cs="宋体"/>
          <w:bCs/>
          <w:color w:val="auto"/>
          <w:kern w:val="0"/>
          <w:szCs w:val="21"/>
          <w:highlight w:val="none"/>
        </w:rPr>
        <w:t>本次评标采用</w:t>
      </w:r>
      <w:r>
        <w:rPr>
          <w:rFonts w:hint="eastAsia" w:ascii="宋体" w:hAnsi="宋体" w:eastAsia="宋体" w:cs="宋体"/>
          <w:color w:val="auto"/>
          <w:szCs w:val="21"/>
          <w:highlight w:val="none"/>
        </w:rPr>
        <w:t>综合评分法，是指响应文件满足采购文件全部实质性要求，且按照评审因素的量化指标评审得分最高的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w:t>
      </w:r>
      <w:r>
        <w:rPr>
          <w:rFonts w:hint="eastAsia" w:ascii="宋体" w:hAnsi="宋体" w:eastAsia="宋体" w:cs="宋体"/>
          <w:color w:val="auto"/>
          <w:szCs w:val="21"/>
          <w:highlight w:val="none"/>
          <w:lang w:eastAsia="zh-CN"/>
        </w:rPr>
        <w:t>成交</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的评标方法。</w:t>
      </w:r>
    </w:p>
    <w:p w14:paraId="7B136907">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采用综合评分法的，评标结果按评审后得分由高到低顺序排列。</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为排名第一的</w:t>
      </w:r>
      <w:r>
        <w:rPr>
          <w:rFonts w:hint="eastAsia" w:ascii="宋体" w:hAnsi="宋体" w:eastAsia="宋体" w:cs="宋体"/>
          <w:color w:val="auto"/>
          <w:szCs w:val="21"/>
          <w:highlight w:val="none"/>
          <w:lang w:eastAsia="zh-CN"/>
        </w:rPr>
        <w:t>成交供应商</w:t>
      </w:r>
      <w:r>
        <w:rPr>
          <w:rFonts w:hint="eastAsia" w:ascii="宋体" w:hAnsi="宋体" w:eastAsia="宋体" w:cs="宋体"/>
          <w:color w:val="auto"/>
          <w:szCs w:val="21"/>
          <w:highlight w:val="none"/>
        </w:rPr>
        <w:t>，以此类推。得分相同的，按</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报价由低到高顺序排列。得分且</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报价相同的，按技术部分得分顺序排列。得分与技术指标优劣均相同的，通过随机抽取产生。</w:t>
      </w:r>
    </w:p>
    <w:p w14:paraId="1362F231">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1</w:t>
      </w:r>
      <w:r>
        <w:rPr>
          <w:rFonts w:hint="eastAsia" w:ascii="宋体" w:hAnsi="宋体" w:eastAsia="宋体" w:cs="宋体"/>
          <w:b/>
          <w:bCs/>
          <w:color w:val="auto"/>
          <w:kern w:val="0"/>
          <w:szCs w:val="21"/>
          <w:highlight w:val="none"/>
        </w:rPr>
        <w:t>. 确定</w:t>
      </w:r>
      <w:r>
        <w:rPr>
          <w:rFonts w:hint="eastAsia" w:ascii="宋体" w:hAnsi="宋体" w:eastAsia="宋体" w:cs="宋体"/>
          <w:b/>
          <w:bCs/>
          <w:color w:val="auto"/>
          <w:kern w:val="0"/>
          <w:szCs w:val="21"/>
          <w:highlight w:val="none"/>
          <w:lang w:eastAsia="zh-CN"/>
        </w:rPr>
        <w:t>成交供应商</w:t>
      </w:r>
      <w:r>
        <w:rPr>
          <w:rFonts w:hint="eastAsia" w:ascii="宋体" w:hAnsi="宋体" w:eastAsia="宋体" w:cs="宋体"/>
          <w:b/>
          <w:bCs/>
          <w:color w:val="auto"/>
          <w:kern w:val="0"/>
          <w:szCs w:val="21"/>
          <w:highlight w:val="none"/>
        </w:rPr>
        <w:t>和</w:t>
      </w:r>
      <w:r>
        <w:rPr>
          <w:rFonts w:hint="eastAsia" w:ascii="宋体" w:hAnsi="宋体" w:eastAsia="宋体" w:cs="宋体"/>
          <w:b/>
          <w:bCs/>
          <w:color w:val="auto"/>
          <w:kern w:val="0"/>
          <w:szCs w:val="21"/>
          <w:highlight w:val="none"/>
          <w:lang w:eastAsia="zh-CN"/>
        </w:rPr>
        <w:t>成交候选供应商</w:t>
      </w:r>
    </w:p>
    <w:p w14:paraId="1A4C6E5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本项目由采购人授权</w:t>
      </w:r>
      <w:r>
        <w:rPr>
          <w:rFonts w:hint="eastAsia" w:ascii="宋体" w:hAnsi="宋体" w:eastAsia="宋体" w:cs="宋体"/>
          <w:bCs/>
          <w:color w:val="auto"/>
          <w:kern w:val="0"/>
          <w:szCs w:val="21"/>
          <w:highlight w:val="none"/>
          <w:lang w:eastAsia="zh-CN"/>
        </w:rPr>
        <w:t>磋商小组</w:t>
      </w:r>
      <w:r>
        <w:rPr>
          <w:rFonts w:hint="eastAsia" w:ascii="宋体" w:hAnsi="宋体" w:eastAsia="宋体" w:cs="宋体"/>
          <w:bCs/>
          <w:color w:val="auto"/>
          <w:kern w:val="0"/>
          <w:szCs w:val="21"/>
          <w:highlight w:val="none"/>
        </w:rPr>
        <w:t>确定一名</w:t>
      </w:r>
      <w:r>
        <w:rPr>
          <w:rFonts w:hint="eastAsia" w:ascii="宋体" w:hAnsi="宋体" w:eastAsia="宋体" w:cs="宋体"/>
          <w:bCs/>
          <w:color w:val="auto"/>
          <w:kern w:val="0"/>
          <w:szCs w:val="21"/>
          <w:highlight w:val="none"/>
          <w:lang w:eastAsia="zh-CN"/>
        </w:rPr>
        <w:t>成交供应商</w:t>
      </w:r>
      <w:r>
        <w:rPr>
          <w:rFonts w:hint="eastAsia" w:ascii="宋体" w:hAnsi="宋体" w:eastAsia="宋体" w:cs="宋体"/>
          <w:bCs/>
          <w:color w:val="auto"/>
          <w:kern w:val="0"/>
          <w:szCs w:val="21"/>
          <w:highlight w:val="none"/>
        </w:rPr>
        <w:t>并推荐</w:t>
      </w:r>
      <w:r>
        <w:rPr>
          <w:rFonts w:hint="eastAsia" w:ascii="宋体" w:hAnsi="宋体" w:eastAsia="宋体" w:cs="宋体"/>
          <w:bCs/>
          <w:color w:val="auto"/>
          <w:kern w:val="0"/>
          <w:szCs w:val="21"/>
          <w:highlight w:val="none"/>
          <w:lang w:val="en-US" w:eastAsia="zh-CN"/>
        </w:rPr>
        <w:t>一</w:t>
      </w:r>
      <w:r>
        <w:rPr>
          <w:rFonts w:hint="eastAsia" w:ascii="宋体" w:hAnsi="宋体" w:eastAsia="宋体" w:cs="宋体"/>
          <w:bCs/>
          <w:color w:val="auto"/>
          <w:kern w:val="0"/>
          <w:szCs w:val="21"/>
          <w:highlight w:val="none"/>
        </w:rPr>
        <w:t>名</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color w:val="auto"/>
          <w:kern w:val="0"/>
          <w:szCs w:val="21"/>
          <w:highlight w:val="none"/>
        </w:rPr>
        <w:t>。</w:t>
      </w:r>
    </w:p>
    <w:p w14:paraId="68B24569">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2</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eastAsia="zh-CN"/>
        </w:rPr>
        <w:t>成交通知书</w:t>
      </w:r>
      <w:r>
        <w:rPr>
          <w:rFonts w:hint="eastAsia" w:ascii="宋体" w:hAnsi="宋体" w:eastAsia="宋体" w:cs="宋体"/>
          <w:b/>
          <w:bCs/>
          <w:color w:val="auto"/>
          <w:kern w:val="0"/>
          <w:szCs w:val="21"/>
          <w:highlight w:val="none"/>
        </w:rPr>
        <w:t>及</w:t>
      </w:r>
      <w:r>
        <w:rPr>
          <w:rFonts w:hint="eastAsia" w:ascii="宋体" w:hAnsi="宋体" w:eastAsia="宋体" w:cs="宋体"/>
          <w:b/>
          <w:bCs/>
          <w:color w:val="auto"/>
          <w:kern w:val="0"/>
          <w:szCs w:val="21"/>
          <w:highlight w:val="none"/>
          <w:lang w:eastAsia="zh-CN"/>
        </w:rPr>
        <w:t>成交</w:t>
      </w:r>
      <w:r>
        <w:rPr>
          <w:rFonts w:hint="eastAsia" w:ascii="宋体" w:hAnsi="宋体" w:eastAsia="宋体" w:cs="宋体"/>
          <w:b/>
          <w:bCs/>
          <w:color w:val="auto"/>
          <w:kern w:val="0"/>
          <w:szCs w:val="21"/>
          <w:highlight w:val="none"/>
          <w:lang w:val="en-US" w:eastAsia="zh-CN"/>
        </w:rPr>
        <w:t>结果</w:t>
      </w:r>
      <w:r>
        <w:rPr>
          <w:rFonts w:hint="eastAsia" w:ascii="宋体" w:hAnsi="宋体" w:eastAsia="宋体" w:cs="宋体"/>
          <w:b/>
          <w:bCs/>
          <w:color w:val="auto"/>
          <w:kern w:val="0"/>
          <w:szCs w:val="21"/>
          <w:highlight w:val="none"/>
        </w:rPr>
        <w:t>公告</w:t>
      </w:r>
    </w:p>
    <w:p w14:paraId="74627CA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.1评审结束后，</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人将</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lang w:val="en-US" w:eastAsia="zh-CN"/>
        </w:rPr>
        <w:t>供应商</w:t>
      </w:r>
      <w:r>
        <w:rPr>
          <w:rFonts w:hint="eastAsia" w:ascii="宋体" w:hAnsi="宋体" w:eastAsia="宋体" w:cs="宋体"/>
          <w:color w:val="auto"/>
          <w:kern w:val="0"/>
          <w:szCs w:val="21"/>
          <w:highlight w:val="none"/>
        </w:rPr>
        <w:t>的情况在本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项目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公告发布的同一媒介予以公示，公示</w:t>
      </w:r>
      <w:r>
        <w:rPr>
          <w:rFonts w:hint="eastAsia" w:ascii="宋体" w:hAnsi="宋体" w:eastAsia="宋体" w:cs="宋体"/>
          <w:color w:val="auto"/>
          <w:kern w:val="0"/>
          <w:szCs w:val="21"/>
          <w:highlight w:val="none"/>
          <w:lang w:eastAsia="zh-CN"/>
        </w:rPr>
        <w:t>期限</w:t>
      </w:r>
      <w:r>
        <w:rPr>
          <w:rFonts w:hint="eastAsia" w:ascii="宋体" w:hAnsi="宋体" w:eastAsia="宋体" w:cs="宋体"/>
          <w:color w:val="auto"/>
          <w:kern w:val="0"/>
          <w:szCs w:val="21"/>
          <w:highlight w:val="none"/>
          <w:lang w:val="en-US" w:eastAsia="zh-CN"/>
        </w:rPr>
        <w:t>1</w:t>
      </w:r>
      <w:r>
        <w:rPr>
          <w:rFonts w:hint="eastAsia" w:ascii="宋体" w:hAnsi="宋体" w:eastAsia="宋体" w:cs="宋体"/>
          <w:color w:val="auto"/>
          <w:kern w:val="0"/>
          <w:szCs w:val="21"/>
          <w:highlight w:val="none"/>
          <w:lang w:eastAsia="zh-CN"/>
        </w:rPr>
        <w:t>个工作日</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公示期结束后</w:t>
      </w:r>
      <w:r>
        <w:rPr>
          <w:rFonts w:hint="eastAsia" w:ascii="宋体" w:hAnsi="宋体" w:eastAsia="宋体" w:cs="宋体"/>
          <w:color w:val="auto"/>
          <w:kern w:val="0"/>
          <w:szCs w:val="21"/>
          <w:highlight w:val="none"/>
        </w:rPr>
        <w:t>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w:t>
      </w:r>
    </w:p>
    <w:p w14:paraId="16C5689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在规定的时间内不领取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的，视为</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后自动放弃</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资格；</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在有效报价中报价最低,非不可抗力放弃</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资格的。发生上述情况的承担由此引起的一切后果。</w:t>
      </w:r>
    </w:p>
    <w:p w14:paraId="247B0E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对采购人和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具有同等法律效力。</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发出后，采购人改变</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结果，或者</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，应按相关法律、规章、规范性文件的要求承担相应的法律责任。</w:t>
      </w:r>
    </w:p>
    <w:p w14:paraId="744B013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bCs/>
          <w:color w:val="auto"/>
          <w:kern w:val="0"/>
          <w:szCs w:val="21"/>
          <w:highlight w:val="none"/>
        </w:rPr>
        <w:t>.4</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将作为签订合同的依据。合同签订后，</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成为合同的一部分。</w:t>
      </w:r>
    </w:p>
    <w:p w14:paraId="3650A538">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3</w:t>
      </w:r>
      <w:r>
        <w:rPr>
          <w:rFonts w:hint="eastAsia" w:ascii="宋体" w:hAnsi="宋体" w:eastAsia="宋体" w:cs="宋体"/>
          <w:b/>
          <w:bCs/>
          <w:color w:val="auto"/>
          <w:kern w:val="0"/>
          <w:szCs w:val="21"/>
          <w:highlight w:val="none"/>
        </w:rPr>
        <w:t>. 采购人宣布废标的权利</w:t>
      </w:r>
    </w:p>
    <w:p w14:paraId="12308D9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.1出现下列情况之一时，采购人有权宣布废标，并将理由通知所有</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w:t>
      </w:r>
    </w:p>
    <w:p w14:paraId="60B7851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.1.1出现影响采购公正的违法、违规行为的。</w:t>
      </w:r>
    </w:p>
    <w:p w14:paraId="47356DB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.1.2</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的报价均超过了</w:t>
      </w:r>
      <w:r>
        <w:rPr>
          <w:rFonts w:hint="eastAsia" w:ascii="宋体" w:hAnsi="宋体" w:eastAsia="宋体" w:cs="宋体"/>
          <w:bCs/>
          <w:color w:val="auto"/>
          <w:kern w:val="0"/>
          <w:szCs w:val="21"/>
          <w:highlight w:val="none"/>
          <w:lang w:val="en-US" w:eastAsia="zh-CN"/>
        </w:rPr>
        <w:t>采购预算金额</w:t>
      </w:r>
      <w:r>
        <w:rPr>
          <w:rFonts w:hint="eastAsia" w:ascii="宋体" w:hAnsi="宋体" w:eastAsia="宋体" w:cs="宋体"/>
          <w:bCs/>
          <w:color w:val="auto"/>
          <w:kern w:val="0"/>
          <w:szCs w:val="21"/>
          <w:highlight w:val="none"/>
        </w:rPr>
        <w:t>，采购人不能支付的。</w:t>
      </w:r>
    </w:p>
    <w:p w14:paraId="4938A69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.1.3因重大变故，采购任务取消的。</w:t>
      </w:r>
    </w:p>
    <w:p w14:paraId="502FEE8F">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szCs w:val="21"/>
          <w:highlight w:val="none"/>
        </w:rPr>
        <w:t>投标截止后</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不足3家或通过资格性检查或符合性检查的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不足3家的，除采购任务取消情形外，按照以下方式处理：</w:t>
      </w:r>
    </w:p>
    <w:p w14:paraId="7B1F39BD">
      <w:pPr>
        <w:keepNext w:val="0"/>
        <w:keepLines w:val="0"/>
        <w:pageBreakBefore w:val="0"/>
        <w:widowControl w:val="0"/>
        <w:numPr>
          <w:ilvl w:val="0"/>
          <w:numId w:val="2"/>
        </w:numPr>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文件存在不合理条款或者招标程序不符合规定的，采购人正后依法重新招标；　</w:t>
      </w:r>
    </w:p>
    <w:p w14:paraId="569FAD42">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b/>
          <w:color w:val="auto"/>
          <w:kern w:val="0"/>
          <w:sz w:val="52"/>
          <w:szCs w:val="52"/>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文件没有不合理条款、招标程序符合规定，需要采用其他采购方式采购的，采购人应当依法报财政部门批准。</w:t>
      </w:r>
    </w:p>
    <w:p w14:paraId="323567DB">
      <w:pPr>
        <w:keepNext w:val="0"/>
        <w:keepLines w:val="0"/>
        <w:pageBreakBefore w:val="0"/>
        <w:widowControl w:val="0"/>
        <w:kinsoku/>
        <w:wordWrap/>
        <w:overflowPunct/>
        <w:topLinePunct w:val="0"/>
        <w:autoSpaceDE/>
        <w:autoSpaceDN/>
        <w:bidi w:val="0"/>
        <w:adjustRightInd/>
        <w:snapToGrid w:val="0"/>
        <w:spacing w:line="380" w:lineRule="exact"/>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七</w:t>
      </w:r>
      <w:r>
        <w:rPr>
          <w:rFonts w:hint="eastAsia" w:ascii="宋体" w:hAnsi="宋体" w:eastAsia="宋体" w:cs="宋体"/>
          <w:b/>
          <w:bCs/>
          <w:color w:val="auto"/>
          <w:kern w:val="0"/>
          <w:sz w:val="28"/>
          <w:szCs w:val="28"/>
          <w:highlight w:val="none"/>
        </w:rPr>
        <w:t>、合同授予</w:t>
      </w:r>
    </w:p>
    <w:p w14:paraId="18143EC0">
      <w:pPr>
        <w:keepNext w:val="0"/>
        <w:keepLines w:val="0"/>
        <w:pageBreakBefore w:val="0"/>
        <w:widowControl w:val="0"/>
        <w:kinsoku/>
        <w:wordWrap/>
        <w:overflowPunct/>
        <w:topLinePunct w:val="0"/>
        <w:autoSpaceDE/>
        <w:autoSpaceDN/>
        <w:bidi w:val="0"/>
        <w:adjustRightInd/>
        <w:snapToGrid w:val="0"/>
        <w:spacing w:line="380" w:lineRule="exact"/>
        <w:ind w:firstLine="472" w:firstLineChars="224"/>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.合同签订</w:t>
      </w:r>
    </w:p>
    <w:p w14:paraId="39FB105B">
      <w:pPr>
        <w:keepNext w:val="0"/>
        <w:keepLines w:val="0"/>
        <w:pageBreakBefore w:val="0"/>
        <w:widowControl w:val="0"/>
        <w:kinsoku/>
        <w:wordWrap/>
        <w:overflowPunct/>
        <w:topLinePunct w:val="0"/>
        <w:autoSpaceDE/>
        <w:autoSpaceDN/>
        <w:bidi w:val="0"/>
        <w:adjustRightInd/>
        <w:snapToGrid w:val="0"/>
        <w:spacing w:line="380" w:lineRule="exact"/>
        <w:ind w:firstLine="420" w:firstLineChars="200"/>
        <w:jc w:val="left"/>
        <w:textAlignment w:val="auto"/>
        <w:rPr>
          <w:rFonts w:hint="eastAsia" w:ascii="宋体" w:hAnsi="宋体" w:eastAsia="宋体" w:cs="宋体"/>
          <w:color w:val="auto"/>
          <w:kern w:val="0"/>
          <w:szCs w:val="21"/>
          <w:highlight w:val="none"/>
          <w:u w:val="single"/>
        </w:rPr>
      </w:pPr>
      <w:bookmarkStart w:id="75" w:name="_Toc8594"/>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.1 采购人、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文件第三章《</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须知前附表》规定的时间内，根据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文件确定的事项和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签订合同。双方所签订的合同不得对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作实质性修改。</w:t>
      </w:r>
    </w:p>
    <w:p w14:paraId="04D605AE">
      <w:pPr>
        <w:keepNext w:val="0"/>
        <w:keepLines w:val="0"/>
        <w:pageBreakBefore w:val="0"/>
        <w:widowControl w:val="0"/>
        <w:kinsoku/>
        <w:wordWrap/>
        <w:overflowPunct/>
        <w:topLinePunct w:val="0"/>
        <w:autoSpaceDE/>
        <w:autoSpaceDN/>
        <w:bidi w:val="0"/>
        <w:adjustRightInd/>
        <w:snapToGrid w:val="0"/>
        <w:spacing w:line="380" w:lineRule="exact"/>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文件的修改文件、</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、补充或修改的文件及澄清或承诺文件等，均为双方签订合同的组成部分，并与合同一并作为本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文件所列采购项目的互补性法律文件，与合同具有同等法律效力。</w:t>
      </w:r>
    </w:p>
    <w:p w14:paraId="2A75D7C1">
      <w:pPr>
        <w:keepNext w:val="0"/>
        <w:keepLines w:val="0"/>
        <w:pageBreakBefore w:val="0"/>
        <w:widowControl w:val="0"/>
        <w:kinsoku/>
        <w:wordWrap/>
        <w:overflowPunct/>
        <w:topLinePunct w:val="0"/>
        <w:autoSpaceDE/>
        <w:autoSpaceDN/>
        <w:bidi w:val="0"/>
        <w:adjustRightInd/>
        <w:snapToGrid w:val="0"/>
        <w:spacing w:line="380" w:lineRule="exact"/>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.3 </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、因不可抗力不能履行合同、不按照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文件要求提交履约保证金，或者被查实存在影响</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结果的违法行为等情形，不符合</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条件的，采购人可以按照</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提出的</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名单排序依次确定其他</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，也可以重新招标。</w:t>
      </w:r>
    </w:p>
    <w:bookmarkEnd w:id="75"/>
    <w:p w14:paraId="5EC13C81">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05D3E70">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hint="eastAsia" w:ascii="宋体" w:hAnsi="宋体" w:eastAsia="宋体" w:cs="宋体"/>
          <w:color w:val="auto"/>
          <w:kern w:val="0"/>
          <w:sz w:val="24"/>
          <w:highlight w:val="none"/>
        </w:rPr>
      </w:pPr>
      <w:bookmarkStart w:id="76" w:name="_Toc11849"/>
      <w:r>
        <w:rPr>
          <w:rFonts w:hint="eastAsia" w:ascii="宋体" w:hAnsi="宋体" w:eastAsia="宋体" w:cs="宋体"/>
          <w:b/>
          <w:bCs/>
          <w:color w:val="auto"/>
          <w:kern w:val="0"/>
          <w:sz w:val="32"/>
          <w:szCs w:val="32"/>
          <w:highlight w:val="none"/>
        </w:rPr>
        <w:t>第四章  评标办法及评分标准</w:t>
      </w:r>
      <w:bookmarkEnd w:id="72"/>
      <w:bookmarkEnd w:id="76"/>
    </w:p>
    <w:p w14:paraId="6F4C4186">
      <w:pPr>
        <w:rPr>
          <w:rFonts w:hint="eastAsia" w:ascii="宋体" w:hAnsi="宋体" w:eastAsia="宋体" w:cs="宋体"/>
          <w:color w:val="auto"/>
          <w:highlight w:val="none"/>
        </w:rPr>
      </w:pPr>
    </w:p>
    <w:p w14:paraId="5FA8D29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（一）评标原则</w:t>
      </w:r>
    </w:p>
    <w:p w14:paraId="5A6B0AB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按照“公平、公正”的原则对待所有</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按照</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文件的相关规定进行评标、定标。</w:t>
      </w:r>
    </w:p>
    <w:p w14:paraId="2CA30BD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）评标办法</w:t>
      </w:r>
    </w:p>
    <w:p w14:paraId="5807D4BC">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1．本项目采用综合评分法，总分为100分。</w:t>
      </w:r>
    </w:p>
    <w:p w14:paraId="3CDF010F">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按照</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文件中规定的评标方法和标准，对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val="0"/>
          <w:bCs w:val="0"/>
          <w:color w:val="auto"/>
          <w:sz w:val="21"/>
          <w:szCs w:val="21"/>
          <w:highlight w:val="none"/>
        </w:rPr>
        <w:t>文件进行综合比较与评价。</w:t>
      </w:r>
    </w:p>
    <w:p w14:paraId="4CECA87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评标结果按评审后得分由高到低顺序排列，得分相同的，按投标报价由低到高顺序排列。得分且投标报价相同的，按技术部分得分顺序排列。</w:t>
      </w:r>
    </w:p>
    <w:p w14:paraId="1E8C2FFB">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val="0"/>
          <w:bCs w:val="0"/>
          <w:color w:val="auto"/>
          <w:sz w:val="21"/>
          <w:szCs w:val="21"/>
          <w:highlight w:val="none"/>
        </w:rPr>
        <w:t>文件满足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文件全部实质性要求，且评审得分最高的</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为</w:t>
      </w:r>
      <w:r>
        <w:rPr>
          <w:rFonts w:hint="eastAsia" w:ascii="宋体" w:hAnsi="宋体" w:eastAsia="宋体" w:cs="宋体"/>
          <w:b w:val="0"/>
          <w:bCs w:val="0"/>
          <w:color w:val="auto"/>
          <w:sz w:val="21"/>
          <w:szCs w:val="21"/>
          <w:highlight w:val="none"/>
          <w:lang w:eastAsia="zh-CN"/>
        </w:rPr>
        <w:t>成交供应商</w:t>
      </w:r>
      <w:r>
        <w:rPr>
          <w:rFonts w:hint="eastAsia" w:ascii="宋体" w:hAnsi="宋体" w:eastAsia="宋体" w:cs="宋体"/>
          <w:b w:val="0"/>
          <w:bCs w:val="0"/>
          <w:color w:val="auto"/>
          <w:sz w:val="21"/>
          <w:szCs w:val="21"/>
          <w:highlight w:val="none"/>
        </w:rPr>
        <w:t>。</w:t>
      </w:r>
    </w:p>
    <w:p w14:paraId="328CEB9D">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）评标程序</w:t>
      </w:r>
    </w:p>
    <w:p w14:paraId="3CBB7A81">
      <w:pPr>
        <w:keepNext w:val="0"/>
        <w:keepLines w:val="0"/>
        <w:pageBreakBefore w:val="0"/>
        <w:numPr>
          <w:ilvl w:val="0"/>
          <w:numId w:val="0"/>
        </w:numPr>
        <w:kinsoku/>
        <w:overflowPunct/>
        <w:topLinePunct w:val="0"/>
        <w:bidi w:val="0"/>
        <w:snapToGrid w:val="0"/>
        <w:spacing w:line="360" w:lineRule="auto"/>
        <w:ind w:firstLine="420" w:firstLineChars="200"/>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详细评审（100分）</w:t>
      </w:r>
    </w:p>
    <w:p w14:paraId="7C33FB69">
      <w:pPr>
        <w:keepNext w:val="0"/>
        <w:keepLines w:val="0"/>
        <w:pageBreakBefore w:val="0"/>
        <w:numPr>
          <w:ilvl w:val="0"/>
          <w:numId w:val="0"/>
        </w:numPr>
        <w:kinsoku/>
        <w:overflowPunct/>
        <w:topLinePunct w:val="0"/>
        <w:bidi w:val="0"/>
        <w:snapToGrid w:val="0"/>
        <w:spacing w:line="360" w:lineRule="auto"/>
        <w:ind w:firstLine="422" w:firstLineChars="200"/>
        <w:jc w:val="center"/>
        <w:textAlignment w:val="auto"/>
        <w:rPr>
          <w:rFonts w:hint="default" w:ascii="宋体" w:hAnsi="宋体" w:eastAsia="宋体" w:cs="宋体"/>
          <w:b w:val="0"/>
          <w:bCs w:val="0"/>
          <w:color w:val="auto"/>
          <w:sz w:val="21"/>
          <w:szCs w:val="21"/>
          <w:highlight w:val="none"/>
          <w:lang w:val="en-US"/>
        </w:rPr>
      </w:pPr>
      <w:r>
        <w:rPr>
          <w:rFonts w:hint="eastAsia" w:ascii="宋体" w:hAnsi="宋体" w:eastAsia="宋体" w:cs="宋体"/>
          <w:b/>
          <w:bCs/>
          <w:color w:val="auto"/>
          <w:sz w:val="21"/>
          <w:szCs w:val="21"/>
          <w:highlight w:val="none"/>
          <w:lang w:val="en-US" w:eastAsia="zh-CN"/>
        </w:rPr>
        <w:t>包1</w:t>
      </w:r>
      <w:r>
        <w:rPr>
          <w:rFonts w:hint="eastAsia" w:ascii="宋体" w:hAnsi="宋体" w:cs="宋体"/>
          <w:b/>
          <w:bCs/>
          <w:color w:val="auto"/>
          <w:sz w:val="21"/>
          <w:szCs w:val="21"/>
          <w:highlight w:val="none"/>
          <w:lang w:val="en-US" w:eastAsia="zh-CN"/>
        </w:rPr>
        <w:t>、包2</w:t>
      </w:r>
    </w:p>
    <w:tbl>
      <w:tblPr>
        <w:tblStyle w:val="33"/>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73"/>
        <w:gridCol w:w="6770"/>
      </w:tblGrid>
      <w:tr w14:paraId="40175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482" w:type="dxa"/>
            <w:gridSpan w:val="3"/>
            <w:noWrap w:val="0"/>
            <w:vAlign w:val="center"/>
          </w:tcPr>
          <w:p w14:paraId="1D569BED">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评审内容</w:t>
            </w:r>
          </w:p>
        </w:tc>
      </w:tr>
      <w:tr w14:paraId="5135C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0" w:hRule="atLeast"/>
          <w:jc w:val="center"/>
        </w:trPr>
        <w:tc>
          <w:tcPr>
            <w:tcW w:w="1239" w:type="dxa"/>
            <w:noWrap w:val="0"/>
            <w:vAlign w:val="center"/>
          </w:tcPr>
          <w:p w14:paraId="368495E4">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价格标部分 (</w:t>
            </w:r>
            <w:r>
              <w:rPr>
                <w:rFonts w:hint="eastAsia" w:ascii="宋体" w:hAnsi="宋体" w:eastAsia="宋体" w:cs="宋体"/>
                <w:b w:val="0"/>
                <w:bCs w:val="0"/>
                <w:color w:val="auto"/>
                <w:sz w:val="21"/>
                <w:szCs w:val="21"/>
                <w:highlight w:val="none"/>
                <w:lang w:val="en-US" w:eastAsia="zh-CN"/>
              </w:rPr>
              <w:t>30</w:t>
            </w:r>
            <w:r>
              <w:rPr>
                <w:rFonts w:hint="eastAsia" w:ascii="宋体" w:hAnsi="宋体" w:eastAsia="宋体" w:cs="宋体"/>
                <w:b w:val="0"/>
                <w:bCs w:val="0"/>
                <w:color w:val="auto"/>
                <w:sz w:val="21"/>
                <w:szCs w:val="21"/>
                <w:highlight w:val="none"/>
              </w:rPr>
              <w:t>分)</w:t>
            </w:r>
          </w:p>
        </w:tc>
        <w:tc>
          <w:tcPr>
            <w:tcW w:w="8243" w:type="dxa"/>
            <w:gridSpan w:val="2"/>
            <w:noWrap w:val="0"/>
            <w:vAlign w:val="center"/>
          </w:tcPr>
          <w:p w14:paraId="5DD95DF8">
            <w:pPr>
              <w:pStyle w:val="5"/>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说明：当</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发现</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的投标报价明显低于其他投标报价，使其投标报价可能低于其个别成本的，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可对其质询，并要求该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lang w:val="en-US" w:eastAsia="zh-CN"/>
              </w:rPr>
              <w:t>在规定时间内</w:t>
            </w:r>
            <w:r>
              <w:rPr>
                <w:rFonts w:hint="eastAsia" w:ascii="宋体" w:hAnsi="宋体" w:eastAsia="宋体" w:cs="宋体"/>
                <w:b w:val="0"/>
                <w:bCs w:val="0"/>
                <w:color w:val="auto"/>
                <w:sz w:val="21"/>
                <w:szCs w:val="21"/>
                <w:highlight w:val="none"/>
                <w:u w:val="none"/>
              </w:rPr>
              <w:t>做出书面说明和提供相关的证明材料；该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不能合理说明或提供证明材料的，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应按无效投标处理。</w:t>
            </w:r>
          </w:p>
          <w:p w14:paraId="04803EC3">
            <w:pPr>
              <w:pStyle w:val="5"/>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有效投标报价：投标报价</w:t>
            </w:r>
            <w:r>
              <w:rPr>
                <w:rFonts w:hint="eastAsia" w:ascii="宋体" w:hAnsi="宋体" w:eastAsia="宋体" w:cs="宋体"/>
                <w:b w:val="0"/>
                <w:bCs w:val="0"/>
                <w:color w:val="auto"/>
                <w:sz w:val="21"/>
                <w:szCs w:val="21"/>
                <w:highlight w:val="none"/>
                <w:lang w:val="en-US" w:eastAsia="zh-CN"/>
              </w:rPr>
              <w:t>不高于</w:t>
            </w:r>
            <w:r>
              <w:rPr>
                <w:rFonts w:hint="eastAsia" w:ascii="宋体" w:hAnsi="宋体" w:eastAsia="宋体" w:cs="宋体"/>
                <w:b w:val="0"/>
                <w:bCs w:val="0"/>
                <w:color w:val="auto"/>
                <w:sz w:val="21"/>
                <w:szCs w:val="21"/>
                <w:highlight w:val="none"/>
              </w:rPr>
              <w:t>采购预算价的为有效投标报价。</w:t>
            </w:r>
          </w:p>
          <w:p w14:paraId="0A314FB2">
            <w:pPr>
              <w:pStyle w:val="5"/>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评标基准值的确定：满足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文件要求且投标价格最低的有效投标报价为评标基准价。</w:t>
            </w:r>
          </w:p>
          <w:p w14:paraId="7BD23041">
            <w:pPr>
              <w:rPr>
                <w:rFonts w:hint="eastAsia" w:ascii="宋体" w:hAnsi="宋体" w:eastAsia="宋体" w:cs="宋体"/>
                <w:highlight w:val="none"/>
                <w:lang w:val="en-US" w:eastAsia="zh-CN"/>
              </w:rPr>
            </w:pPr>
            <w:r>
              <w:rPr>
                <w:rFonts w:hint="eastAsia" w:ascii="宋体" w:hAnsi="宋体" w:eastAsia="宋体" w:cs="宋体"/>
                <w:b w:val="0"/>
                <w:bCs w:val="0"/>
                <w:color w:val="auto"/>
                <w:sz w:val="21"/>
                <w:szCs w:val="21"/>
                <w:highlight w:val="none"/>
              </w:rPr>
              <w:t>投标报价得分=（评标基准价/有效投标报价）×</w:t>
            </w:r>
            <w:r>
              <w:rPr>
                <w:rFonts w:hint="eastAsia" w:ascii="宋体" w:hAnsi="宋体" w:eastAsia="宋体" w:cs="宋体"/>
                <w:b w:val="0"/>
                <w:bCs w:val="0"/>
                <w:color w:val="auto"/>
                <w:sz w:val="21"/>
                <w:szCs w:val="21"/>
                <w:highlight w:val="none"/>
                <w:lang w:val="en-US" w:eastAsia="zh-CN"/>
              </w:rPr>
              <w:t>30</w:t>
            </w:r>
            <w:r>
              <w:rPr>
                <w:rFonts w:hint="eastAsia" w:ascii="宋体" w:hAnsi="宋体" w:eastAsia="宋体" w:cs="宋体"/>
                <w:b w:val="0"/>
                <w:bCs w:val="0"/>
                <w:color w:val="auto"/>
                <w:sz w:val="21"/>
                <w:szCs w:val="21"/>
                <w:highlight w:val="none"/>
              </w:rPr>
              <w:t>分</w:t>
            </w:r>
          </w:p>
        </w:tc>
      </w:tr>
      <w:tr w14:paraId="58853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jc w:val="center"/>
        </w:trPr>
        <w:tc>
          <w:tcPr>
            <w:tcW w:w="1239" w:type="dxa"/>
            <w:vMerge w:val="restart"/>
            <w:noWrap w:val="0"/>
            <w:vAlign w:val="center"/>
          </w:tcPr>
          <w:p w14:paraId="7D99AF08">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技术部分</w:t>
            </w: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46</w:t>
            </w:r>
            <w:r>
              <w:rPr>
                <w:rFonts w:hint="eastAsia" w:ascii="宋体" w:hAnsi="宋体" w:eastAsia="宋体" w:cs="宋体"/>
                <w:b w:val="0"/>
                <w:bCs w:val="0"/>
                <w:color w:val="auto"/>
                <w:sz w:val="21"/>
                <w:szCs w:val="21"/>
                <w:highlight w:val="none"/>
                <w:lang w:eastAsia="zh-CN"/>
              </w:rPr>
              <w:t>分）</w:t>
            </w:r>
          </w:p>
        </w:tc>
        <w:tc>
          <w:tcPr>
            <w:tcW w:w="1473" w:type="dxa"/>
            <w:noWrap w:val="0"/>
            <w:vAlign w:val="center"/>
          </w:tcPr>
          <w:p w14:paraId="74CDB75B">
            <w:pPr>
              <w:keepNext w:val="0"/>
              <w:keepLines w:val="0"/>
              <w:pageBreakBefore w:val="0"/>
              <w:widowControl/>
              <w:kinsoku/>
              <w:wordWrap/>
              <w:overflowPunct/>
              <w:topLinePunct w:val="0"/>
              <w:autoSpaceDE/>
              <w:autoSpaceDN/>
              <w:bidi w:val="0"/>
              <w:adjustRightInd/>
              <w:snapToGrid w:val="0"/>
              <w:spacing w:line="320" w:lineRule="exac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1.产品技术参数（3</w:t>
            </w:r>
            <w:r>
              <w:rPr>
                <w:rFonts w:hint="eastAsia" w:ascii="宋体" w:hAnsi="宋体" w:cs="宋体"/>
                <w:b w:val="0"/>
                <w:bCs w:val="0"/>
                <w:color w:val="auto"/>
                <w:kern w:val="0"/>
                <w:sz w:val="21"/>
                <w:szCs w:val="21"/>
                <w:highlight w:val="none"/>
                <w:lang w:val="en-US" w:eastAsia="zh-CN"/>
              </w:rPr>
              <w:t>0</w:t>
            </w:r>
            <w:r>
              <w:rPr>
                <w:rFonts w:hint="eastAsia" w:ascii="宋体" w:hAnsi="宋体" w:eastAsia="宋体" w:cs="宋体"/>
                <w:b w:val="0"/>
                <w:bCs w:val="0"/>
                <w:color w:val="auto"/>
                <w:kern w:val="0"/>
                <w:sz w:val="21"/>
                <w:szCs w:val="21"/>
                <w:highlight w:val="none"/>
                <w:lang w:val="en-US" w:eastAsia="zh-CN"/>
              </w:rPr>
              <w:t>分）</w:t>
            </w:r>
          </w:p>
        </w:tc>
        <w:tc>
          <w:tcPr>
            <w:tcW w:w="6770" w:type="dxa"/>
            <w:noWrap w:val="0"/>
            <w:vAlign w:val="center"/>
          </w:tcPr>
          <w:p w14:paraId="019BAC84">
            <w:pPr>
              <w:widowControl/>
              <w:snapToGrid w:val="0"/>
              <w:spacing w:line="360" w:lineRule="exact"/>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供应商对“第二章 采购需求 三、技术要求”响应，所投产品全部满足磋商文件要求得3</w:t>
            </w:r>
            <w:r>
              <w:rPr>
                <w:rFonts w:hint="eastAsia" w:ascii="宋体" w:hAnsi="宋体" w:cs="宋体"/>
                <w:color w:val="000000" w:themeColor="text1"/>
                <w:szCs w:val="21"/>
                <w:highlight w:val="none"/>
                <w:lang w:val="en-US" w:eastAsia="zh-CN"/>
                <w14:textFill>
                  <w14:solidFill>
                    <w14:schemeClr w14:val="tx1"/>
                  </w14:solidFill>
                </w14:textFill>
              </w:rPr>
              <w:t>0</w:t>
            </w:r>
            <w:r>
              <w:rPr>
                <w:rFonts w:hint="eastAsia" w:ascii="宋体" w:hAnsi="宋体" w:eastAsia="宋体" w:cs="宋体"/>
                <w:color w:val="000000" w:themeColor="text1"/>
                <w:szCs w:val="21"/>
                <w:highlight w:val="none"/>
                <w:lang w:val="en-US" w:eastAsia="zh-CN"/>
                <w14:textFill>
                  <w14:solidFill>
                    <w14:schemeClr w14:val="tx1"/>
                  </w14:solidFill>
                </w14:textFill>
              </w:rPr>
              <w:t>分，带“★”号的技术参数为重要技术参数，有一项不满足的扣</w:t>
            </w:r>
            <w:r>
              <w:rPr>
                <w:rFonts w:hint="eastAsia" w:ascii="宋体" w:hAnsi="宋体" w:cs="宋体"/>
                <w:color w:val="000000" w:themeColor="text1"/>
                <w:szCs w:val="21"/>
                <w:highlight w:val="none"/>
                <w:lang w:val="en-US" w:eastAsia="zh-CN"/>
                <w14:textFill>
                  <w14:solidFill>
                    <w14:schemeClr w14:val="tx1"/>
                  </w14:solidFill>
                </w14:textFill>
              </w:rPr>
              <w:t>5</w:t>
            </w:r>
            <w:r>
              <w:rPr>
                <w:rFonts w:hint="eastAsia" w:ascii="宋体" w:hAnsi="宋体" w:eastAsia="宋体" w:cs="宋体"/>
                <w:color w:val="000000" w:themeColor="text1"/>
                <w:szCs w:val="21"/>
                <w:highlight w:val="none"/>
                <w:lang w:val="en-US" w:eastAsia="zh-CN"/>
                <w14:textFill>
                  <w14:solidFill>
                    <w14:schemeClr w14:val="tx1"/>
                  </w14:solidFill>
                </w14:textFill>
              </w:rPr>
              <w:t>分；不带“★”号的技术参数为一般性技术参数，有一项不满足的扣</w:t>
            </w:r>
            <w:r>
              <w:rPr>
                <w:rFonts w:hint="eastAsia" w:ascii="宋体" w:hAnsi="宋体" w:cs="宋体"/>
                <w:color w:val="000000" w:themeColor="text1"/>
                <w:szCs w:val="21"/>
                <w:highlight w:val="none"/>
                <w:lang w:val="en-US" w:eastAsia="zh-CN"/>
                <w14:textFill>
                  <w14:solidFill>
                    <w14:schemeClr w14:val="tx1"/>
                  </w14:solidFill>
                </w14:textFill>
              </w:rPr>
              <w:t>3</w:t>
            </w:r>
            <w:r>
              <w:rPr>
                <w:rFonts w:hint="eastAsia" w:ascii="宋体" w:hAnsi="宋体" w:eastAsia="宋体" w:cs="宋体"/>
                <w:color w:val="000000" w:themeColor="text1"/>
                <w:szCs w:val="21"/>
                <w:highlight w:val="none"/>
                <w:lang w:val="en-US" w:eastAsia="zh-CN"/>
                <w14:textFill>
                  <w14:solidFill>
                    <w14:schemeClr w14:val="tx1"/>
                  </w14:solidFill>
                </w14:textFill>
              </w:rPr>
              <w:t>分，扣完为止；如得分为0，则磋商无效。</w:t>
            </w:r>
          </w:p>
          <w:p w14:paraId="75FA7009">
            <w:pPr>
              <w:widowControl/>
              <w:snapToGrid w:val="0"/>
              <w:spacing w:line="360" w:lineRule="exact"/>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1）供应商需如实填写技术偏离表，并标注偏离情况。</w:t>
            </w:r>
          </w:p>
          <w:p w14:paraId="0C289077">
            <w:pPr>
              <w:widowControl/>
              <w:snapToGrid w:val="0"/>
              <w:spacing w:line="360" w:lineRule="exact"/>
              <w:rPr>
                <w:rFonts w:hint="eastAsia" w:ascii="宋体" w:hAnsi="宋体" w:eastAsia="宋体" w:cs="宋体"/>
                <w:b/>
                <w:bCs/>
                <w:color w:val="000000" w:themeColor="text1"/>
                <w:szCs w:val="21"/>
                <w:highlight w:val="none"/>
                <w:lang w:val="en-US" w:eastAsia="zh-CN"/>
                <w14:textFill>
                  <w14:solidFill>
                    <w14:schemeClr w14:val="tx1"/>
                  </w14:solidFill>
                </w14:textFill>
              </w:rPr>
            </w:pPr>
            <w:r>
              <w:rPr>
                <w:rFonts w:hint="eastAsia" w:ascii="宋体" w:hAnsi="宋体" w:eastAsia="宋体" w:cs="宋体"/>
                <w:b/>
                <w:bCs/>
                <w:color w:val="000000" w:themeColor="text1"/>
                <w:szCs w:val="21"/>
                <w:highlight w:val="none"/>
                <w:lang w:val="en-US" w:eastAsia="zh-CN"/>
                <w14:textFill>
                  <w14:solidFill>
                    <w14:schemeClr w14:val="tx1"/>
                  </w14:solidFill>
                </w14:textFill>
              </w:rPr>
              <w:t>2）供应商所投产品需提供医疗器械注册证【含附件：产品技术要求（如有）】或医疗器械备案凭证（非医疗器械可不提供），如未按要求提供，则磋商无效。</w:t>
            </w:r>
          </w:p>
          <w:p w14:paraId="7F5EF019">
            <w:pPr>
              <w:widowControl/>
              <w:snapToGrid w:val="0"/>
              <w:spacing w:line="36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000000" w:themeColor="text1"/>
                <w:szCs w:val="21"/>
                <w:highlight w:val="none"/>
                <w:lang w:val="en-US" w:eastAsia="zh-CN"/>
                <w14:textFill>
                  <w14:solidFill>
                    <w14:schemeClr w14:val="tx1"/>
                  </w14:solidFill>
                </w14:textFill>
              </w:rPr>
              <w:t>3）提供产品注册检验报告（其中检验报告照片页必须提供完整）及响应技术参数条款的技术白皮书和彩页等相关文件，并对响应技术参数部分做出明显标注。</w:t>
            </w:r>
          </w:p>
        </w:tc>
      </w:tr>
      <w:tr w14:paraId="7F026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jc w:val="center"/>
        </w:trPr>
        <w:tc>
          <w:tcPr>
            <w:tcW w:w="1239" w:type="dxa"/>
            <w:vMerge w:val="continue"/>
            <w:noWrap w:val="0"/>
            <w:vAlign w:val="center"/>
          </w:tcPr>
          <w:p w14:paraId="660EF290">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noWrap w:val="0"/>
            <w:vAlign w:val="center"/>
          </w:tcPr>
          <w:p w14:paraId="2F6F967F">
            <w:pPr>
              <w:widowControl/>
              <w:snapToGrid w:val="0"/>
              <w:spacing w:line="360" w:lineRule="exact"/>
              <w:rPr>
                <w:rFonts w:hint="eastAsia" w:ascii="宋体" w:hAnsi="宋体" w:eastAsia="宋体" w:cs="宋体"/>
                <w:b w:val="0"/>
                <w:bCs w:val="0"/>
                <w:color w:val="auto"/>
                <w:sz w:val="21"/>
                <w:szCs w:val="21"/>
                <w:highlight w:val="none"/>
                <w:lang w:val="en-US" w:eastAsia="zh-CN"/>
              </w:rPr>
            </w:pPr>
            <w:r>
              <w:rPr>
                <w:rFonts w:hint="eastAsia" w:ascii="宋体" w:hAnsi="宋体" w:cs="宋体"/>
                <w:kern w:val="0"/>
                <w:szCs w:val="21"/>
                <w:highlight w:val="none"/>
              </w:rPr>
              <w:t>2.产品综合评议</w:t>
            </w:r>
            <w:r>
              <w:rPr>
                <w:rFonts w:hint="eastAsia" w:ascii="宋体" w:hAnsi="宋体" w:cs="宋体"/>
                <w:szCs w:val="21"/>
                <w:highlight w:val="none"/>
              </w:rPr>
              <w:t>（</w:t>
            </w:r>
            <w:r>
              <w:rPr>
                <w:rFonts w:hint="eastAsia" w:ascii="宋体" w:hAnsi="宋体" w:cs="宋体"/>
                <w:szCs w:val="21"/>
                <w:highlight w:val="none"/>
                <w:lang w:val="en-US" w:eastAsia="zh-CN"/>
              </w:rPr>
              <w:t>5</w:t>
            </w:r>
            <w:r>
              <w:rPr>
                <w:rFonts w:hint="eastAsia" w:ascii="宋体" w:hAnsi="宋体" w:cs="宋体"/>
                <w:szCs w:val="21"/>
                <w:highlight w:val="none"/>
              </w:rPr>
              <w:t>分）</w:t>
            </w:r>
          </w:p>
        </w:tc>
        <w:tc>
          <w:tcPr>
            <w:tcW w:w="6770" w:type="dxa"/>
            <w:noWrap w:val="0"/>
            <w:vAlign w:val="center"/>
          </w:tcPr>
          <w:p w14:paraId="101DEE6A">
            <w:pPr>
              <w:widowControl/>
              <w:snapToGrid w:val="0"/>
              <w:spacing w:line="360" w:lineRule="exact"/>
              <w:rPr>
                <w:rFonts w:hint="eastAsia" w:ascii="宋体" w:hAnsi="宋体" w:eastAsia="宋体" w:cs="宋体"/>
                <w:color w:val="auto"/>
                <w:sz w:val="21"/>
                <w:szCs w:val="21"/>
                <w:highlight w:val="none"/>
                <w:lang w:val="en-US" w:eastAsia="zh-CN"/>
              </w:rPr>
            </w:pPr>
            <w:r>
              <w:rPr>
                <w:rFonts w:hint="eastAsia" w:ascii="宋体" w:hAnsi="宋体" w:cs="宋体"/>
                <w:color w:val="000000" w:themeColor="text1"/>
                <w:szCs w:val="21"/>
                <w:highlight w:val="none"/>
                <w14:textFill>
                  <w14:solidFill>
                    <w14:schemeClr w14:val="tx1"/>
                  </w14:solidFill>
                </w14:textFill>
              </w:rPr>
              <w:t>根据供应商所投产品整体性能量化指标进行评价，产品技术指标能够最大程度满足采购需求，且技术先进、操作安全、运行稳定等产品整体性能优异的得</w:t>
            </w:r>
            <w:r>
              <w:rPr>
                <w:rFonts w:hint="eastAsia" w:ascii="宋体" w:hAnsi="宋体" w:cs="宋体"/>
                <w:color w:val="000000" w:themeColor="text1"/>
                <w:szCs w:val="21"/>
                <w:highlight w:val="none"/>
                <w:lang w:val="en-US" w:eastAsia="zh-CN"/>
                <w14:textFill>
                  <w14:solidFill>
                    <w14:schemeClr w14:val="tx1"/>
                  </w14:solidFill>
                </w14:textFill>
              </w:rPr>
              <w:t>5</w:t>
            </w:r>
            <w:r>
              <w:rPr>
                <w:rFonts w:hint="eastAsia" w:ascii="宋体" w:hAnsi="宋体" w:cs="宋体"/>
                <w:color w:val="000000" w:themeColor="text1"/>
                <w:szCs w:val="21"/>
                <w:highlight w:val="none"/>
                <w14:textFill>
                  <w14:solidFill>
                    <w14:schemeClr w14:val="tx1"/>
                  </w14:solidFill>
                </w14:textFill>
              </w:rPr>
              <w:t>分；整体性能一般的得3分；整体性能较差的得1分。</w:t>
            </w:r>
          </w:p>
        </w:tc>
      </w:tr>
      <w:tr w14:paraId="0F81C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0" w:hRule="atLeast"/>
          <w:jc w:val="center"/>
        </w:trPr>
        <w:tc>
          <w:tcPr>
            <w:tcW w:w="1239" w:type="dxa"/>
            <w:vMerge w:val="continue"/>
            <w:noWrap w:val="0"/>
            <w:vAlign w:val="center"/>
          </w:tcPr>
          <w:p w14:paraId="3F808440">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noWrap w:val="0"/>
            <w:vAlign w:val="center"/>
          </w:tcPr>
          <w:p w14:paraId="05711063">
            <w:pPr>
              <w:widowControl/>
              <w:snapToGrid w:val="0"/>
              <w:spacing w:line="360" w:lineRule="exact"/>
              <w:jc w:val="center"/>
              <w:rPr>
                <w:rFonts w:hint="default" w:ascii="宋体" w:hAnsi="宋体" w:eastAsia="宋体" w:cs="宋体"/>
                <w:kern w:val="0"/>
                <w:szCs w:val="21"/>
                <w:highlight w:val="none"/>
                <w:lang w:val="en-US" w:eastAsia="zh-CN"/>
              </w:rPr>
            </w:pPr>
            <w:r>
              <w:rPr>
                <w:rFonts w:hint="eastAsia" w:ascii="宋体" w:hAnsi="宋体" w:cs="宋体"/>
                <w:kern w:val="0"/>
                <w:szCs w:val="21"/>
                <w:highlight w:val="none"/>
                <w:lang w:val="en-US" w:eastAsia="zh-CN"/>
              </w:rPr>
              <w:t>3.样品（5分）</w:t>
            </w:r>
          </w:p>
        </w:tc>
        <w:tc>
          <w:tcPr>
            <w:tcW w:w="6770" w:type="dxa"/>
            <w:noWrap w:val="0"/>
            <w:vAlign w:val="center"/>
          </w:tcPr>
          <w:p w14:paraId="159E65AB">
            <w:pPr>
              <w:widowControl/>
              <w:snapToGrid w:val="0"/>
              <w:spacing w:line="360" w:lineRule="exact"/>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根据供应商所带样品便携性、操作便利性进行评分。便于携带，操作界面设计人性化、响应迅速的得5分；便于携带，操作界面比较符合医护使用习惯的得3分；操作界面缺乏人性化或操作繁琐得1分。</w:t>
            </w:r>
          </w:p>
        </w:tc>
      </w:tr>
      <w:tr w14:paraId="3AF40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0" w:hRule="atLeast"/>
          <w:jc w:val="center"/>
        </w:trPr>
        <w:tc>
          <w:tcPr>
            <w:tcW w:w="1239" w:type="dxa"/>
            <w:vMerge w:val="continue"/>
            <w:noWrap w:val="0"/>
            <w:vAlign w:val="center"/>
          </w:tcPr>
          <w:p w14:paraId="40997229">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restart"/>
            <w:noWrap w:val="0"/>
            <w:vAlign w:val="center"/>
          </w:tcPr>
          <w:p w14:paraId="7597CF8C">
            <w:pPr>
              <w:widowControl/>
              <w:snapToGrid w:val="0"/>
              <w:spacing w:line="360" w:lineRule="exact"/>
              <w:jc w:val="center"/>
              <w:rPr>
                <w:rFonts w:hint="eastAsia" w:ascii="宋体" w:hAnsi="宋体" w:eastAsia="宋体" w:cs="宋体"/>
                <w:b w:val="0"/>
                <w:bCs w:val="0"/>
                <w:color w:val="auto"/>
                <w:sz w:val="21"/>
                <w:szCs w:val="21"/>
                <w:highlight w:val="none"/>
                <w:lang w:val="en-US" w:eastAsia="zh-CN"/>
              </w:rPr>
            </w:pPr>
            <w:r>
              <w:rPr>
                <w:rFonts w:hint="eastAsia" w:ascii="宋体" w:hAnsi="宋体" w:cs="宋体"/>
                <w:kern w:val="0"/>
                <w:szCs w:val="21"/>
                <w:highlight w:val="none"/>
              </w:rPr>
              <w:t>3.实施方案（</w:t>
            </w:r>
            <w:r>
              <w:rPr>
                <w:rFonts w:hint="eastAsia" w:ascii="宋体" w:hAnsi="宋体" w:cs="宋体"/>
                <w:kern w:val="0"/>
                <w:szCs w:val="21"/>
                <w:highlight w:val="none"/>
                <w:lang w:val="en-US" w:eastAsia="zh-CN"/>
              </w:rPr>
              <w:t>6</w:t>
            </w:r>
            <w:r>
              <w:rPr>
                <w:rFonts w:hint="eastAsia" w:ascii="宋体" w:hAnsi="宋体" w:cs="宋体"/>
                <w:kern w:val="0"/>
                <w:szCs w:val="21"/>
                <w:highlight w:val="none"/>
              </w:rPr>
              <w:t>分）</w:t>
            </w:r>
          </w:p>
        </w:tc>
        <w:tc>
          <w:tcPr>
            <w:tcW w:w="6770" w:type="dxa"/>
            <w:noWrap w:val="0"/>
            <w:vAlign w:val="center"/>
          </w:tcPr>
          <w:p w14:paraId="04BB2983">
            <w:pPr>
              <w:widowControl/>
              <w:snapToGrid w:val="0"/>
              <w:spacing w:line="360" w:lineRule="exact"/>
              <w:rPr>
                <w:rFonts w:ascii="宋体" w:hAnsi="宋体" w:cs="宋体"/>
                <w:szCs w:val="21"/>
                <w:highlight w:val="none"/>
              </w:rPr>
            </w:pPr>
            <w:r>
              <w:rPr>
                <w:rFonts w:hint="eastAsia" w:ascii="宋体" w:hAnsi="宋体" w:cs="宋体"/>
                <w:szCs w:val="21"/>
                <w:highlight w:val="none"/>
              </w:rPr>
              <w:t>供应商提供的供货、安装、调试措施包括：①供货时间安排及保障措施；②人员配备及职责分工；③安装、调试服务方案及保障措施。</w:t>
            </w:r>
          </w:p>
          <w:p w14:paraId="15B5CD21">
            <w:pPr>
              <w:widowControl/>
              <w:snapToGrid w:val="0"/>
              <w:spacing w:line="360" w:lineRule="exact"/>
              <w:rPr>
                <w:rFonts w:hint="eastAsia" w:ascii="宋体" w:hAnsi="宋体" w:eastAsia="宋体" w:cs="宋体"/>
                <w:sz w:val="21"/>
                <w:szCs w:val="21"/>
                <w:highlight w:val="none"/>
                <w:lang w:val="en-US" w:eastAsia="zh-CN"/>
              </w:rPr>
            </w:pPr>
            <w:r>
              <w:rPr>
                <w:rFonts w:hint="eastAsia" w:ascii="宋体" w:hAnsi="宋体" w:cs="宋体"/>
                <w:szCs w:val="21"/>
                <w:highlight w:val="none"/>
              </w:rPr>
              <w:t>措施具体详实、人员及工具配备合理、完全满足采购需求的得</w:t>
            </w:r>
            <w:r>
              <w:rPr>
                <w:rFonts w:hint="eastAsia" w:ascii="宋体" w:hAnsi="宋体" w:cs="宋体"/>
                <w:szCs w:val="21"/>
                <w:highlight w:val="none"/>
                <w:lang w:val="en-US" w:eastAsia="zh-CN"/>
              </w:rPr>
              <w:t>3</w:t>
            </w:r>
            <w:r>
              <w:rPr>
                <w:rFonts w:hint="eastAsia" w:ascii="宋体" w:hAnsi="宋体" w:cs="宋体"/>
                <w:szCs w:val="21"/>
                <w:highlight w:val="none"/>
              </w:rPr>
              <w:t>分；有较具体的措施，基本满足采购需求的得</w:t>
            </w:r>
            <w:r>
              <w:rPr>
                <w:rFonts w:hint="eastAsia" w:ascii="宋体" w:hAnsi="宋体" w:cs="宋体"/>
                <w:szCs w:val="21"/>
                <w:highlight w:val="none"/>
                <w:lang w:val="en-US" w:eastAsia="zh-CN"/>
              </w:rPr>
              <w:t>2</w:t>
            </w:r>
            <w:r>
              <w:rPr>
                <w:rFonts w:hint="eastAsia" w:ascii="宋体" w:hAnsi="宋体" w:cs="宋体"/>
                <w:szCs w:val="21"/>
                <w:highlight w:val="none"/>
              </w:rPr>
              <w:t>分；措施不完备，不能满足采购需求的得1分；缺项得0分。</w:t>
            </w:r>
          </w:p>
        </w:tc>
      </w:tr>
      <w:tr w14:paraId="64233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0" w:hRule="atLeast"/>
          <w:jc w:val="center"/>
        </w:trPr>
        <w:tc>
          <w:tcPr>
            <w:tcW w:w="1239" w:type="dxa"/>
            <w:vMerge w:val="continue"/>
            <w:noWrap w:val="0"/>
            <w:vAlign w:val="center"/>
          </w:tcPr>
          <w:p w14:paraId="118910DD">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continue"/>
            <w:noWrap w:val="0"/>
            <w:vAlign w:val="center"/>
          </w:tcPr>
          <w:p w14:paraId="250CC316">
            <w:pPr>
              <w:widowControl/>
              <w:snapToGrid w:val="0"/>
              <w:spacing w:line="360" w:lineRule="exact"/>
              <w:rPr>
                <w:rFonts w:hint="eastAsia" w:ascii="宋体" w:hAnsi="宋体" w:eastAsia="宋体" w:cs="宋体"/>
                <w:b w:val="0"/>
                <w:bCs w:val="0"/>
                <w:color w:val="auto"/>
                <w:kern w:val="0"/>
                <w:sz w:val="21"/>
                <w:szCs w:val="21"/>
                <w:highlight w:val="none"/>
                <w:lang w:val="en-US" w:eastAsia="zh-CN"/>
              </w:rPr>
            </w:pPr>
          </w:p>
        </w:tc>
        <w:tc>
          <w:tcPr>
            <w:tcW w:w="6770" w:type="dxa"/>
            <w:noWrap w:val="0"/>
            <w:vAlign w:val="center"/>
          </w:tcPr>
          <w:p w14:paraId="153F5BB0">
            <w:pPr>
              <w:widowControl/>
              <w:snapToGrid w:val="0"/>
              <w:spacing w:line="360" w:lineRule="exact"/>
              <w:rPr>
                <w:rFonts w:ascii="宋体" w:hAnsi="宋体" w:cs="宋体"/>
                <w:szCs w:val="21"/>
                <w:highlight w:val="none"/>
              </w:rPr>
            </w:pPr>
            <w:r>
              <w:rPr>
                <w:rFonts w:hint="eastAsia" w:ascii="宋体" w:hAnsi="宋体" w:cs="宋体"/>
                <w:szCs w:val="21"/>
                <w:highlight w:val="none"/>
              </w:rPr>
              <w:t>根据供应商针对突发情况提供应急服务方案及保障措施进行打分，包含（但不限于）以下内容：应急响应流程及响应时间、应急保障措施（人员配备、备品备件等）。</w:t>
            </w:r>
          </w:p>
          <w:p w14:paraId="4180CFB7">
            <w:pPr>
              <w:widowControl/>
              <w:snapToGrid w:val="0"/>
              <w:spacing w:line="360" w:lineRule="exact"/>
              <w:rPr>
                <w:rFonts w:hint="eastAsia" w:ascii="宋体" w:hAnsi="宋体" w:eastAsia="宋体" w:cs="宋体"/>
                <w:b w:val="0"/>
                <w:bCs w:val="0"/>
                <w:color w:val="auto"/>
                <w:sz w:val="21"/>
                <w:szCs w:val="21"/>
                <w:highlight w:val="none"/>
              </w:rPr>
            </w:pPr>
            <w:r>
              <w:rPr>
                <w:rFonts w:hint="eastAsia" w:ascii="宋体" w:hAnsi="宋体" w:cs="宋体"/>
                <w:szCs w:val="21"/>
                <w:highlight w:val="none"/>
              </w:rPr>
              <w:t>应急响应时间极快、应急保障充分的得</w:t>
            </w:r>
            <w:r>
              <w:rPr>
                <w:rFonts w:hint="eastAsia" w:ascii="宋体" w:hAnsi="宋体" w:cs="宋体"/>
                <w:szCs w:val="21"/>
                <w:highlight w:val="none"/>
                <w:lang w:val="en-US" w:eastAsia="zh-CN"/>
              </w:rPr>
              <w:t>3</w:t>
            </w:r>
            <w:r>
              <w:rPr>
                <w:rFonts w:hint="eastAsia" w:ascii="宋体" w:hAnsi="宋体" w:cs="宋体"/>
                <w:szCs w:val="21"/>
                <w:highlight w:val="none"/>
              </w:rPr>
              <w:t>分；应急响应时间快、应急保障较充分的得</w:t>
            </w:r>
            <w:r>
              <w:rPr>
                <w:rFonts w:hint="eastAsia" w:ascii="宋体" w:hAnsi="宋体" w:cs="宋体"/>
                <w:szCs w:val="21"/>
                <w:highlight w:val="none"/>
                <w:lang w:val="en-US" w:eastAsia="zh-CN"/>
              </w:rPr>
              <w:t>2</w:t>
            </w:r>
            <w:r>
              <w:rPr>
                <w:rFonts w:hint="eastAsia" w:ascii="宋体" w:hAnsi="宋体" w:cs="宋体"/>
                <w:szCs w:val="21"/>
                <w:highlight w:val="none"/>
              </w:rPr>
              <w:t>分；应急响应时间</w:t>
            </w:r>
            <w:r>
              <w:rPr>
                <w:rFonts w:hint="eastAsia" w:ascii="宋体" w:hAnsi="宋体" w:cs="宋体"/>
                <w:szCs w:val="21"/>
                <w:highlight w:val="none"/>
                <w:lang w:val="en-US" w:eastAsia="zh-CN"/>
              </w:rPr>
              <w:t>时间</w:t>
            </w:r>
            <w:r>
              <w:rPr>
                <w:rFonts w:hint="eastAsia" w:ascii="宋体" w:hAnsi="宋体" w:cs="宋体"/>
                <w:szCs w:val="21"/>
                <w:highlight w:val="none"/>
              </w:rPr>
              <w:t>长、应急保障不充分的得1分；缺项得0分。</w:t>
            </w:r>
          </w:p>
        </w:tc>
      </w:tr>
      <w:tr w14:paraId="6E69A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1239" w:type="dxa"/>
            <w:vMerge w:val="restart"/>
            <w:noWrap w:val="0"/>
            <w:vAlign w:val="center"/>
          </w:tcPr>
          <w:p w14:paraId="76C3564E">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商务评价</w:t>
            </w:r>
          </w:p>
          <w:p w14:paraId="6C47E857">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24</w:t>
            </w:r>
            <w:r>
              <w:rPr>
                <w:rFonts w:hint="eastAsia" w:ascii="宋体" w:hAnsi="宋体" w:eastAsia="宋体" w:cs="宋体"/>
                <w:b w:val="0"/>
                <w:bCs w:val="0"/>
                <w:color w:val="auto"/>
                <w:sz w:val="21"/>
                <w:szCs w:val="21"/>
                <w:highlight w:val="none"/>
                <w:lang w:eastAsia="zh-CN"/>
              </w:rPr>
              <w:t>分)</w:t>
            </w:r>
          </w:p>
        </w:tc>
        <w:tc>
          <w:tcPr>
            <w:tcW w:w="1473" w:type="dxa"/>
            <w:tcBorders>
              <w:top w:val="single" w:color="auto" w:sz="4" w:space="0"/>
            </w:tcBorders>
            <w:noWrap w:val="0"/>
            <w:vAlign w:val="center"/>
          </w:tcPr>
          <w:p w14:paraId="4E029953">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1.类似业绩（</w:t>
            </w:r>
            <w:r>
              <w:rPr>
                <w:rFonts w:hint="eastAsia" w:ascii="宋体" w:hAnsi="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lang w:val="en-US" w:eastAsia="zh-CN"/>
              </w:rPr>
              <w:t>分）</w:t>
            </w:r>
          </w:p>
        </w:tc>
        <w:tc>
          <w:tcPr>
            <w:tcW w:w="6770" w:type="dxa"/>
            <w:noWrap w:val="0"/>
            <w:vAlign w:val="top"/>
          </w:tcPr>
          <w:p w14:paraId="2675A9EF">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自2022年1月1日以来具有的类似项目(以合同文件为准），每提供一份得2分，最多得</w:t>
            </w:r>
            <w:r>
              <w:rPr>
                <w:rFonts w:hint="eastAsia" w:ascii="宋体" w:hAnsi="宋体" w:cs="宋体"/>
                <w:b w:val="0"/>
                <w:bCs w:val="0"/>
                <w:color w:val="auto"/>
                <w:kern w:val="0"/>
                <w:sz w:val="21"/>
                <w:szCs w:val="21"/>
                <w:highlight w:val="none"/>
                <w:lang w:val="en-US" w:eastAsia="zh-CN"/>
              </w:rPr>
              <w:t>6</w:t>
            </w:r>
            <w:r>
              <w:rPr>
                <w:rFonts w:hint="eastAsia" w:ascii="宋体" w:hAnsi="宋体" w:eastAsia="宋体" w:cs="宋体"/>
                <w:b w:val="0"/>
                <w:bCs w:val="0"/>
                <w:color w:val="auto"/>
                <w:kern w:val="0"/>
                <w:sz w:val="21"/>
                <w:szCs w:val="21"/>
                <w:highlight w:val="none"/>
                <w:lang w:val="en-US" w:eastAsia="zh-CN"/>
              </w:rPr>
              <w:t>分。</w:t>
            </w:r>
          </w:p>
        </w:tc>
      </w:tr>
      <w:tr w14:paraId="7E156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1239" w:type="dxa"/>
            <w:vMerge w:val="continue"/>
            <w:noWrap w:val="0"/>
            <w:vAlign w:val="center"/>
          </w:tcPr>
          <w:p w14:paraId="7FF6B200">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noWrap w:val="0"/>
            <w:vAlign w:val="center"/>
          </w:tcPr>
          <w:p w14:paraId="2B978CCE">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2.质保期（</w:t>
            </w:r>
            <w:r>
              <w:rPr>
                <w:rFonts w:hint="eastAsia" w:ascii="宋体" w:hAnsi="宋体" w:cs="宋体"/>
                <w:b w:val="0"/>
                <w:bCs w:val="0"/>
                <w:color w:val="auto"/>
                <w:kern w:val="2"/>
                <w:sz w:val="21"/>
                <w:szCs w:val="21"/>
                <w:highlight w:val="none"/>
                <w:lang w:val="en-US" w:eastAsia="zh-CN"/>
              </w:rPr>
              <w:t>4</w:t>
            </w:r>
            <w:r>
              <w:rPr>
                <w:rFonts w:hint="eastAsia" w:ascii="宋体" w:hAnsi="宋体" w:eastAsia="宋体" w:cs="宋体"/>
                <w:b w:val="0"/>
                <w:bCs w:val="0"/>
                <w:color w:val="auto"/>
                <w:kern w:val="2"/>
                <w:sz w:val="21"/>
                <w:szCs w:val="21"/>
                <w:highlight w:val="none"/>
                <w:lang w:val="en-US" w:eastAsia="zh-CN"/>
              </w:rPr>
              <w:t>分）</w:t>
            </w:r>
          </w:p>
        </w:tc>
        <w:tc>
          <w:tcPr>
            <w:tcW w:w="6770" w:type="dxa"/>
            <w:noWrap w:val="0"/>
            <w:vAlign w:val="center"/>
          </w:tcPr>
          <w:p w14:paraId="6F19261E">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质保期在满足采购文件的基础上，每增加一年加2分,最多加</w:t>
            </w:r>
            <w:r>
              <w:rPr>
                <w:rFonts w:hint="eastAsia" w:ascii="宋体" w:hAnsi="宋体" w:cs="宋体"/>
                <w:b w:val="0"/>
                <w:bCs w:val="0"/>
                <w:color w:val="auto"/>
                <w:kern w:val="2"/>
                <w:sz w:val="21"/>
                <w:szCs w:val="21"/>
                <w:highlight w:val="none"/>
                <w:lang w:val="en-US" w:eastAsia="zh-CN"/>
              </w:rPr>
              <w:t>4</w:t>
            </w:r>
            <w:r>
              <w:rPr>
                <w:rFonts w:hint="eastAsia" w:ascii="宋体" w:hAnsi="宋体" w:eastAsia="宋体" w:cs="宋体"/>
                <w:b w:val="0"/>
                <w:bCs w:val="0"/>
                <w:color w:val="auto"/>
                <w:kern w:val="2"/>
                <w:sz w:val="21"/>
                <w:szCs w:val="21"/>
                <w:highlight w:val="none"/>
                <w:lang w:val="en-US" w:eastAsia="zh-CN"/>
              </w:rPr>
              <w:t>分（出具相关服务承诺书）。</w:t>
            </w:r>
          </w:p>
        </w:tc>
      </w:tr>
      <w:tr w14:paraId="66E76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jc w:val="center"/>
        </w:trPr>
        <w:tc>
          <w:tcPr>
            <w:tcW w:w="1239" w:type="dxa"/>
            <w:vMerge w:val="continue"/>
            <w:noWrap w:val="0"/>
            <w:vAlign w:val="center"/>
          </w:tcPr>
          <w:p w14:paraId="0DB3E570">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noWrap w:val="0"/>
            <w:vAlign w:val="center"/>
          </w:tcPr>
          <w:p w14:paraId="7841A1EC">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cs="宋体"/>
                <w:b w:val="0"/>
                <w:bCs/>
                <w:color w:val="auto"/>
                <w:kern w:val="2"/>
                <w:sz w:val="21"/>
                <w:szCs w:val="21"/>
                <w:highlight w:val="none"/>
                <w:lang w:val="en-US" w:eastAsia="zh-CN" w:bidi="ar-SA"/>
              </w:rPr>
              <w:t>3.</w:t>
            </w:r>
            <w:r>
              <w:rPr>
                <w:rFonts w:hint="eastAsia" w:ascii="宋体" w:hAnsi="宋体" w:eastAsia="宋体" w:cs="宋体"/>
                <w:b w:val="0"/>
                <w:bCs/>
                <w:color w:val="auto"/>
                <w:kern w:val="2"/>
                <w:sz w:val="21"/>
                <w:szCs w:val="21"/>
                <w:highlight w:val="none"/>
                <w:lang w:val="en-US" w:eastAsia="zh-CN" w:bidi="ar-SA"/>
              </w:rPr>
              <w:t>设备使用年限</w:t>
            </w:r>
            <w:r>
              <w:rPr>
                <w:rFonts w:hint="eastAsia" w:ascii="宋体" w:hAnsi="宋体" w:cs="宋体"/>
                <w:b w:val="0"/>
                <w:bCs/>
                <w:color w:val="auto"/>
                <w:kern w:val="2"/>
                <w:sz w:val="21"/>
                <w:szCs w:val="21"/>
                <w:highlight w:val="none"/>
                <w:lang w:val="en-US" w:eastAsia="zh-CN" w:bidi="ar-SA"/>
              </w:rPr>
              <w:t>（4分）</w:t>
            </w:r>
          </w:p>
        </w:tc>
        <w:tc>
          <w:tcPr>
            <w:tcW w:w="6770" w:type="dxa"/>
            <w:noWrap w:val="0"/>
            <w:vAlign w:val="center"/>
          </w:tcPr>
          <w:p w14:paraId="1DC783AC">
            <w:pPr>
              <w:keepNext w:val="0"/>
              <w:keepLines w:val="0"/>
              <w:pageBreakBefore w:val="0"/>
              <w:widowControl/>
              <w:kinsoku/>
              <w:wordWrap/>
              <w:overflowPunct/>
              <w:topLinePunct w:val="0"/>
              <w:autoSpaceDE/>
              <w:autoSpaceDN/>
              <w:bidi w:val="0"/>
              <w:adjustRightInd/>
              <w:snapToGrid w:val="0"/>
              <w:spacing w:line="360" w:lineRule="exact"/>
              <w:jc w:val="left"/>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设备使用年限在8年基础上，每增加一年加2分，最多加4分。</w:t>
            </w:r>
          </w:p>
          <w:p w14:paraId="348FB6D8">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default" w:ascii="宋体" w:hAnsi="宋体" w:eastAsia="宋体" w:cs="宋体"/>
                <w:b w:val="0"/>
                <w:bCs w:val="0"/>
                <w:color w:val="auto"/>
                <w:kern w:val="2"/>
                <w:sz w:val="21"/>
                <w:szCs w:val="21"/>
                <w:highlight w:val="none"/>
                <w:lang w:val="en-US" w:eastAsia="zh-CN"/>
              </w:rPr>
            </w:pPr>
            <w:r>
              <w:rPr>
                <w:rFonts w:hint="eastAsia" w:ascii="宋体" w:hAnsi="宋体" w:cs="宋体"/>
                <w:color w:val="auto"/>
                <w:sz w:val="21"/>
                <w:szCs w:val="21"/>
                <w:highlight w:val="none"/>
                <w:lang w:val="en-US" w:eastAsia="zh-CN"/>
              </w:rPr>
              <w:t>注：提供注册检验报告照片页或备案证明，未提供不得分。</w:t>
            </w:r>
          </w:p>
        </w:tc>
      </w:tr>
      <w:tr w14:paraId="1A7CA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jc w:val="center"/>
        </w:trPr>
        <w:tc>
          <w:tcPr>
            <w:tcW w:w="1239" w:type="dxa"/>
            <w:vMerge w:val="continue"/>
            <w:noWrap w:val="0"/>
            <w:vAlign w:val="center"/>
          </w:tcPr>
          <w:p w14:paraId="013C9329">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noWrap w:val="0"/>
            <w:vAlign w:val="center"/>
          </w:tcPr>
          <w:p w14:paraId="76A725BA">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cs="宋体"/>
                <w:b w:val="0"/>
                <w:bCs w:val="0"/>
                <w:color w:val="auto"/>
                <w:kern w:val="2"/>
                <w:sz w:val="21"/>
                <w:szCs w:val="21"/>
                <w:highlight w:val="none"/>
                <w:lang w:val="en-US" w:eastAsia="zh-CN"/>
              </w:rPr>
              <w:t>4.</w:t>
            </w:r>
            <w:r>
              <w:rPr>
                <w:rFonts w:hint="eastAsia" w:ascii="宋体" w:hAnsi="宋体" w:eastAsia="宋体" w:cs="宋体"/>
                <w:b w:val="0"/>
                <w:bCs w:val="0"/>
                <w:color w:val="auto"/>
                <w:kern w:val="2"/>
                <w:sz w:val="21"/>
                <w:szCs w:val="21"/>
                <w:highlight w:val="none"/>
                <w:lang w:val="en-US" w:eastAsia="zh-CN"/>
              </w:rPr>
              <w:t>优惠承诺（</w:t>
            </w:r>
            <w:r>
              <w:rPr>
                <w:rFonts w:hint="eastAsia" w:ascii="宋体" w:hAnsi="宋体" w:cs="宋体"/>
                <w:b w:val="0"/>
                <w:bCs w:val="0"/>
                <w:color w:val="auto"/>
                <w:kern w:val="2"/>
                <w:sz w:val="21"/>
                <w:szCs w:val="21"/>
                <w:highlight w:val="none"/>
                <w:lang w:val="en-US" w:eastAsia="zh-CN"/>
              </w:rPr>
              <w:t>2</w:t>
            </w:r>
            <w:r>
              <w:rPr>
                <w:rFonts w:hint="eastAsia" w:ascii="宋体" w:hAnsi="宋体" w:eastAsia="宋体" w:cs="宋体"/>
                <w:b w:val="0"/>
                <w:bCs w:val="0"/>
                <w:color w:val="auto"/>
                <w:kern w:val="2"/>
                <w:sz w:val="21"/>
                <w:szCs w:val="21"/>
                <w:highlight w:val="none"/>
                <w:lang w:val="en-US" w:eastAsia="zh-CN"/>
              </w:rPr>
              <w:t>分）</w:t>
            </w:r>
          </w:p>
        </w:tc>
        <w:tc>
          <w:tcPr>
            <w:tcW w:w="6770" w:type="dxa"/>
            <w:noWrap w:val="0"/>
            <w:vAlign w:val="center"/>
          </w:tcPr>
          <w:p w14:paraId="3A0D73C5">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根据供应商在满足采购文件基本要求的基础上提供的实质性优惠承诺。</w:t>
            </w:r>
          </w:p>
          <w:p w14:paraId="0E752E22">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每提供一项对采购人有利的、切实可行的实质性优惠承诺得</w:t>
            </w:r>
            <w:r>
              <w:rPr>
                <w:rFonts w:hint="eastAsia" w:ascii="宋体" w:hAnsi="宋体" w:cs="宋体"/>
                <w:b w:val="0"/>
                <w:bCs w:val="0"/>
                <w:color w:val="auto"/>
                <w:kern w:val="2"/>
                <w:sz w:val="21"/>
                <w:szCs w:val="21"/>
                <w:highlight w:val="none"/>
                <w:lang w:val="en-US" w:eastAsia="zh-CN"/>
              </w:rPr>
              <w:t>1</w:t>
            </w:r>
            <w:r>
              <w:rPr>
                <w:rFonts w:hint="eastAsia" w:ascii="宋体" w:hAnsi="宋体" w:eastAsia="宋体" w:cs="宋体"/>
                <w:b w:val="0"/>
                <w:bCs w:val="0"/>
                <w:color w:val="auto"/>
                <w:kern w:val="2"/>
                <w:sz w:val="21"/>
                <w:szCs w:val="21"/>
                <w:highlight w:val="none"/>
                <w:lang w:val="en-US" w:eastAsia="zh-CN"/>
              </w:rPr>
              <w:t>分，最多得</w:t>
            </w:r>
            <w:r>
              <w:rPr>
                <w:rFonts w:hint="eastAsia" w:ascii="宋体" w:hAnsi="宋体" w:cs="宋体"/>
                <w:b w:val="0"/>
                <w:bCs w:val="0"/>
                <w:color w:val="auto"/>
                <w:kern w:val="2"/>
                <w:sz w:val="21"/>
                <w:szCs w:val="21"/>
                <w:highlight w:val="none"/>
                <w:lang w:val="en-US" w:eastAsia="zh-CN"/>
              </w:rPr>
              <w:t>2</w:t>
            </w:r>
            <w:r>
              <w:rPr>
                <w:rFonts w:hint="eastAsia" w:ascii="宋体" w:hAnsi="宋体" w:eastAsia="宋体" w:cs="宋体"/>
                <w:b w:val="0"/>
                <w:bCs w:val="0"/>
                <w:color w:val="auto"/>
                <w:kern w:val="2"/>
                <w:sz w:val="21"/>
                <w:szCs w:val="21"/>
                <w:highlight w:val="none"/>
                <w:lang w:val="en-US" w:eastAsia="zh-CN"/>
              </w:rPr>
              <w:t xml:space="preserve">分。未提供者不得分。 </w:t>
            </w:r>
          </w:p>
        </w:tc>
      </w:tr>
      <w:tr w14:paraId="42BBC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 w:hRule="atLeast"/>
          <w:jc w:val="center"/>
        </w:trPr>
        <w:tc>
          <w:tcPr>
            <w:tcW w:w="1239" w:type="dxa"/>
            <w:vMerge w:val="continue"/>
            <w:noWrap w:val="0"/>
            <w:vAlign w:val="center"/>
          </w:tcPr>
          <w:p w14:paraId="77B142F9">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noWrap w:val="0"/>
            <w:vAlign w:val="center"/>
          </w:tcPr>
          <w:p w14:paraId="765955F6">
            <w:pPr>
              <w:snapToGrid w:val="0"/>
              <w:spacing w:line="360" w:lineRule="exact"/>
              <w:jc w:val="center"/>
              <w:rPr>
                <w:rFonts w:hint="eastAsia" w:ascii="宋体" w:hAnsi="宋体" w:eastAsia="宋体" w:cs="宋体"/>
                <w:b w:val="0"/>
                <w:bCs w:val="0"/>
                <w:color w:val="auto"/>
                <w:sz w:val="21"/>
                <w:szCs w:val="21"/>
                <w:highlight w:val="none"/>
                <w:lang w:val="en-US" w:eastAsia="zh-CN"/>
              </w:rPr>
            </w:pPr>
            <w:r>
              <w:rPr>
                <w:rFonts w:hint="eastAsia" w:ascii="宋体" w:hAnsi="宋体" w:cs="宋体"/>
                <w:szCs w:val="21"/>
                <w:highlight w:val="none"/>
                <w:lang w:val="en-US" w:eastAsia="zh-CN"/>
              </w:rPr>
              <w:t>5.</w:t>
            </w:r>
            <w:r>
              <w:rPr>
                <w:rFonts w:hint="eastAsia" w:ascii="宋体" w:hAnsi="宋体" w:cs="宋体"/>
                <w:szCs w:val="21"/>
                <w:highlight w:val="none"/>
              </w:rPr>
              <w:t>售后服务（</w:t>
            </w:r>
            <w:r>
              <w:rPr>
                <w:rFonts w:hint="eastAsia" w:ascii="宋体" w:hAnsi="宋体" w:cs="宋体"/>
                <w:szCs w:val="21"/>
                <w:highlight w:val="none"/>
                <w:lang w:val="en-US" w:eastAsia="zh-CN"/>
              </w:rPr>
              <w:t>8</w:t>
            </w:r>
            <w:r>
              <w:rPr>
                <w:rFonts w:hint="eastAsia" w:ascii="宋体" w:hAnsi="宋体" w:cs="宋体"/>
                <w:szCs w:val="21"/>
                <w:highlight w:val="none"/>
              </w:rPr>
              <w:t>分）</w:t>
            </w:r>
          </w:p>
        </w:tc>
        <w:tc>
          <w:tcPr>
            <w:tcW w:w="6770" w:type="dxa"/>
            <w:noWrap w:val="0"/>
            <w:vAlign w:val="center"/>
          </w:tcPr>
          <w:p w14:paraId="3FCE4105">
            <w:pPr>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szCs w:val="21"/>
                <w:highlight w:val="none"/>
                <w:lang w:eastAsia="zh-CN"/>
              </w:rPr>
            </w:pPr>
            <w:r>
              <w:rPr>
                <w:rFonts w:hint="eastAsia" w:ascii="宋体" w:hAnsi="宋体" w:cs="宋体"/>
                <w:szCs w:val="21"/>
                <w:highlight w:val="none"/>
              </w:rPr>
              <w:t>根据供应商提供的售后服务</w:t>
            </w:r>
            <w:r>
              <w:rPr>
                <w:rFonts w:hint="eastAsia" w:ascii="宋体" w:hAnsi="宋体" w:cs="宋体"/>
                <w:szCs w:val="21"/>
                <w:highlight w:val="none"/>
                <w:lang w:val="en-US" w:eastAsia="zh-CN"/>
              </w:rPr>
              <w:t>及培训方</w:t>
            </w:r>
            <w:r>
              <w:rPr>
                <w:rFonts w:hint="eastAsia" w:ascii="宋体" w:hAnsi="宋体" w:eastAsia="宋体" w:cs="宋体"/>
                <w:szCs w:val="21"/>
                <w:highlight w:val="none"/>
                <w:lang w:val="en-US" w:eastAsia="zh-CN"/>
              </w:rPr>
              <w:t>案进行评分，包括但不限于：</w:t>
            </w:r>
            <w:r>
              <w:rPr>
                <w:rFonts w:hint="default" w:ascii="宋体" w:hAnsi="宋体" w:eastAsia="宋体" w:cs="宋体"/>
                <w:szCs w:val="21"/>
                <w:highlight w:val="none"/>
                <w:lang w:val="en-US" w:eastAsia="zh-CN"/>
              </w:rPr>
              <w:t>①服务站点设立，售后服务团队及其联系方式、技术水平</w:t>
            </w:r>
            <w:r>
              <w:rPr>
                <w:rFonts w:hint="eastAsia" w:ascii="宋体" w:hAnsi="宋体" w:eastAsia="宋体" w:cs="宋体"/>
                <w:szCs w:val="21"/>
                <w:highlight w:val="none"/>
                <w:lang w:val="en-US" w:eastAsia="zh-CN"/>
              </w:rPr>
              <w:t>能力</w:t>
            </w:r>
            <w:r>
              <w:rPr>
                <w:rFonts w:hint="default" w:ascii="宋体" w:hAnsi="宋体" w:eastAsia="宋体" w:cs="宋体"/>
                <w:szCs w:val="21"/>
                <w:highlight w:val="none"/>
                <w:lang w:val="en-US" w:eastAsia="zh-CN"/>
              </w:rPr>
              <w:t>及职责分工</w:t>
            </w:r>
            <w:r>
              <w:rPr>
                <w:rFonts w:hint="eastAsia" w:ascii="宋体" w:hAnsi="宋体" w:eastAsia="宋体" w:cs="宋体"/>
                <w:szCs w:val="21"/>
                <w:highlight w:val="none"/>
                <w:lang w:val="en-US" w:eastAsia="zh-CN"/>
              </w:rPr>
              <w:t>；</w:t>
            </w:r>
            <w:r>
              <w:rPr>
                <w:rFonts w:hint="default" w:ascii="宋体" w:hAnsi="宋体" w:eastAsia="宋体" w:cs="宋体"/>
                <w:szCs w:val="21"/>
                <w:highlight w:val="none"/>
                <w:lang w:val="en-US" w:eastAsia="zh-CN"/>
              </w:rPr>
              <w:t>②</w:t>
            </w:r>
            <w:r>
              <w:rPr>
                <w:rFonts w:hint="eastAsia" w:ascii="宋体" w:hAnsi="宋体" w:eastAsia="宋体" w:cs="宋体"/>
                <w:szCs w:val="21"/>
                <w:highlight w:val="none"/>
              </w:rPr>
              <w:t>日常设备维保方案</w:t>
            </w:r>
            <w:r>
              <w:rPr>
                <w:rFonts w:hint="eastAsia" w:ascii="宋体" w:hAnsi="宋体" w:eastAsia="宋体" w:cs="宋体"/>
                <w:szCs w:val="21"/>
                <w:highlight w:val="none"/>
                <w:lang w:eastAsia="zh-CN"/>
              </w:rPr>
              <w:t>；</w:t>
            </w:r>
            <w:r>
              <w:rPr>
                <w:rFonts w:hint="default" w:ascii="宋体" w:hAnsi="宋体" w:eastAsia="宋体" w:cs="宋体"/>
                <w:szCs w:val="21"/>
                <w:highlight w:val="none"/>
                <w:lang w:val="en-US" w:eastAsia="zh-CN"/>
              </w:rPr>
              <w:t>③</w:t>
            </w:r>
            <w:r>
              <w:rPr>
                <w:rFonts w:hint="eastAsia" w:ascii="宋体" w:hAnsi="宋体" w:eastAsia="宋体" w:cs="宋体"/>
                <w:szCs w:val="21"/>
                <w:highlight w:val="none"/>
              </w:rPr>
              <w:t>故障响应时间</w:t>
            </w: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④</w:t>
            </w:r>
            <w:r>
              <w:rPr>
                <w:rFonts w:hint="eastAsia" w:ascii="宋体" w:hAnsi="宋体" w:eastAsia="宋体" w:cs="宋体"/>
                <w:szCs w:val="21"/>
                <w:highlight w:val="none"/>
              </w:rPr>
              <w:t>应急维修措施预案</w:t>
            </w: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⑤</w:t>
            </w:r>
            <w:r>
              <w:rPr>
                <w:rFonts w:hint="eastAsia" w:ascii="宋体" w:hAnsi="宋体" w:eastAsia="宋体" w:cs="宋体"/>
                <w:szCs w:val="21"/>
                <w:highlight w:val="none"/>
              </w:rPr>
              <w:t>培训方案</w:t>
            </w:r>
            <w:r>
              <w:rPr>
                <w:rFonts w:hint="eastAsia" w:ascii="宋体" w:hAnsi="宋体" w:eastAsia="宋体" w:cs="宋体"/>
                <w:szCs w:val="21"/>
                <w:highlight w:val="none"/>
                <w:lang w:eastAsia="zh-CN"/>
              </w:rPr>
              <w:t>。</w:t>
            </w:r>
          </w:p>
          <w:p w14:paraId="6C6D586B">
            <w:pPr>
              <w:snapToGrid w:val="0"/>
              <w:spacing w:line="360" w:lineRule="exact"/>
              <w:rPr>
                <w:rFonts w:ascii="宋体" w:hAnsi="宋体" w:cs="宋体"/>
                <w:szCs w:val="21"/>
                <w:highlight w:val="none"/>
              </w:rPr>
            </w:pPr>
            <w:r>
              <w:rPr>
                <w:rFonts w:hint="eastAsia" w:ascii="宋体" w:hAnsi="宋体" w:cs="宋体"/>
                <w:szCs w:val="21"/>
                <w:highlight w:val="none"/>
              </w:rPr>
              <w:t>服务承诺符合本项目特点，措施详尽、人员专业性强、故障响应时间极快、日常维保方案及应急维修措施预案合理且可行，有具体的培训方案，得</w:t>
            </w:r>
            <w:r>
              <w:rPr>
                <w:rFonts w:hint="eastAsia" w:ascii="宋体" w:hAnsi="宋体" w:cs="宋体"/>
                <w:szCs w:val="21"/>
                <w:highlight w:val="none"/>
                <w:lang w:val="en-US" w:eastAsia="zh-CN"/>
              </w:rPr>
              <w:t>8</w:t>
            </w:r>
            <w:r>
              <w:rPr>
                <w:rFonts w:hint="eastAsia" w:ascii="宋体" w:hAnsi="宋体" w:cs="宋体"/>
                <w:szCs w:val="21"/>
                <w:highlight w:val="none"/>
              </w:rPr>
              <w:t>分。</w:t>
            </w:r>
          </w:p>
          <w:p w14:paraId="18B629E5">
            <w:pPr>
              <w:snapToGrid w:val="0"/>
              <w:spacing w:line="360" w:lineRule="exact"/>
              <w:rPr>
                <w:rFonts w:ascii="宋体" w:hAnsi="宋体" w:cs="宋体"/>
                <w:szCs w:val="21"/>
                <w:highlight w:val="none"/>
              </w:rPr>
            </w:pPr>
            <w:r>
              <w:rPr>
                <w:rFonts w:hint="eastAsia" w:ascii="宋体" w:hAnsi="宋体" w:cs="宋体"/>
                <w:szCs w:val="21"/>
                <w:highlight w:val="none"/>
              </w:rPr>
              <w:t>服务承诺符合本项目特点，人员专业性较强、故障响应时间快、日常维保方案及应急维修措施预案较合理，有较具体的培训方案的得</w:t>
            </w:r>
            <w:r>
              <w:rPr>
                <w:rFonts w:hint="eastAsia" w:ascii="宋体" w:hAnsi="宋体" w:cs="宋体"/>
                <w:szCs w:val="21"/>
                <w:highlight w:val="none"/>
                <w:lang w:val="en-US" w:eastAsia="zh-CN"/>
              </w:rPr>
              <w:t>5</w:t>
            </w:r>
            <w:r>
              <w:rPr>
                <w:rFonts w:hint="eastAsia" w:ascii="宋体" w:hAnsi="宋体" w:cs="宋体"/>
                <w:szCs w:val="21"/>
                <w:highlight w:val="none"/>
              </w:rPr>
              <w:t>分；</w:t>
            </w:r>
          </w:p>
          <w:p w14:paraId="00DC6467">
            <w:pPr>
              <w:snapToGrid w:val="0"/>
              <w:spacing w:line="360" w:lineRule="exact"/>
              <w:rPr>
                <w:rFonts w:ascii="宋体" w:hAnsi="宋体" w:cs="宋体"/>
                <w:szCs w:val="21"/>
                <w:highlight w:val="none"/>
              </w:rPr>
            </w:pPr>
            <w:r>
              <w:rPr>
                <w:rFonts w:hint="eastAsia" w:ascii="宋体" w:hAnsi="宋体" w:cs="宋体"/>
                <w:szCs w:val="21"/>
                <w:highlight w:val="none"/>
              </w:rPr>
              <w:t>服务承诺符合本项目特点，故障响应时间较长、应急维修措施预案不完备，培训方案不完备的得2分；</w:t>
            </w:r>
          </w:p>
          <w:p w14:paraId="6951BD09">
            <w:pPr>
              <w:snapToGrid w:val="0"/>
              <w:spacing w:line="360" w:lineRule="exact"/>
              <w:rPr>
                <w:rFonts w:hint="eastAsia" w:ascii="宋体" w:hAnsi="宋体" w:eastAsia="宋体" w:cs="宋体"/>
                <w:sz w:val="21"/>
                <w:szCs w:val="21"/>
                <w:highlight w:val="none"/>
              </w:rPr>
            </w:pPr>
            <w:r>
              <w:rPr>
                <w:rFonts w:hint="eastAsia" w:ascii="宋体" w:hAnsi="宋体" w:cs="宋体"/>
                <w:szCs w:val="21"/>
                <w:highlight w:val="none"/>
              </w:rPr>
              <w:t>缺项得0分。</w:t>
            </w:r>
          </w:p>
        </w:tc>
      </w:tr>
      <w:tr w14:paraId="3921C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239" w:type="dxa"/>
            <w:noWrap w:val="0"/>
            <w:vAlign w:val="top"/>
          </w:tcPr>
          <w:p w14:paraId="4AC4B988">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得分的计算</w:t>
            </w:r>
          </w:p>
        </w:tc>
        <w:tc>
          <w:tcPr>
            <w:tcW w:w="8243" w:type="dxa"/>
            <w:gridSpan w:val="2"/>
            <w:noWrap w:val="0"/>
            <w:vAlign w:val="center"/>
          </w:tcPr>
          <w:p w14:paraId="78FC6F3E">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成员评分=各项评分因素的汇总得分。</w:t>
            </w:r>
          </w:p>
          <w:p w14:paraId="335A6C5F">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评标总得分=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所有成员合计评分/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组成人员数。</w:t>
            </w:r>
          </w:p>
        </w:tc>
      </w:tr>
    </w:tbl>
    <w:p w14:paraId="38C63B20">
      <w:pPr>
        <w:rPr>
          <w:rFonts w:hint="eastAsia" w:ascii="宋体" w:hAnsi="宋体" w:eastAsia="宋体" w:cs="宋体"/>
          <w:b/>
          <w:color w:val="auto"/>
          <w:highlight w:val="none"/>
        </w:rPr>
      </w:pPr>
      <w:r>
        <w:rPr>
          <w:rFonts w:hint="eastAsia" w:ascii="宋体" w:hAnsi="宋体" w:eastAsia="宋体" w:cs="宋体"/>
          <w:b/>
          <w:color w:val="auto"/>
          <w:highlight w:val="none"/>
        </w:rPr>
        <w:br w:type="page"/>
      </w:r>
    </w:p>
    <w:bookmarkEnd w:id="73"/>
    <w:p w14:paraId="10C10DF7">
      <w:pPr>
        <w:pStyle w:val="3"/>
        <w:snapToGrid w:val="0"/>
        <w:spacing w:before="0" w:after="0" w:line="480" w:lineRule="auto"/>
        <w:jc w:val="center"/>
        <w:rPr>
          <w:rFonts w:hint="eastAsia" w:ascii="宋体" w:hAnsi="宋体" w:eastAsia="宋体" w:cs="宋体"/>
          <w:color w:val="auto"/>
          <w:sz w:val="28"/>
          <w:szCs w:val="28"/>
          <w:highlight w:val="none"/>
        </w:rPr>
        <w:sectPr>
          <w:pgSz w:w="11906" w:h="16838"/>
          <w:pgMar w:top="1417" w:right="1474" w:bottom="1417" w:left="1474" w:header="851" w:footer="624" w:gutter="0"/>
          <w:pgNumType w:fmt="decimal"/>
          <w:cols w:space="720" w:num="1"/>
          <w:docGrid w:type="lines" w:linePitch="319" w:charSpace="0"/>
        </w:sectPr>
      </w:pPr>
      <w:bookmarkStart w:id="77" w:name="_Toc1947"/>
      <w:bookmarkStart w:id="78" w:name="_Toc1482"/>
      <w:bookmarkStart w:id="79" w:name="_Toc256519703"/>
      <w:bookmarkStart w:id="80" w:name="_Toc326786897"/>
    </w:p>
    <w:p w14:paraId="5A0BE0D1">
      <w:pPr>
        <w:pStyle w:val="3"/>
        <w:snapToGrid w:val="0"/>
        <w:spacing w:before="0" w:after="0" w:line="480" w:lineRule="auto"/>
        <w:jc w:val="center"/>
        <w:rPr>
          <w:rFonts w:hint="eastAsia" w:ascii="宋体" w:hAnsi="宋体" w:eastAsia="宋体" w:cs="宋体"/>
          <w:color w:val="auto"/>
          <w:sz w:val="28"/>
          <w:szCs w:val="28"/>
          <w:highlight w:val="none"/>
        </w:rPr>
      </w:pPr>
      <w:bookmarkStart w:id="81" w:name="_Toc16728"/>
      <w:r>
        <w:rPr>
          <w:rFonts w:hint="eastAsia" w:ascii="宋体" w:hAnsi="宋体" w:eastAsia="宋体" w:cs="宋体"/>
          <w:color w:val="auto"/>
          <w:sz w:val="28"/>
          <w:szCs w:val="28"/>
          <w:highlight w:val="none"/>
        </w:rPr>
        <w:t>第五章  采购合同</w:t>
      </w:r>
      <w:bookmarkEnd w:id="81"/>
    </w:p>
    <w:p w14:paraId="7203F7C0">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以实际合同为准</w:t>
      </w:r>
      <w:r>
        <w:rPr>
          <w:rFonts w:hint="eastAsia" w:ascii="宋体" w:hAnsi="宋体" w:eastAsia="宋体" w:cs="宋体"/>
          <w:color w:val="auto"/>
          <w:sz w:val="21"/>
          <w:szCs w:val="21"/>
          <w:highlight w:val="none"/>
          <w:lang w:eastAsia="zh-CN"/>
        </w:rPr>
        <w:t>）</w:t>
      </w:r>
    </w:p>
    <w:p w14:paraId="04849F9F">
      <w:pPr>
        <w:rPr>
          <w:rFonts w:hint="eastAsia" w:ascii="宋体" w:hAnsi="宋体" w:eastAsia="宋体" w:cs="宋体"/>
          <w:color w:val="auto"/>
          <w:sz w:val="32"/>
          <w:szCs w:val="32"/>
          <w:highlight w:val="none"/>
        </w:rPr>
      </w:pPr>
    </w:p>
    <w:p w14:paraId="4150DAB8">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0EBB8A6">
      <w:pPr>
        <w:pStyle w:val="3"/>
        <w:spacing w:after="0" w:afterAutospacing="0"/>
        <w:jc w:val="center"/>
        <w:rPr>
          <w:rFonts w:hint="eastAsia" w:ascii="宋体" w:hAnsi="宋体" w:eastAsia="宋体" w:cs="宋体"/>
          <w:color w:val="auto"/>
          <w:kern w:val="0"/>
          <w:highlight w:val="none"/>
        </w:rPr>
      </w:pPr>
      <w:bookmarkStart w:id="82" w:name="_Toc13879"/>
      <w:r>
        <w:rPr>
          <w:rFonts w:hint="eastAsia" w:ascii="宋体" w:hAnsi="宋体" w:eastAsia="宋体" w:cs="宋体"/>
          <w:color w:val="auto"/>
          <w:sz w:val="32"/>
          <w:szCs w:val="32"/>
          <w:highlight w:val="none"/>
        </w:rPr>
        <w:t xml:space="preserve">第六章  </w:t>
      </w:r>
      <w:r>
        <w:rPr>
          <w:rFonts w:hint="eastAsia" w:ascii="宋体" w:hAnsi="宋体" w:eastAsia="宋体" w:cs="宋体"/>
          <w:color w:val="auto"/>
          <w:sz w:val="32"/>
          <w:szCs w:val="32"/>
          <w:highlight w:val="none"/>
          <w:lang w:val="en-US" w:eastAsia="zh-CN"/>
        </w:rPr>
        <w:t>响应</w:t>
      </w:r>
      <w:r>
        <w:rPr>
          <w:rFonts w:hint="eastAsia" w:ascii="宋体" w:hAnsi="宋体" w:eastAsia="宋体" w:cs="宋体"/>
          <w:color w:val="auto"/>
          <w:sz w:val="32"/>
          <w:szCs w:val="32"/>
          <w:highlight w:val="none"/>
        </w:rPr>
        <w:t>文件格式</w:t>
      </w:r>
      <w:bookmarkEnd w:id="77"/>
      <w:bookmarkEnd w:id="78"/>
      <w:bookmarkEnd w:id="82"/>
    </w:p>
    <w:p w14:paraId="5164A6B6">
      <w:pPr>
        <w:spacing w:beforeAutospacing="0" w:line="440" w:lineRule="exact"/>
        <w:rPr>
          <w:rFonts w:hint="eastAsia" w:ascii="宋体" w:hAnsi="宋体" w:eastAsia="宋体" w:cs="宋体"/>
          <w:color w:val="auto"/>
          <w:sz w:val="24"/>
          <w:highlight w:val="none"/>
        </w:rPr>
      </w:pPr>
    </w:p>
    <w:p w14:paraId="1238A038">
      <w:pPr>
        <w:jc w:val="center"/>
        <w:rPr>
          <w:rFonts w:hint="eastAsia" w:ascii="宋体" w:hAnsi="宋体" w:eastAsia="宋体" w:cs="宋体"/>
          <w:b/>
          <w:bCs/>
          <w:color w:val="auto"/>
          <w:sz w:val="32"/>
          <w:szCs w:val="32"/>
          <w:highlight w:val="none"/>
        </w:rPr>
      </w:pPr>
      <w:bookmarkStart w:id="83" w:name="_Toc13604"/>
      <w:r>
        <w:rPr>
          <w:rFonts w:hint="eastAsia" w:ascii="宋体" w:hAnsi="宋体" w:eastAsia="宋体" w:cs="宋体"/>
          <w:b/>
          <w:bCs/>
          <w:color w:val="auto"/>
          <w:sz w:val="32"/>
          <w:szCs w:val="32"/>
          <w:highlight w:val="none"/>
        </w:rPr>
        <w:t>目    录</w:t>
      </w:r>
      <w:bookmarkEnd w:id="83"/>
    </w:p>
    <w:p w14:paraId="3DEA2778">
      <w:pPr>
        <w:widowControl/>
        <w:wordWrap w:val="0"/>
        <w:spacing w:line="460" w:lineRule="exact"/>
        <w:ind w:firstLine="480" w:firstLineChars="200"/>
        <w:jc w:val="left"/>
        <w:rPr>
          <w:rFonts w:hint="eastAsia" w:ascii="宋体" w:hAnsi="宋体" w:eastAsia="宋体" w:cs="宋体"/>
          <w:color w:val="auto"/>
          <w:kern w:val="0"/>
          <w:sz w:val="24"/>
          <w:highlight w:val="none"/>
        </w:rPr>
      </w:pPr>
    </w:p>
    <w:p w14:paraId="535B7753">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84" w:name="_Toc11308"/>
      <w:r>
        <w:rPr>
          <w:rFonts w:hint="eastAsia" w:ascii="宋体" w:hAnsi="宋体" w:eastAsia="宋体" w:cs="宋体"/>
          <w:color w:val="auto"/>
          <w:sz w:val="24"/>
          <w:highlight w:val="none"/>
        </w:rPr>
        <w:t>附件1</w:t>
      </w:r>
      <w:r>
        <w:rPr>
          <w:rFonts w:hint="eastAsia" w:ascii="宋体" w:hAnsi="宋体" w:eastAsia="宋体" w:cs="宋体"/>
          <w:color w:val="auto"/>
          <w:sz w:val="24"/>
          <w:highlight w:val="none"/>
          <w:lang w:val="en-US" w:eastAsia="zh-CN"/>
        </w:rPr>
        <w:t xml:space="preserve"> 响应</w:t>
      </w:r>
      <w:r>
        <w:rPr>
          <w:rFonts w:hint="eastAsia" w:ascii="宋体" w:hAnsi="宋体" w:eastAsia="宋体" w:cs="宋体"/>
          <w:color w:val="auto"/>
          <w:sz w:val="24"/>
          <w:highlight w:val="none"/>
        </w:rPr>
        <w:t>文件封面（格式）</w:t>
      </w:r>
      <w:bookmarkEnd w:id="84"/>
    </w:p>
    <w:p w14:paraId="1911060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85" w:name="_Toc25345"/>
      <w:r>
        <w:rPr>
          <w:rFonts w:hint="eastAsia" w:ascii="宋体" w:hAnsi="宋体" w:eastAsia="宋体" w:cs="宋体"/>
          <w:color w:val="auto"/>
          <w:sz w:val="24"/>
          <w:highlight w:val="none"/>
        </w:rPr>
        <w:t xml:space="preserve">附件2 </w:t>
      </w:r>
      <w:r>
        <w:rPr>
          <w:rFonts w:hint="eastAsia" w:ascii="宋体" w:hAnsi="宋体" w:eastAsia="宋体" w:cs="宋体"/>
          <w:color w:val="auto"/>
          <w:kern w:val="0"/>
          <w:sz w:val="24"/>
          <w:szCs w:val="24"/>
          <w:highlight w:val="none"/>
        </w:rPr>
        <w:t>竞争性</w:t>
      </w:r>
      <w:r>
        <w:rPr>
          <w:rFonts w:hint="eastAsia" w:ascii="宋体" w:hAnsi="宋体" w:eastAsia="宋体" w:cs="宋体"/>
          <w:color w:val="auto"/>
          <w:kern w:val="0"/>
          <w:sz w:val="24"/>
          <w:szCs w:val="24"/>
          <w:highlight w:val="none"/>
          <w:lang w:eastAsia="zh-CN"/>
        </w:rPr>
        <w:t>磋商</w:t>
      </w:r>
      <w:r>
        <w:rPr>
          <w:rFonts w:hint="eastAsia" w:ascii="宋体" w:hAnsi="宋体" w:eastAsia="宋体" w:cs="宋体"/>
          <w:color w:val="auto"/>
          <w:kern w:val="0"/>
          <w:sz w:val="24"/>
          <w:szCs w:val="24"/>
          <w:highlight w:val="none"/>
        </w:rPr>
        <w:t>响应书</w:t>
      </w:r>
      <w:r>
        <w:rPr>
          <w:rFonts w:hint="eastAsia" w:ascii="宋体" w:hAnsi="宋体" w:eastAsia="宋体" w:cs="宋体"/>
          <w:color w:val="auto"/>
          <w:sz w:val="24"/>
          <w:highlight w:val="none"/>
        </w:rPr>
        <w:t>（格式）</w:t>
      </w:r>
      <w:bookmarkEnd w:id="85"/>
    </w:p>
    <w:p w14:paraId="6ABD8428">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86" w:name="_Toc10217"/>
      <w:r>
        <w:rPr>
          <w:rFonts w:hint="eastAsia" w:ascii="宋体" w:hAnsi="宋体" w:eastAsia="宋体" w:cs="宋体"/>
          <w:color w:val="auto"/>
          <w:sz w:val="24"/>
          <w:highlight w:val="none"/>
        </w:rPr>
        <w:t xml:space="preserve">附件3 </w:t>
      </w:r>
      <w:r>
        <w:rPr>
          <w:rFonts w:hint="eastAsia" w:ascii="宋体" w:hAnsi="宋体" w:eastAsia="宋体" w:cs="宋体"/>
          <w:color w:val="auto"/>
          <w:kern w:val="0"/>
          <w:sz w:val="24"/>
          <w:szCs w:val="24"/>
          <w:highlight w:val="none"/>
        </w:rPr>
        <w:t>初次报价一览表</w:t>
      </w:r>
      <w:r>
        <w:rPr>
          <w:rFonts w:hint="eastAsia" w:ascii="宋体" w:hAnsi="宋体" w:eastAsia="宋体" w:cs="宋体"/>
          <w:color w:val="auto"/>
          <w:sz w:val="24"/>
          <w:highlight w:val="none"/>
        </w:rPr>
        <w:t>（格式）</w:t>
      </w:r>
      <w:bookmarkEnd w:id="86"/>
    </w:p>
    <w:p w14:paraId="734C820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rPr>
      </w:pPr>
      <w:bookmarkStart w:id="87" w:name="_Toc9579"/>
      <w:r>
        <w:rPr>
          <w:rFonts w:hint="eastAsia" w:ascii="宋体" w:hAnsi="宋体" w:eastAsia="宋体" w:cs="宋体"/>
          <w:color w:val="auto"/>
          <w:sz w:val="24"/>
          <w:highlight w:val="none"/>
        </w:rPr>
        <w:t xml:space="preserve">附件4 </w:t>
      </w:r>
      <w:bookmarkEnd w:id="87"/>
      <w:r>
        <w:rPr>
          <w:rFonts w:hint="eastAsia" w:ascii="宋体" w:hAnsi="宋体" w:eastAsia="宋体" w:cs="宋体"/>
          <w:color w:val="auto"/>
          <w:sz w:val="24"/>
          <w:highlight w:val="none"/>
          <w:lang w:val="en-US" w:eastAsia="zh-CN"/>
        </w:rPr>
        <w:t>报价明细表（格式）</w:t>
      </w:r>
    </w:p>
    <w:p w14:paraId="03576EA7">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rPr>
      </w:pPr>
      <w:bookmarkStart w:id="88" w:name="_Toc28392"/>
      <w:r>
        <w:rPr>
          <w:rFonts w:hint="eastAsia" w:ascii="宋体" w:hAnsi="宋体" w:eastAsia="宋体" w:cs="宋体"/>
          <w:color w:val="auto"/>
          <w:sz w:val="24"/>
          <w:highlight w:val="none"/>
        </w:rPr>
        <w:t>附件5</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技术</w:t>
      </w:r>
      <w:r>
        <w:rPr>
          <w:rFonts w:hint="eastAsia" w:ascii="宋体" w:hAnsi="宋体" w:eastAsia="宋体" w:cs="宋体"/>
          <w:color w:val="auto"/>
          <w:sz w:val="24"/>
          <w:highlight w:val="none"/>
          <w:lang w:val="en-US" w:eastAsia="zh-CN"/>
        </w:rPr>
        <w:t>响应</w:t>
      </w:r>
      <w:bookmarkEnd w:id="88"/>
      <w:r>
        <w:rPr>
          <w:rFonts w:hint="eastAsia" w:ascii="宋体" w:hAnsi="宋体" w:eastAsia="宋体" w:cs="宋体"/>
          <w:color w:val="auto"/>
          <w:sz w:val="24"/>
          <w:highlight w:val="none"/>
          <w:lang w:val="en-US" w:eastAsia="zh-CN"/>
        </w:rPr>
        <w:t>表（格式）</w:t>
      </w:r>
    </w:p>
    <w:p w14:paraId="200B8AF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eastAsia="zh-CN"/>
        </w:rPr>
      </w:pPr>
      <w:bookmarkStart w:id="89" w:name="_Toc6234"/>
      <w:r>
        <w:rPr>
          <w:rFonts w:hint="eastAsia" w:ascii="宋体" w:hAnsi="宋体" w:eastAsia="宋体" w:cs="宋体"/>
          <w:color w:val="auto"/>
          <w:sz w:val="24"/>
          <w:highlight w:val="none"/>
        </w:rPr>
        <w:t>附件6 商务</w:t>
      </w:r>
      <w:bookmarkEnd w:id="89"/>
      <w:r>
        <w:rPr>
          <w:rFonts w:hint="eastAsia" w:ascii="宋体" w:hAnsi="宋体" w:eastAsia="宋体" w:cs="宋体"/>
          <w:color w:val="auto"/>
          <w:sz w:val="24"/>
          <w:highlight w:val="none"/>
          <w:lang w:val="en-US" w:eastAsia="zh-CN"/>
        </w:rPr>
        <w:t>响应表（格式）</w:t>
      </w:r>
    </w:p>
    <w:p w14:paraId="35F21B36">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90" w:name="_Toc26231"/>
      <w:r>
        <w:rPr>
          <w:rFonts w:hint="eastAsia" w:ascii="宋体" w:hAnsi="宋体" w:eastAsia="宋体" w:cs="宋体"/>
          <w:color w:val="auto"/>
          <w:sz w:val="24"/>
          <w:highlight w:val="none"/>
        </w:rPr>
        <w:t>附件7</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法定代表人身份证明（格式）</w:t>
      </w:r>
      <w:bookmarkEnd w:id="90"/>
    </w:p>
    <w:p w14:paraId="0CD3112D">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91" w:name="_Toc18484"/>
      <w:r>
        <w:rPr>
          <w:rFonts w:hint="eastAsia" w:ascii="宋体" w:hAnsi="宋体" w:eastAsia="宋体" w:cs="宋体"/>
          <w:color w:val="auto"/>
          <w:sz w:val="24"/>
          <w:highlight w:val="none"/>
        </w:rPr>
        <w:t>附件8</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法定代表人授权书（格式）</w:t>
      </w:r>
      <w:bookmarkEnd w:id="91"/>
    </w:p>
    <w:p w14:paraId="4FFFD47D">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92" w:name="_Toc31857"/>
      <w:r>
        <w:rPr>
          <w:rFonts w:hint="eastAsia" w:ascii="宋体" w:hAnsi="宋体" w:eastAsia="宋体" w:cs="宋体"/>
          <w:color w:val="auto"/>
          <w:sz w:val="24"/>
          <w:highlight w:val="none"/>
        </w:rPr>
        <w:t>附件9 证明文件</w:t>
      </w:r>
      <w:bookmarkEnd w:id="92"/>
    </w:p>
    <w:p w14:paraId="2DE9941E">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93" w:name="_Toc23116"/>
      <w:r>
        <w:rPr>
          <w:rFonts w:hint="eastAsia" w:ascii="宋体" w:hAnsi="宋体" w:eastAsia="宋体" w:cs="宋体"/>
          <w:color w:val="auto"/>
          <w:sz w:val="24"/>
          <w:highlight w:val="none"/>
        </w:rPr>
        <w:t>附件10 供应商承诺书（格式）</w:t>
      </w:r>
      <w:bookmarkEnd w:id="93"/>
    </w:p>
    <w:p w14:paraId="3459A594">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附件11 供应商信用承诺函（格式）</w:t>
      </w:r>
    </w:p>
    <w:p w14:paraId="1E9F0E79">
      <w:pPr>
        <w:snapToGrid w:val="0"/>
        <w:spacing w:line="360" w:lineRule="auto"/>
        <w:ind w:firstLine="480" w:firstLineChars="200"/>
        <w:rPr>
          <w:rFonts w:hint="eastAsia" w:ascii="宋体" w:hAnsi="宋体" w:eastAsia="宋体" w:cs="宋体"/>
          <w:color w:val="auto"/>
          <w:sz w:val="24"/>
          <w:highlight w:val="none"/>
          <w:lang w:val="en-US" w:eastAsia="zh-CN"/>
        </w:rPr>
      </w:pPr>
    </w:p>
    <w:p w14:paraId="63BA1F9E">
      <w:pPr>
        <w:pStyle w:val="32"/>
        <w:rPr>
          <w:rFonts w:hint="eastAsia" w:ascii="宋体" w:hAnsi="宋体" w:eastAsia="宋体" w:cs="宋体"/>
          <w:color w:val="auto"/>
          <w:highlight w:val="none"/>
        </w:rPr>
      </w:pPr>
    </w:p>
    <w:p w14:paraId="174F59C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6D3C60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43C59F7">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71DFAE3">
      <w:pPr>
        <w:pStyle w:val="4"/>
        <w:rPr>
          <w:rFonts w:hint="eastAsia" w:ascii="宋体" w:hAnsi="宋体" w:eastAsia="宋体" w:cs="宋体"/>
          <w:b/>
          <w:bCs/>
          <w:color w:val="auto"/>
          <w:kern w:val="0"/>
          <w:sz w:val="24"/>
          <w:highlight w:val="none"/>
        </w:rPr>
      </w:pPr>
    </w:p>
    <w:p w14:paraId="736844FA">
      <w:pPr>
        <w:pStyle w:val="5"/>
        <w:rPr>
          <w:rFonts w:hint="eastAsia" w:ascii="宋体" w:hAnsi="宋体" w:eastAsia="宋体" w:cs="宋体"/>
          <w:b/>
          <w:bCs/>
          <w:color w:val="auto"/>
          <w:highlight w:val="none"/>
        </w:rPr>
      </w:pPr>
    </w:p>
    <w:p w14:paraId="7C048156">
      <w:pPr>
        <w:pStyle w:val="5"/>
        <w:rPr>
          <w:rFonts w:hint="eastAsia" w:ascii="宋体" w:hAnsi="宋体" w:eastAsia="宋体" w:cs="宋体"/>
          <w:b/>
          <w:bCs/>
          <w:color w:val="auto"/>
          <w:highlight w:val="none"/>
        </w:rPr>
      </w:pPr>
    </w:p>
    <w:p w14:paraId="6EFF072B">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67FE75CD">
      <w:pPr>
        <w:pStyle w:val="2"/>
        <w:keepNext/>
        <w:keepLines/>
        <w:pageBreakBefore w:val="0"/>
        <w:widowControl w:val="0"/>
        <w:kinsoku/>
        <w:wordWrap/>
        <w:overflowPunct/>
        <w:topLinePunct w:val="0"/>
        <w:autoSpaceDE/>
        <w:autoSpaceDN/>
        <w:bidi w:val="0"/>
        <w:adjustRightInd/>
        <w:snapToGrid w:val="0"/>
        <w:spacing w:before="20" w:after="20" w:line="360" w:lineRule="auto"/>
        <w:textAlignment w:val="auto"/>
        <w:rPr>
          <w:rFonts w:hint="eastAsia" w:ascii="宋体" w:hAnsi="宋体" w:eastAsia="宋体" w:cs="宋体"/>
          <w:color w:val="auto"/>
          <w:sz w:val="28"/>
          <w:szCs w:val="28"/>
          <w:highlight w:val="none"/>
        </w:rPr>
      </w:pPr>
      <w:bookmarkStart w:id="94" w:name="_Toc24743"/>
      <w:bookmarkStart w:id="95" w:name="_Toc31798"/>
      <w:r>
        <w:rPr>
          <w:rFonts w:hint="eastAsia" w:ascii="宋体" w:hAnsi="宋体" w:eastAsia="宋体" w:cs="宋体"/>
          <w:color w:val="auto"/>
          <w:sz w:val="28"/>
          <w:szCs w:val="28"/>
          <w:highlight w:val="none"/>
        </w:rPr>
        <w:t xml:space="preserve">附件1               </w:t>
      </w:r>
      <w:r>
        <w:rPr>
          <w:rFonts w:hint="eastAsia" w:ascii="宋体" w:hAnsi="宋体" w:eastAsia="宋体" w:cs="宋体"/>
          <w:color w:val="auto"/>
          <w:sz w:val="28"/>
          <w:szCs w:val="28"/>
          <w:highlight w:val="none"/>
          <w:lang w:val="en-US" w:eastAsia="zh-CN"/>
        </w:rPr>
        <w:t>响应</w:t>
      </w:r>
      <w:r>
        <w:rPr>
          <w:rFonts w:hint="eastAsia" w:ascii="宋体" w:hAnsi="宋体" w:eastAsia="宋体" w:cs="宋体"/>
          <w:color w:val="auto"/>
          <w:sz w:val="28"/>
          <w:szCs w:val="28"/>
          <w:highlight w:val="none"/>
        </w:rPr>
        <w:t>文件封面（格式）</w:t>
      </w:r>
      <w:bookmarkEnd w:id="94"/>
      <w:bookmarkEnd w:id="95"/>
    </w:p>
    <w:p w14:paraId="3A0AC99C">
      <w:pPr>
        <w:widowControl/>
        <w:wordWrap w:val="0"/>
        <w:spacing w:line="460" w:lineRule="exact"/>
        <w:ind w:firstLine="482" w:firstLineChars="200"/>
        <w:jc w:val="center"/>
        <w:rPr>
          <w:rFonts w:hint="eastAsia" w:ascii="宋体" w:hAnsi="宋体" w:eastAsia="宋体" w:cs="宋体"/>
          <w:b/>
          <w:color w:val="auto"/>
          <w:kern w:val="0"/>
          <w:sz w:val="24"/>
          <w:highlight w:val="none"/>
        </w:rPr>
      </w:pPr>
    </w:p>
    <w:p w14:paraId="60EF64BA">
      <w:pPr>
        <w:snapToGrid w:val="0"/>
        <w:spacing w:line="360" w:lineRule="auto"/>
        <w:jc w:val="center"/>
        <w:rPr>
          <w:rFonts w:hint="eastAsia" w:ascii="宋体" w:hAnsi="宋体" w:eastAsia="宋体" w:cs="宋体"/>
          <w:b/>
          <w:snapToGrid w:val="0"/>
          <w:color w:val="auto"/>
          <w:spacing w:val="0"/>
          <w:kern w:val="0"/>
          <w:sz w:val="44"/>
          <w:szCs w:val="44"/>
          <w:highlight w:val="none"/>
          <w:u w:val="none"/>
          <w:lang w:val="en-US" w:eastAsia="zh-CN"/>
        </w:rPr>
      </w:pPr>
      <w:r>
        <w:rPr>
          <w:rFonts w:hint="eastAsia" w:ascii="宋体" w:hAnsi="宋体" w:eastAsia="宋体" w:cs="宋体"/>
          <w:b/>
          <w:snapToGrid w:val="0"/>
          <w:color w:val="auto"/>
          <w:spacing w:val="0"/>
          <w:kern w:val="0"/>
          <w:sz w:val="44"/>
          <w:szCs w:val="44"/>
          <w:highlight w:val="none"/>
          <w:u w:val="none"/>
          <w:lang w:val="en-US" w:eastAsia="zh-CN"/>
        </w:rPr>
        <w:t>驻马店市中心医院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14:paraId="11585945">
      <w:pPr>
        <w:pStyle w:val="2"/>
        <w:jc w:val="center"/>
        <w:rPr>
          <w:rFonts w:hint="default"/>
          <w:sz w:val="36"/>
          <w:szCs w:val="36"/>
          <w:highlight w:val="none"/>
          <w:u w:val="single"/>
          <w:lang w:val="en-US"/>
        </w:rPr>
      </w:pPr>
      <w:r>
        <w:rPr>
          <w:rFonts w:hint="eastAsia" w:ascii="宋体" w:hAnsi="宋体" w:eastAsia="宋体" w:cs="宋体"/>
          <w:b/>
          <w:snapToGrid w:val="0"/>
          <w:color w:val="auto"/>
          <w:spacing w:val="0"/>
          <w:kern w:val="0"/>
          <w:sz w:val="36"/>
          <w:szCs w:val="36"/>
          <w:highlight w:val="none"/>
          <w:u w:val="none"/>
          <w:lang w:val="en-US" w:eastAsia="zh-CN"/>
        </w:rPr>
        <w:t>包号及名称：</w:t>
      </w:r>
    </w:p>
    <w:p w14:paraId="37E7F995">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lang w:val="en-US" w:eastAsia="zh-CN"/>
        </w:rPr>
        <w:t>响应</w:t>
      </w:r>
      <w:r>
        <w:rPr>
          <w:rFonts w:hint="eastAsia" w:ascii="宋体" w:hAnsi="宋体" w:eastAsia="宋体" w:cs="宋体"/>
          <w:b/>
          <w:color w:val="auto"/>
          <w:spacing w:val="90"/>
          <w:sz w:val="52"/>
          <w:szCs w:val="52"/>
          <w:highlight w:val="none"/>
        </w:rPr>
        <w:t>文件</w:t>
      </w:r>
    </w:p>
    <w:p w14:paraId="2A04A499">
      <w:pPr>
        <w:spacing w:line="360" w:lineRule="auto"/>
        <w:rPr>
          <w:rFonts w:hint="eastAsia" w:ascii="宋体" w:hAnsi="宋体" w:eastAsia="宋体" w:cs="宋体"/>
          <w:color w:val="auto"/>
          <w:sz w:val="28"/>
          <w:highlight w:val="none"/>
        </w:rPr>
      </w:pPr>
    </w:p>
    <w:p w14:paraId="596DC1AB">
      <w:pPr>
        <w:pStyle w:val="5"/>
        <w:spacing w:line="360" w:lineRule="auto"/>
        <w:rPr>
          <w:rFonts w:hint="eastAsia" w:ascii="宋体" w:hAnsi="宋体" w:eastAsia="宋体" w:cs="宋体"/>
          <w:color w:val="auto"/>
          <w:highlight w:val="none"/>
        </w:rPr>
      </w:pPr>
    </w:p>
    <w:p w14:paraId="321B0FBA">
      <w:pPr>
        <w:spacing w:line="360" w:lineRule="auto"/>
        <w:rPr>
          <w:rFonts w:hint="eastAsia" w:ascii="宋体" w:hAnsi="宋体" w:eastAsia="宋体" w:cs="宋体"/>
          <w:color w:val="auto"/>
          <w:sz w:val="28"/>
          <w:highlight w:val="none"/>
        </w:rPr>
      </w:pPr>
    </w:p>
    <w:p w14:paraId="5DD912A3">
      <w:pPr>
        <w:spacing w:line="360" w:lineRule="auto"/>
        <w:rPr>
          <w:rFonts w:hint="eastAsia" w:ascii="宋体" w:hAnsi="宋体" w:eastAsia="宋体" w:cs="宋体"/>
          <w:color w:val="auto"/>
          <w:sz w:val="28"/>
          <w:highlight w:val="none"/>
        </w:rPr>
      </w:pPr>
    </w:p>
    <w:p w14:paraId="5C511D16">
      <w:pPr>
        <w:spacing w:line="360" w:lineRule="auto"/>
        <w:rPr>
          <w:rFonts w:hint="eastAsia" w:ascii="宋体" w:hAnsi="宋体" w:eastAsia="宋体" w:cs="宋体"/>
          <w:color w:val="auto"/>
          <w:sz w:val="28"/>
          <w:highlight w:val="none"/>
        </w:rPr>
      </w:pPr>
    </w:p>
    <w:p w14:paraId="5F7D4E3C">
      <w:pPr>
        <w:spacing w:line="360" w:lineRule="auto"/>
        <w:rPr>
          <w:rFonts w:hint="eastAsia" w:ascii="宋体" w:hAnsi="宋体" w:eastAsia="宋体" w:cs="宋体"/>
          <w:color w:val="auto"/>
          <w:sz w:val="28"/>
          <w:highlight w:val="none"/>
        </w:rPr>
      </w:pPr>
    </w:p>
    <w:p w14:paraId="4A8855A5">
      <w:pPr>
        <w:spacing w:line="360" w:lineRule="auto"/>
        <w:rPr>
          <w:rFonts w:hint="eastAsia" w:ascii="宋体" w:hAnsi="宋体" w:eastAsia="宋体" w:cs="宋体"/>
          <w:color w:val="auto"/>
          <w:sz w:val="28"/>
          <w:highlight w:val="none"/>
        </w:rPr>
      </w:pPr>
    </w:p>
    <w:p w14:paraId="6544AFF1">
      <w:pPr>
        <w:spacing w:line="360" w:lineRule="auto"/>
        <w:rPr>
          <w:rFonts w:hint="eastAsia" w:ascii="宋体" w:hAnsi="宋体" w:eastAsia="宋体" w:cs="宋体"/>
          <w:color w:val="auto"/>
          <w:sz w:val="28"/>
          <w:highlight w:val="none"/>
        </w:rPr>
      </w:pPr>
    </w:p>
    <w:p w14:paraId="26F246B9">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全称并</w:t>
      </w:r>
      <w:r>
        <w:rPr>
          <w:rFonts w:hint="eastAsia" w:ascii="宋体" w:hAnsi="宋体" w:eastAsia="宋体" w:cs="宋体"/>
          <w:color w:val="auto"/>
          <w:sz w:val="28"/>
          <w:szCs w:val="28"/>
          <w:highlight w:val="none"/>
          <w:lang w:val="en-US" w:eastAsia="zh-CN"/>
        </w:rPr>
        <w:t>加</w:t>
      </w:r>
      <w:r>
        <w:rPr>
          <w:rFonts w:hint="eastAsia" w:ascii="宋体" w:hAnsi="宋体" w:eastAsia="宋体" w:cs="宋体"/>
          <w:color w:val="auto"/>
          <w:sz w:val="28"/>
          <w:szCs w:val="28"/>
          <w:highlight w:val="none"/>
          <w:lang w:eastAsia="zh-CN"/>
        </w:rPr>
        <w:t>盖</w:t>
      </w:r>
      <w:r>
        <w:rPr>
          <w:rFonts w:hint="eastAsia" w:ascii="宋体" w:hAnsi="宋体" w:eastAsia="宋体" w:cs="宋体"/>
          <w:color w:val="auto"/>
          <w:sz w:val="28"/>
          <w:szCs w:val="28"/>
          <w:highlight w:val="none"/>
          <w:lang w:val="en-US" w:eastAsia="zh-CN"/>
        </w:rPr>
        <w:t>公</w:t>
      </w:r>
      <w:r>
        <w:rPr>
          <w:rFonts w:hint="eastAsia" w:ascii="宋体" w:hAnsi="宋体" w:eastAsia="宋体" w:cs="宋体"/>
          <w:color w:val="auto"/>
          <w:sz w:val="28"/>
          <w:szCs w:val="28"/>
          <w:highlight w:val="none"/>
          <w:lang w:eastAsia="zh-CN"/>
        </w:rPr>
        <w:t>章</w:t>
      </w:r>
      <w:r>
        <w:rPr>
          <w:rFonts w:hint="eastAsia" w:ascii="宋体" w:hAnsi="宋体" w:eastAsia="宋体" w:cs="宋体"/>
          <w:color w:val="auto"/>
          <w:sz w:val="28"/>
          <w:szCs w:val="28"/>
          <w:highlight w:val="none"/>
        </w:rPr>
        <w:t>）</w:t>
      </w:r>
    </w:p>
    <w:p w14:paraId="79D76E85">
      <w:pPr>
        <w:widowControl/>
        <w:wordWrap w:val="0"/>
        <w:spacing w:line="460" w:lineRule="exact"/>
        <w:ind w:left="0" w:leftChars="0" w:firstLine="0" w:firstLineChars="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法定代表人或委托代理人（签字</w:t>
      </w:r>
      <w:r>
        <w:rPr>
          <w:rFonts w:hint="eastAsia" w:ascii="宋体" w:hAnsi="宋体" w:eastAsia="宋体" w:cs="宋体"/>
          <w:color w:val="auto"/>
          <w:sz w:val="28"/>
          <w:szCs w:val="28"/>
          <w:highlight w:val="none"/>
          <w:lang w:val="en-US" w:eastAsia="zh-CN"/>
        </w:rPr>
        <w:t>或盖章</w:t>
      </w:r>
      <w:r>
        <w:rPr>
          <w:rFonts w:hint="eastAsia" w:ascii="宋体" w:hAnsi="宋体" w:eastAsia="宋体" w:cs="宋体"/>
          <w:color w:val="auto"/>
          <w:sz w:val="28"/>
          <w:szCs w:val="28"/>
          <w:highlight w:val="none"/>
        </w:rPr>
        <w:t>）：</w:t>
      </w:r>
    </w:p>
    <w:p w14:paraId="4D5E55DE">
      <w:pPr>
        <w:widowControl/>
        <w:wordWrap w:val="0"/>
        <w:spacing w:line="460" w:lineRule="exact"/>
        <w:ind w:left="0" w:leftChars="0" w:firstLine="0" w:firstLineChars="0"/>
        <w:jc w:val="center"/>
        <w:rPr>
          <w:rFonts w:hint="eastAsia" w:ascii="宋体" w:hAnsi="宋体" w:eastAsia="宋体" w:cs="宋体"/>
          <w:b/>
          <w:color w:val="auto"/>
          <w:kern w:val="0"/>
          <w:sz w:val="24"/>
          <w:highlight w:val="none"/>
        </w:rPr>
      </w:pPr>
      <w:r>
        <w:rPr>
          <w:rFonts w:hint="eastAsia" w:ascii="宋体" w:hAnsi="宋体" w:eastAsia="宋体" w:cs="宋体"/>
          <w:color w:val="auto"/>
          <w:sz w:val="28"/>
          <w:szCs w:val="28"/>
          <w:highlight w:val="none"/>
        </w:rPr>
        <w:t>年   月   日</w:t>
      </w:r>
    </w:p>
    <w:p w14:paraId="55BD49F4">
      <w:pPr>
        <w:widowControl/>
        <w:wordWrap w:val="0"/>
        <w:spacing w:line="460" w:lineRule="exact"/>
        <w:ind w:firstLine="482" w:firstLineChars="200"/>
        <w:jc w:val="left"/>
        <w:rPr>
          <w:rFonts w:hint="eastAsia" w:ascii="宋体" w:hAnsi="宋体" w:eastAsia="宋体" w:cs="宋体"/>
          <w:b/>
          <w:color w:val="auto"/>
          <w:kern w:val="0"/>
          <w:sz w:val="24"/>
          <w:highlight w:val="none"/>
        </w:rPr>
      </w:pPr>
    </w:p>
    <w:p w14:paraId="608C8D96">
      <w:pPr>
        <w:pStyle w:val="4"/>
        <w:rPr>
          <w:rFonts w:hint="eastAsia" w:ascii="宋体" w:hAnsi="宋体" w:eastAsia="宋体" w:cs="宋体"/>
          <w:b/>
          <w:color w:val="auto"/>
          <w:kern w:val="0"/>
          <w:sz w:val="24"/>
          <w:highlight w:val="none"/>
        </w:rPr>
      </w:pPr>
    </w:p>
    <w:p w14:paraId="7B4C1E5E">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1AA54C7C">
      <w:pPr>
        <w:pStyle w:val="2"/>
        <w:keepNext w:val="0"/>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96" w:name="_Toc8818"/>
      <w:bookmarkStart w:id="97" w:name="_Toc14560"/>
      <w:r>
        <w:rPr>
          <w:rFonts w:hint="eastAsia" w:ascii="宋体" w:hAnsi="宋体" w:eastAsia="宋体" w:cs="宋体"/>
          <w:color w:val="auto"/>
          <w:sz w:val="28"/>
          <w:szCs w:val="28"/>
          <w:highlight w:val="none"/>
          <w:lang w:val="en-US" w:eastAsia="zh-CN"/>
        </w:rPr>
        <w:t>附件2      竞争性磋商响应书（格式）</w:t>
      </w:r>
      <w:bookmarkEnd w:id="96"/>
      <w:bookmarkEnd w:id="97"/>
    </w:p>
    <w:p w14:paraId="5EB4DF31">
      <w:pPr>
        <w:keepNext w:val="0"/>
        <w:pageBreakBefore w:val="0"/>
        <w:widowControl w:val="0"/>
        <w:wordWrap w:val="0"/>
        <w:overflowPunct/>
        <w:topLinePunct w:val="0"/>
        <w:bidi w:val="0"/>
        <w:snapToGrid w:val="0"/>
        <w:spacing w:line="46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eastAsia="zh-CN"/>
        </w:rPr>
        <w:t>采购人</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w:t>
      </w:r>
    </w:p>
    <w:p w14:paraId="440940C5">
      <w:pPr>
        <w:keepNext w:val="0"/>
        <w:pageBreakBefore w:val="0"/>
        <w:widowControl w:val="0"/>
        <w:wordWrap w:val="0"/>
        <w:overflowPunct/>
        <w:topLinePunct w:val="0"/>
        <w:bidi w:val="0"/>
        <w:spacing w:line="460" w:lineRule="exact"/>
        <w:ind w:firstLine="525" w:firstLineChars="2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u w:val="single"/>
          <w:lang w:eastAsia="zh-CN"/>
        </w:rPr>
        <w:t>供应商</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 xml:space="preserve">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（姓名）为我方代理人，参加贵方组织的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项目</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包号及名称：</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竞争性磋商采购活动</w:t>
      </w:r>
      <w:r>
        <w:rPr>
          <w:rFonts w:hint="eastAsia" w:ascii="宋体" w:hAnsi="宋体" w:eastAsia="宋体" w:cs="宋体"/>
          <w:color w:val="auto"/>
          <w:kern w:val="0"/>
          <w:szCs w:val="21"/>
          <w:highlight w:val="none"/>
        </w:rPr>
        <w:t>。现正式提交下述文件1份：</w:t>
      </w:r>
    </w:p>
    <w:p w14:paraId="3C3C37C3">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1、初次报价一览表。</w:t>
      </w:r>
    </w:p>
    <w:p w14:paraId="6E085AC7">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2、报价明细表。</w:t>
      </w:r>
    </w:p>
    <w:p w14:paraId="3BAB64D0">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、技术响应表。</w:t>
      </w:r>
    </w:p>
    <w:p w14:paraId="11EF566E">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、商务响应表。</w:t>
      </w:r>
    </w:p>
    <w:p w14:paraId="4429B98C">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、证明文件。</w:t>
      </w:r>
    </w:p>
    <w:p w14:paraId="28202E7D">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为便于贵方公正、择优地确定</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供应商，我方就本次投标有关事项郑重声明并宣布同意如下：</w:t>
      </w:r>
    </w:p>
    <w:p w14:paraId="5A53C046">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1、我方承诺已经具备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文件中规定的参加政府采购活动的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应当具备的条件。我方愿意向贵方提供任何与本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项目投标有关的数据、情况和技术资料，并根据需要提供一切承诺的证明材料，并保证其真实、合法、有效。</w:t>
      </w:r>
    </w:p>
    <w:p w14:paraId="294FA0C1">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2、我方承诺在</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活动中提供的各种材料真实有效。</w:t>
      </w:r>
    </w:p>
    <w:p w14:paraId="77530AF8">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3、我方同意在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文件有效期内遵守本</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文件中的承诺且在此期限期满之前均具有约束力。如果我方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文件有效期与合同履行期相同。</w:t>
      </w:r>
    </w:p>
    <w:p w14:paraId="098DA809">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4、我方已详细审查全部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文件，包括修改文件（如有的话）和有关附件，将自行承担因对全部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文件理解不正确或误解而产生的相应后果。</w:t>
      </w:r>
    </w:p>
    <w:p w14:paraId="02BF7D37">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5、我方保证尊重</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的评</w:t>
      </w:r>
      <w:r>
        <w:rPr>
          <w:rFonts w:hint="eastAsia" w:ascii="宋体" w:hAnsi="宋体" w:eastAsia="宋体" w:cs="宋体"/>
          <w:color w:val="auto"/>
          <w:kern w:val="0"/>
          <w:szCs w:val="21"/>
          <w:highlight w:val="none"/>
          <w:lang w:val="en-US" w:eastAsia="zh-CN"/>
        </w:rPr>
        <w:t>审</w:t>
      </w:r>
      <w:r>
        <w:rPr>
          <w:rFonts w:hint="eastAsia" w:ascii="宋体" w:hAnsi="宋体" w:eastAsia="宋体" w:cs="宋体"/>
          <w:color w:val="auto"/>
          <w:kern w:val="0"/>
          <w:szCs w:val="21"/>
          <w:highlight w:val="none"/>
        </w:rPr>
        <w:t>结果，完全理解本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项目最低投标价不作为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的保证。</w:t>
      </w:r>
    </w:p>
    <w:p w14:paraId="0D882216">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6、我方理解并遵守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文件的全部规定，接受</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文件中政府采购合同的全部条款且无任何异议。</w:t>
      </w:r>
    </w:p>
    <w:p w14:paraId="01FA5B54">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7、如果我方代表</w:t>
      </w:r>
      <w:r>
        <w:rPr>
          <w:rFonts w:hint="eastAsia" w:ascii="宋体" w:hAnsi="宋体" w:eastAsia="宋体" w:cs="宋体"/>
          <w:bCs/>
          <w:color w:val="auto"/>
          <w:kern w:val="0"/>
          <w:szCs w:val="21"/>
          <w:highlight w:val="none"/>
        </w:rPr>
        <w:t>未按时参加开标的，视同放弃开标监督权利，认可开标结果。</w:t>
      </w:r>
    </w:p>
    <w:p w14:paraId="78C0DD77">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8、如果我方存在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须知第9.3项所述情况，同意被认定为在经营活动中有重大违法记录。</w:t>
      </w:r>
    </w:p>
    <w:p w14:paraId="29583A3A">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.4.3项所述情况，同意我方投标被作为无效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处理。</w:t>
      </w:r>
    </w:p>
    <w:p w14:paraId="797392CC">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.5项所述情况，同意</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认定我方的行为属于串通投标的行为，并自愿接受监管部门的处罚。</w:t>
      </w:r>
    </w:p>
    <w:p w14:paraId="02EE2449">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11、如果现场变更采购方式，我方同意在不改变</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需求、资质条件等情况下，按变更后的采购方式的规定程序进行采购。</w:t>
      </w:r>
    </w:p>
    <w:p w14:paraId="16EBA839">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12、如果被确定为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供应商，我方同意按</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并缴纳服务费。否则，视为我方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后自动放弃</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资格，承担由此引起的一切后果。</w:t>
      </w:r>
    </w:p>
    <w:p w14:paraId="3B795BEB">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13、如果被确定为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供应商，我方同意在领取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之日起</w:t>
      </w:r>
      <w:r>
        <w:rPr>
          <w:rFonts w:hint="eastAsia" w:ascii="宋体" w:hAnsi="宋体" w:eastAsia="宋体" w:cs="宋体"/>
          <w:color w:val="auto"/>
          <w:kern w:val="0"/>
          <w:szCs w:val="21"/>
          <w:highlight w:val="none"/>
          <w:u w:val="single"/>
          <w:lang w:val="en-US" w:eastAsia="zh-CN"/>
        </w:rPr>
        <w:t xml:space="preserve"> 30  </w:t>
      </w:r>
      <w:r>
        <w:rPr>
          <w:rFonts w:hint="eastAsia" w:ascii="宋体" w:hAnsi="宋体" w:eastAsia="宋体" w:cs="宋体"/>
          <w:color w:val="auto"/>
          <w:kern w:val="0"/>
          <w:szCs w:val="21"/>
          <w:highlight w:val="none"/>
        </w:rPr>
        <w:t>日内，按照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文件的规定与采购人签订采购合同。否则，视为我方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后无正当理由不与采购人签订合同并承担相应法律责任。</w:t>
      </w:r>
    </w:p>
    <w:p w14:paraId="1C1BEA7A">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14、我方最近3年内的被公开披露或查处的违法违规行为有：</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eastAsia="宋体" w:cs="宋体"/>
          <w:b/>
          <w:bCs/>
          <w:color w:val="auto"/>
          <w:kern w:val="0"/>
          <w:szCs w:val="21"/>
          <w:highlight w:val="none"/>
          <w:lang w:eastAsia="zh-CN"/>
        </w:rPr>
        <w:t>（</w:t>
      </w:r>
      <w:r>
        <w:rPr>
          <w:rFonts w:hint="eastAsia" w:ascii="宋体" w:hAnsi="宋体" w:eastAsia="宋体" w:cs="宋体"/>
          <w:b/>
          <w:bCs/>
          <w:color w:val="auto"/>
          <w:kern w:val="0"/>
          <w:szCs w:val="21"/>
          <w:highlight w:val="none"/>
          <w:lang w:val="en-US" w:eastAsia="zh-CN"/>
        </w:rPr>
        <w:t>若无，则填无；若有，逐一列明</w:t>
      </w:r>
      <w:r>
        <w:rPr>
          <w:rFonts w:hint="eastAsia" w:ascii="宋体" w:hAnsi="宋体" w:eastAsia="宋体" w:cs="宋体"/>
          <w:b/>
          <w:bCs/>
          <w:color w:val="auto"/>
          <w:kern w:val="0"/>
          <w:szCs w:val="21"/>
          <w:highlight w:val="none"/>
          <w:lang w:eastAsia="zh-CN"/>
        </w:rPr>
        <w:t>）</w:t>
      </w:r>
    </w:p>
    <w:p w14:paraId="0D90ED5A">
      <w:pPr>
        <w:keepNext w:val="0"/>
        <w:pageBreakBefore w:val="0"/>
        <w:widowControl w:val="0"/>
        <w:tabs>
          <w:tab w:val="left" w:pos="939"/>
        </w:tabs>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15、以上事项如有虚假或隐瞒，我方愿意承担一切后果和责任。</w:t>
      </w:r>
    </w:p>
    <w:p w14:paraId="2AA43C61">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有关的一切正式往来通讯请寄（地址电话必须为最新并可以联系到）：</w:t>
      </w:r>
    </w:p>
    <w:p w14:paraId="46263E1A">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地址：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邮编：</w:t>
      </w:r>
    </w:p>
    <w:p w14:paraId="44EDD7FD">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电话：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 xml:space="preserve">传真： </w:t>
      </w:r>
    </w:p>
    <w:p w14:paraId="1B961AD2">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p>
    <w:p w14:paraId="1370EEFF">
      <w:pPr>
        <w:keepNext w:val="0"/>
        <w:pageBreakBefore w:val="0"/>
        <w:widowControl w:val="0"/>
        <w:wordWrap w:val="0"/>
        <w:overflowPunct/>
        <w:topLinePunct w:val="0"/>
        <w:bidi w:val="0"/>
        <w:spacing w:line="460" w:lineRule="exact"/>
        <w:ind w:firstLine="735" w:firstLineChars="350"/>
        <w:jc w:val="left"/>
        <w:rPr>
          <w:rFonts w:hint="eastAsia" w:ascii="宋体" w:hAnsi="宋体" w:eastAsia="宋体" w:cs="宋体"/>
          <w:color w:val="auto"/>
          <w:kern w:val="0"/>
          <w:szCs w:val="21"/>
          <w:highlight w:val="none"/>
          <w:u w:val="single"/>
        </w:rPr>
      </w:pPr>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 xml:space="preserve">： </w:t>
      </w:r>
    </w:p>
    <w:p w14:paraId="0107FEA8">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p>
    <w:p w14:paraId="2F6DB91A">
      <w:pPr>
        <w:keepNext w:val="0"/>
        <w:pageBreakBefore w:val="0"/>
        <w:widowControl w:val="0"/>
        <w:overflowPunct/>
        <w:topLinePunct w:val="0"/>
        <w:bidi w:val="0"/>
        <w:snapToGrid w:val="0"/>
        <w:spacing w:line="460" w:lineRule="exact"/>
        <w:ind w:firstLine="1260" w:firstLineChars="600"/>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年    月   日 </w:t>
      </w:r>
    </w:p>
    <w:p w14:paraId="3C459000">
      <w:pPr>
        <w:widowControl/>
        <w:wordWrap w:val="0"/>
        <w:snapToGrid w:val="0"/>
        <w:spacing w:before="50" w:after="50" w:line="480" w:lineRule="auto"/>
        <w:jc w:val="left"/>
        <w:rPr>
          <w:rFonts w:hint="eastAsia" w:ascii="宋体" w:hAnsi="宋体" w:eastAsia="宋体" w:cs="宋体"/>
          <w:b/>
          <w:color w:val="auto"/>
          <w:kern w:val="0"/>
          <w:sz w:val="24"/>
          <w:highlight w:val="none"/>
        </w:rPr>
      </w:pPr>
    </w:p>
    <w:p w14:paraId="7D79496B">
      <w:pPr>
        <w:spacing w:line="500" w:lineRule="exact"/>
        <w:jc w:val="center"/>
        <w:rPr>
          <w:rFonts w:hint="eastAsia" w:ascii="宋体" w:hAnsi="宋体" w:eastAsia="宋体" w:cs="宋体"/>
          <w:b/>
          <w:bCs/>
          <w:color w:val="auto"/>
          <w:sz w:val="24"/>
          <w:highlight w:val="none"/>
        </w:rPr>
      </w:pPr>
    </w:p>
    <w:p w14:paraId="77439107">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12E02C04">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98" w:name="_Toc7838"/>
      <w:r>
        <w:rPr>
          <w:rFonts w:hint="eastAsia" w:ascii="宋体" w:hAnsi="宋体" w:eastAsia="宋体" w:cs="宋体"/>
          <w:color w:val="auto"/>
          <w:sz w:val="28"/>
          <w:szCs w:val="28"/>
          <w:highlight w:val="none"/>
          <w:lang w:val="en-US" w:eastAsia="zh-CN"/>
        </w:rPr>
        <w:t>附件3            初次报价一览表</w:t>
      </w:r>
      <w:bookmarkEnd w:id="98"/>
      <w:r>
        <w:rPr>
          <w:rFonts w:hint="eastAsia" w:ascii="宋体" w:hAnsi="宋体" w:eastAsia="宋体" w:cs="宋体"/>
          <w:color w:val="auto"/>
          <w:sz w:val="28"/>
          <w:szCs w:val="28"/>
          <w:highlight w:val="none"/>
          <w:lang w:val="en-US" w:eastAsia="zh-CN"/>
        </w:rPr>
        <w:t>（格式）</w:t>
      </w:r>
    </w:p>
    <w:p w14:paraId="163DE47D">
      <w:pPr>
        <w:spacing w:line="239" w:lineRule="auto"/>
        <w:jc w:val="right"/>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单位：</w:t>
      </w:r>
      <w:r>
        <w:rPr>
          <w:rFonts w:hint="eastAsia" w:ascii="宋体" w:hAnsi="宋体" w:eastAsia="宋体" w:cs="宋体"/>
          <w:color w:val="auto"/>
          <w:sz w:val="24"/>
          <w:highlight w:val="none"/>
          <w:lang w:val="en-US" w:eastAsia="zh-CN"/>
        </w:rPr>
        <w:t>元</w:t>
      </w:r>
    </w:p>
    <w:p w14:paraId="7731EC5A">
      <w:pPr>
        <w:rPr>
          <w:rFonts w:hint="eastAsia" w:ascii="宋体" w:hAnsi="宋体" w:eastAsia="宋体" w:cs="宋体"/>
          <w:color w:val="auto"/>
          <w:highlight w:val="none"/>
        </w:rPr>
      </w:pPr>
    </w:p>
    <w:tbl>
      <w:tblPr>
        <w:tblStyle w:val="33"/>
        <w:tblW w:w="91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8"/>
        <w:gridCol w:w="7321"/>
      </w:tblGrid>
      <w:tr w14:paraId="16E58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878" w:type="dxa"/>
            <w:noWrap/>
            <w:vAlign w:val="center"/>
          </w:tcPr>
          <w:p w14:paraId="7D35BE1C">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项目名称</w:t>
            </w:r>
          </w:p>
        </w:tc>
        <w:tc>
          <w:tcPr>
            <w:tcW w:w="7321" w:type="dxa"/>
            <w:noWrap/>
            <w:vAlign w:val="center"/>
          </w:tcPr>
          <w:p w14:paraId="29544E6D">
            <w:pPr>
              <w:rPr>
                <w:rFonts w:hint="eastAsia" w:ascii="宋体" w:hAnsi="宋体" w:eastAsia="宋体" w:cs="宋体"/>
                <w:bCs/>
                <w:color w:val="auto"/>
                <w:szCs w:val="21"/>
                <w:highlight w:val="none"/>
              </w:rPr>
            </w:pPr>
          </w:p>
        </w:tc>
      </w:tr>
      <w:tr w14:paraId="58A91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1878" w:type="dxa"/>
            <w:noWrap/>
            <w:vAlign w:val="center"/>
          </w:tcPr>
          <w:p w14:paraId="61935F99">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名称</w:t>
            </w:r>
          </w:p>
        </w:tc>
        <w:tc>
          <w:tcPr>
            <w:tcW w:w="7321" w:type="dxa"/>
            <w:noWrap/>
            <w:vAlign w:val="center"/>
          </w:tcPr>
          <w:p w14:paraId="07B627DC">
            <w:pPr>
              <w:rPr>
                <w:rFonts w:hint="eastAsia" w:ascii="宋体" w:hAnsi="宋体" w:eastAsia="宋体" w:cs="宋体"/>
                <w:color w:val="auto"/>
                <w:szCs w:val="21"/>
                <w:highlight w:val="none"/>
              </w:rPr>
            </w:pPr>
          </w:p>
        </w:tc>
      </w:tr>
      <w:tr w14:paraId="362D0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1878" w:type="dxa"/>
            <w:noWrap/>
            <w:vAlign w:val="center"/>
          </w:tcPr>
          <w:p w14:paraId="2A3EC86B">
            <w:pPr>
              <w:jc w:val="center"/>
              <w:rPr>
                <w:rFonts w:hint="eastAsia" w:ascii="宋体" w:hAnsi="宋体" w:eastAsia="宋体" w:cs="宋体"/>
                <w:color w:val="auto"/>
                <w:spacing w:val="-20"/>
                <w:szCs w:val="21"/>
                <w:highlight w:val="none"/>
                <w:lang w:eastAsia="zh-CN"/>
              </w:rPr>
            </w:pPr>
            <w:r>
              <w:rPr>
                <w:rFonts w:hint="eastAsia" w:ascii="宋体" w:hAnsi="宋体" w:eastAsia="宋体" w:cs="宋体"/>
                <w:color w:val="auto"/>
                <w:szCs w:val="21"/>
                <w:highlight w:val="none"/>
                <w:lang w:val="en-US" w:eastAsia="zh-CN"/>
              </w:rPr>
              <w:t>包号及包名称</w:t>
            </w:r>
          </w:p>
        </w:tc>
        <w:tc>
          <w:tcPr>
            <w:tcW w:w="7321" w:type="dxa"/>
            <w:noWrap/>
            <w:vAlign w:val="center"/>
          </w:tcPr>
          <w:p w14:paraId="40CA338C">
            <w:pPr>
              <w:rPr>
                <w:rFonts w:hint="eastAsia" w:ascii="宋体" w:hAnsi="宋体" w:eastAsia="宋体" w:cs="宋体"/>
                <w:color w:val="auto"/>
                <w:szCs w:val="21"/>
                <w:highlight w:val="none"/>
                <w:lang w:val="en-US" w:eastAsia="zh-CN"/>
              </w:rPr>
            </w:pPr>
          </w:p>
        </w:tc>
      </w:tr>
      <w:tr w14:paraId="002FF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1878" w:type="dxa"/>
            <w:noWrap/>
            <w:vAlign w:val="center"/>
          </w:tcPr>
          <w:p w14:paraId="5C47B432">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w:t>
            </w:r>
          </w:p>
        </w:tc>
        <w:tc>
          <w:tcPr>
            <w:tcW w:w="7321" w:type="dxa"/>
            <w:noWrap/>
            <w:vAlign w:val="center"/>
          </w:tcPr>
          <w:p w14:paraId="36538189">
            <w:pP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大写：</w:t>
            </w:r>
            <w:r>
              <w:rPr>
                <w:rFonts w:hint="eastAsia" w:ascii="宋体" w:hAnsi="宋体" w:eastAsia="宋体" w:cs="宋体"/>
                <w:color w:val="auto"/>
                <w:highlight w:val="none"/>
                <w:u w:val="single"/>
                <w:lang w:val="en-US" w:eastAsia="zh-CN"/>
              </w:rPr>
              <w:t xml:space="preserve">       </w:t>
            </w:r>
            <w:r>
              <w:rPr>
                <w:rFonts w:hint="eastAsia" w:ascii="宋体" w:hAnsi="宋体" w:cs="宋体"/>
                <w:color w:val="auto"/>
                <w:sz w:val="21"/>
                <w:szCs w:val="21"/>
                <w:highlight w:val="none"/>
                <w:lang w:val="en-US" w:eastAsia="zh-CN"/>
              </w:rPr>
              <w:t>/台</w:t>
            </w:r>
            <w:r>
              <w:rPr>
                <w:rFonts w:hint="eastAsia" w:ascii="宋体" w:hAnsi="宋体" w:eastAsia="宋体" w:cs="宋体"/>
                <w:color w:val="auto"/>
                <w:szCs w:val="21"/>
                <w:highlight w:val="none"/>
                <w:lang w:val="en-US" w:eastAsia="zh-CN"/>
              </w:rPr>
              <w:t xml:space="preserve">        </w:t>
            </w:r>
          </w:p>
          <w:p w14:paraId="1F1540BF">
            <w:pPr>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lang w:val="en-US" w:eastAsia="zh-CN"/>
              </w:rPr>
              <w:t>小写：</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sz w:val="21"/>
                <w:szCs w:val="21"/>
                <w:highlight w:val="none"/>
                <w:lang w:val="en-US" w:eastAsia="zh-CN"/>
              </w:rPr>
              <w:t>元</w:t>
            </w:r>
            <w:r>
              <w:rPr>
                <w:rFonts w:hint="eastAsia" w:ascii="宋体" w:hAnsi="宋体" w:cs="宋体"/>
                <w:color w:val="auto"/>
                <w:sz w:val="21"/>
                <w:szCs w:val="21"/>
                <w:highlight w:val="none"/>
                <w:lang w:val="en-US" w:eastAsia="zh-CN"/>
              </w:rPr>
              <w:t>/台</w:t>
            </w:r>
            <w:r>
              <w:rPr>
                <w:rFonts w:hint="eastAsia" w:ascii="宋体" w:hAnsi="宋体" w:eastAsia="宋体" w:cs="宋体"/>
                <w:color w:val="auto"/>
                <w:szCs w:val="21"/>
                <w:highlight w:val="none"/>
                <w:lang w:val="en-US" w:eastAsia="zh-CN"/>
              </w:rPr>
              <w:t>（详见报价明细表）</w:t>
            </w:r>
          </w:p>
        </w:tc>
      </w:tr>
      <w:tr w14:paraId="05430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78" w:type="dxa"/>
            <w:noWrap/>
            <w:vAlign w:val="center"/>
          </w:tcPr>
          <w:p w14:paraId="2D64A98F">
            <w:pPr>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p>
        </w:tc>
        <w:tc>
          <w:tcPr>
            <w:tcW w:w="7321" w:type="dxa"/>
            <w:noWrap/>
            <w:vAlign w:val="center"/>
          </w:tcPr>
          <w:p w14:paraId="0FDD4FAD">
            <w:pPr>
              <w:pStyle w:val="21"/>
              <w:ind w:left="0" w:leftChars="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SA"/>
              </w:rPr>
              <w:t>响应文件递交截止期结束后60日。</w:t>
            </w:r>
          </w:p>
        </w:tc>
      </w:tr>
      <w:tr w14:paraId="43D68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878" w:type="dxa"/>
            <w:noWrap/>
            <w:vAlign w:val="center"/>
          </w:tcPr>
          <w:p w14:paraId="2144D43C">
            <w:pPr>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备注</w:t>
            </w:r>
          </w:p>
        </w:tc>
        <w:tc>
          <w:tcPr>
            <w:tcW w:w="7321" w:type="dxa"/>
            <w:noWrap/>
            <w:vAlign w:val="center"/>
          </w:tcPr>
          <w:p w14:paraId="699FCDD3">
            <w:pPr>
              <w:pStyle w:val="21"/>
              <w:ind w:left="0" w:leftChars="0"/>
              <w:rPr>
                <w:rFonts w:hint="eastAsia" w:ascii="宋体" w:hAnsi="宋体" w:eastAsia="宋体" w:cs="宋体"/>
                <w:color w:val="auto"/>
                <w:kern w:val="0"/>
                <w:sz w:val="21"/>
                <w:szCs w:val="21"/>
                <w:highlight w:val="none"/>
                <w:lang w:val="en-US" w:eastAsia="zh-CN" w:bidi="ar-SA"/>
              </w:rPr>
            </w:pPr>
          </w:p>
        </w:tc>
      </w:tr>
    </w:tbl>
    <w:p w14:paraId="54676367">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注: 1、报价一经涂改，应在涂改处加盖单位公章或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代表签字或盖章，否则其投标作无效标处理。</w:t>
      </w:r>
    </w:p>
    <w:p w14:paraId="0C4C1165">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按格式填列，不得自行更改。否则引起的不利后果由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承担。</w:t>
      </w:r>
    </w:p>
    <w:p w14:paraId="0DDB8DE7">
      <w:pPr>
        <w:spacing w:line="360" w:lineRule="auto"/>
        <w:ind w:firstLine="420" w:firstLineChars="200"/>
        <w:jc w:val="center"/>
        <w:rPr>
          <w:rFonts w:hint="eastAsia" w:ascii="宋体" w:hAnsi="宋体" w:eastAsia="宋体" w:cs="宋体"/>
          <w:color w:val="auto"/>
          <w:szCs w:val="21"/>
          <w:highlight w:val="none"/>
          <w:lang w:eastAsia="zh-CN"/>
        </w:rPr>
      </w:pPr>
      <w:bookmarkStart w:id="99" w:name="_Toc20877"/>
      <w:bookmarkStart w:id="100" w:name="_Toc11620"/>
    </w:p>
    <w:bookmarkEnd w:id="99"/>
    <w:bookmarkEnd w:id="100"/>
    <w:p w14:paraId="6F998BE2">
      <w:pPr>
        <w:spacing w:line="360" w:lineRule="auto"/>
        <w:ind w:firstLine="420" w:firstLineChars="200"/>
        <w:jc w:val="center"/>
        <w:rPr>
          <w:rFonts w:hint="eastAsia" w:ascii="宋体" w:hAnsi="宋体" w:eastAsia="宋体" w:cs="宋体"/>
          <w:color w:val="auto"/>
          <w:kern w:val="0"/>
          <w:szCs w:val="21"/>
          <w:highlight w:val="none"/>
        </w:rPr>
      </w:pPr>
      <w:bookmarkStart w:id="101" w:name="_Toc625"/>
      <w:bookmarkStart w:id="102" w:name="_Toc12222"/>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p>
    <w:p w14:paraId="1523170F">
      <w:pPr>
        <w:spacing w:line="360" w:lineRule="auto"/>
        <w:ind w:firstLine="2310" w:firstLineChars="1100"/>
        <w:jc w:val="both"/>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bookmarkEnd w:id="101"/>
      <w:bookmarkEnd w:id="102"/>
    </w:p>
    <w:p w14:paraId="2959E3BC">
      <w:pPr>
        <w:jc w:val="center"/>
        <w:rPr>
          <w:rFonts w:hint="eastAsia" w:ascii="宋体" w:hAnsi="宋体" w:eastAsia="宋体" w:cs="宋体"/>
          <w:color w:val="auto"/>
          <w:szCs w:val="21"/>
          <w:highlight w:val="none"/>
        </w:rPr>
      </w:pPr>
    </w:p>
    <w:p w14:paraId="64AF2685">
      <w:pPr>
        <w:spacing w:line="360" w:lineRule="auto"/>
        <w:ind w:firstLine="420" w:firstLineChars="200"/>
        <w:jc w:val="center"/>
        <w:rPr>
          <w:rFonts w:hint="eastAsia" w:ascii="宋体" w:hAnsi="宋体" w:eastAsia="宋体" w:cs="宋体"/>
          <w:color w:val="auto"/>
          <w:highlight w:val="none"/>
        </w:rPr>
      </w:pPr>
      <w:bookmarkStart w:id="103" w:name="_Toc9950"/>
      <w:bookmarkStart w:id="104" w:name="_Toc1330"/>
      <w:r>
        <w:rPr>
          <w:rFonts w:hint="eastAsia" w:ascii="宋体" w:hAnsi="宋体" w:eastAsia="宋体" w:cs="宋体"/>
          <w:color w:val="auto"/>
          <w:szCs w:val="21"/>
          <w:highlight w:val="none"/>
        </w:rPr>
        <w:t xml:space="preserve">年 </w:t>
      </w:r>
      <w:r>
        <w:rPr>
          <w:rFonts w:hint="eastAsia" w:ascii="宋体" w:hAnsi="宋体" w:cs="宋体"/>
          <w:color w:val="auto"/>
          <w:szCs w:val="21"/>
          <w:highlight w:val="none"/>
          <w:lang w:val="en-US" w:eastAsia="zh-CN"/>
        </w:rPr>
        <w:t xml:space="preserve"> </w:t>
      </w:r>
      <w:r>
        <w:rPr>
          <w:rFonts w:hint="eastAsia" w:ascii="宋体" w:hAnsi="宋体" w:eastAsia="宋体" w:cs="宋体"/>
          <w:color w:val="auto"/>
          <w:szCs w:val="21"/>
          <w:highlight w:val="none"/>
        </w:rPr>
        <w:t xml:space="preserve"> 月</w:t>
      </w:r>
      <w:r>
        <w:rPr>
          <w:rFonts w:hint="eastAsia" w:ascii="宋体" w:hAnsi="宋体" w:cs="宋体"/>
          <w:color w:val="auto"/>
          <w:szCs w:val="21"/>
          <w:highlight w:val="none"/>
          <w:lang w:val="en-US" w:eastAsia="zh-CN"/>
        </w:rPr>
        <w:t xml:space="preserve"> </w:t>
      </w:r>
      <w:r>
        <w:rPr>
          <w:rFonts w:hint="eastAsia" w:ascii="宋体" w:hAnsi="宋体" w:eastAsia="宋体" w:cs="宋体"/>
          <w:color w:val="auto"/>
          <w:szCs w:val="21"/>
          <w:highlight w:val="none"/>
        </w:rPr>
        <w:t xml:space="preserve">  日</w:t>
      </w:r>
      <w:bookmarkEnd w:id="103"/>
      <w:bookmarkEnd w:id="104"/>
    </w:p>
    <w:p w14:paraId="75AF52ED">
      <w:pPr>
        <w:rPr>
          <w:rFonts w:hint="eastAsia" w:ascii="宋体" w:hAnsi="宋体" w:eastAsia="宋体" w:cs="宋体"/>
          <w:color w:val="auto"/>
          <w:highlight w:val="none"/>
        </w:rPr>
      </w:pPr>
    </w:p>
    <w:bookmarkEnd w:id="79"/>
    <w:bookmarkEnd w:id="80"/>
    <w:p w14:paraId="32162F70">
      <w:pPr>
        <w:spacing w:before="20" w:after="20"/>
        <w:outlineLvl w:val="9"/>
        <w:rPr>
          <w:rFonts w:hint="eastAsia" w:ascii="宋体" w:hAnsi="宋体" w:eastAsia="宋体" w:cs="宋体"/>
          <w:color w:val="auto"/>
          <w:highlight w:val="none"/>
          <w:lang w:eastAsia="zh-CN"/>
        </w:rPr>
      </w:pPr>
      <w:bookmarkStart w:id="105" w:name="_Toc24984"/>
      <w:bookmarkStart w:id="106" w:name="_Toc22004"/>
    </w:p>
    <w:p w14:paraId="35B35CE5">
      <w:pPr>
        <w:outlineLvl w:val="9"/>
        <w:rPr>
          <w:rFonts w:hint="eastAsia" w:ascii="宋体" w:hAnsi="宋体" w:eastAsia="宋体" w:cs="宋体"/>
          <w:color w:val="auto"/>
          <w:highlight w:val="none"/>
          <w:lang w:eastAsia="zh-CN"/>
        </w:rPr>
      </w:pPr>
    </w:p>
    <w:p w14:paraId="55668C71">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20281677">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000000" w:themeColor="text1"/>
          <w:kern w:val="0"/>
          <w:sz w:val="24"/>
          <w:highlight w:val="none"/>
          <w:lang w:val="en-US" w:eastAsia="zh-CN"/>
          <w14:textFill>
            <w14:solidFill>
              <w14:schemeClr w14:val="tx1"/>
            </w14:solidFill>
          </w14:textFill>
        </w:rPr>
      </w:pPr>
      <w:r>
        <w:rPr>
          <w:rFonts w:hint="eastAsia" w:ascii="宋体" w:hAnsi="宋体" w:eastAsia="宋体" w:cs="宋体"/>
          <w:color w:val="auto"/>
          <w:sz w:val="28"/>
          <w:szCs w:val="28"/>
          <w:highlight w:val="none"/>
          <w:lang w:val="en-US" w:eastAsia="zh-CN"/>
        </w:rPr>
        <w:t xml:space="preserve">附件4            </w:t>
      </w:r>
      <w:bookmarkEnd w:id="105"/>
      <w:bookmarkEnd w:id="106"/>
      <w:r>
        <w:rPr>
          <w:rFonts w:hint="eastAsia" w:ascii="宋体" w:hAnsi="宋体" w:eastAsia="宋体" w:cs="宋体"/>
          <w:color w:val="auto"/>
          <w:sz w:val="28"/>
          <w:szCs w:val="28"/>
          <w:highlight w:val="none"/>
          <w:lang w:val="en-US" w:eastAsia="zh-CN"/>
        </w:rPr>
        <w:t>报价明细表（格式）</w:t>
      </w:r>
      <w:r>
        <w:rPr>
          <w:rFonts w:hint="eastAsia" w:ascii="宋体" w:hAnsi="宋体" w:eastAsia="宋体" w:cs="宋体"/>
          <w:color w:val="000000" w:themeColor="text1"/>
          <w:kern w:val="0"/>
          <w:sz w:val="24"/>
          <w:highlight w:val="none"/>
          <w:lang w:val="en-US" w:eastAsia="zh-CN"/>
          <w14:textFill>
            <w14:solidFill>
              <w14:schemeClr w14:val="tx1"/>
            </w14:solidFill>
          </w14:textFill>
        </w:rPr>
        <w:t xml:space="preserve"> </w:t>
      </w:r>
    </w:p>
    <w:p w14:paraId="3A621A8C">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 xml:space="preserve">                                                </w:t>
      </w:r>
      <w:r>
        <w:rPr>
          <w:rFonts w:hint="eastAsia" w:ascii="宋体" w:hAnsi="宋体" w:eastAsia="宋体" w:cs="宋体"/>
          <w:b w:val="0"/>
          <w:bCs w:val="0"/>
          <w:color w:val="000000" w:themeColor="text1"/>
          <w:kern w:val="0"/>
          <w:sz w:val="24"/>
          <w:highlight w:val="none"/>
          <w:lang w:val="en-US" w:eastAsia="zh-CN"/>
          <w14:textFill>
            <w14:solidFill>
              <w14:schemeClr w14:val="tx1"/>
            </w14:solidFill>
          </w14:textFill>
        </w:rPr>
        <w:t xml:space="preserve"> </w:t>
      </w:r>
      <w:r>
        <w:rPr>
          <w:rFonts w:hint="eastAsia" w:ascii="宋体" w:hAnsi="宋体" w:eastAsia="宋体" w:cs="宋体"/>
          <w:b w:val="0"/>
          <w:bCs w:val="0"/>
          <w:color w:val="auto"/>
          <w:kern w:val="0"/>
          <w:sz w:val="24"/>
          <w:highlight w:val="none"/>
        </w:rPr>
        <w:t>金额单位：人民币（元）</w:t>
      </w:r>
    </w:p>
    <w:tbl>
      <w:tblPr>
        <w:tblStyle w:val="33"/>
        <w:tblpPr w:leftFromText="180" w:rightFromText="180" w:vertAnchor="text" w:horzAnchor="page" w:tblpX="1095" w:tblpY="449"/>
        <w:tblOverlap w:val="never"/>
        <w:tblW w:w="988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52"/>
        <w:gridCol w:w="1718"/>
        <w:gridCol w:w="1694"/>
        <w:gridCol w:w="1424"/>
        <w:gridCol w:w="1284"/>
        <w:gridCol w:w="985"/>
        <w:gridCol w:w="883"/>
        <w:gridCol w:w="1140"/>
      </w:tblGrid>
      <w:tr w14:paraId="0AE19A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4" w:hRule="atLeast"/>
        </w:trPr>
        <w:tc>
          <w:tcPr>
            <w:tcW w:w="752" w:type="dxa"/>
            <w:tcBorders>
              <w:top w:val="single" w:color="auto" w:sz="4" w:space="0"/>
              <w:left w:val="single" w:color="auto" w:sz="4" w:space="0"/>
              <w:bottom w:val="nil"/>
              <w:right w:val="single" w:color="auto" w:sz="4" w:space="0"/>
            </w:tcBorders>
            <w:vAlign w:val="center"/>
          </w:tcPr>
          <w:p w14:paraId="53EBF65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r>
              <w:rPr>
                <w:rFonts w:hint="eastAsia" w:ascii="宋体" w:hAnsi="宋体" w:eastAsia="宋体" w:cs="宋体"/>
                <w:color w:val="auto"/>
                <w:kern w:val="0"/>
                <w:sz w:val="24"/>
                <w:highlight w:val="none"/>
              </w:rPr>
              <w:t>序号</w:t>
            </w:r>
          </w:p>
        </w:tc>
        <w:tc>
          <w:tcPr>
            <w:tcW w:w="1718" w:type="dxa"/>
            <w:tcBorders>
              <w:top w:val="single" w:color="auto" w:sz="4" w:space="0"/>
              <w:left w:val="single" w:color="auto" w:sz="4" w:space="0"/>
              <w:bottom w:val="nil"/>
              <w:right w:val="single" w:color="auto" w:sz="4" w:space="0"/>
            </w:tcBorders>
            <w:vAlign w:val="center"/>
          </w:tcPr>
          <w:p w14:paraId="6984F57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lang w:val="en-US" w:eastAsia="zh-CN" w:bidi="ar-SA"/>
              </w:rPr>
            </w:pPr>
            <w:r>
              <w:rPr>
                <w:rFonts w:hint="eastAsia" w:ascii="宋体" w:hAnsi="宋体" w:eastAsia="宋体" w:cs="宋体"/>
                <w:color w:val="auto"/>
                <w:spacing w:val="20"/>
                <w:kern w:val="0"/>
                <w:sz w:val="24"/>
                <w:szCs w:val="24"/>
                <w:highlight w:val="none"/>
                <w:lang w:val="en-US" w:eastAsia="zh-CN" w:bidi="ar-SA"/>
              </w:rPr>
              <w:t>货物名称</w:t>
            </w:r>
          </w:p>
        </w:tc>
        <w:tc>
          <w:tcPr>
            <w:tcW w:w="1694" w:type="dxa"/>
            <w:tcBorders>
              <w:top w:val="single" w:color="auto" w:sz="4" w:space="0"/>
              <w:left w:val="single" w:color="auto" w:sz="4" w:space="0"/>
              <w:bottom w:val="nil"/>
              <w:right w:val="single" w:color="auto" w:sz="4" w:space="0"/>
            </w:tcBorders>
            <w:vAlign w:val="center"/>
          </w:tcPr>
          <w:p w14:paraId="2622796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lang w:val="en-US" w:eastAsia="zh-CN" w:bidi="ar-SA"/>
              </w:rPr>
            </w:pPr>
            <w:r>
              <w:rPr>
                <w:rFonts w:hint="eastAsia" w:ascii="宋体" w:hAnsi="宋体" w:eastAsia="宋体" w:cs="宋体"/>
                <w:color w:val="auto"/>
                <w:spacing w:val="20"/>
                <w:kern w:val="0"/>
                <w:sz w:val="24"/>
                <w:szCs w:val="24"/>
                <w:highlight w:val="none"/>
                <w:lang w:val="en-US" w:eastAsia="zh-CN" w:bidi="ar-SA"/>
              </w:rPr>
              <w:t>品牌</w:t>
            </w:r>
          </w:p>
        </w:tc>
        <w:tc>
          <w:tcPr>
            <w:tcW w:w="1424" w:type="dxa"/>
            <w:tcBorders>
              <w:top w:val="single" w:color="auto" w:sz="4" w:space="0"/>
              <w:left w:val="single" w:color="auto" w:sz="4" w:space="0"/>
              <w:bottom w:val="nil"/>
              <w:right w:val="single" w:color="auto" w:sz="4" w:space="0"/>
            </w:tcBorders>
            <w:vAlign w:val="center"/>
          </w:tcPr>
          <w:p w14:paraId="09AB027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lang w:val="en-US" w:eastAsia="zh-CN" w:bidi="ar-SA"/>
              </w:rPr>
            </w:pPr>
            <w:r>
              <w:rPr>
                <w:rFonts w:hint="eastAsia" w:ascii="宋体" w:hAnsi="宋体" w:eastAsia="宋体" w:cs="宋体"/>
                <w:color w:val="auto"/>
                <w:spacing w:val="20"/>
                <w:kern w:val="0"/>
                <w:sz w:val="24"/>
                <w:szCs w:val="24"/>
                <w:highlight w:val="none"/>
                <w:lang w:val="en-US" w:eastAsia="zh-CN" w:bidi="ar-SA"/>
              </w:rPr>
              <w:t>规格型号</w:t>
            </w:r>
          </w:p>
        </w:tc>
        <w:tc>
          <w:tcPr>
            <w:tcW w:w="1284" w:type="dxa"/>
            <w:tcBorders>
              <w:top w:val="single" w:color="auto" w:sz="4" w:space="0"/>
              <w:left w:val="single" w:color="auto" w:sz="4" w:space="0"/>
              <w:bottom w:val="nil"/>
              <w:right w:val="single" w:color="auto" w:sz="4" w:space="0"/>
            </w:tcBorders>
            <w:vAlign w:val="center"/>
          </w:tcPr>
          <w:p w14:paraId="274110E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产地</w:t>
            </w:r>
          </w:p>
        </w:tc>
        <w:tc>
          <w:tcPr>
            <w:tcW w:w="985" w:type="dxa"/>
            <w:tcBorders>
              <w:top w:val="single" w:color="auto" w:sz="4" w:space="0"/>
              <w:left w:val="single" w:color="auto" w:sz="4" w:space="0"/>
              <w:bottom w:val="nil"/>
              <w:right w:val="single" w:color="auto" w:sz="4" w:space="0"/>
            </w:tcBorders>
            <w:vAlign w:val="center"/>
          </w:tcPr>
          <w:p w14:paraId="2CF70D4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lang w:val="en-US" w:eastAsia="zh-CN" w:bidi="ar-SA"/>
              </w:rPr>
            </w:pPr>
            <w:r>
              <w:rPr>
                <w:rFonts w:hint="eastAsia" w:ascii="宋体" w:hAnsi="宋体" w:eastAsia="宋体" w:cs="宋体"/>
                <w:color w:val="auto"/>
                <w:kern w:val="0"/>
                <w:sz w:val="24"/>
                <w:highlight w:val="none"/>
              </w:rPr>
              <w:t>数量</w:t>
            </w:r>
          </w:p>
        </w:tc>
        <w:tc>
          <w:tcPr>
            <w:tcW w:w="883" w:type="dxa"/>
            <w:tcBorders>
              <w:top w:val="single" w:color="auto" w:sz="4" w:space="0"/>
              <w:left w:val="single" w:color="auto" w:sz="4" w:space="0"/>
              <w:bottom w:val="nil"/>
              <w:right w:val="single" w:color="auto" w:sz="4" w:space="0"/>
            </w:tcBorders>
            <w:vAlign w:val="center"/>
          </w:tcPr>
          <w:p w14:paraId="6D739B1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lang w:val="en-US" w:eastAsia="zh-CN" w:bidi="ar-SA"/>
              </w:rPr>
            </w:pPr>
            <w:r>
              <w:rPr>
                <w:rFonts w:hint="eastAsia" w:ascii="宋体" w:hAnsi="宋体" w:eastAsia="宋体" w:cs="宋体"/>
                <w:color w:val="auto"/>
                <w:kern w:val="0"/>
                <w:sz w:val="24"/>
                <w:highlight w:val="none"/>
              </w:rPr>
              <w:t>单价</w:t>
            </w:r>
          </w:p>
        </w:tc>
        <w:tc>
          <w:tcPr>
            <w:tcW w:w="1140" w:type="dxa"/>
            <w:tcBorders>
              <w:top w:val="single" w:color="auto" w:sz="4" w:space="0"/>
              <w:left w:val="single" w:color="auto" w:sz="4" w:space="0"/>
              <w:bottom w:val="nil"/>
              <w:right w:val="single" w:color="auto" w:sz="4" w:space="0"/>
            </w:tcBorders>
            <w:vAlign w:val="center"/>
          </w:tcPr>
          <w:p w14:paraId="63A42D6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lang w:val="en-US" w:eastAsia="zh-CN" w:bidi="ar-SA"/>
              </w:rPr>
            </w:pPr>
            <w:r>
              <w:rPr>
                <w:rFonts w:hint="eastAsia" w:ascii="宋体" w:hAnsi="宋体" w:eastAsia="宋体" w:cs="宋体"/>
                <w:color w:val="auto"/>
                <w:spacing w:val="20"/>
                <w:kern w:val="0"/>
                <w:sz w:val="24"/>
                <w:highlight w:val="none"/>
                <w:lang w:val="en-US" w:eastAsia="zh-CN"/>
              </w:rPr>
              <w:t>总价</w:t>
            </w:r>
          </w:p>
        </w:tc>
      </w:tr>
      <w:tr w14:paraId="3D96E6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52" w:type="dxa"/>
            <w:tcBorders>
              <w:top w:val="single" w:color="auto" w:sz="4" w:space="0"/>
              <w:left w:val="single" w:color="auto" w:sz="4" w:space="0"/>
              <w:bottom w:val="single" w:color="auto" w:sz="4" w:space="0"/>
              <w:right w:val="single" w:color="auto" w:sz="4" w:space="0"/>
            </w:tcBorders>
          </w:tcPr>
          <w:p w14:paraId="14EBF5F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eastAsia="宋体" w:cs="宋体"/>
                <w:color w:val="auto"/>
                <w:spacing w:val="20"/>
                <w:kern w:val="0"/>
                <w:sz w:val="24"/>
                <w:highlight w:val="none"/>
                <w:lang w:val="en-US" w:eastAsia="zh-CN"/>
              </w:rPr>
              <w:t>1</w:t>
            </w:r>
          </w:p>
        </w:tc>
        <w:tc>
          <w:tcPr>
            <w:tcW w:w="1718" w:type="dxa"/>
            <w:tcBorders>
              <w:top w:val="single" w:color="auto" w:sz="4" w:space="0"/>
              <w:left w:val="single" w:color="auto" w:sz="4" w:space="0"/>
              <w:bottom w:val="single" w:color="auto" w:sz="4" w:space="0"/>
              <w:right w:val="single" w:color="auto" w:sz="4" w:space="0"/>
            </w:tcBorders>
          </w:tcPr>
          <w:p w14:paraId="47691C9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1694" w:type="dxa"/>
            <w:tcBorders>
              <w:top w:val="single" w:color="auto" w:sz="4" w:space="0"/>
              <w:left w:val="single" w:color="auto" w:sz="4" w:space="0"/>
              <w:bottom w:val="single" w:color="auto" w:sz="4" w:space="0"/>
              <w:right w:val="single" w:color="auto" w:sz="4" w:space="0"/>
            </w:tcBorders>
          </w:tcPr>
          <w:p w14:paraId="7B1E339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5727560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1284" w:type="dxa"/>
            <w:tcBorders>
              <w:top w:val="single" w:color="auto" w:sz="4" w:space="0"/>
              <w:left w:val="single" w:color="auto" w:sz="4" w:space="0"/>
              <w:bottom w:val="single" w:color="auto" w:sz="4" w:space="0"/>
              <w:right w:val="single" w:color="auto" w:sz="4" w:space="0"/>
            </w:tcBorders>
          </w:tcPr>
          <w:p w14:paraId="4B20E71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985" w:type="dxa"/>
            <w:tcBorders>
              <w:top w:val="single" w:color="auto" w:sz="4" w:space="0"/>
              <w:left w:val="single" w:color="auto" w:sz="4" w:space="0"/>
              <w:bottom w:val="single" w:color="auto" w:sz="4" w:space="0"/>
              <w:right w:val="single" w:color="auto" w:sz="4" w:space="0"/>
            </w:tcBorders>
          </w:tcPr>
          <w:p w14:paraId="3F2B9F7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1</w:t>
            </w:r>
          </w:p>
        </w:tc>
        <w:tc>
          <w:tcPr>
            <w:tcW w:w="883" w:type="dxa"/>
            <w:tcBorders>
              <w:top w:val="single" w:color="auto" w:sz="4" w:space="0"/>
              <w:left w:val="single" w:color="auto" w:sz="4" w:space="0"/>
              <w:bottom w:val="single" w:color="auto" w:sz="4" w:space="0"/>
              <w:right w:val="single" w:color="auto" w:sz="4" w:space="0"/>
            </w:tcBorders>
          </w:tcPr>
          <w:p w14:paraId="7DD6BC00">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07D2A1A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r>
      <w:tr w14:paraId="32544B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52" w:type="dxa"/>
            <w:tcBorders>
              <w:top w:val="single" w:color="auto" w:sz="4" w:space="0"/>
              <w:left w:val="single" w:color="auto" w:sz="4" w:space="0"/>
              <w:bottom w:val="single" w:color="auto" w:sz="4" w:space="0"/>
              <w:right w:val="single" w:color="auto" w:sz="4" w:space="0"/>
            </w:tcBorders>
          </w:tcPr>
          <w:p w14:paraId="5C977B0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eastAsia="宋体" w:cs="宋体"/>
                <w:color w:val="auto"/>
                <w:spacing w:val="20"/>
                <w:kern w:val="0"/>
                <w:sz w:val="24"/>
                <w:highlight w:val="none"/>
                <w:lang w:val="en-US" w:eastAsia="zh-CN"/>
              </w:rPr>
              <w:t>2</w:t>
            </w:r>
          </w:p>
        </w:tc>
        <w:tc>
          <w:tcPr>
            <w:tcW w:w="1718" w:type="dxa"/>
            <w:tcBorders>
              <w:top w:val="single" w:color="auto" w:sz="4" w:space="0"/>
              <w:left w:val="single" w:color="auto" w:sz="4" w:space="0"/>
              <w:bottom w:val="single" w:color="auto" w:sz="4" w:space="0"/>
              <w:right w:val="single" w:color="auto" w:sz="4" w:space="0"/>
            </w:tcBorders>
          </w:tcPr>
          <w:p w14:paraId="1303570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1694" w:type="dxa"/>
            <w:tcBorders>
              <w:top w:val="single" w:color="auto" w:sz="4" w:space="0"/>
              <w:left w:val="single" w:color="auto" w:sz="4" w:space="0"/>
              <w:bottom w:val="single" w:color="auto" w:sz="4" w:space="0"/>
              <w:right w:val="single" w:color="auto" w:sz="4" w:space="0"/>
            </w:tcBorders>
          </w:tcPr>
          <w:p w14:paraId="2F7FC1D5">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33BB48F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1284" w:type="dxa"/>
            <w:tcBorders>
              <w:top w:val="single" w:color="auto" w:sz="4" w:space="0"/>
              <w:left w:val="single" w:color="auto" w:sz="4" w:space="0"/>
              <w:bottom w:val="single" w:color="auto" w:sz="4" w:space="0"/>
              <w:right w:val="single" w:color="auto" w:sz="4" w:space="0"/>
            </w:tcBorders>
          </w:tcPr>
          <w:p w14:paraId="6B092CD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985" w:type="dxa"/>
            <w:tcBorders>
              <w:top w:val="single" w:color="auto" w:sz="4" w:space="0"/>
              <w:left w:val="single" w:color="auto" w:sz="4" w:space="0"/>
              <w:bottom w:val="single" w:color="auto" w:sz="4" w:space="0"/>
              <w:right w:val="single" w:color="auto" w:sz="4" w:space="0"/>
            </w:tcBorders>
          </w:tcPr>
          <w:p w14:paraId="7F96127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1</w:t>
            </w:r>
          </w:p>
        </w:tc>
        <w:tc>
          <w:tcPr>
            <w:tcW w:w="883" w:type="dxa"/>
            <w:tcBorders>
              <w:top w:val="single" w:color="auto" w:sz="4" w:space="0"/>
              <w:left w:val="single" w:color="auto" w:sz="4" w:space="0"/>
              <w:bottom w:val="single" w:color="auto" w:sz="4" w:space="0"/>
              <w:right w:val="single" w:color="auto" w:sz="4" w:space="0"/>
            </w:tcBorders>
          </w:tcPr>
          <w:p w14:paraId="47040F1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0E1CC70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r>
      <w:tr w14:paraId="1D4ABA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52" w:type="dxa"/>
            <w:tcBorders>
              <w:top w:val="single" w:color="auto" w:sz="4" w:space="0"/>
              <w:left w:val="single" w:color="auto" w:sz="4" w:space="0"/>
              <w:bottom w:val="single" w:color="auto" w:sz="4" w:space="0"/>
              <w:right w:val="single" w:color="auto" w:sz="4" w:space="0"/>
            </w:tcBorders>
          </w:tcPr>
          <w:p w14:paraId="6081B31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eastAsia="宋体" w:cs="宋体"/>
                <w:color w:val="auto"/>
                <w:spacing w:val="20"/>
                <w:kern w:val="0"/>
                <w:sz w:val="24"/>
                <w:highlight w:val="none"/>
                <w:lang w:val="en-US" w:eastAsia="zh-CN"/>
              </w:rPr>
              <w:t>3</w:t>
            </w:r>
          </w:p>
        </w:tc>
        <w:tc>
          <w:tcPr>
            <w:tcW w:w="1718" w:type="dxa"/>
            <w:tcBorders>
              <w:top w:val="single" w:color="auto" w:sz="4" w:space="0"/>
              <w:left w:val="single" w:color="auto" w:sz="4" w:space="0"/>
              <w:bottom w:val="single" w:color="auto" w:sz="4" w:space="0"/>
              <w:right w:val="single" w:color="auto" w:sz="4" w:space="0"/>
            </w:tcBorders>
          </w:tcPr>
          <w:p w14:paraId="2809E77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1694" w:type="dxa"/>
            <w:tcBorders>
              <w:top w:val="single" w:color="auto" w:sz="4" w:space="0"/>
              <w:left w:val="single" w:color="auto" w:sz="4" w:space="0"/>
              <w:bottom w:val="single" w:color="auto" w:sz="4" w:space="0"/>
              <w:right w:val="single" w:color="auto" w:sz="4" w:space="0"/>
            </w:tcBorders>
          </w:tcPr>
          <w:p w14:paraId="37BBF28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55FDE90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1284" w:type="dxa"/>
            <w:tcBorders>
              <w:top w:val="single" w:color="auto" w:sz="4" w:space="0"/>
              <w:left w:val="single" w:color="auto" w:sz="4" w:space="0"/>
              <w:bottom w:val="single" w:color="auto" w:sz="4" w:space="0"/>
              <w:right w:val="single" w:color="auto" w:sz="4" w:space="0"/>
            </w:tcBorders>
          </w:tcPr>
          <w:p w14:paraId="6BEFD2E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985" w:type="dxa"/>
            <w:tcBorders>
              <w:top w:val="single" w:color="auto" w:sz="4" w:space="0"/>
              <w:left w:val="single" w:color="auto" w:sz="4" w:space="0"/>
              <w:bottom w:val="single" w:color="auto" w:sz="4" w:space="0"/>
              <w:right w:val="single" w:color="auto" w:sz="4" w:space="0"/>
            </w:tcBorders>
          </w:tcPr>
          <w:p w14:paraId="1DF5EA0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1</w:t>
            </w:r>
          </w:p>
        </w:tc>
        <w:tc>
          <w:tcPr>
            <w:tcW w:w="883" w:type="dxa"/>
            <w:tcBorders>
              <w:top w:val="single" w:color="auto" w:sz="4" w:space="0"/>
              <w:left w:val="single" w:color="auto" w:sz="4" w:space="0"/>
              <w:bottom w:val="single" w:color="auto" w:sz="4" w:space="0"/>
              <w:right w:val="single" w:color="auto" w:sz="4" w:space="0"/>
            </w:tcBorders>
          </w:tcPr>
          <w:p w14:paraId="5FF9BF1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444BD92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r>
      <w:tr w14:paraId="1A5BA7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52" w:type="dxa"/>
            <w:tcBorders>
              <w:top w:val="single" w:color="auto" w:sz="4" w:space="0"/>
              <w:left w:val="single" w:color="auto" w:sz="4" w:space="0"/>
              <w:bottom w:val="single" w:color="auto" w:sz="4" w:space="0"/>
              <w:right w:val="single" w:color="auto" w:sz="4" w:space="0"/>
            </w:tcBorders>
          </w:tcPr>
          <w:p w14:paraId="7F755B5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eastAsia="宋体" w:cs="宋体"/>
                <w:color w:val="auto"/>
                <w:spacing w:val="20"/>
                <w:kern w:val="0"/>
                <w:sz w:val="24"/>
                <w:highlight w:val="none"/>
                <w:lang w:val="en-US" w:eastAsia="zh-CN"/>
              </w:rPr>
              <w:t>4</w:t>
            </w:r>
          </w:p>
        </w:tc>
        <w:tc>
          <w:tcPr>
            <w:tcW w:w="1718" w:type="dxa"/>
            <w:tcBorders>
              <w:top w:val="single" w:color="auto" w:sz="4" w:space="0"/>
              <w:left w:val="single" w:color="auto" w:sz="4" w:space="0"/>
              <w:bottom w:val="single" w:color="auto" w:sz="4" w:space="0"/>
              <w:right w:val="single" w:color="auto" w:sz="4" w:space="0"/>
            </w:tcBorders>
          </w:tcPr>
          <w:p w14:paraId="0E34AD7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1694" w:type="dxa"/>
            <w:tcBorders>
              <w:top w:val="single" w:color="auto" w:sz="4" w:space="0"/>
              <w:left w:val="single" w:color="auto" w:sz="4" w:space="0"/>
              <w:bottom w:val="single" w:color="auto" w:sz="4" w:space="0"/>
              <w:right w:val="single" w:color="auto" w:sz="4" w:space="0"/>
            </w:tcBorders>
          </w:tcPr>
          <w:p w14:paraId="35398F4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2F238917">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1284" w:type="dxa"/>
            <w:tcBorders>
              <w:top w:val="single" w:color="auto" w:sz="4" w:space="0"/>
              <w:left w:val="single" w:color="auto" w:sz="4" w:space="0"/>
              <w:bottom w:val="single" w:color="auto" w:sz="4" w:space="0"/>
              <w:right w:val="single" w:color="auto" w:sz="4" w:space="0"/>
            </w:tcBorders>
          </w:tcPr>
          <w:p w14:paraId="25E6526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985" w:type="dxa"/>
            <w:tcBorders>
              <w:top w:val="single" w:color="auto" w:sz="4" w:space="0"/>
              <w:left w:val="single" w:color="auto" w:sz="4" w:space="0"/>
              <w:bottom w:val="single" w:color="auto" w:sz="4" w:space="0"/>
              <w:right w:val="single" w:color="auto" w:sz="4" w:space="0"/>
            </w:tcBorders>
          </w:tcPr>
          <w:p w14:paraId="6FD476E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1</w:t>
            </w:r>
          </w:p>
        </w:tc>
        <w:tc>
          <w:tcPr>
            <w:tcW w:w="883" w:type="dxa"/>
            <w:tcBorders>
              <w:top w:val="single" w:color="auto" w:sz="4" w:space="0"/>
              <w:left w:val="single" w:color="auto" w:sz="4" w:space="0"/>
              <w:bottom w:val="single" w:color="auto" w:sz="4" w:space="0"/>
              <w:right w:val="single" w:color="auto" w:sz="4" w:space="0"/>
            </w:tcBorders>
          </w:tcPr>
          <w:p w14:paraId="250E8B3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0D70705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r>
      <w:tr w14:paraId="59F919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52" w:type="dxa"/>
            <w:tcBorders>
              <w:top w:val="single" w:color="auto" w:sz="4" w:space="0"/>
              <w:left w:val="single" w:color="auto" w:sz="4" w:space="0"/>
              <w:bottom w:val="single" w:color="auto" w:sz="4" w:space="0"/>
              <w:right w:val="single" w:color="auto" w:sz="4" w:space="0"/>
            </w:tcBorders>
          </w:tcPr>
          <w:p w14:paraId="5CD524A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1718" w:type="dxa"/>
            <w:tcBorders>
              <w:top w:val="single" w:color="auto" w:sz="4" w:space="0"/>
              <w:left w:val="single" w:color="auto" w:sz="4" w:space="0"/>
              <w:bottom w:val="single" w:color="auto" w:sz="4" w:space="0"/>
              <w:right w:val="single" w:color="auto" w:sz="4" w:space="0"/>
            </w:tcBorders>
          </w:tcPr>
          <w:p w14:paraId="68FB677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1694" w:type="dxa"/>
            <w:tcBorders>
              <w:top w:val="single" w:color="auto" w:sz="4" w:space="0"/>
              <w:left w:val="single" w:color="auto" w:sz="4" w:space="0"/>
              <w:bottom w:val="single" w:color="auto" w:sz="4" w:space="0"/>
              <w:right w:val="single" w:color="auto" w:sz="4" w:space="0"/>
            </w:tcBorders>
          </w:tcPr>
          <w:p w14:paraId="12B2C16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0692C3C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1284" w:type="dxa"/>
            <w:tcBorders>
              <w:top w:val="single" w:color="auto" w:sz="4" w:space="0"/>
              <w:left w:val="single" w:color="auto" w:sz="4" w:space="0"/>
              <w:bottom w:val="single" w:color="auto" w:sz="4" w:space="0"/>
              <w:right w:val="single" w:color="auto" w:sz="4" w:space="0"/>
            </w:tcBorders>
          </w:tcPr>
          <w:p w14:paraId="2B10473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985" w:type="dxa"/>
            <w:tcBorders>
              <w:top w:val="single" w:color="auto" w:sz="4" w:space="0"/>
              <w:left w:val="single" w:color="auto" w:sz="4" w:space="0"/>
              <w:bottom w:val="single" w:color="auto" w:sz="4" w:space="0"/>
              <w:right w:val="single" w:color="auto" w:sz="4" w:space="0"/>
            </w:tcBorders>
          </w:tcPr>
          <w:p w14:paraId="4AA301F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1</w:t>
            </w:r>
          </w:p>
        </w:tc>
        <w:tc>
          <w:tcPr>
            <w:tcW w:w="883" w:type="dxa"/>
            <w:tcBorders>
              <w:top w:val="single" w:color="auto" w:sz="4" w:space="0"/>
              <w:left w:val="single" w:color="auto" w:sz="4" w:space="0"/>
              <w:bottom w:val="single" w:color="auto" w:sz="4" w:space="0"/>
              <w:right w:val="single" w:color="auto" w:sz="4" w:space="0"/>
            </w:tcBorders>
          </w:tcPr>
          <w:p w14:paraId="3A6225D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3874A78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r>
      <w:tr w14:paraId="4F77A3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52" w:type="dxa"/>
            <w:tcBorders>
              <w:top w:val="single" w:color="auto" w:sz="4" w:space="0"/>
              <w:left w:val="single" w:color="auto" w:sz="4" w:space="0"/>
              <w:bottom w:val="single" w:color="auto" w:sz="4" w:space="0"/>
              <w:right w:val="single" w:color="auto" w:sz="4" w:space="0"/>
            </w:tcBorders>
          </w:tcPr>
          <w:p w14:paraId="54124E4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eastAsia="宋体" w:cs="宋体"/>
                <w:color w:val="auto"/>
                <w:spacing w:val="20"/>
                <w:kern w:val="0"/>
                <w:sz w:val="24"/>
                <w:highlight w:val="none"/>
                <w:lang w:val="en-US" w:eastAsia="zh-CN"/>
              </w:rPr>
              <w:t>...</w:t>
            </w:r>
          </w:p>
        </w:tc>
        <w:tc>
          <w:tcPr>
            <w:tcW w:w="1718" w:type="dxa"/>
            <w:tcBorders>
              <w:top w:val="single" w:color="auto" w:sz="4" w:space="0"/>
              <w:left w:val="single" w:color="auto" w:sz="4" w:space="0"/>
              <w:bottom w:val="single" w:color="auto" w:sz="4" w:space="0"/>
              <w:right w:val="single" w:color="auto" w:sz="4" w:space="0"/>
            </w:tcBorders>
          </w:tcPr>
          <w:p w14:paraId="54054A2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eastAsia="zh-CN"/>
              </w:rPr>
            </w:pPr>
            <w:r>
              <w:rPr>
                <w:rFonts w:hint="eastAsia" w:ascii="宋体" w:hAnsi="宋体" w:eastAsia="宋体" w:cs="宋体"/>
                <w:color w:val="auto"/>
                <w:spacing w:val="20"/>
                <w:kern w:val="0"/>
                <w:sz w:val="24"/>
                <w:highlight w:val="none"/>
                <w:lang w:val="en-US" w:eastAsia="zh-CN"/>
              </w:rPr>
              <w:t>总计</w:t>
            </w:r>
          </w:p>
        </w:tc>
        <w:tc>
          <w:tcPr>
            <w:tcW w:w="1694" w:type="dxa"/>
            <w:tcBorders>
              <w:top w:val="single" w:color="auto" w:sz="4" w:space="0"/>
              <w:left w:val="single" w:color="auto" w:sz="4" w:space="0"/>
              <w:bottom w:val="single" w:color="auto" w:sz="4" w:space="0"/>
              <w:right w:val="single" w:color="auto" w:sz="4" w:space="0"/>
            </w:tcBorders>
          </w:tcPr>
          <w:p w14:paraId="3F1504C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4641A29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1284" w:type="dxa"/>
            <w:tcBorders>
              <w:top w:val="single" w:color="auto" w:sz="4" w:space="0"/>
              <w:left w:val="single" w:color="auto" w:sz="4" w:space="0"/>
              <w:bottom w:val="single" w:color="auto" w:sz="4" w:space="0"/>
              <w:right w:val="single" w:color="auto" w:sz="4" w:space="0"/>
            </w:tcBorders>
          </w:tcPr>
          <w:p w14:paraId="53805F0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985" w:type="dxa"/>
            <w:tcBorders>
              <w:top w:val="single" w:color="auto" w:sz="4" w:space="0"/>
              <w:left w:val="single" w:color="auto" w:sz="4" w:space="0"/>
              <w:bottom w:val="single" w:color="auto" w:sz="4" w:space="0"/>
              <w:right w:val="single" w:color="auto" w:sz="4" w:space="0"/>
            </w:tcBorders>
          </w:tcPr>
          <w:p w14:paraId="2623300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p>
        </w:tc>
        <w:tc>
          <w:tcPr>
            <w:tcW w:w="883" w:type="dxa"/>
            <w:tcBorders>
              <w:top w:val="single" w:color="auto" w:sz="4" w:space="0"/>
              <w:left w:val="single" w:color="auto" w:sz="4" w:space="0"/>
              <w:bottom w:val="single" w:color="auto" w:sz="4" w:space="0"/>
              <w:right w:val="single" w:color="auto" w:sz="4" w:space="0"/>
            </w:tcBorders>
          </w:tcPr>
          <w:p w14:paraId="54B2B92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17C3D46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r>
      <w:tr w14:paraId="1DECFD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9" w:hRule="atLeast"/>
        </w:trPr>
        <w:tc>
          <w:tcPr>
            <w:tcW w:w="752" w:type="dxa"/>
            <w:tcBorders>
              <w:top w:val="single" w:color="auto" w:sz="4" w:space="0"/>
              <w:left w:val="single" w:color="auto" w:sz="4" w:space="0"/>
              <w:bottom w:val="single" w:color="auto" w:sz="4" w:space="0"/>
              <w:right w:val="single" w:color="auto" w:sz="4" w:space="0"/>
            </w:tcBorders>
            <w:vAlign w:val="top"/>
          </w:tcPr>
          <w:p w14:paraId="2B4F214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left"/>
              <w:textAlignment w:val="auto"/>
              <w:rPr>
                <w:rFonts w:hint="eastAsia" w:ascii="宋体" w:hAnsi="宋体" w:eastAsia="宋体" w:cs="宋体"/>
                <w:color w:val="auto"/>
                <w:spacing w:val="20"/>
                <w:kern w:val="0"/>
                <w:sz w:val="24"/>
                <w:highlight w:val="none"/>
              </w:rPr>
            </w:pPr>
          </w:p>
        </w:tc>
        <w:tc>
          <w:tcPr>
            <w:tcW w:w="9128" w:type="dxa"/>
            <w:gridSpan w:val="7"/>
            <w:tcBorders>
              <w:top w:val="single" w:color="auto" w:sz="4" w:space="0"/>
              <w:left w:val="single" w:color="auto" w:sz="4" w:space="0"/>
              <w:bottom w:val="single" w:color="auto" w:sz="4" w:space="0"/>
              <w:right w:val="single" w:color="auto" w:sz="4" w:space="0"/>
            </w:tcBorders>
            <w:vAlign w:val="top"/>
          </w:tcPr>
          <w:p w14:paraId="7E402CB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left"/>
              <w:textAlignment w:val="auto"/>
              <w:rPr>
                <w:rFonts w:hint="eastAsia" w:ascii="宋体" w:hAnsi="宋体" w:eastAsia="宋体" w:cs="宋体"/>
                <w:color w:val="auto"/>
                <w:spacing w:val="20"/>
                <w:kern w:val="0"/>
                <w:sz w:val="24"/>
                <w:highlight w:val="none"/>
                <w:lang w:val="en-US" w:eastAsia="zh-CN"/>
              </w:rPr>
            </w:pPr>
            <w:r>
              <w:rPr>
                <w:rFonts w:hint="eastAsia" w:ascii="宋体" w:hAnsi="宋体" w:eastAsia="宋体" w:cs="宋体"/>
                <w:color w:val="auto"/>
                <w:spacing w:val="20"/>
                <w:kern w:val="0"/>
                <w:sz w:val="24"/>
                <w:highlight w:val="none"/>
                <w:lang w:val="en-US" w:eastAsia="zh-CN"/>
              </w:rPr>
              <w:t>磋商</w:t>
            </w:r>
            <w:r>
              <w:rPr>
                <w:rFonts w:hint="eastAsia" w:ascii="宋体" w:hAnsi="宋体" w:eastAsia="宋体" w:cs="宋体"/>
                <w:color w:val="auto"/>
                <w:spacing w:val="20"/>
                <w:kern w:val="0"/>
                <w:sz w:val="24"/>
                <w:highlight w:val="none"/>
              </w:rPr>
              <w:t>报价(</w:t>
            </w:r>
            <w:r>
              <w:rPr>
                <w:rFonts w:hint="eastAsia" w:ascii="宋体" w:hAnsi="宋体" w:eastAsia="宋体" w:cs="宋体"/>
                <w:color w:val="auto"/>
                <w:kern w:val="0"/>
                <w:sz w:val="24"/>
                <w:szCs w:val="21"/>
                <w:highlight w:val="none"/>
              </w:rPr>
              <w:t>大写)：</w:t>
            </w:r>
          </w:p>
        </w:tc>
      </w:tr>
    </w:tbl>
    <w:p w14:paraId="76A4573A">
      <w:pPr>
        <w:widowControl/>
        <w:shd w:val="clear" w:color="auto" w:fill="FFFFFF"/>
        <w:spacing w:line="360" w:lineRule="auto"/>
        <w:jc w:val="both"/>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注：本项目为供货项目，供货期为一年，数量暂按“1”报。</w:t>
      </w:r>
    </w:p>
    <w:p w14:paraId="179850FE">
      <w:pPr>
        <w:widowControl/>
        <w:shd w:val="clear" w:color="auto" w:fill="FFFFFF"/>
        <w:spacing w:line="360" w:lineRule="auto"/>
        <w:ind w:left="1480" w:leftChars="705" w:firstLine="1524" w:firstLineChars="726"/>
        <w:jc w:val="both"/>
        <w:rPr>
          <w:rFonts w:hint="eastAsia" w:ascii="宋体" w:hAnsi="宋体" w:eastAsia="宋体" w:cs="宋体"/>
          <w:color w:val="auto"/>
          <w:kern w:val="0"/>
          <w:szCs w:val="21"/>
          <w:highlight w:val="none"/>
          <w:lang w:eastAsia="zh-CN"/>
        </w:rPr>
      </w:pPr>
    </w:p>
    <w:p w14:paraId="1DEC94A1">
      <w:pPr>
        <w:widowControl/>
        <w:shd w:val="clear" w:color="auto" w:fill="FFFFFF"/>
        <w:spacing w:line="360" w:lineRule="auto"/>
        <w:ind w:left="1480" w:leftChars="705" w:firstLine="1524" w:firstLineChars="726"/>
        <w:jc w:val="both"/>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p>
    <w:p w14:paraId="343B3390">
      <w:pPr>
        <w:widowControl/>
        <w:shd w:val="clear" w:color="auto" w:fill="FFFFFF"/>
        <w:spacing w:line="360" w:lineRule="auto"/>
        <w:ind w:left="1480" w:leftChars="705" w:firstLine="1524" w:firstLineChars="726"/>
        <w:jc w:val="both"/>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法定代表人或委托代理人（签字</w:t>
      </w:r>
      <w:r>
        <w:rPr>
          <w:rFonts w:hint="eastAsia" w:ascii="宋体" w:hAnsi="宋体" w:eastAsia="宋体" w:cs="宋体"/>
          <w:color w:val="auto"/>
          <w:kern w:val="0"/>
          <w:sz w:val="21"/>
          <w:szCs w:val="21"/>
          <w:highlight w:val="none"/>
          <w:lang w:val="en-US" w:eastAsia="zh-CN"/>
        </w:rPr>
        <w:t>或盖章</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u w:val="single"/>
        </w:rPr>
        <w:t xml:space="preserve">           </w:t>
      </w:r>
    </w:p>
    <w:p w14:paraId="3603295E">
      <w:pPr>
        <w:widowControl/>
        <w:wordWrap w:val="0"/>
        <w:spacing w:line="460" w:lineRule="exact"/>
        <w:ind w:firstLine="4410" w:firstLineChars="21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年    月    日</w:t>
      </w:r>
    </w:p>
    <w:p w14:paraId="220BA8D1">
      <w:pPr>
        <w:widowControl/>
        <w:wordWrap w:val="0"/>
        <w:spacing w:line="460" w:lineRule="exact"/>
        <w:ind w:firstLine="4800" w:firstLineChars="2000"/>
        <w:jc w:val="left"/>
        <w:rPr>
          <w:rFonts w:hint="eastAsia" w:ascii="宋体" w:hAnsi="宋体" w:eastAsia="宋体" w:cs="宋体"/>
          <w:color w:val="auto"/>
          <w:sz w:val="28"/>
          <w:szCs w:val="28"/>
          <w:highlight w:val="none"/>
          <w:lang w:val="en-US" w:eastAsia="zh-CN"/>
        </w:rPr>
      </w:pPr>
      <w:r>
        <w:rPr>
          <w:rFonts w:hint="eastAsia" w:ascii="宋体" w:hAnsi="宋体" w:eastAsia="宋体" w:cs="宋体"/>
          <w:color w:val="auto"/>
          <w:kern w:val="0"/>
          <w:sz w:val="24"/>
          <w:highlight w:val="none"/>
        </w:rPr>
        <w:t xml:space="preserve">     </w:t>
      </w:r>
    </w:p>
    <w:p w14:paraId="50CE31F5">
      <w:pPr>
        <w:pStyle w:val="24"/>
        <w:rPr>
          <w:rFonts w:hint="eastAsia" w:ascii="宋体" w:hAnsi="宋体" w:eastAsia="宋体" w:cs="宋体"/>
          <w:color w:val="auto"/>
          <w:kern w:val="0"/>
          <w:sz w:val="24"/>
          <w:highlight w:val="none"/>
        </w:rPr>
        <w:sectPr>
          <w:pgSz w:w="11906" w:h="16838"/>
          <w:pgMar w:top="1417" w:right="1474" w:bottom="1417" w:left="1474" w:header="851" w:footer="624" w:gutter="0"/>
          <w:pgNumType w:fmt="decimal"/>
          <w:cols w:space="720" w:num="1"/>
          <w:docGrid w:type="lines" w:linePitch="319" w:charSpace="0"/>
        </w:sectPr>
      </w:pPr>
    </w:p>
    <w:p w14:paraId="26A19139">
      <w:pPr>
        <w:keepNext w:val="0"/>
        <w:keepLines w:val="0"/>
        <w:widowControl/>
        <w:suppressLineNumbers w:val="0"/>
        <w:jc w:val="center"/>
        <w:rPr>
          <w:rFonts w:hint="eastAsia" w:ascii="宋体" w:hAnsi="宋体" w:eastAsia="宋体" w:cs="宋体"/>
          <w:b/>
          <w:bCs/>
          <w:color w:val="auto"/>
          <w:kern w:val="2"/>
          <w:sz w:val="28"/>
          <w:szCs w:val="28"/>
          <w:highlight w:val="none"/>
          <w:lang w:val="en-US" w:eastAsia="zh-CN" w:bidi="ar-SA"/>
        </w:rPr>
      </w:pPr>
      <w:bookmarkStart w:id="107" w:name="_Toc226"/>
      <w:bookmarkStart w:id="108" w:name="_Toc15804"/>
      <w:r>
        <w:rPr>
          <w:rFonts w:hint="eastAsia" w:ascii="宋体" w:hAnsi="宋体" w:eastAsia="宋体" w:cs="宋体"/>
          <w:b/>
          <w:bCs/>
          <w:color w:val="auto"/>
          <w:kern w:val="2"/>
          <w:sz w:val="28"/>
          <w:szCs w:val="28"/>
          <w:highlight w:val="none"/>
          <w:lang w:val="en-US" w:eastAsia="zh-CN" w:bidi="ar-SA"/>
        </w:rPr>
        <w:t>4.1 配套试剂报价一览表（格式，如有）</w:t>
      </w:r>
    </w:p>
    <w:tbl>
      <w:tblPr>
        <w:tblStyle w:val="34"/>
        <w:tblW w:w="0" w:type="auto"/>
        <w:tblInd w:w="-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9"/>
        <w:gridCol w:w="1447"/>
        <w:gridCol w:w="1447"/>
        <w:gridCol w:w="1046"/>
        <w:gridCol w:w="1046"/>
        <w:gridCol w:w="1046"/>
        <w:gridCol w:w="1164"/>
        <w:gridCol w:w="929"/>
        <w:gridCol w:w="929"/>
        <w:gridCol w:w="1046"/>
        <w:gridCol w:w="1609"/>
        <w:gridCol w:w="1908"/>
      </w:tblGrid>
      <w:tr w14:paraId="62CC1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 w:type="dxa"/>
            <w:vAlign w:val="center"/>
          </w:tcPr>
          <w:p w14:paraId="646E05CB">
            <w:pPr>
              <w:widowControl w:val="0"/>
              <w:jc w:val="center"/>
              <w:rPr>
                <w:rFonts w:hint="eastAsia" w:eastAsia="宋体"/>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序号</w:t>
            </w:r>
          </w:p>
        </w:tc>
        <w:tc>
          <w:tcPr>
            <w:tcW w:w="1447" w:type="dxa"/>
            <w:vAlign w:val="center"/>
          </w:tcPr>
          <w:p w14:paraId="579EE2D7">
            <w:pPr>
              <w:keepNext w:val="0"/>
              <w:keepLines w:val="0"/>
              <w:widowControl/>
              <w:suppressLineNumbers w:val="0"/>
              <w:jc w:val="center"/>
              <w:rPr>
                <w:rFonts w:hint="default"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检测项目</w:t>
            </w:r>
          </w:p>
        </w:tc>
        <w:tc>
          <w:tcPr>
            <w:tcW w:w="1447" w:type="dxa"/>
            <w:vAlign w:val="center"/>
          </w:tcPr>
          <w:p w14:paraId="0BC23284">
            <w:pPr>
              <w:keepNext w:val="0"/>
              <w:keepLines w:val="0"/>
              <w:widowControl/>
              <w:suppressLineNumbers w:val="0"/>
              <w:jc w:val="center"/>
              <w:rPr>
                <w:rFonts w:hint="eastAsia" w:eastAsia="宋体"/>
                <w:color w:val="auto"/>
                <w:sz w:val="21"/>
                <w:szCs w:val="21"/>
                <w:highlight w:val="none"/>
                <w:vertAlign w:val="baseline"/>
                <w:lang w:val="en-US" w:eastAsia="zh-CN"/>
              </w:rPr>
            </w:pPr>
            <w:r>
              <w:rPr>
                <w:rFonts w:hint="eastAsia" w:ascii="宋体" w:hAnsi="宋体" w:eastAsia="宋体" w:cs="宋体"/>
                <w:b/>
                <w:bCs/>
                <w:snapToGrid w:val="0"/>
                <w:color w:val="auto"/>
                <w:kern w:val="0"/>
                <w:sz w:val="21"/>
                <w:szCs w:val="21"/>
                <w:highlight w:val="none"/>
                <w:lang w:val="en-US" w:eastAsia="zh-CN" w:bidi="ar"/>
              </w:rPr>
              <w:t>商品名称</w:t>
            </w:r>
          </w:p>
        </w:tc>
        <w:tc>
          <w:tcPr>
            <w:tcW w:w="1046" w:type="dxa"/>
            <w:vAlign w:val="center"/>
          </w:tcPr>
          <w:p w14:paraId="7B88569B">
            <w:pPr>
              <w:keepNext w:val="0"/>
              <w:keepLines w:val="0"/>
              <w:widowControl/>
              <w:suppressLineNumbers w:val="0"/>
              <w:jc w:val="center"/>
              <w:rPr>
                <w:color w:val="auto"/>
                <w:sz w:val="21"/>
                <w:szCs w:val="21"/>
                <w:highlight w:val="none"/>
              </w:rPr>
            </w:pPr>
            <w:r>
              <w:rPr>
                <w:rFonts w:hint="eastAsia" w:ascii="宋体" w:hAnsi="宋体" w:eastAsia="宋体" w:cs="宋体"/>
                <w:b/>
                <w:bCs/>
                <w:snapToGrid w:val="0"/>
                <w:color w:val="auto"/>
                <w:kern w:val="0"/>
                <w:sz w:val="21"/>
                <w:szCs w:val="21"/>
                <w:highlight w:val="none"/>
                <w:lang w:val="en-US" w:eastAsia="zh-CN" w:bidi="ar"/>
              </w:rPr>
              <w:t>注册</w:t>
            </w:r>
          </w:p>
          <w:p w14:paraId="5A7F3778">
            <w:pPr>
              <w:keepNext w:val="0"/>
              <w:keepLines w:val="0"/>
              <w:widowControl/>
              <w:suppressLineNumbers w:val="0"/>
              <w:jc w:val="center"/>
              <w:rPr>
                <w:color w:val="auto"/>
                <w:sz w:val="21"/>
                <w:szCs w:val="21"/>
                <w:highlight w:val="none"/>
                <w:vertAlign w:val="baseline"/>
              </w:rPr>
            </w:pPr>
            <w:r>
              <w:rPr>
                <w:rFonts w:hint="eastAsia" w:ascii="宋体" w:hAnsi="宋体" w:eastAsia="宋体" w:cs="宋体"/>
                <w:b/>
                <w:bCs/>
                <w:snapToGrid w:val="0"/>
                <w:color w:val="auto"/>
                <w:kern w:val="0"/>
                <w:sz w:val="21"/>
                <w:szCs w:val="21"/>
                <w:highlight w:val="none"/>
                <w:lang w:val="en-US" w:eastAsia="zh-CN" w:bidi="ar"/>
              </w:rPr>
              <w:t>证名称及注册证号</w:t>
            </w:r>
          </w:p>
        </w:tc>
        <w:tc>
          <w:tcPr>
            <w:tcW w:w="1046" w:type="dxa"/>
            <w:vAlign w:val="center"/>
          </w:tcPr>
          <w:p w14:paraId="13975975">
            <w:pPr>
              <w:keepNext w:val="0"/>
              <w:keepLines w:val="0"/>
              <w:widowControl/>
              <w:suppressLineNumbers w:val="0"/>
              <w:jc w:val="center"/>
              <w:rPr>
                <w:color w:val="auto"/>
                <w:sz w:val="21"/>
                <w:szCs w:val="21"/>
                <w:highlight w:val="none"/>
              </w:rPr>
            </w:pPr>
            <w:r>
              <w:rPr>
                <w:rFonts w:hint="eastAsia" w:ascii="宋体" w:hAnsi="宋体" w:eastAsia="宋体" w:cs="宋体"/>
                <w:b/>
                <w:bCs/>
                <w:snapToGrid w:val="0"/>
                <w:color w:val="auto"/>
                <w:kern w:val="0"/>
                <w:sz w:val="21"/>
                <w:szCs w:val="21"/>
                <w:highlight w:val="none"/>
                <w:lang w:val="en-US" w:eastAsia="zh-CN" w:bidi="ar"/>
              </w:rPr>
              <w:t>品牌</w:t>
            </w:r>
          </w:p>
          <w:p w14:paraId="715FBD17">
            <w:pPr>
              <w:keepNext w:val="0"/>
              <w:keepLines w:val="0"/>
              <w:widowControl/>
              <w:suppressLineNumbers w:val="0"/>
              <w:jc w:val="center"/>
              <w:rPr>
                <w:color w:val="auto"/>
                <w:sz w:val="21"/>
                <w:szCs w:val="21"/>
                <w:highlight w:val="none"/>
                <w:vertAlign w:val="baseline"/>
              </w:rPr>
            </w:pPr>
          </w:p>
        </w:tc>
        <w:tc>
          <w:tcPr>
            <w:tcW w:w="1046" w:type="dxa"/>
            <w:vAlign w:val="center"/>
          </w:tcPr>
          <w:p w14:paraId="135D21FF">
            <w:pPr>
              <w:keepNext w:val="0"/>
              <w:keepLines w:val="0"/>
              <w:widowControl/>
              <w:suppressLineNumbers w:val="0"/>
              <w:jc w:val="center"/>
              <w:rPr>
                <w:rFonts w:hint="default"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规格型号</w:t>
            </w:r>
          </w:p>
        </w:tc>
        <w:tc>
          <w:tcPr>
            <w:tcW w:w="1164" w:type="dxa"/>
            <w:vAlign w:val="center"/>
          </w:tcPr>
          <w:p w14:paraId="5D7A74FA">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生产企业</w:t>
            </w:r>
          </w:p>
        </w:tc>
        <w:tc>
          <w:tcPr>
            <w:tcW w:w="929" w:type="dxa"/>
            <w:vAlign w:val="center"/>
          </w:tcPr>
          <w:p w14:paraId="4C529887">
            <w:pPr>
              <w:keepNext w:val="0"/>
              <w:keepLines w:val="0"/>
              <w:widowControl/>
              <w:suppressLineNumbers w:val="0"/>
              <w:jc w:val="center"/>
              <w:rPr>
                <w:rFonts w:hint="default"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试验方法</w:t>
            </w:r>
          </w:p>
        </w:tc>
        <w:tc>
          <w:tcPr>
            <w:tcW w:w="929" w:type="dxa"/>
            <w:vAlign w:val="center"/>
          </w:tcPr>
          <w:p w14:paraId="1809A4FF">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计价</w:t>
            </w:r>
          </w:p>
          <w:p w14:paraId="2D4AD09D">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单位</w:t>
            </w:r>
          </w:p>
        </w:tc>
        <w:tc>
          <w:tcPr>
            <w:tcW w:w="1046" w:type="dxa"/>
            <w:vAlign w:val="center"/>
          </w:tcPr>
          <w:p w14:paraId="74A34D6B">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单价</w:t>
            </w:r>
          </w:p>
          <w:p w14:paraId="182DC433">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（元/每人份）</w:t>
            </w:r>
          </w:p>
        </w:tc>
        <w:tc>
          <w:tcPr>
            <w:tcW w:w="1609" w:type="dxa"/>
            <w:vAlign w:val="center"/>
          </w:tcPr>
          <w:p w14:paraId="77478E82">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网采号</w:t>
            </w:r>
          </w:p>
        </w:tc>
        <w:tc>
          <w:tcPr>
            <w:tcW w:w="1908" w:type="dxa"/>
            <w:vAlign w:val="center"/>
          </w:tcPr>
          <w:p w14:paraId="1A8F8676">
            <w:pPr>
              <w:widowControl w:val="0"/>
              <w:spacing w:line="320" w:lineRule="exact"/>
              <w:jc w:val="center"/>
              <w:outlineLvl w:val="0"/>
              <w:rPr>
                <w:rFonts w:hint="eastAsia" w:ascii="宋体" w:hAnsi="宋体" w:eastAsia="宋体" w:cs="宋体"/>
                <w:b/>
                <w:color w:val="auto"/>
                <w:sz w:val="21"/>
                <w:szCs w:val="21"/>
                <w:highlight w:val="none"/>
              </w:rPr>
            </w:pPr>
            <w:bookmarkStart w:id="109" w:name="_Toc26318"/>
            <w:bookmarkStart w:id="110" w:name="_Toc21708"/>
            <w:bookmarkStart w:id="111" w:name="_Toc4127"/>
            <w:bookmarkStart w:id="112" w:name="_Toc30817"/>
            <w:bookmarkStart w:id="113" w:name="_Toc23643"/>
            <w:r>
              <w:rPr>
                <w:rFonts w:hint="eastAsia" w:ascii="宋体" w:hAnsi="宋体" w:eastAsia="宋体" w:cs="宋体"/>
                <w:b/>
                <w:color w:val="auto"/>
                <w:sz w:val="21"/>
                <w:szCs w:val="21"/>
                <w:highlight w:val="none"/>
              </w:rPr>
              <w:t>省、市、县</w:t>
            </w:r>
            <w:bookmarkEnd w:id="109"/>
            <w:bookmarkEnd w:id="110"/>
            <w:bookmarkEnd w:id="111"/>
            <w:bookmarkEnd w:id="112"/>
            <w:bookmarkEnd w:id="113"/>
          </w:p>
          <w:p w14:paraId="1EA388BB">
            <w:pPr>
              <w:widowControl w:val="0"/>
              <w:spacing w:line="320" w:lineRule="exact"/>
              <w:jc w:val="center"/>
              <w:outlineLvl w:val="0"/>
              <w:rPr>
                <w:rFonts w:hint="eastAsia" w:ascii="宋体" w:hAnsi="宋体" w:eastAsia="宋体" w:cs="宋体"/>
                <w:b/>
                <w:color w:val="auto"/>
                <w:sz w:val="21"/>
                <w:szCs w:val="21"/>
                <w:highlight w:val="none"/>
              </w:rPr>
            </w:pPr>
            <w:bookmarkStart w:id="114" w:name="_Toc31779"/>
            <w:bookmarkStart w:id="115" w:name="_Toc32136"/>
            <w:bookmarkStart w:id="116" w:name="_Toc16741"/>
            <w:bookmarkStart w:id="117" w:name="_Toc3776"/>
            <w:bookmarkStart w:id="118" w:name="_Toc22255"/>
            <w:r>
              <w:rPr>
                <w:rFonts w:hint="eastAsia" w:ascii="宋体" w:hAnsi="宋体" w:eastAsia="宋体" w:cs="宋体"/>
                <w:b/>
                <w:color w:val="auto"/>
                <w:sz w:val="21"/>
                <w:szCs w:val="21"/>
                <w:highlight w:val="none"/>
              </w:rPr>
              <w:t>收费编码</w:t>
            </w:r>
            <w:bookmarkEnd w:id="114"/>
            <w:bookmarkEnd w:id="115"/>
            <w:bookmarkEnd w:id="116"/>
            <w:bookmarkEnd w:id="117"/>
            <w:bookmarkEnd w:id="118"/>
          </w:p>
          <w:p w14:paraId="0E7218A7">
            <w:pPr>
              <w:widowControl w:val="0"/>
              <w:spacing w:line="320" w:lineRule="exact"/>
              <w:jc w:val="center"/>
              <w:outlineLvl w:val="0"/>
              <w:rPr>
                <w:color w:val="auto"/>
                <w:sz w:val="21"/>
                <w:szCs w:val="21"/>
                <w:highlight w:val="none"/>
                <w:vertAlign w:val="baseline"/>
              </w:rPr>
            </w:pPr>
            <w:bookmarkStart w:id="119" w:name="_Toc14203"/>
            <w:bookmarkStart w:id="120" w:name="_Toc31947"/>
            <w:bookmarkStart w:id="121" w:name="_Toc703"/>
            <w:bookmarkStart w:id="122" w:name="_Toc11147"/>
            <w:bookmarkStart w:id="123" w:name="_Toc570"/>
            <w:r>
              <w:rPr>
                <w:rFonts w:hint="eastAsia" w:ascii="宋体" w:hAnsi="宋体" w:eastAsia="宋体" w:cs="宋体"/>
                <w:b/>
                <w:color w:val="auto"/>
                <w:sz w:val="21"/>
                <w:szCs w:val="21"/>
                <w:highlight w:val="none"/>
              </w:rPr>
              <w:t>收费标准</w:t>
            </w:r>
            <w:bookmarkEnd w:id="119"/>
            <w:bookmarkEnd w:id="120"/>
            <w:bookmarkEnd w:id="121"/>
            <w:bookmarkEnd w:id="122"/>
            <w:bookmarkEnd w:id="123"/>
          </w:p>
        </w:tc>
      </w:tr>
      <w:tr w14:paraId="3FE10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 w:type="dxa"/>
            <w:vMerge w:val="restart"/>
          </w:tcPr>
          <w:p w14:paraId="58974EFD">
            <w:pPr>
              <w:widowControl w:val="0"/>
              <w:rPr>
                <w:color w:val="auto"/>
                <w:highlight w:val="none"/>
                <w:vertAlign w:val="baseline"/>
              </w:rPr>
            </w:pPr>
          </w:p>
        </w:tc>
        <w:tc>
          <w:tcPr>
            <w:tcW w:w="1447" w:type="dxa"/>
            <w:vMerge w:val="restart"/>
          </w:tcPr>
          <w:p w14:paraId="1411B170">
            <w:pPr>
              <w:widowControl w:val="0"/>
              <w:rPr>
                <w:color w:val="auto"/>
                <w:highlight w:val="none"/>
                <w:vertAlign w:val="baseline"/>
              </w:rPr>
            </w:pPr>
          </w:p>
        </w:tc>
        <w:tc>
          <w:tcPr>
            <w:tcW w:w="1447" w:type="dxa"/>
          </w:tcPr>
          <w:p w14:paraId="538C956D">
            <w:pPr>
              <w:widowControl w:val="0"/>
              <w:rPr>
                <w:color w:val="auto"/>
                <w:highlight w:val="none"/>
                <w:vertAlign w:val="baseline"/>
              </w:rPr>
            </w:pPr>
          </w:p>
        </w:tc>
        <w:tc>
          <w:tcPr>
            <w:tcW w:w="1046" w:type="dxa"/>
          </w:tcPr>
          <w:p w14:paraId="74877ABD">
            <w:pPr>
              <w:widowControl w:val="0"/>
              <w:rPr>
                <w:color w:val="auto"/>
                <w:highlight w:val="none"/>
                <w:vertAlign w:val="baseline"/>
              </w:rPr>
            </w:pPr>
          </w:p>
        </w:tc>
        <w:tc>
          <w:tcPr>
            <w:tcW w:w="1046" w:type="dxa"/>
          </w:tcPr>
          <w:p w14:paraId="46285D21">
            <w:pPr>
              <w:widowControl w:val="0"/>
              <w:rPr>
                <w:color w:val="auto"/>
                <w:highlight w:val="none"/>
                <w:vertAlign w:val="baseline"/>
              </w:rPr>
            </w:pPr>
          </w:p>
        </w:tc>
        <w:tc>
          <w:tcPr>
            <w:tcW w:w="1046" w:type="dxa"/>
          </w:tcPr>
          <w:p w14:paraId="30AA1993">
            <w:pPr>
              <w:widowControl w:val="0"/>
              <w:rPr>
                <w:color w:val="auto"/>
                <w:highlight w:val="none"/>
                <w:vertAlign w:val="baseline"/>
              </w:rPr>
            </w:pPr>
          </w:p>
        </w:tc>
        <w:tc>
          <w:tcPr>
            <w:tcW w:w="1164" w:type="dxa"/>
          </w:tcPr>
          <w:p w14:paraId="3FDE21BE">
            <w:pPr>
              <w:widowControl w:val="0"/>
              <w:rPr>
                <w:color w:val="auto"/>
                <w:highlight w:val="none"/>
                <w:vertAlign w:val="baseline"/>
              </w:rPr>
            </w:pPr>
          </w:p>
        </w:tc>
        <w:tc>
          <w:tcPr>
            <w:tcW w:w="929" w:type="dxa"/>
          </w:tcPr>
          <w:p w14:paraId="4E71EAFD">
            <w:pPr>
              <w:widowControl w:val="0"/>
              <w:rPr>
                <w:color w:val="auto"/>
                <w:highlight w:val="none"/>
                <w:vertAlign w:val="baseline"/>
              </w:rPr>
            </w:pPr>
          </w:p>
        </w:tc>
        <w:tc>
          <w:tcPr>
            <w:tcW w:w="929" w:type="dxa"/>
          </w:tcPr>
          <w:p w14:paraId="2A5C917F">
            <w:pPr>
              <w:widowControl w:val="0"/>
              <w:rPr>
                <w:color w:val="auto"/>
                <w:highlight w:val="none"/>
                <w:vertAlign w:val="baseline"/>
              </w:rPr>
            </w:pPr>
          </w:p>
        </w:tc>
        <w:tc>
          <w:tcPr>
            <w:tcW w:w="1046" w:type="dxa"/>
          </w:tcPr>
          <w:p w14:paraId="2BC032BB">
            <w:pPr>
              <w:widowControl w:val="0"/>
              <w:rPr>
                <w:color w:val="auto"/>
                <w:highlight w:val="none"/>
                <w:vertAlign w:val="baseline"/>
              </w:rPr>
            </w:pPr>
          </w:p>
        </w:tc>
        <w:tc>
          <w:tcPr>
            <w:tcW w:w="1609" w:type="dxa"/>
          </w:tcPr>
          <w:p w14:paraId="43AF7AB5">
            <w:pPr>
              <w:widowControl w:val="0"/>
              <w:rPr>
                <w:color w:val="auto"/>
                <w:highlight w:val="none"/>
                <w:vertAlign w:val="baseline"/>
              </w:rPr>
            </w:pPr>
          </w:p>
        </w:tc>
        <w:tc>
          <w:tcPr>
            <w:tcW w:w="1908" w:type="dxa"/>
          </w:tcPr>
          <w:p w14:paraId="351E7283">
            <w:pPr>
              <w:widowControl w:val="0"/>
              <w:rPr>
                <w:color w:val="auto"/>
                <w:highlight w:val="none"/>
                <w:vertAlign w:val="baseline"/>
              </w:rPr>
            </w:pPr>
          </w:p>
        </w:tc>
      </w:tr>
      <w:tr w14:paraId="1910D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 w:type="dxa"/>
            <w:vMerge w:val="continue"/>
          </w:tcPr>
          <w:p w14:paraId="40F1BFA5">
            <w:pPr>
              <w:widowControl w:val="0"/>
              <w:rPr>
                <w:color w:val="auto"/>
                <w:highlight w:val="none"/>
                <w:vertAlign w:val="baseline"/>
              </w:rPr>
            </w:pPr>
          </w:p>
        </w:tc>
        <w:tc>
          <w:tcPr>
            <w:tcW w:w="1447" w:type="dxa"/>
            <w:vMerge w:val="continue"/>
          </w:tcPr>
          <w:p w14:paraId="040A03DA">
            <w:pPr>
              <w:widowControl w:val="0"/>
              <w:rPr>
                <w:color w:val="auto"/>
                <w:highlight w:val="none"/>
                <w:vertAlign w:val="baseline"/>
              </w:rPr>
            </w:pPr>
          </w:p>
        </w:tc>
        <w:tc>
          <w:tcPr>
            <w:tcW w:w="1447" w:type="dxa"/>
          </w:tcPr>
          <w:p w14:paraId="6D655FCD">
            <w:pPr>
              <w:widowControl w:val="0"/>
              <w:rPr>
                <w:color w:val="auto"/>
                <w:highlight w:val="none"/>
                <w:vertAlign w:val="baseline"/>
              </w:rPr>
            </w:pPr>
          </w:p>
        </w:tc>
        <w:tc>
          <w:tcPr>
            <w:tcW w:w="1046" w:type="dxa"/>
          </w:tcPr>
          <w:p w14:paraId="5E1CE5CD">
            <w:pPr>
              <w:widowControl w:val="0"/>
              <w:rPr>
                <w:color w:val="auto"/>
                <w:highlight w:val="none"/>
                <w:vertAlign w:val="baseline"/>
              </w:rPr>
            </w:pPr>
          </w:p>
        </w:tc>
        <w:tc>
          <w:tcPr>
            <w:tcW w:w="1046" w:type="dxa"/>
          </w:tcPr>
          <w:p w14:paraId="6FFF8D39">
            <w:pPr>
              <w:widowControl w:val="0"/>
              <w:rPr>
                <w:color w:val="auto"/>
                <w:highlight w:val="none"/>
                <w:vertAlign w:val="baseline"/>
              </w:rPr>
            </w:pPr>
          </w:p>
        </w:tc>
        <w:tc>
          <w:tcPr>
            <w:tcW w:w="1046" w:type="dxa"/>
          </w:tcPr>
          <w:p w14:paraId="69EFFFF9">
            <w:pPr>
              <w:widowControl w:val="0"/>
              <w:rPr>
                <w:color w:val="auto"/>
                <w:highlight w:val="none"/>
                <w:vertAlign w:val="baseline"/>
              </w:rPr>
            </w:pPr>
          </w:p>
        </w:tc>
        <w:tc>
          <w:tcPr>
            <w:tcW w:w="1164" w:type="dxa"/>
          </w:tcPr>
          <w:p w14:paraId="0D9181D5">
            <w:pPr>
              <w:widowControl w:val="0"/>
              <w:rPr>
                <w:color w:val="auto"/>
                <w:highlight w:val="none"/>
                <w:vertAlign w:val="baseline"/>
              </w:rPr>
            </w:pPr>
          </w:p>
        </w:tc>
        <w:tc>
          <w:tcPr>
            <w:tcW w:w="929" w:type="dxa"/>
          </w:tcPr>
          <w:p w14:paraId="13E08F75">
            <w:pPr>
              <w:widowControl w:val="0"/>
              <w:rPr>
                <w:color w:val="auto"/>
                <w:highlight w:val="none"/>
                <w:vertAlign w:val="baseline"/>
              </w:rPr>
            </w:pPr>
          </w:p>
        </w:tc>
        <w:tc>
          <w:tcPr>
            <w:tcW w:w="929" w:type="dxa"/>
          </w:tcPr>
          <w:p w14:paraId="55638291">
            <w:pPr>
              <w:widowControl w:val="0"/>
              <w:rPr>
                <w:color w:val="auto"/>
                <w:highlight w:val="none"/>
                <w:vertAlign w:val="baseline"/>
              </w:rPr>
            </w:pPr>
          </w:p>
        </w:tc>
        <w:tc>
          <w:tcPr>
            <w:tcW w:w="1046" w:type="dxa"/>
          </w:tcPr>
          <w:p w14:paraId="18AD76A8">
            <w:pPr>
              <w:widowControl w:val="0"/>
              <w:rPr>
                <w:color w:val="auto"/>
                <w:highlight w:val="none"/>
                <w:vertAlign w:val="baseline"/>
              </w:rPr>
            </w:pPr>
          </w:p>
        </w:tc>
        <w:tc>
          <w:tcPr>
            <w:tcW w:w="1609" w:type="dxa"/>
          </w:tcPr>
          <w:p w14:paraId="3E848191">
            <w:pPr>
              <w:widowControl w:val="0"/>
              <w:rPr>
                <w:color w:val="auto"/>
                <w:highlight w:val="none"/>
                <w:vertAlign w:val="baseline"/>
              </w:rPr>
            </w:pPr>
          </w:p>
        </w:tc>
        <w:tc>
          <w:tcPr>
            <w:tcW w:w="1908" w:type="dxa"/>
          </w:tcPr>
          <w:p w14:paraId="4A951FB8">
            <w:pPr>
              <w:widowControl w:val="0"/>
              <w:rPr>
                <w:color w:val="auto"/>
                <w:highlight w:val="none"/>
                <w:vertAlign w:val="baseline"/>
              </w:rPr>
            </w:pPr>
          </w:p>
        </w:tc>
      </w:tr>
      <w:tr w14:paraId="596B7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 w:type="dxa"/>
            <w:vMerge w:val="restart"/>
          </w:tcPr>
          <w:p w14:paraId="6D387E14">
            <w:pPr>
              <w:widowControl w:val="0"/>
              <w:rPr>
                <w:color w:val="auto"/>
                <w:highlight w:val="none"/>
                <w:vertAlign w:val="baseline"/>
              </w:rPr>
            </w:pPr>
          </w:p>
        </w:tc>
        <w:tc>
          <w:tcPr>
            <w:tcW w:w="1447" w:type="dxa"/>
            <w:vMerge w:val="restart"/>
          </w:tcPr>
          <w:p w14:paraId="0D9E80CF">
            <w:pPr>
              <w:widowControl w:val="0"/>
              <w:rPr>
                <w:color w:val="auto"/>
                <w:highlight w:val="none"/>
                <w:vertAlign w:val="baseline"/>
              </w:rPr>
            </w:pPr>
          </w:p>
        </w:tc>
        <w:tc>
          <w:tcPr>
            <w:tcW w:w="1447" w:type="dxa"/>
          </w:tcPr>
          <w:p w14:paraId="1E7399C3">
            <w:pPr>
              <w:widowControl w:val="0"/>
              <w:rPr>
                <w:color w:val="auto"/>
                <w:highlight w:val="none"/>
                <w:vertAlign w:val="baseline"/>
              </w:rPr>
            </w:pPr>
          </w:p>
        </w:tc>
        <w:tc>
          <w:tcPr>
            <w:tcW w:w="1046" w:type="dxa"/>
          </w:tcPr>
          <w:p w14:paraId="3F37E071">
            <w:pPr>
              <w:widowControl w:val="0"/>
              <w:rPr>
                <w:color w:val="auto"/>
                <w:highlight w:val="none"/>
                <w:vertAlign w:val="baseline"/>
              </w:rPr>
            </w:pPr>
          </w:p>
        </w:tc>
        <w:tc>
          <w:tcPr>
            <w:tcW w:w="1046" w:type="dxa"/>
          </w:tcPr>
          <w:p w14:paraId="3C6E9A35">
            <w:pPr>
              <w:widowControl w:val="0"/>
              <w:rPr>
                <w:color w:val="auto"/>
                <w:highlight w:val="none"/>
                <w:vertAlign w:val="baseline"/>
              </w:rPr>
            </w:pPr>
          </w:p>
        </w:tc>
        <w:tc>
          <w:tcPr>
            <w:tcW w:w="1046" w:type="dxa"/>
          </w:tcPr>
          <w:p w14:paraId="439A493E">
            <w:pPr>
              <w:widowControl w:val="0"/>
              <w:rPr>
                <w:color w:val="auto"/>
                <w:highlight w:val="none"/>
                <w:vertAlign w:val="baseline"/>
              </w:rPr>
            </w:pPr>
          </w:p>
        </w:tc>
        <w:tc>
          <w:tcPr>
            <w:tcW w:w="1164" w:type="dxa"/>
          </w:tcPr>
          <w:p w14:paraId="6DA472CA">
            <w:pPr>
              <w:widowControl w:val="0"/>
              <w:rPr>
                <w:color w:val="auto"/>
                <w:highlight w:val="none"/>
                <w:vertAlign w:val="baseline"/>
              </w:rPr>
            </w:pPr>
          </w:p>
        </w:tc>
        <w:tc>
          <w:tcPr>
            <w:tcW w:w="929" w:type="dxa"/>
          </w:tcPr>
          <w:p w14:paraId="7A944B46">
            <w:pPr>
              <w:widowControl w:val="0"/>
              <w:rPr>
                <w:color w:val="auto"/>
                <w:highlight w:val="none"/>
                <w:vertAlign w:val="baseline"/>
              </w:rPr>
            </w:pPr>
          </w:p>
        </w:tc>
        <w:tc>
          <w:tcPr>
            <w:tcW w:w="929" w:type="dxa"/>
          </w:tcPr>
          <w:p w14:paraId="4B709168">
            <w:pPr>
              <w:widowControl w:val="0"/>
              <w:rPr>
                <w:color w:val="auto"/>
                <w:highlight w:val="none"/>
                <w:vertAlign w:val="baseline"/>
              </w:rPr>
            </w:pPr>
          </w:p>
        </w:tc>
        <w:tc>
          <w:tcPr>
            <w:tcW w:w="1046" w:type="dxa"/>
          </w:tcPr>
          <w:p w14:paraId="0406CE2F">
            <w:pPr>
              <w:widowControl w:val="0"/>
              <w:rPr>
                <w:color w:val="auto"/>
                <w:highlight w:val="none"/>
                <w:vertAlign w:val="baseline"/>
              </w:rPr>
            </w:pPr>
          </w:p>
        </w:tc>
        <w:tc>
          <w:tcPr>
            <w:tcW w:w="1609" w:type="dxa"/>
          </w:tcPr>
          <w:p w14:paraId="51830342">
            <w:pPr>
              <w:widowControl w:val="0"/>
              <w:rPr>
                <w:color w:val="auto"/>
                <w:highlight w:val="none"/>
                <w:vertAlign w:val="baseline"/>
              </w:rPr>
            </w:pPr>
          </w:p>
        </w:tc>
        <w:tc>
          <w:tcPr>
            <w:tcW w:w="1908" w:type="dxa"/>
          </w:tcPr>
          <w:p w14:paraId="3E3FE638">
            <w:pPr>
              <w:widowControl w:val="0"/>
              <w:rPr>
                <w:color w:val="auto"/>
                <w:highlight w:val="none"/>
                <w:vertAlign w:val="baseline"/>
              </w:rPr>
            </w:pPr>
          </w:p>
        </w:tc>
      </w:tr>
      <w:tr w14:paraId="361FD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 w:type="dxa"/>
            <w:vMerge w:val="continue"/>
          </w:tcPr>
          <w:p w14:paraId="5C983840">
            <w:pPr>
              <w:widowControl w:val="0"/>
              <w:rPr>
                <w:color w:val="auto"/>
                <w:highlight w:val="none"/>
                <w:vertAlign w:val="baseline"/>
              </w:rPr>
            </w:pPr>
          </w:p>
        </w:tc>
        <w:tc>
          <w:tcPr>
            <w:tcW w:w="1447" w:type="dxa"/>
            <w:vMerge w:val="continue"/>
          </w:tcPr>
          <w:p w14:paraId="321CC1BD">
            <w:pPr>
              <w:widowControl w:val="0"/>
              <w:rPr>
                <w:color w:val="auto"/>
                <w:highlight w:val="none"/>
                <w:vertAlign w:val="baseline"/>
              </w:rPr>
            </w:pPr>
          </w:p>
        </w:tc>
        <w:tc>
          <w:tcPr>
            <w:tcW w:w="1447" w:type="dxa"/>
          </w:tcPr>
          <w:p w14:paraId="177DB5E9">
            <w:pPr>
              <w:widowControl w:val="0"/>
              <w:rPr>
                <w:color w:val="auto"/>
                <w:highlight w:val="none"/>
                <w:vertAlign w:val="baseline"/>
              </w:rPr>
            </w:pPr>
          </w:p>
        </w:tc>
        <w:tc>
          <w:tcPr>
            <w:tcW w:w="1046" w:type="dxa"/>
          </w:tcPr>
          <w:p w14:paraId="74208401">
            <w:pPr>
              <w:widowControl w:val="0"/>
              <w:rPr>
                <w:color w:val="auto"/>
                <w:highlight w:val="none"/>
                <w:vertAlign w:val="baseline"/>
              </w:rPr>
            </w:pPr>
          </w:p>
        </w:tc>
        <w:tc>
          <w:tcPr>
            <w:tcW w:w="1046" w:type="dxa"/>
          </w:tcPr>
          <w:p w14:paraId="1C3E1A61">
            <w:pPr>
              <w:widowControl w:val="0"/>
              <w:rPr>
                <w:color w:val="auto"/>
                <w:highlight w:val="none"/>
                <w:vertAlign w:val="baseline"/>
              </w:rPr>
            </w:pPr>
          </w:p>
        </w:tc>
        <w:tc>
          <w:tcPr>
            <w:tcW w:w="1046" w:type="dxa"/>
          </w:tcPr>
          <w:p w14:paraId="045B7522">
            <w:pPr>
              <w:widowControl w:val="0"/>
              <w:rPr>
                <w:color w:val="auto"/>
                <w:highlight w:val="none"/>
                <w:vertAlign w:val="baseline"/>
              </w:rPr>
            </w:pPr>
          </w:p>
        </w:tc>
        <w:tc>
          <w:tcPr>
            <w:tcW w:w="1164" w:type="dxa"/>
          </w:tcPr>
          <w:p w14:paraId="495D32C7">
            <w:pPr>
              <w:widowControl w:val="0"/>
              <w:rPr>
                <w:color w:val="auto"/>
                <w:highlight w:val="none"/>
                <w:vertAlign w:val="baseline"/>
              </w:rPr>
            </w:pPr>
          </w:p>
        </w:tc>
        <w:tc>
          <w:tcPr>
            <w:tcW w:w="929" w:type="dxa"/>
          </w:tcPr>
          <w:p w14:paraId="2C00F716">
            <w:pPr>
              <w:widowControl w:val="0"/>
              <w:rPr>
                <w:color w:val="auto"/>
                <w:highlight w:val="none"/>
                <w:vertAlign w:val="baseline"/>
              </w:rPr>
            </w:pPr>
          </w:p>
        </w:tc>
        <w:tc>
          <w:tcPr>
            <w:tcW w:w="929" w:type="dxa"/>
          </w:tcPr>
          <w:p w14:paraId="6707E9BC">
            <w:pPr>
              <w:widowControl w:val="0"/>
              <w:rPr>
                <w:color w:val="auto"/>
                <w:highlight w:val="none"/>
                <w:vertAlign w:val="baseline"/>
              </w:rPr>
            </w:pPr>
          </w:p>
        </w:tc>
        <w:tc>
          <w:tcPr>
            <w:tcW w:w="1046" w:type="dxa"/>
          </w:tcPr>
          <w:p w14:paraId="3D0459B3">
            <w:pPr>
              <w:widowControl w:val="0"/>
              <w:rPr>
                <w:color w:val="auto"/>
                <w:highlight w:val="none"/>
                <w:vertAlign w:val="baseline"/>
              </w:rPr>
            </w:pPr>
          </w:p>
        </w:tc>
        <w:tc>
          <w:tcPr>
            <w:tcW w:w="1609" w:type="dxa"/>
          </w:tcPr>
          <w:p w14:paraId="079689F5">
            <w:pPr>
              <w:widowControl w:val="0"/>
              <w:rPr>
                <w:color w:val="auto"/>
                <w:highlight w:val="none"/>
                <w:vertAlign w:val="baseline"/>
              </w:rPr>
            </w:pPr>
          </w:p>
        </w:tc>
        <w:tc>
          <w:tcPr>
            <w:tcW w:w="1908" w:type="dxa"/>
          </w:tcPr>
          <w:p w14:paraId="60DE824B">
            <w:pPr>
              <w:widowControl w:val="0"/>
              <w:rPr>
                <w:color w:val="auto"/>
                <w:highlight w:val="none"/>
                <w:vertAlign w:val="baseline"/>
              </w:rPr>
            </w:pPr>
          </w:p>
        </w:tc>
      </w:tr>
    </w:tbl>
    <w:p w14:paraId="5C36BDA2">
      <w:pPr>
        <w:rPr>
          <w:color w:val="auto"/>
          <w:highlight w:val="none"/>
        </w:rPr>
      </w:pPr>
    </w:p>
    <w:p w14:paraId="6E90C798">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 xml:space="preserve">法人代表或委托代理人（签字或盖章）： </w:t>
      </w:r>
      <w:r>
        <w:rPr>
          <w:rFonts w:hint="eastAsia" w:ascii="宋体" w:hAnsi="宋体" w:eastAsia="宋体" w:cs="宋体"/>
          <w:color w:val="auto"/>
          <w:kern w:val="0"/>
          <w:sz w:val="24"/>
          <w:highlight w:val="none"/>
          <w:u w:val="single"/>
        </w:rPr>
        <w:t xml:space="preserve">                </w:t>
      </w:r>
    </w:p>
    <w:p w14:paraId="541475D8">
      <w:pPr>
        <w:keepNext w:val="0"/>
        <w:keepLines w:val="0"/>
        <w:pageBreakBefore w:val="0"/>
        <w:widowControl/>
        <w:shd w:val="clear"/>
        <w:kinsoku w:val="0"/>
        <w:wordWrap/>
        <w:overflowPunct/>
        <w:topLinePunct w:val="0"/>
        <w:autoSpaceDE w:val="0"/>
        <w:autoSpaceDN w:val="0"/>
        <w:bidi w:val="0"/>
        <w:adjustRightInd w:val="0"/>
        <w:snapToGrid w:val="0"/>
        <w:spacing w:line="5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46134B24">
      <w:pPr>
        <w:keepNext w:val="0"/>
        <w:keepLines w:val="0"/>
        <w:pageBreakBefore w:val="0"/>
        <w:widowControl/>
        <w:shd w:val="clear"/>
        <w:kinsoku w:val="0"/>
        <w:wordWrap/>
        <w:overflowPunct/>
        <w:topLinePunct w:val="0"/>
        <w:autoSpaceDE w:val="0"/>
        <w:autoSpaceDN w:val="0"/>
        <w:bidi w:val="0"/>
        <w:adjustRightInd w:val="0"/>
        <w:snapToGrid w:val="0"/>
        <w:spacing w:line="560" w:lineRule="exact"/>
        <w:ind w:firstLine="480" w:firstLineChars="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0024AEBF">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rPr>
        <w:t>注：</w:t>
      </w:r>
      <w:r>
        <w:rPr>
          <w:rFonts w:hint="eastAsia" w:ascii="宋体" w:hAnsi="宋体" w:eastAsia="宋体" w:cs="宋体"/>
          <w:b/>
          <w:bCs/>
          <w:color w:val="auto"/>
          <w:szCs w:val="21"/>
          <w:highlight w:val="none"/>
          <w:lang w:eastAsia="zh-CN"/>
        </w:rPr>
        <w:t>1</w:t>
      </w:r>
      <w:r>
        <w:rPr>
          <w:rFonts w:hint="eastAsia" w:ascii="宋体" w:hAnsi="宋体" w:eastAsia="宋体" w:cs="宋体"/>
          <w:b/>
          <w:bCs/>
          <w:color w:val="auto"/>
          <w:szCs w:val="21"/>
          <w:highlight w:val="none"/>
          <w:lang w:val="en-US" w:eastAsia="zh-CN"/>
        </w:rPr>
        <w:t>.</w:t>
      </w:r>
      <w:r>
        <w:rPr>
          <w:rFonts w:hint="eastAsia" w:ascii="宋体" w:hAnsi="宋体" w:eastAsia="宋体" w:cs="宋体"/>
          <w:b/>
          <w:bCs/>
          <w:color w:val="auto"/>
          <w:szCs w:val="21"/>
          <w:highlight w:val="none"/>
          <w:lang w:eastAsia="zh-CN"/>
        </w:rPr>
        <w:t>请按照</w:t>
      </w:r>
      <w:r>
        <w:rPr>
          <w:rFonts w:hint="eastAsia" w:ascii="宋体" w:hAnsi="宋体" w:eastAsia="宋体" w:cs="宋体"/>
          <w:b/>
          <w:bCs/>
          <w:color w:val="auto"/>
          <w:szCs w:val="21"/>
          <w:highlight w:val="none"/>
          <w:lang w:val="en-US" w:eastAsia="zh-CN"/>
        </w:rPr>
        <w:t>检测项目填写试剂</w:t>
      </w:r>
      <w:r>
        <w:rPr>
          <w:rFonts w:hint="eastAsia" w:ascii="宋体" w:hAnsi="宋体" w:eastAsia="宋体" w:cs="宋体"/>
          <w:b/>
          <w:bCs/>
          <w:color w:val="auto"/>
          <w:szCs w:val="21"/>
          <w:highlight w:val="none"/>
          <w:lang w:eastAsia="zh-CN"/>
        </w:rPr>
        <w:t>。</w:t>
      </w:r>
    </w:p>
    <w:p w14:paraId="0D7F79A7">
      <w:pPr>
        <w:keepNext w:val="0"/>
        <w:keepLines w:val="0"/>
        <w:pageBreakBefore w:val="0"/>
        <w:widowControl/>
        <w:kinsoku w:val="0"/>
        <w:wordWrap/>
        <w:overflowPunct/>
        <w:topLinePunct w:val="0"/>
        <w:autoSpaceDE w:val="0"/>
        <w:autoSpaceDN w:val="0"/>
        <w:bidi w:val="0"/>
        <w:adjustRightInd w:val="0"/>
        <w:snapToGrid w:val="0"/>
        <w:spacing w:line="400" w:lineRule="exact"/>
        <w:ind w:firstLine="422" w:firstLineChars="200"/>
        <w:textAlignment w:val="baseline"/>
        <w:rPr>
          <w:rFonts w:hint="default"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2.试剂以“每人份”为单位进行报价。</w:t>
      </w:r>
    </w:p>
    <w:p w14:paraId="6A023997">
      <w:pPr>
        <w:keepNext w:val="0"/>
        <w:keepLines w:val="0"/>
        <w:pageBreakBefore w:val="0"/>
        <w:widowControl/>
        <w:suppressLineNumbers w:val="0"/>
        <w:wordWrap/>
        <w:overflowPunct/>
        <w:topLinePunct w:val="0"/>
        <w:bidi w:val="0"/>
        <w:spacing w:line="400" w:lineRule="exact"/>
        <w:jc w:val="left"/>
        <w:rPr>
          <w:color w:val="auto"/>
          <w:highlight w:val="none"/>
        </w:rPr>
      </w:pPr>
      <w:r>
        <w:rPr>
          <w:rFonts w:hint="eastAsia" w:ascii="宋体" w:hAnsi="宋体" w:eastAsia="宋体" w:cs="宋体"/>
          <w:b/>
          <w:bCs/>
          <w:snapToGrid w:val="0"/>
          <w:color w:val="auto"/>
          <w:kern w:val="0"/>
          <w:sz w:val="24"/>
          <w:szCs w:val="24"/>
          <w:highlight w:val="none"/>
          <w:lang w:val="en-US" w:eastAsia="zh-CN" w:bidi="ar"/>
        </w:rPr>
        <w:t>备注: 此表为产品配套试剂报价表，如没有，无需制作</w:t>
      </w:r>
      <w:r>
        <w:rPr>
          <w:rFonts w:hint="eastAsia" w:ascii="宋体" w:hAnsi="宋体" w:cs="宋体"/>
          <w:b/>
          <w:bCs/>
          <w:snapToGrid w:val="0"/>
          <w:color w:val="auto"/>
          <w:kern w:val="0"/>
          <w:sz w:val="24"/>
          <w:szCs w:val="24"/>
          <w:highlight w:val="none"/>
          <w:lang w:val="en-US" w:eastAsia="zh-CN" w:bidi="ar"/>
        </w:rPr>
        <w:t>，可自行删除</w:t>
      </w:r>
      <w:r>
        <w:rPr>
          <w:rFonts w:hint="eastAsia" w:ascii="宋体" w:hAnsi="宋体" w:eastAsia="宋体" w:cs="宋体"/>
          <w:b/>
          <w:bCs/>
          <w:snapToGrid w:val="0"/>
          <w:color w:val="auto"/>
          <w:kern w:val="0"/>
          <w:sz w:val="24"/>
          <w:szCs w:val="24"/>
          <w:highlight w:val="none"/>
          <w:lang w:val="en-US" w:eastAsia="zh-CN" w:bidi="ar"/>
        </w:rPr>
        <w:t>。</w:t>
      </w:r>
    </w:p>
    <w:p w14:paraId="3C312762">
      <w:pPr>
        <w:pStyle w:val="24"/>
        <w:rPr>
          <w:rFonts w:hint="eastAsia" w:ascii="宋体" w:hAnsi="宋体" w:cs="宋体"/>
          <w:color w:val="auto"/>
          <w:kern w:val="0"/>
          <w:sz w:val="24"/>
          <w:highlight w:val="none"/>
        </w:rPr>
      </w:pPr>
    </w:p>
    <w:p w14:paraId="5E4799AD">
      <w:pPr>
        <w:pStyle w:val="24"/>
        <w:rPr>
          <w:rFonts w:hint="eastAsia" w:ascii="宋体" w:hAnsi="宋体" w:cs="宋体"/>
          <w:color w:val="auto"/>
          <w:kern w:val="0"/>
          <w:sz w:val="24"/>
          <w:highlight w:val="none"/>
        </w:rPr>
      </w:pPr>
    </w:p>
    <w:p w14:paraId="152C8C36">
      <w:pPr>
        <w:pStyle w:val="24"/>
        <w:rPr>
          <w:rFonts w:hint="eastAsia" w:ascii="宋体" w:hAnsi="宋体" w:cs="宋体"/>
          <w:color w:val="auto"/>
          <w:kern w:val="0"/>
          <w:sz w:val="24"/>
          <w:highlight w:val="none"/>
        </w:rPr>
      </w:pPr>
    </w:p>
    <w:p w14:paraId="4DAB2F81">
      <w:pPr>
        <w:keepNext w:val="0"/>
        <w:keepLines w:val="0"/>
        <w:widowControl/>
        <w:suppressLineNumbers w:val="0"/>
        <w:jc w:val="center"/>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4.2 配套耗材报价一览表（格式，如有）</w:t>
      </w:r>
    </w:p>
    <w:p w14:paraId="34968220">
      <w:pPr>
        <w:bidi w:val="0"/>
        <w:rPr>
          <w:color w:val="auto"/>
          <w:highlight w:val="none"/>
        </w:rPr>
      </w:pP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9"/>
        <w:gridCol w:w="1543"/>
        <w:gridCol w:w="1393"/>
        <w:gridCol w:w="1060"/>
        <w:gridCol w:w="1060"/>
        <w:gridCol w:w="1060"/>
        <w:gridCol w:w="1060"/>
        <w:gridCol w:w="1060"/>
        <w:gridCol w:w="1277"/>
        <w:gridCol w:w="1486"/>
        <w:gridCol w:w="1560"/>
        <w:gridCol w:w="1080"/>
      </w:tblGrid>
      <w:tr w14:paraId="09DE2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Align w:val="center"/>
          </w:tcPr>
          <w:p w14:paraId="446D7DBC">
            <w:pPr>
              <w:widowControl w:val="0"/>
              <w:jc w:val="center"/>
              <w:rPr>
                <w:rFonts w:hint="eastAsia" w:eastAsia="宋体"/>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序号</w:t>
            </w:r>
          </w:p>
        </w:tc>
        <w:tc>
          <w:tcPr>
            <w:tcW w:w="1543" w:type="dxa"/>
            <w:vAlign w:val="center"/>
          </w:tcPr>
          <w:p w14:paraId="3CC43DE8">
            <w:pPr>
              <w:keepNext w:val="0"/>
              <w:keepLines w:val="0"/>
              <w:widowControl/>
              <w:suppressLineNumbers w:val="0"/>
              <w:jc w:val="center"/>
              <w:rPr>
                <w:rFonts w:hint="default"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检测项目</w:t>
            </w:r>
          </w:p>
        </w:tc>
        <w:tc>
          <w:tcPr>
            <w:tcW w:w="1393" w:type="dxa"/>
            <w:vAlign w:val="center"/>
          </w:tcPr>
          <w:p w14:paraId="601779BC">
            <w:pPr>
              <w:keepNext w:val="0"/>
              <w:keepLines w:val="0"/>
              <w:widowControl/>
              <w:suppressLineNumbers w:val="0"/>
              <w:jc w:val="center"/>
              <w:rPr>
                <w:rFonts w:hint="default" w:eastAsia="宋体"/>
                <w:b/>
                <w:bCs/>
                <w:color w:val="auto"/>
                <w:sz w:val="21"/>
                <w:szCs w:val="21"/>
                <w:highlight w:val="none"/>
                <w:vertAlign w:val="baseline"/>
                <w:lang w:val="en-US" w:eastAsia="zh-CN"/>
              </w:rPr>
            </w:pPr>
            <w:r>
              <w:rPr>
                <w:rFonts w:hint="eastAsia" w:ascii="宋体" w:hAnsi="宋体" w:eastAsia="宋体" w:cs="宋体"/>
                <w:b/>
                <w:bCs/>
                <w:snapToGrid w:val="0"/>
                <w:color w:val="auto"/>
                <w:kern w:val="0"/>
                <w:sz w:val="21"/>
                <w:szCs w:val="21"/>
                <w:highlight w:val="none"/>
                <w:lang w:val="en-US" w:eastAsia="zh-CN" w:bidi="ar"/>
              </w:rPr>
              <w:t>商品名（通用名）</w:t>
            </w:r>
          </w:p>
        </w:tc>
        <w:tc>
          <w:tcPr>
            <w:tcW w:w="1060" w:type="dxa"/>
            <w:vAlign w:val="center"/>
          </w:tcPr>
          <w:p w14:paraId="32F79E07">
            <w:pPr>
              <w:keepNext w:val="0"/>
              <w:keepLines w:val="0"/>
              <w:widowControl/>
              <w:suppressLineNumbers w:val="0"/>
              <w:jc w:val="center"/>
              <w:rPr>
                <w:b/>
                <w:bCs/>
                <w:color w:val="auto"/>
                <w:sz w:val="21"/>
                <w:szCs w:val="21"/>
                <w:highlight w:val="none"/>
              </w:rPr>
            </w:pPr>
            <w:r>
              <w:rPr>
                <w:rFonts w:hint="eastAsia" w:ascii="宋体" w:hAnsi="宋体" w:eastAsia="宋体" w:cs="宋体"/>
                <w:b/>
                <w:bCs/>
                <w:snapToGrid w:val="0"/>
                <w:color w:val="auto"/>
                <w:kern w:val="0"/>
                <w:sz w:val="21"/>
                <w:szCs w:val="21"/>
                <w:highlight w:val="none"/>
                <w:lang w:val="en-US" w:eastAsia="zh-CN" w:bidi="ar"/>
              </w:rPr>
              <w:t>投标产</w:t>
            </w:r>
          </w:p>
          <w:p w14:paraId="451D1B1F">
            <w:pPr>
              <w:keepNext w:val="0"/>
              <w:keepLines w:val="0"/>
              <w:widowControl/>
              <w:suppressLineNumbers w:val="0"/>
              <w:jc w:val="center"/>
              <w:rPr>
                <w:b/>
                <w:bCs/>
                <w:color w:val="auto"/>
                <w:sz w:val="21"/>
                <w:szCs w:val="21"/>
                <w:highlight w:val="none"/>
              </w:rPr>
            </w:pPr>
            <w:r>
              <w:rPr>
                <w:rFonts w:hint="eastAsia" w:ascii="宋体" w:hAnsi="宋体" w:eastAsia="宋体" w:cs="宋体"/>
                <w:b/>
                <w:bCs/>
                <w:snapToGrid w:val="0"/>
                <w:color w:val="auto"/>
                <w:kern w:val="0"/>
                <w:sz w:val="21"/>
                <w:szCs w:val="21"/>
                <w:highlight w:val="none"/>
                <w:lang w:val="en-US" w:eastAsia="zh-CN" w:bidi="ar"/>
              </w:rPr>
              <w:t>品注册</w:t>
            </w:r>
          </w:p>
          <w:p w14:paraId="2F5AB844">
            <w:pPr>
              <w:keepNext w:val="0"/>
              <w:keepLines w:val="0"/>
              <w:widowControl/>
              <w:suppressLineNumbers w:val="0"/>
              <w:jc w:val="center"/>
              <w:rPr>
                <w:b/>
                <w:bCs/>
                <w:color w:val="auto"/>
                <w:sz w:val="21"/>
                <w:szCs w:val="21"/>
                <w:highlight w:val="none"/>
                <w:vertAlign w:val="baseline"/>
              </w:rPr>
            </w:pPr>
            <w:r>
              <w:rPr>
                <w:rFonts w:hint="eastAsia" w:ascii="宋体" w:hAnsi="宋体" w:eastAsia="宋体" w:cs="宋体"/>
                <w:b/>
                <w:bCs/>
                <w:snapToGrid w:val="0"/>
                <w:color w:val="auto"/>
                <w:kern w:val="0"/>
                <w:sz w:val="21"/>
                <w:szCs w:val="21"/>
                <w:highlight w:val="none"/>
                <w:lang w:val="en-US" w:eastAsia="zh-CN" w:bidi="ar"/>
              </w:rPr>
              <w:t>证名称</w:t>
            </w:r>
          </w:p>
        </w:tc>
        <w:tc>
          <w:tcPr>
            <w:tcW w:w="1060" w:type="dxa"/>
            <w:vAlign w:val="center"/>
          </w:tcPr>
          <w:p w14:paraId="6334D0FF">
            <w:pPr>
              <w:keepNext w:val="0"/>
              <w:keepLines w:val="0"/>
              <w:widowControl/>
              <w:suppressLineNumbers w:val="0"/>
              <w:jc w:val="center"/>
              <w:rPr>
                <w:rFonts w:hint="default" w:eastAsia="宋体"/>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制造商</w:t>
            </w:r>
          </w:p>
        </w:tc>
        <w:tc>
          <w:tcPr>
            <w:tcW w:w="1060" w:type="dxa"/>
            <w:vAlign w:val="center"/>
          </w:tcPr>
          <w:p w14:paraId="472F7579">
            <w:pPr>
              <w:keepNext w:val="0"/>
              <w:keepLines w:val="0"/>
              <w:widowControl/>
              <w:suppressLineNumbers w:val="0"/>
              <w:jc w:val="center"/>
              <w:rPr>
                <w:rFonts w:hint="eastAsia" w:eastAsia="宋体"/>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品牌</w:t>
            </w:r>
          </w:p>
        </w:tc>
        <w:tc>
          <w:tcPr>
            <w:tcW w:w="1060" w:type="dxa"/>
            <w:vAlign w:val="center"/>
          </w:tcPr>
          <w:p w14:paraId="18B1749A">
            <w:pPr>
              <w:keepNext w:val="0"/>
              <w:keepLines w:val="0"/>
              <w:widowControl/>
              <w:suppressLineNumbers w:val="0"/>
              <w:jc w:val="center"/>
              <w:rPr>
                <w:rFonts w:hint="default" w:eastAsia="宋体"/>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产地</w:t>
            </w:r>
          </w:p>
        </w:tc>
        <w:tc>
          <w:tcPr>
            <w:tcW w:w="1060" w:type="dxa"/>
            <w:vAlign w:val="top"/>
          </w:tcPr>
          <w:p w14:paraId="4FC6DF95">
            <w:pPr>
              <w:keepNext w:val="0"/>
              <w:keepLines w:val="0"/>
              <w:widowControl/>
              <w:suppressLineNumbers w:val="0"/>
              <w:jc w:val="center"/>
              <w:rPr>
                <w:rFonts w:hint="eastAsia" w:ascii="Times New Roman" w:hAnsi="Times New Roman" w:eastAsia="宋体" w:cs="Times New Roman"/>
                <w:b/>
                <w:bCs/>
                <w:color w:val="auto"/>
                <w:sz w:val="21"/>
                <w:szCs w:val="21"/>
                <w:highlight w:val="none"/>
                <w:vertAlign w:val="baseline"/>
                <w:lang w:val="en-US" w:eastAsia="zh-CN"/>
              </w:rPr>
            </w:pPr>
            <w:r>
              <w:rPr>
                <w:rFonts w:hint="eastAsia" w:ascii="Times New Roman" w:hAnsi="Times New Roman" w:eastAsia="宋体" w:cs="Times New Roman"/>
                <w:b/>
                <w:bCs/>
                <w:color w:val="auto"/>
                <w:sz w:val="21"/>
                <w:szCs w:val="21"/>
                <w:highlight w:val="none"/>
                <w:vertAlign w:val="baseline"/>
                <w:lang w:val="en-US" w:eastAsia="zh-CN"/>
              </w:rPr>
              <w:t>规格型号</w:t>
            </w:r>
          </w:p>
          <w:p w14:paraId="14110869">
            <w:pPr>
              <w:keepNext w:val="0"/>
              <w:keepLines w:val="0"/>
              <w:widowControl/>
              <w:suppressLineNumbers w:val="0"/>
              <w:jc w:val="center"/>
              <w:rPr>
                <w:rFonts w:hint="default" w:ascii="Times New Roman" w:hAnsi="Times New Roman" w:eastAsia="宋体" w:cs="Times New Roman"/>
                <w:b/>
                <w:bCs/>
                <w:color w:val="auto"/>
                <w:sz w:val="21"/>
                <w:szCs w:val="21"/>
                <w:highlight w:val="none"/>
                <w:vertAlign w:val="baseline"/>
                <w:lang w:val="en-US" w:eastAsia="zh-CN"/>
              </w:rPr>
            </w:pPr>
            <w:r>
              <w:rPr>
                <w:rFonts w:hint="eastAsia" w:ascii="Times New Roman" w:hAnsi="Times New Roman" w:eastAsia="宋体" w:cs="Times New Roman"/>
                <w:b/>
                <w:bCs/>
                <w:color w:val="auto"/>
                <w:sz w:val="21"/>
                <w:szCs w:val="21"/>
                <w:highlight w:val="none"/>
                <w:vertAlign w:val="baseline"/>
                <w:lang w:val="en-US" w:eastAsia="zh-CN"/>
              </w:rPr>
              <w:t>（注册证型号）</w:t>
            </w:r>
          </w:p>
        </w:tc>
        <w:tc>
          <w:tcPr>
            <w:tcW w:w="1277" w:type="dxa"/>
            <w:vAlign w:val="center"/>
          </w:tcPr>
          <w:p w14:paraId="1CCF65D8">
            <w:pPr>
              <w:keepNext w:val="0"/>
              <w:keepLines w:val="0"/>
              <w:widowControl/>
              <w:suppressLineNumbers w:val="0"/>
              <w:jc w:val="center"/>
              <w:rPr>
                <w:rFonts w:hint="eastAsia" w:eastAsia="宋体"/>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计价单位</w:t>
            </w:r>
          </w:p>
        </w:tc>
        <w:tc>
          <w:tcPr>
            <w:tcW w:w="1486" w:type="dxa"/>
            <w:vAlign w:val="center"/>
          </w:tcPr>
          <w:p w14:paraId="49F995D5">
            <w:pPr>
              <w:keepNext w:val="0"/>
              <w:keepLines w:val="0"/>
              <w:widowControl/>
              <w:suppressLineNumbers w:val="0"/>
              <w:jc w:val="center"/>
              <w:rPr>
                <w:rFonts w:hint="eastAsia" w:eastAsia="宋体"/>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投标单价</w:t>
            </w:r>
          </w:p>
          <w:p w14:paraId="59672E7B">
            <w:pPr>
              <w:keepNext w:val="0"/>
              <w:keepLines w:val="0"/>
              <w:widowControl/>
              <w:suppressLineNumbers w:val="0"/>
              <w:jc w:val="center"/>
              <w:rPr>
                <w:rFonts w:hint="default" w:eastAsia="宋体"/>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（元/单位）</w:t>
            </w:r>
          </w:p>
        </w:tc>
        <w:tc>
          <w:tcPr>
            <w:tcW w:w="1560" w:type="dxa"/>
            <w:vAlign w:val="center"/>
          </w:tcPr>
          <w:p w14:paraId="2F67DA8B">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投标产品</w:t>
            </w:r>
          </w:p>
          <w:p w14:paraId="5AC485E5">
            <w:pPr>
              <w:keepNext w:val="0"/>
              <w:keepLines w:val="0"/>
              <w:widowControl/>
              <w:suppressLineNumbers w:val="0"/>
              <w:jc w:val="center"/>
              <w:rPr>
                <w:rFonts w:hint="eastAsia" w:eastAsia="宋体"/>
                <w:b/>
                <w:bCs/>
                <w:color w:val="auto"/>
                <w:sz w:val="21"/>
                <w:szCs w:val="21"/>
                <w:highlight w:val="none"/>
                <w:vertAlign w:val="baseline"/>
                <w:lang w:val="en-US" w:eastAsia="zh-CN"/>
              </w:rPr>
            </w:pPr>
            <w:r>
              <w:rPr>
                <w:rFonts w:hint="eastAsia" w:ascii="宋体" w:hAnsi="宋体" w:eastAsia="宋体" w:cs="宋体"/>
                <w:b/>
                <w:bCs/>
                <w:snapToGrid w:val="0"/>
                <w:color w:val="auto"/>
                <w:kern w:val="0"/>
                <w:sz w:val="21"/>
                <w:szCs w:val="21"/>
                <w:highlight w:val="none"/>
                <w:lang w:val="en-US" w:eastAsia="zh-CN" w:bidi="ar"/>
              </w:rPr>
              <w:t>注册证号</w:t>
            </w:r>
          </w:p>
        </w:tc>
        <w:tc>
          <w:tcPr>
            <w:tcW w:w="1080" w:type="dxa"/>
            <w:vAlign w:val="center"/>
          </w:tcPr>
          <w:p w14:paraId="14230B06">
            <w:pPr>
              <w:keepNext w:val="0"/>
              <w:keepLines w:val="0"/>
              <w:widowControl/>
              <w:suppressLineNumbers w:val="0"/>
              <w:jc w:val="center"/>
              <w:rPr>
                <w:rFonts w:hint="default"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备注</w:t>
            </w:r>
          </w:p>
        </w:tc>
      </w:tr>
      <w:tr w14:paraId="1DEE3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Merge w:val="restart"/>
            <w:vAlign w:val="center"/>
          </w:tcPr>
          <w:p w14:paraId="2E41F0A7">
            <w:pPr>
              <w:widowControl w:val="0"/>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1</w:t>
            </w:r>
          </w:p>
        </w:tc>
        <w:tc>
          <w:tcPr>
            <w:tcW w:w="1543" w:type="dxa"/>
            <w:vMerge w:val="restart"/>
          </w:tcPr>
          <w:p w14:paraId="2078D575">
            <w:pPr>
              <w:widowControl w:val="0"/>
              <w:rPr>
                <w:color w:val="auto"/>
                <w:highlight w:val="none"/>
                <w:vertAlign w:val="baseline"/>
              </w:rPr>
            </w:pPr>
          </w:p>
        </w:tc>
        <w:tc>
          <w:tcPr>
            <w:tcW w:w="1393" w:type="dxa"/>
          </w:tcPr>
          <w:p w14:paraId="0F341263">
            <w:pPr>
              <w:widowControl w:val="0"/>
              <w:rPr>
                <w:color w:val="auto"/>
                <w:highlight w:val="none"/>
                <w:vertAlign w:val="baseline"/>
              </w:rPr>
            </w:pPr>
          </w:p>
        </w:tc>
        <w:tc>
          <w:tcPr>
            <w:tcW w:w="1060" w:type="dxa"/>
          </w:tcPr>
          <w:p w14:paraId="5E2811FC">
            <w:pPr>
              <w:widowControl w:val="0"/>
              <w:rPr>
                <w:color w:val="auto"/>
                <w:highlight w:val="none"/>
                <w:vertAlign w:val="baseline"/>
              </w:rPr>
            </w:pPr>
          </w:p>
        </w:tc>
        <w:tc>
          <w:tcPr>
            <w:tcW w:w="1060" w:type="dxa"/>
          </w:tcPr>
          <w:p w14:paraId="4138DDFD">
            <w:pPr>
              <w:widowControl w:val="0"/>
              <w:rPr>
                <w:color w:val="auto"/>
                <w:highlight w:val="none"/>
                <w:vertAlign w:val="baseline"/>
              </w:rPr>
            </w:pPr>
          </w:p>
        </w:tc>
        <w:tc>
          <w:tcPr>
            <w:tcW w:w="1060" w:type="dxa"/>
          </w:tcPr>
          <w:p w14:paraId="23110391">
            <w:pPr>
              <w:widowControl w:val="0"/>
              <w:rPr>
                <w:color w:val="auto"/>
                <w:highlight w:val="none"/>
                <w:vertAlign w:val="baseline"/>
              </w:rPr>
            </w:pPr>
          </w:p>
        </w:tc>
        <w:tc>
          <w:tcPr>
            <w:tcW w:w="1060" w:type="dxa"/>
          </w:tcPr>
          <w:p w14:paraId="403934A1">
            <w:pPr>
              <w:widowControl w:val="0"/>
              <w:rPr>
                <w:color w:val="auto"/>
                <w:highlight w:val="none"/>
                <w:vertAlign w:val="baseline"/>
              </w:rPr>
            </w:pPr>
          </w:p>
        </w:tc>
        <w:tc>
          <w:tcPr>
            <w:tcW w:w="1060" w:type="dxa"/>
          </w:tcPr>
          <w:p w14:paraId="542CE9FA">
            <w:pPr>
              <w:widowControl w:val="0"/>
              <w:rPr>
                <w:color w:val="auto"/>
                <w:highlight w:val="none"/>
                <w:vertAlign w:val="baseline"/>
              </w:rPr>
            </w:pPr>
          </w:p>
        </w:tc>
        <w:tc>
          <w:tcPr>
            <w:tcW w:w="1277" w:type="dxa"/>
          </w:tcPr>
          <w:p w14:paraId="1C229079">
            <w:pPr>
              <w:widowControl w:val="0"/>
              <w:rPr>
                <w:color w:val="auto"/>
                <w:highlight w:val="none"/>
                <w:vertAlign w:val="baseline"/>
              </w:rPr>
            </w:pPr>
          </w:p>
        </w:tc>
        <w:tc>
          <w:tcPr>
            <w:tcW w:w="1486" w:type="dxa"/>
          </w:tcPr>
          <w:p w14:paraId="0535F847">
            <w:pPr>
              <w:widowControl w:val="0"/>
              <w:rPr>
                <w:color w:val="auto"/>
                <w:highlight w:val="none"/>
                <w:vertAlign w:val="baseline"/>
              </w:rPr>
            </w:pPr>
          </w:p>
        </w:tc>
        <w:tc>
          <w:tcPr>
            <w:tcW w:w="1560" w:type="dxa"/>
          </w:tcPr>
          <w:p w14:paraId="2034F975">
            <w:pPr>
              <w:widowControl w:val="0"/>
              <w:rPr>
                <w:color w:val="auto"/>
                <w:highlight w:val="none"/>
                <w:vertAlign w:val="baseline"/>
              </w:rPr>
            </w:pPr>
          </w:p>
        </w:tc>
        <w:tc>
          <w:tcPr>
            <w:tcW w:w="1080" w:type="dxa"/>
          </w:tcPr>
          <w:p w14:paraId="04DE4CC0">
            <w:pPr>
              <w:widowControl w:val="0"/>
              <w:rPr>
                <w:color w:val="auto"/>
                <w:highlight w:val="none"/>
                <w:vertAlign w:val="baseline"/>
              </w:rPr>
            </w:pPr>
          </w:p>
        </w:tc>
      </w:tr>
      <w:tr w14:paraId="0B522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Merge w:val="continue"/>
            <w:vAlign w:val="center"/>
          </w:tcPr>
          <w:p w14:paraId="0981A58C">
            <w:pPr>
              <w:widowControl w:val="0"/>
              <w:jc w:val="center"/>
              <w:rPr>
                <w:rFonts w:hint="eastAsia" w:ascii="宋体" w:hAnsi="宋体" w:eastAsia="宋体" w:cs="宋体"/>
                <w:color w:val="auto"/>
                <w:highlight w:val="none"/>
                <w:vertAlign w:val="baseline"/>
              </w:rPr>
            </w:pPr>
          </w:p>
        </w:tc>
        <w:tc>
          <w:tcPr>
            <w:tcW w:w="1543" w:type="dxa"/>
            <w:vMerge w:val="continue"/>
          </w:tcPr>
          <w:p w14:paraId="1629D171">
            <w:pPr>
              <w:widowControl w:val="0"/>
              <w:rPr>
                <w:color w:val="auto"/>
                <w:highlight w:val="none"/>
                <w:vertAlign w:val="baseline"/>
              </w:rPr>
            </w:pPr>
          </w:p>
        </w:tc>
        <w:tc>
          <w:tcPr>
            <w:tcW w:w="1393" w:type="dxa"/>
          </w:tcPr>
          <w:p w14:paraId="6F728AC8">
            <w:pPr>
              <w:widowControl w:val="0"/>
              <w:rPr>
                <w:color w:val="auto"/>
                <w:highlight w:val="none"/>
                <w:vertAlign w:val="baseline"/>
              </w:rPr>
            </w:pPr>
          </w:p>
        </w:tc>
        <w:tc>
          <w:tcPr>
            <w:tcW w:w="1060" w:type="dxa"/>
          </w:tcPr>
          <w:p w14:paraId="5DC1D47F">
            <w:pPr>
              <w:widowControl w:val="0"/>
              <w:rPr>
                <w:color w:val="auto"/>
                <w:highlight w:val="none"/>
                <w:vertAlign w:val="baseline"/>
              </w:rPr>
            </w:pPr>
          </w:p>
        </w:tc>
        <w:tc>
          <w:tcPr>
            <w:tcW w:w="1060" w:type="dxa"/>
          </w:tcPr>
          <w:p w14:paraId="0736C76F">
            <w:pPr>
              <w:widowControl w:val="0"/>
              <w:rPr>
                <w:color w:val="auto"/>
                <w:highlight w:val="none"/>
                <w:vertAlign w:val="baseline"/>
              </w:rPr>
            </w:pPr>
          </w:p>
        </w:tc>
        <w:tc>
          <w:tcPr>
            <w:tcW w:w="1060" w:type="dxa"/>
          </w:tcPr>
          <w:p w14:paraId="41FF43D8">
            <w:pPr>
              <w:widowControl w:val="0"/>
              <w:rPr>
                <w:color w:val="auto"/>
                <w:highlight w:val="none"/>
                <w:vertAlign w:val="baseline"/>
              </w:rPr>
            </w:pPr>
          </w:p>
        </w:tc>
        <w:tc>
          <w:tcPr>
            <w:tcW w:w="1060" w:type="dxa"/>
          </w:tcPr>
          <w:p w14:paraId="739BF70B">
            <w:pPr>
              <w:widowControl w:val="0"/>
              <w:rPr>
                <w:color w:val="auto"/>
                <w:highlight w:val="none"/>
                <w:vertAlign w:val="baseline"/>
              </w:rPr>
            </w:pPr>
          </w:p>
        </w:tc>
        <w:tc>
          <w:tcPr>
            <w:tcW w:w="1060" w:type="dxa"/>
          </w:tcPr>
          <w:p w14:paraId="21217D12">
            <w:pPr>
              <w:widowControl w:val="0"/>
              <w:rPr>
                <w:color w:val="auto"/>
                <w:highlight w:val="none"/>
                <w:vertAlign w:val="baseline"/>
              </w:rPr>
            </w:pPr>
          </w:p>
        </w:tc>
        <w:tc>
          <w:tcPr>
            <w:tcW w:w="1277" w:type="dxa"/>
          </w:tcPr>
          <w:p w14:paraId="2D25857A">
            <w:pPr>
              <w:widowControl w:val="0"/>
              <w:rPr>
                <w:color w:val="auto"/>
                <w:highlight w:val="none"/>
                <w:vertAlign w:val="baseline"/>
              </w:rPr>
            </w:pPr>
          </w:p>
        </w:tc>
        <w:tc>
          <w:tcPr>
            <w:tcW w:w="1486" w:type="dxa"/>
          </w:tcPr>
          <w:p w14:paraId="4976030C">
            <w:pPr>
              <w:widowControl w:val="0"/>
              <w:rPr>
                <w:color w:val="auto"/>
                <w:highlight w:val="none"/>
                <w:vertAlign w:val="baseline"/>
              </w:rPr>
            </w:pPr>
          </w:p>
        </w:tc>
        <w:tc>
          <w:tcPr>
            <w:tcW w:w="1560" w:type="dxa"/>
          </w:tcPr>
          <w:p w14:paraId="5664F5DB">
            <w:pPr>
              <w:widowControl w:val="0"/>
              <w:rPr>
                <w:color w:val="auto"/>
                <w:highlight w:val="none"/>
                <w:vertAlign w:val="baseline"/>
              </w:rPr>
            </w:pPr>
          </w:p>
        </w:tc>
        <w:tc>
          <w:tcPr>
            <w:tcW w:w="1080" w:type="dxa"/>
          </w:tcPr>
          <w:p w14:paraId="366DE966">
            <w:pPr>
              <w:widowControl w:val="0"/>
              <w:rPr>
                <w:color w:val="auto"/>
                <w:highlight w:val="none"/>
                <w:vertAlign w:val="baseline"/>
              </w:rPr>
            </w:pPr>
          </w:p>
        </w:tc>
      </w:tr>
      <w:tr w14:paraId="5D6A0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Merge w:val="restart"/>
            <w:vAlign w:val="center"/>
          </w:tcPr>
          <w:p w14:paraId="71CC3CC9">
            <w:pPr>
              <w:widowControl w:val="0"/>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2</w:t>
            </w:r>
          </w:p>
        </w:tc>
        <w:tc>
          <w:tcPr>
            <w:tcW w:w="1543" w:type="dxa"/>
            <w:vMerge w:val="restart"/>
          </w:tcPr>
          <w:p w14:paraId="5F7F009A">
            <w:pPr>
              <w:widowControl w:val="0"/>
              <w:rPr>
                <w:color w:val="auto"/>
                <w:highlight w:val="none"/>
                <w:vertAlign w:val="baseline"/>
              </w:rPr>
            </w:pPr>
          </w:p>
        </w:tc>
        <w:tc>
          <w:tcPr>
            <w:tcW w:w="1393" w:type="dxa"/>
          </w:tcPr>
          <w:p w14:paraId="0D8A01B7">
            <w:pPr>
              <w:widowControl w:val="0"/>
              <w:rPr>
                <w:color w:val="auto"/>
                <w:highlight w:val="none"/>
                <w:vertAlign w:val="baseline"/>
              </w:rPr>
            </w:pPr>
          </w:p>
        </w:tc>
        <w:tc>
          <w:tcPr>
            <w:tcW w:w="1060" w:type="dxa"/>
          </w:tcPr>
          <w:p w14:paraId="5D2869C6">
            <w:pPr>
              <w:widowControl w:val="0"/>
              <w:rPr>
                <w:color w:val="auto"/>
                <w:highlight w:val="none"/>
                <w:vertAlign w:val="baseline"/>
              </w:rPr>
            </w:pPr>
          </w:p>
        </w:tc>
        <w:tc>
          <w:tcPr>
            <w:tcW w:w="1060" w:type="dxa"/>
          </w:tcPr>
          <w:p w14:paraId="1AA351AF">
            <w:pPr>
              <w:widowControl w:val="0"/>
              <w:rPr>
                <w:color w:val="auto"/>
                <w:highlight w:val="none"/>
                <w:vertAlign w:val="baseline"/>
              </w:rPr>
            </w:pPr>
          </w:p>
        </w:tc>
        <w:tc>
          <w:tcPr>
            <w:tcW w:w="1060" w:type="dxa"/>
          </w:tcPr>
          <w:p w14:paraId="140B3B78">
            <w:pPr>
              <w:widowControl w:val="0"/>
              <w:rPr>
                <w:color w:val="auto"/>
                <w:highlight w:val="none"/>
                <w:vertAlign w:val="baseline"/>
              </w:rPr>
            </w:pPr>
          </w:p>
        </w:tc>
        <w:tc>
          <w:tcPr>
            <w:tcW w:w="1060" w:type="dxa"/>
          </w:tcPr>
          <w:p w14:paraId="7187B6F3">
            <w:pPr>
              <w:widowControl w:val="0"/>
              <w:rPr>
                <w:color w:val="auto"/>
                <w:highlight w:val="none"/>
                <w:vertAlign w:val="baseline"/>
              </w:rPr>
            </w:pPr>
          </w:p>
        </w:tc>
        <w:tc>
          <w:tcPr>
            <w:tcW w:w="1060" w:type="dxa"/>
          </w:tcPr>
          <w:p w14:paraId="782C0C79">
            <w:pPr>
              <w:widowControl w:val="0"/>
              <w:rPr>
                <w:color w:val="auto"/>
                <w:highlight w:val="none"/>
                <w:vertAlign w:val="baseline"/>
              </w:rPr>
            </w:pPr>
          </w:p>
        </w:tc>
        <w:tc>
          <w:tcPr>
            <w:tcW w:w="1277" w:type="dxa"/>
          </w:tcPr>
          <w:p w14:paraId="3BA3AD13">
            <w:pPr>
              <w:widowControl w:val="0"/>
              <w:rPr>
                <w:color w:val="auto"/>
                <w:highlight w:val="none"/>
                <w:vertAlign w:val="baseline"/>
              </w:rPr>
            </w:pPr>
          </w:p>
        </w:tc>
        <w:tc>
          <w:tcPr>
            <w:tcW w:w="1486" w:type="dxa"/>
          </w:tcPr>
          <w:p w14:paraId="3F864AE3">
            <w:pPr>
              <w:widowControl w:val="0"/>
              <w:rPr>
                <w:color w:val="auto"/>
                <w:highlight w:val="none"/>
                <w:vertAlign w:val="baseline"/>
              </w:rPr>
            </w:pPr>
          </w:p>
        </w:tc>
        <w:tc>
          <w:tcPr>
            <w:tcW w:w="1560" w:type="dxa"/>
          </w:tcPr>
          <w:p w14:paraId="6D48088E">
            <w:pPr>
              <w:widowControl w:val="0"/>
              <w:rPr>
                <w:color w:val="auto"/>
                <w:highlight w:val="none"/>
                <w:vertAlign w:val="baseline"/>
              </w:rPr>
            </w:pPr>
          </w:p>
        </w:tc>
        <w:tc>
          <w:tcPr>
            <w:tcW w:w="1080" w:type="dxa"/>
          </w:tcPr>
          <w:p w14:paraId="09F3E95E">
            <w:pPr>
              <w:widowControl w:val="0"/>
              <w:rPr>
                <w:color w:val="auto"/>
                <w:highlight w:val="none"/>
                <w:vertAlign w:val="baseline"/>
              </w:rPr>
            </w:pPr>
          </w:p>
        </w:tc>
      </w:tr>
      <w:tr w14:paraId="27E77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Merge w:val="continue"/>
          </w:tcPr>
          <w:p w14:paraId="4AD2190F">
            <w:pPr>
              <w:widowControl w:val="0"/>
              <w:rPr>
                <w:color w:val="auto"/>
                <w:highlight w:val="none"/>
                <w:vertAlign w:val="baseline"/>
              </w:rPr>
            </w:pPr>
          </w:p>
        </w:tc>
        <w:tc>
          <w:tcPr>
            <w:tcW w:w="1543" w:type="dxa"/>
            <w:vMerge w:val="continue"/>
          </w:tcPr>
          <w:p w14:paraId="4D0CA1FD">
            <w:pPr>
              <w:widowControl w:val="0"/>
              <w:rPr>
                <w:color w:val="auto"/>
                <w:highlight w:val="none"/>
                <w:vertAlign w:val="baseline"/>
              </w:rPr>
            </w:pPr>
          </w:p>
        </w:tc>
        <w:tc>
          <w:tcPr>
            <w:tcW w:w="1393" w:type="dxa"/>
          </w:tcPr>
          <w:p w14:paraId="23AB6B66">
            <w:pPr>
              <w:widowControl w:val="0"/>
              <w:rPr>
                <w:color w:val="auto"/>
                <w:highlight w:val="none"/>
                <w:vertAlign w:val="baseline"/>
              </w:rPr>
            </w:pPr>
          </w:p>
        </w:tc>
        <w:tc>
          <w:tcPr>
            <w:tcW w:w="1060" w:type="dxa"/>
          </w:tcPr>
          <w:p w14:paraId="6B29D694">
            <w:pPr>
              <w:widowControl w:val="0"/>
              <w:rPr>
                <w:color w:val="auto"/>
                <w:highlight w:val="none"/>
                <w:vertAlign w:val="baseline"/>
              </w:rPr>
            </w:pPr>
          </w:p>
        </w:tc>
        <w:tc>
          <w:tcPr>
            <w:tcW w:w="1060" w:type="dxa"/>
          </w:tcPr>
          <w:p w14:paraId="424656BF">
            <w:pPr>
              <w:widowControl w:val="0"/>
              <w:rPr>
                <w:color w:val="auto"/>
                <w:highlight w:val="none"/>
                <w:vertAlign w:val="baseline"/>
              </w:rPr>
            </w:pPr>
          </w:p>
        </w:tc>
        <w:tc>
          <w:tcPr>
            <w:tcW w:w="1060" w:type="dxa"/>
          </w:tcPr>
          <w:p w14:paraId="747DFEFE">
            <w:pPr>
              <w:widowControl w:val="0"/>
              <w:rPr>
                <w:color w:val="auto"/>
                <w:highlight w:val="none"/>
                <w:vertAlign w:val="baseline"/>
              </w:rPr>
            </w:pPr>
          </w:p>
        </w:tc>
        <w:tc>
          <w:tcPr>
            <w:tcW w:w="1060" w:type="dxa"/>
          </w:tcPr>
          <w:p w14:paraId="3CDE67A2">
            <w:pPr>
              <w:widowControl w:val="0"/>
              <w:rPr>
                <w:color w:val="auto"/>
                <w:highlight w:val="none"/>
                <w:vertAlign w:val="baseline"/>
              </w:rPr>
            </w:pPr>
          </w:p>
        </w:tc>
        <w:tc>
          <w:tcPr>
            <w:tcW w:w="1060" w:type="dxa"/>
          </w:tcPr>
          <w:p w14:paraId="5D8AC925">
            <w:pPr>
              <w:widowControl w:val="0"/>
              <w:rPr>
                <w:color w:val="auto"/>
                <w:highlight w:val="none"/>
                <w:vertAlign w:val="baseline"/>
              </w:rPr>
            </w:pPr>
          </w:p>
        </w:tc>
        <w:tc>
          <w:tcPr>
            <w:tcW w:w="1277" w:type="dxa"/>
          </w:tcPr>
          <w:p w14:paraId="3D2C7340">
            <w:pPr>
              <w:widowControl w:val="0"/>
              <w:rPr>
                <w:color w:val="auto"/>
                <w:highlight w:val="none"/>
                <w:vertAlign w:val="baseline"/>
              </w:rPr>
            </w:pPr>
          </w:p>
        </w:tc>
        <w:tc>
          <w:tcPr>
            <w:tcW w:w="1486" w:type="dxa"/>
          </w:tcPr>
          <w:p w14:paraId="4A016A1F">
            <w:pPr>
              <w:widowControl w:val="0"/>
              <w:rPr>
                <w:color w:val="auto"/>
                <w:highlight w:val="none"/>
                <w:vertAlign w:val="baseline"/>
              </w:rPr>
            </w:pPr>
          </w:p>
        </w:tc>
        <w:tc>
          <w:tcPr>
            <w:tcW w:w="1560" w:type="dxa"/>
          </w:tcPr>
          <w:p w14:paraId="6AA74C35">
            <w:pPr>
              <w:widowControl w:val="0"/>
              <w:rPr>
                <w:color w:val="auto"/>
                <w:highlight w:val="none"/>
                <w:vertAlign w:val="baseline"/>
              </w:rPr>
            </w:pPr>
          </w:p>
        </w:tc>
        <w:tc>
          <w:tcPr>
            <w:tcW w:w="1080" w:type="dxa"/>
          </w:tcPr>
          <w:p w14:paraId="091E8271">
            <w:pPr>
              <w:widowControl w:val="0"/>
              <w:rPr>
                <w:color w:val="auto"/>
                <w:highlight w:val="none"/>
                <w:vertAlign w:val="baseline"/>
              </w:rPr>
            </w:pPr>
          </w:p>
        </w:tc>
      </w:tr>
    </w:tbl>
    <w:p w14:paraId="22CB90DF">
      <w:pPr>
        <w:rPr>
          <w:color w:val="auto"/>
          <w:highlight w:val="none"/>
        </w:rPr>
      </w:pPr>
    </w:p>
    <w:p w14:paraId="137263B9">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 xml:space="preserve">法人代表或委托代理人（签字或盖章）： </w:t>
      </w:r>
      <w:r>
        <w:rPr>
          <w:rFonts w:hint="eastAsia" w:ascii="宋体" w:hAnsi="宋体" w:eastAsia="宋体" w:cs="宋体"/>
          <w:color w:val="auto"/>
          <w:kern w:val="0"/>
          <w:sz w:val="24"/>
          <w:highlight w:val="none"/>
          <w:u w:val="single"/>
        </w:rPr>
        <w:t xml:space="preserve">                </w:t>
      </w:r>
    </w:p>
    <w:p w14:paraId="02947757">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17994AC1">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0575693B">
      <w:pPr>
        <w:keepNext w:val="0"/>
        <w:keepLines w:val="0"/>
        <w:pageBreakBefore w:val="0"/>
        <w:widowControl/>
        <w:suppressLineNumbers w:val="0"/>
        <w:kinsoku w:val="0"/>
        <w:wordWrap/>
        <w:overflowPunct/>
        <w:topLinePunct w:val="0"/>
        <w:autoSpaceDE w:val="0"/>
        <w:autoSpaceDN w:val="0"/>
        <w:bidi w:val="0"/>
        <w:adjustRightInd w:val="0"/>
        <w:snapToGrid w:val="0"/>
        <w:ind w:firstLine="482" w:firstLineChars="200"/>
        <w:jc w:val="left"/>
        <w:textAlignment w:val="baseline"/>
        <w:rPr>
          <w:rFonts w:hint="eastAsia" w:ascii="宋体" w:hAnsi="宋体" w:eastAsia="宋体" w:cs="宋体"/>
          <w:b/>
          <w:bCs/>
          <w:snapToGrid w:val="0"/>
          <w:color w:val="auto"/>
          <w:kern w:val="0"/>
          <w:sz w:val="24"/>
          <w:szCs w:val="24"/>
          <w:highlight w:val="none"/>
          <w:lang w:val="en-US" w:eastAsia="zh-CN" w:bidi="ar"/>
        </w:rPr>
      </w:pPr>
    </w:p>
    <w:p w14:paraId="5A6344A3">
      <w:pPr>
        <w:keepNext w:val="0"/>
        <w:keepLines w:val="0"/>
        <w:widowControl/>
        <w:suppressLineNumbers w:val="0"/>
        <w:ind w:firstLine="482" w:firstLineChars="200"/>
        <w:jc w:val="left"/>
        <w:rPr>
          <w:color w:val="auto"/>
          <w:highlight w:val="none"/>
        </w:rPr>
      </w:pPr>
      <w:r>
        <w:rPr>
          <w:rFonts w:hint="eastAsia" w:ascii="宋体" w:hAnsi="宋体" w:eastAsia="宋体" w:cs="宋体"/>
          <w:b/>
          <w:bCs/>
          <w:snapToGrid w:val="0"/>
          <w:color w:val="auto"/>
          <w:kern w:val="0"/>
          <w:sz w:val="24"/>
          <w:szCs w:val="24"/>
          <w:highlight w:val="none"/>
          <w:lang w:val="en-US" w:eastAsia="zh-CN" w:bidi="ar"/>
        </w:rPr>
        <w:t>备注: 此表为产品配套耗材报价表，如没有，无需制作</w:t>
      </w:r>
      <w:r>
        <w:rPr>
          <w:rFonts w:hint="eastAsia" w:ascii="宋体" w:hAnsi="宋体" w:cs="宋体"/>
          <w:b/>
          <w:bCs/>
          <w:snapToGrid w:val="0"/>
          <w:color w:val="auto"/>
          <w:kern w:val="0"/>
          <w:sz w:val="24"/>
          <w:szCs w:val="24"/>
          <w:highlight w:val="none"/>
          <w:lang w:val="en-US" w:eastAsia="zh-CN" w:bidi="ar"/>
        </w:rPr>
        <w:t>，可自行删除</w:t>
      </w:r>
      <w:r>
        <w:rPr>
          <w:rFonts w:hint="eastAsia" w:ascii="宋体" w:hAnsi="宋体" w:eastAsia="宋体" w:cs="宋体"/>
          <w:b/>
          <w:bCs/>
          <w:snapToGrid w:val="0"/>
          <w:color w:val="auto"/>
          <w:kern w:val="0"/>
          <w:sz w:val="24"/>
          <w:szCs w:val="24"/>
          <w:highlight w:val="none"/>
          <w:lang w:val="en-US" w:eastAsia="zh-CN" w:bidi="ar"/>
        </w:rPr>
        <w:t>。</w:t>
      </w:r>
    </w:p>
    <w:p w14:paraId="66DBF250">
      <w:pPr>
        <w:pStyle w:val="24"/>
        <w:rPr>
          <w:rFonts w:hint="eastAsia" w:ascii="宋体" w:hAnsi="宋体" w:cs="宋体"/>
          <w:color w:val="auto"/>
          <w:kern w:val="0"/>
          <w:sz w:val="24"/>
          <w:highlight w:val="none"/>
        </w:rPr>
      </w:pPr>
    </w:p>
    <w:p w14:paraId="02699B8D">
      <w:pPr>
        <w:pStyle w:val="24"/>
        <w:rPr>
          <w:rFonts w:hint="eastAsia" w:ascii="宋体" w:hAnsi="宋体" w:cs="宋体"/>
          <w:color w:val="auto"/>
          <w:kern w:val="0"/>
          <w:sz w:val="24"/>
          <w:highlight w:val="none"/>
        </w:rPr>
        <w:sectPr>
          <w:pgSz w:w="16838" w:h="11906" w:orient="landscape"/>
          <w:pgMar w:top="1474" w:right="1417" w:bottom="1474" w:left="1417" w:header="851" w:footer="624" w:gutter="0"/>
          <w:pgNumType w:fmt="decimal"/>
          <w:cols w:space="720" w:num="1"/>
          <w:docGrid w:type="lines" w:linePitch="319" w:charSpace="0"/>
        </w:sectPr>
      </w:pPr>
    </w:p>
    <w:p w14:paraId="5986FE19">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4.3 产品配置清单一览表（如有）</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
        <w:gridCol w:w="1676"/>
        <w:gridCol w:w="1238"/>
        <w:gridCol w:w="1238"/>
        <w:gridCol w:w="1670"/>
        <w:gridCol w:w="1215"/>
        <w:gridCol w:w="1176"/>
      </w:tblGrid>
      <w:tr w14:paraId="46724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3830D715">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序号</w:t>
            </w:r>
          </w:p>
        </w:tc>
        <w:tc>
          <w:tcPr>
            <w:tcW w:w="1676" w:type="dxa"/>
            <w:vAlign w:val="center"/>
          </w:tcPr>
          <w:p w14:paraId="69DBD135">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货物名称</w:t>
            </w:r>
          </w:p>
        </w:tc>
        <w:tc>
          <w:tcPr>
            <w:tcW w:w="1238" w:type="dxa"/>
            <w:vAlign w:val="center"/>
          </w:tcPr>
          <w:p w14:paraId="35843AC5">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品牌</w:t>
            </w:r>
          </w:p>
        </w:tc>
        <w:tc>
          <w:tcPr>
            <w:tcW w:w="1238" w:type="dxa"/>
            <w:vAlign w:val="center"/>
          </w:tcPr>
          <w:p w14:paraId="295A1D23">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产地</w:t>
            </w:r>
          </w:p>
        </w:tc>
        <w:tc>
          <w:tcPr>
            <w:tcW w:w="1670" w:type="dxa"/>
            <w:vAlign w:val="center"/>
          </w:tcPr>
          <w:p w14:paraId="29752C26">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型号规格</w:t>
            </w:r>
          </w:p>
        </w:tc>
        <w:tc>
          <w:tcPr>
            <w:tcW w:w="1215" w:type="dxa"/>
            <w:vAlign w:val="center"/>
          </w:tcPr>
          <w:p w14:paraId="545160AD">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单位</w:t>
            </w:r>
          </w:p>
        </w:tc>
        <w:tc>
          <w:tcPr>
            <w:tcW w:w="1176" w:type="dxa"/>
            <w:vAlign w:val="center"/>
          </w:tcPr>
          <w:p w14:paraId="6CD84A93">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数量</w:t>
            </w:r>
          </w:p>
        </w:tc>
      </w:tr>
      <w:tr w14:paraId="45000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7134B0D6">
            <w:pPr>
              <w:widowControl w:val="0"/>
              <w:jc w:val="center"/>
              <w:rPr>
                <w:rFonts w:hint="eastAsia" w:ascii="宋体" w:hAnsi="宋体" w:eastAsia="宋体" w:cs="宋体"/>
                <w:color w:val="auto"/>
                <w:highlight w:val="none"/>
                <w:vertAlign w:val="baseline"/>
                <w:lang w:val="en-US" w:eastAsia="zh-CN"/>
              </w:rPr>
            </w:pPr>
          </w:p>
        </w:tc>
        <w:tc>
          <w:tcPr>
            <w:tcW w:w="1676" w:type="dxa"/>
            <w:vAlign w:val="center"/>
          </w:tcPr>
          <w:p w14:paraId="2B2FB324">
            <w:pPr>
              <w:widowControl w:val="0"/>
              <w:jc w:val="center"/>
              <w:rPr>
                <w:rFonts w:hint="eastAsia" w:ascii="宋体" w:hAnsi="宋体" w:eastAsia="宋体" w:cs="宋体"/>
                <w:color w:val="auto"/>
                <w:highlight w:val="none"/>
                <w:vertAlign w:val="baseline"/>
                <w:lang w:val="en-US" w:eastAsia="zh-CN"/>
              </w:rPr>
            </w:pPr>
          </w:p>
        </w:tc>
        <w:tc>
          <w:tcPr>
            <w:tcW w:w="1238" w:type="dxa"/>
            <w:vAlign w:val="center"/>
          </w:tcPr>
          <w:p w14:paraId="3FFED3C5">
            <w:pPr>
              <w:widowControl w:val="0"/>
              <w:jc w:val="center"/>
              <w:rPr>
                <w:rFonts w:hint="eastAsia" w:ascii="宋体" w:hAnsi="宋体" w:eastAsia="宋体" w:cs="宋体"/>
                <w:color w:val="auto"/>
                <w:highlight w:val="none"/>
                <w:vertAlign w:val="baseline"/>
                <w:lang w:val="en-US" w:eastAsia="zh-CN"/>
              </w:rPr>
            </w:pPr>
          </w:p>
        </w:tc>
        <w:tc>
          <w:tcPr>
            <w:tcW w:w="1238" w:type="dxa"/>
            <w:vAlign w:val="center"/>
          </w:tcPr>
          <w:p w14:paraId="1FC676C2">
            <w:pPr>
              <w:widowControl w:val="0"/>
              <w:jc w:val="center"/>
              <w:rPr>
                <w:rFonts w:hint="eastAsia" w:ascii="宋体" w:hAnsi="宋体" w:eastAsia="宋体" w:cs="宋体"/>
                <w:color w:val="auto"/>
                <w:highlight w:val="none"/>
                <w:vertAlign w:val="baseline"/>
                <w:lang w:val="en-US" w:eastAsia="zh-CN"/>
              </w:rPr>
            </w:pPr>
          </w:p>
        </w:tc>
        <w:tc>
          <w:tcPr>
            <w:tcW w:w="1670" w:type="dxa"/>
            <w:vAlign w:val="center"/>
          </w:tcPr>
          <w:p w14:paraId="25AACED3">
            <w:pPr>
              <w:widowControl w:val="0"/>
              <w:jc w:val="center"/>
              <w:rPr>
                <w:rFonts w:hint="eastAsia" w:ascii="宋体" w:hAnsi="宋体" w:eastAsia="宋体" w:cs="宋体"/>
                <w:color w:val="auto"/>
                <w:highlight w:val="none"/>
                <w:vertAlign w:val="baseline"/>
                <w:lang w:val="en-US" w:eastAsia="zh-CN"/>
              </w:rPr>
            </w:pPr>
          </w:p>
        </w:tc>
        <w:tc>
          <w:tcPr>
            <w:tcW w:w="1215" w:type="dxa"/>
            <w:vAlign w:val="center"/>
          </w:tcPr>
          <w:p w14:paraId="749D014C">
            <w:pPr>
              <w:widowControl w:val="0"/>
              <w:jc w:val="center"/>
              <w:rPr>
                <w:rFonts w:hint="eastAsia" w:ascii="宋体" w:hAnsi="宋体" w:eastAsia="宋体" w:cs="宋体"/>
                <w:color w:val="auto"/>
                <w:highlight w:val="none"/>
                <w:vertAlign w:val="baseline"/>
                <w:lang w:val="en-US" w:eastAsia="zh-CN"/>
              </w:rPr>
            </w:pPr>
          </w:p>
        </w:tc>
        <w:tc>
          <w:tcPr>
            <w:tcW w:w="1176" w:type="dxa"/>
            <w:vAlign w:val="center"/>
          </w:tcPr>
          <w:p w14:paraId="05134611">
            <w:pPr>
              <w:widowControl w:val="0"/>
              <w:jc w:val="center"/>
              <w:rPr>
                <w:rFonts w:hint="eastAsia" w:ascii="宋体" w:hAnsi="宋体" w:eastAsia="宋体" w:cs="宋体"/>
                <w:color w:val="auto"/>
                <w:highlight w:val="none"/>
                <w:vertAlign w:val="baseline"/>
                <w:lang w:val="en-US" w:eastAsia="zh-CN"/>
              </w:rPr>
            </w:pPr>
          </w:p>
        </w:tc>
      </w:tr>
      <w:tr w14:paraId="6D38D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17326070">
            <w:pPr>
              <w:widowControl w:val="0"/>
              <w:jc w:val="center"/>
              <w:rPr>
                <w:rFonts w:hint="eastAsia" w:ascii="宋体" w:hAnsi="宋体" w:eastAsia="宋体" w:cs="宋体"/>
                <w:color w:val="auto"/>
                <w:highlight w:val="none"/>
                <w:vertAlign w:val="baseline"/>
                <w:lang w:val="en-US" w:eastAsia="zh-CN"/>
              </w:rPr>
            </w:pPr>
          </w:p>
        </w:tc>
        <w:tc>
          <w:tcPr>
            <w:tcW w:w="1676" w:type="dxa"/>
            <w:vAlign w:val="center"/>
          </w:tcPr>
          <w:p w14:paraId="31FB795C">
            <w:pPr>
              <w:widowControl w:val="0"/>
              <w:jc w:val="center"/>
              <w:rPr>
                <w:rFonts w:hint="eastAsia" w:ascii="宋体" w:hAnsi="宋体" w:eastAsia="宋体" w:cs="宋体"/>
                <w:color w:val="auto"/>
                <w:highlight w:val="none"/>
                <w:vertAlign w:val="baseline"/>
                <w:lang w:val="en-US" w:eastAsia="zh-CN"/>
              </w:rPr>
            </w:pPr>
          </w:p>
        </w:tc>
        <w:tc>
          <w:tcPr>
            <w:tcW w:w="1238" w:type="dxa"/>
            <w:vAlign w:val="center"/>
          </w:tcPr>
          <w:p w14:paraId="3DDF1F3E">
            <w:pPr>
              <w:widowControl w:val="0"/>
              <w:jc w:val="center"/>
              <w:rPr>
                <w:rFonts w:hint="eastAsia" w:ascii="宋体" w:hAnsi="宋体" w:eastAsia="宋体" w:cs="宋体"/>
                <w:color w:val="auto"/>
                <w:highlight w:val="none"/>
                <w:vertAlign w:val="baseline"/>
                <w:lang w:val="en-US" w:eastAsia="zh-CN"/>
              </w:rPr>
            </w:pPr>
          </w:p>
        </w:tc>
        <w:tc>
          <w:tcPr>
            <w:tcW w:w="1238" w:type="dxa"/>
            <w:vAlign w:val="center"/>
          </w:tcPr>
          <w:p w14:paraId="1AE826AF">
            <w:pPr>
              <w:widowControl w:val="0"/>
              <w:jc w:val="center"/>
              <w:rPr>
                <w:rFonts w:hint="eastAsia" w:ascii="宋体" w:hAnsi="宋体" w:eastAsia="宋体" w:cs="宋体"/>
                <w:color w:val="auto"/>
                <w:highlight w:val="none"/>
                <w:vertAlign w:val="baseline"/>
                <w:lang w:val="en-US" w:eastAsia="zh-CN"/>
              </w:rPr>
            </w:pPr>
          </w:p>
        </w:tc>
        <w:tc>
          <w:tcPr>
            <w:tcW w:w="1670" w:type="dxa"/>
            <w:vAlign w:val="center"/>
          </w:tcPr>
          <w:p w14:paraId="439C5F96">
            <w:pPr>
              <w:widowControl w:val="0"/>
              <w:jc w:val="center"/>
              <w:rPr>
                <w:rFonts w:hint="eastAsia" w:ascii="宋体" w:hAnsi="宋体" w:eastAsia="宋体" w:cs="宋体"/>
                <w:color w:val="auto"/>
                <w:highlight w:val="none"/>
                <w:vertAlign w:val="baseline"/>
                <w:lang w:val="en-US" w:eastAsia="zh-CN"/>
              </w:rPr>
            </w:pPr>
          </w:p>
        </w:tc>
        <w:tc>
          <w:tcPr>
            <w:tcW w:w="1215" w:type="dxa"/>
            <w:vAlign w:val="center"/>
          </w:tcPr>
          <w:p w14:paraId="674CDC80">
            <w:pPr>
              <w:widowControl w:val="0"/>
              <w:jc w:val="center"/>
              <w:rPr>
                <w:rFonts w:hint="eastAsia" w:ascii="宋体" w:hAnsi="宋体" w:eastAsia="宋体" w:cs="宋体"/>
                <w:color w:val="auto"/>
                <w:highlight w:val="none"/>
                <w:vertAlign w:val="baseline"/>
                <w:lang w:val="en-US" w:eastAsia="zh-CN"/>
              </w:rPr>
            </w:pPr>
          </w:p>
        </w:tc>
        <w:tc>
          <w:tcPr>
            <w:tcW w:w="1176" w:type="dxa"/>
            <w:vAlign w:val="center"/>
          </w:tcPr>
          <w:p w14:paraId="1CB5057F">
            <w:pPr>
              <w:widowControl w:val="0"/>
              <w:jc w:val="center"/>
              <w:rPr>
                <w:rFonts w:hint="eastAsia" w:ascii="宋体" w:hAnsi="宋体" w:eastAsia="宋体" w:cs="宋体"/>
                <w:color w:val="auto"/>
                <w:highlight w:val="none"/>
                <w:vertAlign w:val="baseline"/>
                <w:lang w:val="en-US" w:eastAsia="zh-CN"/>
              </w:rPr>
            </w:pPr>
          </w:p>
        </w:tc>
      </w:tr>
      <w:tr w14:paraId="1D365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0A3433ED">
            <w:pPr>
              <w:widowControl w:val="0"/>
              <w:jc w:val="center"/>
              <w:rPr>
                <w:rFonts w:hint="eastAsia" w:ascii="宋体" w:hAnsi="宋体" w:eastAsia="宋体" w:cs="宋体"/>
                <w:color w:val="auto"/>
                <w:highlight w:val="none"/>
                <w:vertAlign w:val="baseline"/>
                <w:lang w:val="en-US" w:eastAsia="zh-CN"/>
              </w:rPr>
            </w:pPr>
          </w:p>
        </w:tc>
        <w:tc>
          <w:tcPr>
            <w:tcW w:w="1676" w:type="dxa"/>
            <w:vAlign w:val="center"/>
          </w:tcPr>
          <w:p w14:paraId="4953F941">
            <w:pPr>
              <w:widowControl w:val="0"/>
              <w:jc w:val="center"/>
              <w:rPr>
                <w:rFonts w:hint="eastAsia" w:ascii="宋体" w:hAnsi="宋体" w:eastAsia="宋体" w:cs="宋体"/>
                <w:color w:val="auto"/>
                <w:highlight w:val="none"/>
                <w:vertAlign w:val="baseline"/>
                <w:lang w:val="en-US" w:eastAsia="zh-CN"/>
              </w:rPr>
            </w:pPr>
          </w:p>
        </w:tc>
        <w:tc>
          <w:tcPr>
            <w:tcW w:w="1238" w:type="dxa"/>
            <w:vAlign w:val="center"/>
          </w:tcPr>
          <w:p w14:paraId="60D4163C">
            <w:pPr>
              <w:widowControl w:val="0"/>
              <w:jc w:val="center"/>
              <w:rPr>
                <w:rFonts w:hint="eastAsia" w:ascii="宋体" w:hAnsi="宋体" w:eastAsia="宋体" w:cs="宋体"/>
                <w:color w:val="auto"/>
                <w:highlight w:val="none"/>
                <w:vertAlign w:val="baseline"/>
                <w:lang w:val="en-US" w:eastAsia="zh-CN"/>
              </w:rPr>
            </w:pPr>
          </w:p>
        </w:tc>
        <w:tc>
          <w:tcPr>
            <w:tcW w:w="1238" w:type="dxa"/>
            <w:vAlign w:val="center"/>
          </w:tcPr>
          <w:p w14:paraId="7F5D0506">
            <w:pPr>
              <w:widowControl w:val="0"/>
              <w:jc w:val="center"/>
              <w:rPr>
                <w:rFonts w:hint="eastAsia" w:ascii="宋体" w:hAnsi="宋体" w:eastAsia="宋体" w:cs="宋体"/>
                <w:color w:val="auto"/>
                <w:highlight w:val="none"/>
                <w:vertAlign w:val="baseline"/>
                <w:lang w:val="en-US" w:eastAsia="zh-CN"/>
              </w:rPr>
            </w:pPr>
          </w:p>
        </w:tc>
        <w:tc>
          <w:tcPr>
            <w:tcW w:w="1670" w:type="dxa"/>
            <w:vAlign w:val="center"/>
          </w:tcPr>
          <w:p w14:paraId="72E86AD5">
            <w:pPr>
              <w:widowControl w:val="0"/>
              <w:jc w:val="center"/>
              <w:rPr>
                <w:rFonts w:hint="eastAsia" w:ascii="宋体" w:hAnsi="宋体" w:eastAsia="宋体" w:cs="宋体"/>
                <w:color w:val="auto"/>
                <w:highlight w:val="none"/>
                <w:vertAlign w:val="baseline"/>
                <w:lang w:val="en-US" w:eastAsia="zh-CN"/>
              </w:rPr>
            </w:pPr>
          </w:p>
        </w:tc>
        <w:tc>
          <w:tcPr>
            <w:tcW w:w="1215" w:type="dxa"/>
            <w:vAlign w:val="center"/>
          </w:tcPr>
          <w:p w14:paraId="7134BF0D">
            <w:pPr>
              <w:widowControl w:val="0"/>
              <w:jc w:val="center"/>
              <w:rPr>
                <w:rFonts w:hint="eastAsia" w:ascii="宋体" w:hAnsi="宋体" w:eastAsia="宋体" w:cs="宋体"/>
                <w:color w:val="auto"/>
                <w:highlight w:val="none"/>
                <w:vertAlign w:val="baseline"/>
                <w:lang w:val="en-US" w:eastAsia="zh-CN"/>
              </w:rPr>
            </w:pPr>
          </w:p>
        </w:tc>
        <w:tc>
          <w:tcPr>
            <w:tcW w:w="1176" w:type="dxa"/>
            <w:vAlign w:val="center"/>
          </w:tcPr>
          <w:p w14:paraId="0EB3CD05">
            <w:pPr>
              <w:widowControl w:val="0"/>
              <w:jc w:val="center"/>
              <w:rPr>
                <w:rFonts w:hint="eastAsia" w:ascii="宋体" w:hAnsi="宋体" w:eastAsia="宋体" w:cs="宋体"/>
                <w:color w:val="auto"/>
                <w:highlight w:val="none"/>
                <w:vertAlign w:val="baseline"/>
                <w:lang w:val="en-US" w:eastAsia="zh-CN"/>
              </w:rPr>
            </w:pPr>
          </w:p>
        </w:tc>
      </w:tr>
      <w:tr w14:paraId="6CA60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4607775A">
            <w:pPr>
              <w:widowControl w:val="0"/>
              <w:jc w:val="center"/>
              <w:rPr>
                <w:rFonts w:hint="eastAsia" w:ascii="宋体" w:hAnsi="宋体" w:eastAsia="宋体" w:cs="宋体"/>
                <w:color w:val="auto"/>
                <w:highlight w:val="none"/>
                <w:vertAlign w:val="baseline"/>
                <w:lang w:val="en-US" w:eastAsia="zh-CN"/>
              </w:rPr>
            </w:pPr>
          </w:p>
        </w:tc>
        <w:tc>
          <w:tcPr>
            <w:tcW w:w="1676" w:type="dxa"/>
            <w:vAlign w:val="center"/>
          </w:tcPr>
          <w:p w14:paraId="3A245A35">
            <w:pPr>
              <w:widowControl w:val="0"/>
              <w:jc w:val="center"/>
              <w:rPr>
                <w:rFonts w:hint="eastAsia" w:ascii="宋体" w:hAnsi="宋体" w:eastAsia="宋体" w:cs="宋体"/>
                <w:color w:val="auto"/>
                <w:highlight w:val="none"/>
                <w:vertAlign w:val="baseline"/>
                <w:lang w:val="en-US" w:eastAsia="zh-CN"/>
              </w:rPr>
            </w:pPr>
          </w:p>
        </w:tc>
        <w:tc>
          <w:tcPr>
            <w:tcW w:w="1238" w:type="dxa"/>
            <w:vAlign w:val="center"/>
          </w:tcPr>
          <w:p w14:paraId="6D057E85">
            <w:pPr>
              <w:widowControl w:val="0"/>
              <w:jc w:val="center"/>
              <w:rPr>
                <w:rFonts w:hint="eastAsia" w:ascii="宋体" w:hAnsi="宋体" w:eastAsia="宋体" w:cs="宋体"/>
                <w:color w:val="auto"/>
                <w:highlight w:val="none"/>
                <w:vertAlign w:val="baseline"/>
                <w:lang w:val="en-US" w:eastAsia="zh-CN"/>
              </w:rPr>
            </w:pPr>
          </w:p>
        </w:tc>
        <w:tc>
          <w:tcPr>
            <w:tcW w:w="1238" w:type="dxa"/>
            <w:vAlign w:val="center"/>
          </w:tcPr>
          <w:p w14:paraId="515422B7">
            <w:pPr>
              <w:widowControl w:val="0"/>
              <w:jc w:val="center"/>
              <w:rPr>
                <w:rFonts w:hint="eastAsia" w:ascii="宋体" w:hAnsi="宋体" w:eastAsia="宋体" w:cs="宋体"/>
                <w:color w:val="auto"/>
                <w:highlight w:val="none"/>
                <w:vertAlign w:val="baseline"/>
                <w:lang w:val="en-US" w:eastAsia="zh-CN"/>
              </w:rPr>
            </w:pPr>
          </w:p>
        </w:tc>
        <w:tc>
          <w:tcPr>
            <w:tcW w:w="1670" w:type="dxa"/>
            <w:vAlign w:val="center"/>
          </w:tcPr>
          <w:p w14:paraId="161FB83F">
            <w:pPr>
              <w:widowControl w:val="0"/>
              <w:jc w:val="center"/>
              <w:rPr>
                <w:rFonts w:hint="eastAsia" w:ascii="宋体" w:hAnsi="宋体" w:eastAsia="宋体" w:cs="宋体"/>
                <w:color w:val="auto"/>
                <w:highlight w:val="none"/>
                <w:vertAlign w:val="baseline"/>
                <w:lang w:val="en-US" w:eastAsia="zh-CN"/>
              </w:rPr>
            </w:pPr>
          </w:p>
        </w:tc>
        <w:tc>
          <w:tcPr>
            <w:tcW w:w="1215" w:type="dxa"/>
            <w:vAlign w:val="center"/>
          </w:tcPr>
          <w:p w14:paraId="77DF5323">
            <w:pPr>
              <w:widowControl w:val="0"/>
              <w:jc w:val="center"/>
              <w:rPr>
                <w:rFonts w:hint="eastAsia" w:ascii="宋体" w:hAnsi="宋体" w:eastAsia="宋体" w:cs="宋体"/>
                <w:color w:val="auto"/>
                <w:highlight w:val="none"/>
                <w:vertAlign w:val="baseline"/>
                <w:lang w:val="en-US" w:eastAsia="zh-CN"/>
              </w:rPr>
            </w:pPr>
          </w:p>
        </w:tc>
        <w:tc>
          <w:tcPr>
            <w:tcW w:w="1176" w:type="dxa"/>
            <w:vAlign w:val="center"/>
          </w:tcPr>
          <w:p w14:paraId="1D8AAC89">
            <w:pPr>
              <w:widowControl w:val="0"/>
              <w:jc w:val="center"/>
              <w:rPr>
                <w:rFonts w:hint="eastAsia" w:ascii="宋体" w:hAnsi="宋体" w:eastAsia="宋体" w:cs="宋体"/>
                <w:color w:val="auto"/>
                <w:highlight w:val="none"/>
                <w:vertAlign w:val="baseline"/>
                <w:lang w:val="en-US" w:eastAsia="zh-CN"/>
              </w:rPr>
            </w:pPr>
          </w:p>
        </w:tc>
      </w:tr>
      <w:tr w14:paraId="07F70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7E7A2E37">
            <w:pPr>
              <w:widowControl w:val="0"/>
              <w:jc w:val="center"/>
              <w:rPr>
                <w:rFonts w:hint="eastAsia" w:ascii="宋体" w:hAnsi="宋体" w:eastAsia="宋体" w:cs="宋体"/>
                <w:color w:val="auto"/>
                <w:highlight w:val="none"/>
                <w:vertAlign w:val="baseline"/>
                <w:lang w:val="en-US" w:eastAsia="zh-CN"/>
              </w:rPr>
            </w:pPr>
          </w:p>
        </w:tc>
        <w:tc>
          <w:tcPr>
            <w:tcW w:w="1676" w:type="dxa"/>
            <w:vAlign w:val="center"/>
          </w:tcPr>
          <w:p w14:paraId="6E777249">
            <w:pPr>
              <w:widowControl w:val="0"/>
              <w:jc w:val="center"/>
              <w:rPr>
                <w:rFonts w:hint="eastAsia" w:ascii="宋体" w:hAnsi="宋体" w:eastAsia="宋体" w:cs="宋体"/>
                <w:color w:val="auto"/>
                <w:highlight w:val="none"/>
                <w:vertAlign w:val="baseline"/>
                <w:lang w:val="en-US" w:eastAsia="zh-CN"/>
              </w:rPr>
            </w:pPr>
          </w:p>
        </w:tc>
        <w:tc>
          <w:tcPr>
            <w:tcW w:w="1238" w:type="dxa"/>
            <w:vAlign w:val="center"/>
          </w:tcPr>
          <w:p w14:paraId="4DE2A82B">
            <w:pPr>
              <w:widowControl w:val="0"/>
              <w:jc w:val="center"/>
              <w:rPr>
                <w:rFonts w:hint="eastAsia" w:ascii="宋体" w:hAnsi="宋体" w:eastAsia="宋体" w:cs="宋体"/>
                <w:color w:val="auto"/>
                <w:highlight w:val="none"/>
                <w:vertAlign w:val="baseline"/>
                <w:lang w:val="en-US" w:eastAsia="zh-CN"/>
              </w:rPr>
            </w:pPr>
          </w:p>
        </w:tc>
        <w:tc>
          <w:tcPr>
            <w:tcW w:w="1238" w:type="dxa"/>
            <w:vAlign w:val="center"/>
          </w:tcPr>
          <w:p w14:paraId="7C5B0392">
            <w:pPr>
              <w:widowControl w:val="0"/>
              <w:jc w:val="center"/>
              <w:rPr>
                <w:rFonts w:hint="eastAsia" w:ascii="宋体" w:hAnsi="宋体" w:eastAsia="宋体" w:cs="宋体"/>
                <w:color w:val="auto"/>
                <w:highlight w:val="none"/>
                <w:vertAlign w:val="baseline"/>
                <w:lang w:val="en-US" w:eastAsia="zh-CN"/>
              </w:rPr>
            </w:pPr>
          </w:p>
        </w:tc>
        <w:tc>
          <w:tcPr>
            <w:tcW w:w="1670" w:type="dxa"/>
            <w:vAlign w:val="center"/>
          </w:tcPr>
          <w:p w14:paraId="17137530">
            <w:pPr>
              <w:widowControl w:val="0"/>
              <w:jc w:val="center"/>
              <w:rPr>
                <w:rFonts w:hint="eastAsia" w:ascii="宋体" w:hAnsi="宋体" w:eastAsia="宋体" w:cs="宋体"/>
                <w:color w:val="auto"/>
                <w:highlight w:val="none"/>
                <w:vertAlign w:val="baseline"/>
                <w:lang w:val="en-US" w:eastAsia="zh-CN"/>
              </w:rPr>
            </w:pPr>
          </w:p>
        </w:tc>
        <w:tc>
          <w:tcPr>
            <w:tcW w:w="1215" w:type="dxa"/>
            <w:vAlign w:val="center"/>
          </w:tcPr>
          <w:p w14:paraId="1138018C">
            <w:pPr>
              <w:widowControl w:val="0"/>
              <w:jc w:val="center"/>
              <w:rPr>
                <w:rFonts w:hint="eastAsia" w:ascii="宋体" w:hAnsi="宋体" w:eastAsia="宋体" w:cs="宋体"/>
                <w:color w:val="auto"/>
                <w:highlight w:val="none"/>
                <w:vertAlign w:val="baseline"/>
                <w:lang w:val="en-US" w:eastAsia="zh-CN"/>
              </w:rPr>
            </w:pPr>
          </w:p>
        </w:tc>
        <w:tc>
          <w:tcPr>
            <w:tcW w:w="1176" w:type="dxa"/>
            <w:vAlign w:val="center"/>
          </w:tcPr>
          <w:p w14:paraId="4CA32857">
            <w:pPr>
              <w:widowControl w:val="0"/>
              <w:jc w:val="center"/>
              <w:rPr>
                <w:rFonts w:hint="eastAsia" w:ascii="宋体" w:hAnsi="宋体" w:eastAsia="宋体" w:cs="宋体"/>
                <w:color w:val="auto"/>
                <w:highlight w:val="none"/>
                <w:vertAlign w:val="baseline"/>
                <w:lang w:val="en-US" w:eastAsia="zh-CN"/>
              </w:rPr>
            </w:pPr>
          </w:p>
        </w:tc>
      </w:tr>
    </w:tbl>
    <w:p w14:paraId="4690C867">
      <w:pPr>
        <w:rPr>
          <w:rFonts w:hint="eastAsia" w:ascii="宋体" w:hAnsi="宋体" w:eastAsia="宋体" w:cs="宋体"/>
          <w:color w:val="auto"/>
          <w:highlight w:val="none"/>
          <w:lang w:val="en-US" w:eastAsia="zh-CN"/>
        </w:rPr>
      </w:pPr>
    </w:p>
    <w:p w14:paraId="3F22E3BC">
      <w:pPr>
        <w:keepNext w:val="0"/>
        <w:keepLines w:val="0"/>
        <w:widowControl/>
        <w:suppressLineNumbers w:val="0"/>
        <w:jc w:val="left"/>
        <w:rPr>
          <w:rFonts w:hint="eastAsia" w:ascii="宋体" w:hAnsi="宋体" w:eastAsia="宋体" w:cs="宋体"/>
          <w:color w:val="auto"/>
          <w:highlight w:val="none"/>
          <w:lang w:val="en-US" w:eastAsia="zh-CN"/>
        </w:rPr>
      </w:pPr>
      <w:r>
        <w:rPr>
          <w:rFonts w:hint="eastAsia" w:ascii="宋体" w:hAnsi="宋体" w:eastAsia="宋体" w:cs="宋体"/>
          <w:b/>
          <w:bCs/>
          <w:snapToGrid w:val="0"/>
          <w:color w:val="auto"/>
          <w:kern w:val="0"/>
          <w:sz w:val="24"/>
          <w:szCs w:val="24"/>
          <w:highlight w:val="none"/>
          <w:lang w:val="en-US" w:eastAsia="zh-CN" w:bidi="ar"/>
        </w:rPr>
        <w:t>备注：</w:t>
      </w:r>
    </w:p>
    <w:p w14:paraId="57F16B7F">
      <w:pPr>
        <w:keepNext w:val="0"/>
        <w:keepLines w:val="0"/>
        <w:widowControl/>
        <w:suppressLineNumbers w:val="0"/>
        <w:jc w:val="left"/>
        <w:rPr>
          <w:rFonts w:hint="eastAsia" w:ascii="宋体" w:hAnsi="宋体" w:eastAsia="宋体" w:cs="宋体"/>
          <w:color w:val="auto"/>
          <w:highlight w:val="none"/>
        </w:rPr>
      </w:pPr>
      <w:r>
        <w:rPr>
          <w:rFonts w:hint="eastAsia" w:ascii="宋体" w:hAnsi="宋体" w:eastAsia="宋体" w:cs="宋体"/>
          <w:b/>
          <w:bCs/>
          <w:snapToGrid w:val="0"/>
          <w:color w:val="auto"/>
          <w:kern w:val="0"/>
          <w:sz w:val="24"/>
          <w:szCs w:val="24"/>
          <w:highlight w:val="none"/>
          <w:lang w:val="en-US" w:eastAsia="zh-CN" w:bidi="ar"/>
        </w:rPr>
        <w:t xml:space="preserve">1、若投标产品配置清单中含第三方产品，请填写第三方品牌、型号、产地，以铭 </w:t>
      </w:r>
    </w:p>
    <w:p w14:paraId="671DBB59">
      <w:pPr>
        <w:keepNext w:val="0"/>
        <w:keepLines w:val="0"/>
        <w:widowControl/>
        <w:suppressLineNumbers w:val="0"/>
        <w:jc w:val="left"/>
        <w:rPr>
          <w:rFonts w:hint="eastAsia" w:ascii="宋体" w:hAnsi="宋体" w:eastAsia="宋体" w:cs="宋体"/>
          <w:color w:val="auto"/>
          <w:highlight w:val="none"/>
        </w:rPr>
      </w:pPr>
      <w:r>
        <w:rPr>
          <w:rFonts w:hint="eastAsia" w:ascii="宋体" w:hAnsi="宋体" w:eastAsia="宋体" w:cs="宋体"/>
          <w:b/>
          <w:bCs/>
          <w:snapToGrid w:val="0"/>
          <w:color w:val="auto"/>
          <w:kern w:val="0"/>
          <w:sz w:val="24"/>
          <w:szCs w:val="24"/>
          <w:highlight w:val="none"/>
          <w:lang w:val="en-US" w:eastAsia="zh-CN" w:bidi="ar"/>
        </w:rPr>
        <w:t xml:space="preserve">牌为准； </w:t>
      </w:r>
    </w:p>
    <w:p w14:paraId="71CBFEA7">
      <w:pPr>
        <w:keepNext w:val="0"/>
        <w:keepLines w:val="0"/>
        <w:widowControl/>
        <w:suppressLineNumbers w:val="0"/>
        <w:jc w:val="left"/>
        <w:rPr>
          <w:rFonts w:hint="eastAsia" w:ascii="宋体" w:hAnsi="宋体" w:eastAsia="宋体" w:cs="宋体"/>
          <w:color w:val="auto"/>
          <w:highlight w:val="none"/>
        </w:rPr>
      </w:pPr>
      <w:r>
        <w:rPr>
          <w:rFonts w:hint="eastAsia" w:ascii="宋体" w:hAnsi="宋体" w:eastAsia="宋体" w:cs="宋体"/>
          <w:b/>
          <w:bCs/>
          <w:snapToGrid w:val="0"/>
          <w:color w:val="auto"/>
          <w:kern w:val="0"/>
          <w:sz w:val="24"/>
          <w:szCs w:val="24"/>
          <w:highlight w:val="none"/>
          <w:lang w:val="en-US" w:eastAsia="zh-CN" w:bidi="ar"/>
        </w:rPr>
        <w:t xml:space="preserve">2、所投产品若有注册证，投标开标一览表中规格或型号、产地等信息若与注册证不一致，以投标产品注册证信息为准。 </w:t>
      </w:r>
    </w:p>
    <w:p w14:paraId="708C5B50">
      <w:pPr>
        <w:bidi w:val="0"/>
        <w:rPr>
          <w:rFonts w:hint="eastAsia" w:ascii="宋体" w:hAnsi="宋体" w:eastAsia="宋体" w:cs="宋体"/>
          <w:color w:val="auto"/>
          <w:highlight w:val="none"/>
          <w:lang w:val="en-US" w:eastAsia="zh-CN"/>
        </w:rPr>
      </w:pPr>
    </w:p>
    <w:p w14:paraId="1EA6A307">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 xml:space="preserve">法人代表或委托代理人（签字或盖章）： </w:t>
      </w:r>
      <w:r>
        <w:rPr>
          <w:rFonts w:hint="eastAsia" w:ascii="宋体" w:hAnsi="宋体" w:eastAsia="宋体" w:cs="宋体"/>
          <w:color w:val="auto"/>
          <w:kern w:val="0"/>
          <w:sz w:val="24"/>
          <w:highlight w:val="none"/>
          <w:u w:val="single"/>
        </w:rPr>
        <w:t xml:space="preserve">                </w:t>
      </w:r>
    </w:p>
    <w:p w14:paraId="3953BDEB">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37ADF8B1">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62480310">
      <w:pPr>
        <w:bidi w:val="0"/>
        <w:rPr>
          <w:rFonts w:hint="eastAsia" w:ascii="宋体" w:hAnsi="宋体" w:eastAsia="宋体" w:cs="宋体"/>
          <w:color w:val="auto"/>
          <w:highlight w:val="none"/>
          <w:lang w:val="en-US" w:eastAsia="zh-CN"/>
        </w:rPr>
      </w:pPr>
    </w:p>
    <w:p w14:paraId="57412C83">
      <w:pPr>
        <w:rPr>
          <w:rFonts w:hint="eastAsia" w:ascii="宋体" w:hAnsi="宋体" w:eastAsia="宋体" w:cs="宋体"/>
          <w:color w:val="auto"/>
          <w:sz w:val="24"/>
          <w:szCs w:val="24"/>
          <w:highlight w:val="none"/>
          <w:lang w:val="en-US" w:eastAsia="zh-CN"/>
        </w:rPr>
      </w:pPr>
    </w:p>
    <w:p w14:paraId="4D0AC012">
      <w:pPr>
        <w:bidi w:val="0"/>
        <w:rPr>
          <w:rFonts w:hint="eastAsia" w:ascii="宋体" w:hAnsi="宋体" w:eastAsia="宋体" w:cs="宋体"/>
          <w:color w:val="auto"/>
          <w:highlight w:val="none"/>
          <w:lang w:val="en-US" w:eastAsia="zh-CN"/>
        </w:rPr>
      </w:pPr>
    </w:p>
    <w:p w14:paraId="591F39DF">
      <w:pPr>
        <w:pStyle w:val="24"/>
        <w:rPr>
          <w:rFonts w:hint="eastAsia" w:ascii="宋体" w:hAnsi="宋体" w:eastAsia="宋体" w:cs="宋体"/>
          <w:color w:val="auto"/>
          <w:kern w:val="0"/>
          <w:sz w:val="24"/>
          <w:highlight w:val="none"/>
          <w:lang w:val="en-US" w:eastAsia="zh-CN"/>
        </w:rPr>
      </w:pPr>
    </w:p>
    <w:p w14:paraId="0C409640">
      <w:pPr>
        <w:pStyle w:val="24"/>
        <w:rPr>
          <w:rFonts w:hint="eastAsia" w:ascii="宋体" w:hAnsi="宋体" w:eastAsia="宋体" w:cs="宋体"/>
          <w:color w:val="auto"/>
          <w:kern w:val="0"/>
          <w:sz w:val="24"/>
          <w:highlight w:val="none"/>
          <w:lang w:val="en-US" w:eastAsia="zh-CN"/>
        </w:rPr>
      </w:pPr>
    </w:p>
    <w:p w14:paraId="1C9EAA97">
      <w:pPr>
        <w:pStyle w:val="24"/>
        <w:rPr>
          <w:rFonts w:hint="eastAsia" w:ascii="宋体" w:hAnsi="宋体" w:eastAsia="宋体" w:cs="宋体"/>
          <w:color w:val="auto"/>
          <w:kern w:val="0"/>
          <w:sz w:val="24"/>
          <w:highlight w:val="none"/>
          <w:lang w:val="en-US" w:eastAsia="zh-CN"/>
        </w:rPr>
      </w:pPr>
    </w:p>
    <w:p w14:paraId="21B00144">
      <w:pPr>
        <w:pStyle w:val="24"/>
        <w:rPr>
          <w:rFonts w:hint="eastAsia" w:ascii="宋体" w:hAnsi="宋体" w:eastAsia="宋体" w:cs="宋体"/>
          <w:color w:val="auto"/>
          <w:kern w:val="0"/>
          <w:sz w:val="24"/>
          <w:highlight w:val="none"/>
          <w:lang w:val="en-US" w:eastAsia="zh-CN"/>
        </w:rPr>
      </w:pPr>
    </w:p>
    <w:p w14:paraId="2A74BFB0">
      <w:pPr>
        <w:pStyle w:val="24"/>
        <w:rPr>
          <w:rFonts w:hint="eastAsia" w:ascii="宋体" w:hAnsi="宋体" w:eastAsia="宋体" w:cs="宋体"/>
          <w:color w:val="auto"/>
          <w:kern w:val="0"/>
          <w:sz w:val="24"/>
          <w:highlight w:val="none"/>
          <w:lang w:val="en-US" w:eastAsia="zh-CN"/>
        </w:rPr>
      </w:pPr>
    </w:p>
    <w:p w14:paraId="3EF3AB43">
      <w:pPr>
        <w:pStyle w:val="24"/>
        <w:rPr>
          <w:rFonts w:hint="eastAsia" w:ascii="宋体" w:hAnsi="宋体" w:eastAsia="宋体" w:cs="宋体"/>
          <w:color w:val="auto"/>
          <w:kern w:val="0"/>
          <w:sz w:val="24"/>
          <w:highlight w:val="none"/>
          <w:lang w:val="en-US" w:eastAsia="zh-CN"/>
        </w:rPr>
      </w:pPr>
    </w:p>
    <w:p w14:paraId="4AAC2649">
      <w:pPr>
        <w:pStyle w:val="24"/>
        <w:rPr>
          <w:rFonts w:hint="eastAsia" w:ascii="宋体" w:hAnsi="宋体" w:eastAsia="宋体" w:cs="宋体"/>
          <w:color w:val="auto"/>
          <w:kern w:val="0"/>
          <w:sz w:val="24"/>
          <w:highlight w:val="none"/>
          <w:lang w:val="en-US" w:eastAsia="zh-CN"/>
        </w:rPr>
      </w:pPr>
    </w:p>
    <w:p w14:paraId="5C2F6EBC">
      <w:pPr>
        <w:pStyle w:val="24"/>
        <w:rPr>
          <w:rFonts w:hint="eastAsia" w:ascii="宋体" w:hAnsi="宋体" w:eastAsia="宋体" w:cs="宋体"/>
          <w:color w:val="auto"/>
          <w:kern w:val="0"/>
          <w:sz w:val="24"/>
          <w:highlight w:val="none"/>
          <w:lang w:val="en-US" w:eastAsia="zh-CN"/>
        </w:rPr>
      </w:pPr>
    </w:p>
    <w:p w14:paraId="51FCD9D6">
      <w:pPr>
        <w:pStyle w:val="24"/>
        <w:rPr>
          <w:rFonts w:hint="eastAsia" w:ascii="宋体" w:hAnsi="宋体" w:eastAsia="宋体" w:cs="宋体"/>
          <w:color w:val="auto"/>
          <w:kern w:val="0"/>
          <w:sz w:val="24"/>
          <w:highlight w:val="none"/>
          <w:lang w:val="en-US" w:eastAsia="zh-CN"/>
        </w:rPr>
      </w:pPr>
    </w:p>
    <w:p w14:paraId="1E63C69E">
      <w:pPr>
        <w:pStyle w:val="24"/>
        <w:rPr>
          <w:rFonts w:hint="eastAsia" w:ascii="宋体" w:hAnsi="宋体" w:eastAsia="宋体" w:cs="宋体"/>
          <w:color w:val="auto"/>
          <w:kern w:val="0"/>
          <w:sz w:val="24"/>
          <w:highlight w:val="none"/>
          <w:lang w:val="en-US" w:eastAsia="zh-CN"/>
        </w:rPr>
      </w:pPr>
    </w:p>
    <w:p w14:paraId="14084F2D">
      <w:pPr>
        <w:pStyle w:val="24"/>
        <w:rPr>
          <w:rFonts w:hint="eastAsia" w:ascii="宋体" w:hAnsi="宋体" w:eastAsia="宋体" w:cs="宋体"/>
          <w:color w:val="auto"/>
          <w:kern w:val="0"/>
          <w:sz w:val="24"/>
          <w:highlight w:val="none"/>
          <w:lang w:val="en-US" w:eastAsia="zh-CN"/>
        </w:rPr>
      </w:pPr>
    </w:p>
    <w:p w14:paraId="5030750C">
      <w:pPr>
        <w:pStyle w:val="24"/>
        <w:jc w:val="center"/>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4.</w:t>
      </w:r>
      <w:r>
        <w:rPr>
          <w:rFonts w:hint="eastAsia" w:ascii="宋体" w:hAnsi="宋体" w:cs="宋体"/>
          <w:b/>
          <w:bCs/>
          <w:color w:val="auto"/>
          <w:kern w:val="2"/>
          <w:sz w:val="28"/>
          <w:szCs w:val="28"/>
          <w:highlight w:val="none"/>
          <w:lang w:val="en-US" w:eastAsia="zh-CN" w:bidi="ar-SA"/>
        </w:rPr>
        <w:t>4</w:t>
      </w:r>
      <w:r>
        <w:rPr>
          <w:rFonts w:hint="eastAsia" w:ascii="宋体" w:hAnsi="宋体" w:eastAsia="宋体" w:cs="宋体"/>
          <w:b/>
          <w:bCs/>
          <w:color w:val="auto"/>
          <w:kern w:val="2"/>
          <w:sz w:val="28"/>
          <w:szCs w:val="28"/>
          <w:highlight w:val="none"/>
          <w:lang w:val="en-US" w:eastAsia="zh-CN" w:bidi="ar-SA"/>
        </w:rPr>
        <w:t xml:space="preserve"> 质保期满后易损件、配件一览表（如有）</w:t>
      </w:r>
    </w:p>
    <w:p w14:paraId="366976F4">
      <w:pPr>
        <w:pStyle w:val="24"/>
        <w:rPr>
          <w:rFonts w:hint="eastAsia" w:ascii="宋体" w:hAnsi="宋体" w:eastAsia="宋体" w:cs="宋体"/>
          <w:color w:val="auto"/>
          <w:kern w:val="0"/>
          <w:sz w:val="24"/>
          <w:highlight w:val="none"/>
          <w:lang w:val="en-US" w:eastAsia="zh-CN"/>
        </w:rPr>
      </w:pP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5"/>
        <w:gridCol w:w="1946"/>
        <w:gridCol w:w="1306"/>
        <w:gridCol w:w="1306"/>
        <w:gridCol w:w="1339"/>
        <w:gridCol w:w="1306"/>
        <w:gridCol w:w="1306"/>
      </w:tblGrid>
      <w:tr w14:paraId="50E2F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516A41BE">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序号</w:t>
            </w:r>
          </w:p>
        </w:tc>
        <w:tc>
          <w:tcPr>
            <w:tcW w:w="1946" w:type="dxa"/>
            <w:vAlign w:val="center"/>
          </w:tcPr>
          <w:p w14:paraId="1506BE1A">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配件名称</w:t>
            </w:r>
          </w:p>
        </w:tc>
        <w:tc>
          <w:tcPr>
            <w:tcW w:w="1306" w:type="dxa"/>
            <w:vAlign w:val="center"/>
          </w:tcPr>
          <w:p w14:paraId="6270A4AB">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规格型号</w:t>
            </w:r>
          </w:p>
        </w:tc>
        <w:tc>
          <w:tcPr>
            <w:tcW w:w="1306" w:type="dxa"/>
            <w:vAlign w:val="center"/>
          </w:tcPr>
          <w:p w14:paraId="52395D0C">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单位</w:t>
            </w:r>
          </w:p>
        </w:tc>
        <w:tc>
          <w:tcPr>
            <w:tcW w:w="1339" w:type="dxa"/>
            <w:vAlign w:val="center"/>
          </w:tcPr>
          <w:p w14:paraId="567EFC44">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单价（元）</w:t>
            </w:r>
          </w:p>
        </w:tc>
        <w:tc>
          <w:tcPr>
            <w:tcW w:w="1306" w:type="dxa"/>
            <w:vAlign w:val="center"/>
          </w:tcPr>
          <w:p w14:paraId="2AAC2CFA">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产地</w:t>
            </w:r>
          </w:p>
        </w:tc>
        <w:tc>
          <w:tcPr>
            <w:tcW w:w="1306" w:type="dxa"/>
            <w:vAlign w:val="center"/>
          </w:tcPr>
          <w:p w14:paraId="1C1F947C">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生产企业</w:t>
            </w:r>
          </w:p>
        </w:tc>
      </w:tr>
      <w:tr w14:paraId="68831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7299AB04">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045DD210">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1775D235">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79742F46">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69D63A93">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1E839A5D">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5928B2AE">
            <w:pPr>
              <w:widowControl w:val="0"/>
              <w:jc w:val="center"/>
              <w:rPr>
                <w:rFonts w:hint="eastAsia" w:ascii="宋体" w:hAnsi="宋体" w:eastAsia="宋体" w:cs="宋体"/>
                <w:color w:val="auto"/>
                <w:sz w:val="24"/>
                <w:szCs w:val="24"/>
                <w:highlight w:val="none"/>
                <w:vertAlign w:val="baseline"/>
                <w:lang w:val="en-US" w:eastAsia="zh-CN"/>
              </w:rPr>
            </w:pPr>
          </w:p>
        </w:tc>
      </w:tr>
      <w:tr w14:paraId="01238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7EB9D0C1">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2004B7EE">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2D2A3AF1">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6241B5F7">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03210F93">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42564D19">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1C4CE146">
            <w:pPr>
              <w:widowControl w:val="0"/>
              <w:jc w:val="center"/>
              <w:rPr>
                <w:rFonts w:hint="eastAsia" w:ascii="宋体" w:hAnsi="宋体" w:eastAsia="宋体" w:cs="宋体"/>
                <w:color w:val="auto"/>
                <w:sz w:val="24"/>
                <w:szCs w:val="24"/>
                <w:highlight w:val="none"/>
                <w:vertAlign w:val="baseline"/>
                <w:lang w:val="en-US" w:eastAsia="zh-CN"/>
              </w:rPr>
            </w:pPr>
          </w:p>
        </w:tc>
      </w:tr>
      <w:tr w14:paraId="19966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022C7985">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3CDC713A">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703C7080">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656BA7F4">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5B64B6C5">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534B6F9B">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421A1313">
            <w:pPr>
              <w:widowControl w:val="0"/>
              <w:jc w:val="center"/>
              <w:rPr>
                <w:rFonts w:hint="eastAsia" w:ascii="宋体" w:hAnsi="宋体" w:eastAsia="宋体" w:cs="宋体"/>
                <w:color w:val="auto"/>
                <w:sz w:val="24"/>
                <w:szCs w:val="24"/>
                <w:highlight w:val="none"/>
                <w:vertAlign w:val="baseline"/>
                <w:lang w:val="en-US" w:eastAsia="zh-CN"/>
              </w:rPr>
            </w:pPr>
          </w:p>
        </w:tc>
      </w:tr>
      <w:tr w14:paraId="7F36D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293BFDCC">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40159A20">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57C87378">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11F86AFF">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40C380FF">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20CCF08E">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5EC386C9">
            <w:pPr>
              <w:widowControl w:val="0"/>
              <w:jc w:val="center"/>
              <w:rPr>
                <w:rFonts w:hint="eastAsia" w:ascii="宋体" w:hAnsi="宋体" w:eastAsia="宋体" w:cs="宋体"/>
                <w:color w:val="auto"/>
                <w:sz w:val="24"/>
                <w:szCs w:val="24"/>
                <w:highlight w:val="none"/>
                <w:vertAlign w:val="baseline"/>
                <w:lang w:val="en-US" w:eastAsia="zh-CN"/>
              </w:rPr>
            </w:pPr>
          </w:p>
        </w:tc>
      </w:tr>
      <w:tr w14:paraId="54B07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1D8B13A1">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6013EDF9">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2E696D71">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05F73604">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2546BEFF">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3E2DC407">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6C14623F">
            <w:pPr>
              <w:widowControl w:val="0"/>
              <w:jc w:val="center"/>
              <w:rPr>
                <w:rFonts w:hint="eastAsia" w:ascii="宋体" w:hAnsi="宋体" w:eastAsia="宋体" w:cs="宋体"/>
                <w:color w:val="auto"/>
                <w:sz w:val="24"/>
                <w:szCs w:val="24"/>
                <w:highlight w:val="none"/>
                <w:vertAlign w:val="baseline"/>
                <w:lang w:val="en-US" w:eastAsia="zh-CN"/>
              </w:rPr>
            </w:pPr>
          </w:p>
        </w:tc>
      </w:tr>
    </w:tbl>
    <w:p w14:paraId="6E4B61EB">
      <w:pPr>
        <w:rPr>
          <w:rFonts w:hint="eastAsia" w:ascii="宋体" w:hAnsi="宋体" w:eastAsia="宋体" w:cs="宋体"/>
          <w:color w:val="auto"/>
          <w:sz w:val="24"/>
          <w:szCs w:val="24"/>
          <w:highlight w:val="none"/>
          <w:lang w:val="en-US" w:eastAsia="zh-CN"/>
        </w:rPr>
      </w:pPr>
    </w:p>
    <w:p w14:paraId="0F50ACC9">
      <w:pPr>
        <w:bidi w:val="0"/>
        <w:rPr>
          <w:rFonts w:hint="eastAsia" w:ascii="宋体" w:hAnsi="宋体" w:eastAsia="宋体" w:cs="宋体"/>
          <w:color w:val="auto"/>
          <w:highlight w:val="none"/>
          <w:lang w:val="en-US" w:eastAsia="zh-CN"/>
        </w:rPr>
      </w:pPr>
    </w:p>
    <w:p w14:paraId="736807AE">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 xml:space="preserve">法人代表或委托代理人（签字或盖章）： </w:t>
      </w:r>
      <w:r>
        <w:rPr>
          <w:rFonts w:hint="eastAsia" w:ascii="宋体" w:hAnsi="宋体" w:eastAsia="宋体" w:cs="宋体"/>
          <w:color w:val="auto"/>
          <w:kern w:val="0"/>
          <w:sz w:val="24"/>
          <w:highlight w:val="none"/>
          <w:u w:val="single"/>
        </w:rPr>
        <w:t xml:space="preserve">                </w:t>
      </w:r>
    </w:p>
    <w:p w14:paraId="3711163E">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798618D9">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64E1A15E">
      <w:pPr>
        <w:pStyle w:val="24"/>
        <w:rPr>
          <w:rFonts w:hint="eastAsia" w:ascii="宋体" w:hAnsi="宋体" w:eastAsia="宋体" w:cs="宋体"/>
          <w:color w:val="auto"/>
          <w:kern w:val="0"/>
          <w:sz w:val="24"/>
          <w:highlight w:val="none"/>
          <w:lang w:val="en-US" w:eastAsia="zh-CN"/>
        </w:rPr>
      </w:pPr>
    </w:p>
    <w:p w14:paraId="1C27DB87">
      <w:pPr>
        <w:pStyle w:val="24"/>
        <w:rPr>
          <w:rFonts w:hint="eastAsia" w:ascii="宋体" w:hAnsi="宋体" w:eastAsia="宋体" w:cs="宋体"/>
          <w:color w:val="auto"/>
          <w:kern w:val="0"/>
          <w:sz w:val="24"/>
          <w:highlight w:val="none"/>
          <w:lang w:val="en-US" w:eastAsia="zh-CN"/>
        </w:rPr>
      </w:pPr>
    </w:p>
    <w:p w14:paraId="43E68354">
      <w:pPr>
        <w:pStyle w:val="24"/>
        <w:rPr>
          <w:rFonts w:hint="eastAsia" w:ascii="宋体" w:hAnsi="宋体" w:eastAsia="宋体" w:cs="宋体"/>
          <w:color w:val="auto"/>
          <w:kern w:val="0"/>
          <w:sz w:val="24"/>
          <w:highlight w:val="none"/>
          <w:lang w:val="en-US" w:eastAsia="zh-CN"/>
        </w:rPr>
      </w:pPr>
    </w:p>
    <w:p w14:paraId="0647EFB8">
      <w:pPr>
        <w:pStyle w:val="24"/>
        <w:rPr>
          <w:rFonts w:hint="eastAsia" w:ascii="宋体" w:hAnsi="宋体" w:eastAsia="宋体" w:cs="宋体"/>
          <w:color w:val="auto"/>
          <w:kern w:val="0"/>
          <w:sz w:val="24"/>
          <w:highlight w:val="none"/>
          <w:lang w:val="en-US" w:eastAsia="zh-CN"/>
        </w:rPr>
      </w:pPr>
    </w:p>
    <w:p w14:paraId="5A5A959A">
      <w:pPr>
        <w:pStyle w:val="24"/>
        <w:rPr>
          <w:rFonts w:hint="eastAsia" w:ascii="宋体" w:hAnsi="宋体" w:eastAsia="宋体" w:cs="宋体"/>
          <w:color w:val="auto"/>
          <w:kern w:val="0"/>
          <w:sz w:val="24"/>
          <w:highlight w:val="none"/>
          <w:lang w:val="en-US" w:eastAsia="zh-CN"/>
        </w:rPr>
      </w:pPr>
    </w:p>
    <w:p w14:paraId="650115AD">
      <w:pPr>
        <w:pStyle w:val="24"/>
        <w:rPr>
          <w:rFonts w:hint="eastAsia" w:ascii="宋体" w:hAnsi="宋体" w:eastAsia="宋体" w:cs="宋体"/>
          <w:color w:val="auto"/>
          <w:kern w:val="0"/>
          <w:sz w:val="24"/>
          <w:highlight w:val="none"/>
          <w:lang w:val="en-US" w:eastAsia="zh-CN"/>
        </w:rPr>
      </w:pPr>
    </w:p>
    <w:p w14:paraId="4A359505">
      <w:pPr>
        <w:pStyle w:val="24"/>
        <w:rPr>
          <w:rFonts w:hint="eastAsia" w:ascii="宋体" w:hAnsi="宋体" w:eastAsia="宋体" w:cs="宋体"/>
          <w:color w:val="auto"/>
          <w:kern w:val="0"/>
          <w:sz w:val="24"/>
          <w:highlight w:val="none"/>
          <w:lang w:val="en-US" w:eastAsia="zh-CN"/>
        </w:rPr>
      </w:pPr>
    </w:p>
    <w:p w14:paraId="40B7289D">
      <w:pPr>
        <w:pStyle w:val="24"/>
        <w:rPr>
          <w:rFonts w:hint="eastAsia" w:ascii="宋体" w:hAnsi="宋体" w:eastAsia="宋体" w:cs="宋体"/>
          <w:color w:val="auto"/>
          <w:kern w:val="0"/>
          <w:sz w:val="24"/>
          <w:highlight w:val="none"/>
          <w:lang w:val="en-US" w:eastAsia="zh-CN"/>
        </w:rPr>
      </w:pPr>
    </w:p>
    <w:p w14:paraId="1B505EE5">
      <w:pPr>
        <w:pStyle w:val="24"/>
        <w:rPr>
          <w:rFonts w:hint="eastAsia" w:ascii="宋体" w:hAnsi="宋体" w:eastAsia="宋体" w:cs="宋体"/>
          <w:color w:val="auto"/>
          <w:kern w:val="0"/>
          <w:sz w:val="24"/>
          <w:highlight w:val="none"/>
          <w:lang w:val="en-US" w:eastAsia="zh-CN"/>
        </w:rPr>
      </w:pPr>
    </w:p>
    <w:p w14:paraId="4CA18EFC">
      <w:pPr>
        <w:pStyle w:val="24"/>
        <w:rPr>
          <w:rFonts w:hint="eastAsia" w:ascii="宋体" w:hAnsi="宋体" w:eastAsia="宋体" w:cs="宋体"/>
          <w:color w:val="auto"/>
          <w:kern w:val="0"/>
          <w:sz w:val="24"/>
          <w:highlight w:val="none"/>
          <w:lang w:val="en-US" w:eastAsia="zh-CN"/>
        </w:rPr>
      </w:pPr>
    </w:p>
    <w:p w14:paraId="56E07BAF">
      <w:pPr>
        <w:pStyle w:val="24"/>
        <w:rPr>
          <w:rFonts w:hint="eastAsia" w:ascii="宋体" w:hAnsi="宋体" w:eastAsia="宋体" w:cs="宋体"/>
          <w:color w:val="auto"/>
          <w:kern w:val="0"/>
          <w:sz w:val="24"/>
          <w:highlight w:val="none"/>
          <w:lang w:val="en-US" w:eastAsia="zh-CN"/>
        </w:rPr>
      </w:pPr>
    </w:p>
    <w:p w14:paraId="38E426CC">
      <w:pPr>
        <w:pStyle w:val="24"/>
        <w:rPr>
          <w:rFonts w:hint="eastAsia" w:ascii="宋体" w:hAnsi="宋体" w:eastAsia="宋体" w:cs="宋体"/>
          <w:color w:val="auto"/>
          <w:kern w:val="0"/>
          <w:sz w:val="24"/>
          <w:highlight w:val="none"/>
          <w:lang w:val="en-US" w:eastAsia="zh-CN"/>
        </w:rPr>
      </w:pPr>
    </w:p>
    <w:p w14:paraId="03EB9A28">
      <w:pPr>
        <w:pStyle w:val="24"/>
        <w:rPr>
          <w:rFonts w:hint="eastAsia" w:ascii="宋体" w:hAnsi="宋体" w:eastAsia="宋体" w:cs="宋体"/>
          <w:color w:val="auto"/>
          <w:kern w:val="0"/>
          <w:sz w:val="24"/>
          <w:highlight w:val="none"/>
          <w:lang w:val="en-US" w:eastAsia="zh-CN"/>
        </w:rPr>
      </w:pPr>
    </w:p>
    <w:p w14:paraId="2424AE27">
      <w:pPr>
        <w:pStyle w:val="24"/>
        <w:rPr>
          <w:rFonts w:hint="eastAsia" w:ascii="宋体" w:hAnsi="宋体" w:eastAsia="宋体" w:cs="宋体"/>
          <w:color w:val="auto"/>
          <w:kern w:val="0"/>
          <w:sz w:val="24"/>
          <w:highlight w:val="none"/>
          <w:lang w:val="en-US" w:eastAsia="zh-CN"/>
        </w:rPr>
      </w:pPr>
    </w:p>
    <w:p w14:paraId="6DE512C9">
      <w:pPr>
        <w:pStyle w:val="24"/>
        <w:rPr>
          <w:rFonts w:hint="eastAsia" w:ascii="宋体" w:hAnsi="宋体" w:eastAsia="宋体" w:cs="宋体"/>
          <w:color w:val="auto"/>
          <w:kern w:val="0"/>
          <w:sz w:val="24"/>
          <w:highlight w:val="none"/>
          <w:lang w:val="en-US" w:eastAsia="zh-CN"/>
        </w:rPr>
      </w:pPr>
    </w:p>
    <w:p w14:paraId="568848E2">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附件5         </w:t>
      </w:r>
      <w:bookmarkEnd w:id="107"/>
      <w:bookmarkEnd w:id="108"/>
      <w:r>
        <w:rPr>
          <w:rFonts w:hint="eastAsia" w:ascii="宋体" w:hAnsi="宋体" w:eastAsia="宋体" w:cs="宋体"/>
          <w:color w:val="auto"/>
          <w:sz w:val="28"/>
          <w:szCs w:val="28"/>
          <w:highlight w:val="none"/>
          <w:lang w:val="en-US" w:eastAsia="zh-CN"/>
        </w:rPr>
        <w:t xml:space="preserve">  技术响应表（格式）</w:t>
      </w:r>
    </w:p>
    <w:tbl>
      <w:tblPr>
        <w:tblStyle w:val="91"/>
        <w:tblW w:w="9329"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72"/>
        <w:gridCol w:w="1837"/>
        <w:gridCol w:w="2160"/>
        <w:gridCol w:w="2205"/>
        <w:gridCol w:w="1425"/>
        <w:gridCol w:w="930"/>
      </w:tblGrid>
      <w:tr w14:paraId="58FB19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34" w:hRule="atLeast"/>
        </w:trPr>
        <w:tc>
          <w:tcPr>
            <w:tcW w:w="772" w:type="dxa"/>
            <w:noWrap w:val="0"/>
            <w:vAlign w:val="center"/>
          </w:tcPr>
          <w:p w14:paraId="6640C7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837" w:type="dxa"/>
            <w:noWrap w:val="0"/>
            <w:vAlign w:val="center"/>
          </w:tcPr>
          <w:p w14:paraId="4E1282E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货物名称</w:t>
            </w:r>
          </w:p>
        </w:tc>
        <w:tc>
          <w:tcPr>
            <w:tcW w:w="2160" w:type="dxa"/>
            <w:noWrap w:val="0"/>
            <w:vAlign w:val="center"/>
          </w:tcPr>
          <w:p w14:paraId="2CADDFB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磋商</w:t>
            </w:r>
            <w:r>
              <w:rPr>
                <w:rFonts w:hint="eastAsia" w:ascii="宋体" w:hAnsi="宋体" w:eastAsia="宋体" w:cs="宋体"/>
                <w:color w:val="auto"/>
                <w:sz w:val="21"/>
                <w:szCs w:val="21"/>
                <w:highlight w:val="none"/>
              </w:rPr>
              <w:t>文件要求</w:t>
            </w:r>
          </w:p>
        </w:tc>
        <w:tc>
          <w:tcPr>
            <w:tcW w:w="2205" w:type="dxa"/>
            <w:noWrap w:val="0"/>
            <w:vAlign w:val="center"/>
          </w:tcPr>
          <w:p w14:paraId="64D1EF6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文件响应</w:t>
            </w:r>
          </w:p>
        </w:tc>
        <w:tc>
          <w:tcPr>
            <w:tcW w:w="1425" w:type="dxa"/>
            <w:noWrap w:val="0"/>
            <w:vAlign w:val="center"/>
          </w:tcPr>
          <w:p w14:paraId="0239E58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偏离情况</w:t>
            </w:r>
          </w:p>
        </w:tc>
        <w:tc>
          <w:tcPr>
            <w:tcW w:w="930" w:type="dxa"/>
            <w:noWrap w:val="0"/>
            <w:vAlign w:val="center"/>
          </w:tcPr>
          <w:p w14:paraId="0737D61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备注</w:t>
            </w:r>
          </w:p>
        </w:tc>
      </w:tr>
      <w:tr w14:paraId="3FF7F1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7" w:hRule="atLeast"/>
        </w:trPr>
        <w:tc>
          <w:tcPr>
            <w:tcW w:w="772" w:type="dxa"/>
            <w:noWrap w:val="0"/>
            <w:vAlign w:val="center"/>
          </w:tcPr>
          <w:p w14:paraId="7EAE5FC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837" w:type="dxa"/>
            <w:noWrap w:val="0"/>
            <w:vAlign w:val="center"/>
          </w:tcPr>
          <w:p w14:paraId="4AECB74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60" w:type="dxa"/>
            <w:noWrap w:val="0"/>
            <w:vAlign w:val="center"/>
          </w:tcPr>
          <w:p w14:paraId="0A83EAE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05" w:type="dxa"/>
            <w:noWrap w:val="0"/>
            <w:vAlign w:val="center"/>
          </w:tcPr>
          <w:p w14:paraId="6308173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25" w:type="dxa"/>
            <w:noWrap w:val="0"/>
            <w:vAlign w:val="center"/>
          </w:tcPr>
          <w:p w14:paraId="0321D34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30" w:type="dxa"/>
            <w:noWrap w:val="0"/>
            <w:vAlign w:val="center"/>
          </w:tcPr>
          <w:p w14:paraId="1EC9202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245C65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7" w:hRule="atLeast"/>
        </w:trPr>
        <w:tc>
          <w:tcPr>
            <w:tcW w:w="772" w:type="dxa"/>
            <w:noWrap w:val="0"/>
            <w:vAlign w:val="center"/>
          </w:tcPr>
          <w:p w14:paraId="6320EBC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837" w:type="dxa"/>
            <w:noWrap w:val="0"/>
            <w:vAlign w:val="center"/>
          </w:tcPr>
          <w:p w14:paraId="6D2286C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60" w:type="dxa"/>
            <w:noWrap w:val="0"/>
            <w:vAlign w:val="center"/>
          </w:tcPr>
          <w:p w14:paraId="23FCEEA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05" w:type="dxa"/>
            <w:noWrap w:val="0"/>
            <w:vAlign w:val="center"/>
          </w:tcPr>
          <w:p w14:paraId="3F06F6D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25" w:type="dxa"/>
            <w:noWrap w:val="0"/>
            <w:vAlign w:val="center"/>
          </w:tcPr>
          <w:p w14:paraId="76A6988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30" w:type="dxa"/>
            <w:noWrap w:val="0"/>
            <w:vAlign w:val="center"/>
          </w:tcPr>
          <w:p w14:paraId="423C197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C657E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5" w:hRule="atLeast"/>
        </w:trPr>
        <w:tc>
          <w:tcPr>
            <w:tcW w:w="772" w:type="dxa"/>
            <w:noWrap w:val="0"/>
            <w:vAlign w:val="center"/>
          </w:tcPr>
          <w:p w14:paraId="6191A7F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837" w:type="dxa"/>
            <w:noWrap w:val="0"/>
            <w:vAlign w:val="center"/>
          </w:tcPr>
          <w:p w14:paraId="3C39ED8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60" w:type="dxa"/>
            <w:noWrap w:val="0"/>
            <w:vAlign w:val="center"/>
          </w:tcPr>
          <w:p w14:paraId="4FF96ED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05" w:type="dxa"/>
            <w:noWrap w:val="0"/>
            <w:vAlign w:val="center"/>
          </w:tcPr>
          <w:p w14:paraId="1873EC3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25" w:type="dxa"/>
            <w:noWrap w:val="0"/>
            <w:vAlign w:val="center"/>
          </w:tcPr>
          <w:p w14:paraId="6F8C606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30" w:type="dxa"/>
            <w:noWrap w:val="0"/>
            <w:vAlign w:val="center"/>
          </w:tcPr>
          <w:p w14:paraId="49A10E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42FF9128">
      <w:pPr>
        <w:widowControl/>
        <w:wordWrap w:val="0"/>
        <w:spacing w:line="460" w:lineRule="exact"/>
        <w:ind w:firstLine="422" w:firstLineChars="200"/>
        <w:jc w:val="left"/>
        <w:rPr>
          <w:rFonts w:hint="eastAsia" w:ascii="宋体" w:hAnsi="宋体" w:eastAsia="宋体" w:cs="宋体"/>
          <w:b/>
          <w:color w:val="auto"/>
          <w:kern w:val="0"/>
          <w:sz w:val="21"/>
          <w:szCs w:val="21"/>
          <w:highlight w:val="none"/>
          <w:lang w:val="en-US" w:eastAsia="zh-CN"/>
        </w:rPr>
      </w:pPr>
    </w:p>
    <w:p w14:paraId="6CF19DC9">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注：供应商必须如实完整填写表格，“偏离情况”是指“正偏离”、“负偏离”或“无偏离”。</w:t>
      </w:r>
    </w:p>
    <w:p w14:paraId="75C7CAD4">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p>
    <w:p w14:paraId="253A2AFC">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379247D3">
      <w:pPr>
        <w:pageBreakBefore w:val="0"/>
        <w:widowControl/>
        <w:wordWrap/>
        <w:overflowPunct/>
        <w:topLinePunct w:val="0"/>
        <w:bidi w:val="0"/>
        <w:spacing w:line="360" w:lineRule="auto"/>
        <w:ind w:firstLine="2100" w:firstLineChars="10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2C0005D5">
      <w:pPr>
        <w:widowControl/>
        <w:wordWrap w:val="0"/>
        <w:spacing w:line="460" w:lineRule="exact"/>
        <w:ind w:firstLine="3570" w:firstLineChars="1700"/>
        <w:jc w:val="left"/>
        <w:rPr>
          <w:rFonts w:hint="eastAsia" w:ascii="宋体" w:hAnsi="宋体" w:eastAsia="宋体" w:cs="宋体"/>
          <w:b/>
          <w:color w:val="auto"/>
          <w:kern w:val="0"/>
          <w:sz w:val="32"/>
          <w:szCs w:val="32"/>
          <w:highlight w:val="none"/>
          <w:lang w:val="en-US" w:eastAsia="zh-CN"/>
        </w:rPr>
      </w:pPr>
      <w:r>
        <w:rPr>
          <w:rFonts w:hint="eastAsia" w:ascii="宋体" w:hAnsi="宋体" w:eastAsia="宋体" w:cs="宋体"/>
          <w:color w:val="auto"/>
          <w:sz w:val="21"/>
          <w:szCs w:val="21"/>
          <w:highlight w:val="none"/>
        </w:rPr>
        <w:t>年    月    日</w:t>
      </w:r>
    </w:p>
    <w:p w14:paraId="0E8A4B7C">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39AF219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543AA529">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EFDFB9A">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26D09C0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79BF405">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p>
    <w:p w14:paraId="65FC5306">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78CC3539">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sectPr>
          <w:pgSz w:w="11906" w:h="16838"/>
          <w:pgMar w:top="1417" w:right="1474" w:bottom="1417" w:left="1474" w:header="851" w:footer="624" w:gutter="0"/>
          <w:pgNumType w:fmt="decimal"/>
          <w:cols w:space="720" w:num="1"/>
          <w:docGrid w:type="lines" w:linePitch="319" w:charSpace="0"/>
        </w:sectPr>
      </w:pPr>
      <w:bookmarkStart w:id="124" w:name="_Toc24168"/>
      <w:bookmarkStart w:id="125" w:name="_Toc29960"/>
      <w:bookmarkStart w:id="126" w:name="_Toc20420"/>
    </w:p>
    <w:p w14:paraId="3C754F10">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附件6            商务响应</w:t>
      </w:r>
      <w:bookmarkEnd w:id="124"/>
      <w:bookmarkEnd w:id="125"/>
      <w:bookmarkEnd w:id="126"/>
      <w:r>
        <w:rPr>
          <w:rFonts w:hint="eastAsia" w:ascii="宋体" w:hAnsi="宋体" w:eastAsia="宋体" w:cs="宋体"/>
          <w:color w:val="auto"/>
          <w:sz w:val="28"/>
          <w:szCs w:val="28"/>
          <w:highlight w:val="none"/>
          <w:lang w:val="en-US" w:eastAsia="zh-CN"/>
        </w:rPr>
        <w:t>表（格式）</w:t>
      </w:r>
    </w:p>
    <w:tbl>
      <w:tblPr>
        <w:tblStyle w:val="91"/>
        <w:tblW w:w="903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62"/>
        <w:gridCol w:w="1620"/>
        <w:gridCol w:w="2480"/>
        <w:gridCol w:w="1798"/>
        <w:gridCol w:w="1189"/>
        <w:gridCol w:w="1189"/>
      </w:tblGrid>
      <w:tr w14:paraId="6427C6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10" w:hRule="atLeast"/>
          <w:jc w:val="center"/>
        </w:trPr>
        <w:tc>
          <w:tcPr>
            <w:tcW w:w="762" w:type="dxa"/>
            <w:noWrap w:val="0"/>
            <w:vAlign w:val="center"/>
          </w:tcPr>
          <w:p w14:paraId="61F6BA1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序号</w:t>
            </w:r>
          </w:p>
        </w:tc>
        <w:tc>
          <w:tcPr>
            <w:tcW w:w="1620" w:type="dxa"/>
            <w:noWrap w:val="0"/>
            <w:vAlign w:val="center"/>
          </w:tcPr>
          <w:p w14:paraId="6BDFE63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项目</w:t>
            </w:r>
          </w:p>
        </w:tc>
        <w:tc>
          <w:tcPr>
            <w:tcW w:w="2480" w:type="dxa"/>
            <w:noWrap w:val="0"/>
            <w:vAlign w:val="center"/>
          </w:tcPr>
          <w:p w14:paraId="6901D1B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磋商文件要求</w:t>
            </w:r>
          </w:p>
        </w:tc>
        <w:tc>
          <w:tcPr>
            <w:tcW w:w="1798" w:type="dxa"/>
            <w:noWrap w:val="0"/>
            <w:vAlign w:val="center"/>
          </w:tcPr>
          <w:p w14:paraId="7F9203F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响应文件响应</w:t>
            </w:r>
          </w:p>
        </w:tc>
        <w:tc>
          <w:tcPr>
            <w:tcW w:w="1189" w:type="dxa"/>
            <w:noWrap w:val="0"/>
            <w:vAlign w:val="center"/>
          </w:tcPr>
          <w:p w14:paraId="1CBA3AA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偏离情况</w:t>
            </w:r>
          </w:p>
        </w:tc>
        <w:tc>
          <w:tcPr>
            <w:tcW w:w="1189" w:type="dxa"/>
            <w:noWrap w:val="0"/>
            <w:vAlign w:val="center"/>
          </w:tcPr>
          <w:p w14:paraId="1363C87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备注</w:t>
            </w:r>
          </w:p>
        </w:tc>
      </w:tr>
      <w:tr w14:paraId="0693B8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6" w:hRule="atLeast"/>
          <w:jc w:val="center"/>
        </w:trPr>
        <w:tc>
          <w:tcPr>
            <w:tcW w:w="762" w:type="dxa"/>
            <w:noWrap w:val="0"/>
            <w:vAlign w:val="center"/>
          </w:tcPr>
          <w:p w14:paraId="773DDB0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1620" w:type="dxa"/>
            <w:noWrap w:val="0"/>
            <w:vAlign w:val="center"/>
          </w:tcPr>
          <w:p w14:paraId="6DC2849E">
            <w:pPr>
              <w:pStyle w:val="15"/>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交货期</w:t>
            </w:r>
          </w:p>
        </w:tc>
        <w:tc>
          <w:tcPr>
            <w:tcW w:w="2480" w:type="dxa"/>
            <w:noWrap w:val="0"/>
            <w:vAlign w:val="center"/>
          </w:tcPr>
          <w:p w14:paraId="0A5D398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798" w:type="dxa"/>
            <w:noWrap w:val="0"/>
            <w:vAlign w:val="center"/>
          </w:tcPr>
          <w:p w14:paraId="7D8081B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4976CC4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1326A35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0E0752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6" w:hRule="atLeast"/>
          <w:jc w:val="center"/>
        </w:trPr>
        <w:tc>
          <w:tcPr>
            <w:tcW w:w="762" w:type="dxa"/>
            <w:noWrap w:val="0"/>
            <w:vAlign w:val="center"/>
          </w:tcPr>
          <w:p w14:paraId="5047EF55">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w:t>
            </w:r>
          </w:p>
        </w:tc>
        <w:tc>
          <w:tcPr>
            <w:tcW w:w="1620" w:type="dxa"/>
            <w:noWrap w:val="0"/>
            <w:vAlign w:val="center"/>
          </w:tcPr>
          <w:p w14:paraId="48FDEF02">
            <w:pPr>
              <w:pStyle w:val="15"/>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供货期</w:t>
            </w:r>
          </w:p>
        </w:tc>
        <w:tc>
          <w:tcPr>
            <w:tcW w:w="2480" w:type="dxa"/>
            <w:noWrap w:val="0"/>
            <w:vAlign w:val="center"/>
          </w:tcPr>
          <w:p w14:paraId="08E1C40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798" w:type="dxa"/>
            <w:noWrap w:val="0"/>
            <w:vAlign w:val="center"/>
          </w:tcPr>
          <w:p w14:paraId="58D0280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44F5EA2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2AF7373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1600CD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6" w:hRule="atLeast"/>
          <w:jc w:val="center"/>
        </w:trPr>
        <w:tc>
          <w:tcPr>
            <w:tcW w:w="762" w:type="dxa"/>
            <w:noWrap w:val="0"/>
            <w:vAlign w:val="center"/>
          </w:tcPr>
          <w:p w14:paraId="40B5BCD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p>
        </w:tc>
        <w:tc>
          <w:tcPr>
            <w:tcW w:w="1620" w:type="dxa"/>
            <w:noWrap w:val="0"/>
            <w:vAlign w:val="center"/>
          </w:tcPr>
          <w:p w14:paraId="0472149B">
            <w:pPr>
              <w:pStyle w:val="15"/>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质保期</w:t>
            </w:r>
          </w:p>
        </w:tc>
        <w:tc>
          <w:tcPr>
            <w:tcW w:w="2480" w:type="dxa"/>
            <w:noWrap w:val="0"/>
            <w:vAlign w:val="center"/>
          </w:tcPr>
          <w:p w14:paraId="5F502A7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798" w:type="dxa"/>
            <w:noWrap w:val="0"/>
            <w:vAlign w:val="center"/>
          </w:tcPr>
          <w:p w14:paraId="1E3F5F6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1C39E35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57F48B4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2922B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6" w:hRule="atLeast"/>
          <w:jc w:val="center"/>
        </w:trPr>
        <w:tc>
          <w:tcPr>
            <w:tcW w:w="762" w:type="dxa"/>
            <w:noWrap w:val="0"/>
            <w:vAlign w:val="center"/>
          </w:tcPr>
          <w:p w14:paraId="0BED208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w:t>
            </w:r>
          </w:p>
        </w:tc>
        <w:tc>
          <w:tcPr>
            <w:tcW w:w="1620" w:type="dxa"/>
            <w:noWrap w:val="0"/>
            <w:vAlign w:val="center"/>
          </w:tcPr>
          <w:p w14:paraId="50BB9001">
            <w:pPr>
              <w:pStyle w:val="15"/>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质量要求</w:t>
            </w:r>
          </w:p>
        </w:tc>
        <w:tc>
          <w:tcPr>
            <w:tcW w:w="2480" w:type="dxa"/>
            <w:noWrap w:val="0"/>
            <w:vAlign w:val="center"/>
          </w:tcPr>
          <w:p w14:paraId="64F15DE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798" w:type="dxa"/>
            <w:noWrap w:val="0"/>
            <w:vAlign w:val="center"/>
          </w:tcPr>
          <w:p w14:paraId="24613C4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7EDDF4D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5F8A754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601392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6" w:hRule="atLeast"/>
          <w:jc w:val="center"/>
        </w:trPr>
        <w:tc>
          <w:tcPr>
            <w:tcW w:w="762" w:type="dxa"/>
            <w:noWrap w:val="0"/>
            <w:vAlign w:val="center"/>
          </w:tcPr>
          <w:p w14:paraId="731D51C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5</w:t>
            </w:r>
          </w:p>
        </w:tc>
        <w:tc>
          <w:tcPr>
            <w:tcW w:w="1620" w:type="dxa"/>
            <w:noWrap w:val="0"/>
            <w:vAlign w:val="center"/>
          </w:tcPr>
          <w:p w14:paraId="6182A3E4">
            <w:pPr>
              <w:pStyle w:val="15"/>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付款方式</w:t>
            </w:r>
          </w:p>
        </w:tc>
        <w:tc>
          <w:tcPr>
            <w:tcW w:w="2480" w:type="dxa"/>
            <w:noWrap w:val="0"/>
            <w:vAlign w:val="center"/>
          </w:tcPr>
          <w:p w14:paraId="1528A1C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798" w:type="dxa"/>
            <w:noWrap w:val="0"/>
            <w:vAlign w:val="center"/>
          </w:tcPr>
          <w:p w14:paraId="5DB0D74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6C487E0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522D878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734848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6" w:hRule="atLeast"/>
          <w:jc w:val="center"/>
        </w:trPr>
        <w:tc>
          <w:tcPr>
            <w:tcW w:w="762" w:type="dxa"/>
            <w:noWrap w:val="0"/>
            <w:vAlign w:val="center"/>
          </w:tcPr>
          <w:p w14:paraId="15D97B2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6</w:t>
            </w:r>
          </w:p>
        </w:tc>
        <w:tc>
          <w:tcPr>
            <w:tcW w:w="1620" w:type="dxa"/>
            <w:noWrap w:val="0"/>
            <w:vAlign w:val="center"/>
          </w:tcPr>
          <w:p w14:paraId="5C43BD33">
            <w:pPr>
              <w:pStyle w:val="15"/>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交货地点</w:t>
            </w:r>
          </w:p>
        </w:tc>
        <w:tc>
          <w:tcPr>
            <w:tcW w:w="2480" w:type="dxa"/>
            <w:noWrap w:val="0"/>
            <w:vAlign w:val="center"/>
          </w:tcPr>
          <w:p w14:paraId="4086A1D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798" w:type="dxa"/>
            <w:noWrap w:val="0"/>
            <w:vAlign w:val="center"/>
          </w:tcPr>
          <w:p w14:paraId="7183FC5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3567DCA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53F3F08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197518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6" w:hRule="atLeast"/>
          <w:jc w:val="center"/>
        </w:trPr>
        <w:tc>
          <w:tcPr>
            <w:tcW w:w="762" w:type="dxa"/>
            <w:noWrap w:val="0"/>
            <w:vAlign w:val="center"/>
          </w:tcPr>
          <w:p w14:paraId="275E98F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7</w:t>
            </w:r>
          </w:p>
        </w:tc>
        <w:tc>
          <w:tcPr>
            <w:tcW w:w="1620" w:type="dxa"/>
            <w:noWrap w:val="0"/>
            <w:vAlign w:val="center"/>
          </w:tcPr>
          <w:p w14:paraId="1177F86E">
            <w:pPr>
              <w:pStyle w:val="15"/>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合同签订时间</w:t>
            </w:r>
          </w:p>
        </w:tc>
        <w:tc>
          <w:tcPr>
            <w:tcW w:w="2480" w:type="dxa"/>
            <w:noWrap w:val="0"/>
            <w:vAlign w:val="center"/>
          </w:tcPr>
          <w:p w14:paraId="3B2C6F9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798" w:type="dxa"/>
            <w:noWrap w:val="0"/>
            <w:vAlign w:val="center"/>
          </w:tcPr>
          <w:p w14:paraId="11AD574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7C93279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76C64AD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115FB3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6" w:hRule="atLeast"/>
          <w:jc w:val="center"/>
        </w:trPr>
        <w:tc>
          <w:tcPr>
            <w:tcW w:w="762" w:type="dxa"/>
            <w:noWrap w:val="0"/>
            <w:vAlign w:val="center"/>
          </w:tcPr>
          <w:p w14:paraId="341BA32A">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8</w:t>
            </w:r>
          </w:p>
        </w:tc>
        <w:tc>
          <w:tcPr>
            <w:tcW w:w="1620" w:type="dxa"/>
            <w:noWrap w:val="0"/>
            <w:vAlign w:val="center"/>
          </w:tcPr>
          <w:p w14:paraId="6917781E">
            <w:pPr>
              <w:pStyle w:val="15"/>
              <w:ind w:left="0" w:leftChars="0"/>
              <w:jc w:val="center"/>
              <w:rPr>
                <w:rFonts w:hint="default"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售后服务</w:t>
            </w:r>
          </w:p>
        </w:tc>
        <w:tc>
          <w:tcPr>
            <w:tcW w:w="2480" w:type="dxa"/>
            <w:noWrap w:val="0"/>
            <w:vAlign w:val="center"/>
          </w:tcPr>
          <w:p w14:paraId="41DA6BA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798" w:type="dxa"/>
            <w:noWrap w:val="0"/>
            <w:vAlign w:val="center"/>
          </w:tcPr>
          <w:p w14:paraId="07F85E1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2A12936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56BA527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76A4A7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6" w:hRule="atLeast"/>
          <w:jc w:val="center"/>
        </w:trPr>
        <w:tc>
          <w:tcPr>
            <w:tcW w:w="762" w:type="dxa"/>
            <w:noWrap w:val="0"/>
            <w:vAlign w:val="center"/>
          </w:tcPr>
          <w:p w14:paraId="6A06D278">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9</w:t>
            </w:r>
          </w:p>
        </w:tc>
        <w:tc>
          <w:tcPr>
            <w:tcW w:w="1620" w:type="dxa"/>
            <w:noWrap w:val="0"/>
            <w:vAlign w:val="center"/>
          </w:tcPr>
          <w:p w14:paraId="0ADC1511">
            <w:pPr>
              <w:pStyle w:val="15"/>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其他要求</w:t>
            </w:r>
          </w:p>
        </w:tc>
        <w:tc>
          <w:tcPr>
            <w:tcW w:w="2480" w:type="dxa"/>
            <w:noWrap w:val="0"/>
            <w:vAlign w:val="center"/>
          </w:tcPr>
          <w:p w14:paraId="6561C5B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798" w:type="dxa"/>
            <w:noWrap w:val="0"/>
            <w:vAlign w:val="center"/>
          </w:tcPr>
          <w:p w14:paraId="6DEF6B0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603BF19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280FF09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3302DCB5">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注：供应商必须如实完整填写表格，“偏离情况”是指“正偏离”、“负偏离”或“无偏离”。</w:t>
      </w:r>
    </w:p>
    <w:p w14:paraId="031FD277">
      <w:pPr>
        <w:rPr>
          <w:rFonts w:hint="eastAsia" w:ascii="宋体" w:hAnsi="宋体" w:eastAsia="宋体" w:cs="宋体"/>
          <w:b/>
          <w:color w:val="auto"/>
          <w:kern w:val="0"/>
          <w:sz w:val="21"/>
          <w:szCs w:val="21"/>
          <w:highlight w:val="none"/>
        </w:rPr>
      </w:pPr>
    </w:p>
    <w:p w14:paraId="3FD13902">
      <w:pPr>
        <w:pStyle w:val="32"/>
        <w:rPr>
          <w:rFonts w:hint="eastAsia" w:ascii="宋体" w:hAnsi="宋体" w:eastAsia="宋体" w:cs="宋体"/>
          <w:color w:val="auto"/>
          <w:sz w:val="21"/>
          <w:szCs w:val="21"/>
          <w:highlight w:val="none"/>
        </w:rPr>
      </w:pPr>
    </w:p>
    <w:p w14:paraId="0A635B83">
      <w:pPr>
        <w:pageBreakBefore w:val="0"/>
        <w:widowControl/>
        <w:wordWrap/>
        <w:overflowPunct/>
        <w:topLinePunct w:val="0"/>
        <w:bidi w:val="0"/>
        <w:spacing w:line="360" w:lineRule="auto"/>
        <w:ind w:firstLine="3360" w:firstLineChars="16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50A32A50">
      <w:pPr>
        <w:pageBreakBefore w:val="0"/>
        <w:widowControl/>
        <w:wordWrap/>
        <w:overflowPunct/>
        <w:topLinePunct w:val="0"/>
        <w:bidi w:val="0"/>
        <w:spacing w:line="360" w:lineRule="auto"/>
        <w:ind w:firstLine="4410" w:firstLineChars="21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1"/>
          <w:szCs w:val="21"/>
          <w:highlight w:val="none"/>
        </w:rPr>
        <w:t>年    月    日</w:t>
      </w:r>
    </w:p>
    <w:p w14:paraId="1443043E">
      <w:pPr>
        <w:outlineLvl w:val="9"/>
        <w:rPr>
          <w:rFonts w:hint="eastAsia" w:ascii="宋体" w:hAnsi="宋体" w:eastAsia="宋体" w:cs="宋体"/>
          <w:color w:val="auto"/>
          <w:highlight w:val="none"/>
        </w:rPr>
      </w:pPr>
    </w:p>
    <w:p w14:paraId="01B51371">
      <w:pPr>
        <w:outlineLvl w:val="9"/>
        <w:rPr>
          <w:rFonts w:hint="eastAsia" w:ascii="宋体" w:hAnsi="宋体" w:eastAsia="宋体" w:cs="宋体"/>
          <w:color w:val="auto"/>
          <w:highlight w:val="none"/>
        </w:rPr>
      </w:pPr>
    </w:p>
    <w:p w14:paraId="63CC00FA">
      <w:pPr>
        <w:outlineLvl w:val="9"/>
        <w:rPr>
          <w:rFonts w:hint="eastAsia" w:ascii="宋体" w:hAnsi="宋体" w:eastAsia="宋体" w:cs="宋体"/>
          <w:color w:val="auto"/>
          <w:highlight w:val="none"/>
        </w:rPr>
      </w:pPr>
    </w:p>
    <w:p w14:paraId="6CCCA408">
      <w:pPr>
        <w:outlineLvl w:val="9"/>
        <w:rPr>
          <w:rFonts w:hint="eastAsia" w:ascii="宋体" w:hAnsi="宋体" w:eastAsia="宋体" w:cs="宋体"/>
          <w:color w:val="auto"/>
          <w:highlight w:val="none"/>
        </w:rPr>
      </w:pPr>
    </w:p>
    <w:p w14:paraId="68650ED4">
      <w:pPr>
        <w:outlineLvl w:val="9"/>
        <w:rPr>
          <w:rFonts w:hint="eastAsia" w:ascii="宋体" w:hAnsi="宋体" w:eastAsia="宋体" w:cs="宋体"/>
          <w:color w:val="auto"/>
          <w:highlight w:val="none"/>
        </w:rPr>
      </w:pPr>
    </w:p>
    <w:p w14:paraId="7A7472C6">
      <w:pPr>
        <w:outlineLvl w:val="9"/>
        <w:rPr>
          <w:rFonts w:hint="eastAsia" w:ascii="宋体" w:hAnsi="宋体" w:eastAsia="宋体" w:cs="宋体"/>
          <w:color w:val="auto"/>
          <w:highlight w:val="none"/>
        </w:rPr>
      </w:pPr>
    </w:p>
    <w:p w14:paraId="602BD040">
      <w:pPr>
        <w:outlineLvl w:val="9"/>
        <w:rPr>
          <w:rFonts w:hint="eastAsia" w:ascii="宋体" w:hAnsi="宋体" w:eastAsia="宋体" w:cs="宋体"/>
          <w:color w:val="auto"/>
          <w:highlight w:val="none"/>
        </w:rPr>
      </w:pPr>
    </w:p>
    <w:p w14:paraId="28936226">
      <w:pPr>
        <w:outlineLvl w:val="9"/>
        <w:rPr>
          <w:rFonts w:hint="eastAsia" w:ascii="宋体" w:hAnsi="宋体" w:eastAsia="宋体" w:cs="宋体"/>
          <w:color w:val="auto"/>
          <w:highlight w:val="none"/>
        </w:rPr>
      </w:pPr>
    </w:p>
    <w:p w14:paraId="4E851B2D">
      <w:pPr>
        <w:outlineLvl w:val="9"/>
        <w:rPr>
          <w:rFonts w:hint="eastAsia" w:ascii="宋体" w:hAnsi="宋体" w:eastAsia="宋体" w:cs="宋体"/>
          <w:color w:val="auto"/>
          <w:highlight w:val="none"/>
        </w:rPr>
      </w:pPr>
    </w:p>
    <w:p w14:paraId="41A3FBDB">
      <w:pPr>
        <w:outlineLvl w:val="9"/>
        <w:rPr>
          <w:rFonts w:hint="eastAsia" w:ascii="宋体" w:hAnsi="宋体" w:eastAsia="宋体" w:cs="宋体"/>
          <w:color w:val="auto"/>
          <w:highlight w:val="none"/>
        </w:rPr>
      </w:pPr>
    </w:p>
    <w:p w14:paraId="40CD9C9C">
      <w:pPr>
        <w:outlineLvl w:val="9"/>
        <w:rPr>
          <w:rFonts w:hint="eastAsia" w:ascii="宋体" w:hAnsi="宋体" w:eastAsia="宋体" w:cs="宋体"/>
          <w:color w:val="auto"/>
          <w:highlight w:val="none"/>
        </w:rPr>
      </w:pPr>
    </w:p>
    <w:p w14:paraId="086CDF95">
      <w:pPr>
        <w:outlineLvl w:val="9"/>
        <w:rPr>
          <w:rFonts w:hint="eastAsia" w:ascii="宋体" w:hAnsi="宋体" w:eastAsia="宋体" w:cs="宋体"/>
          <w:color w:val="auto"/>
          <w:highlight w:val="none"/>
        </w:rPr>
      </w:pPr>
    </w:p>
    <w:p w14:paraId="4687954A">
      <w:pPr>
        <w:outlineLvl w:val="9"/>
        <w:rPr>
          <w:rFonts w:hint="eastAsia" w:ascii="宋体" w:hAnsi="宋体" w:eastAsia="宋体" w:cs="宋体"/>
          <w:color w:val="auto"/>
          <w:highlight w:val="none"/>
        </w:rPr>
      </w:pPr>
    </w:p>
    <w:p w14:paraId="14741946">
      <w:pPr>
        <w:outlineLvl w:val="9"/>
        <w:rPr>
          <w:rFonts w:hint="eastAsia" w:ascii="宋体" w:hAnsi="宋体" w:eastAsia="宋体" w:cs="宋体"/>
          <w:color w:val="auto"/>
          <w:highlight w:val="none"/>
        </w:rPr>
      </w:pPr>
    </w:p>
    <w:p w14:paraId="5FAC0DBC">
      <w:pPr>
        <w:outlineLvl w:val="9"/>
        <w:rPr>
          <w:rFonts w:hint="eastAsia" w:ascii="宋体" w:hAnsi="宋体" w:eastAsia="宋体" w:cs="宋体"/>
          <w:color w:val="auto"/>
          <w:highlight w:val="none"/>
        </w:rPr>
      </w:pPr>
    </w:p>
    <w:p w14:paraId="4006A082">
      <w:pPr>
        <w:rPr>
          <w:rFonts w:hint="eastAsia" w:ascii="宋体" w:hAnsi="宋体" w:eastAsia="宋体" w:cs="宋体"/>
          <w:b/>
          <w:color w:val="auto"/>
          <w:sz w:val="28"/>
          <w:highlight w:val="none"/>
        </w:rPr>
      </w:pPr>
      <w:bookmarkStart w:id="127" w:name="_Toc31526"/>
      <w:bookmarkStart w:id="128" w:name="_Toc28621"/>
      <w:r>
        <w:rPr>
          <w:rFonts w:hint="eastAsia" w:ascii="宋体" w:hAnsi="宋体" w:eastAsia="宋体" w:cs="宋体"/>
          <w:b/>
          <w:color w:val="auto"/>
          <w:sz w:val="28"/>
          <w:highlight w:val="none"/>
        </w:rPr>
        <w:br w:type="page"/>
      </w:r>
    </w:p>
    <w:p w14:paraId="40257B96">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129" w:name="_Toc29406"/>
      <w:r>
        <w:rPr>
          <w:rFonts w:hint="eastAsia" w:ascii="宋体" w:hAnsi="宋体" w:eastAsia="宋体" w:cs="宋体"/>
          <w:color w:val="auto"/>
          <w:sz w:val="28"/>
          <w:szCs w:val="28"/>
          <w:highlight w:val="none"/>
          <w:lang w:val="en-US" w:eastAsia="zh-CN"/>
        </w:rPr>
        <w:t>附件7         法定代表人身份证明（格式）</w:t>
      </w:r>
      <w:bookmarkEnd w:id="127"/>
      <w:bookmarkEnd w:id="128"/>
      <w:bookmarkEnd w:id="129"/>
    </w:p>
    <w:p w14:paraId="566EF75F">
      <w:pPr>
        <w:widowControl/>
        <w:wordWrap w:val="0"/>
        <w:spacing w:line="460" w:lineRule="exact"/>
        <w:jc w:val="left"/>
        <w:rPr>
          <w:rFonts w:hint="eastAsia" w:ascii="宋体" w:hAnsi="宋体" w:eastAsia="宋体" w:cs="宋体"/>
          <w:color w:val="auto"/>
          <w:kern w:val="0"/>
          <w:sz w:val="24"/>
          <w:highlight w:val="none"/>
        </w:rPr>
      </w:pPr>
    </w:p>
    <w:p w14:paraId="64E6DF5B">
      <w:pPr>
        <w:widowControl/>
        <w:wordWrap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名称：</w:t>
      </w:r>
      <w:r>
        <w:rPr>
          <w:rFonts w:hint="eastAsia" w:ascii="宋体" w:hAnsi="宋体" w:eastAsia="宋体" w:cs="宋体"/>
          <w:color w:val="auto"/>
          <w:kern w:val="0"/>
          <w:szCs w:val="21"/>
          <w:highlight w:val="none"/>
          <w:u w:val="single"/>
          <w:lang w:val="en-US" w:eastAsia="zh-CN"/>
        </w:rPr>
        <w:t xml:space="preserve">                                </w:t>
      </w:r>
    </w:p>
    <w:p w14:paraId="718D7915">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地址：</w:t>
      </w:r>
      <w:r>
        <w:rPr>
          <w:rFonts w:hint="eastAsia" w:ascii="宋体" w:hAnsi="宋体" w:eastAsia="宋体" w:cs="宋体"/>
          <w:color w:val="auto"/>
          <w:kern w:val="0"/>
          <w:szCs w:val="21"/>
          <w:highlight w:val="none"/>
          <w:u w:val="single"/>
          <w:lang w:val="en-US" w:eastAsia="zh-CN"/>
        </w:rPr>
        <w:t xml:space="preserve">                                        </w:t>
      </w:r>
    </w:p>
    <w:p w14:paraId="2C11F584">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highlight w:val="none"/>
        </w:rPr>
        <w:t>成立时间：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年</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月</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日</w:t>
      </w:r>
    </w:p>
    <w:p w14:paraId="63386B5D">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szCs w:val="20"/>
          <w:highlight w:val="none"/>
        </w:rPr>
        <w:t>经营期限：</w:t>
      </w:r>
      <w:r>
        <w:rPr>
          <w:rFonts w:hint="eastAsia" w:ascii="宋体" w:hAnsi="宋体" w:eastAsia="宋体" w:cs="宋体"/>
          <w:color w:val="auto"/>
          <w:kern w:val="0"/>
          <w:szCs w:val="21"/>
          <w:highlight w:val="none"/>
          <w:u w:val="single"/>
          <w:lang w:val="en-US" w:eastAsia="zh-CN"/>
        </w:rPr>
        <w:t xml:space="preserve">                        </w:t>
      </w:r>
    </w:p>
    <w:p w14:paraId="2F81B036">
      <w:pPr>
        <w:widowControl/>
        <w:wordWrap w:val="0"/>
        <w:spacing w:line="460" w:lineRule="exact"/>
        <w:ind w:firstLine="48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 w:val="24"/>
          <w:highlight w:val="none"/>
        </w:rPr>
        <w:t>姓名：</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，性别：</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，年龄：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，职务：</w:t>
      </w:r>
      <w:r>
        <w:rPr>
          <w:rFonts w:hint="eastAsia" w:ascii="宋体" w:hAnsi="宋体" w:eastAsia="宋体" w:cs="宋体"/>
          <w:color w:val="auto"/>
          <w:kern w:val="0"/>
          <w:szCs w:val="21"/>
          <w:highlight w:val="none"/>
          <w:u w:val="single"/>
          <w:lang w:val="en-US" w:eastAsia="zh-CN"/>
        </w:rPr>
        <w:t xml:space="preserve">        </w:t>
      </w:r>
    </w:p>
    <w:p w14:paraId="7C90C00B">
      <w:pPr>
        <w:widowControl/>
        <w:wordWrap w:val="0"/>
        <w:spacing w:line="460" w:lineRule="exact"/>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w:t>
      </w:r>
      <w:r>
        <w:rPr>
          <w:rFonts w:hint="eastAsia" w:ascii="宋体" w:hAnsi="宋体" w:eastAsia="宋体" w:cs="宋体"/>
          <w:color w:val="auto"/>
          <w:kern w:val="0"/>
          <w:sz w:val="24"/>
          <w:szCs w:val="20"/>
          <w:highlight w:val="none"/>
          <w:lang w:eastAsia="zh-CN"/>
        </w:rPr>
        <w:t>供应商</w:t>
      </w:r>
      <w:r>
        <w:rPr>
          <w:rFonts w:hint="eastAsia" w:ascii="宋体" w:hAnsi="宋体" w:eastAsia="宋体" w:cs="宋体"/>
          <w:color w:val="auto"/>
          <w:kern w:val="0"/>
          <w:sz w:val="24"/>
          <w:szCs w:val="20"/>
          <w:highlight w:val="none"/>
        </w:rPr>
        <w:t>名称）的法定代表人。</w:t>
      </w:r>
    </w:p>
    <w:p w14:paraId="4FE062B6">
      <w:pPr>
        <w:widowControl/>
        <w:wordWrap w:val="0"/>
        <w:spacing w:line="460" w:lineRule="exact"/>
        <w:jc w:val="left"/>
        <w:rPr>
          <w:rFonts w:hint="eastAsia" w:ascii="宋体" w:hAnsi="宋体" w:eastAsia="宋体" w:cs="宋体"/>
          <w:color w:val="auto"/>
          <w:kern w:val="0"/>
          <w:sz w:val="24"/>
          <w:szCs w:val="20"/>
          <w:highlight w:val="none"/>
        </w:rPr>
      </w:pPr>
    </w:p>
    <w:p w14:paraId="30B3A2FC">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特此证明。</w:t>
      </w:r>
    </w:p>
    <w:p w14:paraId="5CBF5780">
      <w:pPr>
        <w:widowControl/>
        <w:wordWrap w:val="0"/>
        <w:spacing w:line="460" w:lineRule="exact"/>
        <w:jc w:val="left"/>
        <w:rPr>
          <w:rFonts w:hint="eastAsia" w:ascii="宋体" w:hAnsi="宋体" w:eastAsia="宋体" w:cs="宋体"/>
          <w:color w:val="auto"/>
          <w:kern w:val="0"/>
          <w:sz w:val="24"/>
          <w:szCs w:val="20"/>
          <w:highlight w:val="none"/>
        </w:rPr>
      </w:pPr>
    </w:p>
    <w:p w14:paraId="5DBEE591">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tbl>
      <w:tblPr>
        <w:tblStyle w:val="33"/>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0"/>
      </w:tblGrid>
      <w:tr w14:paraId="2952C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trPr>
        <w:tc>
          <w:tcPr>
            <w:tcW w:w="6860" w:type="dxa"/>
            <w:tcBorders>
              <w:top w:val="single" w:color="auto" w:sz="4" w:space="0"/>
              <w:left w:val="single" w:color="auto" w:sz="4" w:space="0"/>
              <w:bottom w:val="single" w:color="auto" w:sz="4" w:space="0"/>
              <w:right w:val="single" w:color="auto" w:sz="4" w:space="0"/>
            </w:tcBorders>
          </w:tcPr>
          <w:p w14:paraId="0AA5E577">
            <w:pPr>
              <w:widowControl/>
              <w:spacing w:line="480" w:lineRule="exact"/>
              <w:jc w:val="left"/>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此处请粘贴法定代表人身份证复印件</w:t>
            </w:r>
          </w:p>
          <w:p w14:paraId="608D1BA3">
            <w:pPr>
              <w:widowControl/>
              <w:spacing w:line="480" w:lineRule="exact"/>
              <w:jc w:val="left"/>
              <w:rPr>
                <w:rFonts w:hint="eastAsia" w:ascii="宋体" w:hAnsi="宋体" w:eastAsia="宋体" w:cs="宋体"/>
                <w:color w:val="auto"/>
                <w:kern w:val="0"/>
                <w:sz w:val="24"/>
                <w:highlight w:val="none"/>
              </w:rPr>
            </w:pPr>
          </w:p>
          <w:p w14:paraId="425F1145">
            <w:pPr>
              <w:widowControl/>
              <w:spacing w:line="480" w:lineRule="exact"/>
              <w:jc w:val="left"/>
              <w:rPr>
                <w:rFonts w:hint="eastAsia" w:ascii="宋体" w:hAnsi="宋体" w:eastAsia="宋体" w:cs="宋体"/>
                <w:color w:val="auto"/>
                <w:kern w:val="0"/>
                <w:sz w:val="24"/>
                <w:highlight w:val="none"/>
              </w:rPr>
            </w:pPr>
          </w:p>
        </w:tc>
      </w:tr>
    </w:tbl>
    <w:p w14:paraId="43EC0505">
      <w:pPr>
        <w:widowControl/>
        <w:wordWrap w:val="0"/>
        <w:spacing w:beforeLines="100" w:afterLines="100" w:line="480" w:lineRule="exact"/>
        <w:jc w:val="center"/>
        <w:rPr>
          <w:rFonts w:hint="eastAsia" w:ascii="宋体" w:hAnsi="宋体" w:eastAsia="宋体" w:cs="宋体"/>
          <w:b/>
          <w:color w:val="auto"/>
          <w:kern w:val="0"/>
          <w:sz w:val="24"/>
          <w:highlight w:val="none"/>
        </w:rPr>
      </w:pPr>
    </w:p>
    <w:p w14:paraId="7DE72753">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42F8CBEC">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7F75A711">
      <w:pPr>
        <w:widowControl/>
        <w:wordWrap w:val="0"/>
        <w:spacing w:line="480" w:lineRule="exact"/>
        <w:jc w:val="right"/>
        <w:rPr>
          <w:rFonts w:hint="eastAsia" w:ascii="宋体" w:hAnsi="宋体" w:eastAsia="宋体" w:cs="宋体"/>
          <w:color w:val="auto"/>
          <w:kern w:val="0"/>
          <w:sz w:val="24"/>
          <w:highlight w:val="none"/>
        </w:rPr>
      </w:pPr>
    </w:p>
    <w:p w14:paraId="4EC9ECDA">
      <w:pPr>
        <w:widowControl/>
        <w:wordWrap w:val="0"/>
        <w:spacing w:line="480" w:lineRule="exact"/>
        <w:jc w:val="right"/>
        <w:rPr>
          <w:rFonts w:hint="eastAsia" w:ascii="宋体" w:hAnsi="宋体" w:eastAsia="宋体" w:cs="宋体"/>
          <w:color w:val="auto"/>
          <w:kern w:val="0"/>
          <w:sz w:val="24"/>
          <w:highlight w:val="none"/>
        </w:rPr>
      </w:pPr>
    </w:p>
    <w:p w14:paraId="137FFC23">
      <w:pPr>
        <w:widowControl/>
        <w:wordWrap w:val="0"/>
        <w:snapToGrid w:val="0"/>
        <w:spacing w:line="460" w:lineRule="exact"/>
        <w:ind w:firstLine="2760" w:firstLineChars="115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3C284A57">
      <w:pPr>
        <w:widowControl/>
        <w:wordWrap w:val="0"/>
        <w:spacing w:line="460" w:lineRule="exact"/>
        <w:ind w:left="3780" w:leftChars="1800"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年    月    日</w:t>
      </w:r>
    </w:p>
    <w:p w14:paraId="06A5A9BF">
      <w:pPr>
        <w:rPr>
          <w:rFonts w:hint="eastAsia" w:ascii="宋体" w:hAnsi="宋体" w:eastAsia="宋体" w:cs="宋体"/>
          <w:color w:val="auto"/>
          <w:highlight w:val="none"/>
        </w:rPr>
      </w:pPr>
    </w:p>
    <w:p w14:paraId="24E0BC4A">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DDD2863">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130" w:name="_Toc13976"/>
      <w:bookmarkStart w:id="131" w:name="_Toc12939"/>
      <w:bookmarkStart w:id="132" w:name="_Toc30519"/>
      <w:r>
        <w:rPr>
          <w:rFonts w:hint="eastAsia" w:ascii="宋体" w:hAnsi="宋体" w:eastAsia="宋体" w:cs="宋体"/>
          <w:color w:val="auto"/>
          <w:sz w:val="28"/>
          <w:szCs w:val="28"/>
          <w:highlight w:val="none"/>
          <w:lang w:val="en-US" w:eastAsia="zh-CN"/>
        </w:rPr>
        <w:t>附件8         法定代表人授权书（格式）</w:t>
      </w:r>
      <w:bookmarkEnd w:id="130"/>
      <w:bookmarkEnd w:id="131"/>
      <w:bookmarkEnd w:id="132"/>
    </w:p>
    <w:p w14:paraId="20CFE6F1">
      <w:pPr>
        <w:widowControl/>
        <w:wordWrap w:val="0"/>
        <w:snapToGrid w:val="0"/>
        <w:spacing w:line="460" w:lineRule="exact"/>
        <w:jc w:val="left"/>
        <w:rPr>
          <w:rFonts w:hint="eastAsia" w:ascii="宋体" w:hAnsi="宋体" w:eastAsia="宋体" w:cs="宋体"/>
          <w:b/>
          <w:bCs/>
          <w:color w:val="auto"/>
          <w:kern w:val="0"/>
          <w:sz w:val="24"/>
          <w:highlight w:val="none"/>
        </w:rPr>
      </w:pPr>
      <w:r>
        <w:rPr>
          <w:rFonts w:hint="eastAsia" w:ascii="宋体" w:hAnsi="宋体" w:eastAsia="宋体" w:cs="宋体"/>
          <w:bCs/>
          <w:color w:val="auto"/>
          <w:kern w:val="0"/>
          <w:sz w:val="24"/>
          <w:highlight w:val="none"/>
        </w:rPr>
        <w:t>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采购人</w:t>
      </w:r>
      <w:r>
        <w:rPr>
          <w:rFonts w:hint="eastAsia" w:ascii="宋体" w:hAnsi="宋体" w:eastAsia="宋体" w:cs="宋体"/>
          <w:color w:val="auto"/>
          <w:kern w:val="0"/>
          <w:sz w:val="24"/>
          <w:highlight w:val="none"/>
        </w:rPr>
        <w:t>名称）：</w:t>
      </w:r>
    </w:p>
    <w:p w14:paraId="07D8310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 xml:space="preserve">名称）的法定代表人，现委托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（姓名）为我方代理人。代理人根据本授权，以我方的名义参加</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项目</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包号及名称：</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lang w:eastAsia="zh-CN"/>
        </w:rPr>
        <w:t>）</w:t>
      </w:r>
      <w:r>
        <w:rPr>
          <w:rFonts w:hint="eastAsia" w:ascii="宋体" w:hAnsi="宋体" w:eastAsia="宋体" w:cs="宋体"/>
          <w:color w:val="auto"/>
          <w:kern w:val="0"/>
          <w:sz w:val="24"/>
          <w:highlight w:val="none"/>
        </w:rPr>
        <w:t>的</w:t>
      </w:r>
      <w:r>
        <w:rPr>
          <w:rFonts w:hint="eastAsia" w:ascii="宋体" w:hAnsi="宋体" w:eastAsia="宋体" w:cs="宋体"/>
          <w:color w:val="auto"/>
          <w:kern w:val="0"/>
          <w:sz w:val="24"/>
          <w:highlight w:val="none"/>
          <w:lang w:val="en-US" w:eastAsia="zh-CN"/>
        </w:rPr>
        <w:t>竞争性磋商采购</w:t>
      </w:r>
      <w:r>
        <w:rPr>
          <w:rFonts w:hint="eastAsia" w:ascii="宋体" w:hAnsi="宋体" w:eastAsia="宋体" w:cs="宋体"/>
          <w:color w:val="auto"/>
          <w:kern w:val="0"/>
          <w:sz w:val="24"/>
          <w:highlight w:val="none"/>
        </w:rPr>
        <w:t>活动，并代表我方全权办理针对上述项目的</w:t>
      </w:r>
      <w:r>
        <w:rPr>
          <w:rFonts w:hint="eastAsia" w:ascii="宋体" w:hAnsi="宋体" w:eastAsia="宋体" w:cs="宋体"/>
          <w:color w:val="auto"/>
          <w:kern w:val="0"/>
          <w:sz w:val="24"/>
          <w:highlight w:val="none"/>
          <w:lang w:val="en-US" w:eastAsia="zh-CN"/>
        </w:rPr>
        <w:t>磋商</w:t>
      </w:r>
      <w:r>
        <w:rPr>
          <w:rFonts w:hint="eastAsia" w:ascii="宋体" w:hAnsi="宋体" w:eastAsia="宋体" w:cs="宋体"/>
          <w:color w:val="auto"/>
          <w:kern w:val="0"/>
          <w:sz w:val="24"/>
          <w:highlight w:val="none"/>
        </w:rPr>
        <w:t>、开标、评</w:t>
      </w:r>
      <w:r>
        <w:rPr>
          <w:rFonts w:hint="eastAsia" w:ascii="宋体" w:hAnsi="宋体" w:eastAsia="宋体" w:cs="宋体"/>
          <w:color w:val="auto"/>
          <w:kern w:val="0"/>
          <w:sz w:val="24"/>
          <w:highlight w:val="none"/>
          <w:lang w:val="en-US" w:eastAsia="zh-CN"/>
        </w:rPr>
        <w:t>审</w:t>
      </w:r>
      <w:r>
        <w:rPr>
          <w:rFonts w:hint="eastAsia" w:ascii="宋体" w:hAnsi="宋体" w:eastAsia="宋体" w:cs="宋体"/>
          <w:color w:val="auto"/>
          <w:kern w:val="0"/>
          <w:sz w:val="24"/>
          <w:highlight w:val="none"/>
        </w:rPr>
        <w:t>、签约等具体事务和签署相关文件。</w:t>
      </w:r>
    </w:p>
    <w:p w14:paraId="3311EE7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14:paraId="2E14D7BF">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如果本次采购活动现场变更采购方式，本授权书有效。</w:t>
      </w:r>
    </w:p>
    <w:p w14:paraId="44AA202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代理人无转委托权。</w:t>
      </w:r>
    </w:p>
    <w:p w14:paraId="7CE853A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委托期限：</w:t>
      </w:r>
    </w:p>
    <w:p w14:paraId="409406BE">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p>
    <w:p w14:paraId="208D12AA">
      <w:pPr>
        <w:widowControl/>
        <w:wordWrap w:val="0"/>
        <w:snapToGrid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委托代理人签名：             法定代表人签名</w:t>
      </w:r>
      <w:r>
        <w:rPr>
          <w:rFonts w:hint="eastAsia" w:ascii="宋体" w:hAnsi="宋体" w:eastAsia="宋体" w:cs="宋体"/>
          <w:color w:val="auto"/>
          <w:kern w:val="0"/>
          <w:sz w:val="24"/>
          <w:highlight w:val="none"/>
          <w:lang w:val="en-US" w:eastAsia="zh-CN"/>
        </w:rPr>
        <w:t>或盖章</w:t>
      </w:r>
      <w:r>
        <w:rPr>
          <w:rFonts w:hint="eastAsia" w:ascii="宋体" w:hAnsi="宋体" w:eastAsia="宋体" w:cs="宋体"/>
          <w:color w:val="auto"/>
          <w:kern w:val="0"/>
          <w:sz w:val="24"/>
          <w:highlight w:val="none"/>
        </w:rPr>
        <w:t>：</w:t>
      </w:r>
    </w:p>
    <w:p w14:paraId="414CFA2B">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职务：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职务：</w:t>
      </w:r>
    </w:p>
    <w:tbl>
      <w:tblPr>
        <w:tblStyle w:val="33"/>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0"/>
      </w:tblGrid>
      <w:tr w14:paraId="6E7EB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2" w:hRule="atLeast"/>
        </w:trPr>
        <w:tc>
          <w:tcPr>
            <w:tcW w:w="6780" w:type="dxa"/>
            <w:tcBorders>
              <w:top w:val="single" w:color="auto" w:sz="4" w:space="0"/>
              <w:left w:val="single" w:color="auto" w:sz="4" w:space="0"/>
              <w:bottom w:val="single" w:color="auto" w:sz="4" w:space="0"/>
              <w:right w:val="single" w:color="auto" w:sz="4" w:space="0"/>
            </w:tcBorders>
          </w:tcPr>
          <w:p w14:paraId="58C9EA2A">
            <w:pPr>
              <w:widowControl/>
              <w:spacing w:line="480" w:lineRule="exact"/>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 w:val="24"/>
                <w:highlight w:val="none"/>
              </w:rPr>
              <w:t>此处请粘贴</w:t>
            </w:r>
            <w:r>
              <w:rPr>
                <w:rFonts w:hint="eastAsia" w:ascii="宋体" w:hAnsi="宋体" w:eastAsia="宋体" w:cs="宋体"/>
                <w:color w:val="auto"/>
                <w:kern w:val="0"/>
                <w:sz w:val="24"/>
                <w:highlight w:val="none"/>
              </w:rPr>
              <w:t>委托代理人</w:t>
            </w:r>
            <w:r>
              <w:rPr>
                <w:rFonts w:hint="eastAsia" w:ascii="宋体" w:hAnsi="宋体" w:eastAsia="宋体" w:cs="宋体"/>
                <w:bCs/>
                <w:color w:val="auto"/>
                <w:kern w:val="0"/>
                <w:sz w:val="24"/>
                <w:highlight w:val="none"/>
              </w:rPr>
              <w:t>身份证复印件</w:t>
            </w:r>
          </w:p>
        </w:tc>
      </w:tr>
    </w:tbl>
    <w:p w14:paraId="527C7F41">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委托代理人身份证号码：</w:t>
      </w:r>
    </w:p>
    <w:p w14:paraId="3F0C663B">
      <w:pPr>
        <w:widowControl/>
        <w:wordWrap w:val="0"/>
        <w:spacing w:line="460" w:lineRule="exact"/>
        <w:ind w:firstLine="4800" w:firstLineChars="2000"/>
        <w:jc w:val="left"/>
        <w:rPr>
          <w:rFonts w:hint="eastAsia" w:ascii="宋体" w:hAnsi="宋体" w:eastAsia="宋体" w:cs="宋体"/>
          <w:color w:val="auto"/>
          <w:kern w:val="0"/>
          <w:sz w:val="24"/>
          <w:highlight w:val="none"/>
        </w:rPr>
      </w:pPr>
    </w:p>
    <w:p w14:paraId="47490F48">
      <w:pPr>
        <w:widowControl/>
        <w:wordWrap w:val="0"/>
        <w:spacing w:line="360" w:lineRule="auto"/>
        <w:jc w:val="center"/>
        <w:rPr>
          <w:rFonts w:hint="eastAsia" w:ascii="宋体" w:hAnsi="宋体" w:eastAsia="宋体" w:cs="宋体"/>
          <w:color w:val="auto"/>
          <w:kern w:val="0"/>
          <w:sz w:val="24"/>
          <w:highlight w:val="none"/>
        </w:rPr>
      </w:pPr>
    </w:p>
    <w:p w14:paraId="10F674C3">
      <w:pPr>
        <w:widowControl/>
        <w:wordWrap w:val="0"/>
        <w:spacing w:line="360" w:lineRule="auto"/>
        <w:jc w:val="right"/>
        <w:rPr>
          <w:rFonts w:hint="eastAsia" w:ascii="宋体" w:hAnsi="宋体" w:eastAsia="宋体" w:cs="宋体"/>
          <w:color w:val="auto"/>
          <w:kern w:val="0"/>
          <w:sz w:val="24"/>
          <w:highlight w:val="none"/>
        </w:rPr>
      </w:pPr>
    </w:p>
    <w:p w14:paraId="64EEE987">
      <w:pPr>
        <w:widowControl/>
        <w:wordWrap w:val="0"/>
        <w:spacing w:line="360" w:lineRule="auto"/>
        <w:jc w:val="right"/>
        <w:rPr>
          <w:rFonts w:hint="eastAsia" w:ascii="宋体" w:hAnsi="宋体" w:eastAsia="宋体" w:cs="宋体"/>
          <w:color w:val="auto"/>
          <w:kern w:val="0"/>
          <w:sz w:val="24"/>
          <w:highlight w:val="none"/>
        </w:rPr>
      </w:pPr>
    </w:p>
    <w:p w14:paraId="1DA78FC1">
      <w:pPr>
        <w:widowControl/>
        <w:wordWrap w:val="0"/>
        <w:spacing w:line="360" w:lineRule="auto"/>
        <w:jc w:val="right"/>
        <w:rPr>
          <w:rFonts w:hint="eastAsia" w:ascii="宋体" w:hAnsi="宋体" w:eastAsia="宋体" w:cs="宋体"/>
          <w:color w:val="auto"/>
          <w:kern w:val="0"/>
          <w:sz w:val="24"/>
          <w:highlight w:val="none"/>
        </w:rPr>
      </w:pPr>
    </w:p>
    <w:p w14:paraId="03DDFB0A">
      <w:pPr>
        <w:widowControl/>
        <w:wordWrap w:val="0"/>
        <w:spacing w:line="360" w:lineRule="auto"/>
        <w:jc w:val="right"/>
        <w:rPr>
          <w:rFonts w:hint="eastAsia" w:ascii="宋体" w:hAnsi="宋体" w:eastAsia="宋体" w:cs="宋体"/>
          <w:color w:val="auto"/>
          <w:kern w:val="0"/>
          <w:sz w:val="24"/>
          <w:highlight w:val="none"/>
        </w:rPr>
      </w:pPr>
    </w:p>
    <w:p w14:paraId="44C38315">
      <w:pPr>
        <w:widowControl/>
        <w:wordWrap w:val="0"/>
        <w:spacing w:line="360" w:lineRule="auto"/>
        <w:jc w:val="right"/>
        <w:rPr>
          <w:rFonts w:hint="eastAsia" w:ascii="宋体" w:hAnsi="宋体" w:eastAsia="宋体" w:cs="宋体"/>
          <w:color w:val="auto"/>
          <w:kern w:val="0"/>
          <w:sz w:val="24"/>
          <w:highlight w:val="none"/>
        </w:rPr>
      </w:pPr>
    </w:p>
    <w:p w14:paraId="37BFC090">
      <w:pPr>
        <w:widowControl/>
        <w:wordWrap/>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65EA290B">
      <w:pPr>
        <w:widowControl/>
        <w:wordWrap w:val="0"/>
        <w:spacing w:line="460" w:lineRule="exact"/>
        <w:ind w:firstLine="3840" w:firstLineChars="1600"/>
        <w:jc w:val="left"/>
        <w:rPr>
          <w:rFonts w:hint="eastAsia" w:ascii="宋体" w:hAnsi="宋体" w:eastAsia="宋体" w:cs="宋体"/>
          <w:b/>
          <w:color w:val="auto"/>
          <w:kern w:val="0"/>
          <w:sz w:val="32"/>
          <w:szCs w:val="32"/>
          <w:highlight w:val="none"/>
        </w:rPr>
      </w:pPr>
      <w:r>
        <w:rPr>
          <w:rFonts w:hint="eastAsia" w:ascii="宋体" w:hAnsi="宋体" w:eastAsia="宋体" w:cs="宋体"/>
          <w:color w:val="auto"/>
          <w:kern w:val="0"/>
          <w:sz w:val="24"/>
          <w:highlight w:val="none"/>
        </w:rPr>
        <w:t>年    月    日</w:t>
      </w:r>
    </w:p>
    <w:p w14:paraId="6933104B">
      <w:pPr>
        <w:widowControl/>
        <w:spacing w:line="360" w:lineRule="auto"/>
        <w:ind w:firstLine="7228" w:firstLineChars="2250"/>
        <w:jc w:val="left"/>
        <w:rPr>
          <w:rFonts w:hint="eastAsia" w:ascii="宋体" w:hAnsi="宋体" w:eastAsia="宋体" w:cs="宋体"/>
          <w:b/>
          <w:color w:val="auto"/>
          <w:kern w:val="0"/>
          <w:sz w:val="32"/>
          <w:szCs w:val="32"/>
          <w:highlight w:val="none"/>
        </w:rPr>
      </w:pPr>
    </w:p>
    <w:p w14:paraId="04D315BF">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3D24408E">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133" w:name="_Toc3342"/>
      <w:bookmarkStart w:id="134" w:name="_Toc24693"/>
      <w:bookmarkStart w:id="135" w:name="_Toc18105"/>
      <w:r>
        <w:rPr>
          <w:rFonts w:hint="eastAsia" w:ascii="宋体" w:hAnsi="宋体" w:eastAsia="宋体" w:cs="宋体"/>
          <w:color w:val="auto"/>
          <w:sz w:val="28"/>
          <w:szCs w:val="28"/>
          <w:highlight w:val="none"/>
          <w:lang w:val="en-US" w:eastAsia="zh-CN"/>
        </w:rPr>
        <w:t>附件9          证明文件</w:t>
      </w:r>
      <w:bookmarkEnd w:id="133"/>
      <w:bookmarkEnd w:id="134"/>
      <w:bookmarkEnd w:id="135"/>
    </w:p>
    <w:p w14:paraId="64962AE9">
      <w:pPr>
        <w:pStyle w:val="11"/>
        <w:spacing w:beforeAutospacing="0" w:afterAutospacing="0" w:line="480" w:lineRule="auto"/>
        <w:ind w:firstLine="472" w:firstLineChars="224"/>
        <w:jc w:val="both"/>
        <w:rPr>
          <w:rFonts w:hint="eastAsia" w:ascii="宋体" w:hAnsi="宋体" w:eastAsia="宋体" w:cs="宋体"/>
          <w:b/>
          <w:bCs w:val="0"/>
          <w:color w:val="auto"/>
          <w:sz w:val="21"/>
          <w:szCs w:val="21"/>
          <w:highlight w:val="none"/>
        </w:rPr>
      </w:pPr>
      <w:bookmarkStart w:id="136" w:name="_Toc17966"/>
      <w:r>
        <w:rPr>
          <w:rFonts w:hint="eastAsia" w:ascii="宋体" w:hAnsi="宋体" w:eastAsia="宋体" w:cs="宋体"/>
          <w:b/>
          <w:bCs w:val="0"/>
          <w:color w:val="auto"/>
          <w:sz w:val="21"/>
          <w:szCs w:val="21"/>
          <w:highlight w:val="none"/>
        </w:rPr>
        <w:t>9.1</w:t>
      </w:r>
      <w:r>
        <w:rPr>
          <w:rFonts w:hint="eastAsia" w:ascii="宋体" w:hAnsi="宋体" w:eastAsia="宋体" w:cs="宋体"/>
          <w:b/>
          <w:bCs w:val="0"/>
          <w:color w:val="auto"/>
          <w:sz w:val="21"/>
          <w:szCs w:val="21"/>
          <w:highlight w:val="none"/>
          <w:lang w:val="en-US" w:eastAsia="zh-CN"/>
        </w:rPr>
        <w:t xml:space="preserve"> </w:t>
      </w:r>
      <w:r>
        <w:rPr>
          <w:rFonts w:hint="eastAsia" w:ascii="宋体" w:hAnsi="宋体" w:eastAsia="宋体" w:cs="宋体"/>
          <w:b/>
          <w:bCs w:val="0"/>
          <w:color w:val="auto"/>
          <w:sz w:val="21"/>
          <w:szCs w:val="21"/>
          <w:highlight w:val="none"/>
        </w:rPr>
        <w:t>资格审查资料</w:t>
      </w:r>
    </w:p>
    <w:p w14:paraId="6382374B">
      <w:pPr>
        <w:pStyle w:val="11"/>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6DD88486">
      <w:pPr>
        <w:pStyle w:val="11"/>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79F6FDC1">
      <w:pPr>
        <w:pStyle w:val="11"/>
        <w:spacing w:beforeAutospacing="0" w:afterAutospacing="0" w:line="480" w:lineRule="auto"/>
        <w:ind w:firstLine="472" w:firstLineChars="224"/>
        <w:jc w:val="both"/>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rPr>
        <w:t>9.</w:t>
      </w:r>
      <w:r>
        <w:rPr>
          <w:rFonts w:hint="eastAsia" w:ascii="宋体" w:hAnsi="宋体" w:eastAsia="宋体" w:cs="宋体"/>
          <w:b/>
          <w:bCs w:val="0"/>
          <w:color w:val="auto"/>
          <w:sz w:val="21"/>
          <w:szCs w:val="21"/>
          <w:highlight w:val="none"/>
          <w:lang w:val="en-US" w:eastAsia="zh-CN"/>
        </w:rPr>
        <w:t>2  评分标准中需提供的证明材料</w:t>
      </w:r>
    </w:p>
    <w:p w14:paraId="1ADD8284">
      <w:pPr>
        <w:pStyle w:val="11"/>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6B1B32CA">
      <w:pPr>
        <w:pStyle w:val="11"/>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1E7231DE">
      <w:pPr>
        <w:pStyle w:val="11"/>
        <w:spacing w:beforeAutospacing="0" w:afterAutospacing="0" w:line="480" w:lineRule="auto"/>
        <w:ind w:firstLine="472" w:firstLineChars="224"/>
        <w:jc w:val="both"/>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9.</w:t>
      </w:r>
      <w:r>
        <w:rPr>
          <w:rFonts w:hint="eastAsia" w:ascii="宋体" w:hAnsi="宋体" w:eastAsia="宋体" w:cs="宋体"/>
          <w:b/>
          <w:bCs w:val="0"/>
          <w:color w:val="auto"/>
          <w:sz w:val="21"/>
          <w:szCs w:val="21"/>
          <w:highlight w:val="none"/>
          <w:lang w:val="en-US" w:eastAsia="zh-CN"/>
        </w:rPr>
        <w:t>3 供应商认为其他需要提供的证明材料</w:t>
      </w:r>
    </w:p>
    <w:p w14:paraId="28E8809F">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63B9045E">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0CF185C0">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5A38418C">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6EE51B98">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615549B2">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6366152E">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4F755349">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4DBE70D8">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45048D1C">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4FD293BC">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326EFBBE">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sectPr>
          <w:pgSz w:w="11906" w:h="16838"/>
          <w:pgMar w:top="1417" w:right="1474" w:bottom="1417" w:left="1474" w:header="851" w:footer="624" w:gutter="0"/>
          <w:pgNumType w:fmt="decimal"/>
          <w:cols w:space="720" w:num="1"/>
          <w:docGrid w:type="lines" w:linePitch="319" w:charSpace="0"/>
        </w:sectPr>
      </w:pPr>
      <w:bookmarkStart w:id="137" w:name="_Toc12888"/>
      <w:bookmarkStart w:id="138" w:name="_Toc16083"/>
      <w:bookmarkStart w:id="139" w:name="_Toc13726"/>
    </w:p>
    <w:p w14:paraId="3BB81C13">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附件10      </w:t>
      </w:r>
      <w:bookmarkEnd w:id="136"/>
      <w:r>
        <w:rPr>
          <w:rFonts w:hint="eastAsia" w:ascii="宋体" w:hAnsi="宋体" w:eastAsia="宋体" w:cs="宋体"/>
          <w:color w:val="auto"/>
          <w:sz w:val="28"/>
          <w:szCs w:val="28"/>
          <w:highlight w:val="none"/>
          <w:lang w:val="en-US" w:eastAsia="zh-CN"/>
        </w:rPr>
        <w:t>供 应 商 承 诺 书 （格式）</w:t>
      </w:r>
      <w:bookmarkEnd w:id="137"/>
      <w:bookmarkEnd w:id="138"/>
      <w:bookmarkEnd w:id="139"/>
    </w:p>
    <w:p w14:paraId="02DAF775">
      <w:pPr>
        <w:bidi w:val="0"/>
        <w:rPr>
          <w:rFonts w:hint="eastAsia" w:ascii="宋体" w:hAnsi="宋体" w:eastAsia="宋体" w:cs="宋体"/>
          <w:color w:val="auto"/>
          <w:highlight w:val="none"/>
        </w:rPr>
      </w:pPr>
    </w:p>
    <w:p w14:paraId="068327A4">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院（以下简称甲方）组织的本次采购，在遵守《招标投标法》、《政府采购法》、《合同法》、《反不正当竞争法》和《关于推进招投标监督领域诚信建设的意见》等法律法规的基础上，要求贵方（以下简称乙方）做出如下承诺：</w:t>
      </w:r>
    </w:p>
    <w:p w14:paraId="0C418C4C">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1、遵循公开、公平、公正和诚实信用的原则自愿参加，所提供的一切材料真实、有效、合法。</w:t>
      </w:r>
    </w:p>
    <w:p w14:paraId="4ADAE269">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2、遵守甲方采购纪律，诚实守信地为甲方提供安全可靠的产品、服务及相关技术，保证质量并主动做好售后服务工作。</w:t>
      </w:r>
    </w:p>
    <w:p w14:paraId="25862B72">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3、杜绝利用提供财物或给予其他不正当利益谋取中标的不良行为。</w:t>
      </w:r>
    </w:p>
    <w:p w14:paraId="54B1AF16">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4、不发生其他任何可能影响甲方工作人员公正执行公务或者职务廉洁的行为。</w:t>
      </w:r>
    </w:p>
    <w:p w14:paraId="545BED46">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5、不参与串标、围标或其他不正当竞争行为；杜绝以虚报资质、业绩或其他弄虚作假等方式骗取中标。</w:t>
      </w:r>
    </w:p>
    <w:p w14:paraId="4A8907A2">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6、响应时，杜绝擅自修改采购文件或技术标准（包括差异表）技术配置的行为。</w:t>
      </w:r>
    </w:p>
    <w:p w14:paraId="0F6AC67C">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7、严格按照采购、</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文件要求签订合同，不违反法律无故拒签合同，不签订背离合同（或技术协议书）实质性内容的协议。</w:t>
      </w:r>
    </w:p>
    <w:p w14:paraId="4F121AA1">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p>
    <w:p w14:paraId="6C46D978">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                （全称并加盖公章）</w:t>
      </w:r>
    </w:p>
    <w:p w14:paraId="40FE76F7">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法定代表人或委托人（签字或盖章）：            </w:t>
      </w:r>
    </w:p>
    <w:p w14:paraId="340B8D12">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1"/>
          <w:szCs w:val="21"/>
          <w:highlight w:val="none"/>
        </w:rPr>
        <w:t xml:space="preserve">       年   月   日</w:t>
      </w:r>
    </w:p>
    <w:p w14:paraId="6CCC32DA">
      <w:pPr>
        <w:widowControl/>
        <w:spacing w:line="360" w:lineRule="auto"/>
        <w:ind w:firstLine="4305" w:firstLineChars="2050"/>
        <w:jc w:val="left"/>
        <w:rPr>
          <w:rFonts w:hint="eastAsia" w:ascii="宋体" w:hAnsi="宋体" w:eastAsia="宋体" w:cs="宋体"/>
          <w:color w:val="auto"/>
          <w:kern w:val="0"/>
          <w:szCs w:val="21"/>
          <w:highlight w:val="none"/>
        </w:rPr>
      </w:pPr>
    </w:p>
    <w:p w14:paraId="2B1C72AF">
      <w:pPr>
        <w:pStyle w:val="32"/>
        <w:rPr>
          <w:rFonts w:hint="eastAsia" w:ascii="宋体" w:hAnsi="宋体" w:eastAsia="宋体" w:cs="宋体"/>
          <w:color w:val="auto"/>
          <w:kern w:val="0"/>
          <w:szCs w:val="21"/>
          <w:highlight w:val="none"/>
        </w:rPr>
      </w:pPr>
    </w:p>
    <w:p w14:paraId="7C0BDA51">
      <w:pPr>
        <w:pStyle w:val="16"/>
        <w:rPr>
          <w:rFonts w:hint="eastAsia" w:ascii="宋体" w:hAnsi="宋体" w:eastAsia="宋体" w:cs="宋体"/>
          <w:color w:val="auto"/>
          <w:kern w:val="0"/>
          <w:szCs w:val="21"/>
          <w:highlight w:val="none"/>
        </w:rPr>
        <w:sectPr>
          <w:pgSz w:w="11906" w:h="16838"/>
          <w:pgMar w:top="1417" w:right="1474" w:bottom="1417" w:left="1474" w:header="851" w:footer="624" w:gutter="0"/>
          <w:pgNumType w:fmt="decimal"/>
          <w:cols w:space="720" w:num="1"/>
          <w:docGrid w:type="lines" w:linePitch="319" w:charSpace="0"/>
        </w:sectPr>
      </w:pPr>
    </w:p>
    <w:p w14:paraId="5CAC53F3">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附件11     供应商信用承诺函（格式）</w:t>
      </w:r>
    </w:p>
    <w:p w14:paraId="11D54CC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致（采购人或政府采购代理机构）：</w:t>
      </w:r>
    </w:p>
    <w:p w14:paraId="5B15E3F4">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单位名称（自然人姓名）：</w:t>
      </w:r>
    </w:p>
    <w:p w14:paraId="796876B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统一社会信用代码（身份证号码）：</w:t>
      </w:r>
    </w:p>
    <w:p w14:paraId="571F940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法定代表人（负责人）：</w:t>
      </w:r>
    </w:p>
    <w:p w14:paraId="35ABFF3F">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联系地址和电话：</w:t>
      </w:r>
    </w:p>
    <w:p w14:paraId="55C26F3B">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14:paraId="76CA75B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（一）具有独立承担民事责任的能力；</w:t>
      </w:r>
    </w:p>
    <w:p w14:paraId="0CBDAC03">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（二）具有良好的商业信誉和健全的财务会计制度；</w:t>
      </w:r>
    </w:p>
    <w:p w14:paraId="2394BAF5">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（三）具有履行合同所必需的设备和专业技术能力；</w:t>
      </w:r>
    </w:p>
    <w:p w14:paraId="2ABB3196">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（四）有依法缴纳税收和社会保障资金的良好记录；</w:t>
      </w:r>
    </w:p>
    <w:p w14:paraId="465F180E">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（五）参加政府采购活动前三年内，在经营活动中没有重大违法记录；</w:t>
      </w:r>
    </w:p>
    <w:p w14:paraId="2A428F7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（六）未被列入严重失信主体名单、失信被执行人、税收违法黑名单、政府采购严重违法失信行为记录名单，未曾作出虚假承诺；</w:t>
      </w:r>
    </w:p>
    <w:p w14:paraId="28C5766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（七）符合法律、行政法规规定的其他条件。</w:t>
      </w:r>
    </w:p>
    <w:p w14:paraId="281F3A9C">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我单位（本人）保证上述承诺事项的真实性，如有弄虚作假或其他违法违规行为，愿意承担一切法律责任，并承担因此所造成的一切损失。</w:t>
      </w:r>
    </w:p>
    <w:p w14:paraId="5D94361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7D8C474A">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供应商名称（盖章）：</w:t>
      </w:r>
    </w:p>
    <w:p w14:paraId="6B3DF1A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法定代表人、负责人、自然人或授权代表(签字或盖章)：</w:t>
      </w:r>
    </w:p>
    <w:p w14:paraId="50178CB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日期：       年      月       日</w:t>
      </w:r>
    </w:p>
    <w:p w14:paraId="5A75BB3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19ACDF2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3D986FD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注：1.供应商须在投标（响应性）文件中按此模板提供承诺函，未提供视为未实质性响应招标文件要求，按无效投标（响应）处理。</w:t>
      </w:r>
    </w:p>
    <w:p w14:paraId="10787DD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2.供应商的法定代表人或者授权代表的签字或盖章应真实、有效，如由授权代表签字或盖章的，应提供“法定代表人授权书”。</w:t>
      </w:r>
    </w:p>
    <w:p w14:paraId="76231F70">
      <w:pPr>
        <w:pStyle w:val="11"/>
        <w:spacing w:beforeAutospacing="0" w:afterAutospacing="0" w:line="460" w:lineRule="atLeast"/>
        <w:jc w:val="both"/>
        <w:rPr>
          <w:rFonts w:hint="eastAsia" w:ascii="宋体" w:hAnsi="宋体" w:eastAsia="宋体" w:cs="宋体"/>
          <w:b/>
          <w:bCs/>
          <w:color w:val="auto"/>
          <w:sz w:val="28"/>
          <w:szCs w:val="28"/>
          <w:highlight w:val="none"/>
        </w:rPr>
        <w:sectPr>
          <w:pgSz w:w="11906" w:h="16838"/>
          <w:pgMar w:top="1417" w:right="1474" w:bottom="1417" w:left="1474" w:header="851" w:footer="624" w:gutter="0"/>
          <w:pgNumType w:fmt="decimal"/>
          <w:cols w:space="720" w:num="1"/>
          <w:docGrid w:type="lines" w:linePitch="319" w:charSpace="0"/>
        </w:sectPr>
      </w:pPr>
    </w:p>
    <w:p w14:paraId="36FCA787">
      <w:pPr>
        <w:bidi w:val="0"/>
        <w:rPr>
          <w:rFonts w:hint="eastAsia" w:ascii="宋体" w:hAnsi="宋体" w:eastAsia="宋体" w:cs="宋体"/>
          <w:color w:val="auto"/>
          <w:highlight w:val="none"/>
          <w:lang w:eastAsia="zh-CN"/>
        </w:rPr>
      </w:pPr>
      <w:bookmarkStart w:id="140" w:name="_Toc23394"/>
      <w:bookmarkStart w:id="141" w:name="_Toc25094"/>
      <w:bookmarkStart w:id="142" w:name="_Toc31685"/>
    </w:p>
    <w:p w14:paraId="24DE6E54">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认为有必要的其他资料</w:t>
      </w:r>
      <w:bookmarkEnd w:id="140"/>
      <w:bookmarkEnd w:id="141"/>
      <w:bookmarkEnd w:id="142"/>
    </w:p>
    <w:p w14:paraId="6AA68725">
      <w:pPr>
        <w:widowControl/>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备注：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应当仔细核对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文件中有关废标条款和评标标准，提供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认为应当附加的其它内容，以充分证明其投标符合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文件规定，并为评标提供充分依据。如果</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未能提供相关证明文件，将有可能导致废标或者无法得分。</w:t>
      </w:r>
    </w:p>
    <w:p w14:paraId="190F622F">
      <w:pPr>
        <w:pStyle w:val="11"/>
        <w:spacing w:beforeAutospacing="0" w:afterAutospacing="0" w:line="460" w:lineRule="atLeast"/>
        <w:jc w:val="both"/>
        <w:rPr>
          <w:rFonts w:hint="eastAsia" w:ascii="宋体" w:hAnsi="宋体" w:eastAsia="宋体" w:cs="宋体"/>
          <w:b/>
          <w:bCs/>
          <w:color w:val="auto"/>
          <w:sz w:val="28"/>
          <w:szCs w:val="28"/>
          <w:highlight w:val="none"/>
        </w:rPr>
      </w:pPr>
    </w:p>
    <w:sectPr>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20089">
    <w:pPr>
      <w:pStyle w:val="23"/>
      <w:pBdr>
        <w:top w:val="single" w:color="auto" w:sz="4" w:space="1"/>
      </w:pBdr>
      <w:jc w:val="both"/>
    </w:pP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14FC45">
    <w:pPr>
      <w:pStyle w:val="23"/>
      <w:pBdr>
        <w:top w:val="single" w:color="auto" w:sz="4" w:space="1"/>
      </w:pBdr>
      <w:tabs>
        <w:tab w:val="center" w:pos="4479"/>
        <w:tab w:val="clear" w:pos="4153"/>
      </w:tabs>
      <w:jc w:val="both"/>
      <w:rPr>
        <w:rFonts w:hint="eastAsia" w:eastAsia="宋体"/>
        <w:lang w:eastAsia="zh-CN"/>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14605</wp:posOffset>
              </wp:positionV>
              <wp:extent cx="144780" cy="204470"/>
              <wp:effectExtent l="0" t="0" r="0" b="0"/>
              <wp:wrapNone/>
              <wp:docPr id="2"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14:paraId="4A7D528B">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61312;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JfZpqzUAAAABAEAAA8AAAAAAAAAAQAgAAAAIgAAAGRycy9kb3ducmV2LnhtbFBLAQIUABQA&#10;AAAIAIdO4kCFPnxbuwEAAHQDAAAOAAAAAAAAAAEAIAAAACMBAABkcnMvZTJvRG9jLnhtbFBLBQYA&#10;AAAABgAGAFkBAABQBQAAAAA=&#10;">
              <v:fill on="f" focussize="0,0"/>
              <v:stroke on="f"/>
              <v:imagedata o:title=""/>
              <o:lock v:ext="edit" aspectratio="f"/>
              <v:textbox inset="0mm,0mm,0mm,0mm">
                <w:txbxContent>
                  <w:p w14:paraId="4A7D528B">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r>
      <w:rPr>
        <w:rFonts w:hint="eastAsia"/>
        <w:lang w:eastAsia="zh-CN"/>
      </w:rPr>
      <w:tab/>
    </w:r>
  </w:p>
  <w:p w14:paraId="66F88EF4">
    <w:pPr>
      <w:pStyle w:val="2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C7533">
    <w:pPr>
      <w:pStyle w:val="23"/>
      <w:pBdr>
        <w:top w:val="single" w:color="auto" w:sz="4" w:space="1"/>
      </w:pBdr>
      <w:tabs>
        <w:tab w:val="center" w:pos="4479"/>
        <w:tab w:val="clear" w:pos="4153"/>
      </w:tabs>
      <w:jc w:val="both"/>
      <w:rPr>
        <w:rFonts w:hint="eastAsia" w:eastAsia="宋体"/>
        <w:lang w:eastAsia="zh-CN"/>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14:paraId="26B58A8D">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60288;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14:paraId="26B58A8D">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r>
      <w:rPr>
        <w:rFonts w:hint="eastAsia"/>
        <w:lang w:eastAsia="zh-CN"/>
      </w:rPr>
      <w:tab/>
    </w:r>
  </w:p>
  <w:p w14:paraId="1B4A088B">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41D8B">
    <w:pPr>
      <w:pStyle w:val="6"/>
      <w:jc w:val="center"/>
      <w:rPr>
        <w:rFonts w:hint="eastAsia"/>
      </w:rPr>
    </w:pPr>
    <w:r>
      <w:rPr>
        <w:rFonts w:hint="eastAsia" w:ascii="宋体" w:hAnsi="宋体" w:cs="宋体"/>
        <w:color w:val="auto"/>
        <w:szCs w:val="21"/>
        <w:highlight w:val="none"/>
        <w:u w:val="none"/>
        <w:shd w:val="clear" w:color="auto" w:fill="FFFFFF"/>
        <w:lang w:val="en-US" w:eastAsia="zh-CN"/>
      </w:rPr>
      <w:t>驻马店市中心医院双通道注射泵、输液泵采购项目采购</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A954FB"/>
    <w:multiLevelType w:val="singleLevel"/>
    <w:tmpl w:val="E8A954FB"/>
    <w:lvl w:ilvl="0" w:tentative="0">
      <w:start w:val="1"/>
      <w:numFmt w:val="decimal"/>
      <w:suff w:val="nothing"/>
      <w:lvlText w:val="%1、"/>
      <w:lvlJc w:val="left"/>
    </w:lvl>
  </w:abstractNum>
  <w:abstractNum w:abstractNumId="1">
    <w:nsid w:val="59B6410A"/>
    <w:multiLevelType w:val="singleLevel"/>
    <w:tmpl w:val="59B6410A"/>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xZTMwNmMyMDcwMThhNDM2NzZhZjYxYzY5Y2VkNzQ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1344"/>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3F46"/>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2AA"/>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459F"/>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A7BEA"/>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6713"/>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5500"/>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2CA9"/>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76050"/>
    <w:rsid w:val="010C3DC8"/>
    <w:rsid w:val="011C626C"/>
    <w:rsid w:val="011E110B"/>
    <w:rsid w:val="013616D9"/>
    <w:rsid w:val="01525212"/>
    <w:rsid w:val="01564054"/>
    <w:rsid w:val="015C0A67"/>
    <w:rsid w:val="015C2B0C"/>
    <w:rsid w:val="01675734"/>
    <w:rsid w:val="01745FBF"/>
    <w:rsid w:val="017E6D95"/>
    <w:rsid w:val="018D0058"/>
    <w:rsid w:val="01976717"/>
    <w:rsid w:val="019F1377"/>
    <w:rsid w:val="01A93FA3"/>
    <w:rsid w:val="01C55A0C"/>
    <w:rsid w:val="01D715BE"/>
    <w:rsid w:val="01EB45BC"/>
    <w:rsid w:val="01F04981"/>
    <w:rsid w:val="01F9035B"/>
    <w:rsid w:val="01FA63A5"/>
    <w:rsid w:val="02011C7D"/>
    <w:rsid w:val="02035523"/>
    <w:rsid w:val="021C6E40"/>
    <w:rsid w:val="02211F5A"/>
    <w:rsid w:val="02222FF2"/>
    <w:rsid w:val="0235276D"/>
    <w:rsid w:val="023615AF"/>
    <w:rsid w:val="02384FF4"/>
    <w:rsid w:val="023D0B8F"/>
    <w:rsid w:val="023F67A9"/>
    <w:rsid w:val="0247575A"/>
    <w:rsid w:val="025235B1"/>
    <w:rsid w:val="0262674D"/>
    <w:rsid w:val="02747B01"/>
    <w:rsid w:val="027619AC"/>
    <w:rsid w:val="02890D36"/>
    <w:rsid w:val="02B97DFD"/>
    <w:rsid w:val="02C866AB"/>
    <w:rsid w:val="02CB7F49"/>
    <w:rsid w:val="02D92EF7"/>
    <w:rsid w:val="02DA4665"/>
    <w:rsid w:val="02F40325"/>
    <w:rsid w:val="02FA082F"/>
    <w:rsid w:val="031126C4"/>
    <w:rsid w:val="033E4BBF"/>
    <w:rsid w:val="034733B8"/>
    <w:rsid w:val="03475E56"/>
    <w:rsid w:val="0353518A"/>
    <w:rsid w:val="035E4919"/>
    <w:rsid w:val="03675F31"/>
    <w:rsid w:val="036A009A"/>
    <w:rsid w:val="03726617"/>
    <w:rsid w:val="037A734D"/>
    <w:rsid w:val="03844805"/>
    <w:rsid w:val="03845791"/>
    <w:rsid w:val="03A011E9"/>
    <w:rsid w:val="03AE7F27"/>
    <w:rsid w:val="03BD2BCD"/>
    <w:rsid w:val="03C07382"/>
    <w:rsid w:val="03CC058D"/>
    <w:rsid w:val="03E017D2"/>
    <w:rsid w:val="03F447E2"/>
    <w:rsid w:val="03F62DA4"/>
    <w:rsid w:val="03F77068"/>
    <w:rsid w:val="03FB660C"/>
    <w:rsid w:val="042E37DB"/>
    <w:rsid w:val="04416C20"/>
    <w:rsid w:val="04602913"/>
    <w:rsid w:val="046E083B"/>
    <w:rsid w:val="04732647"/>
    <w:rsid w:val="047968B1"/>
    <w:rsid w:val="0483483A"/>
    <w:rsid w:val="04870542"/>
    <w:rsid w:val="04A24CDA"/>
    <w:rsid w:val="04B30F7A"/>
    <w:rsid w:val="04BE5FB8"/>
    <w:rsid w:val="04BF2EAB"/>
    <w:rsid w:val="04DA4474"/>
    <w:rsid w:val="04E6149D"/>
    <w:rsid w:val="04EB6D1E"/>
    <w:rsid w:val="04FF0D45"/>
    <w:rsid w:val="050E236F"/>
    <w:rsid w:val="051C683A"/>
    <w:rsid w:val="05396C19"/>
    <w:rsid w:val="054C0111"/>
    <w:rsid w:val="05545DD3"/>
    <w:rsid w:val="056E2AD6"/>
    <w:rsid w:val="05720B50"/>
    <w:rsid w:val="05806815"/>
    <w:rsid w:val="058251D3"/>
    <w:rsid w:val="058C28F1"/>
    <w:rsid w:val="05945CCE"/>
    <w:rsid w:val="059D05A4"/>
    <w:rsid w:val="059D5E17"/>
    <w:rsid w:val="059E1E1A"/>
    <w:rsid w:val="05AB0A28"/>
    <w:rsid w:val="05AB0F81"/>
    <w:rsid w:val="05B93D6B"/>
    <w:rsid w:val="05BE1FE7"/>
    <w:rsid w:val="05C23EEE"/>
    <w:rsid w:val="05CA4074"/>
    <w:rsid w:val="05D53002"/>
    <w:rsid w:val="05D75738"/>
    <w:rsid w:val="05EB110D"/>
    <w:rsid w:val="05EB4481"/>
    <w:rsid w:val="05F17CC7"/>
    <w:rsid w:val="06020126"/>
    <w:rsid w:val="061E7D14"/>
    <w:rsid w:val="06446B44"/>
    <w:rsid w:val="06560AED"/>
    <w:rsid w:val="065763BC"/>
    <w:rsid w:val="066469C9"/>
    <w:rsid w:val="066646A1"/>
    <w:rsid w:val="066E164D"/>
    <w:rsid w:val="068B75CC"/>
    <w:rsid w:val="068E7B23"/>
    <w:rsid w:val="06983B20"/>
    <w:rsid w:val="069A3B66"/>
    <w:rsid w:val="06A869D6"/>
    <w:rsid w:val="06A9264E"/>
    <w:rsid w:val="06B31420"/>
    <w:rsid w:val="06B62CBE"/>
    <w:rsid w:val="06B91765"/>
    <w:rsid w:val="06CA2AD2"/>
    <w:rsid w:val="06CB0D68"/>
    <w:rsid w:val="06CE1DB6"/>
    <w:rsid w:val="06CE3071"/>
    <w:rsid w:val="06CE625A"/>
    <w:rsid w:val="06D33DBA"/>
    <w:rsid w:val="06D575E9"/>
    <w:rsid w:val="06D67D46"/>
    <w:rsid w:val="06D73361"/>
    <w:rsid w:val="06E13F9F"/>
    <w:rsid w:val="06E551DE"/>
    <w:rsid w:val="06EA51FF"/>
    <w:rsid w:val="06FB0AC5"/>
    <w:rsid w:val="06FB4219"/>
    <w:rsid w:val="06FE1605"/>
    <w:rsid w:val="06FE7278"/>
    <w:rsid w:val="070D2D5D"/>
    <w:rsid w:val="07104A12"/>
    <w:rsid w:val="07111B8D"/>
    <w:rsid w:val="072916E2"/>
    <w:rsid w:val="072A7934"/>
    <w:rsid w:val="072B0FB7"/>
    <w:rsid w:val="072C5514"/>
    <w:rsid w:val="07364B53"/>
    <w:rsid w:val="0737768A"/>
    <w:rsid w:val="073F3846"/>
    <w:rsid w:val="074A5B92"/>
    <w:rsid w:val="074C36FE"/>
    <w:rsid w:val="075D0147"/>
    <w:rsid w:val="075E3193"/>
    <w:rsid w:val="07683FB9"/>
    <w:rsid w:val="076F5347"/>
    <w:rsid w:val="07754928"/>
    <w:rsid w:val="078E18EB"/>
    <w:rsid w:val="078F59E9"/>
    <w:rsid w:val="07AA2823"/>
    <w:rsid w:val="07B02D9F"/>
    <w:rsid w:val="07B10EA5"/>
    <w:rsid w:val="07C510CB"/>
    <w:rsid w:val="07CD6512"/>
    <w:rsid w:val="07CE3FA1"/>
    <w:rsid w:val="07EC2ECB"/>
    <w:rsid w:val="07FE66CB"/>
    <w:rsid w:val="08030185"/>
    <w:rsid w:val="080B4D47"/>
    <w:rsid w:val="081B727D"/>
    <w:rsid w:val="081D2FF5"/>
    <w:rsid w:val="08321601"/>
    <w:rsid w:val="08326375"/>
    <w:rsid w:val="08397703"/>
    <w:rsid w:val="083D5C91"/>
    <w:rsid w:val="084478DC"/>
    <w:rsid w:val="0847191F"/>
    <w:rsid w:val="08591DC3"/>
    <w:rsid w:val="085B58CB"/>
    <w:rsid w:val="08672793"/>
    <w:rsid w:val="08695E80"/>
    <w:rsid w:val="086C0A51"/>
    <w:rsid w:val="087C4541"/>
    <w:rsid w:val="087C5698"/>
    <w:rsid w:val="087E5595"/>
    <w:rsid w:val="08954FA6"/>
    <w:rsid w:val="08A008A9"/>
    <w:rsid w:val="08B125BC"/>
    <w:rsid w:val="08BA4CE8"/>
    <w:rsid w:val="08BC0A60"/>
    <w:rsid w:val="08BC290E"/>
    <w:rsid w:val="08C52D6F"/>
    <w:rsid w:val="08E42BE4"/>
    <w:rsid w:val="08EF0201"/>
    <w:rsid w:val="08F41DE8"/>
    <w:rsid w:val="08FF0C82"/>
    <w:rsid w:val="09023F99"/>
    <w:rsid w:val="093662C9"/>
    <w:rsid w:val="093D1475"/>
    <w:rsid w:val="094840A2"/>
    <w:rsid w:val="09644C54"/>
    <w:rsid w:val="09737462"/>
    <w:rsid w:val="09864BCA"/>
    <w:rsid w:val="099156C3"/>
    <w:rsid w:val="09A33F5B"/>
    <w:rsid w:val="09A53F39"/>
    <w:rsid w:val="09A60E13"/>
    <w:rsid w:val="09A82D92"/>
    <w:rsid w:val="09AB2883"/>
    <w:rsid w:val="09BA58DA"/>
    <w:rsid w:val="09C35E1E"/>
    <w:rsid w:val="09CD0A4B"/>
    <w:rsid w:val="09D206F0"/>
    <w:rsid w:val="09DB2176"/>
    <w:rsid w:val="0A183EA3"/>
    <w:rsid w:val="0A2D5046"/>
    <w:rsid w:val="0A321AC2"/>
    <w:rsid w:val="0A343D4E"/>
    <w:rsid w:val="0A344626"/>
    <w:rsid w:val="0A3E6D2E"/>
    <w:rsid w:val="0A4232E4"/>
    <w:rsid w:val="0A433171"/>
    <w:rsid w:val="0A4F145F"/>
    <w:rsid w:val="0A8455AD"/>
    <w:rsid w:val="0A8729A8"/>
    <w:rsid w:val="0A99092D"/>
    <w:rsid w:val="0ABA2D7D"/>
    <w:rsid w:val="0AD13A85"/>
    <w:rsid w:val="0AD35BED"/>
    <w:rsid w:val="0ADF0A36"/>
    <w:rsid w:val="0AE0655C"/>
    <w:rsid w:val="0B091954"/>
    <w:rsid w:val="0B0E6195"/>
    <w:rsid w:val="0B187425"/>
    <w:rsid w:val="0B195776"/>
    <w:rsid w:val="0B1A7CC0"/>
    <w:rsid w:val="0B34773E"/>
    <w:rsid w:val="0B3B7D65"/>
    <w:rsid w:val="0B434C20"/>
    <w:rsid w:val="0B550CF8"/>
    <w:rsid w:val="0B5F0822"/>
    <w:rsid w:val="0B637D77"/>
    <w:rsid w:val="0B7006C4"/>
    <w:rsid w:val="0B726646"/>
    <w:rsid w:val="0B7606E8"/>
    <w:rsid w:val="0B8B471A"/>
    <w:rsid w:val="0B924545"/>
    <w:rsid w:val="0BAC324F"/>
    <w:rsid w:val="0BB40DF1"/>
    <w:rsid w:val="0BC11EE9"/>
    <w:rsid w:val="0BC92F82"/>
    <w:rsid w:val="0BF16C73"/>
    <w:rsid w:val="0BF16E09"/>
    <w:rsid w:val="0BF72F1E"/>
    <w:rsid w:val="0C006EB6"/>
    <w:rsid w:val="0C0A7D34"/>
    <w:rsid w:val="0C230DF6"/>
    <w:rsid w:val="0C232BA4"/>
    <w:rsid w:val="0C3152C1"/>
    <w:rsid w:val="0C355862"/>
    <w:rsid w:val="0C3957A5"/>
    <w:rsid w:val="0C497634"/>
    <w:rsid w:val="0C507E2F"/>
    <w:rsid w:val="0C600D66"/>
    <w:rsid w:val="0C626DA7"/>
    <w:rsid w:val="0C6876AE"/>
    <w:rsid w:val="0C71390F"/>
    <w:rsid w:val="0C720EC8"/>
    <w:rsid w:val="0C7928B1"/>
    <w:rsid w:val="0C942042"/>
    <w:rsid w:val="0C960695"/>
    <w:rsid w:val="0C9D50DC"/>
    <w:rsid w:val="0C9E5430"/>
    <w:rsid w:val="0CA5271D"/>
    <w:rsid w:val="0CAC4D10"/>
    <w:rsid w:val="0CC53C5B"/>
    <w:rsid w:val="0CC72121"/>
    <w:rsid w:val="0CC872A8"/>
    <w:rsid w:val="0CEE5A21"/>
    <w:rsid w:val="0D05268E"/>
    <w:rsid w:val="0D0646E7"/>
    <w:rsid w:val="0D0C38CA"/>
    <w:rsid w:val="0D206810"/>
    <w:rsid w:val="0D4861FD"/>
    <w:rsid w:val="0D493385"/>
    <w:rsid w:val="0D51729D"/>
    <w:rsid w:val="0D6671EC"/>
    <w:rsid w:val="0D735465"/>
    <w:rsid w:val="0DC577E0"/>
    <w:rsid w:val="0DD71E98"/>
    <w:rsid w:val="0DDC6319"/>
    <w:rsid w:val="0DE1181F"/>
    <w:rsid w:val="0DFA5B87"/>
    <w:rsid w:val="0DFE4F67"/>
    <w:rsid w:val="0E0C0D4C"/>
    <w:rsid w:val="0E115DA1"/>
    <w:rsid w:val="0E1409F6"/>
    <w:rsid w:val="0E162D6D"/>
    <w:rsid w:val="0E460DCC"/>
    <w:rsid w:val="0E5057A7"/>
    <w:rsid w:val="0E541CA2"/>
    <w:rsid w:val="0E576B35"/>
    <w:rsid w:val="0E594756"/>
    <w:rsid w:val="0E5B311A"/>
    <w:rsid w:val="0E6A2D0C"/>
    <w:rsid w:val="0E6E4D6B"/>
    <w:rsid w:val="0E9438E5"/>
    <w:rsid w:val="0E95596D"/>
    <w:rsid w:val="0EAE6205"/>
    <w:rsid w:val="0EAE6579"/>
    <w:rsid w:val="0EAF71BF"/>
    <w:rsid w:val="0EB67098"/>
    <w:rsid w:val="0EC20452"/>
    <w:rsid w:val="0ECE6257"/>
    <w:rsid w:val="0EE4129D"/>
    <w:rsid w:val="0EFB3964"/>
    <w:rsid w:val="0F171032"/>
    <w:rsid w:val="0F335E69"/>
    <w:rsid w:val="0F372614"/>
    <w:rsid w:val="0F3D59C9"/>
    <w:rsid w:val="0F516D5A"/>
    <w:rsid w:val="0F565B36"/>
    <w:rsid w:val="0F625791"/>
    <w:rsid w:val="0F684933"/>
    <w:rsid w:val="0F6E2388"/>
    <w:rsid w:val="0F7554C5"/>
    <w:rsid w:val="0F7A2ADB"/>
    <w:rsid w:val="0F821E7D"/>
    <w:rsid w:val="0F8B4CE8"/>
    <w:rsid w:val="0FC91CB4"/>
    <w:rsid w:val="0FCA42ED"/>
    <w:rsid w:val="0FCD285F"/>
    <w:rsid w:val="0FDB5F4F"/>
    <w:rsid w:val="0FE64614"/>
    <w:rsid w:val="0FE7592C"/>
    <w:rsid w:val="0FFA3845"/>
    <w:rsid w:val="0FFC17A5"/>
    <w:rsid w:val="0FFD20F0"/>
    <w:rsid w:val="10142F30"/>
    <w:rsid w:val="101A606C"/>
    <w:rsid w:val="101C3B92"/>
    <w:rsid w:val="10352857"/>
    <w:rsid w:val="103E6E57"/>
    <w:rsid w:val="1041497B"/>
    <w:rsid w:val="10425FF6"/>
    <w:rsid w:val="104A6BDE"/>
    <w:rsid w:val="106612B1"/>
    <w:rsid w:val="108B0D18"/>
    <w:rsid w:val="109010E6"/>
    <w:rsid w:val="10B14C22"/>
    <w:rsid w:val="10B271F4"/>
    <w:rsid w:val="10B537CC"/>
    <w:rsid w:val="10C61D50"/>
    <w:rsid w:val="10C8275C"/>
    <w:rsid w:val="10C86D3B"/>
    <w:rsid w:val="10E03539"/>
    <w:rsid w:val="10E82D1F"/>
    <w:rsid w:val="10EE5C94"/>
    <w:rsid w:val="10F5757C"/>
    <w:rsid w:val="10F93ED3"/>
    <w:rsid w:val="10FE773C"/>
    <w:rsid w:val="111D7BC2"/>
    <w:rsid w:val="11250F40"/>
    <w:rsid w:val="113329E7"/>
    <w:rsid w:val="113F294C"/>
    <w:rsid w:val="11405DAC"/>
    <w:rsid w:val="11437C85"/>
    <w:rsid w:val="115358B6"/>
    <w:rsid w:val="11575085"/>
    <w:rsid w:val="115B4B8E"/>
    <w:rsid w:val="1166372C"/>
    <w:rsid w:val="11700D10"/>
    <w:rsid w:val="1178125A"/>
    <w:rsid w:val="118441E0"/>
    <w:rsid w:val="1196056D"/>
    <w:rsid w:val="11B85B3D"/>
    <w:rsid w:val="11CD20A0"/>
    <w:rsid w:val="11D34654"/>
    <w:rsid w:val="11FA650A"/>
    <w:rsid w:val="12010480"/>
    <w:rsid w:val="12040D82"/>
    <w:rsid w:val="120D5E88"/>
    <w:rsid w:val="120E707F"/>
    <w:rsid w:val="12192A7F"/>
    <w:rsid w:val="121D0051"/>
    <w:rsid w:val="12413D84"/>
    <w:rsid w:val="124D5E45"/>
    <w:rsid w:val="127A7D1C"/>
    <w:rsid w:val="12836D8B"/>
    <w:rsid w:val="12993BC0"/>
    <w:rsid w:val="12AB0349"/>
    <w:rsid w:val="12B66520"/>
    <w:rsid w:val="12CD57F1"/>
    <w:rsid w:val="12CE5941"/>
    <w:rsid w:val="12CE7AFA"/>
    <w:rsid w:val="12D67466"/>
    <w:rsid w:val="12DC3213"/>
    <w:rsid w:val="12F928B1"/>
    <w:rsid w:val="13036052"/>
    <w:rsid w:val="131F52C6"/>
    <w:rsid w:val="13272A5D"/>
    <w:rsid w:val="132A2A6A"/>
    <w:rsid w:val="133631BD"/>
    <w:rsid w:val="133C40E3"/>
    <w:rsid w:val="133F4BFF"/>
    <w:rsid w:val="13410069"/>
    <w:rsid w:val="13493108"/>
    <w:rsid w:val="134A4EBA"/>
    <w:rsid w:val="13616720"/>
    <w:rsid w:val="13713CFE"/>
    <w:rsid w:val="13733928"/>
    <w:rsid w:val="137361BF"/>
    <w:rsid w:val="13741F37"/>
    <w:rsid w:val="13762B35"/>
    <w:rsid w:val="13857CA0"/>
    <w:rsid w:val="13920D68"/>
    <w:rsid w:val="139546B6"/>
    <w:rsid w:val="13961EAE"/>
    <w:rsid w:val="139C16C9"/>
    <w:rsid w:val="13A5238E"/>
    <w:rsid w:val="13AD3FA2"/>
    <w:rsid w:val="13B63CE1"/>
    <w:rsid w:val="13BA3DEE"/>
    <w:rsid w:val="13BC6684"/>
    <w:rsid w:val="13C72B3A"/>
    <w:rsid w:val="13D12EE6"/>
    <w:rsid w:val="13DF575E"/>
    <w:rsid w:val="13E37615"/>
    <w:rsid w:val="13E470BD"/>
    <w:rsid w:val="13EE3A98"/>
    <w:rsid w:val="13F3280A"/>
    <w:rsid w:val="13F90892"/>
    <w:rsid w:val="14060DE1"/>
    <w:rsid w:val="142123F7"/>
    <w:rsid w:val="142A11D8"/>
    <w:rsid w:val="144B544C"/>
    <w:rsid w:val="145B7B45"/>
    <w:rsid w:val="14627FE2"/>
    <w:rsid w:val="14717443"/>
    <w:rsid w:val="14727C56"/>
    <w:rsid w:val="14825F8A"/>
    <w:rsid w:val="14832432"/>
    <w:rsid w:val="148C70AD"/>
    <w:rsid w:val="148D52E3"/>
    <w:rsid w:val="14992B90"/>
    <w:rsid w:val="149F10C7"/>
    <w:rsid w:val="14A02886"/>
    <w:rsid w:val="14AF1856"/>
    <w:rsid w:val="14AF19A3"/>
    <w:rsid w:val="14B22D17"/>
    <w:rsid w:val="14B52807"/>
    <w:rsid w:val="14B53957"/>
    <w:rsid w:val="14BA7E1E"/>
    <w:rsid w:val="14C53ECE"/>
    <w:rsid w:val="14CB3DD9"/>
    <w:rsid w:val="14CF6CB0"/>
    <w:rsid w:val="14D10E8D"/>
    <w:rsid w:val="14DB04C0"/>
    <w:rsid w:val="14DC5FE6"/>
    <w:rsid w:val="14E002E6"/>
    <w:rsid w:val="14E05AD6"/>
    <w:rsid w:val="14FC36BD"/>
    <w:rsid w:val="14FF5EA7"/>
    <w:rsid w:val="15127C5A"/>
    <w:rsid w:val="151E3A0F"/>
    <w:rsid w:val="152534E9"/>
    <w:rsid w:val="152A4FA3"/>
    <w:rsid w:val="153A36AA"/>
    <w:rsid w:val="15477903"/>
    <w:rsid w:val="1557566D"/>
    <w:rsid w:val="155E69FB"/>
    <w:rsid w:val="1562063D"/>
    <w:rsid w:val="1565422D"/>
    <w:rsid w:val="1565770B"/>
    <w:rsid w:val="156E0971"/>
    <w:rsid w:val="15785B3E"/>
    <w:rsid w:val="15811F1B"/>
    <w:rsid w:val="15870933"/>
    <w:rsid w:val="158F3058"/>
    <w:rsid w:val="15A30135"/>
    <w:rsid w:val="15A34015"/>
    <w:rsid w:val="15A5287C"/>
    <w:rsid w:val="15B605E5"/>
    <w:rsid w:val="15BB487B"/>
    <w:rsid w:val="15CE086D"/>
    <w:rsid w:val="15E2236F"/>
    <w:rsid w:val="15FB2D16"/>
    <w:rsid w:val="15FF01DE"/>
    <w:rsid w:val="16005D04"/>
    <w:rsid w:val="160752E5"/>
    <w:rsid w:val="161D09ED"/>
    <w:rsid w:val="162323A3"/>
    <w:rsid w:val="162F30B1"/>
    <w:rsid w:val="1650762F"/>
    <w:rsid w:val="16510F12"/>
    <w:rsid w:val="166448F9"/>
    <w:rsid w:val="1677211D"/>
    <w:rsid w:val="16774218"/>
    <w:rsid w:val="167954F9"/>
    <w:rsid w:val="167F7C87"/>
    <w:rsid w:val="169311EC"/>
    <w:rsid w:val="169C5A2D"/>
    <w:rsid w:val="169F7296"/>
    <w:rsid w:val="16A060BA"/>
    <w:rsid w:val="16A57EAF"/>
    <w:rsid w:val="16A918E4"/>
    <w:rsid w:val="16AC6E3F"/>
    <w:rsid w:val="16AE652A"/>
    <w:rsid w:val="16B56AEF"/>
    <w:rsid w:val="16C872D5"/>
    <w:rsid w:val="16D54FA3"/>
    <w:rsid w:val="16D84D9F"/>
    <w:rsid w:val="16E94D3E"/>
    <w:rsid w:val="16F45621"/>
    <w:rsid w:val="16F47617"/>
    <w:rsid w:val="170D06E0"/>
    <w:rsid w:val="17125CEF"/>
    <w:rsid w:val="171750B3"/>
    <w:rsid w:val="17233E03"/>
    <w:rsid w:val="172F4AF3"/>
    <w:rsid w:val="17332185"/>
    <w:rsid w:val="17475951"/>
    <w:rsid w:val="17546308"/>
    <w:rsid w:val="175C542D"/>
    <w:rsid w:val="175D0ED4"/>
    <w:rsid w:val="17793FC0"/>
    <w:rsid w:val="179D33A9"/>
    <w:rsid w:val="179F2E61"/>
    <w:rsid w:val="17A06264"/>
    <w:rsid w:val="17A60E26"/>
    <w:rsid w:val="17AA5F28"/>
    <w:rsid w:val="17B80644"/>
    <w:rsid w:val="17BE19D3"/>
    <w:rsid w:val="17C227C0"/>
    <w:rsid w:val="17D66D7C"/>
    <w:rsid w:val="17DE0EDF"/>
    <w:rsid w:val="17EE5BFF"/>
    <w:rsid w:val="18097740"/>
    <w:rsid w:val="18136133"/>
    <w:rsid w:val="1821268E"/>
    <w:rsid w:val="182E0907"/>
    <w:rsid w:val="184055B9"/>
    <w:rsid w:val="1840688C"/>
    <w:rsid w:val="184A2082"/>
    <w:rsid w:val="184E2D57"/>
    <w:rsid w:val="185A16FC"/>
    <w:rsid w:val="185D3C42"/>
    <w:rsid w:val="185F38AF"/>
    <w:rsid w:val="188F0211"/>
    <w:rsid w:val="18AD1BEB"/>
    <w:rsid w:val="18B3004A"/>
    <w:rsid w:val="18B31B6D"/>
    <w:rsid w:val="18B75B5F"/>
    <w:rsid w:val="18B83CF9"/>
    <w:rsid w:val="18B96080"/>
    <w:rsid w:val="18CB43A7"/>
    <w:rsid w:val="18CE20EA"/>
    <w:rsid w:val="18DB2CD8"/>
    <w:rsid w:val="18F67868"/>
    <w:rsid w:val="19061883"/>
    <w:rsid w:val="190B2D88"/>
    <w:rsid w:val="190E6B63"/>
    <w:rsid w:val="19123928"/>
    <w:rsid w:val="19194264"/>
    <w:rsid w:val="19283048"/>
    <w:rsid w:val="193F7D58"/>
    <w:rsid w:val="19420786"/>
    <w:rsid w:val="19427EC0"/>
    <w:rsid w:val="194C028D"/>
    <w:rsid w:val="195711D7"/>
    <w:rsid w:val="195D2A3F"/>
    <w:rsid w:val="198310E9"/>
    <w:rsid w:val="198D747A"/>
    <w:rsid w:val="19A15638"/>
    <w:rsid w:val="19A74DFE"/>
    <w:rsid w:val="19A753EF"/>
    <w:rsid w:val="19B117EF"/>
    <w:rsid w:val="1A125525"/>
    <w:rsid w:val="1A332204"/>
    <w:rsid w:val="1A43009A"/>
    <w:rsid w:val="1A5F4342"/>
    <w:rsid w:val="1A616E2C"/>
    <w:rsid w:val="1A715D02"/>
    <w:rsid w:val="1A77646D"/>
    <w:rsid w:val="1A7B75D1"/>
    <w:rsid w:val="1A7F369B"/>
    <w:rsid w:val="1A8A3DEE"/>
    <w:rsid w:val="1A8C5D82"/>
    <w:rsid w:val="1A971D02"/>
    <w:rsid w:val="1A994988"/>
    <w:rsid w:val="1A9B0321"/>
    <w:rsid w:val="1A9B546C"/>
    <w:rsid w:val="1A9D1D74"/>
    <w:rsid w:val="1A9E141F"/>
    <w:rsid w:val="1A9E4854"/>
    <w:rsid w:val="1AA3511F"/>
    <w:rsid w:val="1AAE3B54"/>
    <w:rsid w:val="1ABA40DB"/>
    <w:rsid w:val="1ABE2809"/>
    <w:rsid w:val="1AC10987"/>
    <w:rsid w:val="1AD11A1D"/>
    <w:rsid w:val="1AEB6F83"/>
    <w:rsid w:val="1AF423FA"/>
    <w:rsid w:val="1B0C5B32"/>
    <w:rsid w:val="1B0D3E82"/>
    <w:rsid w:val="1B1464DA"/>
    <w:rsid w:val="1B1652AB"/>
    <w:rsid w:val="1B181CD5"/>
    <w:rsid w:val="1B195CB1"/>
    <w:rsid w:val="1B265306"/>
    <w:rsid w:val="1B4346C9"/>
    <w:rsid w:val="1B486183"/>
    <w:rsid w:val="1B4A3700"/>
    <w:rsid w:val="1B4F2450"/>
    <w:rsid w:val="1B50619C"/>
    <w:rsid w:val="1B530868"/>
    <w:rsid w:val="1B6573E8"/>
    <w:rsid w:val="1B666609"/>
    <w:rsid w:val="1B6922A5"/>
    <w:rsid w:val="1B6C51E3"/>
    <w:rsid w:val="1B721452"/>
    <w:rsid w:val="1B7C5E2D"/>
    <w:rsid w:val="1B8C18B7"/>
    <w:rsid w:val="1B8C2514"/>
    <w:rsid w:val="1B9F7CA6"/>
    <w:rsid w:val="1BB73AE1"/>
    <w:rsid w:val="1BDA6D68"/>
    <w:rsid w:val="1BF14125"/>
    <w:rsid w:val="1C002CEE"/>
    <w:rsid w:val="1C36517D"/>
    <w:rsid w:val="1C3C2486"/>
    <w:rsid w:val="1C4032FE"/>
    <w:rsid w:val="1C4E77C9"/>
    <w:rsid w:val="1C4F709D"/>
    <w:rsid w:val="1C555978"/>
    <w:rsid w:val="1C6554A1"/>
    <w:rsid w:val="1C7971B7"/>
    <w:rsid w:val="1C8036FB"/>
    <w:rsid w:val="1C917D91"/>
    <w:rsid w:val="1C9978FC"/>
    <w:rsid w:val="1CA87ED6"/>
    <w:rsid w:val="1CAB2820"/>
    <w:rsid w:val="1CD402EC"/>
    <w:rsid w:val="1CE95744"/>
    <w:rsid w:val="1CED16EF"/>
    <w:rsid w:val="1CF02333"/>
    <w:rsid w:val="1D047E88"/>
    <w:rsid w:val="1D0A0FEB"/>
    <w:rsid w:val="1D0C33A2"/>
    <w:rsid w:val="1D0C4F8F"/>
    <w:rsid w:val="1D113E6E"/>
    <w:rsid w:val="1D114E5E"/>
    <w:rsid w:val="1D1F0050"/>
    <w:rsid w:val="1D214EDE"/>
    <w:rsid w:val="1D2222DC"/>
    <w:rsid w:val="1D5144F7"/>
    <w:rsid w:val="1D5B3CDE"/>
    <w:rsid w:val="1D5D0701"/>
    <w:rsid w:val="1D61177E"/>
    <w:rsid w:val="1D65301C"/>
    <w:rsid w:val="1D6E2950"/>
    <w:rsid w:val="1D79298C"/>
    <w:rsid w:val="1D98209B"/>
    <w:rsid w:val="1DA23746"/>
    <w:rsid w:val="1DAA14B9"/>
    <w:rsid w:val="1DAF4298"/>
    <w:rsid w:val="1DD04513"/>
    <w:rsid w:val="1DD8524D"/>
    <w:rsid w:val="1DDD2BCB"/>
    <w:rsid w:val="1E0345E3"/>
    <w:rsid w:val="1E1B7B7F"/>
    <w:rsid w:val="1E443370"/>
    <w:rsid w:val="1E656063"/>
    <w:rsid w:val="1E6B06A5"/>
    <w:rsid w:val="1E6E5F01"/>
    <w:rsid w:val="1E7554E1"/>
    <w:rsid w:val="1E7F7D9E"/>
    <w:rsid w:val="1E82375A"/>
    <w:rsid w:val="1E840DA4"/>
    <w:rsid w:val="1E85324A"/>
    <w:rsid w:val="1EA5444C"/>
    <w:rsid w:val="1EA5569B"/>
    <w:rsid w:val="1EA638BC"/>
    <w:rsid w:val="1EB350EF"/>
    <w:rsid w:val="1EC21749"/>
    <w:rsid w:val="1EEB7C4E"/>
    <w:rsid w:val="1F072441"/>
    <w:rsid w:val="1F0C571A"/>
    <w:rsid w:val="1F171B83"/>
    <w:rsid w:val="1F2D4691"/>
    <w:rsid w:val="1F2D491A"/>
    <w:rsid w:val="1F3F789D"/>
    <w:rsid w:val="1F4E5D32"/>
    <w:rsid w:val="1F66355F"/>
    <w:rsid w:val="1F6B7998"/>
    <w:rsid w:val="1F7369C7"/>
    <w:rsid w:val="1F9113A9"/>
    <w:rsid w:val="1F94547B"/>
    <w:rsid w:val="1FA47700"/>
    <w:rsid w:val="1FA72C06"/>
    <w:rsid w:val="1FAF308C"/>
    <w:rsid w:val="1FB64FF9"/>
    <w:rsid w:val="1FC11109"/>
    <w:rsid w:val="1FDA3223"/>
    <w:rsid w:val="1FDE2C12"/>
    <w:rsid w:val="1FEF08C8"/>
    <w:rsid w:val="1FF72E6A"/>
    <w:rsid w:val="1FFB6F12"/>
    <w:rsid w:val="1FFC12EA"/>
    <w:rsid w:val="201B3ED4"/>
    <w:rsid w:val="201E5705"/>
    <w:rsid w:val="20230F6D"/>
    <w:rsid w:val="20310B02"/>
    <w:rsid w:val="20344F28"/>
    <w:rsid w:val="20631369"/>
    <w:rsid w:val="206F0406"/>
    <w:rsid w:val="207417C9"/>
    <w:rsid w:val="20784063"/>
    <w:rsid w:val="207E346A"/>
    <w:rsid w:val="208E12C3"/>
    <w:rsid w:val="209502A3"/>
    <w:rsid w:val="20B120D5"/>
    <w:rsid w:val="20EA3839"/>
    <w:rsid w:val="20F6042F"/>
    <w:rsid w:val="2100305C"/>
    <w:rsid w:val="210F579E"/>
    <w:rsid w:val="21163FF0"/>
    <w:rsid w:val="211B39F2"/>
    <w:rsid w:val="211C7E96"/>
    <w:rsid w:val="212550B5"/>
    <w:rsid w:val="21592B62"/>
    <w:rsid w:val="2172049B"/>
    <w:rsid w:val="21747CD2"/>
    <w:rsid w:val="21876687"/>
    <w:rsid w:val="21893052"/>
    <w:rsid w:val="219263AA"/>
    <w:rsid w:val="219E5782"/>
    <w:rsid w:val="21BA320B"/>
    <w:rsid w:val="21C07E10"/>
    <w:rsid w:val="21C10A3D"/>
    <w:rsid w:val="21D10545"/>
    <w:rsid w:val="21D23332"/>
    <w:rsid w:val="21E72B0B"/>
    <w:rsid w:val="21E76A4A"/>
    <w:rsid w:val="21EE607E"/>
    <w:rsid w:val="21F229A5"/>
    <w:rsid w:val="21F66F4C"/>
    <w:rsid w:val="21FA5DA1"/>
    <w:rsid w:val="22056B7C"/>
    <w:rsid w:val="2217240B"/>
    <w:rsid w:val="221F2D96"/>
    <w:rsid w:val="2221328A"/>
    <w:rsid w:val="22246DB1"/>
    <w:rsid w:val="222F450C"/>
    <w:rsid w:val="22440067"/>
    <w:rsid w:val="225A6017"/>
    <w:rsid w:val="22631AF5"/>
    <w:rsid w:val="227A5532"/>
    <w:rsid w:val="22843A03"/>
    <w:rsid w:val="228E5C2C"/>
    <w:rsid w:val="22A04AF7"/>
    <w:rsid w:val="22A243CB"/>
    <w:rsid w:val="22A338AB"/>
    <w:rsid w:val="22A3401F"/>
    <w:rsid w:val="22AD37A2"/>
    <w:rsid w:val="22AF663F"/>
    <w:rsid w:val="22B31E8A"/>
    <w:rsid w:val="22C05285"/>
    <w:rsid w:val="22C735BD"/>
    <w:rsid w:val="22CA1B74"/>
    <w:rsid w:val="22CF0F38"/>
    <w:rsid w:val="22D729A8"/>
    <w:rsid w:val="22F06957"/>
    <w:rsid w:val="22FF181D"/>
    <w:rsid w:val="2302130E"/>
    <w:rsid w:val="23057681"/>
    <w:rsid w:val="23122833"/>
    <w:rsid w:val="231A71B0"/>
    <w:rsid w:val="231D4917"/>
    <w:rsid w:val="23223458"/>
    <w:rsid w:val="23225D32"/>
    <w:rsid w:val="23357BE6"/>
    <w:rsid w:val="233F7E6C"/>
    <w:rsid w:val="2342574E"/>
    <w:rsid w:val="23476D20"/>
    <w:rsid w:val="234779E1"/>
    <w:rsid w:val="2355143D"/>
    <w:rsid w:val="236D1BFA"/>
    <w:rsid w:val="236D331D"/>
    <w:rsid w:val="2377331D"/>
    <w:rsid w:val="237D43DE"/>
    <w:rsid w:val="23940114"/>
    <w:rsid w:val="239A1546"/>
    <w:rsid w:val="23B57016"/>
    <w:rsid w:val="23C4797E"/>
    <w:rsid w:val="23CD5478"/>
    <w:rsid w:val="23D4764B"/>
    <w:rsid w:val="23E40A13"/>
    <w:rsid w:val="23EC3718"/>
    <w:rsid w:val="23EE304F"/>
    <w:rsid w:val="23FD7010"/>
    <w:rsid w:val="240243FC"/>
    <w:rsid w:val="24044EF2"/>
    <w:rsid w:val="2407139D"/>
    <w:rsid w:val="240B04F4"/>
    <w:rsid w:val="240E369A"/>
    <w:rsid w:val="241E2177"/>
    <w:rsid w:val="242A0646"/>
    <w:rsid w:val="242A0B1C"/>
    <w:rsid w:val="24301B19"/>
    <w:rsid w:val="2435301D"/>
    <w:rsid w:val="243A0633"/>
    <w:rsid w:val="243D6E1A"/>
    <w:rsid w:val="24453D05"/>
    <w:rsid w:val="244A2F6C"/>
    <w:rsid w:val="244A3744"/>
    <w:rsid w:val="245C4A4D"/>
    <w:rsid w:val="24607F91"/>
    <w:rsid w:val="246C581B"/>
    <w:rsid w:val="247C52A2"/>
    <w:rsid w:val="24942917"/>
    <w:rsid w:val="24A0493A"/>
    <w:rsid w:val="24AE34FB"/>
    <w:rsid w:val="24CC106B"/>
    <w:rsid w:val="24D00598"/>
    <w:rsid w:val="24D725E9"/>
    <w:rsid w:val="24EC31CF"/>
    <w:rsid w:val="24F904EE"/>
    <w:rsid w:val="250365B0"/>
    <w:rsid w:val="25045F70"/>
    <w:rsid w:val="250474F1"/>
    <w:rsid w:val="25056E93"/>
    <w:rsid w:val="25092EBA"/>
    <w:rsid w:val="250E5D48"/>
    <w:rsid w:val="25241020"/>
    <w:rsid w:val="252A68FA"/>
    <w:rsid w:val="25302410"/>
    <w:rsid w:val="255B6AB3"/>
    <w:rsid w:val="257572C3"/>
    <w:rsid w:val="257841B8"/>
    <w:rsid w:val="25790E85"/>
    <w:rsid w:val="25965D3D"/>
    <w:rsid w:val="25972C60"/>
    <w:rsid w:val="25974C6F"/>
    <w:rsid w:val="259D1676"/>
    <w:rsid w:val="259D70CC"/>
    <w:rsid w:val="25A31AF8"/>
    <w:rsid w:val="25A353EB"/>
    <w:rsid w:val="25B87B65"/>
    <w:rsid w:val="25BA1A2C"/>
    <w:rsid w:val="25CB78C3"/>
    <w:rsid w:val="25D54390"/>
    <w:rsid w:val="25D6438C"/>
    <w:rsid w:val="25DC7BF4"/>
    <w:rsid w:val="2608197C"/>
    <w:rsid w:val="261879A7"/>
    <w:rsid w:val="261A071C"/>
    <w:rsid w:val="26306192"/>
    <w:rsid w:val="26395046"/>
    <w:rsid w:val="264B0BA4"/>
    <w:rsid w:val="264F4111"/>
    <w:rsid w:val="265E09AF"/>
    <w:rsid w:val="265E0AEC"/>
    <w:rsid w:val="2661459D"/>
    <w:rsid w:val="268C5256"/>
    <w:rsid w:val="268E455B"/>
    <w:rsid w:val="26912B30"/>
    <w:rsid w:val="26970932"/>
    <w:rsid w:val="26971D6D"/>
    <w:rsid w:val="269772F0"/>
    <w:rsid w:val="26997893"/>
    <w:rsid w:val="26A30712"/>
    <w:rsid w:val="26AC0C27"/>
    <w:rsid w:val="26B91E68"/>
    <w:rsid w:val="26BE3F0B"/>
    <w:rsid w:val="26C807A6"/>
    <w:rsid w:val="26C96D36"/>
    <w:rsid w:val="26D1527F"/>
    <w:rsid w:val="26D23F28"/>
    <w:rsid w:val="26DB67BA"/>
    <w:rsid w:val="26DE3298"/>
    <w:rsid w:val="26E311CD"/>
    <w:rsid w:val="26EF24ED"/>
    <w:rsid w:val="26F1408A"/>
    <w:rsid w:val="26F86CAF"/>
    <w:rsid w:val="26F96584"/>
    <w:rsid w:val="26FC4FA5"/>
    <w:rsid w:val="27015370"/>
    <w:rsid w:val="270B421F"/>
    <w:rsid w:val="271F6B87"/>
    <w:rsid w:val="274E2228"/>
    <w:rsid w:val="27502CF5"/>
    <w:rsid w:val="27517A93"/>
    <w:rsid w:val="27565784"/>
    <w:rsid w:val="275E53AF"/>
    <w:rsid w:val="27606603"/>
    <w:rsid w:val="276658E8"/>
    <w:rsid w:val="27677991"/>
    <w:rsid w:val="276A7241"/>
    <w:rsid w:val="276F6846"/>
    <w:rsid w:val="277E2C99"/>
    <w:rsid w:val="277E30D2"/>
    <w:rsid w:val="27803F2A"/>
    <w:rsid w:val="27856069"/>
    <w:rsid w:val="278A18D2"/>
    <w:rsid w:val="27983FEE"/>
    <w:rsid w:val="27A04D10"/>
    <w:rsid w:val="27A34941"/>
    <w:rsid w:val="27A97FAA"/>
    <w:rsid w:val="27AA5AD0"/>
    <w:rsid w:val="27D33279"/>
    <w:rsid w:val="27DE0FC1"/>
    <w:rsid w:val="27EE3A7B"/>
    <w:rsid w:val="27FA25B3"/>
    <w:rsid w:val="28033B5E"/>
    <w:rsid w:val="280671AA"/>
    <w:rsid w:val="28100029"/>
    <w:rsid w:val="282B09BF"/>
    <w:rsid w:val="282B4E63"/>
    <w:rsid w:val="282E4F00"/>
    <w:rsid w:val="283C23DF"/>
    <w:rsid w:val="283D69F1"/>
    <w:rsid w:val="283F090E"/>
    <w:rsid w:val="284C16F5"/>
    <w:rsid w:val="28570AB5"/>
    <w:rsid w:val="28577A06"/>
    <w:rsid w:val="285F2CDC"/>
    <w:rsid w:val="28622C36"/>
    <w:rsid w:val="2869172C"/>
    <w:rsid w:val="28730611"/>
    <w:rsid w:val="288C2D07"/>
    <w:rsid w:val="289E7E22"/>
    <w:rsid w:val="28AA49EB"/>
    <w:rsid w:val="28C2534B"/>
    <w:rsid w:val="28C5525A"/>
    <w:rsid w:val="28D14B96"/>
    <w:rsid w:val="29020C46"/>
    <w:rsid w:val="290240C7"/>
    <w:rsid w:val="291713AF"/>
    <w:rsid w:val="291A2B97"/>
    <w:rsid w:val="29274EE0"/>
    <w:rsid w:val="29373393"/>
    <w:rsid w:val="29446556"/>
    <w:rsid w:val="2944687F"/>
    <w:rsid w:val="294F692F"/>
    <w:rsid w:val="295029E3"/>
    <w:rsid w:val="29543A59"/>
    <w:rsid w:val="29591FCF"/>
    <w:rsid w:val="29670ED3"/>
    <w:rsid w:val="2969197F"/>
    <w:rsid w:val="29746E87"/>
    <w:rsid w:val="29785E86"/>
    <w:rsid w:val="297939AC"/>
    <w:rsid w:val="297C03C2"/>
    <w:rsid w:val="299573AB"/>
    <w:rsid w:val="29B05804"/>
    <w:rsid w:val="29BD1AEA"/>
    <w:rsid w:val="29BE5BD0"/>
    <w:rsid w:val="29C01572"/>
    <w:rsid w:val="29C25353"/>
    <w:rsid w:val="29CA4207"/>
    <w:rsid w:val="29D82DC8"/>
    <w:rsid w:val="29DA08EE"/>
    <w:rsid w:val="29DB6414"/>
    <w:rsid w:val="29E74CE2"/>
    <w:rsid w:val="2A133E00"/>
    <w:rsid w:val="2A241B69"/>
    <w:rsid w:val="2A306A36"/>
    <w:rsid w:val="2A457300"/>
    <w:rsid w:val="2A5372C6"/>
    <w:rsid w:val="2A554419"/>
    <w:rsid w:val="2A5A558B"/>
    <w:rsid w:val="2A5B03D8"/>
    <w:rsid w:val="2A6F6D07"/>
    <w:rsid w:val="2A852253"/>
    <w:rsid w:val="2A882500"/>
    <w:rsid w:val="2AA35184"/>
    <w:rsid w:val="2AAB4E76"/>
    <w:rsid w:val="2AB63ABC"/>
    <w:rsid w:val="2AB63D0A"/>
    <w:rsid w:val="2AB720C2"/>
    <w:rsid w:val="2AC31382"/>
    <w:rsid w:val="2AC46EA9"/>
    <w:rsid w:val="2AD0584D"/>
    <w:rsid w:val="2AD549F8"/>
    <w:rsid w:val="2AEA74E5"/>
    <w:rsid w:val="2AF92FF6"/>
    <w:rsid w:val="2AFB4FC0"/>
    <w:rsid w:val="2B003D00"/>
    <w:rsid w:val="2B074D5E"/>
    <w:rsid w:val="2B0A6991"/>
    <w:rsid w:val="2B100BA9"/>
    <w:rsid w:val="2B1B5825"/>
    <w:rsid w:val="2B1E3AFC"/>
    <w:rsid w:val="2B4A5600"/>
    <w:rsid w:val="2B574FD9"/>
    <w:rsid w:val="2B642979"/>
    <w:rsid w:val="2B681F2A"/>
    <w:rsid w:val="2B6E2CE5"/>
    <w:rsid w:val="2B8D373E"/>
    <w:rsid w:val="2B9E4F56"/>
    <w:rsid w:val="2BBD13D2"/>
    <w:rsid w:val="2BD96984"/>
    <w:rsid w:val="2BDB5A88"/>
    <w:rsid w:val="2BDB6BA0"/>
    <w:rsid w:val="2BE91C37"/>
    <w:rsid w:val="2BEC3F72"/>
    <w:rsid w:val="2C083572"/>
    <w:rsid w:val="2C185F94"/>
    <w:rsid w:val="2C1F1AC4"/>
    <w:rsid w:val="2C2045B2"/>
    <w:rsid w:val="2C2945BA"/>
    <w:rsid w:val="2C2E71FC"/>
    <w:rsid w:val="2C351E0C"/>
    <w:rsid w:val="2C3F3A41"/>
    <w:rsid w:val="2C4431C4"/>
    <w:rsid w:val="2C5524AE"/>
    <w:rsid w:val="2C55747C"/>
    <w:rsid w:val="2C62059F"/>
    <w:rsid w:val="2C6634FA"/>
    <w:rsid w:val="2C7566AC"/>
    <w:rsid w:val="2C7843EE"/>
    <w:rsid w:val="2C862667"/>
    <w:rsid w:val="2CA25191"/>
    <w:rsid w:val="2CAC022C"/>
    <w:rsid w:val="2CC11807"/>
    <w:rsid w:val="2CC66CD6"/>
    <w:rsid w:val="2CC969F8"/>
    <w:rsid w:val="2CE327BC"/>
    <w:rsid w:val="2CF16074"/>
    <w:rsid w:val="2CF81D1B"/>
    <w:rsid w:val="2D3F2453"/>
    <w:rsid w:val="2D517119"/>
    <w:rsid w:val="2D6F134E"/>
    <w:rsid w:val="2D835174"/>
    <w:rsid w:val="2D8A5E93"/>
    <w:rsid w:val="2D9331F9"/>
    <w:rsid w:val="2D99461C"/>
    <w:rsid w:val="2DB33930"/>
    <w:rsid w:val="2DCE5545"/>
    <w:rsid w:val="2DD90B7B"/>
    <w:rsid w:val="2DD92C6B"/>
    <w:rsid w:val="2DDD3FC1"/>
    <w:rsid w:val="2DE25FC3"/>
    <w:rsid w:val="2DE531B8"/>
    <w:rsid w:val="2DEA131C"/>
    <w:rsid w:val="2DF701D8"/>
    <w:rsid w:val="2DF970A1"/>
    <w:rsid w:val="2E0028ED"/>
    <w:rsid w:val="2E0665A9"/>
    <w:rsid w:val="2E085834"/>
    <w:rsid w:val="2E1034F8"/>
    <w:rsid w:val="2E112405"/>
    <w:rsid w:val="2E120D8E"/>
    <w:rsid w:val="2E2D04FB"/>
    <w:rsid w:val="2E310CF9"/>
    <w:rsid w:val="2E38122F"/>
    <w:rsid w:val="2E443652"/>
    <w:rsid w:val="2E505773"/>
    <w:rsid w:val="2E5C0A3D"/>
    <w:rsid w:val="2E652751"/>
    <w:rsid w:val="2E742F70"/>
    <w:rsid w:val="2E782484"/>
    <w:rsid w:val="2E884DBD"/>
    <w:rsid w:val="2E8C3288"/>
    <w:rsid w:val="2E9077CD"/>
    <w:rsid w:val="2E9574DA"/>
    <w:rsid w:val="2E9A689E"/>
    <w:rsid w:val="2EA66FF1"/>
    <w:rsid w:val="2ED61D9E"/>
    <w:rsid w:val="2EDC2A13"/>
    <w:rsid w:val="2EF7551C"/>
    <w:rsid w:val="2EFD7DB9"/>
    <w:rsid w:val="2F0B154A"/>
    <w:rsid w:val="2F1A081D"/>
    <w:rsid w:val="2F1C72B3"/>
    <w:rsid w:val="2F1E1306"/>
    <w:rsid w:val="2F1E3DC0"/>
    <w:rsid w:val="2F2D326E"/>
    <w:rsid w:val="2F2E6FE6"/>
    <w:rsid w:val="2F3112DE"/>
    <w:rsid w:val="2F3B6922"/>
    <w:rsid w:val="2F3D7B25"/>
    <w:rsid w:val="2F480119"/>
    <w:rsid w:val="2F506C6D"/>
    <w:rsid w:val="2F512253"/>
    <w:rsid w:val="2F51291F"/>
    <w:rsid w:val="2F55758A"/>
    <w:rsid w:val="2F656EAC"/>
    <w:rsid w:val="2F68074A"/>
    <w:rsid w:val="2F754C15"/>
    <w:rsid w:val="2F7F15AE"/>
    <w:rsid w:val="2F8C52E7"/>
    <w:rsid w:val="2F912594"/>
    <w:rsid w:val="2FA54796"/>
    <w:rsid w:val="2FA674E2"/>
    <w:rsid w:val="2FC811E9"/>
    <w:rsid w:val="2FC963B2"/>
    <w:rsid w:val="2FCA6D0F"/>
    <w:rsid w:val="2FD7142C"/>
    <w:rsid w:val="2FE40F7A"/>
    <w:rsid w:val="2FE51D9B"/>
    <w:rsid w:val="2FEE6EA1"/>
    <w:rsid w:val="2FFE7D49"/>
    <w:rsid w:val="3002294D"/>
    <w:rsid w:val="300A1801"/>
    <w:rsid w:val="3011153D"/>
    <w:rsid w:val="30142680"/>
    <w:rsid w:val="302567CF"/>
    <w:rsid w:val="302A11B1"/>
    <w:rsid w:val="302A5C42"/>
    <w:rsid w:val="30340091"/>
    <w:rsid w:val="30662043"/>
    <w:rsid w:val="306D3B35"/>
    <w:rsid w:val="307153DD"/>
    <w:rsid w:val="3083092C"/>
    <w:rsid w:val="3090315D"/>
    <w:rsid w:val="30930D2E"/>
    <w:rsid w:val="30B8125D"/>
    <w:rsid w:val="30B87D63"/>
    <w:rsid w:val="30BF439A"/>
    <w:rsid w:val="30CF6A37"/>
    <w:rsid w:val="30D250CF"/>
    <w:rsid w:val="30D3355A"/>
    <w:rsid w:val="30E7260A"/>
    <w:rsid w:val="31002970"/>
    <w:rsid w:val="311016AD"/>
    <w:rsid w:val="31220DA0"/>
    <w:rsid w:val="31253A1B"/>
    <w:rsid w:val="312679E0"/>
    <w:rsid w:val="3136622A"/>
    <w:rsid w:val="31393501"/>
    <w:rsid w:val="3139422E"/>
    <w:rsid w:val="31496359"/>
    <w:rsid w:val="314D19A6"/>
    <w:rsid w:val="31580A38"/>
    <w:rsid w:val="316177A4"/>
    <w:rsid w:val="31700E4B"/>
    <w:rsid w:val="3172683C"/>
    <w:rsid w:val="318F773E"/>
    <w:rsid w:val="319959BA"/>
    <w:rsid w:val="31A359FC"/>
    <w:rsid w:val="31AD0D61"/>
    <w:rsid w:val="31C42968"/>
    <w:rsid w:val="31CD297B"/>
    <w:rsid w:val="31CD73BD"/>
    <w:rsid w:val="31D66571"/>
    <w:rsid w:val="31DB4220"/>
    <w:rsid w:val="31DC56CD"/>
    <w:rsid w:val="31E63B94"/>
    <w:rsid w:val="31F27AF7"/>
    <w:rsid w:val="31FA74CA"/>
    <w:rsid w:val="320B352A"/>
    <w:rsid w:val="32130E41"/>
    <w:rsid w:val="32176602"/>
    <w:rsid w:val="322A7699"/>
    <w:rsid w:val="322B25C6"/>
    <w:rsid w:val="322D5B11"/>
    <w:rsid w:val="32343DCB"/>
    <w:rsid w:val="323668DE"/>
    <w:rsid w:val="32422E70"/>
    <w:rsid w:val="325E56C6"/>
    <w:rsid w:val="3275698A"/>
    <w:rsid w:val="327C0679"/>
    <w:rsid w:val="32851613"/>
    <w:rsid w:val="32870EE7"/>
    <w:rsid w:val="328C626F"/>
    <w:rsid w:val="32943B86"/>
    <w:rsid w:val="32A93829"/>
    <w:rsid w:val="32B943EC"/>
    <w:rsid w:val="32B9519B"/>
    <w:rsid w:val="32BD2B5B"/>
    <w:rsid w:val="32DC63A0"/>
    <w:rsid w:val="32E429C1"/>
    <w:rsid w:val="32F40EDF"/>
    <w:rsid w:val="330503EE"/>
    <w:rsid w:val="331D184C"/>
    <w:rsid w:val="33274478"/>
    <w:rsid w:val="332901F1"/>
    <w:rsid w:val="333430D6"/>
    <w:rsid w:val="334045BE"/>
    <w:rsid w:val="334A3B2A"/>
    <w:rsid w:val="334D0383"/>
    <w:rsid w:val="33501C21"/>
    <w:rsid w:val="3365592E"/>
    <w:rsid w:val="336A31F3"/>
    <w:rsid w:val="336F6533"/>
    <w:rsid w:val="337E5E2F"/>
    <w:rsid w:val="3384610D"/>
    <w:rsid w:val="33886F33"/>
    <w:rsid w:val="33973474"/>
    <w:rsid w:val="33AA5979"/>
    <w:rsid w:val="33B45D0C"/>
    <w:rsid w:val="33C03E90"/>
    <w:rsid w:val="33C96649"/>
    <w:rsid w:val="33CC3D88"/>
    <w:rsid w:val="33D939C5"/>
    <w:rsid w:val="33DD0306"/>
    <w:rsid w:val="33FD722F"/>
    <w:rsid w:val="3400362D"/>
    <w:rsid w:val="340B09C5"/>
    <w:rsid w:val="341E4CAB"/>
    <w:rsid w:val="3434509F"/>
    <w:rsid w:val="34584EE2"/>
    <w:rsid w:val="347A1C51"/>
    <w:rsid w:val="347D373F"/>
    <w:rsid w:val="34922A93"/>
    <w:rsid w:val="34956481"/>
    <w:rsid w:val="34A1270C"/>
    <w:rsid w:val="34A20388"/>
    <w:rsid w:val="34A35871"/>
    <w:rsid w:val="34B275D3"/>
    <w:rsid w:val="34C06C9D"/>
    <w:rsid w:val="34DF24AE"/>
    <w:rsid w:val="350607E9"/>
    <w:rsid w:val="351C4931"/>
    <w:rsid w:val="351C4EAC"/>
    <w:rsid w:val="351D4C26"/>
    <w:rsid w:val="352B46F4"/>
    <w:rsid w:val="352E7D40"/>
    <w:rsid w:val="35361A77"/>
    <w:rsid w:val="35461A22"/>
    <w:rsid w:val="35483CC9"/>
    <w:rsid w:val="354B08F2"/>
    <w:rsid w:val="35571045"/>
    <w:rsid w:val="356E46AA"/>
    <w:rsid w:val="357235B0"/>
    <w:rsid w:val="3578502D"/>
    <w:rsid w:val="3586192A"/>
    <w:rsid w:val="358625C7"/>
    <w:rsid w:val="358B6243"/>
    <w:rsid w:val="359C73A0"/>
    <w:rsid w:val="35A815CB"/>
    <w:rsid w:val="35A85BD0"/>
    <w:rsid w:val="35AA1B9C"/>
    <w:rsid w:val="35D501BC"/>
    <w:rsid w:val="35DB09A6"/>
    <w:rsid w:val="35FB6428"/>
    <w:rsid w:val="36080591"/>
    <w:rsid w:val="3609472F"/>
    <w:rsid w:val="3619454C"/>
    <w:rsid w:val="36203B2D"/>
    <w:rsid w:val="362F1FC2"/>
    <w:rsid w:val="363E0457"/>
    <w:rsid w:val="364D2448"/>
    <w:rsid w:val="365B4B65"/>
    <w:rsid w:val="36905E7A"/>
    <w:rsid w:val="369B4CF0"/>
    <w:rsid w:val="369E2CA4"/>
    <w:rsid w:val="36CC3C48"/>
    <w:rsid w:val="36CE4570"/>
    <w:rsid w:val="36D62629"/>
    <w:rsid w:val="36D76172"/>
    <w:rsid w:val="36D84407"/>
    <w:rsid w:val="36E833BB"/>
    <w:rsid w:val="36EB1E1B"/>
    <w:rsid w:val="36F17F0D"/>
    <w:rsid w:val="36FB00F6"/>
    <w:rsid w:val="370C1E61"/>
    <w:rsid w:val="370E607B"/>
    <w:rsid w:val="37103BA1"/>
    <w:rsid w:val="37224581"/>
    <w:rsid w:val="3735197D"/>
    <w:rsid w:val="373756A2"/>
    <w:rsid w:val="374A416C"/>
    <w:rsid w:val="375E0DA6"/>
    <w:rsid w:val="3769735A"/>
    <w:rsid w:val="377639AE"/>
    <w:rsid w:val="378142CB"/>
    <w:rsid w:val="378B61A6"/>
    <w:rsid w:val="37B90F0B"/>
    <w:rsid w:val="37CD3F98"/>
    <w:rsid w:val="37DF75BA"/>
    <w:rsid w:val="37E148E2"/>
    <w:rsid w:val="37E5630E"/>
    <w:rsid w:val="37F0752F"/>
    <w:rsid w:val="37F848EE"/>
    <w:rsid w:val="37F912FC"/>
    <w:rsid w:val="37FA1879"/>
    <w:rsid w:val="37FB65FF"/>
    <w:rsid w:val="380D59EE"/>
    <w:rsid w:val="38304889"/>
    <w:rsid w:val="3836588A"/>
    <w:rsid w:val="38382675"/>
    <w:rsid w:val="383B7B0D"/>
    <w:rsid w:val="38401198"/>
    <w:rsid w:val="38455ACD"/>
    <w:rsid w:val="3848553B"/>
    <w:rsid w:val="38492DB1"/>
    <w:rsid w:val="3851700B"/>
    <w:rsid w:val="385246B6"/>
    <w:rsid w:val="385E6B8E"/>
    <w:rsid w:val="38613F89"/>
    <w:rsid w:val="387168C2"/>
    <w:rsid w:val="3876113B"/>
    <w:rsid w:val="388B31F3"/>
    <w:rsid w:val="388C54AA"/>
    <w:rsid w:val="38912AC0"/>
    <w:rsid w:val="38934A8A"/>
    <w:rsid w:val="38961E84"/>
    <w:rsid w:val="38993E43"/>
    <w:rsid w:val="389E2AC0"/>
    <w:rsid w:val="38A53DB7"/>
    <w:rsid w:val="38A77535"/>
    <w:rsid w:val="38BB7B3D"/>
    <w:rsid w:val="38BF3388"/>
    <w:rsid w:val="38C613AA"/>
    <w:rsid w:val="38CC268D"/>
    <w:rsid w:val="38D330D8"/>
    <w:rsid w:val="38D34E86"/>
    <w:rsid w:val="38D46E50"/>
    <w:rsid w:val="38DF1FDA"/>
    <w:rsid w:val="38EC2960"/>
    <w:rsid w:val="390069DD"/>
    <w:rsid w:val="39030CF9"/>
    <w:rsid w:val="39091F35"/>
    <w:rsid w:val="392536E2"/>
    <w:rsid w:val="3936187E"/>
    <w:rsid w:val="393A4F06"/>
    <w:rsid w:val="39465F15"/>
    <w:rsid w:val="39505209"/>
    <w:rsid w:val="396453C5"/>
    <w:rsid w:val="396F4593"/>
    <w:rsid w:val="397D1296"/>
    <w:rsid w:val="39922CCF"/>
    <w:rsid w:val="39A24859"/>
    <w:rsid w:val="39A65327"/>
    <w:rsid w:val="39A65C9B"/>
    <w:rsid w:val="39B051C8"/>
    <w:rsid w:val="39BC5ED6"/>
    <w:rsid w:val="39D27231"/>
    <w:rsid w:val="39D64B43"/>
    <w:rsid w:val="39E82BB3"/>
    <w:rsid w:val="39EB39E0"/>
    <w:rsid w:val="39ED1F78"/>
    <w:rsid w:val="39EE7A9E"/>
    <w:rsid w:val="39EF02D4"/>
    <w:rsid w:val="39F224A6"/>
    <w:rsid w:val="39F9503D"/>
    <w:rsid w:val="3A073149"/>
    <w:rsid w:val="3A11342A"/>
    <w:rsid w:val="3A153110"/>
    <w:rsid w:val="3A2149EA"/>
    <w:rsid w:val="3A2507C0"/>
    <w:rsid w:val="3A2538C9"/>
    <w:rsid w:val="3A285AD8"/>
    <w:rsid w:val="3A3066E4"/>
    <w:rsid w:val="3A393FA7"/>
    <w:rsid w:val="3A3A5A22"/>
    <w:rsid w:val="3A524858"/>
    <w:rsid w:val="3A64203E"/>
    <w:rsid w:val="3A663D00"/>
    <w:rsid w:val="3A7428D0"/>
    <w:rsid w:val="3A747EDD"/>
    <w:rsid w:val="3A8F302F"/>
    <w:rsid w:val="3A923AE4"/>
    <w:rsid w:val="3AA50E25"/>
    <w:rsid w:val="3ABB02C8"/>
    <w:rsid w:val="3AC566E3"/>
    <w:rsid w:val="3AD6747A"/>
    <w:rsid w:val="3AD95C48"/>
    <w:rsid w:val="3ADF5D0A"/>
    <w:rsid w:val="3AEA1D76"/>
    <w:rsid w:val="3B027CC3"/>
    <w:rsid w:val="3B312338"/>
    <w:rsid w:val="3B3C5B77"/>
    <w:rsid w:val="3B3D0FF2"/>
    <w:rsid w:val="3B3E6803"/>
    <w:rsid w:val="3B501351"/>
    <w:rsid w:val="3B521A18"/>
    <w:rsid w:val="3B8D2B96"/>
    <w:rsid w:val="3B923660"/>
    <w:rsid w:val="3BCA44BE"/>
    <w:rsid w:val="3BFC2540"/>
    <w:rsid w:val="3C061F3A"/>
    <w:rsid w:val="3C0A04F9"/>
    <w:rsid w:val="3C177780"/>
    <w:rsid w:val="3C382CBD"/>
    <w:rsid w:val="3C495480"/>
    <w:rsid w:val="3C4B742A"/>
    <w:rsid w:val="3C4C3A42"/>
    <w:rsid w:val="3C557EA4"/>
    <w:rsid w:val="3C6F0167"/>
    <w:rsid w:val="3C71667B"/>
    <w:rsid w:val="3C7A386B"/>
    <w:rsid w:val="3C7C75E3"/>
    <w:rsid w:val="3C7F70D3"/>
    <w:rsid w:val="3C914F3B"/>
    <w:rsid w:val="3CAD3C40"/>
    <w:rsid w:val="3CC17F13"/>
    <w:rsid w:val="3CD15B81"/>
    <w:rsid w:val="3CD50B40"/>
    <w:rsid w:val="3CE320A3"/>
    <w:rsid w:val="3CE8111C"/>
    <w:rsid w:val="3CE9196C"/>
    <w:rsid w:val="3CF15105"/>
    <w:rsid w:val="3D0C04B9"/>
    <w:rsid w:val="3D127F47"/>
    <w:rsid w:val="3D1414C5"/>
    <w:rsid w:val="3D1C763E"/>
    <w:rsid w:val="3D201AA5"/>
    <w:rsid w:val="3D2B37EA"/>
    <w:rsid w:val="3D2F7FF3"/>
    <w:rsid w:val="3D3B56F0"/>
    <w:rsid w:val="3D3D1507"/>
    <w:rsid w:val="3D4103E4"/>
    <w:rsid w:val="3D62085B"/>
    <w:rsid w:val="3D6B12FD"/>
    <w:rsid w:val="3D760AE1"/>
    <w:rsid w:val="3D7B4622"/>
    <w:rsid w:val="3D8634CA"/>
    <w:rsid w:val="3D8E5820"/>
    <w:rsid w:val="3D931088"/>
    <w:rsid w:val="3D942E29"/>
    <w:rsid w:val="3D9D3CB5"/>
    <w:rsid w:val="3DA53531"/>
    <w:rsid w:val="3DB54E0C"/>
    <w:rsid w:val="3DB900C1"/>
    <w:rsid w:val="3DCD7FE0"/>
    <w:rsid w:val="3DDC2A2F"/>
    <w:rsid w:val="3DE51866"/>
    <w:rsid w:val="3DE91725"/>
    <w:rsid w:val="3DED068D"/>
    <w:rsid w:val="3DF159B1"/>
    <w:rsid w:val="3E126451"/>
    <w:rsid w:val="3E135D25"/>
    <w:rsid w:val="3E183A6C"/>
    <w:rsid w:val="3E1A106E"/>
    <w:rsid w:val="3E36303B"/>
    <w:rsid w:val="3E5221DB"/>
    <w:rsid w:val="3E526044"/>
    <w:rsid w:val="3E52684D"/>
    <w:rsid w:val="3E5C591E"/>
    <w:rsid w:val="3E66054B"/>
    <w:rsid w:val="3E6C2B3A"/>
    <w:rsid w:val="3E8310FD"/>
    <w:rsid w:val="3E8C5311"/>
    <w:rsid w:val="3E8E7E55"/>
    <w:rsid w:val="3EB61473"/>
    <w:rsid w:val="3EC66011"/>
    <w:rsid w:val="3ED25BE0"/>
    <w:rsid w:val="3ED75B7F"/>
    <w:rsid w:val="3EF9316D"/>
    <w:rsid w:val="3F123F79"/>
    <w:rsid w:val="3F315E6B"/>
    <w:rsid w:val="3F454604"/>
    <w:rsid w:val="3F5175E2"/>
    <w:rsid w:val="3F56276A"/>
    <w:rsid w:val="3F6C10E0"/>
    <w:rsid w:val="3F7D5B4C"/>
    <w:rsid w:val="3F963015"/>
    <w:rsid w:val="3F964D35"/>
    <w:rsid w:val="3F977488"/>
    <w:rsid w:val="3FA327ED"/>
    <w:rsid w:val="3FB11738"/>
    <w:rsid w:val="3FB5581B"/>
    <w:rsid w:val="3FC33D05"/>
    <w:rsid w:val="3FDA2F9E"/>
    <w:rsid w:val="3FF46B18"/>
    <w:rsid w:val="3FF74A2E"/>
    <w:rsid w:val="3FFC36E2"/>
    <w:rsid w:val="4005572D"/>
    <w:rsid w:val="402833BA"/>
    <w:rsid w:val="40283C2B"/>
    <w:rsid w:val="40394FD1"/>
    <w:rsid w:val="40425879"/>
    <w:rsid w:val="405C1C05"/>
    <w:rsid w:val="405E3BCF"/>
    <w:rsid w:val="406B3DDC"/>
    <w:rsid w:val="40765D15"/>
    <w:rsid w:val="407B4FC1"/>
    <w:rsid w:val="407F2DE9"/>
    <w:rsid w:val="40866C82"/>
    <w:rsid w:val="40920B61"/>
    <w:rsid w:val="40953369"/>
    <w:rsid w:val="40991379"/>
    <w:rsid w:val="409B3C3D"/>
    <w:rsid w:val="409F1D81"/>
    <w:rsid w:val="40A55A19"/>
    <w:rsid w:val="40C6655A"/>
    <w:rsid w:val="40DC68A2"/>
    <w:rsid w:val="40E90FBF"/>
    <w:rsid w:val="40F701DF"/>
    <w:rsid w:val="40FD480A"/>
    <w:rsid w:val="411374C6"/>
    <w:rsid w:val="411B59C4"/>
    <w:rsid w:val="412A32F8"/>
    <w:rsid w:val="4178476C"/>
    <w:rsid w:val="417F433E"/>
    <w:rsid w:val="418A1D66"/>
    <w:rsid w:val="419C4043"/>
    <w:rsid w:val="41B7239D"/>
    <w:rsid w:val="41B876E6"/>
    <w:rsid w:val="41C95079"/>
    <w:rsid w:val="41D852BC"/>
    <w:rsid w:val="41FF3845"/>
    <w:rsid w:val="420E33D3"/>
    <w:rsid w:val="42101488"/>
    <w:rsid w:val="421104A9"/>
    <w:rsid w:val="42143B88"/>
    <w:rsid w:val="42164586"/>
    <w:rsid w:val="422E75D1"/>
    <w:rsid w:val="423E0FAF"/>
    <w:rsid w:val="42475850"/>
    <w:rsid w:val="424C7A58"/>
    <w:rsid w:val="424E1A22"/>
    <w:rsid w:val="425B5DD1"/>
    <w:rsid w:val="4260300C"/>
    <w:rsid w:val="42725710"/>
    <w:rsid w:val="42755200"/>
    <w:rsid w:val="42772802"/>
    <w:rsid w:val="427C799E"/>
    <w:rsid w:val="427F607F"/>
    <w:rsid w:val="42800B9B"/>
    <w:rsid w:val="4281223D"/>
    <w:rsid w:val="428E62C2"/>
    <w:rsid w:val="42A06B6C"/>
    <w:rsid w:val="42A15FF5"/>
    <w:rsid w:val="42A27996"/>
    <w:rsid w:val="42A45E72"/>
    <w:rsid w:val="42AA04E2"/>
    <w:rsid w:val="42CE08E3"/>
    <w:rsid w:val="42EA5650"/>
    <w:rsid w:val="431408DA"/>
    <w:rsid w:val="431B7C78"/>
    <w:rsid w:val="43220161"/>
    <w:rsid w:val="4331401E"/>
    <w:rsid w:val="43346FD1"/>
    <w:rsid w:val="43486FC5"/>
    <w:rsid w:val="43591DDA"/>
    <w:rsid w:val="435A0DF2"/>
    <w:rsid w:val="435E7A42"/>
    <w:rsid w:val="436C42E1"/>
    <w:rsid w:val="437102E7"/>
    <w:rsid w:val="437C210F"/>
    <w:rsid w:val="43847F02"/>
    <w:rsid w:val="438F113C"/>
    <w:rsid w:val="439E7EFB"/>
    <w:rsid w:val="43B1568A"/>
    <w:rsid w:val="43B64E08"/>
    <w:rsid w:val="43BD7F58"/>
    <w:rsid w:val="43D43ECA"/>
    <w:rsid w:val="43D67F21"/>
    <w:rsid w:val="43DD452F"/>
    <w:rsid w:val="43DE6CD4"/>
    <w:rsid w:val="43E51150"/>
    <w:rsid w:val="43EF28BB"/>
    <w:rsid w:val="43EF56D3"/>
    <w:rsid w:val="43F32881"/>
    <w:rsid w:val="43F47D80"/>
    <w:rsid w:val="43F565F9"/>
    <w:rsid w:val="44095C00"/>
    <w:rsid w:val="440A6FD2"/>
    <w:rsid w:val="442A1797"/>
    <w:rsid w:val="44366C11"/>
    <w:rsid w:val="444946CA"/>
    <w:rsid w:val="444B3F54"/>
    <w:rsid w:val="4476661F"/>
    <w:rsid w:val="44784B34"/>
    <w:rsid w:val="447C21F4"/>
    <w:rsid w:val="447E3AC5"/>
    <w:rsid w:val="44805ED4"/>
    <w:rsid w:val="448E5DEE"/>
    <w:rsid w:val="449E4142"/>
    <w:rsid w:val="44A90BAA"/>
    <w:rsid w:val="44B24A20"/>
    <w:rsid w:val="44BC0BEE"/>
    <w:rsid w:val="44BF6C07"/>
    <w:rsid w:val="44C24001"/>
    <w:rsid w:val="44C55A88"/>
    <w:rsid w:val="44CF7A97"/>
    <w:rsid w:val="44DC1567"/>
    <w:rsid w:val="44FB1C9C"/>
    <w:rsid w:val="451B0F59"/>
    <w:rsid w:val="45392A13"/>
    <w:rsid w:val="453E3FCF"/>
    <w:rsid w:val="454F1836"/>
    <w:rsid w:val="454F3AE7"/>
    <w:rsid w:val="45887B45"/>
    <w:rsid w:val="458B66DF"/>
    <w:rsid w:val="45940F0E"/>
    <w:rsid w:val="45A22F85"/>
    <w:rsid w:val="45AC5DBA"/>
    <w:rsid w:val="45C647AF"/>
    <w:rsid w:val="45DD529D"/>
    <w:rsid w:val="45E57886"/>
    <w:rsid w:val="45E945CC"/>
    <w:rsid w:val="45EA380F"/>
    <w:rsid w:val="45FD1795"/>
    <w:rsid w:val="46003076"/>
    <w:rsid w:val="46026F63"/>
    <w:rsid w:val="46113492"/>
    <w:rsid w:val="46177E29"/>
    <w:rsid w:val="46205B7F"/>
    <w:rsid w:val="462A4554"/>
    <w:rsid w:val="462A6010"/>
    <w:rsid w:val="465D501C"/>
    <w:rsid w:val="465F5EB4"/>
    <w:rsid w:val="466367DB"/>
    <w:rsid w:val="46686D18"/>
    <w:rsid w:val="466D15DA"/>
    <w:rsid w:val="46717A8D"/>
    <w:rsid w:val="468325FB"/>
    <w:rsid w:val="468A6DA0"/>
    <w:rsid w:val="469F0A9E"/>
    <w:rsid w:val="46BA1434"/>
    <w:rsid w:val="46BF7E28"/>
    <w:rsid w:val="46C3037C"/>
    <w:rsid w:val="46DC584E"/>
    <w:rsid w:val="46EF26BD"/>
    <w:rsid w:val="46FA5CD4"/>
    <w:rsid w:val="46FF15E0"/>
    <w:rsid w:val="4700581C"/>
    <w:rsid w:val="4702516A"/>
    <w:rsid w:val="4724600B"/>
    <w:rsid w:val="47262F6D"/>
    <w:rsid w:val="472E597E"/>
    <w:rsid w:val="474169B1"/>
    <w:rsid w:val="474A4B33"/>
    <w:rsid w:val="47665A15"/>
    <w:rsid w:val="47677941"/>
    <w:rsid w:val="477F1660"/>
    <w:rsid w:val="4788232A"/>
    <w:rsid w:val="478B0398"/>
    <w:rsid w:val="478F5D0B"/>
    <w:rsid w:val="4799729B"/>
    <w:rsid w:val="479B55D9"/>
    <w:rsid w:val="479D5A47"/>
    <w:rsid w:val="47A11E6C"/>
    <w:rsid w:val="47A31F5F"/>
    <w:rsid w:val="47A84BA6"/>
    <w:rsid w:val="47B16CDB"/>
    <w:rsid w:val="47B52444"/>
    <w:rsid w:val="47B8724E"/>
    <w:rsid w:val="47C67E7A"/>
    <w:rsid w:val="47E80223"/>
    <w:rsid w:val="47ED7BCA"/>
    <w:rsid w:val="47F210A1"/>
    <w:rsid w:val="47F46BC7"/>
    <w:rsid w:val="48016F34"/>
    <w:rsid w:val="480556DB"/>
    <w:rsid w:val="48185C56"/>
    <w:rsid w:val="48254C34"/>
    <w:rsid w:val="48450F81"/>
    <w:rsid w:val="48455675"/>
    <w:rsid w:val="484E729D"/>
    <w:rsid w:val="48566773"/>
    <w:rsid w:val="485A23C2"/>
    <w:rsid w:val="48623B31"/>
    <w:rsid w:val="48627FD5"/>
    <w:rsid w:val="48691107"/>
    <w:rsid w:val="48895289"/>
    <w:rsid w:val="48A16B62"/>
    <w:rsid w:val="48AC5C49"/>
    <w:rsid w:val="48AE0D54"/>
    <w:rsid w:val="48BC6222"/>
    <w:rsid w:val="48C245E9"/>
    <w:rsid w:val="48D12A65"/>
    <w:rsid w:val="48DB312A"/>
    <w:rsid w:val="48DF49D9"/>
    <w:rsid w:val="48EF591C"/>
    <w:rsid w:val="492108CC"/>
    <w:rsid w:val="49413F52"/>
    <w:rsid w:val="4949131B"/>
    <w:rsid w:val="494F6304"/>
    <w:rsid w:val="49561252"/>
    <w:rsid w:val="49792B95"/>
    <w:rsid w:val="497955D6"/>
    <w:rsid w:val="497A30FC"/>
    <w:rsid w:val="498D72D3"/>
    <w:rsid w:val="499917D4"/>
    <w:rsid w:val="49AC0BAE"/>
    <w:rsid w:val="49D15C23"/>
    <w:rsid w:val="49DA3B9B"/>
    <w:rsid w:val="49F11610"/>
    <w:rsid w:val="49F64E79"/>
    <w:rsid w:val="49FB423D"/>
    <w:rsid w:val="4A05334F"/>
    <w:rsid w:val="4A060864"/>
    <w:rsid w:val="4A1A3C81"/>
    <w:rsid w:val="4A235542"/>
    <w:rsid w:val="4A244932"/>
    <w:rsid w:val="4A2922C8"/>
    <w:rsid w:val="4A372E78"/>
    <w:rsid w:val="4A4117B2"/>
    <w:rsid w:val="4A4A6F73"/>
    <w:rsid w:val="4A7A4350"/>
    <w:rsid w:val="4A7B1703"/>
    <w:rsid w:val="4A7E2497"/>
    <w:rsid w:val="4A896826"/>
    <w:rsid w:val="4A9D70A2"/>
    <w:rsid w:val="4AA92B38"/>
    <w:rsid w:val="4ABF5E17"/>
    <w:rsid w:val="4ACB00B3"/>
    <w:rsid w:val="4ACF7478"/>
    <w:rsid w:val="4AD52CE0"/>
    <w:rsid w:val="4AE01A66"/>
    <w:rsid w:val="4AE104D6"/>
    <w:rsid w:val="4AE63395"/>
    <w:rsid w:val="4AE724D1"/>
    <w:rsid w:val="4AE77140"/>
    <w:rsid w:val="4AE86B80"/>
    <w:rsid w:val="4AEA4061"/>
    <w:rsid w:val="4AEB3612"/>
    <w:rsid w:val="4AEC1DD8"/>
    <w:rsid w:val="4AED707B"/>
    <w:rsid w:val="4AFA2F07"/>
    <w:rsid w:val="4B015D61"/>
    <w:rsid w:val="4B0B7979"/>
    <w:rsid w:val="4B1530DD"/>
    <w:rsid w:val="4B3E3B79"/>
    <w:rsid w:val="4B520DF4"/>
    <w:rsid w:val="4B603107"/>
    <w:rsid w:val="4B7A5635"/>
    <w:rsid w:val="4B880661"/>
    <w:rsid w:val="4B8E10E1"/>
    <w:rsid w:val="4B912257"/>
    <w:rsid w:val="4B9802B0"/>
    <w:rsid w:val="4B9E65BE"/>
    <w:rsid w:val="4B9F33A8"/>
    <w:rsid w:val="4BA80AFD"/>
    <w:rsid w:val="4BB033BA"/>
    <w:rsid w:val="4BB469AD"/>
    <w:rsid w:val="4BC06040"/>
    <w:rsid w:val="4BC66ACD"/>
    <w:rsid w:val="4BCF5981"/>
    <w:rsid w:val="4BD846DB"/>
    <w:rsid w:val="4BF441D2"/>
    <w:rsid w:val="4BF947AC"/>
    <w:rsid w:val="4C1C2A09"/>
    <w:rsid w:val="4C284AD9"/>
    <w:rsid w:val="4C2C6407"/>
    <w:rsid w:val="4C3E2B07"/>
    <w:rsid w:val="4C423098"/>
    <w:rsid w:val="4C46376A"/>
    <w:rsid w:val="4C5B5467"/>
    <w:rsid w:val="4C694192"/>
    <w:rsid w:val="4C760234"/>
    <w:rsid w:val="4C7964D9"/>
    <w:rsid w:val="4C8524E4"/>
    <w:rsid w:val="4C8C5620"/>
    <w:rsid w:val="4C9269F6"/>
    <w:rsid w:val="4CB75F07"/>
    <w:rsid w:val="4CC84335"/>
    <w:rsid w:val="4CD22B0F"/>
    <w:rsid w:val="4CD600AA"/>
    <w:rsid w:val="4CDA3E72"/>
    <w:rsid w:val="4CE4545C"/>
    <w:rsid w:val="4CE9350A"/>
    <w:rsid w:val="4D014937"/>
    <w:rsid w:val="4D1E2466"/>
    <w:rsid w:val="4D225F85"/>
    <w:rsid w:val="4D297BF3"/>
    <w:rsid w:val="4D2D0EAF"/>
    <w:rsid w:val="4D331F40"/>
    <w:rsid w:val="4D5402AE"/>
    <w:rsid w:val="4D795A49"/>
    <w:rsid w:val="4D7F0082"/>
    <w:rsid w:val="4D7F3CDB"/>
    <w:rsid w:val="4D866514"/>
    <w:rsid w:val="4D952FD9"/>
    <w:rsid w:val="4D970662"/>
    <w:rsid w:val="4D9A1FBF"/>
    <w:rsid w:val="4D9F40B3"/>
    <w:rsid w:val="4DB33393"/>
    <w:rsid w:val="4DB90B8C"/>
    <w:rsid w:val="4DBC3CE3"/>
    <w:rsid w:val="4DCB51C5"/>
    <w:rsid w:val="4DCF1E0D"/>
    <w:rsid w:val="4DD632D9"/>
    <w:rsid w:val="4DDF79D2"/>
    <w:rsid w:val="4DE05D9E"/>
    <w:rsid w:val="4DE05DF9"/>
    <w:rsid w:val="4DE44800"/>
    <w:rsid w:val="4DEE0709"/>
    <w:rsid w:val="4DF26A56"/>
    <w:rsid w:val="4DF47921"/>
    <w:rsid w:val="4DFC14EA"/>
    <w:rsid w:val="4DFF6815"/>
    <w:rsid w:val="4E0A0EF3"/>
    <w:rsid w:val="4E0A3427"/>
    <w:rsid w:val="4E2423AC"/>
    <w:rsid w:val="4E255D2C"/>
    <w:rsid w:val="4E261AA5"/>
    <w:rsid w:val="4E287F63"/>
    <w:rsid w:val="4E304B5D"/>
    <w:rsid w:val="4E3F66C2"/>
    <w:rsid w:val="4E611B8B"/>
    <w:rsid w:val="4E6279D7"/>
    <w:rsid w:val="4E682F8C"/>
    <w:rsid w:val="4E6A7BB7"/>
    <w:rsid w:val="4E6C5D89"/>
    <w:rsid w:val="4E6F0D56"/>
    <w:rsid w:val="4E7520E4"/>
    <w:rsid w:val="4E7B76FB"/>
    <w:rsid w:val="4E854A1D"/>
    <w:rsid w:val="4E8F4119"/>
    <w:rsid w:val="4E9133C2"/>
    <w:rsid w:val="4EA07161"/>
    <w:rsid w:val="4EB23220"/>
    <w:rsid w:val="4EE661F8"/>
    <w:rsid w:val="4EF27A04"/>
    <w:rsid w:val="4F0773B4"/>
    <w:rsid w:val="4F0C0C9A"/>
    <w:rsid w:val="4F241019"/>
    <w:rsid w:val="4F274C6E"/>
    <w:rsid w:val="4F307BB1"/>
    <w:rsid w:val="4F334479"/>
    <w:rsid w:val="4F336227"/>
    <w:rsid w:val="4F3C3EF2"/>
    <w:rsid w:val="4F3D562D"/>
    <w:rsid w:val="4F5C4EE0"/>
    <w:rsid w:val="4F681AF1"/>
    <w:rsid w:val="4F6E1972"/>
    <w:rsid w:val="4F943166"/>
    <w:rsid w:val="4F9C19A5"/>
    <w:rsid w:val="4FB31116"/>
    <w:rsid w:val="4FBA02A1"/>
    <w:rsid w:val="4FE7106E"/>
    <w:rsid w:val="4FED287A"/>
    <w:rsid w:val="4FF82FCD"/>
    <w:rsid w:val="50053943"/>
    <w:rsid w:val="50260569"/>
    <w:rsid w:val="502D7AAA"/>
    <w:rsid w:val="50324731"/>
    <w:rsid w:val="50374A3C"/>
    <w:rsid w:val="50487AB0"/>
    <w:rsid w:val="50550E55"/>
    <w:rsid w:val="506B19F1"/>
    <w:rsid w:val="50722D7F"/>
    <w:rsid w:val="50901457"/>
    <w:rsid w:val="509F43E4"/>
    <w:rsid w:val="50A15412"/>
    <w:rsid w:val="50A54D3E"/>
    <w:rsid w:val="50B82E88"/>
    <w:rsid w:val="50BB32A7"/>
    <w:rsid w:val="50CC5CB2"/>
    <w:rsid w:val="50ED1473"/>
    <w:rsid w:val="50F1402B"/>
    <w:rsid w:val="50FC4267"/>
    <w:rsid w:val="50FD2AD9"/>
    <w:rsid w:val="51081E85"/>
    <w:rsid w:val="51097D9A"/>
    <w:rsid w:val="511A650F"/>
    <w:rsid w:val="51237D2E"/>
    <w:rsid w:val="514229EF"/>
    <w:rsid w:val="5151508A"/>
    <w:rsid w:val="51522EC5"/>
    <w:rsid w:val="515B06D0"/>
    <w:rsid w:val="51764AF1"/>
    <w:rsid w:val="51996737"/>
    <w:rsid w:val="51B408B8"/>
    <w:rsid w:val="51B80848"/>
    <w:rsid w:val="51CC0868"/>
    <w:rsid w:val="51D5340F"/>
    <w:rsid w:val="51E47CAD"/>
    <w:rsid w:val="51E52FA6"/>
    <w:rsid w:val="52287B99"/>
    <w:rsid w:val="52382F2A"/>
    <w:rsid w:val="52386E3D"/>
    <w:rsid w:val="523A7DD1"/>
    <w:rsid w:val="523B7711"/>
    <w:rsid w:val="5271774C"/>
    <w:rsid w:val="527A416D"/>
    <w:rsid w:val="528D5323"/>
    <w:rsid w:val="528D7B65"/>
    <w:rsid w:val="52A773F4"/>
    <w:rsid w:val="52AA11D3"/>
    <w:rsid w:val="52AD5A63"/>
    <w:rsid w:val="52B61649"/>
    <w:rsid w:val="52DE008D"/>
    <w:rsid w:val="52EE341E"/>
    <w:rsid w:val="52F37FE6"/>
    <w:rsid w:val="52FB705C"/>
    <w:rsid w:val="52FC1CAF"/>
    <w:rsid w:val="52FE08FA"/>
    <w:rsid w:val="52FF22FE"/>
    <w:rsid w:val="53004672"/>
    <w:rsid w:val="530B071F"/>
    <w:rsid w:val="531A330F"/>
    <w:rsid w:val="532B6CAF"/>
    <w:rsid w:val="53350D91"/>
    <w:rsid w:val="53412644"/>
    <w:rsid w:val="53433903"/>
    <w:rsid w:val="534452E8"/>
    <w:rsid w:val="53517A72"/>
    <w:rsid w:val="5361549D"/>
    <w:rsid w:val="536220DA"/>
    <w:rsid w:val="53650637"/>
    <w:rsid w:val="53695634"/>
    <w:rsid w:val="536A5F90"/>
    <w:rsid w:val="537155BE"/>
    <w:rsid w:val="53757C6B"/>
    <w:rsid w:val="537E1075"/>
    <w:rsid w:val="53890B0C"/>
    <w:rsid w:val="539A4AC7"/>
    <w:rsid w:val="53A44D07"/>
    <w:rsid w:val="53A46AC8"/>
    <w:rsid w:val="53AB7F1F"/>
    <w:rsid w:val="53AC6F7B"/>
    <w:rsid w:val="53C01F4F"/>
    <w:rsid w:val="53E06252"/>
    <w:rsid w:val="53E915AA"/>
    <w:rsid w:val="53EB297B"/>
    <w:rsid w:val="53EC4BF7"/>
    <w:rsid w:val="53F671DE"/>
    <w:rsid w:val="53F758A1"/>
    <w:rsid w:val="540D5A7F"/>
    <w:rsid w:val="540E4694"/>
    <w:rsid w:val="542E2BC2"/>
    <w:rsid w:val="54352A96"/>
    <w:rsid w:val="54447390"/>
    <w:rsid w:val="544B514D"/>
    <w:rsid w:val="544B7B6F"/>
    <w:rsid w:val="545E1D01"/>
    <w:rsid w:val="54674051"/>
    <w:rsid w:val="5472334E"/>
    <w:rsid w:val="548440AE"/>
    <w:rsid w:val="54935B8F"/>
    <w:rsid w:val="549D3677"/>
    <w:rsid w:val="54A11E85"/>
    <w:rsid w:val="54B03E76"/>
    <w:rsid w:val="54B35714"/>
    <w:rsid w:val="54BF230B"/>
    <w:rsid w:val="54C16083"/>
    <w:rsid w:val="54CC6227"/>
    <w:rsid w:val="54D10F9B"/>
    <w:rsid w:val="54D97871"/>
    <w:rsid w:val="54DC2EBD"/>
    <w:rsid w:val="54DC4C6B"/>
    <w:rsid w:val="550B5550"/>
    <w:rsid w:val="551D586C"/>
    <w:rsid w:val="55200298"/>
    <w:rsid w:val="55284354"/>
    <w:rsid w:val="55335E1B"/>
    <w:rsid w:val="5536079B"/>
    <w:rsid w:val="554B7EF0"/>
    <w:rsid w:val="556F3D99"/>
    <w:rsid w:val="55720837"/>
    <w:rsid w:val="557F60C0"/>
    <w:rsid w:val="55860894"/>
    <w:rsid w:val="558A0B6B"/>
    <w:rsid w:val="558C043F"/>
    <w:rsid w:val="558F6181"/>
    <w:rsid w:val="55953423"/>
    <w:rsid w:val="55AB6B8B"/>
    <w:rsid w:val="55B02DF1"/>
    <w:rsid w:val="55D47A00"/>
    <w:rsid w:val="55D5456D"/>
    <w:rsid w:val="55DC290C"/>
    <w:rsid w:val="55E71B19"/>
    <w:rsid w:val="55EA5D64"/>
    <w:rsid w:val="55F01FA1"/>
    <w:rsid w:val="55FC19B9"/>
    <w:rsid w:val="56020701"/>
    <w:rsid w:val="56130B60"/>
    <w:rsid w:val="56234F28"/>
    <w:rsid w:val="562C1C22"/>
    <w:rsid w:val="563034C0"/>
    <w:rsid w:val="564927D4"/>
    <w:rsid w:val="56666B5B"/>
    <w:rsid w:val="56717635"/>
    <w:rsid w:val="5680054C"/>
    <w:rsid w:val="56990B7C"/>
    <w:rsid w:val="569E1126"/>
    <w:rsid w:val="56A8690E"/>
    <w:rsid w:val="56B20379"/>
    <w:rsid w:val="56B679AB"/>
    <w:rsid w:val="56B80DEB"/>
    <w:rsid w:val="56E0560F"/>
    <w:rsid w:val="56E06E61"/>
    <w:rsid w:val="56E542AB"/>
    <w:rsid w:val="56EA7B13"/>
    <w:rsid w:val="56EF3C74"/>
    <w:rsid w:val="56F653FE"/>
    <w:rsid w:val="57007337"/>
    <w:rsid w:val="57121A55"/>
    <w:rsid w:val="5728063B"/>
    <w:rsid w:val="574448FC"/>
    <w:rsid w:val="57561D39"/>
    <w:rsid w:val="575B7AFD"/>
    <w:rsid w:val="57660D3F"/>
    <w:rsid w:val="5785783C"/>
    <w:rsid w:val="578F06BB"/>
    <w:rsid w:val="57A469A0"/>
    <w:rsid w:val="57CC4BC2"/>
    <w:rsid w:val="57D10760"/>
    <w:rsid w:val="57D1153D"/>
    <w:rsid w:val="57D77297"/>
    <w:rsid w:val="57EE6A93"/>
    <w:rsid w:val="57FA3774"/>
    <w:rsid w:val="58084A3C"/>
    <w:rsid w:val="580B1C27"/>
    <w:rsid w:val="581F1A3E"/>
    <w:rsid w:val="582227B3"/>
    <w:rsid w:val="582772A7"/>
    <w:rsid w:val="583C7D60"/>
    <w:rsid w:val="584129DE"/>
    <w:rsid w:val="5847689F"/>
    <w:rsid w:val="58531B77"/>
    <w:rsid w:val="585D2975"/>
    <w:rsid w:val="585E3492"/>
    <w:rsid w:val="585F64F9"/>
    <w:rsid w:val="587E3341"/>
    <w:rsid w:val="587F428B"/>
    <w:rsid w:val="58843A9C"/>
    <w:rsid w:val="58B31855"/>
    <w:rsid w:val="58CF56D8"/>
    <w:rsid w:val="58D31010"/>
    <w:rsid w:val="58D5034F"/>
    <w:rsid w:val="58D6741E"/>
    <w:rsid w:val="58D97E3F"/>
    <w:rsid w:val="58DB0535"/>
    <w:rsid w:val="58E467E4"/>
    <w:rsid w:val="58E62E0E"/>
    <w:rsid w:val="58E80BF8"/>
    <w:rsid w:val="58EA3D0E"/>
    <w:rsid w:val="58EC7E11"/>
    <w:rsid w:val="58F24A5D"/>
    <w:rsid w:val="58F71269"/>
    <w:rsid w:val="58FE045E"/>
    <w:rsid w:val="58FE78A6"/>
    <w:rsid w:val="59014CEF"/>
    <w:rsid w:val="59017396"/>
    <w:rsid w:val="590824D3"/>
    <w:rsid w:val="59103135"/>
    <w:rsid w:val="593432C8"/>
    <w:rsid w:val="59442D7E"/>
    <w:rsid w:val="594F45CB"/>
    <w:rsid w:val="59561946"/>
    <w:rsid w:val="59611BE3"/>
    <w:rsid w:val="59670F51"/>
    <w:rsid w:val="596A44F9"/>
    <w:rsid w:val="596C19BB"/>
    <w:rsid w:val="59790BDB"/>
    <w:rsid w:val="597B2CA5"/>
    <w:rsid w:val="597E3F42"/>
    <w:rsid w:val="598653AC"/>
    <w:rsid w:val="59AC3C86"/>
    <w:rsid w:val="59B817D3"/>
    <w:rsid w:val="59C11856"/>
    <w:rsid w:val="59C153AB"/>
    <w:rsid w:val="59D42FDA"/>
    <w:rsid w:val="59DA4E01"/>
    <w:rsid w:val="59DC2422"/>
    <w:rsid w:val="59E22D24"/>
    <w:rsid w:val="59F64E82"/>
    <w:rsid w:val="5A0A5DD6"/>
    <w:rsid w:val="5A10435C"/>
    <w:rsid w:val="5A2654CC"/>
    <w:rsid w:val="5A323A44"/>
    <w:rsid w:val="5A395E66"/>
    <w:rsid w:val="5A41124D"/>
    <w:rsid w:val="5A476FBE"/>
    <w:rsid w:val="5A484352"/>
    <w:rsid w:val="5A5321A5"/>
    <w:rsid w:val="5A6E2809"/>
    <w:rsid w:val="5A736072"/>
    <w:rsid w:val="5A783688"/>
    <w:rsid w:val="5A845B89"/>
    <w:rsid w:val="5A8734AF"/>
    <w:rsid w:val="5A955FE8"/>
    <w:rsid w:val="5A9D3E45"/>
    <w:rsid w:val="5A9E62FC"/>
    <w:rsid w:val="5AA4101D"/>
    <w:rsid w:val="5AB17576"/>
    <w:rsid w:val="5ABA59C8"/>
    <w:rsid w:val="5ABD68E6"/>
    <w:rsid w:val="5ABF73D2"/>
    <w:rsid w:val="5ACB3D8A"/>
    <w:rsid w:val="5ACE32A8"/>
    <w:rsid w:val="5AD22BA3"/>
    <w:rsid w:val="5AE12FDB"/>
    <w:rsid w:val="5AE1508F"/>
    <w:rsid w:val="5AF80256"/>
    <w:rsid w:val="5B062A42"/>
    <w:rsid w:val="5B110CC9"/>
    <w:rsid w:val="5B136165"/>
    <w:rsid w:val="5B1851F5"/>
    <w:rsid w:val="5B1F7B5D"/>
    <w:rsid w:val="5B585171"/>
    <w:rsid w:val="5B585B78"/>
    <w:rsid w:val="5B6D0D13"/>
    <w:rsid w:val="5B6D62B9"/>
    <w:rsid w:val="5B746CFA"/>
    <w:rsid w:val="5B7E082A"/>
    <w:rsid w:val="5B9A2B59"/>
    <w:rsid w:val="5BA652E6"/>
    <w:rsid w:val="5BC0085A"/>
    <w:rsid w:val="5BE03293"/>
    <w:rsid w:val="5BE07737"/>
    <w:rsid w:val="5BF03D58"/>
    <w:rsid w:val="5BF20AFB"/>
    <w:rsid w:val="5C1A6BB2"/>
    <w:rsid w:val="5C306D31"/>
    <w:rsid w:val="5C37233A"/>
    <w:rsid w:val="5C3B56EB"/>
    <w:rsid w:val="5C533A65"/>
    <w:rsid w:val="5C5355FE"/>
    <w:rsid w:val="5C5A49A5"/>
    <w:rsid w:val="5C6519EA"/>
    <w:rsid w:val="5C6715FE"/>
    <w:rsid w:val="5C6F4105"/>
    <w:rsid w:val="5C961BA3"/>
    <w:rsid w:val="5CAE3391"/>
    <w:rsid w:val="5CBB7F6F"/>
    <w:rsid w:val="5CBC5AAE"/>
    <w:rsid w:val="5CC248CE"/>
    <w:rsid w:val="5CC42BB4"/>
    <w:rsid w:val="5CC826A5"/>
    <w:rsid w:val="5CDA0AE5"/>
    <w:rsid w:val="5CF1327E"/>
    <w:rsid w:val="5D042FB1"/>
    <w:rsid w:val="5D1C479E"/>
    <w:rsid w:val="5D442CB4"/>
    <w:rsid w:val="5D63417B"/>
    <w:rsid w:val="5D7C3F11"/>
    <w:rsid w:val="5D971C5A"/>
    <w:rsid w:val="5D9D49E0"/>
    <w:rsid w:val="5DA01E9E"/>
    <w:rsid w:val="5DAD3649"/>
    <w:rsid w:val="5DC310BE"/>
    <w:rsid w:val="5DC32E6C"/>
    <w:rsid w:val="5DDF1821"/>
    <w:rsid w:val="5DE2656A"/>
    <w:rsid w:val="5DEA2F91"/>
    <w:rsid w:val="5DF11787"/>
    <w:rsid w:val="5DF94AE0"/>
    <w:rsid w:val="5DFA5883"/>
    <w:rsid w:val="5DFC012C"/>
    <w:rsid w:val="5E224037"/>
    <w:rsid w:val="5E272270"/>
    <w:rsid w:val="5E3146A3"/>
    <w:rsid w:val="5E442F62"/>
    <w:rsid w:val="5E6957C1"/>
    <w:rsid w:val="5E6C2C5B"/>
    <w:rsid w:val="5E6E2DD8"/>
    <w:rsid w:val="5E7251A2"/>
    <w:rsid w:val="5E7C3591"/>
    <w:rsid w:val="5E8B00D8"/>
    <w:rsid w:val="5E9842F9"/>
    <w:rsid w:val="5E9D0E18"/>
    <w:rsid w:val="5EA26F25"/>
    <w:rsid w:val="5EA341D7"/>
    <w:rsid w:val="5EA755DE"/>
    <w:rsid w:val="5EAE7678"/>
    <w:rsid w:val="5ED35F0E"/>
    <w:rsid w:val="5EDF7832"/>
    <w:rsid w:val="5EE74938"/>
    <w:rsid w:val="5EFC1390"/>
    <w:rsid w:val="5EFC3EB6"/>
    <w:rsid w:val="5F03335D"/>
    <w:rsid w:val="5F0368C7"/>
    <w:rsid w:val="5F1119B5"/>
    <w:rsid w:val="5F1544E7"/>
    <w:rsid w:val="5F197EE8"/>
    <w:rsid w:val="5F312D8D"/>
    <w:rsid w:val="5F3C4923"/>
    <w:rsid w:val="5F4160B0"/>
    <w:rsid w:val="5F4A2D43"/>
    <w:rsid w:val="5F5A7800"/>
    <w:rsid w:val="5F5E1ACC"/>
    <w:rsid w:val="5F6368E9"/>
    <w:rsid w:val="5F653C4D"/>
    <w:rsid w:val="5F7811D3"/>
    <w:rsid w:val="5F904FD0"/>
    <w:rsid w:val="5F9A65E6"/>
    <w:rsid w:val="5F9B2627"/>
    <w:rsid w:val="5FA66B60"/>
    <w:rsid w:val="5FAC7B1F"/>
    <w:rsid w:val="5FB5266F"/>
    <w:rsid w:val="5FB80E3D"/>
    <w:rsid w:val="5FB831B4"/>
    <w:rsid w:val="5FBD4636"/>
    <w:rsid w:val="5FC058B5"/>
    <w:rsid w:val="5FC937C5"/>
    <w:rsid w:val="5FD40999"/>
    <w:rsid w:val="5FD924D3"/>
    <w:rsid w:val="5FE07D05"/>
    <w:rsid w:val="5FE5522B"/>
    <w:rsid w:val="5FF03F08"/>
    <w:rsid w:val="5FF2548E"/>
    <w:rsid w:val="5FF313D3"/>
    <w:rsid w:val="602610FD"/>
    <w:rsid w:val="602808B2"/>
    <w:rsid w:val="602C2F4B"/>
    <w:rsid w:val="602D0A71"/>
    <w:rsid w:val="60307A2A"/>
    <w:rsid w:val="603814FF"/>
    <w:rsid w:val="604109A8"/>
    <w:rsid w:val="605D2617"/>
    <w:rsid w:val="60616CDC"/>
    <w:rsid w:val="60624E53"/>
    <w:rsid w:val="606319E5"/>
    <w:rsid w:val="607A77D8"/>
    <w:rsid w:val="607B3C50"/>
    <w:rsid w:val="608B6567"/>
    <w:rsid w:val="60902A4E"/>
    <w:rsid w:val="60AA3E6F"/>
    <w:rsid w:val="60BB2ED0"/>
    <w:rsid w:val="60D62EB6"/>
    <w:rsid w:val="60DD5FF3"/>
    <w:rsid w:val="60E309D6"/>
    <w:rsid w:val="60F877AE"/>
    <w:rsid w:val="60FF21D9"/>
    <w:rsid w:val="6109328C"/>
    <w:rsid w:val="610C0686"/>
    <w:rsid w:val="611E37D0"/>
    <w:rsid w:val="613021B3"/>
    <w:rsid w:val="61306A6A"/>
    <w:rsid w:val="613253FD"/>
    <w:rsid w:val="61421F29"/>
    <w:rsid w:val="615D5386"/>
    <w:rsid w:val="61637D56"/>
    <w:rsid w:val="61712185"/>
    <w:rsid w:val="618B7207"/>
    <w:rsid w:val="61907E69"/>
    <w:rsid w:val="61911D42"/>
    <w:rsid w:val="619D79D5"/>
    <w:rsid w:val="61A90D68"/>
    <w:rsid w:val="61B43A15"/>
    <w:rsid w:val="61CB229C"/>
    <w:rsid w:val="61DA0425"/>
    <w:rsid w:val="62065A1D"/>
    <w:rsid w:val="6213792C"/>
    <w:rsid w:val="621775E2"/>
    <w:rsid w:val="621A5025"/>
    <w:rsid w:val="621C0D9D"/>
    <w:rsid w:val="62255EA3"/>
    <w:rsid w:val="622C5484"/>
    <w:rsid w:val="622F7552"/>
    <w:rsid w:val="6250406E"/>
    <w:rsid w:val="6267666C"/>
    <w:rsid w:val="62682234"/>
    <w:rsid w:val="627712B4"/>
    <w:rsid w:val="627D6831"/>
    <w:rsid w:val="62811B1C"/>
    <w:rsid w:val="62A20409"/>
    <w:rsid w:val="62AC0373"/>
    <w:rsid w:val="62B54B44"/>
    <w:rsid w:val="62BB3278"/>
    <w:rsid w:val="62C751AC"/>
    <w:rsid w:val="62D02854"/>
    <w:rsid w:val="62E045DA"/>
    <w:rsid w:val="62E454A1"/>
    <w:rsid w:val="62E55633"/>
    <w:rsid w:val="62E95123"/>
    <w:rsid w:val="62EF025F"/>
    <w:rsid w:val="62F36E4C"/>
    <w:rsid w:val="62F47F8F"/>
    <w:rsid w:val="62F7233F"/>
    <w:rsid w:val="630D1F6B"/>
    <w:rsid w:val="63181564"/>
    <w:rsid w:val="631F3FB4"/>
    <w:rsid w:val="63273E9D"/>
    <w:rsid w:val="63364F75"/>
    <w:rsid w:val="6340438B"/>
    <w:rsid w:val="6353238E"/>
    <w:rsid w:val="63612AB8"/>
    <w:rsid w:val="6379289B"/>
    <w:rsid w:val="637D0978"/>
    <w:rsid w:val="637D3ABD"/>
    <w:rsid w:val="638906B4"/>
    <w:rsid w:val="638968B0"/>
    <w:rsid w:val="638A282C"/>
    <w:rsid w:val="6393508F"/>
    <w:rsid w:val="639A3568"/>
    <w:rsid w:val="63A75341"/>
    <w:rsid w:val="63A85E90"/>
    <w:rsid w:val="63A962DB"/>
    <w:rsid w:val="63AB1A91"/>
    <w:rsid w:val="63AB23D8"/>
    <w:rsid w:val="63B75221"/>
    <w:rsid w:val="63B82D47"/>
    <w:rsid w:val="63C74D38"/>
    <w:rsid w:val="63EA73A4"/>
    <w:rsid w:val="63EE4692"/>
    <w:rsid w:val="63FD622D"/>
    <w:rsid w:val="640A35A3"/>
    <w:rsid w:val="64177A6E"/>
    <w:rsid w:val="64191A38"/>
    <w:rsid w:val="642F4DB7"/>
    <w:rsid w:val="643F32F9"/>
    <w:rsid w:val="644545DB"/>
    <w:rsid w:val="644D348F"/>
    <w:rsid w:val="64540CC2"/>
    <w:rsid w:val="64582686"/>
    <w:rsid w:val="64673C87"/>
    <w:rsid w:val="64877733"/>
    <w:rsid w:val="64925346"/>
    <w:rsid w:val="649425A0"/>
    <w:rsid w:val="64A170D2"/>
    <w:rsid w:val="64A251DD"/>
    <w:rsid w:val="64BC182A"/>
    <w:rsid w:val="64C23E7D"/>
    <w:rsid w:val="64DD4813"/>
    <w:rsid w:val="650242F0"/>
    <w:rsid w:val="65136487"/>
    <w:rsid w:val="65365B2B"/>
    <w:rsid w:val="653F447E"/>
    <w:rsid w:val="65426D6C"/>
    <w:rsid w:val="65542778"/>
    <w:rsid w:val="655829AF"/>
    <w:rsid w:val="656211BC"/>
    <w:rsid w:val="656B70C3"/>
    <w:rsid w:val="657038D9"/>
    <w:rsid w:val="65711400"/>
    <w:rsid w:val="657333CA"/>
    <w:rsid w:val="658F4798"/>
    <w:rsid w:val="659B1EBA"/>
    <w:rsid w:val="65A11CE5"/>
    <w:rsid w:val="65A83379"/>
    <w:rsid w:val="65B461E9"/>
    <w:rsid w:val="65BE39A8"/>
    <w:rsid w:val="65C23A09"/>
    <w:rsid w:val="65FB3FBE"/>
    <w:rsid w:val="66070380"/>
    <w:rsid w:val="66101A71"/>
    <w:rsid w:val="66171FA7"/>
    <w:rsid w:val="66247D11"/>
    <w:rsid w:val="663B3EC9"/>
    <w:rsid w:val="665A1E94"/>
    <w:rsid w:val="666D6853"/>
    <w:rsid w:val="66736112"/>
    <w:rsid w:val="667F5B5B"/>
    <w:rsid w:val="6694262A"/>
    <w:rsid w:val="66990381"/>
    <w:rsid w:val="66B0786A"/>
    <w:rsid w:val="66B31B01"/>
    <w:rsid w:val="66CE1E80"/>
    <w:rsid w:val="66E362F9"/>
    <w:rsid w:val="66E47FD9"/>
    <w:rsid w:val="66E520A5"/>
    <w:rsid w:val="66F04175"/>
    <w:rsid w:val="66F127F8"/>
    <w:rsid w:val="6700318D"/>
    <w:rsid w:val="67071922"/>
    <w:rsid w:val="67073DC9"/>
    <w:rsid w:val="672E57FA"/>
    <w:rsid w:val="6739419F"/>
    <w:rsid w:val="673B73C0"/>
    <w:rsid w:val="674743C8"/>
    <w:rsid w:val="675608B6"/>
    <w:rsid w:val="67754402"/>
    <w:rsid w:val="67782D7F"/>
    <w:rsid w:val="677D54ED"/>
    <w:rsid w:val="67812B00"/>
    <w:rsid w:val="67894FF4"/>
    <w:rsid w:val="678B726C"/>
    <w:rsid w:val="6791606D"/>
    <w:rsid w:val="67B25E27"/>
    <w:rsid w:val="67B4646D"/>
    <w:rsid w:val="67B464CA"/>
    <w:rsid w:val="67C4383B"/>
    <w:rsid w:val="67D35E1A"/>
    <w:rsid w:val="67D6379C"/>
    <w:rsid w:val="67D839B8"/>
    <w:rsid w:val="67F35317"/>
    <w:rsid w:val="67F73E3E"/>
    <w:rsid w:val="68016A6B"/>
    <w:rsid w:val="680201B7"/>
    <w:rsid w:val="68040309"/>
    <w:rsid w:val="68060525"/>
    <w:rsid w:val="68362BFB"/>
    <w:rsid w:val="683D085A"/>
    <w:rsid w:val="683F1130"/>
    <w:rsid w:val="684456A1"/>
    <w:rsid w:val="68447EF6"/>
    <w:rsid w:val="684C2838"/>
    <w:rsid w:val="685E1363"/>
    <w:rsid w:val="687731D1"/>
    <w:rsid w:val="6878475E"/>
    <w:rsid w:val="688073A5"/>
    <w:rsid w:val="688B4E68"/>
    <w:rsid w:val="688E01AA"/>
    <w:rsid w:val="688E1089"/>
    <w:rsid w:val="68993219"/>
    <w:rsid w:val="689E42BA"/>
    <w:rsid w:val="68A026F3"/>
    <w:rsid w:val="68AF6C13"/>
    <w:rsid w:val="68B47F81"/>
    <w:rsid w:val="68F25680"/>
    <w:rsid w:val="690031C6"/>
    <w:rsid w:val="69074555"/>
    <w:rsid w:val="690D143F"/>
    <w:rsid w:val="690E07C7"/>
    <w:rsid w:val="69140A20"/>
    <w:rsid w:val="692073C4"/>
    <w:rsid w:val="69236A65"/>
    <w:rsid w:val="692A3D9F"/>
    <w:rsid w:val="692E469B"/>
    <w:rsid w:val="69315C48"/>
    <w:rsid w:val="69353E74"/>
    <w:rsid w:val="694019EC"/>
    <w:rsid w:val="694841AF"/>
    <w:rsid w:val="69584DB4"/>
    <w:rsid w:val="695B5B89"/>
    <w:rsid w:val="6962178B"/>
    <w:rsid w:val="696C3D80"/>
    <w:rsid w:val="696D7E94"/>
    <w:rsid w:val="698A5EE4"/>
    <w:rsid w:val="69BB6FEF"/>
    <w:rsid w:val="69C45EE1"/>
    <w:rsid w:val="69C811ED"/>
    <w:rsid w:val="69D33070"/>
    <w:rsid w:val="69E97E75"/>
    <w:rsid w:val="69FB5D9E"/>
    <w:rsid w:val="69FF6FDA"/>
    <w:rsid w:val="6A09542B"/>
    <w:rsid w:val="6A1A3007"/>
    <w:rsid w:val="6A1E645E"/>
    <w:rsid w:val="6A3C6480"/>
    <w:rsid w:val="6A417049"/>
    <w:rsid w:val="6A576E16"/>
    <w:rsid w:val="6A60442B"/>
    <w:rsid w:val="6A787D51"/>
    <w:rsid w:val="6A7903E5"/>
    <w:rsid w:val="6A7F011B"/>
    <w:rsid w:val="6A8219B9"/>
    <w:rsid w:val="6A8641F2"/>
    <w:rsid w:val="6A9701A5"/>
    <w:rsid w:val="6AA03032"/>
    <w:rsid w:val="6AA638F9"/>
    <w:rsid w:val="6AA86FEC"/>
    <w:rsid w:val="6ABA600F"/>
    <w:rsid w:val="6ACB20F7"/>
    <w:rsid w:val="6ADA6AC4"/>
    <w:rsid w:val="6ADB11D6"/>
    <w:rsid w:val="6AF01018"/>
    <w:rsid w:val="6B1A2C3C"/>
    <w:rsid w:val="6B221F4E"/>
    <w:rsid w:val="6B31644D"/>
    <w:rsid w:val="6B486C86"/>
    <w:rsid w:val="6B554C72"/>
    <w:rsid w:val="6B6537B4"/>
    <w:rsid w:val="6B680BAF"/>
    <w:rsid w:val="6B774DF2"/>
    <w:rsid w:val="6B847AD7"/>
    <w:rsid w:val="6B961F07"/>
    <w:rsid w:val="6B9A2DF9"/>
    <w:rsid w:val="6BA56BC7"/>
    <w:rsid w:val="6BAA566B"/>
    <w:rsid w:val="6BAC4619"/>
    <w:rsid w:val="6BB118FD"/>
    <w:rsid w:val="6BC60150"/>
    <w:rsid w:val="6BCD2823"/>
    <w:rsid w:val="6BDD15DD"/>
    <w:rsid w:val="6BDF2966"/>
    <w:rsid w:val="6BE86A5F"/>
    <w:rsid w:val="6C053C7D"/>
    <w:rsid w:val="6C0D357A"/>
    <w:rsid w:val="6C1C27D3"/>
    <w:rsid w:val="6C1E2819"/>
    <w:rsid w:val="6C2076DB"/>
    <w:rsid w:val="6C225202"/>
    <w:rsid w:val="6C234DED"/>
    <w:rsid w:val="6C29198B"/>
    <w:rsid w:val="6C3A67D1"/>
    <w:rsid w:val="6C3D2157"/>
    <w:rsid w:val="6C3D2D5C"/>
    <w:rsid w:val="6C4800AA"/>
    <w:rsid w:val="6C4D28F8"/>
    <w:rsid w:val="6C573E9C"/>
    <w:rsid w:val="6C5C23DC"/>
    <w:rsid w:val="6C6D1126"/>
    <w:rsid w:val="6C783074"/>
    <w:rsid w:val="6C7A0201"/>
    <w:rsid w:val="6C7C2011"/>
    <w:rsid w:val="6C8934D3"/>
    <w:rsid w:val="6C986334"/>
    <w:rsid w:val="6CA35B3A"/>
    <w:rsid w:val="6CA41A5D"/>
    <w:rsid w:val="6CA479DF"/>
    <w:rsid w:val="6CAF588C"/>
    <w:rsid w:val="6CB15E09"/>
    <w:rsid w:val="6CB4638E"/>
    <w:rsid w:val="6CBF3C6A"/>
    <w:rsid w:val="6CBF5306"/>
    <w:rsid w:val="6CD209D6"/>
    <w:rsid w:val="6CD3474E"/>
    <w:rsid w:val="6CD7423E"/>
    <w:rsid w:val="6CD930DF"/>
    <w:rsid w:val="6CD96208"/>
    <w:rsid w:val="6CDC1854"/>
    <w:rsid w:val="6CE508B1"/>
    <w:rsid w:val="6CE70FA1"/>
    <w:rsid w:val="6CEE0E0F"/>
    <w:rsid w:val="6CF05300"/>
    <w:rsid w:val="6CFA6351"/>
    <w:rsid w:val="6CFC3C40"/>
    <w:rsid w:val="6CFE65E7"/>
    <w:rsid w:val="6D2F6F7D"/>
    <w:rsid w:val="6D375D57"/>
    <w:rsid w:val="6D480984"/>
    <w:rsid w:val="6D5E4DBF"/>
    <w:rsid w:val="6D8079F9"/>
    <w:rsid w:val="6D981C1F"/>
    <w:rsid w:val="6DAE7841"/>
    <w:rsid w:val="6DAF2426"/>
    <w:rsid w:val="6DB13E57"/>
    <w:rsid w:val="6DC245A2"/>
    <w:rsid w:val="6DC71662"/>
    <w:rsid w:val="6DCD5126"/>
    <w:rsid w:val="6DDB6CB0"/>
    <w:rsid w:val="6DE21877"/>
    <w:rsid w:val="6DE52ACD"/>
    <w:rsid w:val="6DEF55B7"/>
    <w:rsid w:val="6DF36E56"/>
    <w:rsid w:val="6DFC0B44"/>
    <w:rsid w:val="6E0458E7"/>
    <w:rsid w:val="6E13574A"/>
    <w:rsid w:val="6E212037"/>
    <w:rsid w:val="6E263D90"/>
    <w:rsid w:val="6E3B221B"/>
    <w:rsid w:val="6E3D27C7"/>
    <w:rsid w:val="6E3F1CF4"/>
    <w:rsid w:val="6E475779"/>
    <w:rsid w:val="6E51424D"/>
    <w:rsid w:val="6E663C68"/>
    <w:rsid w:val="6E7764EF"/>
    <w:rsid w:val="6E8403F6"/>
    <w:rsid w:val="6E8E5990"/>
    <w:rsid w:val="6EAD447C"/>
    <w:rsid w:val="6EAE5472"/>
    <w:rsid w:val="6EBC069A"/>
    <w:rsid w:val="6ECD7F59"/>
    <w:rsid w:val="6ECF449B"/>
    <w:rsid w:val="6ED20B4A"/>
    <w:rsid w:val="6ED975CA"/>
    <w:rsid w:val="6EDE50D1"/>
    <w:rsid w:val="6EED7C80"/>
    <w:rsid w:val="6EF03395"/>
    <w:rsid w:val="6EF773A4"/>
    <w:rsid w:val="6EFA4214"/>
    <w:rsid w:val="6F1630AC"/>
    <w:rsid w:val="6F174DC6"/>
    <w:rsid w:val="6F1E2E65"/>
    <w:rsid w:val="6F247388"/>
    <w:rsid w:val="6F2F2D9E"/>
    <w:rsid w:val="6F4147D9"/>
    <w:rsid w:val="6F4357E6"/>
    <w:rsid w:val="6F581F47"/>
    <w:rsid w:val="6F5B0D5A"/>
    <w:rsid w:val="6F5C35EA"/>
    <w:rsid w:val="6F63625D"/>
    <w:rsid w:val="6F6B6A15"/>
    <w:rsid w:val="6F7E42F5"/>
    <w:rsid w:val="6F8166E3"/>
    <w:rsid w:val="6F8431C7"/>
    <w:rsid w:val="6F947E4B"/>
    <w:rsid w:val="6FA30BDA"/>
    <w:rsid w:val="6FAB5504"/>
    <w:rsid w:val="6FAE2B4A"/>
    <w:rsid w:val="6FB21D4C"/>
    <w:rsid w:val="6FB80698"/>
    <w:rsid w:val="6FDA5010"/>
    <w:rsid w:val="6FE32EFA"/>
    <w:rsid w:val="6FF11ABB"/>
    <w:rsid w:val="6FFD5E0F"/>
    <w:rsid w:val="701021F4"/>
    <w:rsid w:val="701A2DBF"/>
    <w:rsid w:val="701C29A6"/>
    <w:rsid w:val="7024611F"/>
    <w:rsid w:val="7038498C"/>
    <w:rsid w:val="704C4397"/>
    <w:rsid w:val="705A140E"/>
    <w:rsid w:val="70637B96"/>
    <w:rsid w:val="70716936"/>
    <w:rsid w:val="70797317"/>
    <w:rsid w:val="707E201F"/>
    <w:rsid w:val="709025ED"/>
    <w:rsid w:val="7099044B"/>
    <w:rsid w:val="709A06E1"/>
    <w:rsid w:val="709D518F"/>
    <w:rsid w:val="70B33EBC"/>
    <w:rsid w:val="70B76860"/>
    <w:rsid w:val="70C72417"/>
    <w:rsid w:val="70C759D3"/>
    <w:rsid w:val="70C920F0"/>
    <w:rsid w:val="70CB40BA"/>
    <w:rsid w:val="70CD7E32"/>
    <w:rsid w:val="70CF2B23"/>
    <w:rsid w:val="70D70CB1"/>
    <w:rsid w:val="70D80585"/>
    <w:rsid w:val="70EE7F7C"/>
    <w:rsid w:val="70FA674D"/>
    <w:rsid w:val="710952C1"/>
    <w:rsid w:val="71260002"/>
    <w:rsid w:val="713954C7"/>
    <w:rsid w:val="713C6D66"/>
    <w:rsid w:val="713F70AB"/>
    <w:rsid w:val="71452CD8"/>
    <w:rsid w:val="714F4CEB"/>
    <w:rsid w:val="715776FB"/>
    <w:rsid w:val="71583F2D"/>
    <w:rsid w:val="7158683A"/>
    <w:rsid w:val="715B2F52"/>
    <w:rsid w:val="7164006A"/>
    <w:rsid w:val="7167680B"/>
    <w:rsid w:val="71764F23"/>
    <w:rsid w:val="71881188"/>
    <w:rsid w:val="71946576"/>
    <w:rsid w:val="71967E84"/>
    <w:rsid w:val="7197629F"/>
    <w:rsid w:val="719F47E7"/>
    <w:rsid w:val="71A61873"/>
    <w:rsid w:val="71AF4936"/>
    <w:rsid w:val="71B12351"/>
    <w:rsid w:val="71BB4E1E"/>
    <w:rsid w:val="71D07496"/>
    <w:rsid w:val="71D75D0F"/>
    <w:rsid w:val="71F437A4"/>
    <w:rsid w:val="7218332F"/>
    <w:rsid w:val="721919B3"/>
    <w:rsid w:val="721A6098"/>
    <w:rsid w:val="721D18D3"/>
    <w:rsid w:val="722717C4"/>
    <w:rsid w:val="72310D1A"/>
    <w:rsid w:val="725620A9"/>
    <w:rsid w:val="725D6B54"/>
    <w:rsid w:val="727E1A1D"/>
    <w:rsid w:val="72822C0A"/>
    <w:rsid w:val="72986FA0"/>
    <w:rsid w:val="72987FCC"/>
    <w:rsid w:val="72A17C99"/>
    <w:rsid w:val="72A2709C"/>
    <w:rsid w:val="72A5093A"/>
    <w:rsid w:val="72AD7197"/>
    <w:rsid w:val="72AF6F7E"/>
    <w:rsid w:val="72BD102B"/>
    <w:rsid w:val="72BD2C86"/>
    <w:rsid w:val="72CD226C"/>
    <w:rsid w:val="72D27981"/>
    <w:rsid w:val="72D3107D"/>
    <w:rsid w:val="73047407"/>
    <w:rsid w:val="73047904"/>
    <w:rsid w:val="731A4E85"/>
    <w:rsid w:val="73253EFA"/>
    <w:rsid w:val="732E26DE"/>
    <w:rsid w:val="73353A6C"/>
    <w:rsid w:val="734C1A6A"/>
    <w:rsid w:val="735663B7"/>
    <w:rsid w:val="73582D47"/>
    <w:rsid w:val="735C5949"/>
    <w:rsid w:val="73671287"/>
    <w:rsid w:val="73737DA5"/>
    <w:rsid w:val="73740A39"/>
    <w:rsid w:val="73773186"/>
    <w:rsid w:val="73783823"/>
    <w:rsid w:val="73887B3E"/>
    <w:rsid w:val="73892412"/>
    <w:rsid w:val="739015EB"/>
    <w:rsid w:val="73AF2114"/>
    <w:rsid w:val="73AF381F"/>
    <w:rsid w:val="73CA68AB"/>
    <w:rsid w:val="73E96BCA"/>
    <w:rsid w:val="73EE4A6E"/>
    <w:rsid w:val="73F93749"/>
    <w:rsid w:val="740956FC"/>
    <w:rsid w:val="741048BC"/>
    <w:rsid w:val="742E78D4"/>
    <w:rsid w:val="74317498"/>
    <w:rsid w:val="74335A84"/>
    <w:rsid w:val="743441C2"/>
    <w:rsid w:val="743A6A13"/>
    <w:rsid w:val="743D52CE"/>
    <w:rsid w:val="744A753D"/>
    <w:rsid w:val="745C79EC"/>
    <w:rsid w:val="74676A28"/>
    <w:rsid w:val="747131CA"/>
    <w:rsid w:val="747E40B6"/>
    <w:rsid w:val="74AA2238"/>
    <w:rsid w:val="74AC3224"/>
    <w:rsid w:val="74B21065"/>
    <w:rsid w:val="74BB2C83"/>
    <w:rsid w:val="74BD7526"/>
    <w:rsid w:val="74C33758"/>
    <w:rsid w:val="74D476FB"/>
    <w:rsid w:val="74D72451"/>
    <w:rsid w:val="74DE4E5F"/>
    <w:rsid w:val="74EB54AB"/>
    <w:rsid w:val="74F0689A"/>
    <w:rsid w:val="74F87B39"/>
    <w:rsid w:val="74FF6D43"/>
    <w:rsid w:val="750201A2"/>
    <w:rsid w:val="750E70AC"/>
    <w:rsid w:val="750F23CE"/>
    <w:rsid w:val="75137DDD"/>
    <w:rsid w:val="75161E27"/>
    <w:rsid w:val="751A76AF"/>
    <w:rsid w:val="75241FEA"/>
    <w:rsid w:val="75250574"/>
    <w:rsid w:val="75267B11"/>
    <w:rsid w:val="75306BE1"/>
    <w:rsid w:val="753649D0"/>
    <w:rsid w:val="753E09D1"/>
    <w:rsid w:val="754459E0"/>
    <w:rsid w:val="7550443E"/>
    <w:rsid w:val="755747C3"/>
    <w:rsid w:val="755F0BCC"/>
    <w:rsid w:val="7561323F"/>
    <w:rsid w:val="756F17F9"/>
    <w:rsid w:val="757E5B9F"/>
    <w:rsid w:val="75825461"/>
    <w:rsid w:val="75907680"/>
    <w:rsid w:val="75916599"/>
    <w:rsid w:val="759926FC"/>
    <w:rsid w:val="75A24276"/>
    <w:rsid w:val="75AA231D"/>
    <w:rsid w:val="75AD6340"/>
    <w:rsid w:val="75CF1ACA"/>
    <w:rsid w:val="75DF5F11"/>
    <w:rsid w:val="75E64F36"/>
    <w:rsid w:val="75E8633A"/>
    <w:rsid w:val="75ED4AD2"/>
    <w:rsid w:val="75FE283B"/>
    <w:rsid w:val="75FE6CDF"/>
    <w:rsid w:val="760416B8"/>
    <w:rsid w:val="762B3944"/>
    <w:rsid w:val="76360227"/>
    <w:rsid w:val="76393874"/>
    <w:rsid w:val="763F09AA"/>
    <w:rsid w:val="764F3FCC"/>
    <w:rsid w:val="7650339F"/>
    <w:rsid w:val="76603C9A"/>
    <w:rsid w:val="766B00E5"/>
    <w:rsid w:val="76832D41"/>
    <w:rsid w:val="7689407D"/>
    <w:rsid w:val="768B2C28"/>
    <w:rsid w:val="76BB1CAB"/>
    <w:rsid w:val="76C04050"/>
    <w:rsid w:val="76D67314"/>
    <w:rsid w:val="76D950F5"/>
    <w:rsid w:val="76E00193"/>
    <w:rsid w:val="76E2215D"/>
    <w:rsid w:val="76E65049"/>
    <w:rsid w:val="76FA74A7"/>
    <w:rsid w:val="77076007"/>
    <w:rsid w:val="771A36A5"/>
    <w:rsid w:val="771F6F0D"/>
    <w:rsid w:val="77297D8C"/>
    <w:rsid w:val="773F135E"/>
    <w:rsid w:val="77413F7E"/>
    <w:rsid w:val="77464076"/>
    <w:rsid w:val="7758241F"/>
    <w:rsid w:val="777A7D22"/>
    <w:rsid w:val="777E28EC"/>
    <w:rsid w:val="77835654"/>
    <w:rsid w:val="7797109C"/>
    <w:rsid w:val="779A2A38"/>
    <w:rsid w:val="77A80CB1"/>
    <w:rsid w:val="77B4450A"/>
    <w:rsid w:val="77B46E73"/>
    <w:rsid w:val="77B830F8"/>
    <w:rsid w:val="77BA4E88"/>
    <w:rsid w:val="77BC650A"/>
    <w:rsid w:val="77E37A12"/>
    <w:rsid w:val="77F42148"/>
    <w:rsid w:val="77FE3468"/>
    <w:rsid w:val="78250553"/>
    <w:rsid w:val="78257099"/>
    <w:rsid w:val="783B17B1"/>
    <w:rsid w:val="784E2046"/>
    <w:rsid w:val="78546F0C"/>
    <w:rsid w:val="786778FE"/>
    <w:rsid w:val="789D588A"/>
    <w:rsid w:val="78A000BA"/>
    <w:rsid w:val="78B65E3A"/>
    <w:rsid w:val="78D21D5D"/>
    <w:rsid w:val="78D930EC"/>
    <w:rsid w:val="78E0091E"/>
    <w:rsid w:val="78E24696"/>
    <w:rsid w:val="78EE1C79"/>
    <w:rsid w:val="78F85605"/>
    <w:rsid w:val="78FA66FA"/>
    <w:rsid w:val="78FF3CBD"/>
    <w:rsid w:val="79345B6A"/>
    <w:rsid w:val="79424F6E"/>
    <w:rsid w:val="795F3706"/>
    <w:rsid w:val="797239CC"/>
    <w:rsid w:val="797F54AB"/>
    <w:rsid w:val="79831473"/>
    <w:rsid w:val="79983E9C"/>
    <w:rsid w:val="7999527A"/>
    <w:rsid w:val="799C1BAE"/>
    <w:rsid w:val="79AF76C5"/>
    <w:rsid w:val="79C25EE1"/>
    <w:rsid w:val="79C434C5"/>
    <w:rsid w:val="79CD2C51"/>
    <w:rsid w:val="79CE2967"/>
    <w:rsid w:val="79D33FDF"/>
    <w:rsid w:val="79E30EE8"/>
    <w:rsid w:val="79E34934"/>
    <w:rsid w:val="79EA664C"/>
    <w:rsid w:val="79F27B08"/>
    <w:rsid w:val="79F9627A"/>
    <w:rsid w:val="79FF6948"/>
    <w:rsid w:val="7A044199"/>
    <w:rsid w:val="7A0657CF"/>
    <w:rsid w:val="7A124B07"/>
    <w:rsid w:val="7A253FB9"/>
    <w:rsid w:val="7A2F3BBF"/>
    <w:rsid w:val="7A2F459A"/>
    <w:rsid w:val="7A322A39"/>
    <w:rsid w:val="7A3C1B84"/>
    <w:rsid w:val="7A517022"/>
    <w:rsid w:val="7A6F5001"/>
    <w:rsid w:val="7A7720A0"/>
    <w:rsid w:val="7A9635B3"/>
    <w:rsid w:val="7AA2343E"/>
    <w:rsid w:val="7AA548C9"/>
    <w:rsid w:val="7AB21E46"/>
    <w:rsid w:val="7AC04563"/>
    <w:rsid w:val="7AD60EB8"/>
    <w:rsid w:val="7ADA73A4"/>
    <w:rsid w:val="7AE66B99"/>
    <w:rsid w:val="7AF34646"/>
    <w:rsid w:val="7AF67F85"/>
    <w:rsid w:val="7AFE508C"/>
    <w:rsid w:val="7B0A3BCA"/>
    <w:rsid w:val="7B0E7241"/>
    <w:rsid w:val="7B1C0EF4"/>
    <w:rsid w:val="7B212805"/>
    <w:rsid w:val="7B345AA9"/>
    <w:rsid w:val="7B364826"/>
    <w:rsid w:val="7B4048C1"/>
    <w:rsid w:val="7B407452"/>
    <w:rsid w:val="7B4C5DF7"/>
    <w:rsid w:val="7B607AF4"/>
    <w:rsid w:val="7B6C46EB"/>
    <w:rsid w:val="7B73082F"/>
    <w:rsid w:val="7B7B492E"/>
    <w:rsid w:val="7B9A3D1D"/>
    <w:rsid w:val="7B9D6653"/>
    <w:rsid w:val="7BB46FBD"/>
    <w:rsid w:val="7BC62E00"/>
    <w:rsid w:val="7BC73B55"/>
    <w:rsid w:val="7BD71510"/>
    <w:rsid w:val="7BE35E2A"/>
    <w:rsid w:val="7BF256D2"/>
    <w:rsid w:val="7BF538C2"/>
    <w:rsid w:val="7BF66C24"/>
    <w:rsid w:val="7BFA1CC7"/>
    <w:rsid w:val="7BFB70B3"/>
    <w:rsid w:val="7C0251DA"/>
    <w:rsid w:val="7C0B3F04"/>
    <w:rsid w:val="7C0C0E4A"/>
    <w:rsid w:val="7C0C5586"/>
    <w:rsid w:val="7C0E41D1"/>
    <w:rsid w:val="7C1052F2"/>
    <w:rsid w:val="7C137AD0"/>
    <w:rsid w:val="7C21292C"/>
    <w:rsid w:val="7C2668D9"/>
    <w:rsid w:val="7C32497F"/>
    <w:rsid w:val="7C3C69AE"/>
    <w:rsid w:val="7C635AEE"/>
    <w:rsid w:val="7C691974"/>
    <w:rsid w:val="7C8A6570"/>
    <w:rsid w:val="7C8B7390"/>
    <w:rsid w:val="7C9B0D0E"/>
    <w:rsid w:val="7CA42B03"/>
    <w:rsid w:val="7CC55E61"/>
    <w:rsid w:val="7CCC5441"/>
    <w:rsid w:val="7CD2318A"/>
    <w:rsid w:val="7CD2702A"/>
    <w:rsid w:val="7CD34C42"/>
    <w:rsid w:val="7CD46B29"/>
    <w:rsid w:val="7CDE3FF9"/>
    <w:rsid w:val="7CE26EBF"/>
    <w:rsid w:val="7CEA1D6C"/>
    <w:rsid w:val="7CEE3130"/>
    <w:rsid w:val="7CEF62FD"/>
    <w:rsid w:val="7CFC08E8"/>
    <w:rsid w:val="7D032E2D"/>
    <w:rsid w:val="7D1E1A15"/>
    <w:rsid w:val="7D1F6674"/>
    <w:rsid w:val="7D311748"/>
    <w:rsid w:val="7D475E29"/>
    <w:rsid w:val="7D480B34"/>
    <w:rsid w:val="7D4F6073"/>
    <w:rsid w:val="7D7635FF"/>
    <w:rsid w:val="7D777A3E"/>
    <w:rsid w:val="7D86696D"/>
    <w:rsid w:val="7D9005BC"/>
    <w:rsid w:val="7D9046C1"/>
    <w:rsid w:val="7D9F0AD0"/>
    <w:rsid w:val="7DB22BDF"/>
    <w:rsid w:val="7DC223A1"/>
    <w:rsid w:val="7DC31279"/>
    <w:rsid w:val="7DD12BB7"/>
    <w:rsid w:val="7DDE50C4"/>
    <w:rsid w:val="7DF223A2"/>
    <w:rsid w:val="7DFF0955"/>
    <w:rsid w:val="7E055DED"/>
    <w:rsid w:val="7E0B750E"/>
    <w:rsid w:val="7E1939E8"/>
    <w:rsid w:val="7E1C1A4A"/>
    <w:rsid w:val="7E2400E7"/>
    <w:rsid w:val="7E2822EA"/>
    <w:rsid w:val="7E2A20CE"/>
    <w:rsid w:val="7E355A7B"/>
    <w:rsid w:val="7E455322"/>
    <w:rsid w:val="7E682F48"/>
    <w:rsid w:val="7E6E3E85"/>
    <w:rsid w:val="7E991353"/>
    <w:rsid w:val="7E9C184B"/>
    <w:rsid w:val="7E9D6E05"/>
    <w:rsid w:val="7EA72948"/>
    <w:rsid w:val="7EB31EDB"/>
    <w:rsid w:val="7ECF2FC7"/>
    <w:rsid w:val="7ED61132"/>
    <w:rsid w:val="7ED93E46"/>
    <w:rsid w:val="7EE70CC0"/>
    <w:rsid w:val="7EEB48DB"/>
    <w:rsid w:val="7EF27444"/>
    <w:rsid w:val="7EF74575"/>
    <w:rsid w:val="7F0F5449"/>
    <w:rsid w:val="7F185A04"/>
    <w:rsid w:val="7F265C58"/>
    <w:rsid w:val="7F280929"/>
    <w:rsid w:val="7F370B6C"/>
    <w:rsid w:val="7F3B240A"/>
    <w:rsid w:val="7F4C4618"/>
    <w:rsid w:val="7F4D13A6"/>
    <w:rsid w:val="7F582CF2"/>
    <w:rsid w:val="7F951B40"/>
    <w:rsid w:val="7FA501CC"/>
    <w:rsid w:val="7FA820A8"/>
    <w:rsid w:val="7FAF2DF8"/>
    <w:rsid w:val="7FB90D50"/>
    <w:rsid w:val="7FBE053E"/>
    <w:rsid w:val="7FBF10B0"/>
    <w:rsid w:val="7FCA53DD"/>
    <w:rsid w:val="7FD840FD"/>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4"/>
    <w:autoRedefine/>
    <w:qFormat/>
    <w:uiPriority w:val="0"/>
    <w:pPr>
      <w:keepNext/>
      <w:keepLines/>
      <w:spacing w:before="340" w:after="330" w:line="576" w:lineRule="auto"/>
      <w:outlineLvl w:val="0"/>
    </w:pPr>
    <w:rPr>
      <w:b/>
      <w:bCs/>
      <w:kern w:val="44"/>
      <w:sz w:val="44"/>
      <w:szCs w:val="44"/>
    </w:rPr>
  </w:style>
  <w:style w:type="paragraph" w:styleId="2">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7">
    <w:name w:val="heading 3"/>
    <w:basedOn w:val="1"/>
    <w:next w:val="1"/>
    <w:autoRedefine/>
    <w:qFormat/>
    <w:uiPriority w:val="0"/>
    <w:pPr>
      <w:keepNext/>
      <w:keepLines/>
      <w:spacing w:before="260" w:after="260" w:line="416" w:lineRule="auto"/>
      <w:outlineLvl w:val="2"/>
    </w:pPr>
    <w:rPr>
      <w:b/>
      <w:bCs/>
      <w:sz w:val="32"/>
      <w:szCs w:val="32"/>
    </w:rPr>
  </w:style>
  <w:style w:type="paragraph" w:styleId="8">
    <w:name w:val="heading 4"/>
    <w:basedOn w:val="1"/>
    <w:next w:val="1"/>
    <w:autoRedefine/>
    <w:qFormat/>
    <w:uiPriority w:val="0"/>
    <w:pPr>
      <w:keepNext/>
      <w:keepLines/>
      <w:spacing w:line="360" w:lineRule="auto"/>
      <w:outlineLvl w:val="3"/>
    </w:pPr>
    <w:rPr>
      <w:rFonts w:ascii="Arial" w:hAnsi="Arial"/>
      <w:b/>
      <w:bCs/>
      <w:szCs w:val="28"/>
    </w:rPr>
  </w:style>
  <w:style w:type="paragraph" w:styleId="9">
    <w:name w:val="heading 5"/>
    <w:basedOn w:val="1"/>
    <w:next w:val="1"/>
    <w:autoRedefine/>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35">
    <w:name w:val="Default Paragraph Font"/>
    <w:autoRedefine/>
    <w:semiHidden/>
    <w:unhideWhenUsed/>
    <w:qFormat/>
    <w:uiPriority w:val="1"/>
  </w:style>
  <w:style w:type="table" w:default="1" w:styleId="33">
    <w:name w:val="Normal Table"/>
    <w:autoRedefine/>
    <w:semiHidden/>
    <w:unhideWhenUsed/>
    <w:qFormat/>
    <w:uiPriority w:val="99"/>
    <w:tblPr>
      <w:tblCellMar>
        <w:top w:w="0" w:type="dxa"/>
        <w:left w:w="108" w:type="dxa"/>
        <w:bottom w:w="0" w:type="dxa"/>
        <w:right w:w="108" w:type="dxa"/>
      </w:tblCellMar>
    </w:tblPr>
  </w:style>
  <w:style w:type="paragraph" w:styleId="4">
    <w:name w:val="Body Text"/>
    <w:basedOn w:val="1"/>
    <w:next w:val="5"/>
    <w:link w:val="75"/>
    <w:autoRedefine/>
    <w:qFormat/>
    <w:uiPriority w:val="0"/>
  </w:style>
  <w:style w:type="paragraph" w:customStyle="1" w:styleId="5">
    <w:name w:val="Default"/>
    <w:next w:val="6"/>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6">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0">
    <w:name w:val="List Number"/>
    <w:basedOn w:val="1"/>
    <w:autoRedefine/>
    <w:qFormat/>
    <w:uiPriority w:val="0"/>
    <w:pPr>
      <w:widowControl/>
      <w:spacing w:beforeAutospacing="1" w:afterAutospacing="1"/>
      <w:jc w:val="left"/>
    </w:pPr>
    <w:rPr>
      <w:rFonts w:ascii="宋体" w:hAnsi="宋体" w:cs="宋体"/>
      <w:kern w:val="0"/>
      <w:sz w:val="24"/>
    </w:rPr>
  </w:style>
  <w:style w:type="paragraph" w:styleId="11">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12">
    <w:name w:val="Document Map"/>
    <w:basedOn w:val="1"/>
    <w:link w:val="77"/>
    <w:autoRedefine/>
    <w:qFormat/>
    <w:uiPriority w:val="0"/>
    <w:rPr>
      <w:rFonts w:ascii="宋体" w:hAnsi="Calibri"/>
      <w:sz w:val="18"/>
      <w:szCs w:val="18"/>
    </w:rPr>
  </w:style>
  <w:style w:type="paragraph" w:styleId="13">
    <w:name w:val="annotation text"/>
    <w:basedOn w:val="1"/>
    <w:autoRedefine/>
    <w:qFormat/>
    <w:uiPriority w:val="0"/>
    <w:pPr>
      <w:jc w:val="left"/>
    </w:pPr>
  </w:style>
  <w:style w:type="paragraph" w:styleId="14">
    <w:name w:val="Body Text 3"/>
    <w:basedOn w:val="1"/>
    <w:autoRedefine/>
    <w:qFormat/>
    <w:uiPriority w:val="0"/>
    <w:rPr>
      <w:sz w:val="16"/>
      <w:szCs w:val="16"/>
    </w:rPr>
  </w:style>
  <w:style w:type="paragraph" w:styleId="15">
    <w:name w:val="Body Text Indent"/>
    <w:basedOn w:val="1"/>
    <w:next w:val="16"/>
    <w:autoRedefine/>
    <w:qFormat/>
    <w:uiPriority w:val="0"/>
    <w:pPr>
      <w:widowControl/>
      <w:spacing w:beforeAutospacing="1" w:afterAutospacing="1"/>
      <w:jc w:val="left"/>
    </w:pPr>
    <w:rPr>
      <w:rFonts w:ascii="宋体" w:hAnsi="宋体" w:cs="宋体"/>
      <w:kern w:val="0"/>
      <w:sz w:val="24"/>
    </w:rPr>
  </w:style>
  <w:style w:type="paragraph" w:styleId="16">
    <w:name w:val="Body Text First Indent 2"/>
    <w:basedOn w:val="15"/>
    <w:autoRedefine/>
    <w:qFormat/>
    <w:uiPriority w:val="0"/>
    <w:pPr>
      <w:ind w:firstLine="420" w:firstLineChars="200"/>
    </w:pPr>
  </w:style>
  <w:style w:type="paragraph" w:styleId="17">
    <w:name w:val="List 2"/>
    <w:basedOn w:val="1"/>
    <w:autoRedefine/>
    <w:qFormat/>
    <w:uiPriority w:val="0"/>
    <w:pPr>
      <w:ind w:left="100" w:leftChars="200" w:hanging="200" w:hangingChars="200"/>
    </w:pPr>
  </w:style>
  <w:style w:type="paragraph" w:styleId="18">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19">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20">
    <w:name w:val="Plain Text"/>
    <w:basedOn w:val="1"/>
    <w:autoRedefine/>
    <w:qFormat/>
    <w:uiPriority w:val="0"/>
    <w:pPr>
      <w:widowControl/>
      <w:spacing w:beforeAutospacing="1" w:afterAutospacing="1"/>
      <w:jc w:val="left"/>
    </w:pPr>
    <w:rPr>
      <w:rFonts w:ascii="宋体" w:hAnsi="宋体" w:cs="宋体"/>
      <w:kern w:val="0"/>
      <w:sz w:val="24"/>
    </w:rPr>
  </w:style>
  <w:style w:type="paragraph" w:styleId="21">
    <w:name w:val="Date"/>
    <w:basedOn w:val="1"/>
    <w:next w:val="1"/>
    <w:autoRedefine/>
    <w:qFormat/>
    <w:uiPriority w:val="0"/>
    <w:pPr>
      <w:ind w:left="100" w:leftChars="2500"/>
    </w:pPr>
    <w:rPr>
      <w:rFonts w:ascii="宋体" w:hAnsi="宋体"/>
      <w:sz w:val="28"/>
    </w:rPr>
  </w:style>
  <w:style w:type="paragraph" w:styleId="22">
    <w:name w:val="Body Text Indent 2"/>
    <w:basedOn w:val="1"/>
    <w:autoRedefine/>
    <w:qFormat/>
    <w:uiPriority w:val="0"/>
    <w:pPr>
      <w:spacing w:line="480" w:lineRule="auto"/>
      <w:ind w:left="420" w:leftChars="200"/>
    </w:pPr>
  </w:style>
  <w:style w:type="paragraph" w:styleId="23">
    <w:name w:val="footer"/>
    <w:basedOn w:val="1"/>
    <w:autoRedefine/>
    <w:qFormat/>
    <w:uiPriority w:val="0"/>
    <w:pPr>
      <w:tabs>
        <w:tab w:val="center" w:pos="4153"/>
        <w:tab w:val="right" w:pos="8306"/>
      </w:tabs>
      <w:snapToGrid w:val="0"/>
      <w:jc w:val="left"/>
    </w:pPr>
    <w:rPr>
      <w:sz w:val="18"/>
      <w:szCs w:val="18"/>
    </w:rPr>
  </w:style>
  <w:style w:type="paragraph" w:styleId="24">
    <w:name w:val="envelope return"/>
    <w:basedOn w:val="1"/>
    <w:autoRedefine/>
    <w:unhideWhenUsed/>
    <w:qFormat/>
    <w:uiPriority w:val="99"/>
    <w:pPr>
      <w:snapToGrid w:val="0"/>
    </w:pPr>
    <w:rPr>
      <w:rFonts w:ascii="Arial" w:hAnsi="Arial"/>
    </w:rPr>
  </w:style>
  <w:style w:type="paragraph" w:styleId="25">
    <w:name w:val="toc 1"/>
    <w:basedOn w:val="1"/>
    <w:next w:val="1"/>
    <w:autoRedefine/>
    <w:qFormat/>
    <w:uiPriority w:val="0"/>
  </w:style>
  <w:style w:type="paragraph" w:styleId="26">
    <w:name w:val="List"/>
    <w:basedOn w:val="1"/>
    <w:autoRedefine/>
    <w:qFormat/>
    <w:uiPriority w:val="0"/>
    <w:pPr>
      <w:ind w:left="200" w:hanging="200" w:hangingChars="200"/>
    </w:pPr>
  </w:style>
  <w:style w:type="paragraph" w:styleId="27">
    <w:name w:val="Body Text 2"/>
    <w:basedOn w:val="1"/>
    <w:next w:val="4"/>
    <w:autoRedefine/>
    <w:qFormat/>
    <w:uiPriority w:val="0"/>
    <w:pPr>
      <w:spacing w:line="480" w:lineRule="auto"/>
    </w:pPr>
  </w:style>
  <w:style w:type="paragraph" w:styleId="28">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29">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0">
    <w:name w:val="Normal (Web)"/>
    <w:basedOn w:val="1"/>
    <w:autoRedefine/>
    <w:qFormat/>
    <w:uiPriority w:val="99"/>
    <w:pPr>
      <w:spacing w:before="100" w:beforeAutospacing="1" w:after="100" w:afterAutospacing="1"/>
      <w:jc w:val="left"/>
    </w:pPr>
    <w:rPr>
      <w:kern w:val="0"/>
      <w:sz w:val="24"/>
    </w:rPr>
  </w:style>
  <w:style w:type="paragraph" w:styleId="31">
    <w:name w:val="Title"/>
    <w:basedOn w:val="1"/>
    <w:autoRedefine/>
    <w:qFormat/>
    <w:uiPriority w:val="0"/>
    <w:pPr>
      <w:jc w:val="center"/>
      <w:outlineLvl w:val="0"/>
    </w:pPr>
    <w:rPr>
      <w:rFonts w:ascii="Arial" w:hAnsi="Arial" w:cs="Arial"/>
      <w:b/>
      <w:bCs/>
      <w:sz w:val="32"/>
      <w:szCs w:val="32"/>
    </w:rPr>
  </w:style>
  <w:style w:type="paragraph" w:styleId="32">
    <w:name w:val="Body Text First Indent"/>
    <w:basedOn w:val="4"/>
    <w:next w:val="16"/>
    <w:autoRedefine/>
    <w:qFormat/>
    <w:uiPriority w:val="0"/>
    <w:pPr>
      <w:spacing w:line="360" w:lineRule="auto"/>
      <w:ind w:firstLine="420" w:firstLineChars="100"/>
    </w:pPr>
    <w:rPr>
      <w:szCs w:val="21"/>
    </w:rPr>
  </w:style>
  <w:style w:type="table" w:styleId="34">
    <w:name w:val="Table Grid"/>
    <w:basedOn w:val="33"/>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6">
    <w:name w:val="Strong"/>
    <w:autoRedefine/>
    <w:qFormat/>
    <w:uiPriority w:val="0"/>
    <w:rPr>
      <w:b/>
      <w:bCs/>
      <w:szCs w:val="24"/>
    </w:rPr>
  </w:style>
  <w:style w:type="character" w:styleId="37">
    <w:name w:val="page number"/>
    <w:basedOn w:val="35"/>
    <w:autoRedefine/>
    <w:qFormat/>
    <w:uiPriority w:val="0"/>
  </w:style>
  <w:style w:type="character" w:styleId="38">
    <w:name w:val="FollowedHyperlink"/>
    <w:autoRedefine/>
    <w:qFormat/>
    <w:uiPriority w:val="0"/>
    <w:rPr>
      <w:color w:val="333333"/>
      <w:szCs w:val="24"/>
      <w:u w:val="none"/>
    </w:rPr>
  </w:style>
  <w:style w:type="character" w:styleId="39">
    <w:name w:val="Emphasis"/>
    <w:basedOn w:val="35"/>
    <w:autoRedefine/>
    <w:qFormat/>
    <w:uiPriority w:val="0"/>
  </w:style>
  <w:style w:type="character" w:styleId="40">
    <w:name w:val="HTML Definition"/>
    <w:basedOn w:val="35"/>
    <w:autoRedefine/>
    <w:qFormat/>
    <w:uiPriority w:val="0"/>
  </w:style>
  <w:style w:type="character" w:styleId="41">
    <w:name w:val="HTML Typewriter"/>
    <w:basedOn w:val="35"/>
    <w:autoRedefine/>
    <w:qFormat/>
    <w:uiPriority w:val="0"/>
    <w:rPr>
      <w:rFonts w:hint="default" w:ascii="monospace" w:hAnsi="monospace" w:eastAsia="monospace" w:cs="monospace"/>
      <w:sz w:val="20"/>
    </w:rPr>
  </w:style>
  <w:style w:type="character" w:styleId="42">
    <w:name w:val="HTML Acronym"/>
    <w:basedOn w:val="35"/>
    <w:autoRedefine/>
    <w:qFormat/>
    <w:uiPriority w:val="0"/>
  </w:style>
  <w:style w:type="character" w:styleId="43">
    <w:name w:val="HTML Variable"/>
    <w:basedOn w:val="35"/>
    <w:autoRedefine/>
    <w:qFormat/>
    <w:uiPriority w:val="0"/>
  </w:style>
  <w:style w:type="character" w:styleId="44">
    <w:name w:val="Hyperlink"/>
    <w:basedOn w:val="35"/>
    <w:autoRedefine/>
    <w:qFormat/>
    <w:uiPriority w:val="0"/>
    <w:rPr>
      <w:color w:val="333333"/>
      <w:szCs w:val="24"/>
      <w:u w:val="none"/>
    </w:rPr>
  </w:style>
  <w:style w:type="character" w:styleId="45">
    <w:name w:val="HTML Code"/>
    <w:basedOn w:val="35"/>
    <w:autoRedefine/>
    <w:qFormat/>
    <w:uiPriority w:val="0"/>
    <w:rPr>
      <w:rFonts w:ascii="monospace" w:hAnsi="monospace" w:eastAsia="monospace" w:cs="monospace"/>
      <w:sz w:val="20"/>
    </w:rPr>
  </w:style>
  <w:style w:type="character" w:styleId="46">
    <w:name w:val="HTML Cite"/>
    <w:basedOn w:val="35"/>
    <w:autoRedefine/>
    <w:qFormat/>
    <w:uiPriority w:val="0"/>
  </w:style>
  <w:style w:type="character" w:styleId="47">
    <w:name w:val="HTML Keyboard"/>
    <w:basedOn w:val="35"/>
    <w:autoRedefine/>
    <w:qFormat/>
    <w:uiPriority w:val="0"/>
    <w:rPr>
      <w:rFonts w:hint="default" w:ascii="monospace" w:hAnsi="monospace" w:eastAsia="monospace" w:cs="monospace"/>
      <w:sz w:val="20"/>
    </w:rPr>
  </w:style>
  <w:style w:type="character" w:styleId="48">
    <w:name w:val="HTML Sample"/>
    <w:basedOn w:val="35"/>
    <w:autoRedefine/>
    <w:qFormat/>
    <w:uiPriority w:val="0"/>
    <w:rPr>
      <w:rFonts w:hint="default" w:ascii="monospace" w:hAnsi="monospace" w:eastAsia="monospace" w:cs="monospace"/>
    </w:rPr>
  </w:style>
  <w:style w:type="paragraph" w:customStyle="1" w:styleId="49">
    <w:name w:val="大标题"/>
    <w:basedOn w:val="1"/>
    <w:next w:val="16"/>
    <w:autoRedefine/>
    <w:qFormat/>
    <w:uiPriority w:val="0"/>
    <w:pPr>
      <w:jc w:val="center"/>
    </w:pPr>
    <w:rPr>
      <w:rFonts w:ascii="Arial" w:hAnsi="Arial"/>
      <w:b/>
      <w:sz w:val="28"/>
    </w:rPr>
  </w:style>
  <w:style w:type="paragraph" w:customStyle="1" w:styleId="50">
    <w:name w:val="正文文本缩进 21"/>
    <w:basedOn w:val="1"/>
    <w:autoRedefine/>
    <w:qFormat/>
    <w:uiPriority w:val="0"/>
    <w:pPr>
      <w:ind w:firstLine="570"/>
    </w:pPr>
    <w:rPr>
      <w:sz w:val="32"/>
    </w:rPr>
  </w:style>
  <w:style w:type="paragraph" w:customStyle="1" w:styleId="51">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52">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3">
    <w:name w:val="No Spacing1"/>
    <w:basedOn w:val="1"/>
    <w:autoRedefine/>
    <w:qFormat/>
    <w:uiPriority w:val="0"/>
    <w:pPr>
      <w:spacing w:line="400" w:lineRule="exact"/>
    </w:pPr>
    <w:rPr>
      <w:sz w:val="24"/>
    </w:rPr>
  </w:style>
  <w:style w:type="paragraph" w:customStyle="1" w:styleId="54">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5">
    <w:name w:val="Char"/>
    <w:basedOn w:val="1"/>
    <w:autoRedefine/>
    <w:qFormat/>
    <w:uiPriority w:val="0"/>
  </w:style>
  <w:style w:type="paragraph" w:customStyle="1" w:styleId="56">
    <w:name w:val="正文缩进1"/>
    <w:basedOn w:val="1"/>
    <w:autoRedefine/>
    <w:qFormat/>
    <w:uiPriority w:val="0"/>
    <w:pPr>
      <w:widowControl/>
      <w:ind w:firstLine="420"/>
      <w:jc w:val="left"/>
    </w:pPr>
    <w:rPr>
      <w:kern w:val="0"/>
      <w:szCs w:val="20"/>
    </w:rPr>
  </w:style>
  <w:style w:type="paragraph" w:customStyle="1" w:styleId="57">
    <w:name w:val="列出段落2"/>
    <w:basedOn w:val="1"/>
    <w:autoRedefine/>
    <w:qFormat/>
    <w:uiPriority w:val="34"/>
    <w:pPr>
      <w:ind w:firstLine="420" w:firstLineChars="200"/>
    </w:pPr>
  </w:style>
  <w:style w:type="paragraph" w:customStyle="1" w:styleId="58">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59">
    <w:name w:val="1"/>
    <w:basedOn w:val="1"/>
    <w:autoRedefine/>
    <w:qFormat/>
    <w:uiPriority w:val="0"/>
    <w:pPr>
      <w:widowControl/>
      <w:spacing w:beforeAutospacing="1" w:afterAutospacing="1"/>
      <w:jc w:val="left"/>
    </w:pPr>
    <w:rPr>
      <w:rFonts w:ascii="宋体" w:hAnsi="宋体" w:cs="宋体"/>
      <w:kern w:val="0"/>
      <w:sz w:val="24"/>
    </w:rPr>
  </w:style>
  <w:style w:type="paragraph" w:styleId="60">
    <w:name w:val="No Spacing"/>
    <w:autoRedefine/>
    <w:qFormat/>
    <w:uiPriority w:val="1"/>
    <w:rPr>
      <w:rFonts w:ascii="Calibri" w:hAnsi="Calibri" w:eastAsia="宋体" w:cs="Times New Roman"/>
      <w:sz w:val="22"/>
      <w:szCs w:val="22"/>
      <w:lang w:val="en-US" w:eastAsia="zh-CN" w:bidi="ar-SA"/>
    </w:rPr>
  </w:style>
  <w:style w:type="paragraph" w:customStyle="1" w:styleId="61">
    <w:name w:val="_Style 2"/>
    <w:basedOn w:val="1"/>
    <w:autoRedefine/>
    <w:qFormat/>
    <w:uiPriority w:val="34"/>
    <w:pPr>
      <w:ind w:firstLine="420" w:firstLineChars="200"/>
    </w:pPr>
    <w:rPr>
      <w:rFonts w:ascii="Calibri" w:hAnsi="Calibri"/>
    </w:rPr>
  </w:style>
  <w:style w:type="paragraph" w:customStyle="1" w:styleId="62">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3">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4">
    <w:name w:val="Char1"/>
    <w:basedOn w:val="1"/>
    <w:autoRedefine/>
    <w:qFormat/>
    <w:uiPriority w:val="0"/>
  </w:style>
  <w:style w:type="paragraph" w:customStyle="1" w:styleId="65">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6">
    <w:name w:val="Table Paragraph"/>
    <w:basedOn w:val="1"/>
    <w:autoRedefine/>
    <w:qFormat/>
    <w:uiPriority w:val="1"/>
    <w:pPr>
      <w:jc w:val="left"/>
    </w:pPr>
    <w:rPr>
      <w:rFonts w:ascii="宋体" w:hAnsi="宋体" w:cs="宋体"/>
      <w:kern w:val="0"/>
      <w:sz w:val="22"/>
      <w:szCs w:val="22"/>
      <w:lang w:eastAsia="en-US"/>
    </w:rPr>
  </w:style>
  <w:style w:type="paragraph" w:customStyle="1" w:styleId="67">
    <w:name w:val="无间隔1"/>
    <w:basedOn w:val="1"/>
    <w:autoRedefine/>
    <w:qFormat/>
    <w:uiPriority w:val="1"/>
    <w:pPr>
      <w:spacing w:line="400" w:lineRule="exact"/>
    </w:pPr>
    <w:rPr>
      <w:sz w:val="24"/>
    </w:rPr>
  </w:style>
  <w:style w:type="paragraph" w:customStyle="1" w:styleId="68">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9">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70">
    <w:name w:val="列出段落1"/>
    <w:basedOn w:val="1"/>
    <w:autoRedefine/>
    <w:qFormat/>
    <w:uiPriority w:val="34"/>
    <w:pPr>
      <w:ind w:firstLine="420" w:firstLineChars="200"/>
    </w:pPr>
  </w:style>
  <w:style w:type="paragraph" w:customStyle="1" w:styleId="71">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2">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3">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4">
    <w:name w:val="列出段落11"/>
    <w:basedOn w:val="1"/>
    <w:autoRedefine/>
    <w:qFormat/>
    <w:uiPriority w:val="0"/>
    <w:pPr>
      <w:ind w:firstLine="420" w:firstLineChars="200"/>
    </w:pPr>
    <w:rPr>
      <w:rFonts w:ascii="Calibri" w:hAnsi="Calibri"/>
      <w:szCs w:val="22"/>
    </w:rPr>
  </w:style>
  <w:style w:type="character" w:customStyle="1" w:styleId="75">
    <w:name w:val="正文文本 Char"/>
    <w:basedOn w:val="35"/>
    <w:link w:val="4"/>
    <w:autoRedefine/>
    <w:qFormat/>
    <w:uiPriority w:val="0"/>
  </w:style>
  <w:style w:type="character" w:customStyle="1" w:styleId="76">
    <w:name w:val="apple-converted-space"/>
    <w:basedOn w:val="35"/>
    <w:autoRedefine/>
    <w:qFormat/>
    <w:uiPriority w:val="0"/>
  </w:style>
  <w:style w:type="character" w:customStyle="1" w:styleId="77">
    <w:name w:val="文档结构图 Char"/>
    <w:link w:val="12"/>
    <w:autoRedefine/>
    <w:qFormat/>
    <w:uiPriority w:val="0"/>
    <w:rPr>
      <w:rFonts w:ascii="宋体"/>
      <w:kern w:val="2"/>
      <w:sz w:val="18"/>
      <w:szCs w:val="18"/>
    </w:rPr>
  </w:style>
  <w:style w:type="character" w:customStyle="1" w:styleId="78">
    <w:name w:val="不明显强调1"/>
    <w:autoRedefine/>
    <w:qFormat/>
    <w:uiPriority w:val="19"/>
    <w:rPr>
      <w:i/>
      <w:iCs/>
      <w:color w:val="7F7F7F"/>
      <w:szCs w:val="24"/>
    </w:rPr>
  </w:style>
  <w:style w:type="character" w:customStyle="1" w:styleId="79">
    <w:name w:val="font71"/>
    <w:basedOn w:val="35"/>
    <w:autoRedefine/>
    <w:qFormat/>
    <w:uiPriority w:val="0"/>
    <w:rPr>
      <w:rFonts w:hint="eastAsia" w:ascii="宋体" w:hAnsi="宋体" w:eastAsia="宋体" w:cs="宋体"/>
      <w:color w:val="000000"/>
      <w:sz w:val="28"/>
      <w:szCs w:val="28"/>
      <w:u w:val="none"/>
    </w:rPr>
  </w:style>
  <w:style w:type="character" w:customStyle="1" w:styleId="80">
    <w:name w:val="font21"/>
    <w:autoRedefine/>
    <w:qFormat/>
    <w:uiPriority w:val="0"/>
    <w:rPr>
      <w:rFonts w:hint="default" w:ascii="Calibri" w:hAnsi="Calibri" w:cs="Calibri"/>
      <w:color w:val="000000"/>
      <w:sz w:val="28"/>
      <w:szCs w:val="28"/>
      <w:u w:val="none"/>
    </w:rPr>
  </w:style>
  <w:style w:type="character" w:customStyle="1" w:styleId="81">
    <w:name w:val="17"/>
    <w:autoRedefine/>
    <w:qFormat/>
    <w:uiPriority w:val="0"/>
    <w:rPr>
      <w:rFonts w:hint="eastAsia" w:ascii="宋体" w:hAnsi="宋体" w:eastAsia="宋体"/>
      <w:color w:val="000000"/>
    </w:rPr>
  </w:style>
  <w:style w:type="character" w:customStyle="1" w:styleId="82">
    <w:name w:val="font91"/>
    <w:autoRedefine/>
    <w:qFormat/>
    <w:uiPriority w:val="0"/>
    <w:rPr>
      <w:rFonts w:hint="eastAsia" w:ascii="宋体" w:hAnsi="宋体" w:eastAsia="宋体" w:cs="宋体"/>
      <w:color w:val="FF0000"/>
      <w:sz w:val="28"/>
      <w:szCs w:val="28"/>
      <w:u w:val="none"/>
    </w:rPr>
  </w:style>
  <w:style w:type="paragraph" w:customStyle="1" w:styleId="83">
    <w:name w:val="p"/>
    <w:basedOn w:val="1"/>
    <w:autoRedefine/>
    <w:qFormat/>
    <w:uiPriority w:val="0"/>
    <w:pPr>
      <w:widowControl/>
      <w:spacing w:line="432" w:lineRule="auto"/>
      <w:jc w:val="left"/>
    </w:pPr>
    <w:rPr>
      <w:rFonts w:ascii="宋体" w:hAnsi="宋体" w:cs="宋体"/>
      <w:kern w:val="0"/>
      <w:sz w:val="24"/>
    </w:rPr>
  </w:style>
  <w:style w:type="paragraph" w:customStyle="1" w:styleId="84">
    <w:name w:val="WPSOffice手动目录 1"/>
    <w:autoRedefine/>
    <w:qFormat/>
    <w:uiPriority w:val="0"/>
    <w:rPr>
      <w:rFonts w:ascii="Times New Roman" w:hAnsi="Times New Roman" w:eastAsia="宋体" w:cs="Times New Roman"/>
      <w:lang w:val="en-US" w:eastAsia="zh-CN" w:bidi="ar-SA"/>
    </w:rPr>
  </w:style>
  <w:style w:type="paragraph" w:customStyle="1" w:styleId="85">
    <w:name w:val="*正文_1"/>
    <w:basedOn w:val="1"/>
    <w:next w:val="1"/>
    <w:autoRedefine/>
    <w:qFormat/>
    <w:uiPriority w:val="0"/>
    <w:pPr>
      <w:widowControl/>
      <w:ind w:firstLine="482"/>
    </w:pPr>
    <w:rPr>
      <w:rFonts w:ascii="微软雅黑" w:hAnsi="微软雅黑" w:eastAsia="微软雅黑"/>
      <w:kern w:val="0"/>
      <w:szCs w:val="20"/>
    </w:rPr>
  </w:style>
  <w:style w:type="paragraph" w:customStyle="1" w:styleId="86">
    <w:name w:val="表格文字"/>
    <w:basedOn w:val="1"/>
    <w:next w:val="4"/>
    <w:autoRedefine/>
    <w:qFormat/>
    <w:uiPriority w:val="0"/>
    <w:pPr>
      <w:adjustRightInd w:val="0"/>
      <w:spacing w:line="420" w:lineRule="atLeast"/>
      <w:jc w:val="left"/>
      <w:textAlignment w:val="baseline"/>
    </w:pPr>
    <w:rPr>
      <w:kern w:val="0"/>
      <w:szCs w:val="20"/>
    </w:rPr>
  </w:style>
  <w:style w:type="character" w:customStyle="1" w:styleId="87">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8">
    <w:name w:val="列表段落1"/>
    <w:basedOn w:val="1"/>
    <w:autoRedefine/>
    <w:qFormat/>
    <w:uiPriority w:val="34"/>
    <w:pPr>
      <w:widowControl/>
      <w:ind w:firstLine="420"/>
      <w:jc w:val="left"/>
    </w:pPr>
    <w:rPr>
      <w:kern w:val="0"/>
    </w:rPr>
  </w:style>
  <w:style w:type="paragraph" w:styleId="89">
    <w:name w:val="List Paragraph"/>
    <w:basedOn w:val="1"/>
    <w:autoRedefine/>
    <w:qFormat/>
    <w:uiPriority w:val="34"/>
    <w:pPr>
      <w:ind w:firstLine="420" w:firstLineChars="200"/>
    </w:pPr>
  </w:style>
  <w:style w:type="character" w:customStyle="1" w:styleId="90">
    <w:name w:val="hover18"/>
    <w:basedOn w:val="35"/>
    <w:autoRedefine/>
    <w:qFormat/>
    <w:uiPriority w:val="0"/>
  </w:style>
  <w:style w:type="table" w:customStyle="1" w:styleId="91">
    <w:name w:val="Table Normal"/>
    <w:autoRedefine/>
    <w:qFormat/>
    <w:uiPriority w:val="0"/>
    <w:tblPr>
      <w:tblCellMar>
        <w:top w:w="0" w:type="dxa"/>
        <w:left w:w="0" w:type="dxa"/>
        <w:bottom w:w="0" w:type="dxa"/>
        <w:right w:w="0" w:type="dxa"/>
      </w:tblCellMar>
    </w:tblPr>
  </w:style>
  <w:style w:type="paragraph" w:customStyle="1" w:styleId="92">
    <w:name w:val="Table Text"/>
    <w:basedOn w:val="1"/>
    <w:autoRedefine/>
    <w:semiHidden/>
    <w:qFormat/>
    <w:uiPriority w:val="0"/>
    <w:rPr>
      <w:rFonts w:ascii="宋体" w:hAnsi="宋体" w:eastAsia="宋体" w:cs="宋体"/>
      <w:sz w:val="45"/>
      <w:szCs w:val="45"/>
      <w:lang w:val="en-US" w:eastAsia="en-US" w:bidi="ar-SA"/>
    </w:rPr>
  </w:style>
  <w:style w:type="character" w:customStyle="1" w:styleId="93">
    <w:name w:val="font11"/>
    <w:basedOn w:val="35"/>
    <w:autoRedefine/>
    <w:qFormat/>
    <w:uiPriority w:val="0"/>
    <w:rPr>
      <w:rFonts w:ascii="Calibri" w:hAnsi="Calibri" w:cs="Calibri"/>
      <w:color w:val="000000"/>
      <w:sz w:val="24"/>
      <w:szCs w:val="24"/>
      <w:u w:val="none"/>
    </w:rPr>
  </w:style>
  <w:style w:type="paragraph" w:customStyle="1" w:styleId="94">
    <w:name w:val="正文1"/>
    <w:next w:val="1"/>
    <w:autoRedefine/>
    <w:qFormat/>
    <w:uiPriority w:val="0"/>
    <w:pPr>
      <w:widowControl w:val="0"/>
      <w:spacing w:line="360" w:lineRule="auto"/>
      <w:jc w:val="both"/>
    </w:pPr>
    <w:rPr>
      <w:rFonts w:ascii="Calibri" w:hAnsi="Calibri" w:eastAsia="宋体" w:cs="Times New Roman"/>
      <w:sz w:val="24"/>
      <w:szCs w:val="22"/>
      <w:lang w:val="en-US" w:eastAsia="zh-CN" w:bidi="ar-SA"/>
    </w:rPr>
  </w:style>
  <w:style w:type="character" w:customStyle="1" w:styleId="95">
    <w:name w:val="font61"/>
    <w:basedOn w:val="35"/>
    <w:qFormat/>
    <w:uiPriority w:val="0"/>
    <w:rPr>
      <w:rFonts w:ascii="宋体" w:hAnsi="宋体" w:eastAsia="宋体" w:cs="宋体"/>
      <w:color w:val="000000"/>
      <w:sz w:val="24"/>
      <w:szCs w:val="24"/>
      <w:u w:val="none"/>
    </w:rPr>
  </w:style>
  <w:style w:type="character" w:customStyle="1" w:styleId="96">
    <w:name w:val="font81"/>
    <w:basedOn w:val="35"/>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42</Pages>
  <Words>16100</Words>
  <Characters>16913</Characters>
  <Lines>50</Lines>
  <Paragraphs>68</Paragraphs>
  <TotalTime>19</TotalTime>
  <ScaleCrop>false</ScaleCrop>
  <LinksUpToDate>false</LinksUpToDate>
  <CharactersWithSpaces>17482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潘艳红</cp:lastModifiedBy>
  <cp:lastPrinted>2021-09-30T00:46:00Z</cp:lastPrinted>
  <dcterms:modified xsi:type="dcterms:W3CDTF">2026-01-04T01:23:35Z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1D108DBE00EA445F885CBAF7887705D4_13</vt:lpwstr>
  </property>
  <property fmtid="{D5CDD505-2E9C-101B-9397-08002B2CF9AE}" pid="4" name="KSOTemplateDocerSaveRecord">
    <vt:lpwstr>eyJoZGlkIjoiYzIwMjRmYTY4OTJhZjc1NTA1MGQwNDc0NzZhNTkwMmUiLCJ1c2VySWQiOiIxNjg0NTc5MjM2In0=</vt:lpwstr>
  </property>
</Properties>
</file>