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 xml:space="preserve"> 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bookmarkStart w:id="102" w:name="_GoBack"/>
      <w:bookmarkEnd w:id="102"/>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15135"/>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3604"/>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12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对本项目法律顾问服务不了解、</w:t>
            </w:r>
            <w:r>
              <w:rPr>
                <w:rFonts w:hint="eastAsia" w:ascii="宋体" w:hAnsi="宋体" w:cs="宋体"/>
                <w:b w:val="0"/>
                <w:bCs w:val="0"/>
                <w:color w:val="auto"/>
                <w:sz w:val="21"/>
                <w:szCs w:val="21"/>
                <w:highlight w:val="none"/>
                <w:lang w:val="en-US" w:eastAsia="zh-CN"/>
              </w:rPr>
              <w:t>因对措施及建议难以满足采购需求的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在本单位缴纳的2025年7月以来任意一个月的社保证明复印件未按要求提供的不得分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13976"/>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3342"/>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2888"/>
      <w:bookmarkStart w:id="97" w:name="_Toc16083"/>
      <w:bookmarkStart w:id="98" w:name="_Toc13726"/>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23394"/>
      <w:bookmarkStart w:id="100" w:name="_Toc31685"/>
      <w:bookmarkStart w:id="101" w:name="_Toc250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14156</Words>
  <Characters>14960</Characters>
  <Lines>50</Lines>
  <Paragraphs>68</Paragraphs>
  <TotalTime>1</TotalTime>
  <ScaleCrop>false</ScaleCrop>
  <LinksUpToDate>false</LinksUpToDate>
  <CharactersWithSpaces>15228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2025-12-19T02:33:34Z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4813DD974005425AA126F9F8354EBF67_13</vt:lpwstr>
  </property>
  <property fmtid="{D5CDD505-2E9C-101B-9397-08002B2CF9AE}" pid="4" name="KSOTemplateDocerSaveRecord">
    <vt:lpwstr>eyJoZGlkIjoiMzU0MTZjMjFkMjFjOGMwYTIzNWEzZDljNjYxZWI0MmYiLCJ1c2VySWQiOiIxNjg0NTc5MjM2In0=</vt:lpwstr>
  </property>
</Properties>
</file>